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DE5AF" w14:textId="77777777" w:rsidR="00933348" w:rsidRDefault="00933348" w:rsidP="00051E44">
      <w:pPr>
        <w:pStyle w:val="Default"/>
        <w:jc w:val="center"/>
        <w:rPr>
          <w:b/>
          <w:bCs/>
          <w:sz w:val="28"/>
          <w:szCs w:val="28"/>
        </w:rPr>
      </w:pPr>
    </w:p>
    <w:p w14:paraId="6038F30B" w14:textId="77777777" w:rsidR="00933348" w:rsidRDefault="00933348" w:rsidP="00051E44">
      <w:pPr>
        <w:pStyle w:val="Default"/>
        <w:jc w:val="center"/>
        <w:rPr>
          <w:b/>
          <w:bCs/>
          <w:sz w:val="28"/>
          <w:szCs w:val="28"/>
        </w:rPr>
      </w:pPr>
    </w:p>
    <w:p w14:paraId="5F8FB545" w14:textId="13813E1F" w:rsidR="00051E44" w:rsidRDefault="00051E44" w:rsidP="00051E44">
      <w:pPr>
        <w:pStyle w:val="Default"/>
        <w:jc w:val="center"/>
        <w:rPr>
          <w:b/>
          <w:iCs/>
        </w:rPr>
      </w:pPr>
      <w:r>
        <w:rPr>
          <w:b/>
          <w:bCs/>
          <w:sz w:val="28"/>
          <w:szCs w:val="28"/>
        </w:rPr>
        <w:t>UNIVERSITY OF WAIKATO</w:t>
      </w:r>
    </w:p>
    <w:p w14:paraId="2729FE7F" w14:textId="77777777" w:rsidR="00051E44" w:rsidRDefault="00051E44" w:rsidP="00051E44">
      <w:pPr>
        <w:pStyle w:val="Default"/>
        <w:jc w:val="center"/>
        <w:rPr>
          <w:b/>
          <w:bCs/>
          <w:sz w:val="28"/>
          <w:szCs w:val="28"/>
        </w:rPr>
      </w:pPr>
      <w:r>
        <w:rPr>
          <w:b/>
          <w:bCs/>
          <w:sz w:val="28"/>
          <w:szCs w:val="28"/>
        </w:rPr>
        <w:br/>
        <w:t>Hamilton</w:t>
      </w:r>
    </w:p>
    <w:p w14:paraId="11150D3B" w14:textId="77777777" w:rsidR="00051E44" w:rsidRDefault="00051E44" w:rsidP="00051E44">
      <w:pPr>
        <w:pStyle w:val="CM1"/>
        <w:spacing w:line="240" w:lineRule="auto"/>
        <w:jc w:val="center"/>
        <w:rPr>
          <w:b/>
          <w:bCs/>
          <w:sz w:val="28"/>
          <w:szCs w:val="28"/>
        </w:rPr>
      </w:pPr>
      <w:r>
        <w:rPr>
          <w:b/>
          <w:bCs/>
          <w:sz w:val="28"/>
          <w:szCs w:val="28"/>
        </w:rPr>
        <w:t xml:space="preserve">New Zealand </w:t>
      </w:r>
    </w:p>
    <w:p w14:paraId="6FA941A9" w14:textId="77777777" w:rsidR="00051E44" w:rsidRDefault="00051E44" w:rsidP="00051E44">
      <w:pPr>
        <w:pStyle w:val="Default"/>
      </w:pPr>
    </w:p>
    <w:p w14:paraId="4B48D732" w14:textId="77777777" w:rsidR="00051E44" w:rsidRDefault="00051E44" w:rsidP="00051E44">
      <w:pPr>
        <w:pStyle w:val="Default"/>
      </w:pPr>
    </w:p>
    <w:p w14:paraId="44747B18" w14:textId="77777777" w:rsidR="00051E44"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777491B4" w14:textId="77777777" w:rsidR="00051E44"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heme="majorBidi" w:hAnsiTheme="majorBidi"/>
          <w:b/>
          <w:color w:val="000000" w:themeColor="text1"/>
          <w:sz w:val="28"/>
          <w:szCs w:val="28"/>
        </w:rPr>
      </w:pPr>
      <w:r w:rsidRPr="004B36B2">
        <w:rPr>
          <w:rFonts w:asciiTheme="majorBidi" w:hAnsiTheme="majorBidi"/>
          <w:b/>
          <w:color w:val="000000" w:themeColor="text1"/>
          <w:sz w:val="28"/>
          <w:szCs w:val="28"/>
        </w:rPr>
        <w:t xml:space="preserve">Effects of </w:t>
      </w:r>
      <w:r>
        <w:rPr>
          <w:rFonts w:asciiTheme="majorBidi" w:hAnsiTheme="majorBidi"/>
          <w:b/>
          <w:color w:val="000000" w:themeColor="text1"/>
          <w:sz w:val="28"/>
          <w:szCs w:val="28"/>
        </w:rPr>
        <w:t>I</w:t>
      </w:r>
      <w:r w:rsidRPr="004B36B2">
        <w:rPr>
          <w:rFonts w:asciiTheme="majorBidi" w:hAnsiTheme="majorBidi"/>
          <w:b/>
          <w:color w:val="000000" w:themeColor="text1"/>
          <w:sz w:val="28"/>
          <w:szCs w:val="28"/>
        </w:rPr>
        <w:t xml:space="preserve">nternational </w:t>
      </w:r>
      <w:r>
        <w:rPr>
          <w:rFonts w:asciiTheme="majorBidi" w:hAnsiTheme="majorBidi"/>
          <w:b/>
          <w:color w:val="000000" w:themeColor="text1"/>
          <w:sz w:val="28"/>
          <w:szCs w:val="28"/>
        </w:rPr>
        <w:t>Mi</w:t>
      </w:r>
      <w:r w:rsidRPr="004B36B2">
        <w:rPr>
          <w:rFonts w:asciiTheme="majorBidi" w:hAnsiTheme="majorBidi"/>
          <w:b/>
          <w:color w:val="000000" w:themeColor="text1"/>
          <w:sz w:val="28"/>
          <w:szCs w:val="28"/>
        </w:rPr>
        <w:t xml:space="preserve">gration </w:t>
      </w:r>
    </w:p>
    <w:p w14:paraId="71069D65" w14:textId="77777777" w:rsidR="00051E44"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heme="majorBidi" w:hAnsiTheme="majorBidi"/>
          <w:b/>
          <w:color w:val="000000" w:themeColor="text1"/>
          <w:sz w:val="28"/>
          <w:szCs w:val="28"/>
        </w:rPr>
      </w:pPr>
      <w:r w:rsidRPr="004B36B2">
        <w:rPr>
          <w:rFonts w:asciiTheme="majorBidi" w:hAnsiTheme="majorBidi"/>
          <w:b/>
          <w:color w:val="000000" w:themeColor="text1"/>
          <w:sz w:val="28"/>
          <w:szCs w:val="28"/>
        </w:rPr>
        <w:t xml:space="preserve">on </w:t>
      </w:r>
      <w:r>
        <w:rPr>
          <w:rFonts w:asciiTheme="majorBidi" w:hAnsiTheme="majorBidi"/>
          <w:b/>
          <w:color w:val="000000" w:themeColor="text1"/>
          <w:sz w:val="28"/>
          <w:szCs w:val="28"/>
        </w:rPr>
        <w:t>C</w:t>
      </w:r>
      <w:r w:rsidRPr="004B36B2">
        <w:rPr>
          <w:rFonts w:asciiTheme="majorBidi" w:hAnsiTheme="majorBidi"/>
          <w:b/>
          <w:color w:val="000000" w:themeColor="text1"/>
          <w:sz w:val="28"/>
          <w:szCs w:val="28"/>
        </w:rPr>
        <w:t xml:space="preserve">hild </w:t>
      </w:r>
      <w:r>
        <w:rPr>
          <w:rFonts w:asciiTheme="majorBidi" w:hAnsiTheme="majorBidi"/>
          <w:b/>
          <w:color w:val="000000" w:themeColor="text1"/>
          <w:sz w:val="28"/>
          <w:szCs w:val="28"/>
        </w:rPr>
        <w:t>S</w:t>
      </w:r>
      <w:r w:rsidRPr="004B36B2">
        <w:rPr>
          <w:rFonts w:asciiTheme="majorBidi" w:hAnsiTheme="majorBidi"/>
          <w:b/>
          <w:color w:val="000000" w:themeColor="text1"/>
          <w:sz w:val="28"/>
          <w:szCs w:val="28"/>
        </w:rPr>
        <w:t xml:space="preserve">chooling and </w:t>
      </w:r>
      <w:r>
        <w:rPr>
          <w:rFonts w:asciiTheme="majorBidi" w:hAnsiTheme="majorBidi"/>
          <w:b/>
          <w:color w:val="000000" w:themeColor="text1"/>
          <w:sz w:val="28"/>
          <w:szCs w:val="28"/>
        </w:rPr>
        <w:t>C</w:t>
      </w:r>
      <w:r w:rsidRPr="004B36B2">
        <w:rPr>
          <w:rFonts w:asciiTheme="majorBidi" w:hAnsiTheme="majorBidi"/>
          <w:b/>
          <w:color w:val="000000" w:themeColor="text1"/>
          <w:sz w:val="28"/>
          <w:szCs w:val="28"/>
        </w:rPr>
        <w:t xml:space="preserve">hild </w:t>
      </w:r>
      <w:r>
        <w:rPr>
          <w:rFonts w:asciiTheme="majorBidi" w:hAnsiTheme="majorBidi"/>
          <w:b/>
          <w:noProof/>
          <w:color w:val="000000" w:themeColor="text1"/>
          <w:sz w:val="28"/>
          <w:szCs w:val="28"/>
        </w:rPr>
        <w:t>L</w:t>
      </w:r>
      <w:r w:rsidRPr="004B36B2">
        <w:rPr>
          <w:rFonts w:asciiTheme="majorBidi" w:hAnsiTheme="majorBidi"/>
          <w:b/>
          <w:noProof/>
          <w:color w:val="000000" w:themeColor="text1"/>
          <w:sz w:val="28"/>
          <w:szCs w:val="28"/>
        </w:rPr>
        <w:t>abour</w:t>
      </w:r>
      <w:r w:rsidRPr="004B36B2">
        <w:rPr>
          <w:rFonts w:asciiTheme="majorBidi" w:hAnsiTheme="majorBidi"/>
          <w:b/>
          <w:color w:val="000000" w:themeColor="text1"/>
          <w:sz w:val="28"/>
          <w:szCs w:val="28"/>
        </w:rPr>
        <w:t xml:space="preserve">: </w:t>
      </w:r>
    </w:p>
    <w:p w14:paraId="60511884" w14:textId="4E06AC23" w:rsidR="00051E44"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bCs/>
          <w:sz w:val="28"/>
          <w:szCs w:val="28"/>
        </w:rPr>
      </w:pPr>
      <w:r w:rsidRPr="004B36B2">
        <w:rPr>
          <w:rFonts w:asciiTheme="majorBidi" w:hAnsiTheme="majorBidi"/>
          <w:b/>
          <w:color w:val="000000" w:themeColor="text1"/>
          <w:sz w:val="28"/>
          <w:szCs w:val="28"/>
        </w:rPr>
        <w:t>Evidence from Nepal</w:t>
      </w:r>
    </w:p>
    <w:p w14:paraId="22B5EDE0" w14:textId="77777777" w:rsidR="00051E44" w:rsidRPr="00051E44"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sz w:val="14"/>
          <w:szCs w:val="14"/>
        </w:rPr>
      </w:pPr>
    </w:p>
    <w:p w14:paraId="2226755E" w14:textId="793C96DF" w:rsidR="00051E44" w:rsidRPr="00D93C8F"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sz w:val="28"/>
          <w:szCs w:val="28"/>
        </w:rPr>
      </w:pPr>
      <w:r w:rsidRPr="00D93C8F">
        <w:rPr>
          <w:rFonts w:ascii="Times New Roman" w:hAnsi="Times New Roman"/>
          <w:sz w:val="28"/>
          <w:szCs w:val="28"/>
        </w:rPr>
        <w:t xml:space="preserve">Hari </w:t>
      </w:r>
      <w:proofErr w:type="gramStart"/>
      <w:r w:rsidRPr="00D93C8F">
        <w:rPr>
          <w:rFonts w:ascii="Times New Roman" w:hAnsi="Times New Roman"/>
          <w:sz w:val="28"/>
          <w:szCs w:val="28"/>
        </w:rPr>
        <w:t xml:space="preserve">Sharma </w:t>
      </w:r>
      <w:r w:rsidR="00D92344">
        <w:rPr>
          <w:rFonts w:ascii="Times New Roman" w:hAnsi="Times New Roman"/>
          <w:sz w:val="28"/>
          <w:szCs w:val="28"/>
        </w:rPr>
        <w:t xml:space="preserve"> </w:t>
      </w:r>
      <w:r w:rsidRPr="00D93C8F">
        <w:rPr>
          <w:rFonts w:ascii="Times New Roman" w:hAnsi="Times New Roman"/>
          <w:sz w:val="28"/>
          <w:szCs w:val="28"/>
        </w:rPr>
        <w:t>and</w:t>
      </w:r>
      <w:proofErr w:type="gramEnd"/>
      <w:r w:rsidRPr="00D93C8F">
        <w:rPr>
          <w:rFonts w:ascii="Times New Roman" w:hAnsi="Times New Roman"/>
          <w:sz w:val="28"/>
          <w:szCs w:val="28"/>
        </w:rPr>
        <w:t xml:space="preserve"> </w:t>
      </w:r>
      <w:r w:rsidR="00D92344">
        <w:rPr>
          <w:rFonts w:ascii="Times New Roman" w:hAnsi="Times New Roman"/>
          <w:sz w:val="28"/>
          <w:szCs w:val="28"/>
        </w:rPr>
        <w:t xml:space="preserve"> </w:t>
      </w:r>
      <w:r w:rsidRPr="00D93C8F">
        <w:rPr>
          <w:rFonts w:ascii="Times New Roman" w:hAnsi="Times New Roman"/>
          <w:sz w:val="28"/>
          <w:szCs w:val="28"/>
        </w:rPr>
        <w:t>John Gibson</w:t>
      </w:r>
    </w:p>
    <w:p w14:paraId="387162D4" w14:textId="77777777" w:rsidR="00051E44" w:rsidRDefault="00051E44" w:rsidP="00051E44">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bCs/>
          <w:sz w:val="28"/>
          <w:szCs w:val="28"/>
        </w:rPr>
      </w:pPr>
      <w:r w:rsidRPr="00D93C8F">
        <w:rPr>
          <w:rFonts w:ascii="Times New Roman" w:hAnsi="Times New Roman"/>
          <w:b/>
          <w:bCs/>
          <w:sz w:val="28"/>
          <w:szCs w:val="28"/>
        </w:rPr>
        <w:t xml:space="preserve"> </w:t>
      </w:r>
    </w:p>
    <w:p w14:paraId="70E92406" w14:textId="77777777" w:rsidR="00051E44" w:rsidRPr="00D93C8F" w:rsidRDefault="00051E44" w:rsidP="00051E44">
      <w:pPr>
        <w:rPr>
          <w:lang w:eastAsia="ko-KR"/>
        </w:rPr>
      </w:pPr>
    </w:p>
    <w:p w14:paraId="3B17DF2F" w14:textId="77777777" w:rsidR="00051E44" w:rsidRDefault="00051E44" w:rsidP="00051E44">
      <w:pPr>
        <w:pStyle w:val="CM22"/>
        <w:spacing w:after="0"/>
        <w:jc w:val="center"/>
        <w:rPr>
          <w:b/>
          <w:bCs/>
          <w:sz w:val="28"/>
          <w:szCs w:val="28"/>
        </w:rPr>
      </w:pPr>
    </w:p>
    <w:p w14:paraId="1DD9E239" w14:textId="14F3E4B0" w:rsidR="00051E44" w:rsidRDefault="00051E44" w:rsidP="00051E44">
      <w:pPr>
        <w:pStyle w:val="CM22"/>
        <w:spacing w:after="0"/>
        <w:jc w:val="center"/>
        <w:rPr>
          <w:b/>
          <w:bCs/>
          <w:sz w:val="28"/>
          <w:szCs w:val="28"/>
        </w:rPr>
      </w:pPr>
      <w:r>
        <w:rPr>
          <w:b/>
          <w:bCs/>
          <w:sz w:val="28"/>
          <w:szCs w:val="28"/>
        </w:rPr>
        <w:t xml:space="preserve">Working Paper in Economics </w:t>
      </w:r>
      <w:r w:rsidR="00D3520D">
        <w:rPr>
          <w:b/>
          <w:bCs/>
          <w:sz w:val="28"/>
          <w:szCs w:val="28"/>
        </w:rPr>
        <w:t>7</w:t>
      </w:r>
      <w:r>
        <w:rPr>
          <w:b/>
          <w:bCs/>
          <w:sz w:val="28"/>
          <w:szCs w:val="28"/>
        </w:rPr>
        <w:t>/20</w:t>
      </w:r>
    </w:p>
    <w:p w14:paraId="4AC85782" w14:textId="77777777" w:rsidR="00051E44" w:rsidRDefault="00051E44" w:rsidP="00051E44">
      <w:pPr>
        <w:pStyle w:val="CM22"/>
        <w:spacing w:after="0"/>
        <w:jc w:val="center"/>
        <w:rPr>
          <w:sz w:val="28"/>
          <w:szCs w:val="28"/>
        </w:rPr>
      </w:pPr>
      <w:r>
        <w:rPr>
          <w:b/>
          <w:bCs/>
          <w:sz w:val="28"/>
          <w:szCs w:val="28"/>
        </w:rPr>
        <w:t xml:space="preserve"> </w:t>
      </w:r>
    </w:p>
    <w:p w14:paraId="02D1F5EA" w14:textId="315B9FC1" w:rsidR="00051E44" w:rsidRDefault="00051E44" w:rsidP="00051E44">
      <w:pPr>
        <w:pStyle w:val="CM3"/>
        <w:jc w:val="center"/>
        <w:rPr>
          <w:sz w:val="28"/>
          <w:szCs w:val="28"/>
        </w:rPr>
      </w:pPr>
      <w:r>
        <w:rPr>
          <w:sz w:val="28"/>
          <w:szCs w:val="28"/>
        </w:rPr>
        <w:t>June 2020</w:t>
      </w:r>
    </w:p>
    <w:p w14:paraId="4BD3C3C3" w14:textId="77777777" w:rsidR="00051E44" w:rsidRDefault="00051E44" w:rsidP="00051E44">
      <w:pPr>
        <w:pStyle w:val="CM4"/>
        <w:spacing w:line="240" w:lineRule="auto"/>
        <w:jc w:val="center"/>
        <w:rPr>
          <w:b/>
          <w:bCs/>
          <w:sz w:val="22"/>
          <w:szCs w:val="22"/>
        </w:rPr>
      </w:pPr>
    </w:p>
    <w:p w14:paraId="1609DAB3" w14:textId="77777777" w:rsidR="00051E44" w:rsidRDefault="00051E44" w:rsidP="00051E44">
      <w:pPr>
        <w:pStyle w:val="Default"/>
      </w:pPr>
    </w:p>
    <w:p w14:paraId="1317BAC1" w14:textId="77777777" w:rsidR="00051E44" w:rsidRDefault="00051E44" w:rsidP="00051E44">
      <w:pPr>
        <w:pStyle w:val="Default"/>
        <w:jc w:val="center"/>
        <w:rPr>
          <w:i/>
        </w:rPr>
      </w:pPr>
      <w:r>
        <w:rPr>
          <w:i/>
        </w:rPr>
        <w:t>Corresponding Author</w:t>
      </w:r>
    </w:p>
    <w:tbl>
      <w:tblPr>
        <w:tblW w:w="0" w:type="auto"/>
        <w:jc w:val="center"/>
        <w:tblLook w:val="04A0" w:firstRow="1" w:lastRow="0" w:firstColumn="1" w:lastColumn="0" w:noHBand="0" w:noVBand="1"/>
      </w:tblPr>
      <w:tblGrid>
        <w:gridCol w:w="6946"/>
      </w:tblGrid>
      <w:tr w:rsidR="00051E44" w14:paraId="32866577" w14:textId="77777777" w:rsidTr="0039064F">
        <w:trPr>
          <w:jc w:val="center"/>
        </w:trPr>
        <w:tc>
          <w:tcPr>
            <w:tcW w:w="6946" w:type="dxa"/>
          </w:tcPr>
          <w:p w14:paraId="10643AA9" w14:textId="77777777" w:rsidR="00051E44" w:rsidRPr="00332423" w:rsidRDefault="00051E44" w:rsidP="0039064F">
            <w:pPr>
              <w:pStyle w:val="CM4"/>
              <w:spacing w:line="240" w:lineRule="auto"/>
              <w:jc w:val="center"/>
              <w:rPr>
                <w:b/>
                <w:sz w:val="8"/>
                <w:szCs w:val="8"/>
              </w:rPr>
            </w:pPr>
          </w:p>
          <w:p w14:paraId="702B0FE0" w14:textId="77777777" w:rsidR="00051E44" w:rsidRDefault="00051E44" w:rsidP="0039064F">
            <w:pPr>
              <w:pStyle w:val="CM4"/>
              <w:spacing w:line="240" w:lineRule="auto"/>
              <w:jc w:val="center"/>
              <w:rPr>
                <w:b/>
              </w:rPr>
            </w:pPr>
            <w:r>
              <w:rPr>
                <w:b/>
              </w:rPr>
              <w:t>Hari Sharma</w:t>
            </w:r>
          </w:p>
          <w:p w14:paraId="3F0D0434" w14:textId="77777777" w:rsidR="00051E44" w:rsidRDefault="00051E44" w:rsidP="0039064F">
            <w:pPr>
              <w:pStyle w:val="CM23"/>
              <w:spacing w:after="0"/>
              <w:ind w:left="-1245" w:right="-1671"/>
              <w:jc w:val="center"/>
            </w:pPr>
            <w:r>
              <w:t>School of Accounting, Finance and Economics</w:t>
            </w:r>
          </w:p>
          <w:p w14:paraId="7167143B" w14:textId="77777777" w:rsidR="00051E44" w:rsidRDefault="00051E44" w:rsidP="0039064F">
            <w:pPr>
              <w:pStyle w:val="CM23"/>
              <w:spacing w:after="0"/>
              <w:ind w:left="-1245" w:right="-1671"/>
              <w:jc w:val="center"/>
            </w:pPr>
            <w:r>
              <w:t>University of Waikato</w:t>
            </w:r>
          </w:p>
          <w:p w14:paraId="1A80175E" w14:textId="77777777" w:rsidR="00051E44" w:rsidRDefault="00051E44" w:rsidP="0039064F">
            <w:pPr>
              <w:pStyle w:val="CM23"/>
              <w:spacing w:after="0"/>
              <w:ind w:left="-1245" w:right="-1671"/>
              <w:jc w:val="center"/>
            </w:pPr>
            <w:r>
              <w:t>Private Bag 3105</w:t>
            </w:r>
          </w:p>
          <w:p w14:paraId="3F0D3569" w14:textId="77777777" w:rsidR="00051E44" w:rsidRDefault="00051E44" w:rsidP="0039064F">
            <w:pPr>
              <w:pStyle w:val="CM23"/>
              <w:spacing w:after="0"/>
              <w:ind w:left="-1245" w:right="-1671"/>
              <w:jc w:val="center"/>
            </w:pPr>
            <w:r>
              <w:t>Hamilton</w:t>
            </w:r>
          </w:p>
          <w:p w14:paraId="78C6C2D3" w14:textId="04BA6E65" w:rsidR="00051E44" w:rsidRDefault="00051E44" w:rsidP="0039064F">
            <w:pPr>
              <w:pStyle w:val="CM4"/>
              <w:spacing w:line="240" w:lineRule="auto"/>
              <w:jc w:val="center"/>
            </w:pPr>
            <w:r>
              <w:t>New Zealand, 3240</w:t>
            </w:r>
          </w:p>
          <w:p w14:paraId="7F29CA84" w14:textId="77777777" w:rsidR="005656A9" w:rsidRPr="005656A9" w:rsidRDefault="005656A9" w:rsidP="005656A9">
            <w:pPr>
              <w:pStyle w:val="Default"/>
              <w:rPr>
                <w:sz w:val="12"/>
                <w:szCs w:val="12"/>
                <w:lang w:val="en-US" w:eastAsia="en-US"/>
              </w:rPr>
            </w:pPr>
          </w:p>
          <w:p w14:paraId="7C2D1601" w14:textId="5BF0A685" w:rsidR="00051E44" w:rsidRPr="005656A9" w:rsidRDefault="00051E44" w:rsidP="0039064F">
            <w:pPr>
              <w:pStyle w:val="CM4"/>
              <w:spacing w:line="240" w:lineRule="auto"/>
              <w:jc w:val="center"/>
              <w:rPr>
                <w:b/>
                <w:bCs/>
              </w:rPr>
            </w:pPr>
            <w:r w:rsidRPr="005656A9">
              <w:rPr>
                <w:bCs/>
              </w:rPr>
              <w:t xml:space="preserve">Email: </w:t>
            </w:r>
            <w:r w:rsidRPr="005656A9">
              <w:t>harryshr@gmail.com</w:t>
            </w:r>
          </w:p>
          <w:p w14:paraId="68B22038" w14:textId="77777777" w:rsidR="00051E44" w:rsidRPr="005656A9" w:rsidRDefault="00051E44" w:rsidP="0039064F">
            <w:pPr>
              <w:pStyle w:val="CM4"/>
              <w:spacing w:line="240" w:lineRule="auto"/>
              <w:jc w:val="center"/>
              <w:rPr>
                <w:b/>
                <w:bCs/>
              </w:rPr>
            </w:pPr>
          </w:p>
          <w:p w14:paraId="148AE7ED" w14:textId="77777777" w:rsidR="00051E44" w:rsidRDefault="00051E44" w:rsidP="0039064F">
            <w:pPr>
              <w:pStyle w:val="CM4"/>
              <w:spacing w:line="240" w:lineRule="auto"/>
              <w:ind w:left="-1245" w:right="-1671"/>
              <w:jc w:val="center"/>
            </w:pPr>
            <w:r>
              <w:rPr>
                <w:b/>
                <w:bCs/>
              </w:rPr>
              <w:t>John Gibson</w:t>
            </w:r>
          </w:p>
          <w:p w14:paraId="2FF031EF" w14:textId="77777777" w:rsidR="00051E44" w:rsidRDefault="00051E44" w:rsidP="0039064F">
            <w:pPr>
              <w:pStyle w:val="CM23"/>
              <w:spacing w:after="0"/>
              <w:ind w:left="-1245" w:right="-1671"/>
              <w:jc w:val="center"/>
            </w:pPr>
            <w:r>
              <w:t>School of Accounting, Finance and Economics</w:t>
            </w:r>
          </w:p>
          <w:p w14:paraId="2CB87890" w14:textId="77777777" w:rsidR="00051E44" w:rsidRDefault="00051E44" w:rsidP="0039064F">
            <w:pPr>
              <w:pStyle w:val="CM23"/>
              <w:spacing w:after="0"/>
              <w:ind w:left="-1245" w:right="-1671"/>
              <w:jc w:val="center"/>
            </w:pPr>
            <w:r>
              <w:t>University of Waikato</w:t>
            </w:r>
          </w:p>
          <w:p w14:paraId="3BF604E1" w14:textId="77777777" w:rsidR="00051E44" w:rsidRDefault="00051E44" w:rsidP="0039064F">
            <w:pPr>
              <w:pStyle w:val="CM23"/>
              <w:spacing w:after="0"/>
              <w:ind w:left="-1245" w:right="-1671"/>
              <w:jc w:val="center"/>
            </w:pPr>
            <w:r>
              <w:t>Private Bag 3105</w:t>
            </w:r>
          </w:p>
          <w:p w14:paraId="6825FA09" w14:textId="77777777" w:rsidR="00051E44" w:rsidRDefault="00051E44" w:rsidP="0039064F">
            <w:pPr>
              <w:pStyle w:val="CM23"/>
              <w:spacing w:after="0"/>
              <w:ind w:left="-1245" w:right="-1671"/>
              <w:jc w:val="center"/>
            </w:pPr>
            <w:r>
              <w:t>Hamilton</w:t>
            </w:r>
          </w:p>
          <w:p w14:paraId="13F6245B" w14:textId="77777777" w:rsidR="00051E44" w:rsidRDefault="00051E44" w:rsidP="0039064F">
            <w:pPr>
              <w:pStyle w:val="CM23"/>
              <w:spacing w:after="0"/>
              <w:ind w:left="-1245" w:right="-1671"/>
              <w:jc w:val="center"/>
            </w:pPr>
            <w:r>
              <w:t>New Zealand, 3240</w:t>
            </w:r>
          </w:p>
          <w:p w14:paraId="64DD7EEA" w14:textId="77777777" w:rsidR="00051E44" w:rsidRDefault="00051E44" w:rsidP="0039064F">
            <w:pPr>
              <w:pStyle w:val="Default"/>
              <w:ind w:left="-1245" w:right="-1671"/>
              <w:jc w:val="center"/>
              <w:rPr>
                <w:sz w:val="6"/>
                <w:szCs w:val="6"/>
                <w:lang w:val="en-US" w:eastAsia="ko-KR"/>
              </w:rPr>
            </w:pPr>
          </w:p>
          <w:p w14:paraId="205AB844" w14:textId="77777777" w:rsidR="00051E44" w:rsidRDefault="00051E44" w:rsidP="0039064F">
            <w:pPr>
              <w:pStyle w:val="Default"/>
              <w:ind w:left="-1245" w:right="-1671"/>
              <w:jc w:val="center"/>
              <w:rPr>
                <w:lang w:val="en-US" w:eastAsia="ko-KR"/>
              </w:rPr>
            </w:pPr>
            <w:r>
              <w:rPr>
                <w:lang w:val="en-US" w:eastAsia="ko-KR"/>
              </w:rPr>
              <w:t>Tel: +64 (7) 838 4289</w:t>
            </w:r>
          </w:p>
          <w:p w14:paraId="535BD9B3" w14:textId="77777777" w:rsidR="00051E44" w:rsidRDefault="00051E44" w:rsidP="0039064F">
            <w:pPr>
              <w:pStyle w:val="CM3"/>
              <w:ind w:left="-1245" w:right="-1671"/>
              <w:jc w:val="center"/>
              <w:rPr>
                <w:bCs/>
                <w:sz w:val="12"/>
                <w:szCs w:val="12"/>
              </w:rPr>
            </w:pPr>
          </w:p>
          <w:p w14:paraId="05BB8F6F" w14:textId="368AC528" w:rsidR="00051E44" w:rsidRPr="00EB133F" w:rsidRDefault="00051E44" w:rsidP="0039064F">
            <w:pPr>
              <w:pStyle w:val="CM3"/>
              <w:ind w:left="-1245" w:right="-1671"/>
              <w:jc w:val="center"/>
              <w:rPr>
                <w:bCs/>
              </w:rPr>
            </w:pPr>
            <w:r>
              <w:rPr>
                <w:bCs/>
              </w:rPr>
              <w:t>Email:</w:t>
            </w:r>
            <w:r w:rsidRPr="00D93C8F">
              <w:rPr>
                <w:bCs/>
              </w:rPr>
              <w:t xml:space="preserve"> </w:t>
            </w:r>
            <w:r w:rsidR="005656A9" w:rsidRPr="005656A9">
              <w:rPr>
                <w:rFonts w:eastAsiaTheme="minorHAnsi"/>
                <w:bCs/>
              </w:rPr>
              <w:t>john.gibson@waikato.ac.nz</w:t>
            </w:r>
          </w:p>
          <w:p w14:paraId="077A3BEB" w14:textId="77777777" w:rsidR="00051E44" w:rsidRPr="00EB133F" w:rsidRDefault="00051E44" w:rsidP="0039064F">
            <w:pPr>
              <w:pStyle w:val="Default"/>
              <w:ind w:left="-1245"/>
              <w:rPr>
                <w:lang w:val="en-US" w:eastAsia="en-US"/>
              </w:rPr>
            </w:pPr>
          </w:p>
          <w:p w14:paraId="77594863" w14:textId="77777777" w:rsidR="00051E44" w:rsidRDefault="00051E44" w:rsidP="0039064F">
            <w:pPr>
              <w:ind w:left="-113" w:right="-113"/>
              <w:jc w:val="center"/>
              <w:rPr>
                <w:b/>
                <w:bCs/>
                <w:sz w:val="28"/>
                <w:szCs w:val="28"/>
                <w:u w:val="single"/>
              </w:rPr>
            </w:pPr>
          </w:p>
          <w:p w14:paraId="373AE9A3" w14:textId="77777777" w:rsidR="00051E44" w:rsidRDefault="00051E44" w:rsidP="0039064F">
            <w:pPr>
              <w:pStyle w:val="Default"/>
              <w:rPr>
                <w:lang w:val="en-US" w:eastAsia="en-US"/>
              </w:rPr>
            </w:pPr>
          </w:p>
          <w:p w14:paraId="6A21ECCD" w14:textId="77777777" w:rsidR="00051E44" w:rsidRDefault="00051E44" w:rsidP="0039064F">
            <w:pPr>
              <w:pStyle w:val="Default"/>
              <w:jc w:val="center"/>
              <w:rPr>
                <w:lang w:val="en-US" w:eastAsia="ko-KR"/>
              </w:rPr>
            </w:pPr>
          </w:p>
        </w:tc>
      </w:tr>
    </w:tbl>
    <w:p w14:paraId="68EF5CC5" w14:textId="77777777" w:rsidR="00051E44" w:rsidRDefault="00051E44" w:rsidP="00051E44">
      <w:pPr>
        <w:rPr>
          <w:b/>
          <w:iCs/>
          <w:lang w:eastAsia="ko-KR"/>
        </w:rPr>
      </w:pPr>
    </w:p>
    <w:p w14:paraId="5BA06307" w14:textId="77777777" w:rsidR="00051E44" w:rsidRDefault="00051E44" w:rsidP="00051E44">
      <w:pPr>
        <w:spacing w:line="288" w:lineRule="auto"/>
        <w:jc w:val="center"/>
        <w:rPr>
          <w:b/>
        </w:rPr>
      </w:pPr>
    </w:p>
    <w:p w14:paraId="3303F729" w14:textId="03D0C74A" w:rsidR="00051E44" w:rsidRDefault="00051E44" w:rsidP="00051E44">
      <w:pPr>
        <w:spacing w:line="288" w:lineRule="auto"/>
        <w:jc w:val="center"/>
        <w:rPr>
          <w:b/>
        </w:rPr>
      </w:pPr>
    </w:p>
    <w:p w14:paraId="7B7A10A3" w14:textId="77777777" w:rsidR="00933348" w:rsidRDefault="00933348" w:rsidP="00051E44">
      <w:pPr>
        <w:spacing w:line="288" w:lineRule="auto"/>
        <w:jc w:val="center"/>
        <w:rPr>
          <w:b/>
        </w:rPr>
      </w:pPr>
    </w:p>
    <w:p w14:paraId="394AFEC2" w14:textId="77777777" w:rsidR="00206B37" w:rsidRDefault="00206B37" w:rsidP="00051E44">
      <w:pPr>
        <w:spacing w:line="288" w:lineRule="auto"/>
        <w:jc w:val="center"/>
        <w:rPr>
          <w:b/>
        </w:rPr>
      </w:pPr>
    </w:p>
    <w:p w14:paraId="0A8FE3F6" w14:textId="77777777" w:rsidR="00206B37" w:rsidRDefault="00206B37" w:rsidP="00051E44">
      <w:pPr>
        <w:spacing w:line="288" w:lineRule="auto"/>
        <w:jc w:val="center"/>
        <w:rPr>
          <w:b/>
        </w:rPr>
      </w:pPr>
    </w:p>
    <w:p w14:paraId="37D73565" w14:textId="77777777" w:rsidR="00206B37" w:rsidRDefault="00206B37" w:rsidP="00051E44">
      <w:pPr>
        <w:spacing w:line="288" w:lineRule="auto"/>
        <w:jc w:val="center"/>
        <w:rPr>
          <w:b/>
        </w:rPr>
      </w:pPr>
    </w:p>
    <w:p w14:paraId="3A2D9DC9" w14:textId="4D28F8A2" w:rsidR="00051E44" w:rsidRDefault="00051E44" w:rsidP="00051E44">
      <w:pPr>
        <w:spacing w:line="288" w:lineRule="auto"/>
        <w:jc w:val="center"/>
        <w:rPr>
          <w:b/>
        </w:rPr>
      </w:pPr>
      <w:r>
        <w:rPr>
          <w:b/>
        </w:rPr>
        <w:t>Abstract</w:t>
      </w:r>
    </w:p>
    <w:p w14:paraId="030B0336" w14:textId="77777777" w:rsidR="00051E44" w:rsidRPr="00D93C8F" w:rsidRDefault="00051E44" w:rsidP="00051E44">
      <w:pPr>
        <w:spacing w:line="288" w:lineRule="auto"/>
        <w:jc w:val="center"/>
        <w:rPr>
          <w:bCs/>
          <w:sz w:val="12"/>
          <w:szCs w:val="12"/>
        </w:rPr>
      </w:pPr>
    </w:p>
    <w:p w14:paraId="17F3D70C" w14:textId="77777777" w:rsidR="00051E44" w:rsidRPr="004B36B2" w:rsidRDefault="00051E44" w:rsidP="00051E44">
      <w:pPr>
        <w:autoSpaceDE w:val="0"/>
        <w:autoSpaceDN w:val="0"/>
        <w:adjustRightInd w:val="0"/>
        <w:spacing w:line="360" w:lineRule="auto"/>
        <w:jc w:val="both"/>
        <w:rPr>
          <w:rFonts w:asciiTheme="majorBidi" w:hAnsiTheme="majorBidi" w:cstheme="majorBidi"/>
          <w:noProof/>
          <w:color w:val="000000" w:themeColor="text1"/>
          <w:szCs w:val="24"/>
        </w:rPr>
      </w:pPr>
      <w:r w:rsidRPr="004B36B2">
        <w:rPr>
          <w:rFonts w:asciiTheme="majorBidi" w:hAnsiTheme="majorBidi" w:cstheme="majorBidi"/>
          <w:noProof/>
          <w:color w:val="000000" w:themeColor="text1"/>
          <w:szCs w:val="24"/>
        </w:rPr>
        <w:t>In the last</w:t>
      </w:r>
      <w:r w:rsidRPr="004B36B2">
        <w:rPr>
          <w:rFonts w:asciiTheme="majorBidi" w:hAnsiTheme="majorBidi" w:cstheme="majorBidi"/>
          <w:color w:val="000000" w:themeColor="text1"/>
          <w:szCs w:val="24"/>
        </w:rPr>
        <w:t xml:space="preserve"> two </w:t>
      </w:r>
      <w:r w:rsidRPr="004B36B2">
        <w:rPr>
          <w:rFonts w:asciiTheme="majorBidi" w:hAnsiTheme="majorBidi" w:cstheme="majorBidi"/>
          <w:noProof/>
          <w:color w:val="000000" w:themeColor="text1"/>
          <w:szCs w:val="24"/>
        </w:rPr>
        <w:t>decades,</w:t>
      </w:r>
      <w:r w:rsidRPr="004B36B2">
        <w:rPr>
          <w:rFonts w:asciiTheme="majorBidi" w:hAnsiTheme="majorBidi" w:cstheme="majorBidi"/>
          <w:color w:val="000000" w:themeColor="text1"/>
          <w:szCs w:val="24"/>
        </w:rPr>
        <w:t xml:space="preserve"> Nepal experienced a </w:t>
      </w:r>
      <w:r w:rsidRPr="004B36B2">
        <w:rPr>
          <w:rFonts w:asciiTheme="majorBidi" w:hAnsiTheme="majorBidi" w:cstheme="majorBidi"/>
          <w:noProof/>
          <w:color w:val="000000" w:themeColor="text1"/>
          <w:szCs w:val="24"/>
        </w:rPr>
        <w:t>significant</w:t>
      </w:r>
      <w:r w:rsidRPr="004B36B2">
        <w:rPr>
          <w:rFonts w:asciiTheme="majorBidi" w:hAnsiTheme="majorBidi" w:cstheme="majorBidi"/>
          <w:color w:val="000000" w:themeColor="text1"/>
          <w:szCs w:val="24"/>
        </w:rPr>
        <w:t xml:space="preserve"> rise in </w:t>
      </w:r>
      <w:r w:rsidRPr="004B36B2">
        <w:rPr>
          <w:rFonts w:asciiTheme="majorBidi" w:hAnsiTheme="majorBidi" w:cstheme="majorBidi"/>
          <w:noProof/>
          <w:color w:val="000000" w:themeColor="text1"/>
          <w:szCs w:val="24"/>
        </w:rPr>
        <w:t>work-related</w:t>
      </w:r>
      <w:r w:rsidRPr="004B36B2">
        <w:rPr>
          <w:rFonts w:asciiTheme="majorBidi" w:hAnsiTheme="majorBidi" w:cstheme="majorBidi"/>
          <w:color w:val="000000" w:themeColor="text1"/>
          <w:szCs w:val="24"/>
        </w:rPr>
        <w:t xml:space="preserve"> migration and subsequent remittance inflows. We examine the impacts on child education and child labour in a two-wave panel constructed from the 2008 Nepal Labour Force Survey and the 2010 Nepal Living Standards Survey. We use grade-specific net enrolment rates rather than the more commonly studied attendance rate, and exploit variation in destination-driven predicted migration as an instrumental variable. Migration and remittances appear to raise net enrolment of children in secondary education. The positive effect on school outcomes is complemented by a fall in child </w:t>
      </w:r>
      <w:r w:rsidRPr="004B36B2">
        <w:rPr>
          <w:rFonts w:asciiTheme="majorBidi" w:hAnsiTheme="majorBidi" w:cstheme="majorBidi"/>
          <w:noProof/>
          <w:color w:val="000000" w:themeColor="text1"/>
          <w:szCs w:val="24"/>
        </w:rPr>
        <w:t>labour</w:t>
      </w:r>
      <w:r w:rsidRPr="004B36B2">
        <w:rPr>
          <w:rFonts w:asciiTheme="majorBidi" w:hAnsiTheme="majorBidi" w:cstheme="majorBidi"/>
          <w:color w:val="000000" w:themeColor="text1"/>
          <w:szCs w:val="24"/>
        </w:rPr>
        <w:t xml:space="preserve"> force participation. The effects appear larger for children aged ten and above, and seem to </w:t>
      </w:r>
      <w:r w:rsidRPr="004B36B2">
        <w:rPr>
          <w:rFonts w:asciiTheme="majorBidi" w:hAnsiTheme="majorBidi" w:cstheme="majorBidi"/>
          <w:noProof/>
          <w:color w:val="000000" w:themeColor="text1"/>
          <w:szCs w:val="24"/>
        </w:rPr>
        <w:t xml:space="preserve">predominantly operate through remittances. </w:t>
      </w:r>
    </w:p>
    <w:p w14:paraId="49EFE0A4" w14:textId="77777777" w:rsidR="00051E44" w:rsidRDefault="00051E44" w:rsidP="00051E44">
      <w:pPr>
        <w:spacing w:line="288" w:lineRule="auto"/>
        <w:rPr>
          <w:b/>
        </w:rPr>
      </w:pPr>
    </w:p>
    <w:p w14:paraId="1289DF8E" w14:textId="014B2224" w:rsidR="00051E44" w:rsidRDefault="00051E44" w:rsidP="00051E44">
      <w:pPr>
        <w:spacing w:line="288" w:lineRule="auto"/>
        <w:jc w:val="center"/>
        <w:rPr>
          <w:b/>
        </w:rPr>
      </w:pPr>
      <w:r>
        <w:rPr>
          <w:b/>
        </w:rPr>
        <w:t>Keywords</w:t>
      </w:r>
    </w:p>
    <w:p w14:paraId="3A69800B" w14:textId="77777777" w:rsidR="005656A9" w:rsidRPr="005656A9" w:rsidRDefault="005656A9" w:rsidP="00051E44">
      <w:pPr>
        <w:spacing w:line="288" w:lineRule="auto"/>
        <w:jc w:val="center"/>
        <w:rPr>
          <w:b/>
          <w:sz w:val="8"/>
          <w:szCs w:val="8"/>
        </w:rPr>
      </w:pPr>
    </w:p>
    <w:p w14:paraId="2DB9BED3" w14:textId="77777777" w:rsidR="00051E44" w:rsidRDefault="00051E44" w:rsidP="00051E44">
      <w:pPr>
        <w:spacing w:line="288" w:lineRule="auto"/>
        <w:jc w:val="center"/>
        <w:rPr>
          <w:rFonts w:asciiTheme="majorBidi" w:hAnsiTheme="majorBidi" w:cstheme="majorBidi"/>
          <w:color w:val="000000" w:themeColor="text1"/>
          <w:szCs w:val="24"/>
        </w:rPr>
      </w:pPr>
      <w:r>
        <w:rPr>
          <w:rFonts w:asciiTheme="majorBidi" w:hAnsiTheme="majorBidi" w:cstheme="majorBidi"/>
          <w:color w:val="000000" w:themeColor="text1"/>
          <w:szCs w:val="24"/>
        </w:rPr>
        <w:t>h</w:t>
      </w:r>
      <w:r w:rsidRPr="004B36B2">
        <w:rPr>
          <w:rFonts w:asciiTheme="majorBidi" w:hAnsiTheme="majorBidi" w:cstheme="majorBidi"/>
          <w:color w:val="000000" w:themeColor="text1"/>
          <w:szCs w:val="24"/>
        </w:rPr>
        <w:t>uman capital</w:t>
      </w:r>
    </w:p>
    <w:p w14:paraId="4B681FEA" w14:textId="77777777" w:rsidR="00051E44" w:rsidRDefault="00051E44" w:rsidP="00051E44">
      <w:pPr>
        <w:spacing w:line="288" w:lineRule="auto"/>
        <w:jc w:val="center"/>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child </w:t>
      </w:r>
      <w:r w:rsidRPr="004B36B2">
        <w:rPr>
          <w:rFonts w:asciiTheme="majorBidi" w:hAnsiTheme="majorBidi" w:cstheme="majorBidi"/>
          <w:noProof/>
          <w:color w:val="000000" w:themeColor="text1"/>
          <w:szCs w:val="24"/>
        </w:rPr>
        <w:t>labour</w:t>
      </w:r>
    </w:p>
    <w:p w14:paraId="01C24288" w14:textId="77777777" w:rsidR="00051E44" w:rsidRDefault="00051E44" w:rsidP="00051E44">
      <w:pPr>
        <w:spacing w:line="288" w:lineRule="auto"/>
        <w:jc w:val="center"/>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migration</w:t>
      </w:r>
    </w:p>
    <w:p w14:paraId="37F8CCA2" w14:textId="77777777" w:rsidR="00051E44" w:rsidRDefault="00051E44" w:rsidP="00051E44">
      <w:pPr>
        <w:spacing w:line="288" w:lineRule="auto"/>
        <w:jc w:val="center"/>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 school enrolment</w:t>
      </w:r>
    </w:p>
    <w:p w14:paraId="3913EE6D" w14:textId="5ECF423C" w:rsidR="00051E44" w:rsidRDefault="00051E44" w:rsidP="00051E44">
      <w:pPr>
        <w:spacing w:line="288" w:lineRule="auto"/>
        <w:jc w:val="center"/>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Nepal</w:t>
      </w:r>
    </w:p>
    <w:p w14:paraId="502CDA67" w14:textId="77777777" w:rsidR="00051E44" w:rsidRDefault="00051E44" w:rsidP="00051E44">
      <w:pPr>
        <w:spacing w:line="288" w:lineRule="auto"/>
        <w:jc w:val="center"/>
        <w:rPr>
          <w:b/>
        </w:rPr>
      </w:pPr>
    </w:p>
    <w:p w14:paraId="4CAEA7C2" w14:textId="7C61EBFA" w:rsidR="00051E44" w:rsidRDefault="00051E44" w:rsidP="00051E44">
      <w:pPr>
        <w:spacing w:line="288" w:lineRule="auto"/>
        <w:jc w:val="center"/>
        <w:rPr>
          <w:b/>
        </w:rPr>
      </w:pPr>
      <w:r>
        <w:rPr>
          <w:b/>
        </w:rPr>
        <w:t>JEL Codes</w:t>
      </w:r>
    </w:p>
    <w:p w14:paraId="53A6D426" w14:textId="77777777" w:rsidR="005656A9" w:rsidRPr="005656A9" w:rsidRDefault="005656A9" w:rsidP="00051E44">
      <w:pPr>
        <w:spacing w:line="288" w:lineRule="auto"/>
        <w:jc w:val="center"/>
        <w:rPr>
          <w:b/>
          <w:sz w:val="8"/>
          <w:szCs w:val="8"/>
        </w:rPr>
      </w:pPr>
    </w:p>
    <w:p w14:paraId="6366A759" w14:textId="4CC486ED" w:rsidR="00051E44" w:rsidRDefault="00051E44" w:rsidP="00051E44">
      <w:pPr>
        <w:spacing w:line="288" w:lineRule="auto"/>
        <w:jc w:val="center"/>
        <w:rPr>
          <w:bCs/>
        </w:rPr>
      </w:pPr>
      <w:r w:rsidRPr="002E0DDF">
        <w:rPr>
          <w:rFonts w:asciiTheme="majorBidi" w:hAnsiTheme="majorBidi" w:cstheme="majorBidi"/>
          <w:color w:val="000000" w:themeColor="text1"/>
          <w:szCs w:val="24"/>
        </w:rPr>
        <w:t>I20, J22, F22, I21, O15</w:t>
      </w:r>
    </w:p>
    <w:p w14:paraId="742EF46B" w14:textId="77777777" w:rsidR="00051E44" w:rsidRDefault="00051E44" w:rsidP="00051E44">
      <w:pPr>
        <w:spacing w:line="288" w:lineRule="auto"/>
        <w:rPr>
          <w:bCs/>
        </w:rPr>
      </w:pPr>
    </w:p>
    <w:p w14:paraId="4863AD13" w14:textId="77777777" w:rsidR="00051E44" w:rsidRDefault="00051E44" w:rsidP="00051E44">
      <w:pPr>
        <w:spacing w:line="288" w:lineRule="auto"/>
        <w:rPr>
          <w:bCs/>
        </w:rPr>
      </w:pPr>
    </w:p>
    <w:p w14:paraId="32F383A6" w14:textId="77777777" w:rsidR="00051E44" w:rsidRDefault="00051E44" w:rsidP="00051E44">
      <w:pPr>
        <w:spacing w:line="288" w:lineRule="auto"/>
        <w:jc w:val="center"/>
        <w:rPr>
          <w:b/>
        </w:rPr>
      </w:pPr>
      <w:r w:rsidRPr="00D93C8F">
        <w:rPr>
          <w:bCs/>
        </w:rPr>
        <w:t>A</w:t>
      </w:r>
      <w:r w:rsidRPr="00D93C8F">
        <w:rPr>
          <w:b/>
        </w:rPr>
        <w:t>cknowledgements</w:t>
      </w:r>
    </w:p>
    <w:p w14:paraId="015CACBC" w14:textId="77777777" w:rsidR="00051E44" w:rsidRDefault="00051E44" w:rsidP="00051E44">
      <w:pPr>
        <w:pStyle w:val="Default"/>
        <w:jc w:val="center"/>
        <w:rPr>
          <w:sz w:val="22"/>
          <w:szCs w:val="22"/>
        </w:rPr>
      </w:pPr>
      <w:r w:rsidRPr="00051E44">
        <w:rPr>
          <w:sz w:val="22"/>
          <w:szCs w:val="22"/>
        </w:rPr>
        <w:t xml:space="preserve">We thank participants at the Australian Development Economics Workshop </w:t>
      </w:r>
    </w:p>
    <w:p w14:paraId="195AEB4A" w14:textId="440EA855" w:rsidR="00051E44" w:rsidRPr="00051E44" w:rsidRDefault="00051E44" w:rsidP="00051E44">
      <w:pPr>
        <w:pStyle w:val="Default"/>
        <w:jc w:val="center"/>
        <w:rPr>
          <w:sz w:val="22"/>
          <w:szCs w:val="22"/>
        </w:rPr>
      </w:pPr>
      <w:r w:rsidRPr="00051E44">
        <w:rPr>
          <w:sz w:val="22"/>
          <w:szCs w:val="22"/>
        </w:rPr>
        <w:t xml:space="preserve">and the New Zealand Association of Economists </w:t>
      </w:r>
      <w:r>
        <w:rPr>
          <w:sz w:val="22"/>
          <w:szCs w:val="22"/>
        </w:rPr>
        <w:t>C</w:t>
      </w:r>
      <w:r w:rsidRPr="00051E44">
        <w:rPr>
          <w:sz w:val="22"/>
          <w:szCs w:val="22"/>
        </w:rPr>
        <w:t>onference for helpful suggestions.</w:t>
      </w:r>
    </w:p>
    <w:p w14:paraId="778FB7EB" w14:textId="77777777" w:rsidR="00051E44" w:rsidRDefault="00051E44" w:rsidP="00283A3C">
      <w:pPr>
        <w:spacing w:before="120" w:line="360" w:lineRule="auto"/>
        <w:jc w:val="both"/>
        <w:rPr>
          <w:rFonts w:asciiTheme="majorBidi" w:hAnsiTheme="majorBidi" w:cstheme="majorBidi"/>
          <w:b/>
          <w:color w:val="000000" w:themeColor="text1"/>
          <w:sz w:val="28"/>
          <w:szCs w:val="28"/>
        </w:rPr>
      </w:pPr>
    </w:p>
    <w:p w14:paraId="7366C0D7" w14:textId="77777777" w:rsidR="00206B37" w:rsidRDefault="00206B37" w:rsidP="00283A3C">
      <w:pPr>
        <w:spacing w:line="288" w:lineRule="auto"/>
        <w:jc w:val="both"/>
        <w:rPr>
          <w:rFonts w:asciiTheme="majorBidi" w:hAnsiTheme="majorBidi" w:cstheme="majorBidi"/>
          <w:b/>
          <w:color w:val="000000" w:themeColor="text1"/>
          <w:szCs w:val="24"/>
        </w:rPr>
      </w:pPr>
    </w:p>
    <w:p w14:paraId="5F8CBBA2" w14:textId="77777777" w:rsidR="00206B37" w:rsidRDefault="00206B37" w:rsidP="00283A3C">
      <w:pPr>
        <w:spacing w:line="288" w:lineRule="auto"/>
        <w:jc w:val="both"/>
        <w:rPr>
          <w:rFonts w:asciiTheme="majorBidi" w:hAnsiTheme="majorBidi" w:cstheme="majorBidi"/>
          <w:b/>
          <w:color w:val="000000" w:themeColor="text1"/>
          <w:szCs w:val="24"/>
        </w:rPr>
      </w:pPr>
    </w:p>
    <w:p w14:paraId="6C9E17B3" w14:textId="77777777" w:rsidR="00206B37" w:rsidRDefault="00206B37" w:rsidP="00283A3C">
      <w:pPr>
        <w:spacing w:line="288" w:lineRule="auto"/>
        <w:jc w:val="both"/>
        <w:rPr>
          <w:rFonts w:asciiTheme="majorBidi" w:hAnsiTheme="majorBidi" w:cstheme="majorBidi"/>
          <w:b/>
          <w:color w:val="000000" w:themeColor="text1"/>
          <w:szCs w:val="24"/>
        </w:rPr>
      </w:pPr>
    </w:p>
    <w:p w14:paraId="09E0806C" w14:textId="77777777" w:rsidR="00206B37" w:rsidRDefault="00206B37" w:rsidP="00283A3C">
      <w:pPr>
        <w:spacing w:line="288" w:lineRule="auto"/>
        <w:jc w:val="both"/>
        <w:rPr>
          <w:rFonts w:asciiTheme="majorBidi" w:hAnsiTheme="majorBidi" w:cstheme="majorBidi"/>
          <w:b/>
          <w:color w:val="000000" w:themeColor="text1"/>
          <w:szCs w:val="24"/>
        </w:rPr>
      </w:pPr>
    </w:p>
    <w:p w14:paraId="3FCB3CB6" w14:textId="77777777" w:rsidR="00206B37" w:rsidRDefault="00206B37" w:rsidP="00283A3C">
      <w:pPr>
        <w:spacing w:line="288" w:lineRule="auto"/>
        <w:jc w:val="both"/>
        <w:rPr>
          <w:rFonts w:asciiTheme="majorBidi" w:hAnsiTheme="majorBidi" w:cstheme="majorBidi"/>
          <w:b/>
          <w:color w:val="000000" w:themeColor="text1"/>
          <w:szCs w:val="24"/>
        </w:rPr>
      </w:pPr>
    </w:p>
    <w:p w14:paraId="503D6A35" w14:textId="77777777" w:rsidR="00206B37" w:rsidRDefault="00206B37" w:rsidP="00283A3C">
      <w:pPr>
        <w:spacing w:line="288" w:lineRule="auto"/>
        <w:jc w:val="both"/>
        <w:rPr>
          <w:rFonts w:asciiTheme="majorBidi" w:hAnsiTheme="majorBidi" w:cstheme="majorBidi"/>
          <w:b/>
          <w:color w:val="000000" w:themeColor="text1"/>
          <w:szCs w:val="24"/>
        </w:rPr>
      </w:pPr>
    </w:p>
    <w:p w14:paraId="7534A884" w14:textId="5E2D713F" w:rsidR="005B6FD0" w:rsidRPr="004B36B2" w:rsidRDefault="00283A3C" w:rsidP="00283A3C">
      <w:pPr>
        <w:spacing w:line="288" w:lineRule="auto"/>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lastRenderedPageBreak/>
        <w:t xml:space="preserve">1. </w:t>
      </w:r>
      <w:r w:rsidR="005B6FD0" w:rsidRPr="004B36B2">
        <w:rPr>
          <w:rFonts w:asciiTheme="majorBidi" w:hAnsiTheme="majorBidi" w:cstheme="majorBidi"/>
          <w:b/>
          <w:color w:val="000000" w:themeColor="text1"/>
          <w:szCs w:val="24"/>
        </w:rPr>
        <w:t>Introduction</w:t>
      </w:r>
    </w:p>
    <w:p w14:paraId="2E28FE78" w14:textId="77777777" w:rsidR="00283A3C" w:rsidRPr="00283A3C" w:rsidRDefault="00283A3C" w:rsidP="00283A3C">
      <w:pPr>
        <w:spacing w:line="288" w:lineRule="auto"/>
        <w:jc w:val="both"/>
        <w:rPr>
          <w:rFonts w:asciiTheme="majorBidi" w:hAnsiTheme="majorBidi" w:cstheme="majorBidi"/>
          <w:noProof/>
          <w:color w:val="000000" w:themeColor="text1"/>
          <w:sz w:val="12"/>
          <w:szCs w:val="12"/>
        </w:rPr>
      </w:pPr>
    </w:p>
    <w:p w14:paraId="0031C72B" w14:textId="0522F414" w:rsidR="00001E33" w:rsidRDefault="00BE3D58" w:rsidP="00283A3C">
      <w:pPr>
        <w:spacing w:line="288" w:lineRule="auto"/>
        <w:jc w:val="both"/>
        <w:rPr>
          <w:rFonts w:asciiTheme="majorBidi" w:hAnsiTheme="majorBidi" w:cstheme="majorBidi"/>
          <w:color w:val="000000" w:themeColor="text1"/>
          <w:szCs w:val="24"/>
        </w:rPr>
      </w:pPr>
      <w:r w:rsidRPr="004B36B2">
        <w:rPr>
          <w:rFonts w:asciiTheme="majorBidi" w:hAnsiTheme="majorBidi" w:cstheme="majorBidi"/>
          <w:noProof/>
          <w:color w:val="000000" w:themeColor="text1"/>
          <w:szCs w:val="24"/>
        </w:rPr>
        <w:t>L</w:t>
      </w:r>
      <w:r w:rsidR="00731801" w:rsidRPr="004B36B2">
        <w:rPr>
          <w:rFonts w:asciiTheme="majorBidi" w:hAnsiTheme="majorBidi" w:cstheme="majorBidi"/>
          <w:noProof/>
          <w:color w:val="000000" w:themeColor="text1"/>
          <w:szCs w:val="24"/>
        </w:rPr>
        <w:t>abour</w:t>
      </w:r>
      <w:r w:rsidR="00731801" w:rsidRPr="004B36B2">
        <w:rPr>
          <w:rFonts w:asciiTheme="majorBidi" w:hAnsiTheme="majorBidi" w:cstheme="majorBidi"/>
          <w:color w:val="000000" w:themeColor="text1"/>
          <w:szCs w:val="24"/>
        </w:rPr>
        <w:t xml:space="preserve"> migration</w:t>
      </w:r>
      <w:r w:rsidR="00C41A1B" w:rsidRPr="004B36B2">
        <w:rPr>
          <w:rFonts w:asciiTheme="majorBidi" w:hAnsiTheme="majorBidi" w:cstheme="majorBidi"/>
          <w:color w:val="000000" w:themeColor="text1"/>
          <w:szCs w:val="24"/>
        </w:rPr>
        <w:t xml:space="preserve"> from developing </w:t>
      </w:r>
      <w:r w:rsidR="00731801" w:rsidRPr="004B36B2">
        <w:rPr>
          <w:rFonts w:asciiTheme="majorBidi" w:hAnsiTheme="majorBidi" w:cstheme="majorBidi"/>
          <w:color w:val="000000" w:themeColor="text1"/>
          <w:szCs w:val="24"/>
        </w:rPr>
        <w:t>to</w:t>
      </w:r>
      <w:r w:rsidR="00C41A1B" w:rsidRPr="004B36B2">
        <w:rPr>
          <w:rFonts w:asciiTheme="majorBidi" w:hAnsiTheme="majorBidi" w:cstheme="majorBidi"/>
          <w:color w:val="000000" w:themeColor="text1"/>
          <w:szCs w:val="24"/>
        </w:rPr>
        <w:t xml:space="preserve"> </w:t>
      </w:r>
      <w:r w:rsidR="00731801" w:rsidRPr="004B36B2">
        <w:rPr>
          <w:rFonts w:asciiTheme="majorBidi" w:hAnsiTheme="majorBidi" w:cstheme="majorBidi"/>
          <w:color w:val="000000" w:themeColor="text1"/>
          <w:szCs w:val="24"/>
        </w:rPr>
        <w:t xml:space="preserve">developed countries has </w:t>
      </w:r>
      <w:r w:rsidRPr="004B36B2">
        <w:rPr>
          <w:rFonts w:asciiTheme="majorBidi" w:hAnsiTheme="majorBidi" w:cstheme="majorBidi"/>
          <w:color w:val="000000" w:themeColor="text1"/>
          <w:szCs w:val="24"/>
        </w:rPr>
        <w:t xml:space="preserve">recently </w:t>
      </w:r>
      <w:r w:rsidR="00731801" w:rsidRPr="004B36B2">
        <w:rPr>
          <w:rFonts w:asciiTheme="majorBidi" w:hAnsiTheme="majorBidi" w:cstheme="majorBidi"/>
          <w:color w:val="000000" w:themeColor="text1"/>
          <w:szCs w:val="24"/>
        </w:rPr>
        <w:t xml:space="preserve">increased </w:t>
      </w:r>
      <w:r w:rsidRPr="004B36B2">
        <w:rPr>
          <w:rFonts w:asciiTheme="majorBidi" w:hAnsiTheme="majorBidi" w:cstheme="majorBidi"/>
          <w:color w:val="000000" w:themeColor="text1"/>
          <w:szCs w:val="24"/>
        </w:rPr>
        <w:t xml:space="preserve">and is now an </w:t>
      </w:r>
      <w:r w:rsidR="00033354" w:rsidRPr="004B36B2">
        <w:rPr>
          <w:rFonts w:asciiTheme="majorBidi" w:hAnsiTheme="majorBidi" w:cstheme="majorBidi"/>
          <w:noProof/>
          <w:color w:val="000000" w:themeColor="text1"/>
          <w:szCs w:val="24"/>
        </w:rPr>
        <w:t>important</w:t>
      </w:r>
      <w:r w:rsidR="00033354" w:rsidRPr="004B36B2">
        <w:rPr>
          <w:rFonts w:asciiTheme="majorBidi" w:hAnsiTheme="majorBidi" w:cstheme="majorBidi"/>
          <w:color w:val="000000" w:themeColor="text1"/>
          <w:szCs w:val="24"/>
        </w:rPr>
        <w:t xml:space="preserve"> livelihood strategy for </w:t>
      </w:r>
      <w:r w:rsidRPr="004B36B2">
        <w:rPr>
          <w:rFonts w:asciiTheme="majorBidi" w:hAnsiTheme="majorBidi" w:cstheme="majorBidi"/>
          <w:color w:val="000000" w:themeColor="text1"/>
          <w:szCs w:val="24"/>
        </w:rPr>
        <w:t xml:space="preserve">many </w:t>
      </w:r>
      <w:r w:rsidR="00033354" w:rsidRPr="004B36B2">
        <w:rPr>
          <w:rFonts w:asciiTheme="majorBidi" w:hAnsiTheme="majorBidi" w:cstheme="majorBidi"/>
          <w:noProof/>
          <w:color w:val="000000" w:themeColor="text1"/>
          <w:szCs w:val="24"/>
        </w:rPr>
        <w:t>people</w:t>
      </w:r>
      <w:r w:rsidR="00033354" w:rsidRPr="004B36B2">
        <w:rPr>
          <w:rFonts w:asciiTheme="majorBidi" w:hAnsiTheme="majorBidi" w:cstheme="majorBidi"/>
          <w:color w:val="000000" w:themeColor="text1"/>
          <w:szCs w:val="24"/>
        </w:rPr>
        <w:t xml:space="preserve"> in </w:t>
      </w:r>
      <w:r w:rsidR="0055207B" w:rsidRPr="004B36B2">
        <w:rPr>
          <w:rFonts w:asciiTheme="majorBidi" w:hAnsiTheme="majorBidi" w:cstheme="majorBidi"/>
          <w:color w:val="000000" w:themeColor="text1"/>
          <w:szCs w:val="24"/>
        </w:rPr>
        <w:t xml:space="preserve">poor </w:t>
      </w:r>
      <w:r w:rsidR="00033354" w:rsidRPr="004B36B2">
        <w:rPr>
          <w:rFonts w:asciiTheme="majorBidi" w:hAnsiTheme="majorBidi" w:cstheme="majorBidi"/>
          <w:color w:val="000000" w:themeColor="text1"/>
          <w:szCs w:val="24"/>
        </w:rPr>
        <w:t>countries</w:t>
      </w:r>
      <w:r w:rsidR="0068777A" w:rsidRPr="004B36B2">
        <w:rPr>
          <w:rFonts w:asciiTheme="majorBidi" w:hAnsiTheme="majorBidi" w:cstheme="majorBidi"/>
          <w:color w:val="000000" w:themeColor="text1"/>
          <w:szCs w:val="24"/>
        </w:rPr>
        <w:t xml:space="preserve">. </w:t>
      </w:r>
      <w:r w:rsidR="00272C6C" w:rsidRPr="004B36B2">
        <w:rPr>
          <w:rFonts w:asciiTheme="majorBidi" w:hAnsiTheme="majorBidi" w:cstheme="majorBidi"/>
          <w:color w:val="000000" w:themeColor="text1"/>
          <w:szCs w:val="24"/>
        </w:rPr>
        <w:t xml:space="preserve">The </w:t>
      </w:r>
      <w:r w:rsidRPr="004B36B2">
        <w:rPr>
          <w:rFonts w:asciiTheme="majorBidi" w:hAnsiTheme="majorBidi" w:cstheme="majorBidi"/>
          <w:color w:val="000000" w:themeColor="text1"/>
          <w:szCs w:val="24"/>
        </w:rPr>
        <w:t xml:space="preserve">impact of this mobility </w:t>
      </w:r>
      <w:r w:rsidR="00272C6C" w:rsidRPr="004B36B2">
        <w:rPr>
          <w:rFonts w:asciiTheme="majorBidi" w:hAnsiTheme="majorBidi" w:cstheme="majorBidi"/>
          <w:color w:val="000000" w:themeColor="text1"/>
          <w:szCs w:val="24"/>
        </w:rPr>
        <w:t xml:space="preserve">on the </w:t>
      </w:r>
      <w:r w:rsidR="000B6EB2" w:rsidRPr="004B36B2">
        <w:rPr>
          <w:rFonts w:asciiTheme="majorBidi" w:hAnsiTheme="majorBidi" w:cstheme="majorBidi"/>
          <w:color w:val="000000" w:themeColor="text1"/>
          <w:szCs w:val="24"/>
        </w:rPr>
        <w:t xml:space="preserve">welfare of </w:t>
      </w:r>
      <w:r w:rsidR="00F85ECC" w:rsidRPr="004B36B2">
        <w:rPr>
          <w:rFonts w:asciiTheme="majorBidi" w:hAnsiTheme="majorBidi" w:cstheme="majorBidi"/>
          <w:color w:val="000000" w:themeColor="text1"/>
          <w:szCs w:val="24"/>
        </w:rPr>
        <w:t xml:space="preserve">the </w:t>
      </w:r>
      <w:r w:rsidR="00272C6C" w:rsidRPr="004B36B2">
        <w:rPr>
          <w:rFonts w:asciiTheme="majorBidi" w:hAnsiTheme="majorBidi" w:cstheme="majorBidi"/>
          <w:noProof/>
          <w:color w:val="000000" w:themeColor="text1"/>
          <w:szCs w:val="24"/>
        </w:rPr>
        <w:t>left</w:t>
      </w:r>
      <w:r w:rsidR="004B5C78" w:rsidRPr="004B36B2">
        <w:rPr>
          <w:rFonts w:asciiTheme="majorBidi" w:hAnsiTheme="majorBidi" w:cstheme="majorBidi"/>
          <w:noProof/>
          <w:color w:val="000000" w:themeColor="text1"/>
          <w:szCs w:val="24"/>
        </w:rPr>
        <w:t>-</w:t>
      </w:r>
      <w:r w:rsidR="00272C6C" w:rsidRPr="004B36B2">
        <w:rPr>
          <w:rFonts w:asciiTheme="majorBidi" w:hAnsiTheme="majorBidi" w:cstheme="majorBidi"/>
          <w:noProof/>
          <w:color w:val="000000" w:themeColor="text1"/>
          <w:szCs w:val="24"/>
        </w:rPr>
        <w:t>behind</w:t>
      </w:r>
      <w:r w:rsidR="00272C6C" w:rsidRPr="004B36B2">
        <w:rPr>
          <w:rFonts w:asciiTheme="majorBidi" w:hAnsiTheme="majorBidi" w:cstheme="majorBidi"/>
          <w:color w:val="000000" w:themeColor="text1"/>
          <w:szCs w:val="24"/>
        </w:rPr>
        <w:t xml:space="preserve"> </w:t>
      </w:r>
      <w:r w:rsidR="000B6EB2" w:rsidRPr="004B36B2">
        <w:rPr>
          <w:rFonts w:asciiTheme="majorBidi" w:hAnsiTheme="majorBidi" w:cstheme="majorBidi"/>
          <w:color w:val="000000" w:themeColor="text1"/>
          <w:szCs w:val="24"/>
        </w:rPr>
        <w:t>population</w:t>
      </w:r>
      <w:r w:rsidRPr="004B36B2">
        <w:rPr>
          <w:rFonts w:asciiTheme="majorBidi" w:hAnsiTheme="majorBidi" w:cstheme="majorBidi"/>
          <w:color w:val="000000" w:themeColor="text1"/>
          <w:szCs w:val="24"/>
        </w:rPr>
        <w:t>, and</w:t>
      </w:r>
      <w:r w:rsidR="009B0C49" w:rsidRPr="004B36B2">
        <w:rPr>
          <w:rFonts w:asciiTheme="majorBidi" w:hAnsiTheme="majorBidi" w:cstheme="majorBidi"/>
          <w:color w:val="000000" w:themeColor="text1"/>
          <w:szCs w:val="24"/>
        </w:rPr>
        <w:t xml:space="preserve"> especially </w:t>
      </w:r>
      <w:r w:rsidRPr="004B36B2">
        <w:rPr>
          <w:rFonts w:asciiTheme="majorBidi" w:hAnsiTheme="majorBidi" w:cstheme="majorBidi"/>
          <w:color w:val="000000" w:themeColor="text1"/>
          <w:szCs w:val="24"/>
        </w:rPr>
        <w:t xml:space="preserve">on child </w:t>
      </w:r>
      <w:r w:rsidR="002A7F74" w:rsidRPr="004B36B2">
        <w:rPr>
          <w:rFonts w:asciiTheme="majorBidi" w:hAnsiTheme="majorBidi" w:cstheme="majorBidi"/>
          <w:noProof/>
          <w:color w:val="000000" w:themeColor="text1"/>
          <w:szCs w:val="24"/>
        </w:rPr>
        <w:t>labour</w:t>
      </w:r>
      <w:r w:rsidR="002A7F74" w:rsidRPr="004B36B2">
        <w:rPr>
          <w:rFonts w:asciiTheme="majorBidi" w:hAnsiTheme="majorBidi" w:cstheme="majorBidi"/>
          <w:color w:val="000000" w:themeColor="text1"/>
          <w:szCs w:val="24"/>
        </w:rPr>
        <w:t xml:space="preserve"> and school outcome</w:t>
      </w:r>
      <w:r w:rsidRPr="004B36B2">
        <w:rPr>
          <w:rFonts w:asciiTheme="majorBidi" w:hAnsiTheme="majorBidi" w:cstheme="majorBidi"/>
          <w:color w:val="000000" w:themeColor="text1"/>
          <w:szCs w:val="24"/>
        </w:rPr>
        <w:t>s, is of great interest</w:t>
      </w:r>
      <w:r w:rsidR="00C55E9A" w:rsidRPr="004B36B2">
        <w:rPr>
          <w:rFonts w:asciiTheme="majorBidi" w:hAnsiTheme="majorBidi" w:cstheme="majorBidi"/>
          <w:color w:val="000000" w:themeColor="text1"/>
          <w:szCs w:val="24"/>
        </w:rPr>
        <w:t xml:space="preserve"> </w:t>
      </w:r>
      <w:r w:rsidR="009B0C49" w:rsidRPr="004B36B2">
        <w:rPr>
          <w:rFonts w:asciiTheme="majorBidi" w:hAnsiTheme="majorBidi" w:cstheme="majorBidi"/>
          <w:color w:val="000000" w:themeColor="text1"/>
          <w:szCs w:val="24"/>
        </w:rPr>
        <w:t>(</w:t>
      </w:r>
      <w:r w:rsidR="00D701DF" w:rsidRPr="004B36B2">
        <w:rPr>
          <w:rFonts w:asciiTheme="majorBidi" w:hAnsiTheme="majorBidi" w:cstheme="majorBidi"/>
          <w:color w:val="000000" w:themeColor="text1"/>
          <w:szCs w:val="24"/>
          <w:shd w:val="clear" w:color="auto" w:fill="FFFFFF"/>
        </w:rPr>
        <w:t xml:space="preserve">McKenzie </w:t>
      </w:r>
      <w:r w:rsidR="00DB0036" w:rsidRPr="00DB0036">
        <w:rPr>
          <w:rFonts w:asciiTheme="majorBidi" w:hAnsiTheme="majorBidi" w:cstheme="majorBidi"/>
          <w:color w:val="000000" w:themeColor="text1"/>
          <w:szCs w:val="24"/>
          <w:shd w:val="clear" w:color="auto" w:fill="FFFFFF"/>
        </w:rPr>
        <w:t>and</w:t>
      </w:r>
      <w:r w:rsidR="00906456" w:rsidRPr="004B36B2">
        <w:rPr>
          <w:rFonts w:asciiTheme="majorBidi" w:hAnsiTheme="majorBidi" w:cstheme="majorBidi"/>
          <w:color w:val="000000" w:themeColor="text1"/>
          <w:szCs w:val="24"/>
          <w:shd w:val="clear" w:color="auto" w:fill="FFFFFF"/>
        </w:rPr>
        <w:t xml:space="preserve"> Rapoport</w:t>
      </w:r>
      <w:r w:rsidR="009B0C49" w:rsidRPr="004B36B2">
        <w:rPr>
          <w:rFonts w:asciiTheme="majorBidi" w:hAnsiTheme="majorBidi" w:cstheme="majorBidi"/>
          <w:color w:val="000000" w:themeColor="text1"/>
          <w:szCs w:val="24"/>
          <w:shd w:val="clear" w:color="auto" w:fill="FFFFFF"/>
        </w:rPr>
        <w:t xml:space="preserve"> 2011</w:t>
      </w:r>
      <w:r w:rsidR="00DB0036">
        <w:rPr>
          <w:rFonts w:asciiTheme="majorBidi" w:hAnsiTheme="majorBidi" w:cstheme="majorBidi"/>
          <w:color w:val="000000" w:themeColor="text1"/>
          <w:szCs w:val="24"/>
          <w:shd w:val="clear" w:color="auto" w:fill="FFFFFF"/>
        </w:rPr>
        <w:t>,</w:t>
      </w:r>
      <w:r w:rsidR="00D701DF" w:rsidRPr="004B36B2">
        <w:rPr>
          <w:rFonts w:asciiTheme="majorBidi" w:hAnsiTheme="majorBidi" w:cstheme="majorBidi"/>
          <w:color w:val="000000" w:themeColor="text1"/>
          <w:szCs w:val="24"/>
          <w:shd w:val="clear" w:color="auto" w:fill="FFFFFF"/>
        </w:rPr>
        <w:t xml:space="preserve"> Davis</w:t>
      </w:r>
      <w:r w:rsidR="00167840"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color w:val="000000" w:themeColor="text1"/>
          <w:szCs w:val="24"/>
          <w:shd w:val="clear" w:color="auto" w:fill="FFFFFF"/>
        </w:rPr>
        <w:t>and</w:t>
      </w:r>
      <w:r w:rsidR="00D701DF" w:rsidRPr="004B36B2">
        <w:rPr>
          <w:rFonts w:asciiTheme="majorBidi" w:hAnsiTheme="majorBidi" w:cstheme="majorBidi"/>
          <w:color w:val="000000" w:themeColor="text1"/>
          <w:szCs w:val="24"/>
          <w:shd w:val="clear" w:color="auto" w:fill="FFFFFF"/>
        </w:rPr>
        <w:t xml:space="preserve"> </w:t>
      </w:r>
      <w:r w:rsidR="00A517B3" w:rsidRPr="004B36B2">
        <w:rPr>
          <w:rFonts w:asciiTheme="majorBidi" w:hAnsiTheme="majorBidi" w:cstheme="majorBidi"/>
          <w:color w:val="000000" w:themeColor="text1"/>
          <w:szCs w:val="24"/>
          <w:shd w:val="clear" w:color="auto" w:fill="FFFFFF"/>
        </w:rPr>
        <w:t>Brazil 2016</w:t>
      </w:r>
      <w:r w:rsidR="009B0C49" w:rsidRPr="004B36B2">
        <w:rPr>
          <w:rFonts w:asciiTheme="majorBidi" w:hAnsiTheme="majorBidi" w:cstheme="majorBidi"/>
          <w:color w:val="000000" w:themeColor="text1"/>
          <w:szCs w:val="24"/>
          <w:shd w:val="clear" w:color="auto" w:fill="FFFFFF"/>
        </w:rPr>
        <w:t>)</w:t>
      </w:r>
      <w:r w:rsidR="000B6EB2" w:rsidRPr="004B36B2">
        <w:rPr>
          <w:rFonts w:asciiTheme="majorBidi" w:hAnsiTheme="majorBidi" w:cstheme="majorBidi"/>
          <w:color w:val="000000" w:themeColor="text1"/>
          <w:szCs w:val="24"/>
        </w:rPr>
        <w:t>.</w:t>
      </w:r>
      <w:r w:rsidR="0016323E" w:rsidRPr="004B36B2">
        <w:rPr>
          <w:rFonts w:asciiTheme="majorBidi" w:hAnsiTheme="majorBidi" w:cstheme="majorBidi"/>
          <w:color w:val="000000" w:themeColor="text1"/>
          <w:szCs w:val="24"/>
        </w:rPr>
        <w:t xml:space="preserve"> </w:t>
      </w:r>
      <w:r w:rsidR="00F17A0A" w:rsidRPr="004B36B2">
        <w:rPr>
          <w:rFonts w:asciiTheme="majorBidi" w:hAnsiTheme="majorBidi" w:cstheme="majorBidi"/>
          <w:color w:val="000000" w:themeColor="text1"/>
          <w:szCs w:val="24"/>
        </w:rPr>
        <w:t xml:space="preserve">The </w:t>
      </w:r>
      <w:r w:rsidRPr="004B36B2">
        <w:rPr>
          <w:rFonts w:asciiTheme="majorBidi" w:hAnsiTheme="majorBidi" w:cstheme="majorBidi"/>
          <w:color w:val="000000" w:themeColor="text1"/>
          <w:szCs w:val="24"/>
        </w:rPr>
        <w:t>education</w:t>
      </w:r>
      <w:r w:rsidR="00363949" w:rsidRPr="004B36B2">
        <w:rPr>
          <w:rFonts w:asciiTheme="majorBidi" w:hAnsiTheme="majorBidi" w:cstheme="majorBidi"/>
          <w:color w:val="000000" w:themeColor="text1"/>
          <w:szCs w:val="24"/>
        </w:rPr>
        <w:t xml:space="preserve"> of </w:t>
      </w:r>
      <w:r w:rsidR="0068777A" w:rsidRPr="004B36B2">
        <w:rPr>
          <w:rFonts w:asciiTheme="majorBidi" w:hAnsiTheme="majorBidi" w:cstheme="majorBidi"/>
          <w:noProof/>
          <w:color w:val="000000" w:themeColor="text1"/>
          <w:szCs w:val="24"/>
        </w:rPr>
        <w:t>left</w:t>
      </w:r>
      <w:r w:rsidR="004B5C78" w:rsidRPr="004B36B2">
        <w:rPr>
          <w:rFonts w:asciiTheme="majorBidi" w:hAnsiTheme="majorBidi" w:cstheme="majorBidi"/>
          <w:noProof/>
          <w:color w:val="000000" w:themeColor="text1"/>
          <w:szCs w:val="24"/>
        </w:rPr>
        <w:t>-</w:t>
      </w:r>
      <w:r w:rsidR="0068777A" w:rsidRPr="004B36B2">
        <w:rPr>
          <w:rFonts w:asciiTheme="majorBidi" w:hAnsiTheme="majorBidi" w:cstheme="majorBidi"/>
          <w:noProof/>
          <w:color w:val="000000" w:themeColor="text1"/>
          <w:szCs w:val="24"/>
        </w:rPr>
        <w:t>behind</w:t>
      </w:r>
      <w:r w:rsidR="0068777A" w:rsidRPr="004B36B2">
        <w:rPr>
          <w:rFonts w:asciiTheme="majorBidi" w:hAnsiTheme="majorBidi" w:cstheme="majorBidi"/>
          <w:color w:val="000000" w:themeColor="text1"/>
          <w:szCs w:val="24"/>
        </w:rPr>
        <w:t xml:space="preserve"> </w:t>
      </w:r>
      <w:r w:rsidR="005F7EB7" w:rsidRPr="004B36B2">
        <w:rPr>
          <w:rFonts w:asciiTheme="majorBidi" w:hAnsiTheme="majorBidi" w:cstheme="majorBidi"/>
          <w:color w:val="000000" w:themeColor="text1"/>
          <w:szCs w:val="24"/>
        </w:rPr>
        <w:t>children is of</w:t>
      </w:r>
      <w:r w:rsidR="00363949" w:rsidRPr="004B36B2">
        <w:rPr>
          <w:rFonts w:asciiTheme="majorBidi" w:hAnsiTheme="majorBidi" w:cstheme="majorBidi"/>
          <w:color w:val="000000" w:themeColor="text1"/>
          <w:szCs w:val="24"/>
        </w:rPr>
        <w:t xml:space="preserve"> particular interest to </w:t>
      </w:r>
      <w:r w:rsidR="00363949" w:rsidRPr="004B36B2">
        <w:rPr>
          <w:rFonts w:asciiTheme="majorBidi" w:hAnsiTheme="majorBidi" w:cstheme="majorBidi"/>
          <w:noProof/>
          <w:color w:val="000000" w:themeColor="text1"/>
          <w:szCs w:val="24"/>
        </w:rPr>
        <w:t>policymake</w:t>
      </w:r>
      <w:r w:rsidR="0068777A" w:rsidRPr="004B36B2">
        <w:rPr>
          <w:rFonts w:asciiTheme="majorBidi" w:hAnsiTheme="majorBidi" w:cstheme="majorBidi"/>
          <w:noProof/>
          <w:color w:val="000000" w:themeColor="text1"/>
          <w:szCs w:val="24"/>
        </w:rPr>
        <w:t>r</w:t>
      </w:r>
      <w:r w:rsidR="00363949" w:rsidRPr="004B36B2">
        <w:rPr>
          <w:rFonts w:asciiTheme="majorBidi" w:hAnsiTheme="majorBidi" w:cstheme="majorBidi"/>
          <w:noProof/>
          <w:color w:val="000000" w:themeColor="text1"/>
          <w:szCs w:val="24"/>
        </w:rPr>
        <w:t>s</w:t>
      </w:r>
      <w:r w:rsidRPr="004B36B2">
        <w:rPr>
          <w:rFonts w:asciiTheme="majorBidi" w:hAnsiTheme="majorBidi" w:cstheme="majorBidi"/>
          <w:noProof/>
          <w:color w:val="000000" w:themeColor="text1"/>
          <w:szCs w:val="24"/>
        </w:rPr>
        <w:t>, given that</w:t>
      </w:r>
      <w:r w:rsidR="00363949" w:rsidRPr="004B36B2">
        <w:rPr>
          <w:rFonts w:asciiTheme="majorBidi" w:hAnsiTheme="majorBidi" w:cstheme="majorBidi"/>
          <w:color w:val="000000" w:themeColor="text1"/>
          <w:szCs w:val="24"/>
        </w:rPr>
        <w:t xml:space="preserve"> human capital </w:t>
      </w:r>
      <w:r w:rsidRPr="004B36B2">
        <w:rPr>
          <w:rFonts w:asciiTheme="majorBidi" w:hAnsiTheme="majorBidi" w:cstheme="majorBidi"/>
          <w:color w:val="000000" w:themeColor="text1"/>
          <w:szCs w:val="24"/>
        </w:rPr>
        <w:t>help</w:t>
      </w:r>
      <w:r w:rsidR="005F7EB7"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the escape from </w:t>
      </w:r>
      <w:r w:rsidR="00363949" w:rsidRPr="004B36B2">
        <w:rPr>
          <w:rFonts w:asciiTheme="majorBidi" w:hAnsiTheme="majorBidi" w:cstheme="majorBidi"/>
          <w:color w:val="000000" w:themeColor="text1"/>
          <w:szCs w:val="24"/>
        </w:rPr>
        <w:t xml:space="preserve">poverty </w:t>
      </w:r>
      <w:r w:rsidR="005F7EB7" w:rsidRPr="004B36B2">
        <w:rPr>
          <w:rFonts w:asciiTheme="majorBidi" w:hAnsiTheme="majorBidi" w:cstheme="majorBidi"/>
          <w:color w:val="000000" w:themeColor="text1"/>
          <w:szCs w:val="24"/>
        </w:rPr>
        <w:t xml:space="preserve">by raising </w:t>
      </w:r>
      <w:r w:rsidR="00363949" w:rsidRPr="004B36B2">
        <w:rPr>
          <w:rFonts w:asciiTheme="majorBidi" w:hAnsiTheme="majorBidi" w:cstheme="majorBidi"/>
          <w:color w:val="000000" w:themeColor="text1"/>
          <w:szCs w:val="24"/>
        </w:rPr>
        <w:t xml:space="preserve">future earnings. </w:t>
      </w:r>
      <w:r w:rsidRPr="004B36B2">
        <w:rPr>
          <w:rFonts w:asciiTheme="majorBidi" w:hAnsiTheme="majorBidi" w:cstheme="majorBidi"/>
          <w:color w:val="000000" w:themeColor="text1"/>
          <w:szCs w:val="24"/>
        </w:rPr>
        <w:t>In light of this interest, the current study identifies</w:t>
      </w:r>
      <w:r w:rsidR="00001E33" w:rsidRPr="004B36B2">
        <w:rPr>
          <w:rFonts w:asciiTheme="majorBidi" w:hAnsiTheme="majorBidi" w:cstheme="majorBidi"/>
          <w:color w:val="000000" w:themeColor="text1"/>
          <w:szCs w:val="24"/>
        </w:rPr>
        <w:t xml:space="preserve"> the </w:t>
      </w:r>
      <w:r w:rsidRPr="004B36B2">
        <w:rPr>
          <w:rFonts w:asciiTheme="majorBidi" w:hAnsiTheme="majorBidi" w:cstheme="majorBidi"/>
          <w:color w:val="000000" w:themeColor="text1"/>
          <w:szCs w:val="24"/>
        </w:rPr>
        <w:t xml:space="preserve">impact </w:t>
      </w:r>
      <w:r w:rsidR="0068777A" w:rsidRPr="004B36B2">
        <w:rPr>
          <w:rFonts w:asciiTheme="majorBidi" w:hAnsiTheme="majorBidi" w:cstheme="majorBidi"/>
          <w:color w:val="000000" w:themeColor="text1"/>
          <w:szCs w:val="24"/>
        </w:rPr>
        <w:t xml:space="preserve">of </w:t>
      </w:r>
      <w:r w:rsidR="00001E33" w:rsidRPr="004B36B2">
        <w:rPr>
          <w:rFonts w:asciiTheme="majorBidi" w:hAnsiTheme="majorBidi" w:cstheme="majorBidi"/>
          <w:color w:val="000000" w:themeColor="text1"/>
          <w:szCs w:val="24"/>
        </w:rPr>
        <w:t>migration and remittance</w:t>
      </w:r>
      <w:r w:rsidRPr="004B36B2">
        <w:rPr>
          <w:rFonts w:asciiTheme="majorBidi" w:hAnsiTheme="majorBidi" w:cstheme="majorBidi"/>
          <w:color w:val="000000" w:themeColor="text1"/>
          <w:szCs w:val="24"/>
        </w:rPr>
        <w:t>s</w:t>
      </w:r>
      <w:r w:rsidR="00001E33"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on child </w:t>
      </w:r>
      <w:r w:rsidR="007D0920" w:rsidRPr="004B36B2">
        <w:rPr>
          <w:rFonts w:asciiTheme="majorBidi" w:hAnsiTheme="majorBidi" w:cstheme="majorBidi"/>
          <w:noProof/>
          <w:color w:val="000000" w:themeColor="text1"/>
          <w:szCs w:val="24"/>
        </w:rPr>
        <w:t>labour</w:t>
      </w:r>
      <w:r w:rsidR="007D0920" w:rsidRPr="004B36B2">
        <w:rPr>
          <w:rFonts w:asciiTheme="majorBidi" w:hAnsiTheme="majorBidi" w:cstheme="majorBidi"/>
          <w:color w:val="000000" w:themeColor="text1"/>
          <w:szCs w:val="24"/>
        </w:rPr>
        <w:t xml:space="preserve"> force participation</w:t>
      </w:r>
      <w:r w:rsidRPr="004B36B2">
        <w:rPr>
          <w:rFonts w:asciiTheme="majorBidi" w:hAnsiTheme="majorBidi" w:cstheme="majorBidi"/>
          <w:color w:val="000000" w:themeColor="text1"/>
          <w:szCs w:val="24"/>
        </w:rPr>
        <w:t xml:space="preserve"> and schooling</w:t>
      </w:r>
      <w:r w:rsidR="007D0920" w:rsidRPr="004B36B2">
        <w:rPr>
          <w:rFonts w:asciiTheme="majorBidi" w:hAnsiTheme="majorBidi" w:cstheme="majorBidi"/>
          <w:color w:val="000000" w:themeColor="text1"/>
          <w:szCs w:val="24"/>
        </w:rPr>
        <w:t xml:space="preserve"> </w:t>
      </w:r>
      <w:r w:rsidR="00AF04AE" w:rsidRPr="004B36B2">
        <w:rPr>
          <w:rFonts w:asciiTheme="majorBidi" w:hAnsiTheme="majorBidi" w:cstheme="majorBidi"/>
          <w:color w:val="000000" w:themeColor="text1"/>
          <w:szCs w:val="24"/>
        </w:rPr>
        <w:t>in Nepal</w:t>
      </w:r>
      <w:r w:rsidRPr="004B36B2">
        <w:rPr>
          <w:rFonts w:asciiTheme="majorBidi" w:hAnsiTheme="majorBidi" w:cstheme="majorBidi"/>
          <w:color w:val="000000" w:themeColor="text1"/>
          <w:szCs w:val="24"/>
        </w:rPr>
        <w:t>, which is a major supplier of work-related emigrants</w:t>
      </w:r>
      <w:r w:rsidR="00AF04AE" w:rsidRPr="004B36B2">
        <w:rPr>
          <w:rFonts w:asciiTheme="majorBidi" w:hAnsiTheme="majorBidi" w:cstheme="majorBidi"/>
          <w:color w:val="000000" w:themeColor="text1"/>
          <w:szCs w:val="24"/>
        </w:rPr>
        <w:t>.</w:t>
      </w:r>
    </w:p>
    <w:p w14:paraId="088FF9B8" w14:textId="77777777" w:rsidR="009D22DE" w:rsidRPr="00E54F60" w:rsidRDefault="009D22DE" w:rsidP="00283A3C">
      <w:pPr>
        <w:spacing w:line="288" w:lineRule="auto"/>
        <w:jc w:val="both"/>
        <w:rPr>
          <w:rFonts w:asciiTheme="majorBidi" w:hAnsiTheme="majorBidi" w:cstheme="majorBidi"/>
          <w:color w:val="000000" w:themeColor="text1"/>
          <w:sz w:val="20"/>
          <w:szCs w:val="20"/>
        </w:rPr>
      </w:pPr>
    </w:p>
    <w:p w14:paraId="10B26FCD" w14:textId="238A4A9E" w:rsidR="00516B8C" w:rsidRDefault="000840AF"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w:t>
      </w:r>
      <w:r w:rsidR="00541D21" w:rsidRPr="004B36B2">
        <w:rPr>
          <w:rFonts w:asciiTheme="majorBidi" w:hAnsiTheme="majorBidi" w:cstheme="majorBidi"/>
          <w:color w:val="000000" w:themeColor="text1"/>
          <w:szCs w:val="24"/>
        </w:rPr>
        <w:t>heoretical</w:t>
      </w:r>
      <w:r w:rsidR="00FC0ACC" w:rsidRPr="004B36B2">
        <w:rPr>
          <w:rFonts w:asciiTheme="majorBidi" w:hAnsiTheme="majorBidi" w:cstheme="majorBidi"/>
          <w:color w:val="000000" w:themeColor="text1"/>
          <w:szCs w:val="24"/>
        </w:rPr>
        <w:t xml:space="preserve"> studies</w:t>
      </w:r>
      <w:r w:rsidRPr="004B36B2">
        <w:rPr>
          <w:rFonts w:asciiTheme="majorBidi" w:hAnsiTheme="majorBidi" w:cstheme="majorBidi"/>
          <w:color w:val="000000" w:themeColor="text1"/>
          <w:szCs w:val="24"/>
        </w:rPr>
        <w:t xml:space="preserve"> emphasize </w:t>
      </w:r>
      <w:r w:rsidR="00541D21" w:rsidRPr="004B36B2">
        <w:rPr>
          <w:rFonts w:asciiTheme="majorBidi" w:hAnsiTheme="majorBidi" w:cstheme="majorBidi"/>
          <w:color w:val="000000" w:themeColor="text1"/>
          <w:szCs w:val="24"/>
        </w:rPr>
        <w:t>positive effect</w:t>
      </w:r>
      <w:r w:rsidR="00FC0ACC" w:rsidRPr="004B36B2">
        <w:rPr>
          <w:rFonts w:asciiTheme="majorBidi" w:hAnsiTheme="majorBidi" w:cstheme="majorBidi"/>
          <w:color w:val="000000" w:themeColor="text1"/>
          <w:szCs w:val="24"/>
        </w:rPr>
        <w:t>s</w:t>
      </w:r>
      <w:r w:rsidR="00541D21" w:rsidRPr="004B36B2">
        <w:rPr>
          <w:rFonts w:asciiTheme="majorBidi" w:hAnsiTheme="majorBidi" w:cstheme="majorBidi"/>
          <w:color w:val="000000" w:themeColor="text1"/>
          <w:szCs w:val="24"/>
        </w:rPr>
        <w:t xml:space="preserve"> of migration </w:t>
      </w:r>
      <w:r w:rsidR="00FC0ACC" w:rsidRPr="004B36B2">
        <w:rPr>
          <w:rFonts w:asciiTheme="majorBidi" w:hAnsiTheme="majorBidi" w:cstheme="majorBidi"/>
          <w:color w:val="000000" w:themeColor="text1"/>
          <w:szCs w:val="24"/>
        </w:rPr>
        <w:t xml:space="preserve">options </w:t>
      </w:r>
      <w:r w:rsidR="00541D21" w:rsidRPr="004B36B2">
        <w:rPr>
          <w:rFonts w:asciiTheme="majorBidi" w:hAnsiTheme="majorBidi" w:cstheme="majorBidi"/>
          <w:color w:val="000000" w:themeColor="text1"/>
          <w:szCs w:val="24"/>
        </w:rPr>
        <w:t xml:space="preserve">on child human capital. </w:t>
      </w:r>
      <w:r w:rsidR="00273A5C" w:rsidRPr="004B36B2">
        <w:rPr>
          <w:rFonts w:asciiTheme="majorBidi" w:hAnsiTheme="majorBidi" w:cstheme="majorBidi"/>
          <w:color w:val="000000" w:themeColor="text1"/>
          <w:szCs w:val="24"/>
        </w:rPr>
        <w:t>H</w:t>
      </w:r>
      <w:r w:rsidR="002D496C" w:rsidRPr="004B36B2">
        <w:rPr>
          <w:rFonts w:asciiTheme="majorBidi" w:hAnsiTheme="majorBidi" w:cstheme="majorBidi"/>
          <w:color w:val="000000" w:themeColor="text1"/>
          <w:szCs w:val="24"/>
        </w:rPr>
        <w:t xml:space="preserve">igher expected </w:t>
      </w:r>
      <w:r w:rsidR="002300BE" w:rsidRPr="004B36B2">
        <w:rPr>
          <w:rFonts w:asciiTheme="majorBidi" w:hAnsiTheme="majorBidi" w:cstheme="majorBidi"/>
          <w:color w:val="000000" w:themeColor="text1"/>
          <w:szCs w:val="24"/>
        </w:rPr>
        <w:t>earnings</w:t>
      </w:r>
      <w:r w:rsidR="00B66CCF" w:rsidRPr="004B36B2">
        <w:rPr>
          <w:rFonts w:asciiTheme="majorBidi" w:hAnsiTheme="majorBidi" w:cstheme="majorBidi"/>
          <w:color w:val="000000" w:themeColor="text1"/>
          <w:szCs w:val="24"/>
        </w:rPr>
        <w:t xml:space="preserve"> from </w:t>
      </w:r>
      <w:r w:rsidR="007777DE" w:rsidRPr="004B36B2">
        <w:rPr>
          <w:rFonts w:asciiTheme="majorBidi" w:hAnsiTheme="majorBidi" w:cstheme="majorBidi"/>
          <w:color w:val="000000" w:themeColor="text1"/>
          <w:szCs w:val="24"/>
        </w:rPr>
        <w:t xml:space="preserve">the </w:t>
      </w:r>
      <w:r w:rsidR="00B66CCF" w:rsidRPr="004B36B2">
        <w:rPr>
          <w:rFonts w:asciiTheme="majorBidi" w:hAnsiTheme="majorBidi" w:cstheme="majorBidi"/>
          <w:noProof/>
          <w:color w:val="000000" w:themeColor="text1"/>
          <w:szCs w:val="24"/>
        </w:rPr>
        <w:t>prospect</w:t>
      </w:r>
      <w:r w:rsidR="005E3CC5" w:rsidRPr="004B36B2">
        <w:rPr>
          <w:rFonts w:asciiTheme="majorBidi" w:hAnsiTheme="majorBidi" w:cstheme="majorBidi"/>
          <w:color w:val="000000" w:themeColor="text1"/>
          <w:szCs w:val="24"/>
        </w:rPr>
        <w:t xml:space="preserve"> of migration</w:t>
      </w:r>
      <w:r w:rsidR="00B66CCF" w:rsidRPr="004B36B2">
        <w:rPr>
          <w:rFonts w:asciiTheme="majorBidi" w:hAnsiTheme="majorBidi" w:cstheme="majorBidi"/>
          <w:color w:val="000000" w:themeColor="text1"/>
          <w:szCs w:val="24"/>
        </w:rPr>
        <w:t xml:space="preserve"> </w:t>
      </w:r>
      <w:r w:rsidR="00B66CCF" w:rsidRPr="004B36B2">
        <w:rPr>
          <w:rFonts w:asciiTheme="majorBidi" w:hAnsiTheme="majorBidi" w:cstheme="majorBidi"/>
          <w:noProof/>
          <w:color w:val="000000" w:themeColor="text1"/>
          <w:szCs w:val="24"/>
        </w:rPr>
        <w:t>raise</w:t>
      </w:r>
      <w:r w:rsidR="00B66CCF" w:rsidRPr="004B36B2">
        <w:rPr>
          <w:rFonts w:asciiTheme="majorBidi" w:hAnsiTheme="majorBidi" w:cstheme="majorBidi"/>
          <w:color w:val="000000" w:themeColor="text1"/>
          <w:szCs w:val="24"/>
        </w:rPr>
        <w:t xml:space="preserve"> ex</w:t>
      </w:r>
      <w:r w:rsidR="002D0499" w:rsidRPr="004B36B2">
        <w:rPr>
          <w:rFonts w:asciiTheme="majorBidi" w:hAnsiTheme="majorBidi" w:cstheme="majorBidi"/>
          <w:color w:val="000000" w:themeColor="text1"/>
          <w:szCs w:val="24"/>
        </w:rPr>
        <w:t>pected return</w:t>
      </w:r>
      <w:r w:rsidRPr="004B36B2">
        <w:rPr>
          <w:rFonts w:asciiTheme="majorBidi" w:hAnsiTheme="majorBidi" w:cstheme="majorBidi"/>
          <w:color w:val="000000" w:themeColor="text1"/>
          <w:szCs w:val="24"/>
        </w:rPr>
        <w:t>s</w:t>
      </w:r>
      <w:r w:rsidR="002D0499" w:rsidRPr="004B36B2">
        <w:rPr>
          <w:rFonts w:asciiTheme="majorBidi" w:hAnsiTheme="majorBidi" w:cstheme="majorBidi"/>
          <w:color w:val="000000" w:themeColor="text1"/>
          <w:szCs w:val="24"/>
        </w:rPr>
        <w:t xml:space="preserve"> to education; the </w:t>
      </w:r>
      <w:r w:rsidR="00B66CCF" w:rsidRPr="004B36B2">
        <w:rPr>
          <w:rFonts w:asciiTheme="majorBidi" w:hAnsiTheme="majorBidi" w:cstheme="majorBidi"/>
          <w:color w:val="000000" w:themeColor="text1"/>
          <w:szCs w:val="24"/>
        </w:rPr>
        <w:t>higher return</w:t>
      </w:r>
      <w:r w:rsidR="00273A5C" w:rsidRPr="004B36B2">
        <w:rPr>
          <w:rFonts w:asciiTheme="majorBidi" w:hAnsiTheme="majorBidi" w:cstheme="majorBidi"/>
          <w:color w:val="000000" w:themeColor="text1"/>
          <w:szCs w:val="24"/>
        </w:rPr>
        <w:t>s</w:t>
      </w:r>
      <w:r w:rsidR="00B66CCF" w:rsidRPr="004B36B2">
        <w:rPr>
          <w:rFonts w:asciiTheme="majorBidi" w:hAnsiTheme="majorBidi" w:cstheme="majorBidi"/>
          <w:color w:val="000000" w:themeColor="text1"/>
          <w:szCs w:val="24"/>
        </w:rPr>
        <w:t xml:space="preserve"> to skill in the future induces human capital formation today </w:t>
      </w:r>
      <w:r w:rsidR="00A11CE8" w:rsidRPr="004B36B2">
        <w:rPr>
          <w:rFonts w:asciiTheme="majorBidi" w:hAnsiTheme="majorBidi" w:cstheme="majorBidi"/>
          <w:color w:val="000000" w:themeColor="text1"/>
          <w:szCs w:val="24"/>
        </w:rPr>
        <w:t>(</w:t>
      </w:r>
      <w:r w:rsidR="00CD4724" w:rsidRPr="004B36B2">
        <w:rPr>
          <w:rFonts w:asciiTheme="majorBidi" w:hAnsiTheme="majorBidi" w:cstheme="majorBidi"/>
          <w:color w:val="000000" w:themeColor="text1"/>
          <w:szCs w:val="24"/>
          <w:shd w:val="clear" w:color="auto" w:fill="FFFFFF"/>
        </w:rPr>
        <w:t xml:space="preserve">Batista </w:t>
      </w:r>
      <w:r w:rsidR="00DB0036" w:rsidRPr="00DB0036">
        <w:rPr>
          <w:rFonts w:asciiTheme="majorBidi" w:hAnsiTheme="majorBidi" w:cstheme="majorBidi"/>
          <w:i/>
          <w:iCs/>
          <w:color w:val="000000" w:themeColor="text1"/>
          <w:szCs w:val="24"/>
          <w:shd w:val="clear" w:color="auto" w:fill="FFFFFF"/>
        </w:rPr>
        <w:t>et al.</w:t>
      </w:r>
      <w:r w:rsidR="00CD4724" w:rsidRPr="004B36B2">
        <w:rPr>
          <w:rFonts w:asciiTheme="majorBidi" w:hAnsiTheme="majorBidi" w:cstheme="majorBidi"/>
          <w:color w:val="000000" w:themeColor="text1"/>
          <w:szCs w:val="24"/>
          <w:shd w:val="clear" w:color="auto" w:fill="FFFFFF"/>
        </w:rPr>
        <w:t xml:space="preserve"> 2012</w:t>
      </w:r>
      <w:r w:rsidR="00DB0036">
        <w:rPr>
          <w:rFonts w:asciiTheme="majorBidi" w:hAnsiTheme="majorBidi" w:cstheme="majorBidi"/>
          <w:color w:val="000000" w:themeColor="text1"/>
          <w:szCs w:val="24"/>
          <w:shd w:val="clear" w:color="auto" w:fill="FFFFFF"/>
        </w:rPr>
        <w:t>,</w:t>
      </w:r>
      <w:r w:rsidR="00CD4724" w:rsidRPr="004B36B2">
        <w:rPr>
          <w:rFonts w:asciiTheme="majorBidi" w:hAnsiTheme="majorBidi" w:cstheme="majorBidi"/>
          <w:color w:val="000000" w:themeColor="text1"/>
          <w:szCs w:val="24"/>
          <w:shd w:val="clear" w:color="auto" w:fill="FFFFFF"/>
        </w:rPr>
        <w:t xml:space="preserve"> Beine </w:t>
      </w:r>
      <w:r w:rsidR="00DB0036" w:rsidRPr="00DB0036">
        <w:rPr>
          <w:rFonts w:asciiTheme="majorBidi" w:hAnsiTheme="majorBidi" w:cstheme="majorBidi"/>
          <w:i/>
          <w:iCs/>
          <w:color w:val="000000" w:themeColor="text1"/>
          <w:szCs w:val="24"/>
          <w:shd w:val="clear" w:color="auto" w:fill="FFFFFF"/>
        </w:rPr>
        <w:t>et al.</w:t>
      </w:r>
      <w:r w:rsidR="00CD4724" w:rsidRPr="004B36B2">
        <w:rPr>
          <w:rFonts w:asciiTheme="majorBidi" w:hAnsiTheme="majorBidi" w:cstheme="majorBidi"/>
          <w:color w:val="000000" w:themeColor="text1"/>
          <w:szCs w:val="24"/>
          <w:shd w:val="clear" w:color="auto" w:fill="FFFFFF"/>
        </w:rPr>
        <w:t xml:space="preserve"> 2011</w:t>
      </w:r>
      <w:r w:rsidR="00DB0036">
        <w:rPr>
          <w:rFonts w:asciiTheme="majorBidi" w:hAnsiTheme="majorBidi" w:cstheme="majorBidi"/>
          <w:color w:val="000000" w:themeColor="text1"/>
          <w:szCs w:val="24"/>
          <w:shd w:val="clear" w:color="auto" w:fill="FFFFFF"/>
        </w:rPr>
        <w:t>,</w:t>
      </w:r>
      <w:r w:rsidR="00CD4724" w:rsidRPr="004B36B2">
        <w:rPr>
          <w:rFonts w:asciiTheme="majorBidi" w:hAnsiTheme="majorBidi" w:cstheme="majorBidi"/>
          <w:color w:val="000000" w:themeColor="text1"/>
          <w:szCs w:val="24"/>
          <w:shd w:val="clear" w:color="auto" w:fill="FFFFFF"/>
        </w:rPr>
        <w:t xml:space="preserve"> Beine </w:t>
      </w:r>
      <w:r w:rsidR="00DB0036" w:rsidRPr="00DB0036">
        <w:rPr>
          <w:rFonts w:asciiTheme="majorBidi" w:hAnsiTheme="majorBidi" w:cstheme="majorBidi"/>
          <w:i/>
          <w:iCs/>
          <w:color w:val="000000" w:themeColor="text1"/>
          <w:szCs w:val="24"/>
          <w:shd w:val="clear" w:color="auto" w:fill="FFFFFF"/>
        </w:rPr>
        <w:t>et al.</w:t>
      </w:r>
      <w:r w:rsidR="00CD4724" w:rsidRPr="004B36B2">
        <w:rPr>
          <w:rFonts w:asciiTheme="majorBidi" w:hAnsiTheme="majorBidi" w:cstheme="majorBidi"/>
          <w:color w:val="000000" w:themeColor="text1"/>
          <w:szCs w:val="24"/>
          <w:shd w:val="clear" w:color="auto" w:fill="FFFFFF"/>
        </w:rPr>
        <w:t xml:space="preserve"> 2008</w:t>
      </w:r>
      <w:r w:rsidR="00DB0036">
        <w:rPr>
          <w:rFonts w:asciiTheme="majorBidi" w:hAnsiTheme="majorBidi" w:cstheme="majorBidi"/>
          <w:color w:val="000000" w:themeColor="text1"/>
          <w:szCs w:val="24"/>
          <w:shd w:val="clear" w:color="auto" w:fill="FFFFFF"/>
        </w:rPr>
        <w:t>,</w:t>
      </w:r>
      <w:r w:rsidR="00CD4724" w:rsidRPr="004B36B2">
        <w:rPr>
          <w:rFonts w:asciiTheme="majorBidi" w:hAnsiTheme="majorBidi" w:cstheme="majorBidi"/>
          <w:color w:val="000000" w:themeColor="text1"/>
          <w:szCs w:val="24"/>
          <w:shd w:val="clear" w:color="auto" w:fill="FFFFFF"/>
        </w:rPr>
        <w:t xml:space="preserve"> </w:t>
      </w:r>
      <w:r w:rsidR="00B2344D" w:rsidRPr="004B36B2">
        <w:rPr>
          <w:rFonts w:asciiTheme="majorBidi" w:hAnsiTheme="majorBidi" w:cstheme="majorBidi"/>
          <w:color w:val="000000" w:themeColor="text1"/>
          <w:szCs w:val="24"/>
          <w:shd w:val="clear" w:color="auto" w:fill="FFFFFF"/>
        </w:rPr>
        <w:t xml:space="preserve">Beine </w:t>
      </w:r>
      <w:r w:rsidR="00DB0036" w:rsidRPr="00DB0036">
        <w:rPr>
          <w:rFonts w:asciiTheme="majorBidi" w:hAnsiTheme="majorBidi" w:cstheme="majorBidi"/>
          <w:i/>
          <w:iCs/>
          <w:color w:val="000000" w:themeColor="text1"/>
          <w:szCs w:val="24"/>
          <w:shd w:val="clear" w:color="auto" w:fill="FFFFFF"/>
        </w:rPr>
        <w:t>et al.</w:t>
      </w:r>
      <w:r w:rsidR="00A11CE8" w:rsidRPr="004B36B2">
        <w:rPr>
          <w:rFonts w:asciiTheme="majorBidi" w:hAnsiTheme="majorBidi" w:cstheme="majorBidi"/>
          <w:color w:val="000000" w:themeColor="text1"/>
          <w:szCs w:val="24"/>
          <w:shd w:val="clear" w:color="auto" w:fill="FFFFFF"/>
        </w:rPr>
        <w:t xml:space="preserve"> 2001</w:t>
      </w:r>
      <w:r w:rsidR="00DB0036">
        <w:rPr>
          <w:rFonts w:asciiTheme="majorBidi" w:hAnsiTheme="majorBidi" w:cstheme="majorBidi"/>
          <w:color w:val="000000" w:themeColor="text1"/>
          <w:szCs w:val="24"/>
          <w:shd w:val="clear" w:color="auto" w:fill="FFFFFF"/>
        </w:rPr>
        <w:t>,</w:t>
      </w:r>
      <w:r w:rsidR="00A11CE8" w:rsidRPr="004B36B2">
        <w:rPr>
          <w:rFonts w:asciiTheme="majorBidi" w:hAnsiTheme="majorBidi" w:cstheme="majorBidi"/>
          <w:color w:val="000000" w:themeColor="text1"/>
          <w:szCs w:val="24"/>
          <w:shd w:val="clear" w:color="auto" w:fill="FFFFFF"/>
        </w:rPr>
        <w:t xml:space="preserve"> </w:t>
      </w:r>
      <w:r w:rsidR="00B2344D" w:rsidRPr="004B36B2">
        <w:rPr>
          <w:rFonts w:asciiTheme="majorBidi" w:hAnsiTheme="majorBidi" w:cstheme="majorBidi"/>
          <w:color w:val="000000" w:themeColor="text1"/>
          <w:szCs w:val="24"/>
          <w:shd w:val="clear" w:color="auto" w:fill="FFFFFF"/>
        </w:rPr>
        <w:t xml:space="preserve">Fan </w:t>
      </w:r>
      <w:r w:rsidR="00DB0036" w:rsidRPr="00DB0036">
        <w:rPr>
          <w:rFonts w:asciiTheme="majorBidi" w:hAnsiTheme="majorBidi" w:cstheme="majorBidi"/>
          <w:color w:val="000000" w:themeColor="text1"/>
          <w:szCs w:val="24"/>
          <w:shd w:val="clear" w:color="auto" w:fill="FFFFFF"/>
        </w:rPr>
        <w:t>and</w:t>
      </w:r>
      <w:r w:rsidR="00B2344D" w:rsidRPr="004B36B2">
        <w:rPr>
          <w:rFonts w:asciiTheme="majorBidi" w:hAnsiTheme="majorBidi" w:cstheme="majorBidi"/>
          <w:color w:val="000000" w:themeColor="text1"/>
          <w:szCs w:val="24"/>
          <w:shd w:val="clear" w:color="auto" w:fill="FFFFFF"/>
        </w:rPr>
        <w:t xml:space="preserve"> Stark 2007</w:t>
      </w:r>
      <w:r w:rsidR="00DB0036">
        <w:rPr>
          <w:rFonts w:asciiTheme="majorBidi" w:hAnsiTheme="majorBidi" w:cstheme="majorBidi"/>
          <w:color w:val="000000" w:themeColor="text1"/>
          <w:szCs w:val="24"/>
          <w:shd w:val="clear" w:color="auto" w:fill="FFFFFF"/>
        </w:rPr>
        <w:t>,</w:t>
      </w:r>
      <w:r w:rsidR="00B2344D" w:rsidRPr="004B36B2">
        <w:rPr>
          <w:rFonts w:asciiTheme="majorBidi" w:hAnsiTheme="majorBidi" w:cstheme="majorBidi"/>
          <w:color w:val="000000" w:themeColor="text1"/>
          <w:szCs w:val="24"/>
          <w:shd w:val="clear" w:color="auto" w:fill="FFFFFF"/>
        </w:rPr>
        <w:t xml:space="preserve"> </w:t>
      </w:r>
      <w:r w:rsidR="00E809A5" w:rsidRPr="004B36B2">
        <w:rPr>
          <w:rFonts w:asciiTheme="majorBidi" w:hAnsiTheme="majorBidi" w:cstheme="majorBidi"/>
          <w:color w:val="000000" w:themeColor="text1"/>
          <w:szCs w:val="24"/>
          <w:shd w:val="clear" w:color="auto" w:fill="FFFFFF"/>
        </w:rPr>
        <w:t xml:space="preserve">Gibson </w:t>
      </w:r>
      <w:r w:rsidR="00DB0036" w:rsidRPr="00DB0036">
        <w:rPr>
          <w:rFonts w:asciiTheme="majorBidi" w:hAnsiTheme="majorBidi" w:cstheme="majorBidi"/>
          <w:color w:val="000000" w:themeColor="text1"/>
          <w:szCs w:val="24"/>
          <w:shd w:val="clear" w:color="auto" w:fill="FFFFFF"/>
        </w:rPr>
        <w:t>and</w:t>
      </w:r>
      <w:r w:rsidR="00F85ECC" w:rsidRPr="004B36B2">
        <w:rPr>
          <w:rFonts w:asciiTheme="majorBidi" w:hAnsiTheme="majorBidi" w:cstheme="majorBidi"/>
          <w:color w:val="000000" w:themeColor="text1"/>
          <w:szCs w:val="24"/>
          <w:shd w:val="clear" w:color="auto" w:fill="FFFFFF"/>
        </w:rPr>
        <w:t xml:space="preserve"> McK</w:t>
      </w:r>
      <w:r w:rsidR="00B2344D" w:rsidRPr="004B36B2">
        <w:rPr>
          <w:rFonts w:asciiTheme="majorBidi" w:hAnsiTheme="majorBidi" w:cstheme="majorBidi"/>
          <w:color w:val="000000" w:themeColor="text1"/>
          <w:szCs w:val="24"/>
          <w:shd w:val="clear" w:color="auto" w:fill="FFFFFF"/>
        </w:rPr>
        <w:t>enzie 2010</w:t>
      </w:r>
      <w:r w:rsidR="00A11CE8" w:rsidRPr="004B36B2">
        <w:rPr>
          <w:rFonts w:asciiTheme="majorBidi" w:hAnsiTheme="majorBidi" w:cstheme="majorBidi"/>
          <w:color w:val="000000" w:themeColor="text1"/>
          <w:szCs w:val="24"/>
          <w:shd w:val="clear" w:color="auto" w:fill="FFFFFF"/>
        </w:rPr>
        <w:t>)</w:t>
      </w:r>
      <w:r w:rsidR="00A11CE8" w:rsidRPr="004B36B2">
        <w:rPr>
          <w:rFonts w:asciiTheme="majorBidi" w:hAnsiTheme="majorBidi" w:cstheme="majorBidi"/>
          <w:color w:val="000000" w:themeColor="text1"/>
          <w:szCs w:val="24"/>
        </w:rPr>
        <w:t xml:space="preserve">. </w:t>
      </w:r>
      <w:r w:rsidR="00273A5C" w:rsidRPr="004B36B2">
        <w:rPr>
          <w:rFonts w:asciiTheme="majorBidi" w:hAnsiTheme="majorBidi" w:cstheme="majorBidi"/>
          <w:color w:val="000000" w:themeColor="text1"/>
          <w:szCs w:val="24"/>
        </w:rPr>
        <w:t>Yet</w:t>
      </w:r>
      <w:r w:rsidR="004C2FC7" w:rsidRPr="004B36B2">
        <w:rPr>
          <w:rFonts w:asciiTheme="majorBidi" w:hAnsiTheme="majorBidi" w:cstheme="majorBidi"/>
          <w:color w:val="000000" w:themeColor="text1"/>
          <w:szCs w:val="24"/>
        </w:rPr>
        <w:t xml:space="preserve"> </w:t>
      </w:r>
      <w:r w:rsidR="00CB5934" w:rsidRPr="004B36B2">
        <w:rPr>
          <w:rFonts w:asciiTheme="majorBidi" w:hAnsiTheme="majorBidi" w:cstheme="majorBidi"/>
          <w:color w:val="000000" w:themeColor="text1"/>
          <w:szCs w:val="24"/>
        </w:rPr>
        <w:t>effect</w:t>
      </w:r>
      <w:r w:rsidR="00273A5C" w:rsidRPr="004B36B2">
        <w:rPr>
          <w:rFonts w:asciiTheme="majorBidi" w:hAnsiTheme="majorBidi" w:cstheme="majorBidi"/>
          <w:color w:val="000000" w:themeColor="text1"/>
          <w:szCs w:val="24"/>
        </w:rPr>
        <w:t>s</w:t>
      </w:r>
      <w:r w:rsidR="00CB5934" w:rsidRPr="004B36B2">
        <w:rPr>
          <w:rFonts w:asciiTheme="majorBidi" w:hAnsiTheme="majorBidi" w:cstheme="majorBidi"/>
          <w:color w:val="000000" w:themeColor="text1"/>
          <w:szCs w:val="24"/>
        </w:rPr>
        <w:t xml:space="preserve"> of </w:t>
      </w:r>
      <w:r w:rsidR="007D636A" w:rsidRPr="004B36B2">
        <w:rPr>
          <w:rFonts w:asciiTheme="majorBidi" w:hAnsiTheme="majorBidi" w:cstheme="majorBidi"/>
          <w:color w:val="000000" w:themeColor="text1"/>
          <w:szCs w:val="24"/>
        </w:rPr>
        <w:t>migration</w:t>
      </w:r>
      <w:r w:rsidR="000E589B" w:rsidRPr="004B36B2">
        <w:rPr>
          <w:rFonts w:asciiTheme="majorBidi" w:hAnsiTheme="majorBidi" w:cstheme="majorBidi"/>
          <w:color w:val="000000" w:themeColor="text1"/>
          <w:szCs w:val="24"/>
        </w:rPr>
        <w:t xml:space="preserve"> on </w:t>
      </w:r>
      <w:r w:rsidR="000E589B" w:rsidRPr="004B36B2">
        <w:rPr>
          <w:rFonts w:asciiTheme="majorBidi" w:hAnsiTheme="majorBidi" w:cstheme="majorBidi"/>
          <w:noProof/>
          <w:color w:val="000000" w:themeColor="text1"/>
          <w:szCs w:val="24"/>
        </w:rPr>
        <w:t>child</w:t>
      </w:r>
      <w:r w:rsidR="000E589B" w:rsidRPr="004B36B2">
        <w:rPr>
          <w:rFonts w:asciiTheme="majorBidi" w:hAnsiTheme="majorBidi" w:cstheme="majorBidi"/>
          <w:color w:val="000000" w:themeColor="text1"/>
          <w:szCs w:val="24"/>
        </w:rPr>
        <w:t xml:space="preserve"> </w:t>
      </w:r>
      <w:r w:rsidR="00273A5C" w:rsidRPr="004B36B2">
        <w:rPr>
          <w:rFonts w:asciiTheme="majorBidi" w:hAnsiTheme="majorBidi" w:cstheme="majorBidi"/>
          <w:color w:val="000000" w:themeColor="text1"/>
          <w:szCs w:val="24"/>
        </w:rPr>
        <w:t>schooling are</w:t>
      </w:r>
      <w:r w:rsidR="0097775C" w:rsidRPr="004B36B2">
        <w:rPr>
          <w:rFonts w:asciiTheme="majorBidi" w:hAnsiTheme="majorBidi" w:cstheme="majorBidi"/>
          <w:color w:val="000000" w:themeColor="text1"/>
          <w:szCs w:val="24"/>
        </w:rPr>
        <w:t xml:space="preserve"> not straightforward.</w:t>
      </w:r>
      <w:r w:rsidR="00FC0ACC"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Some </w:t>
      </w:r>
      <w:r w:rsidR="002D496C" w:rsidRPr="004B36B2">
        <w:rPr>
          <w:rFonts w:asciiTheme="majorBidi" w:hAnsiTheme="majorBidi" w:cstheme="majorBidi"/>
          <w:color w:val="000000" w:themeColor="text1"/>
          <w:szCs w:val="24"/>
        </w:rPr>
        <w:t xml:space="preserve">empirical </w:t>
      </w:r>
      <w:r w:rsidRPr="004B36B2">
        <w:rPr>
          <w:rFonts w:asciiTheme="majorBidi" w:hAnsiTheme="majorBidi" w:cstheme="majorBidi"/>
          <w:color w:val="000000" w:themeColor="text1"/>
          <w:szCs w:val="24"/>
        </w:rPr>
        <w:t xml:space="preserve">studies find </w:t>
      </w:r>
      <w:r w:rsidR="00F84724" w:rsidRPr="004B36B2">
        <w:rPr>
          <w:rFonts w:asciiTheme="majorBidi" w:hAnsiTheme="majorBidi" w:cstheme="majorBidi"/>
          <w:color w:val="000000" w:themeColor="text1"/>
          <w:szCs w:val="24"/>
        </w:rPr>
        <w:t xml:space="preserve">either </w:t>
      </w:r>
      <w:r w:rsidR="004C2FC7" w:rsidRPr="004B36B2">
        <w:rPr>
          <w:rFonts w:asciiTheme="majorBidi" w:hAnsiTheme="majorBidi" w:cstheme="majorBidi"/>
          <w:color w:val="000000" w:themeColor="text1"/>
          <w:szCs w:val="24"/>
        </w:rPr>
        <w:t>no effect</w:t>
      </w:r>
      <w:r w:rsidR="00273A5C" w:rsidRPr="004B36B2">
        <w:rPr>
          <w:rFonts w:asciiTheme="majorBidi" w:hAnsiTheme="majorBidi" w:cstheme="majorBidi"/>
          <w:color w:val="000000" w:themeColor="text1"/>
          <w:szCs w:val="24"/>
        </w:rPr>
        <w:t>s</w:t>
      </w:r>
      <w:r w:rsidR="004C2FC7" w:rsidRPr="004B36B2">
        <w:rPr>
          <w:rFonts w:asciiTheme="majorBidi" w:hAnsiTheme="majorBidi" w:cstheme="majorBidi"/>
          <w:color w:val="000000" w:themeColor="text1"/>
          <w:szCs w:val="24"/>
        </w:rPr>
        <w:t xml:space="preserve"> </w:t>
      </w:r>
      <w:r w:rsidR="002D0499" w:rsidRPr="004B36B2">
        <w:rPr>
          <w:rFonts w:asciiTheme="majorBidi" w:hAnsiTheme="majorBidi" w:cstheme="majorBidi"/>
          <w:color w:val="000000" w:themeColor="text1"/>
          <w:szCs w:val="24"/>
        </w:rPr>
        <w:t xml:space="preserve">or even negative effects </w:t>
      </w:r>
      <w:r w:rsidR="004C2FC7" w:rsidRPr="004B36B2">
        <w:rPr>
          <w:rFonts w:asciiTheme="majorBidi" w:hAnsiTheme="majorBidi" w:cstheme="majorBidi"/>
          <w:color w:val="000000" w:themeColor="text1"/>
          <w:szCs w:val="24"/>
        </w:rPr>
        <w:t xml:space="preserve">of </w:t>
      </w:r>
      <w:r w:rsidR="007D636A" w:rsidRPr="004B36B2">
        <w:rPr>
          <w:rFonts w:asciiTheme="majorBidi" w:hAnsiTheme="majorBidi" w:cstheme="majorBidi"/>
          <w:color w:val="000000" w:themeColor="text1"/>
          <w:szCs w:val="24"/>
        </w:rPr>
        <w:t>migration</w:t>
      </w:r>
      <w:r w:rsidR="004C2FC7" w:rsidRPr="004B36B2">
        <w:rPr>
          <w:rFonts w:asciiTheme="majorBidi" w:hAnsiTheme="majorBidi" w:cstheme="majorBidi"/>
          <w:color w:val="000000" w:themeColor="text1"/>
          <w:szCs w:val="24"/>
        </w:rPr>
        <w:t xml:space="preserve"> on schooling (</w:t>
      </w:r>
      <w:r w:rsidR="00997982" w:rsidRPr="004B36B2">
        <w:rPr>
          <w:rFonts w:asciiTheme="majorBidi" w:hAnsiTheme="majorBidi" w:cstheme="majorBidi"/>
          <w:color w:val="000000" w:themeColor="text1"/>
          <w:szCs w:val="24"/>
          <w:shd w:val="clear" w:color="auto" w:fill="FFFFFF"/>
        </w:rPr>
        <w:t xml:space="preserve">Acharya </w:t>
      </w:r>
      <w:r w:rsidR="00DB0036" w:rsidRPr="00DB0036">
        <w:rPr>
          <w:rFonts w:asciiTheme="majorBidi" w:hAnsiTheme="majorBidi" w:cstheme="majorBidi"/>
          <w:color w:val="000000" w:themeColor="text1"/>
          <w:szCs w:val="24"/>
          <w:shd w:val="clear" w:color="auto" w:fill="FFFFFF"/>
        </w:rPr>
        <w:t>and</w:t>
      </w:r>
      <w:r w:rsidR="00997982" w:rsidRPr="004B36B2">
        <w:rPr>
          <w:rFonts w:asciiTheme="majorBidi" w:hAnsiTheme="majorBidi" w:cstheme="majorBidi"/>
          <w:color w:val="000000" w:themeColor="text1"/>
          <w:szCs w:val="24"/>
          <w:shd w:val="clear" w:color="auto" w:fill="FFFFFF"/>
        </w:rPr>
        <w:t xml:space="preserve"> Leon-Gonzalez 2013</w:t>
      </w:r>
      <w:r w:rsidR="00DB0036">
        <w:rPr>
          <w:rFonts w:asciiTheme="majorBidi" w:hAnsiTheme="majorBidi" w:cstheme="majorBidi"/>
          <w:color w:val="000000" w:themeColor="text1"/>
          <w:szCs w:val="24"/>
          <w:shd w:val="clear" w:color="auto" w:fill="FFFFFF"/>
        </w:rPr>
        <w:t>,</w:t>
      </w:r>
      <w:r w:rsidR="00997982" w:rsidRPr="004B36B2">
        <w:rPr>
          <w:rFonts w:asciiTheme="majorBidi" w:hAnsiTheme="majorBidi" w:cstheme="majorBidi"/>
          <w:color w:val="000000" w:themeColor="text1"/>
          <w:szCs w:val="24"/>
        </w:rPr>
        <w:t xml:space="preserve"> </w:t>
      </w:r>
      <w:r w:rsidR="00997982" w:rsidRPr="004B36B2">
        <w:rPr>
          <w:rFonts w:asciiTheme="majorBidi" w:hAnsiTheme="majorBidi" w:cstheme="majorBidi"/>
          <w:color w:val="000000" w:themeColor="text1"/>
          <w:szCs w:val="24"/>
          <w:shd w:val="clear" w:color="auto" w:fill="FFFFFF"/>
        </w:rPr>
        <w:t>Acosta 2011</w:t>
      </w:r>
      <w:r w:rsidR="00DB0036">
        <w:rPr>
          <w:rFonts w:asciiTheme="majorBidi" w:hAnsiTheme="majorBidi" w:cstheme="majorBidi"/>
          <w:color w:val="000000" w:themeColor="text1"/>
          <w:szCs w:val="24"/>
          <w:shd w:val="clear" w:color="auto" w:fill="FFFFFF"/>
        </w:rPr>
        <w:t>,</w:t>
      </w:r>
      <w:r w:rsidR="00997982" w:rsidRPr="004B36B2">
        <w:rPr>
          <w:rFonts w:asciiTheme="majorBidi" w:hAnsiTheme="majorBidi" w:cstheme="majorBidi"/>
          <w:color w:val="000000" w:themeColor="text1"/>
          <w:szCs w:val="24"/>
          <w:shd w:val="clear" w:color="auto" w:fill="FFFFFF"/>
        </w:rPr>
        <w:t xml:space="preserve"> </w:t>
      </w:r>
      <w:r w:rsidR="008258FC" w:rsidRPr="004B36B2">
        <w:rPr>
          <w:rFonts w:asciiTheme="majorBidi" w:hAnsiTheme="majorBidi" w:cstheme="majorBidi"/>
          <w:color w:val="000000" w:themeColor="text1"/>
          <w:szCs w:val="24"/>
          <w:shd w:val="clear" w:color="auto" w:fill="FFFFFF"/>
        </w:rPr>
        <w:t>Amuedo-Dorantes</w:t>
      </w:r>
      <w:r w:rsidR="0075061F"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color w:val="000000" w:themeColor="text1"/>
          <w:szCs w:val="24"/>
          <w:shd w:val="clear" w:color="auto" w:fill="FFFFFF"/>
        </w:rPr>
        <w:t>and</w:t>
      </w:r>
      <w:r w:rsidR="008258FC" w:rsidRPr="004B36B2">
        <w:rPr>
          <w:rFonts w:asciiTheme="majorBidi" w:hAnsiTheme="majorBidi" w:cstheme="majorBidi"/>
          <w:color w:val="000000" w:themeColor="text1"/>
          <w:szCs w:val="24"/>
          <w:shd w:val="clear" w:color="auto" w:fill="FFFFFF"/>
        </w:rPr>
        <w:t xml:space="preserve"> Pozo 2010</w:t>
      </w:r>
      <w:r w:rsidR="00DB0036">
        <w:rPr>
          <w:rFonts w:asciiTheme="majorBidi" w:hAnsiTheme="majorBidi" w:cstheme="majorBidi"/>
          <w:color w:val="000000" w:themeColor="text1"/>
          <w:szCs w:val="24"/>
          <w:shd w:val="clear" w:color="auto" w:fill="FFFFFF"/>
        </w:rPr>
        <w:t>,</w:t>
      </w:r>
      <w:r w:rsidR="00997982" w:rsidRPr="004B36B2">
        <w:rPr>
          <w:rFonts w:asciiTheme="majorBidi" w:hAnsiTheme="majorBidi" w:cstheme="majorBidi"/>
          <w:color w:val="000000" w:themeColor="text1"/>
          <w:szCs w:val="24"/>
          <w:shd w:val="clear" w:color="auto" w:fill="FFFFFF"/>
        </w:rPr>
        <w:t xml:space="preserve"> Bucheli </w:t>
      </w:r>
      <w:r w:rsidR="00DB0036" w:rsidRPr="00DB0036">
        <w:rPr>
          <w:rFonts w:asciiTheme="majorBidi" w:hAnsiTheme="majorBidi" w:cstheme="majorBidi"/>
          <w:i/>
          <w:iCs/>
          <w:color w:val="000000" w:themeColor="text1"/>
          <w:szCs w:val="24"/>
          <w:shd w:val="clear" w:color="auto" w:fill="FFFFFF"/>
        </w:rPr>
        <w:t>et al.</w:t>
      </w:r>
      <w:r w:rsidR="00997982" w:rsidRPr="004B36B2">
        <w:rPr>
          <w:rFonts w:asciiTheme="majorBidi" w:hAnsiTheme="majorBidi" w:cstheme="majorBidi"/>
          <w:color w:val="000000" w:themeColor="text1"/>
          <w:szCs w:val="24"/>
          <w:shd w:val="clear" w:color="auto" w:fill="FFFFFF"/>
        </w:rPr>
        <w:t xml:space="preserve"> 2018</w:t>
      </w:r>
      <w:r w:rsidR="00DB0036">
        <w:rPr>
          <w:rFonts w:asciiTheme="majorBidi" w:hAnsiTheme="majorBidi" w:cstheme="majorBidi"/>
          <w:color w:val="000000" w:themeColor="text1"/>
          <w:szCs w:val="24"/>
          <w:shd w:val="clear" w:color="auto" w:fill="FFFFFF"/>
        </w:rPr>
        <w:t>,</w:t>
      </w:r>
      <w:r w:rsidR="008258FC" w:rsidRPr="004B36B2">
        <w:rPr>
          <w:rFonts w:asciiTheme="majorBidi" w:hAnsiTheme="majorBidi" w:cstheme="majorBidi"/>
          <w:color w:val="000000" w:themeColor="text1"/>
          <w:szCs w:val="24"/>
          <w:shd w:val="clear" w:color="auto" w:fill="FFFFFF"/>
        </w:rPr>
        <w:t xml:space="preserve"> </w:t>
      </w:r>
      <w:r w:rsidR="00997982" w:rsidRPr="004B36B2">
        <w:rPr>
          <w:rFonts w:asciiTheme="majorBidi" w:hAnsiTheme="majorBidi" w:cstheme="majorBidi"/>
          <w:color w:val="000000" w:themeColor="text1"/>
          <w:szCs w:val="24"/>
          <w:shd w:val="clear" w:color="auto" w:fill="FFFFFF"/>
        </w:rPr>
        <w:t xml:space="preserve">Davis </w:t>
      </w:r>
      <w:r w:rsidR="00DB0036" w:rsidRPr="00DB0036">
        <w:rPr>
          <w:rFonts w:asciiTheme="majorBidi" w:hAnsiTheme="majorBidi" w:cstheme="majorBidi"/>
          <w:color w:val="000000" w:themeColor="text1"/>
          <w:szCs w:val="24"/>
          <w:shd w:val="clear" w:color="auto" w:fill="FFFFFF"/>
        </w:rPr>
        <w:t>and</w:t>
      </w:r>
      <w:r w:rsidR="00997982" w:rsidRPr="004B36B2">
        <w:rPr>
          <w:rFonts w:asciiTheme="majorBidi" w:hAnsiTheme="majorBidi" w:cstheme="majorBidi"/>
          <w:color w:val="000000" w:themeColor="text1"/>
          <w:szCs w:val="24"/>
          <w:shd w:val="clear" w:color="auto" w:fill="FFFFFF"/>
        </w:rPr>
        <w:t xml:space="preserve"> Brazil 2016</w:t>
      </w:r>
      <w:r w:rsidR="00DB0036">
        <w:rPr>
          <w:rFonts w:asciiTheme="majorBidi" w:hAnsiTheme="majorBidi" w:cstheme="majorBidi"/>
          <w:color w:val="000000" w:themeColor="text1"/>
          <w:szCs w:val="24"/>
          <w:shd w:val="clear" w:color="auto" w:fill="FFFFFF"/>
        </w:rPr>
        <w:t>,</w:t>
      </w:r>
      <w:r w:rsidR="00997982" w:rsidRPr="004B36B2">
        <w:rPr>
          <w:rFonts w:asciiTheme="majorBidi" w:hAnsiTheme="majorBidi" w:cstheme="majorBidi"/>
          <w:color w:val="000000" w:themeColor="text1"/>
          <w:szCs w:val="24"/>
          <w:shd w:val="clear" w:color="auto" w:fill="FFFFFF"/>
        </w:rPr>
        <w:t xml:space="preserve"> Di Maria </w:t>
      </w:r>
      <w:r w:rsidR="00DB0036" w:rsidRPr="00DB0036">
        <w:rPr>
          <w:rFonts w:asciiTheme="majorBidi" w:hAnsiTheme="majorBidi" w:cstheme="majorBidi"/>
          <w:color w:val="000000" w:themeColor="text1"/>
          <w:szCs w:val="24"/>
          <w:shd w:val="clear" w:color="auto" w:fill="FFFFFF"/>
        </w:rPr>
        <w:t>and</w:t>
      </w:r>
      <w:r w:rsidR="00997982" w:rsidRPr="004B36B2">
        <w:rPr>
          <w:rFonts w:asciiTheme="majorBidi" w:hAnsiTheme="majorBidi" w:cstheme="majorBidi"/>
          <w:color w:val="000000" w:themeColor="text1"/>
          <w:szCs w:val="24"/>
          <w:shd w:val="clear" w:color="auto" w:fill="FFFFFF"/>
        </w:rPr>
        <w:t xml:space="preserve"> Lazarova 2012</w:t>
      </w:r>
      <w:r w:rsidR="00DB0036">
        <w:rPr>
          <w:rFonts w:asciiTheme="majorBidi" w:hAnsiTheme="majorBidi" w:cstheme="majorBidi"/>
          <w:color w:val="000000" w:themeColor="text1"/>
          <w:szCs w:val="24"/>
          <w:shd w:val="clear" w:color="auto" w:fill="FFFFFF"/>
        </w:rPr>
        <w:t>,</w:t>
      </w:r>
      <w:r w:rsidR="00997982" w:rsidRPr="004B36B2">
        <w:rPr>
          <w:rFonts w:asciiTheme="majorBidi" w:hAnsiTheme="majorBidi" w:cstheme="majorBidi"/>
          <w:color w:val="000000" w:themeColor="text1"/>
          <w:szCs w:val="24"/>
          <w:shd w:val="clear" w:color="auto" w:fill="FFFFFF"/>
        </w:rPr>
        <w:t xml:space="preserve"> </w:t>
      </w:r>
      <w:r w:rsidR="00812263" w:rsidRPr="004B36B2">
        <w:rPr>
          <w:rFonts w:asciiTheme="majorBidi" w:hAnsiTheme="majorBidi" w:cstheme="majorBidi"/>
          <w:color w:val="000000" w:themeColor="text1"/>
          <w:szCs w:val="24"/>
          <w:shd w:val="clear" w:color="auto" w:fill="FFFFFF"/>
        </w:rPr>
        <w:t xml:space="preserve">Koska </w:t>
      </w:r>
      <w:r w:rsidR="00DB0036" w:rsidRPr="00DB0036">
        <w:rPr>
          <w:rFonts w:asciiTheme="majorBidi" w:hAnsiTheme="majorBidi" w:cstheme="majorBidi"/>
          <w:i/>
          <w:iCs/>
          <w:color w:val="000000" w:themeColor="text1"/>
          <w:szCs w:val="24"/>
          <w:shd w:val="clear" w:color="auto" w:fill="FFFFFF"/>
        </w:rPr>
        <w:t>et al.</w:t>
      </w:r>
      <w:r w:rsidR="00812263" w:rsidRPr="004B36B2">
        <w:rPr>
          <w:rFonts w:asciiTheme="majorBidi" w:hAnsiTheme="majorBidi" w:cstheme="majorBidi"/>
          <w:color w:val="000000" w:themeColor="text1"/>
          <w:szCs w:val="24"/>
          <w:shd w:val="clear" w:color="auto" w:fill="FFFFFF"/>
        </w:rPr>
        <w:t xml:space="preserve"> 2013</w:t>
      </w:r>
      <w:r w:rsidR="00DB0036">
        <w:rPr>
          <w:rFonts w:asciiTheme="majorBidi" w:hAnsiTheme="majorBidi" w:cstheme="majorBidi"/>
          <w:color w:val="000000" w:themeColor="text1"/>
          <w:szCs w:val="24"/>
          <w:shd w:val="clear" w:color="auto" w:fill="FFFFFF"/>
        </w:rPr>
        <w:t>,</w:t>
      </w:r>
      <w:r w:rsidR="00812263" w:rsidRPr="004B36B2">
        <w:rPr>
          <w:rFonts w:asciiTheme="majorBidi" w:hAnsiTheme="majorBidi" w:cstheme="majorBidi"/>
          <w:color w:val="000000" w:themeColor="text1"/>
          <w:szCs w:val="24"/>
          <w:shd w:val="clear" w:color="auto" w:fill="FFFFFF"/>
        </w:rPr>
        <w:t xml:space="preserve"> </w:t>
      </w:r>
      <w:r w:rsidR="008258FC" w:rsidRPr="004B36B2">
        <w:rPr>
          <w:rFonts w:asciiTheme="majorBidi" w:hAnsiTheme="majorBidi" w:cstheme="majorBidi"/>
          <w:color w:val="000000" w:themeColor="text1"/>
          <w:szCs w:val="24"/>
          <w:shd w:val="clear" w:color="auto" w:fill="FFFFFF"/>
        </w:rPr>
        <w:t xml:space="preserve">McKenzie </w:t>
      </w:r>
      <w:r w:rsidR="00DB0036" w:rsidRPr="00DB0036">
        <w:rPr>
          <w:rFonts w:asciiTheme="majorBidi" w:hAnsiTheme="majorBidi" w:cstheme="majorBidi"/>
          <w:color w:val="000000" w:themeColor="text1"/>
          <w:szCs w:val="24"/>
          <w:shd w:val="clear" w:color="auto" w:fill="FFFFFF"/>
        </w:rPr>
        <w:t>and</w:t>
      </w:r>
      <w:r w:rsidR="004C2FC7" w:rsidRPr="004B36B2">
        <w:rPr>
          <w:rFonts w:asciiTheme="majorBidi" w:hAnsiTheme="majorBidi" w:cstheme="majorBidi"/>
          <w:color w:val="000000" w:themeColor="text1"/>
          <w:szCs w:val="24"/>
          <w:shd w:val="clear" w:color="auto" w:fill="FFFFFF"/>
        </w:rPr>
        <w:t xml:space="preserve"> Rapoport 2011</w:t>
      </w:r>
      <w:r w:rsidR="00DB0036">
        <w:rPr>
          <w:rFonts w:asciiTheme="majorBidi" w:hAnsiTheme="majorBidi" w:cstheme="majorBidi"/>
          <w:color w:val="000000" w:themeColor="text1"/>
          <w:szCs w:val="24"/>
          <w:shd w:val="clear" w:color="auto" w:fill="FFFFFF"/>
        </w:rPr>
        <w:t>,</w:t>
      </w:r>
      <w:r w:rsidR="008258FC" w:rsidRPr="004B36B2">
        <w:rPr>
          <w:rFonts w:asciiTheme="majorBidi" w:hAnsiTheme="majorBidi" w:cstheme="majorBidi"/>
          <w:color w:val="000000" w:themeColor="text1"/>
          <w:szCs w:val="24"/>
          <w:shd w:val="clear" w:color="auto" w:fill="FFFFFF"/>
        </w:rPr>
        <w:t xml:space="preserve"> Nguyen</w:t>
      </w:r>
      <w:r w:rsidR="0023354B"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color w:val="000000" w:themeColor="text1"/>
          <w:szCs w:val="24"/>
          <w:shd w:val="clear" w:color="auto" w:fill="FFFFFF"/>
        </w:rPr>
        <w:t>and</w:t>
      </w:r>
      <w:r w:rsidR="0023354B" w:rsidRPr="004B36B2">
        <w:rPr>
          <w:rFonts w:asciiTheme="majorBidi" w:hAnsiTheme="majorBidi" w:cstheme="majorBidi"/>
          <w:color w:val="000000" w:themeColor="text1"/>
          <w:szCs w:val="24"/>
          <w:shd w:val="clear" w:color="auto" w:fill="FFFFFF"/>
        </w:rPr>
        <w:t xml:space="preserve"> Nguyen</w:t>
      </w:r>
      <w:r w:rsidR="00185B5D">
        <w:rPr>
          <w:rFonts w:asciiTheme="majorBidi" w:hAnsiTheme="majorBidi" w:cstheme="majorBidi"/>
          <w:color w:val="000000" w:themeColor="text1"/>
          <w:szCs w:val="24"/>
          <w:shd w:val="clear" w:color="auto" w:fill="FFFFFF"/>
        </w:rPr>
        <w:t xml:space="preserve"> </w:t>
      </w:r>
      <w:r w:rsidR="008258FC" w:rsidRPr="004B36B2">
        <w:rPr>
          <w:rFonts w:asciiTheme="majorBidi" w:hAnsiTheme="majorBidi" w:cstheme="majorBidi"/>
          <w:color w:val="000000" w:themeColor="text1"/>
          <w:szCs w:val="24"/>
          <w:shd w:val="clear" w:color="auto" w:fill="FFFFFF"/>
        </w:rPr>
        <w:t>2015</w:t>
      </w:r>
      <w:r w:rsidR="00DB0036">
        <w:rPr>
          <w:rFonts w:asciiTheme="majorBidi" w:hAnsiTheme="majorBidi" w:cstheme="majorBidi"/>
          <w:color w:val="000000" w:themeColor="text1"/>
          <w:szCs w:val="24"/>
          <w:shd w:val="clear" w:color="auto" w:fill="FFFFFF"/>
        </w:rPr>
        <w:t>,</w:t>
      </w:r>
      <w:r w:rsidR="008258FC" w:rsidRPr="004B36B2">
        <w:rPr>
          <w:rFonts w:asciiTheme="majorBidi" w:hAnsiTheme="majorBidi" w:cstheme="majorBidi"/>
          <w:color w:val="000000" w:themeColor="text1"/>
          <w:szCs w:val="24"/>
          <w:shd w:val="clear" w:color="auto" w:fill="FFFFFF"/>
        </w:rPr>
        <w:t xml:space="preserve"> Shrestha</w:t>
      </w:r>
      <w:r w:rsidR="00185B5D">
        <w:rPr>
          <w:rFonts w:asciiTheme="majorBidi" w:hAnsiTheme="majorBidi" w:cstheme="majorBidi"/>
          <w:color w:val="000000" w:themeColor="text1"/>
          <w:szCs w:val="24"/>
          <w:shd w:val="clear" w:color="auto" w:fill="FFFFFF"/>
        </w:rPr>
        <w:t xml:space="preserve"> </w:t>
      </w:r>
      <w:r w:rsidR="008258FC" w:rsidRPr="004B36B2">
        <w:rPr>
          <w:rFonts w:asciiTheme="majorBidi" w:hAnsiTheme="majorBidi" w:cstheme="majorBidi"/>
          <w:color w:val="000000" w:themeColor="text1"/>
          <w:szCs w:val="24"/>
          <w:shd w:val="clear" w:color="auto" w:fill="FFFFFF"/>
        </w:rPr>
        <w:t>2017</w:t>
      </w:r>
      <w:r w:rsidR="004C2FC7" w:rsidRPr="004B36B2">
        <w:rPr>
          <w:rFonts w:asciiTheme="majorBidi" w:hAnsiTheme="majorBidi" w:cstheme="majorBidi"/>
          <w:color w:val="000000" w:themeColor="text1"/>
          <w:szCs w:val="24"/>
          <w:shd w:val="clear" w:color="auto" w:fill="FFFFFF"/>
        </w:rPr>
        <w:t>)</w:t>
      </w:r>
      <w:r w:rsidR="004C2FC7" w:rsidRPr="004B36B2">
        <w:rPr>
          <w:rFonts w:asciiTheme="majorBidi" w:hAnsiTheme="majorBidi" w:cstheme="majorBidi"/>
          <w:color w:val="000000" w:themeColor="text1"/>
          <w:szCs w:val="24"/>
        </w:rPr>
        <w:t xml:space="preserve">. </w:t>
      </w:r>
      <w:r w:rsidR="00FC0ACC" w:rsidRPr="004B36B2">
        <w:rPr>
          <w:rFonts w:asciiTheme="majorBidi" w:hAnsiTheme="majorBidi" w:cstheme="majorBidi"/>
          <w:color w:val="000000" w:themeColor="text1"/>
          <w:szCs w:val="24"/>
        </w:rPr>
        <w:t xml:space="preserve">Suggested reasons </w:t>
      </w:r>
      <w:r w:rsidR="002D0499" w:rsidRPr="004B36B2">
        <w:rPr>
          <w:rFonts w:asciiTheme="majorBidi" w:hAnsiTheme="majorBidi" w:cstheme="majorBidi"/>
          <w:color w:val="000000" w:themeColor="text1"/>
          <w:szCs w:val="24"/>
        </w:rPr>
        <w:t xml:space="preserve">for a lack of positive </w:t>
      </w:r>
      <w:r w:rsidR="005F7EB7" w:rsidRPr="004B36B2">
        <w:rPr>
          <w:rFonts w:asciiTheme="majorBidi" w:hAnsiTheme="majorBidi" w:cstheme="majorBidi"/>
          <w:color w:val="000000" w:themeColor="text1"/>
          <w:szCs w:val="24"/>
        </w:rPr>
        <w:t xml:space="preserve">impact </w:t>
      </w:r>
      <w:r w:rsidR="00273A5C" w:rsidRPr="004B36B2">
        <w:rPr>
          <w:rFonts w:asciiTheme="majorBidi" w:hAnsiTheme="majorBidi" w:cstheme="majorBidi"/>
          <w:color w:val="000000" w:themeColor="text1"/>
          <w:szCs w:val="24"/>
        </w:rPr>
        <w:t>include</w:t>
      </w:r>
      <w:r w:rsidR="0055207B" w:rsidRPr="004B36B2">
        <w:rPr>
          <w:rFonts w:asciiTheme="majorBidi" w:hAnsiTheme="majorBidi" w:cstheme="majorBidi"/>
          <w:color w:val="000000" w:themeColor="text1"/>
          <w:szCs w:val="24"/>
        </w:rPr>
        <w:t>:</w:t>
      </w:r>
      <w:r w:rsidR="00273A5C" w:rsidRPr="004B36B2">
        <w:rPr>
          <w:rFonts w:asciiTheme="majorBidi" w:hAnsiTheme="majorBidi" w:cstheme="majorBidi"/>
          <w:color w:val="000000" w:themeColor="text1"/>
          <w:szCs w:val="24"/>
        </w:rPr>
        <w:t xml:space="preserve"> </w:t>
      </w:r>
      <w:r w:rsidR="00FC0ACC" w:rsidRPr="004B36B2">
        <w:rPr>
          <w:rFonts w:asciiTheme="majorBidi" w:hAnsiTheme="majorBidi" w:cstheme="majorBidi"/>
          <w:color w:val="000000" w:themeColor="text1"/>
          <w:szCs w:val="24"/>
        </w:rPr>
        <w:t>parental absence and family disruption</w:t>
      </w:r>
      <w:r w:rsidR="00DB0036">
        <w:rPr>
          <w:rFonts w:asciiTheme="majorBidi" w:hAnsiTheme="majorBidi" w:cstheme="majorBidi"/>
          <w:color w:val="000000" w:themeColor="text1"/>
          <w:szCs w:val="24"/>
        </w:rPr>
        <w:t>,</w:t>
      </w:r>
      <w:r w:rsidR="00732BCA" w:rsidRPr="004B36B2">
        <w:rPr>
          <w:rFonts w:asciiTheme="majorBidi" w:hAnsiTheme="majorBidi" w:cstheme="majorBidi"/>
          <w:color w:val="000000" w:themeColor="text1"/>
          <w:szCs w:val="24"/>
        </w:rPr>
        <w:t xml:space="preserve"> </w:t>
      </w:r>
      <w:r w:rsidR="00FC0ACC" w:rsidRPr="004B36B2">
        <w:rPr>
          <w:rFonts w:asciiTheme="majorBidi" w:hAnsiTheme="majorBidi" w:cstheme="majorBidi"/>
          <w:color w:val="000000" w:themeColor="text1"/>
          <w:szCs w:val="24"/>
        </w:rPr>
        <w:t xml:space="preserve">the need for </w:t>
      </w:r>
      <w:r w:rsidR="002D0499" w:rsidRPr="004B36B2">
        <w:rPr>
          <w:rFonts w:asciiTheme="majorBidi" w:hAnsiTheme="majorBidi" w:cstheme="majorBidi"/>
          <w:color w:val="000000" w:themeColor="text1"/>
          <w:szCs w:val="24"/>
        </w:rPr>
        <w:t xml:space="preserve">extra workers due to </w:t>
      </w:r>
      <w:r w:rsidR="003065E0" w:rsidRPr="004B36B2">
        <w:rPr>
          <w:rFonts w:asciiTheme="majorBidi" w:hAnsiTheme="majorBidi" w:cstheme="majorBidi"/>
          <w:color w:val="000000" w:themeColor="text1"/>
          <w:szCs w:val="24"/>
        </w:rPr>
        <w:t xml:space="preserve">household </w:t>
      </w:r>
      <w:r w:rsidR="003065E0" w:rsidRPr="004B36B2">
        <w:rPr>
          <w:rFonts w:asciiTheme="majorBidi" w:hAnsiTheme="majorBidi" w:cstheme="majorBidi"/>
          <w:noProof/>
          <w:color w:val="000000" w:themeColor="text1"/>
          <w:szCs w:val="24"/>
        </w:rPr>
        <w:t>labour</w:t>
      </w:r>
      <w:r w:rsidR="003065E0" w:rsidRPr="004B36B2">
        <w:rPr>
          <w:rFonts w:asciiTheme="majorBidi" w:hAnsiTheme="majorBidi" w:cstheme="majorBidi"/>
          <w:color w:val="000000" w:themeColor="text1"/>
          <w:szCs w:val="24"/>
        </w:rPr>
        <w:t xml:space="preserve"> shortage</w:t>
      </w:r>
      <w:r w:rsidR="0055207B" w:rsidRPr="004B36B2">
        <w:rPr>
          <w:rFonts w:asciiTheme="majorBidi" w:hAnsiTheme="majorBidi" w:cstheme="majorBidi"/>
          <w:color w:val="000000" w:themeColor="text1"/>
          <w:szCs w:val="24"/>
        </w:rPr>
        <w:t>s</w:t>
      </w:r>
      <w:r w:rsidR="003065E0" w:rsidRPr="004B36B2">
        <w:rPr>
          <w:rFonts w:asciiTheme="majorBidi" w:hAnsiTheme="majorBidi" w:cstheme="majorBidi"/>
          <w:color w:val="000000" w:themeColor="text1"/>
          <w:szCs w:val="24"/>
        </w:rPr>
        <w:t xml:space="preserve"> </w:t>
      </w:r>
      <w:r w:rsidR="00732BCA" w:rsidRPr="004B36B2">
        <w:rPr>
          <w:rFonts w:asciiTheme="majorBidi" w:hAnsiTheme="majorBidi" w:cstheme="majorBidi"/>
          <w:color w:val="000000" w:themeColor="text1"/>
          <w:szCs w:val="24"/>
        </w:rPr>
        <w:t>and</w:t>
      </w:r>
      <w:r w:rsidR="00DB0036">
        <w:rPr>
          <w:rFonts w:asciiTheme="majorBidi" w:hAnsiTheme="majorBidi" w:cstheme="majorBidi"/>
          <w:color w:val="000000" w:themeColor="text1"/>
          <w:szCs w:val="24"/>
        </w:rPr>
        <w:t xml:space="preserve"> </w:t>
      </w:r>
      <w:r w:rsidR="00732BCA" w:rsidRPr="004B36B2">
        <w:rPr>
          <w:rFonts w:asciiTheme="majorBidi" w:hAnsiTheme="majorBidi" w:cstheme="majorBidi"/>
          <w:color w:val="000000" w:themeColor="text1"/>
          <w:szCs w:val="24"/>
        </w:rPr>
        <w:t>increase</w:t>
      </w:r>
      <w:r w:rsidR="00273A5C" w:rsidRPr="004B36B2">
        <w:rPr>
          <w:rFonts w:asciiTheme="majorBidi" w:hAnsiTheme="majorBidi" w:cstheme="majorBidi"/>
          <w:color w:val="000000" w:themeColor="text1"/>
          <w:szCs w:val="24"/>
        </w:rPr>
        <w:t>d</w:t>
      </w:r>
      <w:r w:rsidR="00732BCA" w:rsidRPr="004B36B2">
        <w:rPr>
          <w:rFonts w:asciiTheme="majorBidi" w:hAnsiTheme="majorBidi" w:cstheme="majorBidi"/>
          <w:color w:val="000000" w:themeColor="text1"/>
          <w:szCs w:val="24"/>
        </w:rPr>
        <w:t xml:space="preserve"> opportunity cost of participating in higher education </w:t>
      </w:r>
      <w:r w:rsidR="005F7EB7" w:rsidRPr="004B36B2">
        <w:rPr>
          <w:rFonts w:asciiTheme="majorBidi" w:hAnsiTheme="majorBidi" w:cstheme="majorBidi"/>
          <w:color w:val="000000" w:themeColor="text1"/>
          <w:szCs w:val="24"/>
        </w:rPr>
        <w:t>if</w:t>
      </w:r>
      <w:r w:rsidR="002D496C" w:rsidRPr="004B36B2">
        <w:rPr>
          <w:rFonts w:asciiTheme="majorBidi" w:hAnsiTheme="majorBidi" w:cstheme="majorBidi"/>
          <w:color w:val="000000" w:themeColor="text1"/>
          <w:szCs w:val="24"/>
        </w:rPr>
        <w:t xml:space="preserve"> local wage</w:t>
      </w:r>
      <w:r w:rsidR="002D0499" w:rsidRPr="004B36B2">
        <w:rPr>
          <w:rFonts w:asciiTheme="majorBidi" w:hAnsiTheme="majorBidi" w:cstheme="majorBidi"/>
          <w:color w:val="000000" w:themeColor="text1"/>
          <w:szCs w:val="24"/>
        </w:rPr>
        <w:t>s</w:t>
      </w:r>
      <w:r w:rsidR="005F7EB7" w:rsidRPr="004B36B2">
        <w:rPr>
          <w:rFonts w:asciiTheme="majorBidi" w:hAnsiTheme="majorBidi" w:cstheme="majorBidi"/>
          <w:color w:val="000000" w:themeColor="text1"/>
          <w:szCs w:val="24"/>
        </w:rPr>
        <w:t xml:space="preserve"> rise</w:t>
      </w:r>
      <w:r w:rsidR="00FC0ACC" w:rsidRPr="004B36B2">
        <w:rPr>
          <w:rFonts w:asciiTheme="majorBidi" w:hAnsiTheme="majorBidi" w:cstheme="majorBidi"/>
          <w:color w:val="000000" w:themeColor="text1"/>
          <w:szCs w:val="24"/>
        </w:rPr>
        <w:t>.</w:t>
      </w:r>
      <w:r w:rsidR="00FC0ACC" w:rsidRPr="004B36B2">
        <w:rPr>
          <w:rStyle w:val="FootnoteReference"/>
          <w:rFonts w:asciiTheme="majorBidi" w:hAnsiTheme="majorBidi" w:cstheme="majorBidi"/>
          <w:color w:val="000000" w:themeColor="text1"/>
          <w:szCs w:val="24"/>
        </w:rPr>
        <w:footnoteReference w:id="1"/>
      </w:r>
      <w:r w:rsidR="00732BCA" w:rsidRPr="004B36B2">
        <w:rPr>
          <w:rFonts w:asciiTheme="majorBidi" w:hAnsiTheme="majorBidi" w:cstheme="majorBidi"/>
          <w:color w:val="000000" w:themeColor="text1"/>
          <w:szCs w:val="24"/>
        </w:rPr>
        <w:t xml:space="preserve"> </w:t>
      </w:r>
      <w:r w:rsidR="00273A5C" w:rsidRPr="004B36B2">
        <w:rPr>
          <w:rFonts w:asciiTheme="majorBidi" w:hAnsiTheme="majorBidi" w:cstheme="majorBidi"/>
          <w:color w:val="000000" w:themeColor="text1"/>
          <w:szCs w:val="24"/>
        </w:rPr>
        <w:t>Having a</w:t>
      </w:r>
      <w:r w:rsidR="0022370B" w:rsidRPr="004B36B2">
        <w:rPr>
          <w:rFonts w:asciiTheme="majorBidi" w:hAnsiTheme="majorBidi" w:cstheme="majorBidi"/>
          <w:color w:val="000000" w:themeColor="text1"/>
          <w:szCs w:val="24"/>
        </w:rPr>
        <w:t xml:space="preserve"> migrant </w:t>
      </w:r>
      <w:r w:rsidR="00273A5C" w:rsidRPr="004B36B2">
        <w:rPr>
          <w:rFonts w:asciiTheme="majorBidi" w:hAnsiTheme="majorBidi" w:cstheme="majorBidi"/>
          <w:color w:val="000000" w:themeColor="text1"/>
          <w:szCs w:val="24"/>
        </w:rPr>
        <w:t xml:space="preserve">family </w:t>
      </w:r>
      <w:r w:rsidR="0022370B" w:rsidRPr="004B36B2">
        <w:rPr>
          <w:rFonts w:asciiTheme="majorBidi" w:hAnsiTheme="majorBidi" w:cstheme="majorBidi"/>
          <w:color w:val="000000" w:themeColor="text1"/>
          <w:szCs w:val="24"/>
        </w:rPr>
        <w:t xml:space="preserve">member </w:t>
      </w:r>
      <w:r w:rsidR="00DE1496" w:rsidRPr="004B36B2">
        <w:rPr>
          <w:rFonts w:asciiTheme="majorBidi" w:hAnsiTheme="majorBidi" w:cstheme="majorBidi"/>
          <w:color w:val="000000" w:themeColor="text1"/>
          <w:szCs w:val="24"/>
        </w:rPr>
        <w:t>in</w:t>
      </w:r>
      <w:r w:rsidR="0022370B" w:rsidRPr="004B36B2">
        <w:rPr>
          <w:rFonts w:asciiTheme="majorBidi" w:hAnsiTheme="majorBidi" w:cstheme="majorBidi"/>
          <w:color w:val="000000" w:themeColor="text1"/>
          <w:szCs w:val="24"/>
        </w:rPr>
        <w:t xml:space="preserve"> </w:t>
      </w:r>
      <w:r w:rsidR="007777DE" w:rsidRPr="004B36B2">
        <w:rPr>
          <w:rFonts w:asciiTheme="majorBidi" w:hAnsiTheme="majorBidi" w:cstheme="majorBidi"/>
          <w:color w:val="000000" w:themeColor="text1"/>
          <w:szCs w:val="24"/>
        </w:rPr>
        <w:t xml:space="preserve">a </w:t>
      </w:r>
      <w:r w:rsidR="0022370B" w:rsidRPr="004B36B2">
        <w:rPr>
          <w:rFonts w:asciiTheme="majorBidi" w:hAnsiTheme="majorBidi" w:cstheme="majorBidi"/>
          <w:noProof/>
          <w:color w:val="000000" w:themeColor="text1"/>
          <w:szCs w:val="24"/>
        </w:rPr>
        <w:t>foreign</w:t>
      </w:r>
      <w:r w:rsidR="0022370B" w:rsidRPr="004B36B2">
        <w:rPr>
          <w:rFonts w:asciiTheme="majorBidi" w:hAnsiTheme="majorBidi" w:cstheme="majorBidi"/>
          <w:color w:val="000000" w:themeColor="text1"/>
          <w:szCs w:val="24"/>
        </w:rPr>
        <w:t xml:space="preserve"> country may </w:t>
      </w:r>
      <w:r w:rsidR="00DF7DBD" w:rsidRPr="004B36B2">
        <w:rPr>
          <w:rFonts w:asciiTheme="majorBidi" w:hAnsiTheme="majorBidi" w:cstheme="majorBidi"/>
          <w:color w:val="000000" w:themeColor="text1"/>
          <w:szCs w:val="24"/>
        </w:rPr>
        <w:t xml:space="preserve">also </w:t>
      </w:r>
      <w:r w:rsidR="00C40CBB" w:rsidRPr="004B36B2">
        <w:rPr>
          <w:rFonts w:asciiTheme="majorBidi" w:hAnsiTheme="majorBidi" w:cstheme="majorBidi"/>
          <w:color w:val="000000" w:themeColor="text1"/>
          <w:szCs w:val="24"/>
        </w:rPr>
        <w:t xml:space="preserve">dis-incentivize children from pursuing education if </w:t>
      </w:r>
      <w:r w:rsidR="00273A5C" w:rsidRPr="004B36B2">
        <w:rPr>
          <w:rFonts w:asciiTheme="majorBidi" w:hAnsiTheme="majorBidi" w:cstheme="majorBidi"/>
          <w:color w:val="000000" w:themeColor="text1"/>
          <w:szCs w:val="24"/>
        </w:rPr>
        <w:t xml:space="preserve">they </w:t>
      </w:r>
      <w:r w:rsidR="00C40CBB" w:rsidRPr="004B36B2">
        <w:rPr>
          <w:rFonts w:asciiTheme="majorBidi" w:hAnsiTheme="majorBidi" w:cstheme="majorBidi"/>
          <w:noProof/>
          <w:color w:val="000000" w:themeColor="text1"/>
          <w:szCs w:val="24"/>
        </w:rPr>
        <w:t>perceive</w:t>
      </w:r>
      <w:r w:rsidR="00C40CBB" w:rsidRPr="004B36B2">
        <w:rPr>
          <w:rFonts w:asciiTheme="majorBidi" w:hAnsiTheme="majorBidi" w:cstheme="majorBidi"/>
          <w:color w:val="000000" w:themeColor="text1"/>
          <w:szCs w:val="24"/>
        </w:rPr>
        <w:t xml:space="preserve"> that less-skilled job</w:t>
      </w:r>
      <w:r w:rsidR="00043927" w:rsidRPr="004B36B2">
        <w:rPr>
          <w:rFonts w:asciiTheme="majorBidi" w:hAnsiTheme="majorBidi" w:cstheme="majorBidi"/>
          <w:color w:val="000000" w:themeColor="text1"/>
          <w:szCs w:val="24"/>
        </w:rPr>
        <w:t>s</w:t>
      </w:r>
      <w:r w:rsidR="00C40CBB" w:rsidRPr="004B36B2">
        <w:rPr>
          <w:rFonts w:asciiTheme="majorBidi" w:hAnsiTheme="majorBidi" w:cstheme="majorBidi"/>
          <w:color w:val="000000" w:themeColor="text1"/>
          <w:szCs w:val="24"/>
        </w:rPr>
        <w:t xml:space="preserve"> in the </w:t>
      </w:r>
      <w:r w:rsidR="00C40CBB" w:rsidRPr="004B36B2">
        <w:rPr>
          <w:rFonts w:asciiTheme="majorBidi" w:hAnsiTheme="majorBidi" w:cstheme="majorBidi"/>
          <w:noProof/>
          <w:color w:val="000000" w:themeColor="text1"/>
          <w:szCs w:val="24"/>
        </w:rPr>
        <w:t>destination</w:t>
      </w:r>
      <w:r w:rsidR="00C40CBB" w:rsidRPr="004B36B2">
        <w:rPr>
          <w:rFonts w:asciiTheme="majorBidi" w:hAnsiTheme="majorBidi" w:cstheme="majorBidi"/>
          <w:color w:val="000000" w:themeColor="text1"/>
          <w:szCs w:val="24"/>
        </w:rPr>
        <w:t xml:space="preserve"> can fetch them higher income from migrating</w:t>
      </w:r>
      <w:r w:rsidR="0052131F" w:rsidRPr="004B36B2">
        <w:rPr>
          <w:rFonts w:asciiTheme="majorBidi" w:hAnsiTheme="majorBidi" w:cstheme="majorBidi"/>
          <w:color w:val="000000" w:themeColor="text1"/>
          <w:szCs w:val="24"/>
        </w:rPr>
        <w:t xml:space="preserve"> </w:t>
      </w:r>
      <w:r w:rsidR="00273A5C" w:rsidRPr="004B36B2">
        <w:rPr>
          <w:rFonts w:asciiTheme="majorBidi" w:hAnsiTheme="majorBidi" w:cstheme="majorBidi"/>
          <w:color w:val="000000" w:themeColor="text1"/>
          <w:szCs w:val="24"/>
        </w:rPr>
        <w:t xml:space="preserve">rather than staying in school </w:t>
      </w:r>
      <w:r w:rsidR="0052131F" w:rsidRPr="004B36B2">
        <w:rPr>
          <w:rFonts w:asciiTheme="majorBidi" w:hAnsiTheme="majorBidi" w:cstheme="majorBidi"/>
          <w:color w:val="000000" w:themeColor="text1"/>
          <w:szCs w:val="24"/>
        </w:rPr>
        <w:t>(</w:t>
      </w:r>
      <w:r w:rsidR="00C95ACE" w:rsidRPr="004B36B2">
        <w:rPr>
          <w:rFonts w:asciiTheme="majorBidi" w:hAnsiTheme="majorBidi" w:cstheme="majorBidi"/>
          <w:color w:val="000000" w:themeColor="text1"/>
          <w:szCs w:val="24"/>
          <w:shd w:val="clear" w:color="auto" w:fill="FFFFFF"/>
        </w:rPr>
        <w:t>Bredl</w:t>
      </w:r>
      <w:r w:rsidR="00185B5D">
        <w:rPr>
          <w:rFonts w:asciiTheme="majorBidi" w:hAnsiTheme="majorBidi" w:cstheme="majorBidi"/>
          <w:color w:val="000000" w:themeColor="text1"/>
          <w:szCs w:val="24"/>
          <w:shd w:val="clear" w:color="auto" w:fill="FFFFFF"/>
        </w:rPr>
        <w:t xml:space="preserve"> </w:t>
      </w:r>
      <w:r w:rsidR="00C95ACE" w:rsidRPr="004B36B2">
        <w:rPr>
          <w:rFonts w:asciiTheme="majorBidi" w:hAnsiTheme="majorBidi" w:cstheme="majorBidi"/>
          <w:color w:val="000000" w:themeColor="text1"/>
          <w:szCs w:val="24"/>
          <w:shd w:val="clear" w:color="auto" w:fill="FFFFFF"/>
        </w:rPr>
        <w:t>2011</w:t>
      </w:r>
      <w:r w:rsidR="00185B5D">
        <w:rPr>
          <w:rFonts w:asciiTheme="majorBidi" w:hAnsiTheme="majorBidi" w:cstheme="majorBidi"/>
          <w:color w:val="000000" w:themeColor="text1"/>
          <w:szCs w:val="24"/>
          <w:shd w:val="clear" w:color="auto" w:fill="FFFFFF"/>
        </w:rPr>
        <w:t xml:space="preserve">, </w:t>
      </w:r>
      <w:r w:rsidR="00C95ACE" w:rsidRPr="004B36B2">
        <w:rPr>
          <w:rFonts w:asciiTheme="majorBidi" w:hAnsiTheme="majorBidi" w:cstheme="majorBidi"/>
          <w:color w:val="000000" w:themeColor="text1"/>
          <w:szCs w:val="24"/>
          <w:shd w:val="clear" w:color="auto" w:fill="FFFFFF"/>
        </w:rPr>
        <w:t>Salas 2014</w:t>
      </w:r>
      <w:r w:rsidR="0052131F" w:rsidRPr="004B36B2">
        <w:rPr>
          <w:rFonts w:asciiTheme="majorBidi" w:hAnsiTheme="majorBidi" w:cstheme="majorBidi"/>
          <w:color w:val="000000" w:themeColor="text1"/>
          <w:szCs w:val="24"/>
          <w:shd w:val="clear" w:color="auto" w:fill="FFFFFF"/>
        </w:rPr>
        <w:t>)</w:t>
      </w:r>
      <w:r w:rsidR="0052131F" w:rsidRPr="004B36B2">
        <w:rPr>
          <w:rFonts w:asciiTheme="majorBidi" w:hAnsiTheme="majorBidi" w:cstheme="majorBidi"/>
          <w:color w:val="000000" w:themeColor="text1"/>
          <w:szCs w:val="24"/>
        </w:rPr>
        <w:t>.</w:t>
      </w:r>
      <w:r w:rsidR="000B5608" w:rsidRPr="004B36B2">
        <w:rPr>
          <w:rFonts w:asciiTheme="majorBidi" w:hAnsiTheme="majorBidi" w:cstheme="majorBidi"/>
          <w:color w:val="000000" w:themeColor="text1"/>
          <w:szCs w:val="24"/>
        </w:rPr>
        <w:t xml:space="preserve"> </w:t>
      </w:r>
    </w:p>
    <w:p w14:paraId="3CBEF8D1" w14:textId="77777777" w:rsidR="009D22DE" w:rsidRPr="00E54F60" w:rsidRDefault="009D22DE" w:rsidP="00283A3C">
      <w:pPr>
        <w:spacing w:line="288" w:lineRule="auto"/>
        <w:ind w:firstLine="720"/>
        <w:jc w:val="both"/>
        <w:rPr>
          <w:rFonts w:asciiTheme="majorBidi" w:hAnsiTheme="majorBidi" w:cstheme="majorBidi"/>
          <w:color w:val="000000" w:themeColor="text1"/>
          <w:sz w:val="20"/>
          <w:szCs w:val="20"/>
        </w:rPr>
      </w:pPr>
    </w:p>
    <w:p w14:paraId="2877C146" w14:textId="6A5CA946" w:rsidR="0055207B" w:rsidRDefault="00F910B7"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A typical outcome of migration</w:t>
      </w:r>
      <w:r w:rsidR="0055207B" w:rsidRPr="004B36B2">
        <w:rPr>
          <w:rFonts w:asciiTheme="majorBidi" w:hAnsiTheme="majorBidi" w:cstheme="majorBidi"/>
          <w:color w:val="000000" w:themeColor="text1"/>
          <w:szCs w:val="24"/>
        </w:rPr>
        <w:t xml:space="preserve"> is subsequent remittances. Many </w:t>
      </w:r>
      <w:r w:rsidRPr="004B36B2">
        <w:rPr>
          <w:rFonts w:asciiTheme="majorBidi" w:hAnsiTheme="majorBidi" w:cstheme="majorBidi"/>
          <w:color w:val="000000" w:themeColor="text1"/>
          <w:szCs w:val="24"/>
        </w:rPr>
        <w:t xml:space="preserve">studies from </w:t>
      </w:r>
      <w:r w:rsidR="00747939" w:rsidRPr="004B36B2">
        <w:rPr>
          <w:rFonts w:asciiTheme="majorBidi" w:hAnsiTheme="majorBidi" w:cstheme="majorBidi"/>
          <w:color w:val="000000" w:themeColor="text1"/>
          <w:szCs w:val="24"/>
        </w:rPr>
        <w:t xml:space="preserve">developing </w:t>
      </w:r>
      <w:r w:rsidR="00DD3824" w:rsidRPr="004B36B2">
        <w:rPr>
          <w:rFonts w:asciiTheme="majorBidi" w:hAnsiTheme="majorBidi" w:cstheme="majorBidi"/>
          <w:color w:val="000000" w:themeColor="text1"/>
          <w:szCs w:val="24"/>
        </w:rPr>
        <w:t>countries like E</w:t>
      </w:r>
      <w:r w:rsidR="00F73973" w:rsidRPr="004B36B2">
        <w:rPr>
          <w:rFonts w:asciiTheme="majorBidi" w:hAnsiTheme="majorBidi" w:cstheme="majorBidi"/>
          <w:color w:val="000000" w:themeColor="text1"/>
          <w:szCs w:val="24"/>
        </w:rPr>
        <w:t xml:space="preserve">gypt, </w:t>
      </w:r>
      <w:r w:rsidR="00BF1E7F" w:rsidRPr="004B36B2">
        <w:rPr>
          <w:rFonts w:asciiTheme="majorBidi" w:hAnsiTheme="majorBidi" w:cstheme="majorBidi"/>
          <w:color w:val="000000" w:themeColor="text1"/>
          <w:szCs w:val="24"/>
        </w:rPr>
        <w:t xml:space="preserve">Mexico, </w:t>
      </w:r>
      <w:r w:rsidR="00F73973" w:rsidRPr="004B36B2">
        <w:rPr>
          <w:rFonts w:asciiTheme="majorBidi" w:hAnsiTheme="majorBidi" w:cstheme="majorBidi"/>
          <w:color w:val="000000" w:themeColor="text1"/>
          <w:szCs w:val="24"/>
        </w:rPr>
        <w:t>Nepal,</w:t>
      </w:r>
      <w:r w:rsidR="00743CD2" w:rsidRPr="004B36B2">
        <w:rPr>
          <w:rFonts w:asciiTheme="majorBidi" w:hAnsiTheme="majorBidi" w:cstheme="majorBidi"/>
          <w:color w:val="000000" w:themeColor="text1"/>
          <w:szCs w:val="24"/>
        </w:rPr>
        <w:t xml:space="preserve"> </w:t>
      </w:r>
      <w:r w:rsidR="00934BA9" w:rsidRPr="004B36B2">
        <w:rPr>
          <w:rFonts w:asciiTheme="majorBidi" w:hAnsiTheme="majorBidi" w:cstheme="majorBidi"/>
          <w:color w:val="000000" w:themeColor="text1"/>
          <w:szCs w:val="24"/>
        </w:rPr>
        <w:t xml:space="preserve">El </w:t>
      </w:r>
      <w:r w:rsidR="00934BA9" w:rsidRPr="004B36B2">
        <w:rPr>
          <w:rFonts w:asciiTheme="majorBidi" w:hAnsiTheme="majorBidi" w:cstheme="majorBidi"/>
          <w:noProof/>
          <w:color w:val="000000" w:themeColor="text1"/>
          <w:szCs w:val="24"/>
        </w:rPr>
        <w:t>Sal</w:t>
      </w:r>
      <w:r w:rsidR="00CD3837" w:rsidRPr="004B36B2">
        <w:rPr>
          <w:rFonts w:asciiTheme="majorBidi" w:hAnsiTheme="majorBidi" w:cstheme="majorBidi"/>
          <w:noProof/>
          <w:color w:val="000000" w:themeColor="text1"/>
          <w:szCs w:val="24"/>
        </w:rPr>
        <w:t>v</w:t>
      </w:r>
      <w:r w:rsidR="00934BA9" w:rsidRPr="004B36B2">
        <w:rPr>
          <w:rFonts w:asciiTheme="majorBidi" w:hAnsiTheme="majorBidi" w:cstheme="majorBidi"/>
          <w:noProof/>
          <w:color w:val="000000" w:themeColor="text1"/>
          <w:szCs w:val="24"/>
        </w:rPr>
        <w:t>ador</w:t>
      </w:r>
      <w:r w:rsidR="00934BA9" w:rsidRPr="004B36B2">
        <w:rPr>
          <w:rFonts w:asciiTheme="majorBidi" w:hAnsiTheme="majorBidi" w:cstheme="majorBidi"/>
          <w:color w:val="000000" w:themeColor="text1"/>
          <w:szCs w:val="24"/>
        </w:rPr>
        <w:t xml:space="preserve">, </w:t>
      </w:r>
      <w:r w:rsidR="007160A5" w:rsidRPr="004B36B2">
        <w:rPr>
          <w:rFonts w:asciiTheme="majorBidi" w:hAnsiTheme="majorBidi" w:cstheme="majorBidi"/>
          <w:color w:val="000000" w:themeColor="text1"/>
          <w:szCs w:val="24"/>
        </w:rPr>
        <w:t xml:space="preserve">Sri Lanka, </w:t>
      </w:r>
      <w:r w:rsidR="00522580" w:rsidRPr="004B36B2">
        <w:rPr>
          <w:rFonts w:asciiTheme="majorBidi" w:eastAsia="Calibri" w:hAnsiTheme="majorBidi" w:cstheme="majorBidi"/>
          <w:color w:val="000000" w:themeColor="text1"/>
          <w:szCs w:val="24"/>
        </w:rPr>
        <w:t xml:space="preserve">Ecuador, </w:t>
      </w:r>
      <w:r w:rsidR="00D17D67" w:rsidRPr="004B36B2">
        <w:rPr>
          <w:rFonts w:asciiTheme="majorBidi" w:hAnsiTheme="majorBidi" w:cstheme="majorBidi"/>
          <w:color w:val="000000" w:themeColor="text1"/>
          <w:szCs w:val="24"/>
        </w:rPr>
        <w:t>Peru, and Haiti</w:t>
      </w:r>
      <w:r w:rsidR="002C6CF6"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find</w:t>
      </w:r>
      <w:r w:rsidR="003D62CD" w:rsidRPr="004B36B2">
        <w:rPr>
          <w:rFonts w:asciiTheme="majorBidi" w:hAnsiTheme="majorBidi" w:cstheme="majorBidi"/>
          <w:color w:val="000000" w:themeColor="text1"/>
          <w:szCs w:val="24"/>
        </w:rPr>
        <w:t xml:space="preserve"> positive effect</w:t>
      </w:r>
      <w:r w:rsidRPr="004B36B2">
        <w:rPr>
          <w:rFonts w:asciiTheme="majorBidi" w:hAnsiTheme="majorBidi" w:cstheme="majorBidi"/>
          <w:color w:val="000000" w:themeColor="text1"/>
          <w:szCs w:val="24"/>
        </w:rPr>
        <w:t>s</w:t>
      </w:r>
      <w:r w:rsidR="003D62CD" w:rsidRPr="004B36B2">
        <w:rPr>
          <w:rFonts w:asciiTheme="majorBidi" w:hAnsiTheme="majorBidi" w:cstheme="majorBidi"/>
          <w:color w:val="000000" w:themeColor="text1"/>
          <w:szCs w:val="24"/>
        </w:rPr>
        <w:t xml:space="preserve"> of remittance</w:t>
      </w:r>
      <w:r w:rsidRPr="004B36B2">
        <w:rPr>
          <w:rFonts w:asciiTheme="majorBidi" w:hAnsiTheme="majorBidi" w:cstheme="majorBidi"/>
          <w:color w:val="000000" w:themeColor="text1"/>
          <w:szCs w:val="24"/>
        </w:rPr>
        <w:t>s</w:t>
      </w:r>
      <w:r w:rsidR="003D62CD" w:rsidRPr="004B36B2">
        <w:rPr>
          <w:rFonts w:asciiTheme="majorBidi" w:hAnsiTheme="majorBidi" w:cstheme="majorBidi"/>
          <w:color w:val="000000" w:themeColor="text1"/>
          <w:szCs w:val="24"/>
        </w:rPr>
        <w:t xml:space="preserve"> on </w:t>
      </w:r>
      <w:r w:rsidR="000840AF" w:rsidRPr="004B36B2">
        <w:rPr>
          <w:rFonts w:asciiTheme="majorBidi" w:hAnsiTheme="majorBidi" w:cstheme="majorBidi"/>
          <w:color w:val="000000" w:themeColor="text1"/>
          <w:szCs w:val="24"/>
        </w:rPr>
        <w:t xml:space="preserve">schooling </w:t>
      </w:r>
      <w:r w:rsidR="00DD3824" w:rsidRPr="004B36B2">
        <w:rPr>
          <w:rFonts w:asciiTheme="majorBidi" w:hAnsiTheme="majorBidi" w:cstheme="majorBidi"/>
          <w:color w:val="000000" w:themeColor="text1"/>
          <w:szCs w:val="24"/>
        </w:rPr>
        <w:t>(</w:t>
      </w:r>
      <w:r w:rsidR="00F42699" w:rsidRPr="004B36B2">
        <w:rPr>
          <w:rFonts w:asciiTheme="majorBidi" w:hAnsiTheme="majorBidi" w:cstheme="majorBidi"/>
          <w:color w:val="000000" w:themeColor="text1"/>
          <w:szCs w:val="24"/>
          <w:shd w:val="clear" w:color="auto" w:fill="FFFFFF"/>
        </w:rPr>
        <w:t xml:space="preserve">Acharya </w:t>
      </w:r>
      <w:r w:rsidR="00DB0036" w:rsidRPr="00DB0036">
        <w:rPr>
          <w:rFonts w:asciiTheme="majorBidi" w:hAnsiTheme="majorBidi" w:cstheme="majorBidi"/>
          <w:color w:val="000000" w:themeColor="text1"/>
          <w:szCs w:val="24"/>
          <w:shd w:val="clear" w:color="auto" w:fill="FFFFFF"/>
        </w:rPr>
        <w:t>and</w:t>
      </w:r>
      <w:r w:rsidR="00F42699" w:rsidRPr="004B36B2">
        <w:rPr>
          <w:rFonts w:asciiTheme="majorBidi" w:hAnsiTheme="majorBidi" w:cstheme="majorBidi"/>
          <w:color w:val="000000" w:themeColor="text1"/>
          <w:szCs w:val="24"/>
          <w:shd w:val="clear" w:color="auto" w:fill="FFFFFF"/>
        </w:rPr>
        <w:t xml:space="preserve"> Leon-Gonzalez 2013, 2018</w:t>
      </w:r>
      <w:r w:rsidR="00DB0036">
        <w:rPr>
          <w:rFonts w:asciiTheme="majorBidi" w:hAnsiTheme="majorBidi" w:cstheme="majorBidi"/>
          <w:color w:val="000000" w:themeColor="text1"/>
          <w:szCs w:val="24"/>
          <w:shd w:val="clear" w:color="auto" w:fill="FFFFFF"/>
        </w:rPr>
        <w:t>,</w:t>
      </w:r>
      <w:r w:rsidR="00F42699" w:rsidRPr="004B36B2">
        <w:rPr>
          <w:rFonts w:asciiTheme="majorBidi" w:hAnsiTheme="majorBidi" w:cstheme="majorBidi"/>
          <w:color w:val="000000" w:themeColor="text1"/>
          <w:szCs w:val="24"/>
          <w:shd w:val="clear" w:color="auto" w:fill="FFFFFF"/>
        </w:rPr>
        <w:t xml:space="preserve"> Acosta 2011</w:t>
      </w:r>
      <w:r w:rsidR="00DB0036">
        <w:rPr>
          <w:rFonts w:asciiTheme="majorBidi" w:hAnsiTheme="majorBidi" w:cstheme="majorBidi"/>
          <w:color w:val="000000" w:themeColor="text1"/>
          <w:szCs w:val="24"/>
          <w:shd w:val="clear" w:color="auto" w:fill="FFFFFF"/>
        </w:rPr>
        <w:t>,</w:t>
      </w:r>
      <w:r w:rsidR="00F42699" w:rsidRPr="004B36B2">
        <w:rPr>
          <w:rFonts w:asciiTheme="majorBidi" w:hAnsiTheme="majorBidi" w:cstheme="majorBidi"/>
          <w:color w:val="000000" w:themeColor="text1"/>
          <w:szCs w:val="24"/>
          <w:shd w:val="clear" w:color="auto" w:fill="FFFFFF"/>
        </w:rPr>
        <w:t xml:space="preserve"> </w:t>
      </w:r>
      <w:r w:rsidR="008500D6" w:rsidRPr="004B36B2">
        <w:rPr>
          <w:rFonts w:asciiTheme="majorBidi" w:hAnsiTheme="majorBidi" w:cstheme="majorBidi"/>
          <w:color w:val="000000" w:themeColor="text1"/>
          <w:szCs w:val="24"/>
          <w:shd w:val="clear" w:color="auto" w:fill="FFFFFF"/>
        </w:rPr>
        <w:t xml:space="preserve">Alcaraz </w:t>
      </w:r>
      <w:r w:rsidR="00DB0036" w:rsidRPr="00DB0036">
        <w:rPr>
          <w:rFonts w:asciiTheme="majorBidi" w:hAnsiTheme="majorBidi" w:cstheme="majorBidi"/>
          <w:i/>
          <w:iCs/>
          <w:color w:val="000000" w:themeColor="text1"/>
          <w:szCs w:val="24"/>
          <w:shd w:val="clear" w:color="auto" w:fill="FFFFFF"/>
        </w:rPr>
        <w:t>et al.</w:t>
      </w:r>
      <w:r w:rsidR="008500D6" w:rsidRPr="004B36B2">
        <w:rPr>
          <w:rFonts w:asciiTheme="majorBidi" w:hAnsiTheme="majorBidi" w:cstheme="majorBidi"/>
          <w:color w:val="000000" w:themeColor="text1"/>
          <w:szCs w:val="24"/>
          <w:shd w:val="clear" w:color="auto" w:fill="FFFFFF"/>
        </w:rPr>
        <w:t xml:space="preserve"> 2010</w:t>
      </w:r>
      <w:r w:rsidR="00DB0036">
        <w:rPr>
          <w:rFonts w:asciiTheme="majorBidi" w:hAnsiTheme="majorBidi" w:cstheme="majorBidi"/>
          <w:color w:val="000000" w:themeColor="text1"/>
          <w:szCs w:val="24"/>
          <w:shd w:val="clear" w:color="auto" w:fill="FFFFFF"/>
        </w:rPr>
        <w:t>,</w:t>
      </w:r>
      <w:r w:rsidR="008500D6" w:rsidRPr="004B36B2">
        <w:rPr>
          <w:rFonts w:asciiTheme="majorBidi" w:hAnsiTheme="majorBidi" w:cstheme="majorBidi"/>
          <w:color w:val="000000" w:themeColor="text1"/>
          <w:szCs w:val="24"/>
          <w:shd w:val="clear" w:color="auto" w:fill="FFFFFF"/>
        </w:rPr>
        <w:t xml:space="preserve"> Amuedo-Dorantes </w:t>
      </w:r>
      <w:r w:rsidR="00DB0036" w:rsidRPr="00DB0036">
        <w:rPr>
          <w:rFonts w:asciiTheme="majorBidi" w:hAnsiTheme="majorBidi" w:cstheme="majorBidi"/>
          <w:color w:val="000000" w:themeColor="text1"/>
          <w:szCs w:val="24"/>
          <w:shd w:val="clear" w:color="auto" w:fill="FFFFFF"/>
        </w:rPr>
        <w:t>and</w:t>
      </w:r>
      <w:r w:rsidR="008500D6" w:rsidRPr="004B36B2">
        <w:rPr>
          <w:rFonts w:asciiTheme="majorBidi" w:hAnsiTheme="majorBidi" w:cstheme="majorBidi"/>
          <w:color w:val="000000" w:themeColor="text1"/>
          <w:szCs w:val="24"/>
          <w:shd w:val="clear" w:color="auto" w:fill="FFFFFF"/>
        </w:rPr>
        <w:t xml:space="preserve"> Pozo 2010</w:t>
      </w:r>
      <w:r w:rsidR="00DB0036">
        <w:rPr>
          <w:rFonts w:asciiTheme="majorBidi" w:hAnsiTheme="majorBidi" w:cstheme="majorBidi"/>
          <w:color w:val="000000" w:themeColor="text1"/>
          <w:szCs w:val="24"/>
          <w:shd w:val="clear" w:color="auto" w:fill="FFFFFF"/>
        </w:rPr>
        <w:t>,</w:t>
      </w:r>
      <w:r w:rsidR="008500D6" w:rsidRPr="004B36B2">
        <w:rPr>
          <w:rFonts w:asciiTheme="majorBidi" w:hAnsiTheme="majorBidi" w:cstheme="majorBidi"/>
          <w:color w:val="000000" w:themeColor="text1"/>
          <w:szCs w:val="24"/>
          <w:shd w:val="clear" w:color="auto" w:fill="FFFFFF"/>
        </w:rPr>
        <w:t xml:space="preserve"> </w:t>
      </w:r>
      <w:r w:rsidR="00F42699" w:rsidRPr="004B36B2">
        <w:rPr>
          <w:rFonts w:asciiTheme="majorBidi" w:hAnsiTheme="majorBidi" w:cstheme="majorBidi"/>
          <w:color w:val="000000" w:themeColor="text1"/>
          <w:szCs w:val="24"/>
          <w:shd w:val="clear" w:color="auto" w:fill="FFFFFF"/>
        </w:rPr>
        <w:t>Azizi 2018</w:t>
      </w:r>
      <w:r w:rsidR="00DB0036">
        <w:rPr>
          <w:rFonts w:asciiTheme="majorBidi" w:hAnsiTheme="majorBidi" w:cstheme="majorBidi"/>
          <w:color w:val="000000" w:themeColor="text1"/>
          <w:szCs w:val="24"/>
          <w:shd w:val="clear" w:color="auto" w:fill="FFFFFF"/>
        </w:rPr>
        <w:t>,</w:t>
      </w:r>
      <w:r w:rsidR="00F42699" w:rsidRPr="004B36B2">
        <w:rPr>
          <w:rFonts w:asciiTheme="majorBidi" w:hAnsiTheme="majorBidi" w:cstheme="majorBidi"/>
          <w:color w:val="000000" w:themeColor="text1"/>
          <w:szCs w:val="24"/>
          <w:shd w:val="clear" w:color="auto" w:fill="FFFFFF"/>
        </w:rPr>
        <w:t xml:space="preserve"> Bredl 2011</w:t>
      </w:r>
      <w:r w:rsidR="00DB0036">
        <w:rPr>
          <w:rFonts w:asciiTheme="majorBidi" w:hAnsiTheme="majorBidi" w:cstheme="majorBidi"/>
          <w:color w:val="000000" w:themeColor="text1"/>
          <w:szCs w:val="24"/>
          <w:shd w:val="clear" w:color="auto" w:fill="FFFFFF"/>
        </w:rPr>
        <w:t>,</w:t>
      </w:r>
      <w:r w:rsidR="00F42699" w:rsidRPr="004B36B2">
        <w:rPr>
          <w:rFonts w:asciiTheme="majorBidi" w:hAnsiTheme="majorBidi" w:cstheme="majorBidi"/>
          <w:color w:val="000000" w:themeColor="text1"/>
          <w:szCs w:val="24"/>
          <w:shd w:val="clear" w:color="auto" w:fill="FFFFFF"/>
        </w:rPr>
        <w:t xml:space="preserve"> Bucheli </w:t>
      </w:r>
      <w:r w:rsidR="00DB0036" w:rsidRPr="00DB0036">
        <w:rPr>
          <w:rFonts w:asciiTheme="majorBidi" w:hAnsiTheme="majorBidi" w:cstheme="majorBidi"/>
          <w:i/>
          <w:iCs/>
          <w:color w:val="000000" w:themeColor="text1"/>
          <w:szCs w:val="24"/>
          <w:shd w:val="clear" w:color="auto" w:fill="FFFFFF"/>
        </w:rPr>
        <w:t>et al.</w:t>
      </w:r>
      <w:r w:rsidR="00F42699" w:rsidRPr="004B36B2">
        <w:rPr>
          <w:rFonts w:asciiTheme="majorBidi" w:hAnsiTheme="majorBidi" w:cstheme="majorBidi"/>
          <w:color w:val="000000" w:themeColor="text1"/>
          <w:szCs w:val="24"/>
          <w:shd w:val="clear" w:color="auto" w:fill="FFFFFF"/>
        </w:rPr>
        <w:t xml:space="preserve"> 2018</w:t>
      </w:r>
      <w:r w:rsidR="00DB0036">
        <w:rPr>
          <w:rFonts w:asciiTheme="majorBidi" w:hAnsiTheme="majorBidi" w:cstheme="majorBidi"/>
          <w:color w:val="000000" w:themeColor="text1"/>
          <w:szCs w:val="24"/>
          <w:shd w:val="clear" w:color="auto" w:fill="FFFFFF"/>
        </w:rPr>
        <w:t>,</w:t>
      </w:r>
      <w:r w:rsidR="00F42699" w:rsidRPr="004B36B2">
        <w:rPr>
          <w:rFonts w:asciiTheme="majorBidi" w:hAnsiTheme="majorBidi" w:cstheme="majorBidi"/>
          <w:color w:val="000000" w:themeColor="text1"/>
          <w:szCs w:val="24"/>
          <w:shd w:val="clear" w:color="auto" w:fill="FFFFFF"/>
        </w:rPr>
        <w:t xml:space="preserve"> </w:t>
      </w:r>
      <w:r w:rsidR="00C64A87" w:rsidRPr="004B36B2">
        <w:rPr>
          <w:rFonts w:asciiTheme="majorBidi" w:hAnsiTheme="majorBidi" w:cstheme="majorBidi"/>
          <w:color w:val="000000" w:themeColor="text1"/>
          <w:szCs w:val="24"/>
          <w:shd w:val="clear" w:color="auto" w:fill="FFFFFF"/>
        </w:rPr>
        <w:t xml:space="preserve">Calero </w:t>
      </w:r>
      <w:r w:rsidR="00DB0036" w:rsidRPr="00DB0036">
        <w:rPr>
          <w:rFonts w:asciiTheme="majorBidi" w:hAnsiTheme="majorBidi" w:cstheme="majorBidi"/>
          <w:i/>
          <w:iCs/>
          <w:color w:val="000000" w:themeColor="text1"/>
          <w:szCs w:val="24"/>
          <w:shd w:val="clear" w:color="auto" w:fill="FFFFFF"/>
        </w:rPr>
        <w:t>et al.</w:t>
      </w:r>
      <w:r w:rsidR="00C64A87" w:rsidRPr="004B36B2">
        <w:rPr>
          <w:rFonts w:asciiTheme="majorBidi" w:hAnsiTheme="majorBidi" w:cstheme="majorBidi"/>
          <w:color w:val="000000" w:themeColor="text1"/>
          <w:szCs w:val="24"/>
          <w:shd w:val="clear" w:color="auto" w:fill="FFFFFF"/>
        </w:rPr>
        <w:t xml:space="preserve"> 2009</w:t>
      </w:r>
      <w:r w:rsidR="00DB0036">
        <w:rPr>
          <w:rFonts w:asciiTheme="majorBidi" w:hAnsiTheme="majorBidi" w:cstheme="majorBidi"/>
          <w:color w:val="000000" w:themeColor="text1"/>
          <w:szCs w:val="24"/>
          <w:shd w:val="clear" w:color="auto" w:fill="FFFFFF"/>
        </w:rPr>
        <w:t>,</w:t>
      </w:r>
      <w:r w:rsidR="00C64A87" w:rsidRPr="004B36B2">
        <w:rPr>
          <w:rFonts w:asciiTheme="majorBidi" w:hAnsiTheme="majorBidi" w:cstheme="majorBidi"/>
          <w:color w:val="000000" w:themeColor="text1"/>
          <w:szCs w:val="24"/>
          <w:shd w:val="clear" w:color="auto" w:fill="FFFFFF"/>
        </w:rPr>
        <w:t xml:space="preserve"> </w:t>
      </w:r>
      <w:r w:rsidR="00A66E3D" w:rsidRPr="004B36B2">
        <w:rPr>
          <w:rFonts w:asciiTheme="majorBidi" w:hAnsiTheme="majorBidi" w:cstheme="majorBidi"/>
          <w:color w:val="000000" w:themeColor="text1"/>
          <w:szCs w:val="24"/>
          <w:shd w:val="clear" w:color="auto" w:fill="FFFFFF"/>
        </w:rPr>
        <w:t>De</w:t>
      </w:r>
      <w:r w:rsidR="00CC289B"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color w:val="000000" w:themeColor="text1"/>
          <w:szCs w:val="24"/>
          <w:shd w:val="clear" w:color="auto" w:fill="FFFFFF"/>
        </w:rPr>
        <w:t>and</w:t>
      </w:r>
      <w:r w:rsidR="00CC289B" w:rsidRPr="004B36B2">
        <w:rPr>
          <w:rFonts w:asciiTheme="majorBidi" w:hAnsiTheme="majorBidi" w:cstheme="majorBidi"/>
          <w:color w:val="000000" w:themeColor="text1"/>
          <w:szCs w:val="24"/>
          <w:shd w:val="clear" w:color="auto" w:fill="FFFFFF"/>
        </w:rPr>
        <w:t xml:space="preserve"> Ratha 2012</w:t>
      </w:r>
      <w:r w:rsidR="00DB0036">
        <w:rPr>
          <w:rFonts w:asciiTheme="majorBidi" w:hAnsiTheme="majorBidi" w:cstheme="majorBidi"/>
          <w:color w:val="000000" w:themeColor="text1"/>
          <w:szCs w:val="24"/>
          <w:shd w:val="clear" w:color="auto" w:fill="FFFFFF"/>
        </w:rPr>
        <w:t>,</w:t>
      </w:r>
      <w:r w:rsidR="00DD3824" w:rsidRPr="004B36B2">
        <w:rPr>
          <w:rFonts w:asciiTheme="majorBidi" w:hAnsiTheme="majorBidi" w:cstheme="majorBidi"/>
          <w:color w:val="000000" w:themeColor="text1"/>
          <w:szCs w:val="24"/>
          <w:shd w:val="clear" w:color="auto" w:fill="FFFFFF"/>
        </w:rPr>
        <w:t xml:space="preserve"> </w:t>
      </w:r>
      <w:r w:rsidR="00C64A87" w:rsidRPr="004B36B2">
        <w:rPr>
          <w:rFonts w:asciiTheme="majorBidi" w:hAnsiTheme="majorBidi" w:cstheme="majorBidi"/>
          <w:color w:val="000000" w:themeColor="text1"/>
          <w:szCs w:val="24"/>
          <w:shd w:val="clear" w:color="auto" w:fill="FFFFFF"/>
        </w:rPr>
        <w:t xml:space="preserve">Koska </w:t>
      </w:r>
      <w:r w:rsidR="00C64A87" w:rsidRPr="00185B5D">
        <w:rPr>
          <w:rFonts w:asciiTheme="majorBidi" w:hAnsiTheme="majorBidi" w:cstheme="majorBidi"/>
          <w:i/>
          <w:iCs/>
          <w:color w:val="000000" w:themeColor="text1"/>
          <w:szCs w:val="24"/>
          <w:shd w:val="clear" w:color="auto" w:fill="FFFFFF"/>
        </w:rPr>
        <w:t>et al</w:t>
      </w:r>
      <w:r w:rsidR="00185B5D">
        <w:rPr>
          <w:rFonts w:asciiTheme="majorBidi" w:hAnsiTheme="majorBidi" w:cstheme="majorBidi"/>
          <w:i/>
          <w:iCs/>
          <w:color w:val="000000" w:themeColor="text1"/>
          <w:szCs w:val="24"/>
          <w:shd w:val="clear" w:color="auto" w:fill="FFFFFF"/>
        </w:rPr>
        <w:t xml:space="preserve">. </w:t>
      </w:r>
      <w:r w:rsidR="00917B5C" w:rsidRPr="004B36B2">
        <w:rPr>
          <w:rFonts w:asciiTheme="majorBidi" w:hAnsiTheme="majorBidi" w:cstheme="majorBidi"/>
          <w:color w:val="000000" w:themeColor="text1"/>
          <w:szCs w:val="24"/>
          <w:shd w:val="clear" w:color="auto" w:fill="FFFFFF"/>
        </w:rPr>
        <w:t>2013</w:t>
      </w:r>
      <w:r w:rsidR="00DB0036">
        <w:rPr>
          <w:rFonts w:asciiTheme="majorBidi" w:hAnsiTheme="majorBidi" w:cstheme="majorBidi"/>
          <w:color w:val="000000" w:themeColor="text1"/>
          <w:szCs w:val="24"/>
          <w:shd w:val="clear" w:color="auto" w:fill="FFFFFF"/>
        </w:rPr>
        <w:t>,</w:t>
      </w:r>
      <w:r w:rsidR="00917B5C" w:rsidRPr="004B36B2">
        <w:rPr>
          <w:rFonts w:asciiTheme="majorBidi" w:hAnsiTheme="majorBidi" w:cstheme="majorBidi"/>
          <w:color w:val="000000" w:themeColor="text1"/>
          <w:szCs w:val="24"/>
          <w:shd w:val="clear" w:color="auto" w:fill="FFFFFF"/>
        </w:rPr>
        <w:t xml:space="preserve"> </w:t>
      </w:r>
      <w:r w:rsidR="00CC289B" w:rsidRPr="004B36B2">
        <w:rPr>
          <w:rFonts w:asciiTheme="majorBidi" w:hAnsiTheme="majorBidi" w:cstheme="majorBidi"/>
          <w:color w:val="000000" w:themeColor="text1"/>
          <w:szCs w:val="24"/>
          <w:shd w:val="clear" w:color="auto" w:fill="FFFFFF"/>
        </w:rPr>
        <w:t xml:space="preserve">Ngoma </w:t>
      </w:r>
      <w:r w:rsidR="00DB0036" w:rsidRPr="00DB0036">
        <w:rPr>
          <w:rFonts w:asciiTheme="majorBidi" w:hAnsiTheme="majorBidi" w:cstheme="majorBidi"/>
          <w:color w:val="000000" w:themeColor="text1"/>
          <w:szCs w:val="24"/>
          <w:shd w:val="clear" w:color="auto" w:fill="FFFFFF"/>
        </w:rPr>
        <w:t>and</w:t>
      </w:r>
      <w:r w:rsidR="00641694" w:rsidRPr="004B36B2">
        <w:rPr>
          <w:rFonts w:asciiTheme="majorBidi" w:hAnsiTheme="majorBidi" w:cstheme="majorBidi"/>
          <w:color w:val="000000" w:themeColor="text1"/>
          <w:szCs w:val="24"/>
          <w:shd w:val="clear" w:color="auto" w:fill="FFFFFF"/>
        </w:rPr>
        <w:t xml:space="preserve"> Ismail</w:t>
      </w:r>
      <w:r w:rsidR="00CC289B" w:rsidRPr="004B36B2">
        <w:rPr>
          <w:rFonts w:asciiTheme="majorBidi" w:hAnsiTheme="majorBidi" w:cstheme="majorBidi"/>
          <w:color w:val="000000" w:themeColor="text1"/>
          <w:szCs w:val="24"/>
          <w:shd w:val="clear" w:color="auto" w:fill="FFFFFF"/>
        </w:rPr>
        <w:t xml:space="preserve"> 2013</w:t>
      </w:r>
      <w:r w:rsidR="00DB0036">
        <w:rPr>
          <w:rFonts w:asciiTheme="majorBidi" w:hAnsiTheme="majorBidi" w:cstheme="majorBidi"/>
          <w:color w:val="000000" w:themeColor="text1"/>
          <w:szCs w:val="24"/>
          <w:shd w:val="clear" w:color="auto" w:fill="FFFFFF"/>
        </w:rPr>
        <w:t>,</w:t>
      </w:r>
      <w:r w:rsidR="00641694" w:rsidRPr="004B36B2">
        <w:rPr>
          <w:rFonts w:asciiTheme="majorBidi" w:hAnsiTheme="majorBidi" w:cstheme="majorBidi"/>
          <w:color w:val="000000" w:themeColor="text1"/>
          <w:szCs w:val="24"/>
          <w:shd w:val="clear" w:color="auto" w:fill="FFFFFF"/>
        </w:rPr>
        <w:t xml:space="preserve"> </w:t>
      </w:r>
      <w:r w:rsidR="00917B5C" w:rsidRPr="004B36B2">
        <w:rPr>
          <w:rFonts w:asciiTheme="majorBidi" w:hAnsiTheme="majorBidi" w:cstheme="majorBidi"/>
          <w:color w:val="000000" w:themeColor="text1"/>
          <w:szCs w:val="24"/>
          <w:shd w:val="clear" w:color="auto" w:fill="FFFFFF"/>
        </w:rPr>
        <w:t>Salas 2014</w:t>
      </w:r>
      <w:r w:rsidR="00DB0036">
        <w:rPr>
          <w:rFonts w:asciiTheme="majorBidi" w:hAnsiTheme="majorBidi" w:cstheme="majorBidi"/>
          <w:color w:val="000000" w:themeColor="text1"/>
          <w:szCs w:val="24"/>
          <w:shd w:val="clear" w:color="auto" w:fill="FFFFFF"/>
        </w:rPr>
        <w:t>,</w:t>
      </w:r>
      <w:r w:rsidR="00917B5C" w:rsidRPr="004B36B2">
        <w:rPr>
          <w:rFonts w:asciiTheme="majorBidi" w:hAnsiTheme="majorBidi" w:cstheme="majorBidi"/>
          <w:color w:val="000000" w:themeColor="text1"/>
          <w:szCs w:val="24"/>
          <w:shd w:val="clear" w:color="auto" w:fill="FFFFFF"/>
        </w:rPr>
        <w:t xml:space="preserve"> Shrestha 2017</w:t>
      </w:r>
      <w:r w:rsidR="008C07B7" w:rsidRPr="004B36B2">
        <w:rPr>
          <w:rFonts w:asciiTheme="majorBidi" w:hAnsiTheme="majorBidi" w:cstheme="majorBidi"/>
          <w:color w:val="000000" w:themeColor="text1"/>
          <w:szCs w:val="24"/>
          <w:shd w:val="clear" w:color="auto" w:fill="FFFFFF"/>
        </w:rPr>
        <w:t>)</w:t>
      </w:r>
      <w:r w:rsidR="0055207B" w:rsidRPr="004B36B2">
        <w:rPr>
          <w:rFonts w:asciiTheme="majorBidi" w:hAnsiTheme="majorBidi" w:cstheme="majorBidi"/>
          <w:color w:val="000000" w:themeColor="text1"/>
          <w:szCs w:val="24"/>
          <w:shd w:val="clear" w:color="auto" w:fill="FFFFFF"/>
        </w:rPr>
        <w:t xml:space="preserve"> although </w:t>
      </w:r>
      <w:r w:rsidR="001612EF" w:rsidRPr="004B36B2">
        <w:rPr>
          <w:rFonts w:asciiTheme="majorBidi" w:hAnsiTheme="majorBidi" w:cstheme="majorBidi"/>
          <w:color w:val="000000" w:themeColor="text1"/>
          <w:szCs w:val="24"/>
          <w:shd w:val="clear" w:color="auto" w:fill="FFFFFF"/>
        </w:rPr>
        <w:t xml:space="preserve">Karki </w:t>
      </w:r>
      <w:r w:rsidR="0055207B" w:rsidRPr="004B36B2">
        <w:rPr>
          <w:rFonts w:asciiTheme="majorBidi" w:hAnsiTheme="majorBidi" w:cstheme="majorBidi"/>
          <w:color w:val="000000" w:themeColor="text1"/>
          <w:szCs w:val="24"/>
          <w:shd w:val="clear" w:color="auto" w:fill="FFFFFF"/>
        </w:rPr>
        <w:t>Nepal</w:t>
      </w:r>
      <w:r w:rsidR="00F036BB" w:rsidRPr="004B36B2">
        <w:rPr>
          <w:rFonts w:asciiTheme="majorBidi" w:hAnsiTheme="majorBidi" w:cstheme="majorBidi"/>
          <w:color w:val="000000" w:themeColor="text1"/>
          <w:szCs w:val="24"/>
          <w:shd w:val="clear" w:color="auto" w:fill="FFFFFF"/>
        </w:rPr>
        <w:t xml:space="preserve"> (2016) find</w:t>
      </w:r>
      <w:r w:rsidR="0055207B" w:rsidRPr="004B36B2">
        <w:rPr>
          <w:rFonts w:asciiTheme="majorBidi" w:hAnsiTheme="majorBidi" w:cstheme="majorBidi"/>
          <w:color w:val="000000" w:themeColor="text1"/>
          <w:szCs w:val="24"/>
          <w:shd w:val="clear" w:color="auto" w:fill="FFFFFF"/>
        </w:rPr>
        <w:t>s</w:t>
      </w:r>
      <w:r w:rsidR="00F036BB" w:rsidRPr="004B36B2">
        <w:rPr>
          <w:rFonts w:asciiTheme="majorBidi" w:hAnsiTheme="majorBidi" w:cstheme="majorBidi"/>
          <w:color w:val="000000" w:themeColor="text1"/>
          <w:szCs w:val="24"/>
          <w:shd w:val="clear" w:color="auto" w:fill="FFFFFF"/>
        </w:rPr>
        <w:t xml:space="preserve"> </w:t>
      </w:r>
      <w:r w:rsidR="0055207B" w:rsidRPr="004B36B2">
        <w:rPr>
          <w:rFonts w:asciiTheme="majorBidi" w:hAnsiTheme="majorBidi" w:cstheme="majorBidi"/>
          <w:color w:val="000000" w:themeColor="text1"/>
          <w:szCs w:val="24"/>
          <w:shd w:val="clear" w:color="auto" w:fill="FFFFFF"/>
        </w:rPr>
        <w:t xml:space="preserve">no </w:t>
      </w:r>
      <w:r w:rsidR="00F036BB" w:rsidRPr="004B36B2">
        <w:rPr>
          <w:rFonts w:asciiTheme="majorBidi" w:hAnsiTheme="majorBidi" w:cstheme="majorBidi"/>
          <w:color w:val="000000" w:themeColor="text1"/>
          <w:szCs w:val="24"/>
          <w:shd w:val="clear" w:color="auto" w:fill="FFFFFF"/>
        </w:rPr>
        <w:t xml:space="preserve">significant impact on enrolment and child labour. </w:t>
      </w:r>
      <w:r w:rsidR="0055207B" w:rsidRPr="004B36B2">
        <w:rPr>
          <w:rFonts w:asciiTheme="majorBidi" w:hAnsiTheme="majorBidi" w:cstheme="majorBidi"/>
          <w:color w:val="000000" w:themeColor="text1"/>
          <w:szCs w:val="24"/>
          <w:shd w:val="clear" w:color="auto" w:fill="FFFFFF"/>
        </w:rPr>
        <w:t xml:space="preserve">The effects may also differ between </w:t>
      </w:r>
      <w:r w:rsidR="00485E38" w:rsidRPr="004B36B2">
        <w:rPr>
          <w:rFonts w:asciiTheme="majorBidi" w:hAnsiTheme="majorBidi" w:cstheme="majorBidi"/>
          <w:color w:val="000000" w:themeColor="text1"/>
          <w:szCs w:val="24"/>
        </w:rPr>
        <w:t>boys</w:t>
      </w:r>
      <w:r w:rsidRPr="004B36B2">
        <w:rPr>
          <w:rFonts w:asciiTheme="majorBidi" w:hAnsiTheme="majorBidi" w:cstheme="majorBidi"/>
          <w:color w:val="000000" w:themeColor="text1"/>
          <w:szCs w:val="24"/>
        </w:rPr>
        <w:t xml:space="preserve"> </w:t>
      </w:r>
      <w:r w:rsidR="0055207B" w:rsidRPr="004B36B2">
        <w:rPr>
          <w:rFonts w:asciiTheme="majorBidi" w:hAnsiTheme="majorBidi" w:cstheme="majorBidi"/>
          <w:color w:val="000000" w:themeColor="text1"/>
          <w:szCs w:val="24"/>
        </w:rPr>
        <w:t xml:space="preserve">and girls, and between </w:t>
      </w:r>
      <w:r w:rsidRPr="004B36B2">
        <w:rPr>
          <w:rFonts w:asciiTheme="majorBidi" w:hAnsiTheme="majorBidi" w:cstheme="majorBidi"/>
          <w:color w:val="000000" w:themeColor="text1"/>
          <w:szCs w:val="24"/>
        </w:rPr>
        <w:t xml:space="preserve">quantity (enrolments) </w:t>
      </w:r>
      <w:r w:rsidR="005F7EB7" w:rsidRPr="004B36B2">
        <w:rPr>
          <w:rFonts w:asciiTheme="majorBidi" w:hAnsiTheme="majorBidi" w:cstheme="majorBidi"/>
          <w:color w:val="000000" w:themeColor="text1"/>
          <w:szCs w:val="24"/>
        </w:rPr>
        <w:t>and</w:t>
      </w:r>
      <w:r w:rsidR="000840AF"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quality </w:t>
      </w:r>
      <w:r w:rsidR="005F7EB7" w:rsidRPr="004B36B2">
        <w:rPr>
          <w:rFonts w:asciiTheme="majorBidi" w:hAnsiTheme="majorBidi" w:cstheme="majorBidi"/>
          <w:color w:val="000000" w:themeColor="text1"/>
          <w:szCs w:val="24"/>
        </w:rPr>
        <w:t>(such</w:t>
      </w:r>
      <w:r w:rsidR="0055207B" w:rsidRPr="004B36B2">
        <w:rPr>
          <w:rFonts w:asciiTheme="majorBidi" w:hAnsiTheme="majorBidi" w:cstheme="majorBidi"/>
          <w:color w:val="000000" w:themeColor="text1"/>
          <w:szCs w:val="24"/>
        </w:rPr>
        <w:t xml:space="preserve"> as</w:t>
      </w:r>
      <w:r w:rsidRPr="004B36B2">
        <w:rPr>
          <w:rFonts w:asciiTheme="majorBidi" w:hAnsiTheme="majorBidi" w:cstheme="majorBidi"/>
          <w:color w:val="000000" w:themeColor="text1"/>
          <w:szCs w:val="24"/>
        </w:rPr>
        <w:t xml:space="preserve"> </w:t>
      </w:r>
      <w:r w:rsidR="00135867" w:rsidRPr="004B36B2">
        <w:rPr>
          <w:rFonts w:asciiTheme="majorBidi" w:hAnsiTheme="majorBidi" w:cstheme="majorBidi"/>
          <w:color w:val="000000" w:themeColor="text1"/>
          <w:szCs w:val="24"/>
        </w:rPr>
        <w:t>sending children to private schools</w:t>
      </w:r>
      <w:r w:rsidR="0055207B" w:rsidRPr="004B36B2">
        <w:rPr>
          <w:rFonts w:asciiTheme="majorBidi" w:hAnsiTheme="majorBidi" w:cstheme="majorBidi"/>
          <w:color w:val="000000" w:themeColor="text1"/>
          <w:szCs w:val="24"/>
        </w:rPr>
        <w:t>)</w:t>
      </w:r>
      <w:r w:rsidR="00F972B8" w:rsidRPr="004B36B2">
        <w:rPr>
          <w:rFonts w:asciiTheme="majorBidi" w:hAnsiTheme="majorBidi" w:cstheme="majorBidi"/>
          <w:color w:val="000000" w:themeColor="text1"/>
          <w:szCs w:val="24"/>
        </w:rPr>
        <w:t>.</w:t>
      </w:r>
      <w:r w:rsidR="00371538" w:rsidRPr="004B36B2">
        <w:rPr>
          <w:rFonts w:asciiTheme="majorBidi" w:hAnsiTheme="majorBidi" w:cstheme="majorBidi"/>
          <w:color w:val="000000" w:themeColor="text1"/>
          <w:szCs w:val="24"/>
        </w:rPr>
        <w:t xml:space="preserve"> </w:t>
      </w:r>
    </w:p>
    <w:p w14:paraId="3F1F2DB2" w14:textId="77777777" w:rsidR="009D22DE" w:rsidRPr="00E54F60" w:rsidRDefault="009D22DE" w:rsidP="00283A3C">
      <w:pPr>
        <w:spacing w:line="288" w:lineRule="auto"/>
        <w:ind w:firstLine="720"/>
        <w:jc w:val="both"/>
        <w:rPr>
          <w:rFonts w:asciiTheme="majorBidi" w:hAnsiTheme="majorBidi" w:cstheme="majorBidi"/>
          <w:color w:val="000000" w:themeColor="text1"/>
          <w:sz w:val="20"/>
          <w:szCs w:val="20"/>
        </w:rPr>
      </w:pPr>
    </w:p>
    <w:p w14:paraId="153E6C4F" w14:textId="233A9F83" w:rsidR="009065FD" w:rsidRDefault="0055207B"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 empirical ambiguity of remittance effects reflects the fact that, theoretrically, there can be offsetting effects. In one direction, r</w:t>
      </w:r>
      <w:r w:rsidR="00371538" w:rsidRPr="004B36B2">
        <w:rPr>
          <w:rFonts w:asciiTheme="majorBidi" w:hAnsiTheme="majorBidi" w:cstheme="majorBidi"/>
          <w:color w:val="000000" w:themeColor="text1"/>
          <w:szCs w:val="24"/>
        </w:rPr>
        <w:t>emittance</w:t>
      </w:r>
      <w:r w:rsidR="00F910B7" w:rsidRPr="004B36B2">
        <w:rPr>
          <w:rFonts w:asciiTheme="majorBidi" w:hAnsiTheme="majorBidi" w:cstheme="majorBidi"/>
          <w:color w:val="000000" w:themeColor="text1"/>
          <w:szCs w:val="24"/>
        </w:rPr>
        <w:t>s</w:t>
      </w:r>
      <w:r w:rsidR="00371538" w:rsidRPr="004B36B2">
        <w:rPr>
          <w:rFonts w:asciiTheme="majorBidi" w:hAnsiTheme="majorBidi" w:cstheme="majorBidi"/>
          <w:color w:val="000000" w:themeColor="text1"/>
          <w:szCs w:val="24"/>
        </w:rPr>
        <w:t xml:space="preserve"> </w:t>
      </w:r>
      <w:r w:rsidR="00F910B7" w:rsidRPr="004B36B2">
        <w:rPr>
          <w:rFonts w:asciiTheme="majorBidi" w:hAnsiTheme="majorBidi" w:cstheme="majorBidi"/>
          <w:color w:val="000000" w:themeColor="text1"/>
          <w:szCs w:val="24"/>
        </w:rPr>
        <w:t xml:space="preserve">help </w:t>
      </w:r>
      <w:r w:rsidR="000840AF" w:rsidRPr="004B36B2">
        <w:rPr>
          <w:rFonts w:asciiTheme="majorBidi" w:hAnsiTheme="majorBidi" w:cstheme="majorBidi"/>
          <w:color w:val="000000" w:themeColor="text1"/>
          <w:szCs w:val="24"/>
        </w:rPr>
        <w:t xml:space="preserve">households </w:t>
      </w:r>
      <w:r w:rsidR="00BC4C68" w:rsidRPr="004B36B2">
        <w:rPr>
          <w:rFonts w:asciiTheme="majorBidi" w:hAnsiTheme="majorBidi" w:cstheme="majorBidi"/>
          <w:color w:val="000000" w:themeColor="text1"/>
          <w:szCs w:val="24"/>
        </w:rPr>
        <w:t xml:space="preserve">to </w:t>
      </w:r>
      <w:r w:rsidR="000840AF" w:rsidRPr="004B36B2">
        <w:rPr>
          <w:rFonts w:asciiTheme="majorBidi" w:hAnsiTheme="majorBidi" w:cstheme="majorBidi"/>
          <w:color w:val="000000" w:themeColor="text1"/>
          <w:szCs w:val="24"/>
        </w:rPr>
        <w:t>overcome</w:t>
      </w:r>
      <w:r w:rsidR="00371538" w:rsidRPr="004B36B2">
        <w:rPr>
          <w:rFonts w:asciiTheme="majorBidi" w:hAnsiTheme="majorBidi" w:cstheme="majorBidi"/>
          <w:color w:val="000000" w:themeColor="text1"/>
          <w:szCs w:val="24"/>
        </w:rPr>
        <w:t xml:space="preserve"> borrowing constrain</w:t>
      </w:r>
      <w:r w:rsidR="005A3A94" w:rsidRPr="004B36B2">
        <w:rPr>
          <w:rFonts w:asciiTheme="majorBidi" w:hAnsiTheme="majorBidi" w:cstheme="majorBidi"/>
          <w:color w:val="000000" w:themeColor="text1"/>
          <w:szCs w:val="24"/>
        </w:rPr>
        <w:t>t</w:t>
      </w:r>
      <w:r w:rsidR="00F910B7" w:rsidRPr="004B36B2">
        <w:rPr>
          <w:rFonts w:asciiTheme="majorBidi" w:hAnsiTheme="majorBidi" w:cstheme="majorBidi"/>
          <w:color w:val="000000" w:themeColor="text1"/>
          <w:szCs w:val="24"/>
        </w:rPr>
        <w:t>s</w:t>
      </w:r>
      <w:r w:rsidR="00371538" w:rsidRPr="004B36B2">
        <w:rPr>
          <w:rFonts w:asciiTheme="majorBidi" w:hAnsiTheme="majorBidi" w:cstheme="majorBidi"/>
          <w:color w:val="000000" w:themeColor="text1"/>
          <w:szCs w:val="24"/>
        </w:rPr>
        <w:t xml:space="preserve"> and </w:t>
      </w:r>
      <w:r w:rsidR="00F910B7" w:rsidRPr="004B36B2">
        <w:rPr>
          <w:rFonts w:asciiTheme="majorBidi" w:hAnsiTheme="majorBidi" w:cstheme="majorBidi"/>
          <w:color w:val="000000" w:themeColor="text1"/>
          <w:szCs w:val="24"/>
        </w:rPr>
        <w:t xml:space="preserve">smooth </w:t>
      </w:r>
      <w:r w:rsidR="00371538" w:rsidRPr="004B36B2">
        <w:rPr>
          <w:rFonts w:asciiTheme="majorBidi" w:hAnsiTheme="majorBidi" w:cstheme="majorBidi"/>
          <w:color w:val="000000" w:themeColor="text1"/>
          <w:szCs w:val="24"/>
        </w:rPr>
        <w:t>consumption</w:t>
      </w:r>
      <w:r w:rsidRPr="004B36B2">
        <w:rPr>
          <w:rFonts w:asciiTheme="majorBidi" w:hAnsiTheme="majorBidi" w:cstheme="majorBidi"/>
          <w:color w:val="000000" w:themeColor="text1"/>
          <w:szCs w:val="24"/>
        </w:rPr>
        <w:t xml:space="preserve">, which matters because </w:t>
      </w:r>
      <w:r w:rsidR="000840AF" w:rsidRPr="004B36B2">
        <w:rPr>
          <w:rFonts w:asciiTheme="majorBidi" w:hAnsiTheme="majorBidi" w:cstheme="majorBidi"/>
          <w:color w:val="000000" w:themeColor="text1"/>
          <w:szCs w:val="24"/>
        </w:rPr>
        <w:t xml:space="preserve">many </w:t>
      </w:r>
      <w:r w:rsidR="00371538" w:rsidRPr="004B36B2">
        <w:rPr>
          <w:rFonts w:asciiTheme="majorBidi" w:hAnsiTheme="majorBidi" w:cstheme="majorBidi"/>
          <w:color w:val="000000" w:themeColor="text1"/>
          <w:szCs w:val="24"/>
        </w:rPr>
        <w:t xml:space="preserve">people in developing countries </w:t>
      </w:r>
      <w:r w:rsidR="000840AF" w:rsidRPr="004B36B2">
        <w:rPr>
          <w:rFonts w:asciiTheme="majorBidi" w:hAnsiTheme="majorBidi" w:cstheme="majorBidi"/>
          <w:color w:val="000000" w:themeColor="text1"/>
          <w:szCs w:val="24"/>
        </w:rPr>
        <w:t>lack</w:t>
      </w:r>
      <w:r w:rsidR="00371538" w:rsidRPr="004B36B2">
        <w:rPr>
          <w:rFonts w:asciiTheme="majorBidi" w:hAnsiTheme="majorBidi" w:cstheme="majorBidi"/>
          <w:color w:val="000000" w:themeColor="text1"/>
          <w:szCs w:val="24"/>
        </w:rPr>
        <w:t xml:space="preserve"> access to credit</w:t>
      </w:r>
      <w:r w:rsidR="00486369" w:rsidRPr="004B36B2">
        <w:rPr>
          <w:rFonts w:asciiTheme="majorBidi" w:hAnsiTheme="majorBidi" w:cstheme="majorBidi"/>
          <w:color w:val="000000" w:themeColor="text1"/>
          <w:szCs w:val="24"/>
        </w:rPr>
        <w:t xml:space="preserve"> (</w:t>
      </w:r>
      <w:r w:rsidR="00205534" w:rsidRPr="004B36B2">
        <w:rPr>
          <w:rFonts w:asciiTheme="majorBidi" w:hAnsiTheme="majorBidi" w:cstheme="majorBidi"/>
          <w:color w:val="000000" w:themeColor="text1"/>
          <w:szCs w:val="24"/>
        </w:rPr>
        <w:t>Bredl</w:t>
      </w:r>
      <w:r w:rsidR="00920BF4">
        <w:rPr>
          <w:rFonts w:asciiTheme="majorBidi" w:hAnsiTheme="majorBidi" w:cstheme="majorBidi"/>
          <w:color w:val="000000" w:themeColor="text1"/>
          <w:szCs w:val="24"/>
        </w:rPr>
        <w:t xml:space="preserve"> </w:t>
      </w:r>
      <w:r w:rsidR="00205534" w:rsidRPr="004B36B2">
        <w:rPr>
          <w:rFonts w:asciiTheme="majorBidi" w:hAnsiTheme="majorBidi" w:cstheme="majorBidi"/>
          <w:color w:val="000000" w:themeColor="text1"/>
          <w:szCs w:val="24"/>
        </w:rPr>
        <w:t>2011</w:t>
      </w:r>
      <w:r w:rsidR="00DB0036">
        <w:rPr>
          <w:rFonts w:asciiTheme="majorBidi" w:hAnsiTheme="majorBidi" w:cstheme="majorBidi"/>
          <w:color w:val="000000" w:themeColor="text1"/>
          <w:szCs w:val="24"/>
        </w:rPr>
        <w:t>,</w:t>
      </w:r>
      <w:r w:rsidR="00205534" w:rsidRPr="004B36B2">
        <w:rPr>
          <w:rFonts w:asciiTheme="majorBidi" w:hAnsiTheme="majorBidi" w:cstheme="majorBidi"/>
          <w:color w:val="000000" w:themeColor="text1"/>
          <w:szCs w:val="24"/>
        </w:rPr>
        <w:t xml:space="preserve"> Gyimah-Brempong </w:t>
      </w:r>
      <w:r w:rsidR="00DB0036" w:rsidRPr="00DB0036">
        <w:rPr>
          <w:rFonts w:asciiTheme="majorBidi" w:hAnsiTheme="majorBidi" w:cstheme="majorBidi"/>
          <w:color w:val="000000" w:themeColor="text1"/>
          <w:szCs w:val="24"/>
        </w:rPr>
        <w:t>and</w:t>
      </w:r>
      <w:r w:rsidR="00205534" w:rsidRPr="004B36B2">
        <w:rPr>
          <w:rFonts w:asciiTheme="majorBidi" w:hAnsiTheme="majorBidi" w:cstheme="majorBidi"/>
          <w:color w:val="000000" w:themeColor="text1"/>
          <w:szCs w:val="24"/>
        </w:rPr>
        <w:t xml:space="preserve"> Asiedu 2015</w:t>
      </w:r>
      <w:r w:rsidR="00DB0036">
        <w:rPr>
          <w:rFonts w:asciiTheme="majorBidi" w:hAnsiTheme="majorBidi" w:cstheme="majorBidi"/>
          <w:color w:val="000000" w:themeColor="text1"/>
          <w:szCs w:val="24"/>
        </w:rPr>
        <w:t>,</w:t>
      </w:r>
      <w:r w:rsidR="00205534" w:rsidRPr="004B36B2">
        <w:rPr>
          <w:rFonts w:asciiTheme="majorBidi" w:hAnsiTheme="majorBidi" w:cstheme="majorBidi"/>
          <w:color w:val="000000" w:themeColor="text1"/>
          <w:szCs w:val="24"/>
        </w:rPr>
        <w:t xml:space="preserve"> Köllner 2013</w:t>
      </w:r>
      <w:r w:rsidR="00DB0036">
        <w:rPr>
          <w:rFonts w:asciiTheme="majorBidi" w:hAnsiTheme="majorBidi" w:cstheme="majorBidi"/>
          <w:color w:val="000000" w:themeColor="text1"/>
          <w:szCs w:val="24"/>
        </w:rPr>
        <w:t>,</w:t>
      </w:r>
      <w:r w:rsidR="00205534" w:rsidRPr="004B36B2">
        <w:rPr>
          <w:rFonts w:asciiTheme="majorBidi" w:hAnsiTheme="majorBidi" w:cstheme="majorBidi"/>
          <w:color w:val="000000" w:themeColor="text1"/>
          <w:szCs w:val="24"/>
        </w:rPr>
        <w:t xml:space="preserve"> </w:t>
      </w:r>
      <w:r w:rsidR="00486369" w:rsidRPr="004B36B2">
        <w:rPr>
          <w:rFonts w:asciiTheme="majorBidi" w:hAnsiTheme="majorBidi" w:cstheme="majorBidi"/>
          <w:color w:val="000000" w:themeColor="text1"/>
          <w:szCs w:val="24"/>
        </w:rPr>
        <w:lastRenderedPageBreak/>
        <w:t>Kugler</w:t>
      </w:r>
      <w:r w:rsidR="00920BF4">
        <w:rPr>
          <w:rFonts w:asciiTheme="majorBidi" w:hAnsiTheme="majorBidi" w:cstheme="majorBidi"/>
          <w:color w:val="000000" w:themeColor="text1"/>
          <w:szCs w:val="24"/>
        </w:rPr>
        <w:t xml:space="preserve"> </w:t>
      </w:r>
      <w:r w:rsidR="00486369" w:rsidRPr="004B36B2">
        <w:rPr>
          <w:rFonts w:asciiTheme="majorBidi" w:hAnsiTheme="majorBidi" w:cstheme="majorBidi"/>
          <w:color w:val="000000" w:themeColor="text1"/>
          <w:szCs w:val="24"/>
        </w:rPr>
        <w:t>2006</w:t>
      </w:r>
      <w:r w:rsidR="00DB0036">
        <w:rPr>
          <w:rFonts w:asciiTheme="majorBidi" w:hAnsiTheme="majorBidi" w:cstheme="majorBidi"/>
          <w:color w:val="000000" w:themeColor="text1"/>
          <w:szCs w:val="24"/>
        </w:rPr>
        <w:t>,</w:t>
      </w:r>
      <w:r w:rsidR="00486369" w:rsidRPr="004B36B2">
        <w:rPr>
          <w:rFonts w:asciiTheme="majorBidi" w:hAnsiTheme="majorBidi" w:cstheme="majorBidi"/>
          <w:color w:val="000000" w:themeColor="text1"/>
          <w:szCs w:val="24"/>
        </w:rPr>
        <w:t xml:space="preserve"> Mansuri 2006</w:t>
      </w:r>
      <w:r w:rsidR="00DB0036">
        <w:rPr>
          <w:rFonts w:asciiTheme="majorBidi" w:hAnsiTheme="majorBidi" w:cstheme="majorBidi"/>
          <w:color w:val="000000" w:themeColor="text1"/>
          <w:szCs w:val="24"/>
        </w:rPr>
        <w:t>,</w:t>
      </w:r>
      <w:r w:rsidR="00486369" w:rsidRPr="004B36B2">
        <w:rPr>
          <w:rFonts w:asciiTheme="majorBidi" w:hAnsiTheme="majorBidi" w:cstheme="majorBidi"/>
          <w:color w:val="000000" w:themeColor="text1"/>
          <w:szCs w:val="24"/>
        </w:rPr>
        <w:t xml:space="preserve"> </w:t>
      </w:r>
      <w:r w:rsidR="00205534" w:rsidRPr="004B36B2">
        <w:rPr>
          <w:rFonts w:asciiTheme="majorBidi" w:hAnsiTheme="majorBidi" w:cstheme="majorBidi"/>
          <w:color w:val="000000" w:themeColor="text1"/>
          <w:szCs w:val="24"/>
        </w:rPr>
        <w:t xml:space="preserve">McKenzie </w:t>
      </w:r>
      <w:r w:rsidR="00DB0036" w:rsidRPr="00DB0036">
        <w:rPr>
          <w:rFonts w:asciiTheme="majorBidi" w:hAnsiTheme="majorBidi" w:cstheme="majorBidi"/>
          <w:color w:val="000000" w:themeColor="text1"/>
          <w:szCs w:val="24"/>
        </w:rPr>
        <w:t>and</w:t>
      </w:r>
      <w:r w:rsidR="00E05704" w:rsidRPr="004B36B2">
        <w:rPr>
          <w:rFonts w:asciiTheme="majorBidi" w:hAnsiTheme="majorBidi" w:cstheme="majorBidi"/>
          <w:color w:val="000000" w:themeColor="text1"/>
          <w:szCs w:val="24"/>
        </w:rPr>
        <w:t xml:space="preserve"> </w:t>
      </w:r>
      <w:r w:rsidR="00E05704" w:rsidRPr="004B36B2">
        <w:rPr>
          <w:rFonts w:asciiTheme="majorBidi" w:hAnsiTheme="majorBidi" w:cstheme="majorBidi"/>
          <w:color w:val="000000" w:themeColor="text1"/>
          <w:szCs w:val="24"/>
          <w:shd w:val="clear" w:color="auto" w:fill="FFFFFF"/>
        </w:rPr>
        <w:t>Rapoport</w:t>
      </w:r>
      <w:r w:rsidR="00205534" w:rsidRPr="004B36B2">
        <w:rPr>
          <w:rFonts w:asciiTheme="majorBidi" w:hAnsiTheme="majorBidi" w:cstheme="majorBidi"/>
          <w:color w:val="000000" w:themeColor="text1"/>
          <w:szCs w:val="24"/>
        </w:rPr>
        <w:t xml:space="preserve"> 2011</w:t>
      </w:r>
      <w:r w:rsidR="00DB0036">
        <w:rPr>
          <w:rFonts w:asciiTheme="majorBidi" w:hAnsiTheme="majorBidi" w:cstheme="majorBidi"/>
          <w:color w:val="000000" w:themeColor="text1"/>
          <w:szCs w:val="24"/>
        </w:rPr>
        <w:t>,</w:t>
      </w:r>
      <w:r w:rsidR="00205534" w:rsidRPr="004B36B2">
        <w:rPr>
          <w:rFonts w:asciiTheme="majorBidi" w:hAnsiTheme="majorBidi" w:cstheme="majorBidi"/>
          <w:color w:val="000000" w:themeColor="text1"/>
          <w:szCs w:val="24"/>
        </w:rPr>
        <w:t xml:space="preserve"> </w:t>
      </w:r>
      <w:r w:rsidR="00486369" w:rsidRPr="004B36B2">
        <w:rPr>
          <w:rFonts w:asciiTheme="majorBidi" w:hAnsiTheme="majorBidi" w:cstheme="majorBidi"/>
          <w:color w:val="000000" w:themeColor="text1"/>
          <w:szCs w:val="24"/>
        </w:rPr>
        <w:t xml:space="preserve">Melkonyan </w:t>
      </w:r>
      <w:r w:rsidR="00DB0036" w:rsidRPr="00DB0036">
        <w:rPr>
          <w:rFonts w:asciiTheme="majorBidi" w:hAnsiTheme="majorBidi" w:cstheme="majorBidi"/>
          <w:color w:val="000000" w:themeColor="text1"/>
          <w:szCs w:val="24"/>
        </w:rPr>
        <w:t>and</w:t>
      </w:r>
      <w:r w:rsidR="00486369" w:rsidRPr="004B36B2">
        <w:rPr>
          <w:rFonts w:asciiTheme="majorBidi" w:hAnsiTheme="majorBidi" w:cstheme="majorBidi"/>
          <w:color w:val="000000" w:themeColor="text1"/>
          <w:szCs w:val="24"/>
        </w:rPr>
        <w:t xml:space="preserve"> Grigorian 2008)</w:t>
      </w:r>
      <w:r w:rsidRPr="004B36B2">
        <w:rPr>
          <w:rFonts w:asciiTheme="majorBidi" w:hAnsiTheme="majorBidi" w:cstheme="majorBidi"/>
          <w:color w:val="000000" w:themeColor="text1"/>
          <w:szCs w:val="24"/>
        </w:rPr>
        <w:t>. These b</w:t>
      </w:r>
      <w:r w:rsidR="00DF7DBD" w:rsidRPr="004B36B2">
        <w:rPr>
          <w:rFonts w:asciiTheme="majorBidi" w:hAnsiTheme="majorBidi" w:cstheme="majorBidi"/>
          <w:color w:val="000000" w:themeColor="text1"/>
          <w:szCs w:val="24"/>
        </w:rPr>
        <w:t>orrowing constraint</w:t>
      </w:r>
      <w:r w:rsidR="00F910B7" w:rsidRPr="004B36B2">
        <w:rPr>
          <w:rFonts w:asciiTheme="majorBidi" w:hAnsiTheme="majorBidi" w:cstheme="majorBidi"/>
          <w:color w:val="000000" w:themeColor="text1"/>
          <w:szCs w:val="24"/>
        </w:rPr>
        <w:t>s</w:t>
      </w:r>
      <w:r w:rsidR="00DF7DBD" w:rsidRPr="004B36B2">
        <w:rPr>
          <w:rFonts w:asciiTheme="majorBidi" w:hAnsiTheme="majorBidi" w:cstheme="majorBidi"/>
          <w:color w:val="000000" w:themeColor="text1"/>
          <w:szCs w:val="24"/>
        </w:rPr>
        <w:t xml:space="preserve"> </w:t>
      </w:r>
      <w:r w:rsidR="00F910B7" w:rsidRPr="004B36B2">
        <w:rPr>
          <w:rFonts w:asciiTheme="majorBidi" w:hAnsiTheme="majorBidi" w:cstheme="majorBidi"/>
          <w:color w:val="000000" w:themeColor="text1"/>
          <w:szCs w:val="24"/>
        </w:rPr>
        <w:t xml:space="preserve">may limit human capital investment, </w:t>
      </w:r>
      <w:r w:rsidR="00DF7DBD" w:rsidRPr="004B36B2">
        <w:rPr>
          <w:rFonts w:asciiTheme="majorBidi" w:hAnsiTheme="majorBidi" w:cstheme="majorBidi"/>
          <w:color w:val="000000" w:themeColor="text1"/>
          <w:szCs w:val="24"/>
        </w:rPr>
        <w:t xml:space="preserve">which </w:t>
      </w:r>
      <w:r w:rsidR="00A64559" w:rsidRPr="004B36B2">
        <w:rPr>
          <w:rFonts w:asciiTheme="majorBidi" w:hAnsiTheme="majorBidi" w:cstheme="majorBidi"/>
          <w:color w:val="000000" w:themeColor="text1"/>
          <w:szCs w:val="24"/>
        </w:rPr>
        <w:t>translate</w:t>
      </w:r>
      <w:r w:rsidR="002D496C" w:rsidRPr="004B36B2">
        <w:rPr>
          <w:rFonts w:asciiTheme="majorBidi" w:hAnsiTheme="majorBidi" w:cstheme="majorBidi"/>
          <w:color w:val="000000" w:themeColor="text1"/>
          <w:szCs w:val="24"/>
        </w:rPr>
        <w:t>s</w:t>
      </w:r>
      <w:r w:rsidR="00A64559" w:rsidRPr="004B36B2">
        <w:rPr>
          <w:rFonts w:asciiTheme="majorBidi" w:hAnsiTheme="majorBidi" w:cstheme="majorBidi"/>
          <w:color w:val="000000" w:themeColor="text1"/>
          <w:szCs w:val="24"/>
        </w:rPr>
        <w:t xml:space="preserve"> into low</w:t>
      </w:r>
      <w:r w:rsidR="00F85ECC" w:rsidRPr="004B36B2">
        <w:rPr>
          <w:rFonts w:asciiTheme="majorBidi" w:hAnsiTheme="majorBidi" w:cstheme="majorBidi"/>
          <w:color w:val="000000" w:themeColor="text1"/>
          <w:szCs w:val="24"/>
        </w:rPr>
        <w:t>er</w:t>
      </w:r>
      <w:r w:rsidR="00A64559" w:rsidRPr="004B36B2">
        <w:rPr>
          <w:rFonts w:asciiTheme="majorBidi" w:hAnsiTheme="majorBidi" w:cstheme="majorBidi"/>
          <w:color w:val="000000" w:themeColor="text1"/>
          <w:szCs w:val="24"/>
        </w:rPr>
        <w:t xml:space="preserve"> secondary school enrolment </w:t>
      </w:r>
      <w:r w:rsidR="00F910B7" w:rsidRPr="004B36B2">
        <w:rPr>
          <w:rFonts w:asciiTheme="majorBidi" w:hAnsiTheme="majorBidi" w:cstheme="majorBidi"/>
          <w:color w:val="000000" w:themeColor="text1"/>
          <w:szCs w:val="24"/>
        </w:rPr>
        <w:t>rates (given that this level of schooling is more costly than primary schooling)</w:t>
      </w:r>
      <w:r w:rsidR="00A64559" w:rsidRPr="004B36B2">
        <w:rPr>
          <w:rFonts w:asciiTheme="majorBidi" w:hAnsiTheme="majorBidi" w:cstheme="majorBidi"/>
          <w:color w:val="000000" w:themeColor="text1"/>
          <w:szCs w:val="24"/>
        </w:rPr>
        <w:t>, high dropout rate</w:t>
      </w:r>
      <w:r w:rsidR="00F910B7" w:rsidRPr="004B36B2">
        <w:rPr>
          <w:rFonts w:asciiTheme="majorBidi" w:hAnsiTheme="majorBidi" w:cstheme="majorBidi"/>
          <w:color w:val="000000" w:themeColor="text1"/>
          <w:szCs w:val="24"/>
        </w:rPr>
        <w:t>s</w:t>
      </w:r>
      <w:r w:rsidR="00A64559" w:rsidRPr="004B36B2">
        <w:rPr>
          <w:rFonts w:asciiTheme="majorBidi" w:hAnsiTheme="majorBidi" w:cstheme="majorBidi"/>
          <w:color w:val="000000" w:themeColor="text1"/>
          <w:szCs w:val="24"/>
        </w:rPr>
        <w:t xml:space="preserve"> and low college enrolment rate</w:t>
      </w:r>
      <w:r w:rsidR="00F910B7" w:rsidRPr="004B36B2">
        <w:rPr>
          <w:rFonts w:asciiTheme="majorBidi" w:hAnsiTheme="majorBidi" w:cstheme="majorBidi"/>
          <w:color w:val="000000" w:themeColor="text1"/>
          <w:szCs w:val="24"/>
        </w:rPr>
        <w:t>s</w:t>
      </w:r>
      <w:r w:rsidR="00EF4D29" w:rsidRPr="004B36B2">
        <w:rPr>
          <w:rFonts w:asciiTheme="majorBidi" w:hAnsiTheme="majorBidi" w:cstheme="majorBidi"/>
          <w:color w:val="000000" w:themeColor="text1"/>
          <w:szCs w:val="24"/>
        </w:rPr>
        <w:t xml:space="preserve"> (</w:t>
      </w:r>
      <w:r w:rsidR="00EF4D29" w:rsidRPr="004B36B2">
        <w:rPr>
          <w:rFonts w:asciiTheme="majorBidi" w:hAnsiTheme="majorBidi" w:cstheme="majorBidi"/>
          <w:color w:val="000000" w:themeColor="text1"/>
          <w:szCs w:val="24"/>
          <w:shd w:val="clear" w:color="auto" w:fill="FFFFFF"/>
        </w:rPr>
        <w:t>De Gregorio 1996</w:t>
      </w:r>
      <w:r w:rsidR="00DB0036">
        <w:rPr>
          <w:rFonts w:asciiTheme="majorBidi" w:hAnsiTheme="majorBidi" w:cstheme="majorBidi"/>
          <w:color w:val="000000" w:themeColor="text1"/>
          <w:szCs w:val="24"/>
          <w:shd w:val="clear" w:color="auto" w:fill="FFFFFF"/>
        </w:rPr>
        <w:t>,</w:t>
      </w:r>
      <w:r w:rsidR="00EF4D29" w:rsidRPr="004B36B2">
        <w:rPr>
          <w:rFonts w:asciiTheme="majorBidi" w:hAnsiTheme="majorBidi" w:cstheme="majorBidi"/>
          <w:color w:val="000000" w:themeColor="text1"/>
          <w:szCs w:val="24"/>
          <w:shd w:val="clear" w:color="auto" w:fill="FFFFFF"/>
        </w:rPr>
        <w:t xml:space="preserve"> </w:t>
      </w:r>
      <w:r w:rsidR="0036369E" w:rsidRPr="004B36B2">
        <w:rPr>
          <w:rFonts w:asciiTheme="majorBidi" w:hAnsiTheme="majorBidi" w:cstheme="majorBidi"/>
          <w:color w:val="000000" w:themeColor="text1"/>
          <w:szCs w:val="24"/>
          <w:shd w:val="clear" w:color="auto" w:fill="FFFFFF"/>
        </w:rPr>
        <w:t xml:space="preserve">Melguizo </w:t>
      </w:r>
      <w:r w:rsidR="00DB0036" w:rsidRPr="00DB0036">
        <w:rPr>
          <w:rFonts w:asciiTheme="majorBidi" w:hAnsiTheme="majorBidi" w:cstheme="majorBidi"/>
          <w:i/>
          <w:iCs/>
          <w:color w:val="000000" w:themeColor="text1"/>
          <w:szCs w:val="24"/>
          <w:shd w:val="clear" w:color="auto" w:fill="FFFFFF"/>
        </w:rPr>
        <w:t>et al.</w:t>
      </w:r>
      <w:r w:rsidR="0036369E" w:rsidRPr="004B36B2">
        <w:rPr>
          <w:rFonts w:asciiTheme="majorBidi" w:hAnsiTheme="majorBidi" w:cstheme="majorBidi"/>
          <w:color w:val="000000" w:themeColor="text1"/>
          <w:szCs w:val="24"/>
          <w:shd w:val="clear" w:color="auto" w:fill="FFFFFF"/>
        </w:rPr>
        <w:t xml:space="preserve"> 1996</w:t>
      </w:r>
      <w:r w:rsidR="00DB0036">
        <w:rPr>
          <w:rFonts w:asciiTheme="majorBidi" w:hAnsiTheme="majorBidi" w:cstheme="majorBidi"/>
          <w:color w:val="000000" w:themeColor="text1"/>
          <w:szCs w:val="24"/>
          <w:shd w:val="clear" w:color="auto" w:fill="FFFFFF"/>
        </w:rPr>
        <w:t>,</w:t>
      </w:r>
      <w:r w:rsidR="0036369E" w:rsidRPr="004B36B2">
        <w:rPr>
          <w:rFonts w:asciiTheme="majorBidi" w:hAnsiTheme="majorBidi" w:cstheme="majorBidi"/>
          <w:color w:val="000000" w:themeColor="text1"/>
          <w:szCs w:val="24"/>
          <w:shd w:val="clear" w:color="auto" w:fill="FFFFFF"/>
        </w:rPr>
        <w:t xml:space="preserve"> </w:t>
      </w:r>
      <w:r w:rsidR="00A352EE" w:rsidRPr="004B36B2">
        <w:rPr>
          <w:rFonts w:asciiTheme="majorBidi" w:hAnsiTheme="majorBidi" w:cstheme="majorBidi"/>
          <w:color w:val="000000" w:themeColor="text1"/>
          <w:szCs w:val="24"/>
          <w:shd w:val="clear" w:color="auto" w:fill="FFFFFF"/>
        </w:rPr>
        <w:t xml:space="preserve">Sun </w:t>
      </w:r>
      <w:r w:rsidR="00DB0036" w:rsidRPr="00DB0036">
        <w:rPr>
          <w:rFonts w:asciiTheme="majorBidi" w:hAnsiTheme="majorBidi" w:cstheme="majorBidi"/>
          <w:color w:val="000000" w:themeColor="text1"/>
          <w:szCs w:val="24"/>
          <w:shd w:val="clear" w:color="auto" w:fill="FFFFFF"/>
        </w:rPr>
        <w:t>and</w:t>
      </w:r>
      <w:r w:rsidR="00A352EE" w:rsidRPr="004B36B2">
        <w:rPr>
          <w:rFonts w:asciiTheme="majorBidi" w:hAnsiTheme="majorBidi" w:cstheme="majorBidi"/>
          <w:color w:val="000000" w:themeColor="text1"/>
          <w:szCs w:val="24"/>
          <w:shd w:val="clear" w:color="auto" w:fill="FFFFFF"/>
        </w:rPr>
        <w:t xml:space="preserve"> Yannelis 2016</w:t>
      </w:r>
      <w:r w:rsidR="0027239A" w:rsidRPr="004B36B2">
        <w:rPr>
          <w:rFonts w:asciiTheme="majorBidi" w:hAnsiTheme="majorBidi" w:cstheme="majorBidi"/>
          <w:color w:val="000000" w:themeColor="text1"/>
          <w:szCs w:val="24"/>
          <w:shd w:val="clear" w:color="auto" w:fill="FFFFFF"/>
        </w:rPr>
        <w:t>)</w:t>
      </w:r>
      <w:r w:rsidR="00A352EE"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Partly due to borrowing constraints, s</w:t>
      </w:r>
      <w:r w:rsidR="0058195A" w:rsidRPr="004B36B2">
        <w:rPr>
          <w:rFonts w:asciiTheme="majorBidi" w:hAnsiTheme="majorBidi" w:cstheme="majorBidi"/>
          <w:color w:val="000000" w:themeColor="text1"/>
          <w:szCs w:val="24"/>
        </w:rPr>
        <w:t xml:space="preserve">chool </w:t>
      </w:r>
      <w:r w:rsidR="000840AF" w:rsidRPr="004B36B2">
        <w:rPr>
          <w:rFonts w:asciiTheme="majorBidi" w:hAnsiTheme="majorBidi" w:cstheme="majorBidi"/>
          <w:color w:val="000000" w:themeColor="text1"/>
          <w:szCs w:val="24"/>
        </w:rPr>
        <w:t>children</w:t>
      </w:r>
      <w:r w:rsidR="0058195A"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may do</w:t>
      </w:r>
      <w:r w:rsidR="0058195A"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economic work, adversely affecting</w:t>
      </w:r>
      <w:r w:rsidR="0058195A" w:rsidRPr="004B36B2">
        <w:rPr>
          <w:rFonts w:asciiTheme="majorBidi" w:hAnsiTheme="majorBidi" w:cstheme="majorBidi"/>
          <w:color w:val="000000" w:themeColor="text1"/>
          <w:szCs w:val="24"/>
        </w:rPr>
        <w:t xml:space="preserve"> school performance</w:t>
      </w:r>
      <w:r w:rsidR="0058195A" w:rsidRPr="004B36B2">
        <w:rPr>
          <w:rFonts w:asciiTheme="majorBidi" w:hAnsiTheme="majorBidi" w:cstheme="majorBidi"/>
          <w:color w:val="000000" w:themeColor="text1"/>
          <w:szCs w:val="24"/>
          <w:shd w:val="clear" w:color="auto" w:fill="FFFFFF"/>
        </w:rPr>
        <w:t xml:space="preserve">, </w:t>
      </w:r>
      <w:r w:rsidR="000840AF" w:rsidRPr="004B36B2">
        <w:rPr>
          <w:rFonts w:asciiTheme="majorBidi" w:hAnsiTheme="majorBidi" w:cstheme="majorBidi"/>
          <w:color w:val="000000" w:themeColor="text1"/>
          <w:szCs w:val="24"/>
          <w:shd w:val="clear" w:color="auto" w:fill="FFFFFF"/>
        </w:rPr>
        <w:t xml:space="preserve">so a </w:t>
      </w:r>
      <w:r w:rsidR="0058195A" w:rsidRPr="004B36B2">
        <w:rPr>
          <w:rFonts w:asciiTheme="majorBidi" w:hAnsiTheme="majorBidi" w:cstheme="majorBidi"/>
          <w:color w:val="000000" w:themeColor="text1"/>
          <w:szCs w:val="24"/>
        </w:rPr>
        <w:t xml:space="preserve">big income </w:t>
      </w:r>
      <w:r w:rsidR="000840AF" w:rsidRPr="004B36B2">
        <w:rPr>
          <w:rFonts w:asciiTheme="majorBidi" w:hAnsiTheme="majorBidi" w:cstheme="majorBidi"/>
          <w:color w:val="000000" w:themeColor="text1"/>
          <w:szCs w:val="24"/>
        </w:rPr>
        <w:t xml:space="preserve">boost </w:t>
      </w:r>
      <w:r w:rsidR="00F85ECC" w:rsidRPr="004B36B2">
        <w:rPr>
          <w:rFonts w:asciiTheme="majorBidi" w:hAnsiTheme="majorBidi" w:cstheme="majorBidi"/>
          <w:color w:val="000000" w:themeColor="text1"/>
          <w:szCs w:val="24"/>
        </w:rPr>
        <w:t xml:space="preserve">(e.g. scholarships) </w:t>
      </w:r>
      <w:r w:rsidRPr="004B36B2">
        <w:rPr>
          <w:rFonts w:asciiTheme="majorBidi" w:hAnsiTheme="majorBidi" w:cstheme="majorBidi"/>
          <w:color w:val="000000" w:themeColor="text1"/>
          <w:szCs w:val="24"/>
        </w:rPr>
        <w:t xml:space="preserve">may be needed </w:t>
      </w:r>
      <w:r w:rsidR="0058195A" w:rsidRPr="004B36B2">
        <w:rPr>
          <w:rFonts w:asciiTheme="majorBidi" w:hAnsiTheme="majorBidi" w:cstheme="majorBidi"/>
          <w:color w:val="000000" w:themeColor="text1"/>
          <w:szCs w:val="24"/>
        </w:rPr>
        <w:t>to reduce child labour (</w:t>
      </w:r>
      <w:r w:rsidR="0058195A" w:rsidRPr="004B36B2">
        <w:rPr>
          <w:rFonts w:asciiTheme="majorBidi" w:hAnsiTheme="majorBidi" w:cstheme="majorBidi"/>
          <w:color w:val="000000" w:themeColor="text1"/>
          <w:szCs w:val="24"/>
          <w:shd w:val="clear" w:color="auto" w:fill="FFFFFF"/>
        </w:rPr>
        <w:t xml:space="preserve">Datt </w:t>
      </w:r>
      <w:r w:rsidR="00DB0036" w:rsidRPr="00DB0036">
        <w:rPr>
          <w:rFonts w:asciiTheme="majorBidi" w:hAnsiTheme="majorBidi" w:cstheme="majorBidi"/>
          <w:color w:val="000000" w:themeColor="text1"/>
          <w:szCs w:val="24"/>
          <w:shd w:val="clear" w:color="auto" w:fill="FFFFFF"/>
        </w:rPr>
        <w:t>and</w:t>
      </w:r>
      <w:r w:rsidR="0058195A" w:rsidRPr="004B36B2">
        <w:rPr>
          <w:rFonts w:asciiTheme="majorBidi" w:hAnsiTheme="majorBidi" w:cstheme="majorBidi"/>
          <w:color w:val="000000" w:themeColor="text1"/>
          <w:szCs w:val="24"/>
          <w:shd w:val="clear" w:color="auto" w:fill="FFFFFF"/>
        </w:rPr>
        <w:t xml:space="preserve"> Uhe 2019)</w:t>
      </w:r>
      <w:r w:rsidR="0058195A"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Thus</w:t>
      </w:r>
      <w:r w:rsidR="00F910B7" w:rsidRPr="004B36B2">
        <w:rPr>
          <w:rFonts w:asciiTheme="majorBidi" w:hAnsiTheme="majorBidi" w:cstheme="majorBidi"/>
          <w:color w:val="000000" w:themeColor="text1"/>
          <w:szCs w:val="24"/>
        </w:rPr>
        <w:t xml:space="preserve"> r</w:t>
      </w:r>
      <w:r w:rsidR="00371538" w:rsidRPr="004B36B2">
        <w:rPr>
          <w:rFonts w:asciiTheme="majorBidi" w:hAnsiTheme="majorBidi" w:cstheme="majorBidi"/>
          <w:color w:val="000000" w:themeColor="text1"/>
          <w:szCs w:val="24"/>
        </w:rPr>
        <w:t>emittance</w:t>
      </w:r>
      <w:r w:rsidR="00F910B7" w:rsidRPr="004B36B2">
        <w:rPr>
          <w:rFonts w:asciiTheme="majorBidi" w:hAnsiTheme="majorBidi" w:cstheme="majorBidi"/>
          <w:color w:val="000000" w:themeColor="text1"/>
          <w:szCs w:val="24"/>
        </w:rPr>
        <w:t>s</w:t>
      </w:r>
      <w:r w:rsidR="00371538"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may alleviate the need for </w:t>
      </w:r>
      <w:r w:rsidR="00371538" w:rsidRPr="004B36B2">
        <w:rPr>
          <w:rFonts w:asciiTheme="majorBidi" w:hAnsiTheme="majorBidi" w:cstheme="majorBidi"/>
          <w:color w:val="000000" w:themeColor="text1"/>
          <w:szCs w:val="24"/>
        </w:rPr>
        <w:t xml:space="preserve">child </w:t>
      </w:r>
      <w:r w:rsidR="00371538" w:rsidRPr="004B36B2">
        <w:rPr>
          <w:rFonts w:asciiTheme="majorBidi" w:hAnsiTheme="majorBidi" w:cstheme="majorBidi"/>
          <w:noProof/>
          <w:color w:val="000000" w:themeColor="text1"/>
          <w:szCs w:val="24"/>
        </w:rPr>
        <w:t>labour</w:t>
      </w:r>
      <w:r w:rsidRPr="004B36B2">
        <w:rPr>
          <w:rFonts w:asciiTheme="majorBidi" w:hAnsiTheme="majorBidi" w:cstheme="majorBidi"/>
          <w:noProof/>
          <w:color w:val="000000" w:themeColor="text1"/>
          <w:szCs w:val="24"/>
        </w:rPr>
        <w:t>, and</w:t>
      </w:r>
      <w:r w:rsidR="00371538" w:rsidRPr="004B36B2">
        <w:rPr>
          <w:rFonts w:asciiTheme="majorBidi" w:hAnsiTheme="majorBidi" w:cstheme="majorBidi"/>
          <w:color w:val="000000" w:themeColor="text1"/>
          <w:szCs w:val="24"/>
        </w:rPr>
        <w:t xml:space="preserve"> by </w:t>
      </w:r>
      <w:r w:rsidR="00ED3D55" w:rsidRPr="004B36B2">
        <w:rPr>
          <w:rFonts w:asciiTheme="majorBidi" w:hAnsiTheme="majorBidi" w:cstheme="majorBidi"/>
          <w:color w:val="000000" w:themeColor="text1"/>
          <w:szCs w:val="24"/>
        </w:rPr>
        <w:t>re</w:t>
      </w:r>
      <w:r w:rsidR="00371538" w:rsidRPr="004B36B2">
        <w:rPr>
          <w:rFonts w:asciiTheme="majorBidi" w:hAnsiTheme="majorBidi" w:cstheme="majorBidi"/>
          <w:color w:val="000000" w:themeColor="text1"/>
          <w:szCs w:val="24"/>
        </w:rPr>
        <w:t xml:space="preserve">leasing children from working </w:t>
      </w:r>
      <w:r w:rsidRPr="004B36B2">
        <w:rPr>
          <w:rFonts w:asciiTheme="majorBidi" w:hAnsiTheme="majorBidi" w:cstheme="majorBidi"/>
          <w:color w:val="000000" w:themeColor="text1"/>
          <w:szCs w:val="24"/>
        </w:rPr>
        <w:t xml:space="preserve">may improve their schooling </w:t>
      </w:r>
      <w:r w:rsidR="00371538" w:rsidRPr="004B36B2">
        <w:rPr>
          <w:rFonts w:asciiTheme="majorBidi" w:hAnsiTheme="majorBidi" w:cstheme="majorBidi"/>
          <w:color w:val="000000" w:themeColor="text1"/>
          <w:szCs w:val="24"/>
        </w:rPr>
        <w:t>(</w:t>
      </w:r>
      <w:r w:rsidR="004A711E" w:rsidRPr="004B36B2">
        <w:rPr>
          <w:rFonts w:asciiTheme="majorBidi" w:hAnsiTheme="majorBidi" w:cstheme="majorBidi"/>
          <w:color w:val="000000" w:themeColor="text1"/>
          <w:szCs w:val="24"/>
          <w:shd w:val="clear" w:color="auto" w:fill="FFFFFF"/>
        </w:rPr>
        <w:t xml:space="preserve">Calero </w:t>
      </w:r>
      <w:r w:rsidR="00DB0036" w:rsidRPr="00DB0036">
        <w:rPr>
          <w:rFonts w:asciiTheme="majorBidi" w:hAnsiTheme="majorBidi" w:cstheme="majorBidi"/>
          <w:i/>
          <w:iCs/>
          <w:color w:val="000000" w:themeColor="text1"/>
          <w:szCs w:val="24"/>
          <w:shd w:val="clear" w:color="auto" w:fill="FFFFFF"/>
        </w:rPr>
        <w:t>et al.</w:t>
      </w:r>
      <w:r w:rsidR="004A711E" w:rsidRPr="004B36B2">
        <w:rPr>
          <w:rFonts w:asciiTheme="majorBidi" w:hAnsiTheme="majorBidi" w:cstheme="majorBidi"/>
          <w:color w:val="000000" w:themeColor="text1"/>
          <w:szCs w:val="24"/>
          <w:shd w:val="clear" w:color="auto" w:fill="FFFFFF"/>
        </w:rPr>
        <w:t xml:space="preserve"> 2009</w:t>
      </w:r>
      <w:r w:rsidR="00DB0036">
        <w:rPr>
          <w:rFonts w:asciiTheme="majorBidi" w:hAnsiTheme="majorBidi" w:cstheme="majorBidi"/>
          <w:color w:val="000000" w:themeColor="text1"/>
          <w:szCs w:val="24"/>
          <w:shd w:val="clear" w:color="auto" w:fill="FFFFFF"/>
        </w:rPr>
        <w:t>,</w:t>
      </w:r>
      <w:r w:rsidR="004A711E" w:rsidRPr="004B36B2">
        <w:rPr>
          <w:rFonts w:asciiTheme="majorBidi" w:hAnsiTheme="majorBidi" w:cstheme="majorBidi"/>
          <w:color w:val="000000" w:themeColor="text1"/>
          <w:szCs w:val="24"/>
          <w:shd w:val="clear" w:color="auto" w:fill="FFFFFF"/>
        </w:rPr>
        <w:t xml:space="preserve"> </w:t>
      </w:r>
      <w:r w:rsidR="00864247" w:rsidRPr="004B36B2">
        <w:rPr>
          <w:rFonts w:asciiTheme="majorBidi" w:hAnsiTheme="majorBidi" w:cstheme="majorBidi"/>
          <w:color w:val="000000" w:themeColor="text1"/>
          <w:szCs w:val="24"/>
          <w:shd w:val="clear" w:color="auto" w:fill="FFFFFF"/>
        </w:rPr>
        <w:t xml:space="preserve">Nguyen </w:t>
      </w:r>
      <w:r w:rsidR="00DB0036" w:rsidRPr="00DB0036">
        <w:rPr>
          <w:rFonts w:asciiTheme="majorBidi" w:hAnsiTheme="majorBidi" w:cstheme="majorBidi"/>
          <w:color w:val="000000" w:themeColor="text1"/>
          <w:szCs w:val="24"/>
          <w:shd w:val="clear" w:color="auto" w:fill="FFFFFF"/>
        </w:rPr>
        <w:t>and</w:t>
      </w:r>
      <w:r w:rsidR="000075C5" w:rsidRPr="004B36B2">
        <w:rPr>
          <w:rFonts w:asciiTheme="majorBidi" w:hAnsiTheme="majorBidi" w:cstheme="majorBidi"/>
          <w:color w:val="000000" w:themeColor="text1"/>
          <w:szCs w:val="24"/>
          <w:shd w:val="clear" w:color="auto" w:fill="FFFFFF"/>
        </w:rPr>
        <w:t xml:space="preserve"> Nguyen</w:t>
      </w:r>
      <w:r w:rsidR="0027072D" w:rsidRPr="004B36B2">
        <w:rPr>
          <w:rFonts w:asciiTheme="majorBidi" w:hAnsiTheme="majorBidi" w:cstheme="majorBidi"/>
          <w:color w:val="000000" w:themeColor="text1"/>
          <w:szCs w:val="24"/>
          <w:shd w:val="clear" w:color="auto" w:fill="FFFFFF"/>
        </w:rPr>
        <w:t xml:space="preserve"> 2015</w:t>
      </w:r>
      <w:r w:rsidR="00371538" w:rsidRPr="004B36B2">
        <w:rPr>
          <w:rFonts w:asciiTheme="majorBidi" w:hAnsiTheme="majorBidi" w:cstheme="majorBidi"/>
          <w:color w:val="000000" w:themeColor="text1"/>
          <w:szCs w:val="24"/>
          <w:shd w:val="clear" w:color="auto" w:fill="FFFFFF"/>
        </w:rPr>
        <w:t>).</w:t>
      </w:r>
      <w:r w:rsidR="00371538"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On the other hand</w:t>
      </w:r>
      <w:r w:rsidR="00CE0304" w:rsidRPr="004B36B2">
        <w:rPr>
          <w:rFonts w:asciiTheme="majorBidi" w:hAnsiTheme="majorBidi" w:cstheme="majorBidi"/>
          <w:color w:val="000000" w:themeColor="text1"/>
          <w:szCs w:val="24"/>
        </w:rPr>
        <w:t xml:space="preserve">, </w:t>
      </w:r>
      <w:r w:rsidR="00F910B7" w:rsidRPr="004B36B2">
        <w:rPr>
          <w:rFonts w:asciiTheme="majorBidi" w:hAnsiTheme="majorBidi" w:cstheme="majorBidi"/>
          <w:color w:val="000000" w:themeColor="text1"/>
          <w:szCs w:val="24"/>
        </w:rPr>
        <w:t xml:space="preserve">if </w:t>
      </w:r>
      <w:r w:rsidR="00AF2F02" w:rsidRPr="004B36B2">
        <w:rPr>
          <w:rFonts w:asciiTheme="majorBidi" w:hAnsiTheme="majorBidi" w:cstheme="majorBidi"/>
          <w:color w:val="000000" w:themeColor="text1"/>
          <w:szCs w:val="24"/>
          <w:shd w:val="clear" w:color="auto" w:fill="FFFFFF"/>
        </w:rPr>
        <w:t>remittance</w:t>
      </w:r>
      <w:r w:rsidR="00F910B7" w:rsidRPr="004B36B2">
        <w:rPr>
          <w:rFonts w:asciiTheme="majorBidi" w:hAnsiTheme="majorBidi" w:cstheme="majorBidi"/>
          <w:color w:val="000000" w:themeColor="text1"/>
          <w:szCs w:val="24"/>
          <w:shd w:val="clear" w:color="auto" w:fill="FFFFFF"/>
        </w:rPr>
        <w:t>s fund migration</w:t>
      </w:r>
      <w:r w:rsidR="00AF2F02" w:rsidRPr="004B36B2">
        <w:rPr>
          <w:rFonts w:asciiTheme="majorBidi" w:hAnsiTheme="majorBidi" w:cstheme="majorBidi"/>
          <w:color w:val="000000" w:themeColor="text1"/>
          <w:szCs w:val="24"/>
          <w:shd w:val="clear" w:color="auto" w:fill="FFFFFF"/>
        </w:rPr>
        <w:t xml:space="preserve"> </w:t>
      </w:r>
      <w:r w:rsidR="00F910B7" w:rsidRPr="004B36B2">
        <w:rPr>
          <w:rFonts w:asciiTheme="majorBidi" w:hAnsiTheme="majorBidi" w:cstheme="majorBidi"/>
          <w:color w:val="000000" w:themeColor="text1"/>
          <w:szCs w:val="24"/>
          <w:shd w:val="clear" w:color="auto" w:fill="FFFFFF"/>
        </w:rPr>
        <w:t xml:space="preserve">and </w:t>
      </w:r>
      <w:r w:rsidRPr="004B36B2">
        <w:rPr>
          <w:rFonts w:asciiTheme="majorBidi" w:hAnsiTheme="majorBidi" w:cstheme="majorBidi"/>
          <w:color w:val="000000" w:themeColor="text1"/>
          <w:szCs w:val="24"/>
          <w:shd w:val="clear" w:color="auto" w:fill="FFFFFF"/>
        </w:rPr>
        <w:t xml:space="preserve">if </w:t>
      </w:r>
      <w:r w:rsidR="00F910B7" w:rsidRPr="004B36B2">
        <w:rPr>
          <w:rFonts w:asciiTheme="majorBidi" w:hAnsiTheme="majorBidi" w:cstheme="majorBidi"/>
          <w:color w:val="000000" w:themeColor="text1"/>
          <w:szCs w:val="24"/>
          <w:shd w:val="clear" w:color="auto" w:fill="FFFFFF"/>
        </w:rPr>
        <w:t xml:space="preserve">the return to migration exceeds </w:t>
      </w:r>
      <w:r w:rsidRPr="004B36B2">
        <w:rPr>
          <w:rFonts w:asciiTheme="majorBidi" w:hAnsiTheme="majorBidi" w:cstheme="majorBidi"/>
          <w:color w:val="000000" w:themeColor="text1"/>
          <w:szCs w:val="24"/>
          <w:shd w:val="clear" w:color="auto" w:fill="FFFFFF"/>
        </w:rPr>
        <w:t xml:space="preserve">the </w:t>
      </w:r>
      <w:r w:rsidR="00F910B7" w:rsidRPr="004B36B2">
        <w:rPr>
          <w:rFonts w:asciiTheme="majorBidi" w:hAnsiTheme="majorBidi" w:cstheme="majorBidi"/>
          <w:color w:val="000000" w:themeColor="text1"/>
          <w:szCs w:val="24"/>
          <w:shd w:val="clear" w:color="auto" w:fill="FFFFFF"/>
        </w:rPr>
        <w:t xml:space="preserve">returns to schooling, </w:t>
      </w:r>
      <w:r w:rsidR="000840AF" w:rsidRPr="004B36B2">
        <w:rPr>
          <w:rFonts w:asciiTheme="majorBidi" w:hAnsiTheme="majorBidi" w:cstheme="majorBidi"/>
          <w:color w:val="000000" w:themeColor="text1"/>
          <w:szCs w:val="24"/>
          <w:shd w:val="clear" w:color="auto" w:fill="FFFFFF"/>
        </w:rPr>
        <w:t>then remittances</w:t>
      </w:r>
      <w:r w:rsidR="00F910B7" w:rsidRPr="004B36B2">
        <w:rPr>
          <w:rFonts w:asciiTheme="majorBidi" w:hAnsiTheme="majorBidi" w:cstheme="majorBidi"/>
          <w:color w:val="000000" w:themeColor="text1"/>
          <w:szCs w:val="24"/>
          <w:shd w:val="clear" w:color="auto" w:fill="FFFFFF"/>
        </w:rPr>
        <w:t xml:space="preserve"> may have </w:t>
      </w:r>
      <w:r w:rsidR="000840AF" w:rsidRPr="004B36B2">
        <w:rPr>
          <w:rFonts w:asciiTheme="majorBidi" w:hAnsiTheme="majorBidi" w:cstheme="majorBidi"/>
          <w:color w:val="000000" w:themeColor="text1"/>
          <w:szCs w:val="24"/>
          <w:shd w:val="clear" w:color="auto" w:fill="FFFFFF"/>
        </w:rPr>
        <w:t xml:space="preserve">an indirect </w:t>
      </w:r>
      <w:r w:rsidR="00DF7DBD" w:rsidRPr="004B36B2">
        <w:rPr>
          <w:rFonts w:asciiTheme="majorBidi" w:hAnsiTheme="majorBidi" w:cstheme="majorBidi"/>
          <w:color w:val="000000" w:themeColor="text1"/>
          <w:szCs w:val="24"/>
          <w:shd w:val="clear" w:color="auto" w:fill="FFFFFF"/>
        </w:rPr>
        <w:t>negative</w:t>
      </w:r>
      <w:r w:rsidR="00AF2F02" w:rsidRPr="004B36B2">
        <w:rPr>
          <w:rFonts w:asciiTheme="majorBidi" w:hAnsiTheme="majorBidi" w:cstheme="majorBidi"/>
          <w:color w:val="000000" w:themeColor="text1"/>
          <w:szCs w:val="24"/>
          <w:shd w:val="clear" w:color="auto" w:fill="FFFFFF"/>
        </w:rPr>
        <w:t xml:space="preserve"> </w:t>
      </w:r>
      <w:r w:rsidR="00A05A1B" w:rsidRPr="004B36B2">
        <w:rPr>
          <w:rFonts w:asciiTheme="majorBidi" w:hAnsiTheme="majorBidi" w:cstheme="majorBidi"/>
          <w:color w:val="000000" w:themeColor="text1"/>
          <w:szCs w:val="24"/>
          <w:shd w:val="clear" w:color="auto" w:fill="FFFFFF"/>
        </w:rPr>
        <w:t>effect</w:t>
      </w:r>
      <w:r w:rsidR="00F910B7" w:rsidRPr="004B36B2">
        <w:rPr>
          <w:rFonts w:asciiTheme="majorBidi" w:hAnsiTheme="majorBidi" w:cstheme="majorBidi"/>
          <w:color w:val="000000" w:themeColor="text1"/>
          <w:szCs w:val="24"/>
          <w:shd w:val="clear" w:color="auto" w:fill="FFFFFF"/>
        </w:rPr>
        <w:t xml:space="preserve"> by raising </w:t>
      </w:r>
      <w:r w:rsidR="000840AF" w:rsidRPr="004B36B2">
        <w:rPr>
          <w:rFonts w:asciiTheme="majorBidi" w:hAnsiTheme="majorBidi" w:cstheme="majorBidi"/>
          <w:color w:val="000000" w:themeColor="text1"/>
          <w:szCs w:val="24"/>
          <w:shd w:val="clear" w:color="auto" w:fill="FFFFFF"/>
        </w:rPr>
        <w:t xml:space="preserve">the </w:t>
      </w:r>
      <w:r w:rsidR="00C301CB" w:rsidRPr="004B36B2">
        <w:rPr>
          <w:rFonts w:asciiTheme="majorBidi" w:hAnsiTheme="majorBidi" w:cstheme="majorBidi"/>
          <w:color w:val="000000" w:themeColor="text1"/>
          <w:szCs w:val="24"/>
          <w:shd w:val="clear" w:color="auto" w:fill="FFFFFF"/>
        </w:rPr>
        <w:t>opportunity cost</w:t>
      </w:r>
      <w:r w:rsidR="00F910B7" w:rsidRPr="004B36B2">
        <w:rPr>
          <w:rFonts w:asciiTheme="majorBidi" w:hAnsiTheme="majorBidi" w:cstheme="majorBidi"/>
          <w:color w:val="000000" w:themeColor="text1"/>
          <w:szCs w:val="24"/>
          <w:shd w:val="clear" w:color="auto" w:fill="FFFFFF"/>
        </w:rPr>
        <w:t>s</w:t>
      </w:r>
      <w:r w:rsidR="00C301CB" w:rsidRPr="004B36B2">
        <w:rPr>
          <w:rFonts w:asciiTheme="majorBidi" w:hAnsiTheme="majorBidi" w:cstheme="majorBidi"/>
          <w:color w:val="000000" w:themeColor="text1"/>
          <w:szCs w:val="24"/>
          <w:shd w:val="clear" w:color="auto" w:fill="FFFFFF"/>
        </w:rPr>
        <w:t xml:space="preserve"> of staying in school </w:t>
      </w:r>
      <w:r w:rsidR="00C301CB" w:rsidRPr="004B36B2">
        <w:rPr>
          <w:rFonts w:asciiTheme="majorBidi" w:hAnsiTheme="majorBidi" w:cstheme="majorBidi"/>
          <w:color w:val="000000" w:themeColor="text1"/>
          <w:szCs w:val="24"/>
        </w:rPr>
        <w:t>(</w:t>
      </w:r>
      <w:hyperlink w:anchor="_ENREF_76" w:tooltip="Köllner, 2013 #1195" w:history="1">
        <w:r w:rsidR="00C301CB" w:rsidRPr="004B36B2">
          <w:rPr>
            <w:rStyle w:val="Hyperlink"/>
            <w:rFonts w:asciiTheme="majorBidi" w:hAnsiTheme="majorBidi" w:cstheme="majorBidi"/>
            <w:color w:val="000000" w:themeColor="text1"/>
            <w:szCs w:val="24"/>
            <w:u w:val="none"/>
          </w:rPr>
          <w:fldChar w:fldCharType="begin"/>
        </w:r>
        <w:r w:rsidR="00C301CB" w:rsidRPr="004B36B2">
          <w:rPr>
            <w:rStyle w:val="Hyperlink"/>
            <w:rFonts w:asciiTheme="majorBidi" w:hAnsiTheme="majorBidi" w:cstheme="majorBidi"/>
            <w:color w:val="000000" w:themeColor="text1"/>
            <w:szCs w:val="24"/>
            <w:u w:val="none"/>
          </w:rPr>
          <w:instrText xml:space="preserve"> ADDIN EN.CITE &lt;EndNote&gt;&lt;Cite AuthorYear="1"&gt;&lt;Author&gt;Köllner&lt;/Author&gt;&lt;Year&gt;2013&lt;/Year&gt;&lt;RecNum&gt;1195&lt;/RecNum&gt;&lt;DisplayText&gt;Köllner (2013)&lt;/DisplayText&gt;&lt;record&gt;&lt;rec-number&gt;1195&lt;/rec-number&gt;&lt;foreign-keys&gt;&lt;key app="EN" db-id="2e5x09etnw59plezvanxesw9rdtvrf2azwfd" timestamp="1490239261"&gt;1195&lt;/key&gt;&lt;/foreign-keys&gt;&lt;ref-type name="Generic"&gt;13&lt;/ref-type&gt;&lt;contributors&gt;&lt;authors&gt;&lt;author&gt;Köllner, Sebastian&lt;/author&gt;&lt;/authors&gt;&lt;/contributors&gt;&lt;titles&gt;&lt;title&gt;Remittances and educational attainment: Evidence from Tajikistan&lt;/title&gt;&lt;/titles&gt;&lt;volume&gt;124&lt;/volume&gt;&lt;keywords&gt;&lt;keyword&gt;Kombilohn&lt;/keyword&gt;&lt;keyword&gt;Earned Income Tax Credit&lt;/keyword&gt;&lt;keyword&gt;Erwerbsarmut&lt;/keyword&gt;&lt;keyword&gt;Arbeitslosengeld II&lt;/keyword&gt;&lt;keyword&gt;Minijob&lt;/keyword&gt;&lt;keyword&gt;Arbeitsmarktpartizipation&lt;/keyword&gt;&lt;keyword&gt;combi-wage&lt;/keyword&gt;&lt;keyword&gt;unemployment benefit II&lt;/keyword&gt;&lt;keyword&gt;working poor&lt;/keyword&gt;&lt;keyword&gt;labor market participation&lt;/keyword&gt;&lt;/keywords&gt;&lt;dates&gt;&lt;year&gt;2013&lt;/year&gt;&lt;/dates&gt;&lt;publisher&gt;Julius Maximilian University of Würzburg, Chair of Economic Order and Social Policy&lt;/publisher&gt;&lt;urls&gt;&lt;/urls&gt;&lt;/record&gt;&lt;/Cite&gt;&lt;/EndNote&gt;</w:instrText>
        </w:r>
        <w:r w:rsidR="00C301CB" w:rsidRPr="004B36B2">
          <w:rPr>
            <w:rStyle w:val="Hyperlink"/>
            <w:rFonts w:asciiTheme="majorBidi" w:hAnsiTheme="majorBidi" w:cstheme="majorBidi"/>
            <w:color w:val="000000" w:themeColor="text1"/>
            <w:szCs w:val="24"/>
            <w:u w:val="none"/>
          </w:rPr>
          <w:fldChar w:fldCharType="separate"/>
        </w:r>
        <w:r w:rsidR="00C301CB" w:rsidRPr="004B36B2">
          <w:rPr>
            <w:rStyle w:val="Hyperlink"/>
            <w:rFonts w:asciiTheme="majorBidi" w:hAnsiTheme="majorBidi" w:cstheme="majorBidi"/>
            <w:noProof/>
            <w:color w:val="000000" w:themeColor="text1"/>
            <w:szCs w:val="24"/>
            <w:u w:val="none"/>
          </w:rPr>
          <w:t>Köllner 2013)</w:t>
        </w:r>
        <w:r w:rsidR="00C301CB" w:rsidRPr="004B36B2">
          <w:rPr>
            <w:rStyle w:val="Hyperlink"/>
            <w:rFonts w:asciiTheme="majorBidi" w:hAnsiTheme="majorBidi" w:cstheme="majorBidi"/>
            <w:color w:val="000000" w:themeColor="text1"/>
            <w:szCs w:val="24"/>
            <w:u w:val="none"/>
          </w:rPr>
          <w:fldChar w:fldCharType="end"/>
        </w:r>
      </w:hyperlink>
      <w:r w:rsidR="00C679E2" w:rsidRPr="004B36B2">
        <w:rPr>
          <w:rStyle w:val="Hyperlink"/>
          <w:rFonts w:asciiTheme="majorBidi" w:hAnsiTheme="majorBidi" w:cstheme="majorBidi"/>
          <w:color w:val="000000" w:themeColor="text1"/>
          <w:szCs w:val="24"/>
          <w:u w:val="none"/>
        </w:rPr>
        <w:t>.</w:t>
      </w:r>
      <w:r w:rsidR="00C301CB" w:rsidRPr="004B36B2">
        <w:rPr>
          <w:rFonts w:asciiTheme="majorBidi" w:hAnsiTheme="majorBidi" w:cstheme="majorBidi"/>
          <w:color w:val="000000" w:themeColor="text1"/>
          <w:szCs w:val="24"/>
        </w:rPr>
        <w:t xml:space="preserve"> </w:t>
      </w:r>
    </w:p>
    <w:p w14:paraId="3DC9AB90" w14:textId="77777777" w:rsidR="009D22DE" w:rsidRPr="00E54F60" w:rsidRDefault="009D22DE" w:rsidP="00283A3C">
      <w:pPr>
        <w:spacing w:line="288" w:lineRule="auto"/>
        <w:ind w:firstLine="720"/>
        <w:jc w:val="both"/>
        <w:rPr>
          <w:rFonts w:asciiTheme="majorBidi" w:hAnsiTheme="majorBidi" w:cstheme="majorBidi"/>
          <w:color w:val="000000" w:themeColor="text1"/>
          <w:sz w:val="16"/>
          <w:szCs w:val="16"/>
        </w:rPr>
      </w:pPr>
    </w:p>
    <w:p w14:paraId="16CDE280" w14:textId="58E95B64" w:rsidR="00183785" w:rsidRDefault="00630B4A"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noProof/>
          <w:color w:val="000000" w:themeColor="text1"/>
          <w:szCs w:val="24"/>
          <w:shd w:val="clear" w:color="auto" w:fill="FFFFFF"/>
        </w:rPr>
        <w:t>P</w:t>
      </w:r>
      <w:r w:rsidR="00DA0232" w:rsidRPr="004B36B2">
        <w:rPr>
          <w:rFonts w:asciiTheme="majorBidi" w:hAnsiTheme="majorBidi" w:cstheme="majorBidi"/>
          <w:noProof/>
          <w:color w:val="000000" w:themeColor="text1"/>
          <w:szCs w:val="24"/>
          <w:shd w:val="clear" w:color="auto" w:fill="FFFFFF"/>
        </w:rPr>
        <w:t>revious</w:t>
      </w:r>
      <w:r w:rsidR="00DA0232" w:rsidRPr="004B36B2">
        <w:rPr>
          <w:rFonts w:asciiTheme="majorBidi" w:hAnsiTheme="majorBidi" w:cstheme="majorBidi"/>
          <w:color w:val="000000" w:themeColor="text1"/>
          <w:szCs w:val="24"/>
          <w:shd w:val="clear" w:color="auto" w:fill="FFFFFF"/>
        </w:rPr>
        <w:t xml:space="preserve"> </w:t>
      </w:r>
      <w:r w:rsidRPr="004B36B2">
        <w:rPr>
          <w:rFonts w:asciiTheme="majorBidi" w:hAnsiTheme="majorBidi" w:cstheme="majorBidi"/>
          <w:color w:val="000000" w:themeColor="text1"/>
          <w:szCs w:val="24"/>
          <w:shd w:val="clear" w:color="auto" w:fill="FFFFFF"/>
        </w:rPr>
        <w:t>studies</w:t>
      </w:r>
      <w:r w:rsidR="00DA0232" w:rsidRPr="004B36B2">
        <w:rPr>
          <w:rFonts w:asciiTheme="majorBidi" w:hAnsiTheme="majorBidi" w:cstheme="majorBidi"/>
          <w:color w:val="000000" w:themeColor="text1"/>
          <w:szCs w:val="24"/>
          <w:shd w:val="clear" w:color="auto" w:fill="FFFFFF"/>
        </w:rPr>
        <w:t xml:space="preserve"> on </w:t>
      </w:r>
      <w:r w:rsidRPr="004B36B2">
        <w:rPr>
          <w:rFonts w:asciiTheme="majorBidi" w:hAnsiTheme="majorBidi" w:cstheme="majorBidi"/>
          <w:color w:val="000000" w:themeColor="text1"/>
          <w:szCs w:val="24"/>
          <w:shd w:val="clear" w:color="auto" w:fill="FFFFFF"/>
        </w:rPr>
        <w:t xml:space="preserve">effects of migration on left-behind children tend to focus on simple indicators, such as </w:t>
      </w:r>
      <w:r w:rsidR="002C44BC" w:rsidRPr="004B36B2">
        <w:rPr>
          <w:rFonts w:asciiTheme="majorBidi" w:hAnsiTheme="majorBidi" w:cstheme="majorBidi"/>
          <w:color w:val="000000" w:themeColor="text1"/>
          <w:szCs w:val="24"/>
          <w:shd w:val="clear" w:color="auto" w:fill="FFFFFF"/>
        </w:rPr>
        <w:t xml:space="preserve">whether a child is in </w:t>
      </w:r>
      <w:r w:rsidRPr="004B36B2">
        <w:rPr>
          <w:rFonts w:asciiTheme="majorBidi" w:hAnsiTheme="majorBidi" w:cstheme="majorBidi"/>
          <w:color w:val="000000" w:themeColor="text1"/>
          <w:szCs w:val="24"/>
          <w:shd w:val="clear" w:color="auto" w:fill="FFFFFF"/>
        </w:rPr>
        <w:t>school (</w:t>
      </w:r>
      <w:r w:rsidR="000840AF" w:rsidRPr="004B36B2">
        <w:rPr>
          <w:rFonts w:asciiTheme="majorBidi" w:hAnsiTheme="majorBidi" w:cstheme="majorBidi"/>
          <w:color w:val="000000" w:themeColor="text1"/>
          <w:szCs w:val="24"/>
          <w:shd w:val="clear" w:color="auto" w:fill="FFFFFF"/>
        </w:rPr>
        <w:t>for Nepal this includes</w:t>
      </w:r>
      <w:r w:rsidR="005D4F93" w:rsidRPr="004B36B2">
        <w:rPr>
          <w:rFonts w:asciiTheme="majorBidi" w:hAnsiTheme="majorBidi" w:cstheme="majorBidi"/>
          <w:color w:val="000000" w:themeColor="text1"/>
          <w:szCs w:val="24"/>
          <w:shd w:val="clear" w:color="auto" w:fill="FFFFFF"/>
        </w:rPr>
        <w:t xml:space="preserve"> </w:t>
      </w:r>
      <w:r w:rsidR="007A4DC3" w:rsidRPr="004B36B2">
        <w:rPr>
          <w:rFonts w:asciiTheme="majorBidi" w:hAnsiTheme="majorBidi" w:cstheme="majorBidi"/>
          <w:color w:val="000000" w:themeColor="text1"/>
          <w:szCs w:val="24"/>
          <w:shd w:val="clear" w:color="auto" w:fill="FFFFFF"/>
        </w:rPr>
        <w:t xml:space="preserve">Acharya </w:t>
      </w:r>
      <w:r w:rsidR="00DB0036" w:rsidRPr="00DB0036">
        <w:rPr>
          <w:rFonts w:asciiTheme="majorBidi" w:hAnsiTheme="majorBidi" w:cstheme="majorBidi"/>
          <w:color w:val="000000" w:themeColor="text1"/>
          <w:szCs w:val="24"/>
          <w:shd w:val="clear" w:color="auto" w:fill="FFFFFF"/>
        </w:rPr>
        <w:t>and</w:t>
      </w:r>
      <w:r w:rsidR="007A4DC3" w:rsidRPr="004B36B2">
        <w:rPr>
          <w:rFonts w:asciiTheme="majorBidi" w:hAnsiTheme="majorBidi" w:cstheme="majorBidi"/>
          <w:color w:val="000000" w:themeColor="text1"/>
          <w:szCs w:val="24"/>
          <w:shd w:val="clear" w:color="auto" w:fill="FFFFFF"/>
        </w:rPr>
        <w:t xml:space="preserve"> Leon-Gonzalez 2013</w:t>
      </w:r>
      <w:r w:rsidR="00305FC9" w:rsidRPr="004B36B2">
        <w:rPr>
          <w:rFonts w:asciiTheme="majorBidi" w:hAnsiTheme="majorBidi" w:cstheme="majorBidi"/>
          <w:color w:val="000000" w:themeColor="text1"/>
          <w:szCs w:val="24"/>
          <w:shd w:val="clear" w:color="auto" w:fill="FFFFFF"/>
        </w:rPr>
        <w:t xml:space="preserve"> and Shrestha 2017</w:t>
      </w:r>
      <w:r w:rsidRPr="004B36B2">
        <w:rPr>
          <w:rFonts w:asciiTheme="majorBidi" w:hAnsiTheme="majorBidi" w:cstheme="majorBidi"/>
          <w:color w:val="000000" w:themeColor="text1"/>
          <w:szCs w:val="24"/>
          <w:shd w:val="clear" w:color="auto" w:fill="FFFFFF"/>
        </w:rPr>
        <w:t xml:space="preserve">). </w:t>
      </w:r>
      <w:r w:rsidR="000840AF" w:rsidRPr="004B36B2">
        <w:rPr>
          <w:rFonts w:asciiTheme="majorBidi" w:hAnsiTheme="majorBidi" w:cstheme="majorBidi"/>
          <w:color w:val="000000" w:themeColor="text1"/>
          <w:szCs w:val="24"/>
          <w:shd w:val="clear" w:color="auto" w:fill="FFFFFF"/>
        </w:rPr>
        <w:t>T</w:t>
      </w:r>
      <w:r w:rsidRPr="004B36B2">
        <w:rPr>
          <w:rFonts w:asciiTheme="majorBidi" w:hAnsiTheme="majorBidi" w:cstheme="majorBidi"/>
          <w:color w:val="000000" w:themeColor="text1"/>
          <w:szCs w:val="24"/>
          <w:shd w:val="clear" w:color="auto" w:fill="FFFFFF"/>
        </w:rPr>
        <w:t xml:space="preserve">his is a </w:t>
      </w:r>
      <w:r w:rsidR="00A800A8" w:rsidRPr="004B36B2">
        <w:rPr>
          <w:rFonts w:asciiTheme="majorBidi" w:hAnsiTheme="majorBidi" w:cstheme="majorBidi"/>
          <w:color w:val="000000" w:themeColor="text1"/>
          <w:szCs w:val="24"/>
        </w:rPr>
        <w:t>relatively</w:t>
      </w:r>
      <w:r w:rsidR="00535E4A" w:rsidRPr="004B36B2">
        <w:rPr>
          <w:rFonts w:asciiTheme="majorBidi" w:hAnsiTheme="majorBidi" w:cstheme="majorBidi"/>
          <w:color w:val="000000" w:themeColor="text1"/>
          <w:szCs w:val="24"/>
        </w:rPr>
        <w:t xml:space="preserve"> crude</w:t>
      </w:r>
      <w:r w:rsidR="00A800A8"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measure </w:t>
      </w:r>
      <w:r w:rsidR="00DD163A" w:rsidRPr="004B36B2">
        <w:rPr>
          <w:rFonts w:asciiTheme="majorBidi" w:hAnsiTheme="majorBidi" w:cstheme="majorBidi"/>
          <w:color w:val="000000" w:themeColor="text1"/>
          <w:szCs w:val="24"/>
        </w:rPr>
        <w:t>because</w:t>
      </w:r>
      <w:r w:rsidR="005813C4" w:rsidRPr="004B36B2">
        <w:rPr>
          <w:rFonts w:asciiTheme="majorBidi" w:hAnsiTheme="majorBidi" w:cstheme="majorBidi"/>
          <w:color w:val="000000" w:themeColor="text1"/>
          <w:szCs w:val="24"/>
        </w:rPr>
        <w:t xml:space="preserve"> most </w:t>
      </w:r>
      <w:r w:rsidR="005813C4" w:rsidRPr="004B36B2">
        <w:rPr>
          <w:rFonts w:asciiTheme="majorBidi" w:hAnsiTheme="majorBidi" w:cstheme="majorBidi"/>
          <w:noProof/>
          <w:color w:val="000000" w:themeColor="text1"/>
          <w:szCs w:val="24"/>
        </w:rPr>
        <w:t>school</w:t>
      </w:r>
      <w:r w:rsidRPr="004B36B2">
        <w:rPr>
          <w:rFonts w:asciiTheme="majorBidi" w:hAnsiTheme="majorBidi" w:cstheme="majorBidi"/>
          <w:noProof/>
          <w:color w:val="000000" w:themeColor="text1"/>
          <w:szCs w:val="24"/>
        </w:rPr>
        <w:t>-age</w:t>
      </w:r>
      <w:r w:rsidR="005813C4" w:rsidRPr="004B36B2">
        <w:rPr>
          <w:rFonts w:asciiTheme="majorBidi" w:hAnsiTheme="majorBidi" w:cstheme="majorBidi"/>
          <w:color w:val="000000" w:themeColor="text1"/>
          <w:szCs w:val="24"/>
        </w:rPr>
        <w:t xml:space="preserve"> children are in school and </w:t>
      </w:r>
      <w:r w:rsidR="00A800A8" w:rsidRPr="004B36B2">
        <w:rPr>
          <w:rFonts w:asciiTheme="majorBidi" w:hAnsiTheme="majorBidi" w:cstheme="majorBidi"/>
          <w:color w:val="000000" w:themeColor="text1"/>
          <w:szCs w:val="24"/>
        </w:rPr>
        <w:t xml:space="preserve">it </w:t>
      </w:r>
      <w:r w:rsidR="00E94BA9" w:rsidRPr="004B36B2">
        <w:rPr>
          <w:rFonts w:asciiTheme="majorBidi" w:hAnsiTheme="majorBidi" w:cstheme="majorBidi"/>
          <w:noProof/>
          <w:color w:val="000000" w:themeColor="text1"/>
          <w:szCs w:val="24"/>
        </w:rPr>
        <w:t>do</w:t>
      </w:r>
      <w:r w:rsidR="00F845C5" w:rsidRPr="004B36B2">
        <w:rPr>
          <w:rFonts w:asciiTheme="majorBidi" w:hAnsiTheme="majorBidi" w:cstheme="majorBidi"/>
          <w:noProof/>
          <w:color w:val="000000" w:themeColor="text1"/>
          <w:szCs w:val="24"/>
        </w:rPr>
        <w:t>es</w:t>
      </w:r>
      <w:r w:rsidR="00710DA3" w:rsidRPr="004B36B2">
        <w:rPr>
          <w:rFonts w:asciiTheme="majorBidi" w:hAnsiTheme="majorBidi" w:cstheme="majorBidi"/>
          <w:color w:val="000000" w:themeColor="text1"/>
          <w:szCs w:val="24"/>
        </w:rPr>
        <w:t xml:space="preserve"> not </w:t>
      </w:r>
      <w:r w:rsidR="005F7EB7" w:rsidRPr="004B36B2">
        <w:rPr>
          <w:rFonts w:asciiTheme="majorBidi" w:hAnsiTheme="majorBidi" w:cstheme="majorBidi"/>
          <w:color w:val="000000" w:themeColor="text1"/>
          <w:szCs w:val="24"/>
        </w:rPr>
        <w:t>capture any</w:t>
      </w:r>
      <w:r w:rsidR="00A800A8" w:rsidRPr="004B36B2">
        <w:rPr>
          <w:rFonts w:asciiTheme="majorBidi" w:hAnsiTheme="majorBidi" w:cstheme="majorBidi"/>
          <w:color w:val="000000" w:themeColor="text1"/>
          <w:szCs w:val="24"/>
        </w:rPr>
        <w:t xml:space="preserve"> impact </w:t>
      </w:r>
      <w:r w:rsidR="005813C4" w:rsidRPr="004B36B2">
        <w:rPr>
          <w:rFonts w:asciiTheme="majorBidi" w:hAnsiTheme="majorBidi" w:cstheme="majorBidi"/>
          <w:color w:val="000000" w:themeColor="text1"/>
          <w:szCs w:val="24"/>
        </w:rPr>
        <w:t xml:space="preserve">on </w:t>
      </w:r>
      <w:r w:rsidR="005F7EB7" w:rsidRPr="004B36B2">
        <w:rPr>
          <w:rFonts w:asciiTheme="majorBidi" w:hAnsiTheme="majorBidi" w:cstheme="majorBidi"/>
          <w:color w:val="000000" w:themeColor="text1"/>
          <w:szCs w:val="24"/>
        </w:rPr>
        <w:t xml:space="preserve">the </w:t>
      </w:r>
      <w:r w:rsidR="005813C4" w:rsidRPr="004B36B2">
        <w:rPr>
          <w:rFonts w:asciiTheme="majorBidi" w:hAnsiTheme="majorBidi" w:cstheme="majorBidi"/>
          <w:color w:val="000000" w:themeColor="text1"/>
          <w:szCs w:val="24"/>
        </w:rPr>
        <w:t xml:space="preserve">quality of schooling. </w:t>
      </w:r>
      <w:r w:rsidR="006B7958" w:rsidRPr="004B36B2">
        <w:rPr>
          <w:rFonts w:asciiTheme="majorBidi" w:hAnsiTheme="majorBidi" w:cstheme="majorBidi"/>
          <w:color w:val="000000" w:themeColor="text1"/>
          <w:szCs w:val="24"/>
        </w:rPr>
        <w:t>For instance, a</w:t>
      </w:r>
      <w:r w:rsidR="00097984" w:rsidRPr="004B36B2">
        <w:rPr>
          <w:rFonts w:asciiTheme="majorBidi" w:hAnsiTheme="majorBidi" w:cstheme="majorBidi"/>
          <w:color w:val="000000" w:themeColor="text1"/>
          <w:szCs w:val="24"/>
        </w:rPr>
        <w:t>fter the introduction of</w:t>
      </w:r>
      <w:r w:rsidR="00F96AB0" w:rsidRPr="004B36B2">
        <w:rPr>
          <w:rFonts w:asciiTheme="majorBidi" w:hAnsiTheme="majorBidi" w:cstheme="majorBidi"/>
          <w:color w:val="000000" w:themeColor="text1"/>
          <w:szCs w:val="24"/>
        </w:rPr>
        <w:t xml:space="preserve"> </w:t>
      </w:r>
      <w:r w:rsidR="000840AF" w:rsidRPr="004B36B2">
        <w:rPr>
          <w:rFonts w:asciiTheme="majorBidi" w:hAnsiTheme="majorBidi" w:cstheme="majorBidi"/>
          <w:color w:val="000000" w:themeColor="text1"/>
          <w:szCs w:val="24"/>
        </w:rPr>
        <w:t xml:space="preserve">Nepal’s </w:t>
      </w:r>
      <w:r w:rsidR="0072305A" w:rsidRPr="004B36B2">
        <w:rPr>
          <w:rFonts w:asciiTheme="majorBidi" w:hAnsiTheme="majorBidi" w:cstheme="majorBidi"/>
          <w:color w:val="000000" w:themeColor="text1"/>
          <w:szCs w:val="24"/>
        </w:rPr>
        <w:t>Education for All (</w:t>
      </w:r>
      <w:r w:rsidR="00F96AB0" w:rsidRPr="004B36B2">
        <w:rPr>
          <w:rFonts w:asciiTheme="majorBidi" w:hAnsiTheme="majorBidi" w:cstheme="majorBidi"/>
          <w:color w:val="000000" w:themeColor="text1"/>
          <w:szCs w:val="24"/>
        </w:rPr>
        <w:t>EFA</w:t>
      </w:r>
      <w:r w:rsidR="0072305A" w:rsidRPr="004B36B2">
        <w:rPr>
          <w:rFonts w:asciiTheme="majorBidi" w:hAnsiTheme="majorBidi" w:cstheme="majorBidi"/>
          <w:color w:val="000000" w:themeColor="text1"/>
          <w:szCs w:val="24"/>
        </w:rPr>
        <w:t>)</w:t>
      </w:r>
      <w:r w:rsidR="00F96AB0" w:rsidRPr="004B36B2">
        <w:rPr>
          <w:rFonts w:asciiTheme="majorBidi" w:hAnsiTheme="majorBidi" w:cstheme="majorBidi"/>
          <w:color w:val="000000" w:themeColor="text1"/>
          <w:szCs w:val="24"/>
        </w:rPr>
        <w:t xml:space="preserve"> program (2001-08) and </w:t>
      </w:r>
      <w:r w:rsidR="0072305A" w:rsidRPr="004B36B2">
        <w:rPr>
          <w:rFonts w:asciiTheme="majorBidi" w:hAnsiTheme="majorBidi" w:cstheme="majorBidi"/>
          <w:color w:val="000000" w:themeColor="text1"/>
          <w:szCs w:val="24"/>
        </w:rPr>
        <w:t>School Sector Reform Program (</w:t>
      </w:r>
      <w:r w:rsidR="00F96AB0" w:rsidRPr="004B36B2">
        <w:rPr>
          <w:rFonts w:asciiTheme="majorBidi" w:hAnsiTheme="majorBidi" w:cstheme="majorBidi"/>
          <w:color w:val="000000" w:themeColor="text1"/>
          <w:szCs w:val="24"/>
        </w:rPr>
        <w:t>SSRP</w:t>
      </w:r>
      <w:r w:rsidR="0072305A" w:rsidRPr="004B36B2">
        <w:rPr>
          <w:rFonts w:asciiTheme="majorBidi" w:hAnsiTheme="majorBidi" w:cstheme="majorBidi"/>
          <w:color w:val="000000" w:themeColor="text1"/>
          <w:szCs w:val="24"/>
        </w:rPr>
        <w:t>)</w:t>
      </w:r>
      <w:r w:rsidR="00F96AB0" w:rsidRPr="004B36B2">
        <w:rPr>
          <w:rFonts w:asciiTheme="majorBidi" w:hAnsiTheme="majorBidi" w:cstheme="majorBidi"/>
          <w:color w:val="000000" w:themeColor="text1"/>
          <w:szCs w:val="24"/>
        </w:rPr>
        <w:t xml:space="preserve"> (2009-2015)</w:t>
      </w:r>
      <w:r w:rsidR="0072305A"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school</w:t>
      </w:r>
      <w:r w:rsidR="006B7958" w:rsidRPr="004B36B2">
        <w:rPr>
          <w:rFonts w:asciiTheme="majorBidi" w:hAnsiTheme="majorBidi" w:cstheme="majorBidi"/>
          <w:color w:val="000000" w:themeColor="text1"/>
          <w:szCs w:val="24"/>
        </w:rPr>
        <w:t xml:space="preserve"> </w:t>
      </w:r>
      <w:r w:rsidR="00966A80" w:rsidRPr="004B36B2">
        <w:rPr>
          <w:rFonts w:asciiTheme="majorBidi" w:hAnsiTheme="majorBidi" w:cstheme="majorBidi"/>
          <w:color w:val="000000" w:themeColor="text1"/>
          <w:szCs w:val="24"/>
        </w:rPr>
        <w:t>attendance is already above 90 percent (CBS</w:t>
      </w:r>
      <w:r w:rsidR="00B2547A" w:rsidRPr="004B36B2">
        <w:rPr>
          <w:rFonts w:asciiTheme="majorBidi" w:hAnsiTheme="majorBidi" w:cstheme="majorBidi"/>
          <w:color w:val="000000" w:themeColor="text1"/>
          <w:szCs w:val="24"/>
        </w:rPr>
        <w:t>, 2008,</w:t>
      </w:r>
      <w:r w:rsidR="00966A80" w:rsidRPr="004B36B2">
        <w:rPr>
          <w:rFonts w:asciiTheme="majorBidi" w:hAnsiTheme="majorBidi" w:cstheme="majorBidi"/>
          <w:color w:val="000000" w:themeColor="text1"/>
          <w:szCs w:val="24"/>
        </w:rPr>
        <w:t xml:space="preserve"> 2010)</w:t>
      </w:r>
      <w:r w:rsidR="00F96AB0"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However,</w:t>
      </w:r>
      <w:r w:rsidR="009A3DB5" w:rsidRPr="004B36B2">
        <w:rPr>
          <w:rFonts w:asciiTheme="majorBidi" w:hAnsiTheme="majorBidi" w:cstheme="majorBidi"/>
          <w:color w:val="000000" w:themeColor="text1"/>
          <w:szCs w:val="24"/>
        </w:rPr>
        <w:t xml:space="preserve"> </w:t>
      </w:r>
      <w:r w:rsidR="00E57C5F" w:rsidRPr="004B36B2">
        <w:rPr>
          <w:rFonts w:asciiTheme="majorBidi" w:hAnsiTheme="majorBidi" w:cstheme="majorBidi"/>
          <w:color w:val="000000" w:themeColor="text1"/>
          <w:szCs w:val="24"/>
        </w:rPr>
        <w:t xml:space="preserve">children </w:t>
      </w:r>
      <w:r w:rsidRPr="004B36B2">
        <w:rPr>
          <w:rFonts w:asciiTheme="majorBidi" w:hAnsiTheme="majorBidi" w:cstheme="majorBidi"/>
          <w:color w:val="000000" w:themeColor="text1"/>
          <w:szCs w:val="24"/>
        </w:rPr>
        <w:t xml:space="preserve">may not be </w:t>
      </w:r>
      <w:r w:rsidR="009A3DB5" w:rsidRPr="004B36B2">
        <w:rPr>
          <w:rFonts w:asciiTheme="majorBidi" w:hAnsiTheme="majorBidi" w:cstheme="majorBidi"/>
          <w:color w:val="000000" w:themeColor="text1"/>
          <w:szCs w:val="24"/>
        </w:rPr>
        <w:t xml:space="preserve">in </w:t>
      </w:r>
      <w:r w:rsidRPr="004B36B2">
        <w:rPr>
          <w:rFonts w:asciiTheme="majorBidi" w:hAnsiTheme="majorBidi" w:cstheme="majorBidi"/>
          <w:color w:val="000000" w:themeColor="text1"/>
          <w:szCs w:val="24"/>
        </w:rPr>
        <w:t xml:space="preserve">the </w:t>
      </w:r>
      <w:r w:rsidR="009A3DB5" w:rsidRPr="004B36B2">
        <w:rPr>
          <w:rFonts w:asciiTheme="majorBidi" w:hAnsiTheme="majorBidi" w:cstheme="majorBidi"/>
          <w:noProof/>
          <w:color w:val="000000" w:themeColor="text1"/>
          <w:szCs w:val="24"/>
        </w:rPr>
        <w:t>age</w:t>
      </w:r>
      <w:r w:rsidR="00A1646E" w:rsidRPr="004B36B2">
        <w:rPr>
          <w:rFonts w:asciiTheme="majorBidi" w:hAnsiTheme="majorBidi" w:cstheme="majorBidi"/>
          <w:noProof/>
          <w:color w:val="000000" w:themeColor="text1"/>
          <w:szCs w:val="24"/>
        </w:rPr>
        <w:t>-</w:t>
      </w:r>
      <w:r w:rsidR="009A3DB5" w:rsidRPr="004B36B2">
        <w:rPr>
          <w:rFonts w:asciiTheme="majorBidi" w:hAnsiTheme="majorBidi" w:cstheme="majorBidi"/>
          <w:noProof/>
          <w:color w:val="000000" w:themeColor="text1"/>
          <w:szCs w:val="24"/>
        </w:rPr>
        <w:t>appropriate</w:t>
      </w:r>
      <w:r w:rsidR="009A3DB5" w:rsidRPr="004B36B2">
        <w:rPr>
          <w:rFonts w:asciiTheme="majorBidi" w:hAnsiTheme="majorBidi" w:cstheme="majorBidi"/>
          <w:color w:val="000000" w:themeColor="text1"/>
          <w:szCs w:val="24"/>
        </w:rPr>
        <w:t xml:space="preserve"> grade</w:t>
      </w:r>
      <w:r w:rsidR="00A800A8" w:rsidRPr="004B36B2">
        <w:rPr>
          <w:rFonts w:asciiTheme="majorBidi" w:hAnsiTheme="majorBidi" w:cstheme="majorBidi"/>
          <w:color w:val="000000" w:themeColor="text1"/>
          <w:szCs w:val="24"/>
        </w:rPr>
        <w:t xml:space="preserve">. </w:t>
      </w:r>
      <w:r w:rsidR="000B6CFD" w:rsidRPr="004B36B2">
        <w:rPr>
          <w:rFonts w:asciiTheme="majorBidi" w:hAnsiTheme="majorBidi" w:cstheme="majorBidi"/>
          <w:color w:val="000000" w:themeColor="text1"/>
          <w:szCs w:val="24"/>
        </w:rPr>
        <w:t xml:space="preserve">For example, in 2009/10 </w:t>
      </w:r>
      <w:r w:rsidRPr="004B36B2">
        <w:rPr>
          <w:rFonts w:asciiTheme="majorBidi" w:hAnsiTheme="majorBidi" w:cstheme="majorBidi"/>
          <w:color w:val="000000" w:themeColor="text1"/>
          <w:szCs w:val="24"/>
        </w:rPr>
        <w:t xml:space="preserve">Nepal’s </w:t>
      </w:r>
      <w:r w:rsidR="0034772A" w:rsidRPr="004B36B2">
        <w:rPr>
          <w:rFonts w:asciiTheme="majorBidi" w:hAnsiTheme="majorBidi" w:cstheme="majorBidi"/>
          <w:color w:val="000000" w:themeColor="text1"/>
          <w:szCs w:val="24"/>
        </w:rPr>
        <w:t>Gross E</w:t>
      </w:r>
      <w:r w:rsidR="000B6CFD" w:rsidRPr="004B36B2">
        <w:rPr>
          <w:rFonts w:asciiTheme="majorBidi" w:hAnsiTheme="majorBidi" w:cstheme="majorBidi"/>
          <w:color w:val="000000" w:themeColor="text1"/>
          <w:szCs w:val="24"/>
        </w:rPr>
        <w:t>nrolmen</w:t>
      </w:r>
      <w:r w:rsidR="0034772A" w:rsidRPr="004B36B2">
        <w:rPr>
          <w:rFonts w:asciiTheme="majorBidi" w:hAnsiTheme="majorBidi" w:cstheme="majorBidi"/>
          <w:color w:val="000000" w:themeColor="text1"/>
          <w:szCs w:val="24"/>
        </w:rPr>
        <w:t>t R</w:t>
      </w:r>
      <w:r w:rsidR="000B6CFD" w:rsidRPr="004B36B2">
        <w:rPr>
          <w:rFonts w:asciiTheme="majorBidi" w:hAnsiTheme="majorBidi" w:cstheme="majorBidi"/>
          <w:color w:val="000000" w:themeColor="text1"/>
          <w:szCs w:val="24"/>
        </w:rPr>
        <w:t xml:space="preserve">ate </w:t>
      </w:r>
      <w:r w:rsidR="0034772A" w:rsidRPr="004B36B2">
        <w:rPr>
          <w:rFonts w:asciiTheme="majorBidi" w:hAnsiTheme="majorBidi" w:cstheme="majorBidi"/>
          <w:color w:val="000000" w:themeColor="text1"/>
          <w:szCs w:val="24"/>
        </w:rPr>
        <w:t xml:space="preserve">(GER) </w:t>
      </w:r>
      <w:r w:rsidRPr="004B36B2">
        <w:rPr>
          <w:rFonts w:asciiTheme="majorBidi" w:hAnsiTheme="majorBidi" w:cstheme="majorBidi"/>
          <w:color w:val="000000" w:themeColor="text1"/>
          <w:szCs w:val="24"/>
        </w:rPr>
        <w:t xml:space="preserve">at Primary and Lower Secondary level </w:t>
      </w:r>
      <w:r w:rsidR="002C0552" w:rsidRPr="004B36B2">
        <w:rPr>
          <w:rFonts w:asciiTheme="majorBidi" w:hAnsiTheme="majorBidi" w:cstheme="majorBidi"/>
          <w:color w:val="000000" w:themeColor="text1"/>
          <w:szCs w:val="24"/>
        </w:rPr>
        <w:t>was above 120</w:t>
      </w:r>
      <w:r w:rsidR="000B6CFD" w:rsidRPr="004B36B2">
        <w:rPr>
          <w:rFonts w:asciiTheme="majorBidi" w:hAnsiTheme="majorBidi" w:cstheme="majorBidi"/>
          <w:color w:val="000000" w:themeColor="text1"/>
          <w:szCs w:val="24"/>
        </w:rPr>
        <w:t>%</w:t>
      </w:r>
      <w:r w:rsidR="008E2921"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due to over-age enrolments </w:t>
      </w:r>
      <w:r w:rsidR="002C0552" w:rsidRPr="004B36B2">
        <w:rPr>
          <w:rFonts w:asciiTheme="majorBidi" w:hAnsiTheme="majorBidi" w:cstheme="majorBidi"/>
          <w:color w:val="000000" w:themeColor="text1"/>
          <w:szCs w:val="24"/>
        </w:rPr>
        <w:t>(DOE, 2015)</w:t>
      </w:r>
      <w:r w:rsidR="002F66FC" w:rsidRPr="004B36B2">
        <w:rPr>
          <w:rFonts w:asciiTheme="majorBidi" w:hAnsiTheme="majorBidi" w:cstheme="majorBidi"/>
          <w:color w:val="000000" w:themeColor="text1"/>
          <w:szCs w:val="24"/>
        </w:rPr>
        <w:t xml:space="preserve">. </w:t>
      </w:r>
      <w:r w:rsidR="0077041A" w:rsidRPr="004B36B2">
        <w:rPr>
          <w:rFonts w:asciiTheme="majorBidi" w:hAnsiTheme="majorBidi" w:cstheme="majorBidi"/>
          <w:color w:val="000000" w:themeColor="text1"/>
          <w:szCs w:val="24"/>
        </w:rPr>
        <w:t xml:space="preserve">If we </w:t>
      </w:r>
      <w:r w:rsidR="00B464BA" w:rsidRPr="004B36B2">
        <w:rPr>
          <w:rFonts w:asciiTheme="majorBidi" w:hAnsiTheme="majorBidi" w:cstheme="majorBidi"/>
          <w:color w:val="000000" w:themeColor="text1"/>
          <w:szCs w:val="24"/>
        </w:rPr>
        <w:t xml:space="preserve">only </w:t>
      </w:r>
      <w:r w:rsidR="000840AF" w:rsidRPr="004B36B2">
        <w:rPr>
          <w:rFonts w:asciiTheme="majorBidi" w:hAnsiTheme="majorBidi" w:cstheme="majorBidi"/>
          <w:color w:val="000000" w:themeColor="text1"/>
          <w:szCs w:val="24"/>
        </w:rPr>
        <w:t xml:space="preserve">study </w:t>
      </w:r>
      <w:r w:rsidR="0077041A" w:rsidRPr="004B36B2">
        <w:rPr>
          <w:rFonts w:asciiTheme="majorBidi" w:hAnsiTheme="majorBidi" w:cstheme="majorBidi"/>
          <w:color w:val="000000" w:themeColor="text1"/>
          <w:szCs w:val="24"/>
        </w:rPr>
        <w:t>school attendance</w:t>
      </w:r>
      <w:r w:rsidR="0079243B"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 xml:space="preserve">rather than </w:t>
      </w:r>
      <w:r w:rsidRPr="004B36B2">
        <w:rPr>
          <w:rFonts w:asciiTheme="majorBidi" w:hAnsiTheme="majorBidi" w:cstheme="majorBidi"/>
          <w:color w:val="000000" w:themeColor="text1"/>
          <w:szCs w:val="24"/>
        </w:rPr>
        <w:t xml:space="preserve">age-appropriate </w:t>
      </w:r>
      <w:r w:rsidR="002C44BC" w:rsidRPr="004B36B2">
        <w:rPr>
          <w:rFonts w:asciiTheme="majorBidi" w:hAnsiTheme="majorBidi" w:cstheme="majorBidi"/>
          <w:color w:val="000000" w:themeColor="text1"/>
          <w:szCs w:val="24"/>
        </w:rPr>
        <w:t>enrolment</w:t>
      </w:r>
      <w:r w:rsidRPr="004B36B2">
        <w:rPr>
          <w:rFonts w:asciiTheme="majorBidi" w:hAnsiTheme="majorBidi" w:cstheme="majorBidi"/>
          <w:color w:val="000000" w:themeColor="text1"/>
          <w:szCs w:val="24"/>
        </w:rPr>
        <w:t xml:space="preserve">, </w:t>
      </w:r>
      <w:r w:rsidR="005F7EB7" w:rsidRPr="004B36B2">
        <w:rPr>
          <w:rFonts w:asciiTheme="majorBidi" w:hAnsiTheme="majorBidi" w:cstheme="majorBidi"/>
          <w:color w:val="000000" w:themeColor="text1"/>
          <w:szCs w:val="24"/>
        </w:rPr>
        <w:t xml:space="preserve">the </w:t>
      </w:r>
      <w:r w:rsidRPr="004B36B2">
        <w:rPr>
          <w:rFonts w:asciiTheme="majorBidi" w:hAnsiTheme="majorBidi" w:cstheme="majorBidi"/>
          <w:color w:val="000000" w:themeColor="text1"/>
          <w:szCs w:val="24"/>
        </w:rPr>
        <w:t xml:space="preserve">impacts </w:t>
      </w:r>
      <w:r w:rsidR="002C44BC" w:rsidRPr="004B36B2">
        <w:rPr>
          <w:rFonts w:asciiTheme="majorBidi" w:hAnsiTheme="majorBidi" w:cstheme="majorBidi"/>
          <w:color w:val="000000" w:themeColor="text1"/>
          <w:szCs w:val="24"/>
        </w:rPr>
        <w:t xml:space="preserve">of migration and remittances </w:t>
      </w:r>
      <w:r w:rsidRPr="004B36B2">
        <w:rPr>
          <w:rFonts w:asciiTheme="majorBidi" w:hAnsiTheme="majorBidi" w:cstheme="majorBidi"/>
          <w:color w:val="000000" w:themeColor="text1"/>
          <w:szCs w:val="24"/>
        </w:rPr>
        <w:t xml:space="preserve">on </w:t>
      </w:r>
      <w:r w:rsidR="005F7EB7" w:rsidRPr="004B36B2">
        <w:rPr>
          <w:rFonts w:asciiTheme="majorBidi" w:hAnsiTheme="majorBidi" w:cstheme="majorBidi"/>
          <w:color w:val="000000" w:themeColor="text1"/>
          <w:szCs w:val="24"/>
        </w:rPr>
        <w:t xml:space="preserve">the </w:t>
      </w:r>
      <w:r w:rsidRPr="004B36B2">
        <w:rPr>
          <w:rFonts w:asciiTheme="majorBidi" w:hAnsiTheme="majorBidi" w:cstheme="majorBidi"/>
          <w:color w:val="000000" w:themeColor="text1"/>
          <w:szCs w:val="24"/>
        </w:rPr>
        <w:t>timely transition through schooling</w:t>
      </w:r>
      <w:r w:rsidR="005F7EB7" w:rsidRPr="004B36B2">
        <w:rPr>
          <w:rFonts w:asciiTheme="majorBidi" w:hAnsiTheme="majorBidi" w:cstheme="majorBidi"/>
          <w:color w:val="000000" w:themeColor="text1"/>
          <w:szCs w:val="24"/>
        </w:rPr>
        <w:t xml:space="preserve"> will be obscurred</w:t>
      </w:r>
      <w:r w:rsidRPr="004B36B2">
        <w:rPr>
          <w:rFonts w:asciiTheme="majorBidi" w:hAnsiTheme="majorBidi" w:cstheme="majorBidi"/>
          <w:color w:val="000000" w:themeColor="text1"/>
          <w:szCs w:val="24"/>
        </w:rPr>
        <w:t xml:space="preserve">. </w:t>
      </w:r>
    </w:p>
    <w:p w14:paraId="0D14B323" w14:textId="77777777" w:rsidR="009D22DE" w:rsidRPr="00E54F60" w:rsidRDefault="009D22DE" w:rsidP="00283A3C">
      <w:pPr>
        <w:spacing w:line="288" w:lineRule="auto"/>
        <w:ind w:firstLine="720"/>
        <w:jc w:val="both"/>
        <w:rPr>
          <w:rFonts w:asciiTheme="majorBidi" w:hAnsiTheme="majorBidi" w:cstheme="majorBidi"/>
          <w:color w:val="000000" w:themeColor="text1"/>
          <w:sz w:val="20"/>
          <w:szCs w:val="20"/>
        </w:rPr>
      </w:pPr>
    </w:p>
    <w:p w14:paraId="73770D22" w14:textId="6E290D45" w:rsidR="002B7BEB" w:rsidRDefault="00686F18"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Therefore, i</w:t>
      </w:r>
      <w:r w:rsidR="00E6008A" w:rsidRPr="004B36B2">
        <w:rPr>
          <w:rFonts w:asciiTheme="majorBidi" w:hAnsiTheme="majorBidi" w:cstheme="majorBidi"/>
          <w:color w:val="000000" w:themeColor="text1"/>
          <w:szCs w:val="24"/>
        </w:rPr>
        <w:t>n contrast to prior</w:t>
      </w:r>
      <w:r w:rsidRPr="004B36B2">
        <w:rPr>
          <w:rFonts w:asciiTheme="majorBidi" w:hAnsiTheme="majorBidi" w:cstheme="majorBidi"/>
          <w:color w:val="000000" w:themeColor="text1"/>
          <w:szCs w:val="24"/>
        </w:rPr>
        <w:t xml:space="preserve"> studies</w:t>
      </w:r>
      <w:r w:rsidR="00E6008A" w:rsidRPr="004B36B2">
        <w:rPr>
          <w:rFonts w:asciiTheme="majorBidi" w:hAnsiTheme="majorBidi" w:cstheme="majorBidi"/>
          <w:color w:val="000000" w:themeColor="text1"/>
          <w:szCs w:val="24"/>
        </w:rPr>
        <w:t xml:space="preserve">, we consider </w:t>
      </w:r>
      <w:r w:rsidR="002B7BEB" w:rsidRPr="004B36B2">
        <w:rPr>
          <w:rFonts w:asciiTheme="majorBidi" w:hAnsiTheme="majorBidi" w:cstheme="majorBidi"/>
          <w:color w:val="000000" w:themeColor="text1"/>
          <w:szCs w:val="24"/>
        </w:rPr>
        <w:t xml:space="preserve">the effect of </w:t>
      </w:r>
      <w:r w:rsidR="007D636A" w:rsidRPr="004B36B2">
        <w:rPr>
          <w:rFonts w:asciiTheme="majorBidi" w:hAnsiTheme="majorBidi" w:cstheme="majorBidi"/>
          <w:color w:val="000000" w:themeColor="text1"/>
          <w:szCs w:val="24"/>
        </w:rPr>
        <w:t>migration</w:t>
      </w:r>
      <w:r w:rsidR="002B7BEB" w:rsidRPr="004B36B2">
        <w:rPr>
          <w:rFonts w:asciiTheme="majorBidi" w:hAnsiTheme="majorBidi" w:cstheme="majorBidi"/>
          <w:color w:val="000000" w:themeColor="text1"/>
          <w:szCs w:val="24"/>
        </w:rPr>
        <w:t xml:space="preserve"> </w:t>
      </w:r>
      <w:r w:rsidR="00734120" w:rsidRPr="004B36B2">
        <w:rPr>
          <w:rFonts w:asciiTheme="majorBidi" w:hAnsiTheme="majorBidi" w:cstheme="majorBidi"/>
          <w:color w:val="000000" w:themeColor="text1"/>
          <w:szCs w:val="24"/>
        </w:rPr>
        <w:t xml:space="preserve">and remittances on </w:t>
      </w:r>
      <w:r w:rsidR="003D1B70" w:rsidRPr="004B36B2">
        <w:rPr>
          <w:rFonts w:asciiTheme="majorBidi" w:hAnsiTheme="majorBidi" w:cstheme="majorBidi"/>
          <w:color w:val="000000" w:themeColor="text1"/>
          <w:szCs w:val="24"/>
        </w:rPr>
        <w:t>age</w:t>
      </w:r>
      <w:r w:rsidR="00A05A1B" w:rsidRPr="004B36B2">
        <w:rPr>
          <w:rFonts w:asciiTheme="majorBidi" w:hAnsiTheme="majorBidi" w:cstheme="majorBidi"/>
          <w:color w:val="000000" w:themeColor="text1"/>
          <w:szCs w:val="24"/>
        </w:rPr>
        <w:t xml:space="preserve">-specific </w:t>
      </w:r>
      <w:r w:rsidR="003D1B70" w:rsidRPr="004B36B2">
        <w:rPr>
          <w:rFonts w:asciiTheme="majorBidi" w:hAnsiTheme="majorBidi" w:cstheme="majorBidi"/>
          <w:color w:val="000000" w:themeColor="text1"/>
          <w:szCs w:val="24"/>
        </w:rPr>
        <w:t>schooling outcome</w:t>
      </w:r>
      <w:r w:rsidR="00A05A1B" w:rsidRPr="004B36B2">
        <w:rPr>
          <w:rFonts w:asciiTheme="majorBidi" w:hAnsiTheme="majorBidi" w:cstheme="majorBidi"/>
          <w:color w:val="000000" w:themeColor="text1"/>
          <w:szCs w:val="24"/>
        </w:rPr>
        <w:t>s</w:t>
      </w:r>
      <w:r w:rsidR="003D1B70" w:rsidRPr="004B36B2">
        <w:rPr>
          <w:rFonts w:asciiTheme="majorBidi" w:hAnsiTheme="majorBidi" w:cstheme="majorBidi"/>
          <w:color w:val="000000" w:themeColor="text1"/>
          <w:szCs w:val="24"/>
        </w:rPr>
        <w:t xml:space="preserve"> </w:t>
      </w:r>
      <w:r w:rsidR="002B7BEB" w:rsidRPr="004B36B2">
        <w:rPr>
          <w:rFonts w:asciiTheme="majorBidi" w:hAnsiTheme="majorBidi" w:cstheme="majorBidi"/>
          <w:color w:val="000000" w:themeColor="text1"/>
          <w:szCs w:val="24"/>
        </w:rPr>
        <w:t>and</w:t>
      </w:r>
      <w:r w:rsidR="00EB1F5D" w:rsidRPr="004B36B2">
        <w:rPr>
          <w:rFonts w:asciiTheme="majorBidi" w:hAnsiTheme="majorBidi" w:cstheme="majorBidi"/>
          <w:color w:val="000000" w:themeColor="text1"/>
          <w:szCs w:val="24"/>
        </w:rPr>
        <w:t xml:space="preserve"> child </w:t>
      </w:r>
      <w:r w:rsidR="00EB1F5D" w:rsidRPr="004B36B2">
        <w:rPr>
          <w:rFonts w:asciiTheme="majorBidi" w:hAnsiTheme="majorBidi" w:cstheme="majorBidi"/>
          <w:noProof/>
          <w:color w:val="000000" w:themeColor="text1"/>
          <w:szCs w:val="24"/>
        </w:rPr>
        <w:t>labour</w:t>
      </w:r>
      <w:r w:rsidR="00E6008A" w:rsidRPr="004B36B2">
        <w:rPr>
          <w:rFonts w:asciiTheme="majorBidi" w:hAnsiTheme="majorBidi" w:cstheme="majorBidi"/>
          <w:noProof/>
          <w:color w:val="000000" w:themeColor="text1"/>
          <w:szCs w:val="24"/>
        </w:rPr>
        <w:t xml:space="preserve"> indicators</w:t>
      </w:r>
      <w:r w:rsidR="002B7BEB" w:rsidRPr="004B36B2">
        <w:rPr>
          <w:rFonts w:asciiTheme="majorBidi" w:hAnsiTheme="majorBidi" w:cstheme="majorBidi"/>
          <w:color w:val="000000" w:themeColor="text1"/>
          <w:szCs w:val="24"/>
        </w:rPr>
        <w:t xml:space="preserve">. Our </w:t>
      </w:r>
      <w:r w:rsidR="003D1B70" w:rsidRPr="004B36B2">
        <w:rPr>
          <w:rFonts w:asciiTheme="majorBidi" w:hAnsiTheme="majorBidi" w:cstheme="majorBidi"/>
          <w:color w:val="000000" w:themeColor="text1"/>
          <w:szCs w:val="24"/>
        </w:rPr>
        <w:t xml:space="preserve">age </w:t>
      </w:r>
      <w:r w:rsidR="00A05A1B" w:rsidRPr="004B36B2">
        <w:rPr>
          <w:rFonts w:asciiTheme="majorBidi" w:hAnsiTheme="majorBidi" w:cstheme="majorBidi"/>
          <w:color w:val="000000" w:themeColor="text1"/>
          <w:szCs w:val="24"/>
        </w:rPr>
        <w:t xml:space="preserve">specific </w:t>
      </w:r>
      <w:r w:rsidR="003D1B70" w:rsidRPr="004B36B2">
        <w:rPr>
          <w:rFonts w:asciiTheme="majorBidi" w:hAnsiTheme="majorBidi" w:cstheme="majorBidi"/>
          <w:color w:val="000000" w:themeColor="text1"/>
          <w:szCs w:val="24"/>
        </w:rPr>
        <w:t xml:space="preserve">schooling </w:t>
      </w:r>
      <w:r w:rsidR="00E6008A" w:rsidRPr="004B36B2">
        <w:rPr>
          <w:rFonts w:asciiTheme="majorBidi" w:hAnsiTheme="majorBidi" w:cstheme="majorBidi"/>
          <w:color w:val="000000" w:themeColor="text1"/>
          <w:szCs w:val="24"/>
        </w:rPr>
        <w:t xml:space="preserve">measures </w:t>
      </w:r>
      <w:r w:rsidR="00BA2114" w:rsidRPr="004B36B2">
        <w:rPr>
          <w:rFonts w:asciiTheme="majorBidi" w:hAnsiTheme="majorBidi" w:cstheme="majorBidi"/>
          <w:color w:val="000000" w:themeColor="text1"/>
          <w:szCs w:val="24"/>
        </w:rPr>
        <w:t>are net enr</w:t>
      </w:r>
      <w:r w:rsidR="00E6008A" w:rsidRPr="004B36B2">
        <w:rPr>
          <w:rFonts w:asciiTheme="majorBidi" w:hAnsiTheme="majorBidi" w:cstheme="majorBidi"/>
          <w:color w:val="000000" w:themeColor="text1"/>
          <w:szCs w:val="24"/>
        </w:rPr>
        <w:t>olment rate</w:t>
      </w:r>
      <w:r w:rsidRPr="004B36B2">
        <w:rPr>
          <w:rFonts w:asciiTheme="majorBidi" w:hAnsiTheme="majorBidi" w:cstheme="majorBidi"/>
          <w:color w:val="000000" w:themeColor="text1"/>
          <w:szCs w:val="24"/>
        </w:rPr>
        <w:t>s</w:t>
      </w:r>
      <w:r w:rsidR="00E6008A" w:rsidRPr="004B36B2">
        <w:rPr>
          <w:rFonts w:asciiTheme="majorBidi" w:hAnsiTheme="majorBidi" w:cstheme="majorBidi"/>
          <w:color w:val="000000" w:themeColor="text1"/>
          <w:szCs w:val="24"/>
        </w:rPr>
        <w:t xml:space="preserve"> at Basic</w:t>
      </w:r>
      <w:r w:rsidR="003D1B70" w:rsidRPr="004B36B2">
        <w:rPr>
          <w:rFonts w:asciiTheme="majorBidi" w:hAnsiTheme="majorBidi" w:cstheme="majorBidi"/>
          <w:color w:val="000000" w:themeColor="text1"/>
          <w:szCs w:val="24"/>
        </w:rPr>
        <w:t xml:space="preserve"> (</w:t>
      </w:r>
      <w:r w:rsidR="00537923" w:rsidRPr="004B36B2">
        <w:rPr>
          <w:rFonts w:asciiTheme="majorBidi" w:hAnsiTheme="majorBidi" w:cstheme="majorBidi"/>
          <w:color w:val="000000" w:themeColor="text1"/>
          <w:szCs w:val="24"/>
        </w:rPr>
        <w:t xml:space="preserve">grade 1 </w:t>
      </w:r>
      <w:r w:rsidR="003D1B70" w:rsidRPr="004B36B2">
        <w:rPr>
          <w:rFonts w:asciiTheme="majorBidi" w:hAnsiTheme="majorBidi" w:cstheme="majorBidi"/>
          <w:color w:val="000000" w:themeColor="text1"/>
          <w:szCs w:val="24"/>
        </w:rPr>
        <w:t>to 8 for child</w:t>
      </w:r>
      <w:r w:rsidR="002C44BC" w:rsidRPr="004B36B2">
        <w:rPr>
          <w:rFonts w:asciiTheme="majorBidi" w:hAnsiTheme="majorBidi" w:cstheme="majorBidi"/>
          <w:color w:val="000000" w:themeColor="text1"/>
          <w:szCs w:val="24"/>
        </w:rPr>
        <w:t>ren</w:t>
      </w:r>
      <w:r w:rsidR="003D1B70" w:rsidRPr="004B36B2">
        <w:rPr>
          <w:rFonts w:asciiTheme="majorBidi" w:hAnsiTheme="majorBidi" w:cstheme="majorBidi"/>
          <w:color w:val="000000" w:themeColor="text1"/>
          <w:szCs w:val="24"/>
        </w:rPr>
        <w:t xml:space="preserve"> aged 5 to 12)</w:t>
      </w:r>
      <w:r w:rsidR="00E6008A" w:rsidRPr="004B36B2">
        <w:rPr>
          <w:rFonts w:asciiTheme="majorBidi" w:hAnsiTheme="majorBidi" w:cstheme="majorBidi"/>
          <w:color w:val="000000" w:themeColor="text1"/>
          <w:szCs w:val="24"/>
        </w:rPr>
        <w:t xml:space="preserve"> and </w:t>
      </w:r>
      <w:r w:rsidR="00BA2114" w:rsidRPr="004B36B2">
        <w:rPr>
          <w:rFonts w:asciiTheme="majorBidi" w:hAnsiTheme="majorBidi" w:cstheme="majorBidi"/>
          <w:color w:val="000000" w:themeColor="text1"/>
          <w:szCs w:val="24"/>
        </w:rPr>
        <w:t>Secondary education</w:t>
      </w:r>
      <w:r w:rsidR="00E6008A" w:rsidRPr="004B36B2">
        <w:rPr>
          <w:rFonts w:asciiTheme="majorBidi" w:hAnsiTheme="majorBidi" w:cstheme="majorBidi"/>
          <w:color w:val="000000" w:themeColor="text1"/>
          <w:szCs w:val="24"/>
        </w:rPr>
        <w:t xml:space="preserve"> level</w:t>
      </w:r>
      <w:r w:rsidR="003D1B70" w:rsidRPr="004B36B2">
        <w:rPr>
          <w:rFonts w:asciiTheme="majorBidi" w:hAnsiTheme="majorBidi" w:cstheme="majorBidi"/>
          <w:color w:val="000000" w:themeColor="text1"/>
          <w:szCs w:val="24"/>
        </w:rPr>
        <w:t xml:space="preserve"> (grade 9 to 12 for child</w:t>
      </w:r>
      <w:r w:rsidR="002C44BC" w:rsidRPr="004B36B2">
        <w:rPr>
          <w:rFonts w:asciiTheme="majorBidi" w:hAnsiTheme="majorBidi" w:cstheme="majorBidi"/>
          <w:color w:val="000000" w:themeColor="text1"/>
          <w:szCs w:val="24"/>
        </w:rPr>
        <w:t>ren</w:t>
      </w:r>
      <w:r w:rsidR="003D1B70" w:rsidRPr="004B36B2">
        <w:rPr>
          <w:rFonts w:asciiTheme="majorBidi" w:hAnsiTheme="majorBidi" w:cstheme="majorBidi"/>
          <w:color w:val="000000" w:themeColor="text1"/>
          <w:szCs w:val="24"/>
        </w:rPr>
        <w:t xml:space="preserve"> aged 13 to 16)</w:t>
      </w:r>
      <w:r w:rsidR="00335703" w:rsidRPr="004B36B2">
        <w:rPr>
          <w:rFonts w:asciiTheme="majorBidi" w:hAnsiTheme="majorBidi" w:cstheme="majorBidi"/>
          <w:color w:val="000000" w:themeColor="text1"/>
          <w:szCs w:val="24"/>
        </w:rPr>
        <w:t xml:space="preserve">, which is </w:t>
      </w:r>
      <w:r w:rsidR="002C44BC" w:rsidRPr="004B36B2">
        <w:rPr>
          <w:rFonts w:asciiTheme="majorBidi" w:hAnsiTheme="majorBidi" w:cstheme="majorBidi"/>
          <w:color w:val="000000" w:themeColor="text1"/>
          <w:szCs w:val="24"/>
        </w:rPr>
        <w:t xml:space="preserve">the </w:t>
      </w:r>
      <w:r w:rsidR="00335703" w:rsidRPr="004B36B2">
        <w:rPr>
          <w:rFonts w:asciiTheme="majorBidi" w:hAnsiTheme="majorBidi" w:cstheme="majorBidi"/>
          <w:color w:val="000000" w:themeColor="text1"/>
          <w:szCs w:val="24"/>
        </w:rPr>
        <w:t>new education structure in Nepal</w:t>
      </w:r>
      <w:r w:rsidR="00537923" w:rsidRPr="004B36B2">
        <w:rPr>
          <w:rFonts w:asciiTheme="majorBidi" w:hAnsiTheme="majorBidi" w:cstheme="majorBidi"/>
          <w:color w:val="000000" w:themeColor="text1"/>
          <w:szCs w:val="24"/>
        </w:rPr>
        <w:t xml:space="preserve">. </w:t>
      </w:r>
      <w:r w:rsidR="00734120" w:rsidRPr="004B36B2">
        <w:rPr>
          <w:rFonts w:asciiTheme="majorBidi" w:hAnsiTheme="majorBidi" w:cstheme="majorBidi"/>
          <w:color w:val="000000" w:themeColor="text1"/>
          <w:szCs w:val="24"/>
        </w:rPr>
        <w:t>We</w:t>
      </w:r>
      <w:r w:rsidR="00BA2114" w:rsidRPr="004B36B2">
        <w:rPr>
          <w:rFonts w:asciiTheme="majorBidi" w:hAnsiTheme="majorBidi" w:cstheme="majorBidi"/>
          <w:color w:val="000000" w:themeColor="text1"/>
          <w:szCs w:val="24"/>
        </w:rPr>
        <w:t xml:space="preserve"> </w:t>
      </w:r>
      <w:r w:rsidR="00E6008A" w:rsidRPr="004B36B2">
        <w:rPr>
          <w:rFonts w:asciiTheme="majorBidi" w:hAnsiTheme="majorBidi" w:cstheme="majorBidi"/>
          <w:color w:val="000000" w:themeColor="text1"/>
          <w:szCs w:val="24"/>
        </w:rPr>
        <w:t xml:space="preserve">consider age-specific </w:t>
      </w:r>
      <w:r w:rsidR="00BA2114" w:rsidRPr="004B36B2">
        <w:rPr>
          <w:rFonts w:asciiTheme="majorBidi" w:hAnsiTheme="majorBidi" w:cstheme="majorBidi"/>
          <w:color w:val="000000" w:themeColor="text1"/>
          <w:szCs w:val="24"/>
        </w:rPr>
        <w:t>attendance rate</w:t>
      </w:r>
      <w:r w:rsidR="00E6008A" w:rsidRPr="004B36B2">
        <w:rPr>
          <w:rFonts w:asciiTheme="majorBidi" w:hAnsiTheme="majorBidi" w:cstheme="majorBidi"/>
          <w:color w:val="000000" w:themeColor="text1"/>
          <w:szCs w:val="24"/>
        </w:rPr>
        <w:t>s</w:t>
      </w:r>
      <w:r w:rsidR="00BA2114" w:rsidRPr="004B36B2">
        <w:rPr>
          <w:rFonts w:asciiTheme="majorBidi" w:hAnsiTheme="majorBidi" w:cstheme="majorBidi"/>
          <w:color w:val="000000" w:themeColor="text1"/>
          <w:szCs w:val="24"/>
        </w:rPr>
        <w:t xml:space="preserve"> of children </w:t>
      </w:r>
      <w:r w:rsidR="00A031BA" w:rsidRPr="004B36B2">
        <w:rPr>
          <w:rFonts w:asciiTheme="majorBidi" w:hAnsiTheme="majorBidi" w:cstheme="majorBidi"/>
          <w:color w:val="000000" w:themeColor="text1"/>
          <w:szCs w:val="24"/>
        </w:rPr>
        <w:t xml:space="preserve">aged </w:t>
      </w:r>
      <w:r w:rsidR="00BA2114" w:rsidRPr="004B36B2">
        <w:rPr>
          <w:rFonts w:asciiTheme="majorBidi" w:hAnsiTheme="majorBidi" w:cstheme="majorBidi"/>
          <w:color w:val="000000" w:themeColor="text1"/>
          <w:szCs w:val="24"/>
        </w:rPr>
        <w:t>5-16, 5-12,</w:t>
      </w:r>
      <w:r w:rsidR="00A031BA" w:rsidRPr="004B36B2">
        <w:rPr>
          <w:rFonts w:asciiTheme="majorBidi" w:hAnsiTheme="majorBidi" w:cstheme="majorBidi"/>
          <w:color w:val="000000" w:themeColor="text1"/>
          <w:szCs w:val="24"/>
        </w:rPr>
        <w:t xml:space="preserve"> and </w:t>
      </w:r>
      <w:r w:rsidRPr="004B36B2">
        <w:rPr>
          <w:rFonts w:asciiTheme="majorBidi" w:hAnsiTheme="majorBidi" w:cstheme="majorBidi"/>
          <w:color w:val="000000" w:themeColor="text1"/>
          <w:szCs w:val="24"/>
        </w:rPr>
        <w:t>13</w:t>
      </w:r>
      <w:r w:rsidRPr="004B36B2">
        <w:rPr>
          <w:rFonts w:asciiTheme="majorBidi" w:hAnsiTheme="majorBidi" w:cstheme="majorBidi"/>
          <w:color w:val="000000" w:themeColor="text1"/>
          <w:szCs w:val="24"/>
        </w:rPr>
        <w:noBreakHyphen/>
      </w:r>
      <w:r w:rsidR="00BA2114" w:rsidRPr="004B36B2">
        <w:rPr>
          <w:rFonts w:asciiTheme="majorBidi" w:hAnsiTheme="majorBidi" w:cstheme="majorBidi"/>
          <w:color w:val="000000" w:themeColor="text1"/>
          <w:szCs w:val="24"/>
        </w:rPr>
        <w:t xml:space="preserve">16, </w:t>
      </w:r>
      <w:r w:rsidR="00A031BA" w:rsidRPr="004B36B2">
        <w:rPr>
          <w:rFonts w:asciiTheme="majorBidi" w:hAnsiTheme="majorBidi" w:cstheme="majorBidi"/>
          <w:color w:val="000000" w:themeColor="text1"/>
          <w:szCs w:val="24"/>
        </w:rPr>
        <w:t xml:space="preserve">and </w:t>
      </w:r>
      <w:r w:rsidR="00BA2114" w:rsidRPr="004B36B2">
        <w:rPr>
          <w:rFonts w:asciiTheme="majorBidi" w:hAnsiTheme="majorBidi" w:cstheme="majorBidi"/>
          <w:color w:val="000000" w:themeColor="text1"/>
          <w:szCs w:val="24"/>
        </w:rPr>
        <w:t>dropout rate</w:t>
      </w:r>
      <w:r w:rsidR="00E6008A" w:rsidRPr="004B36B2">
        <w:rPr>
          <w:rFonts w:asciiTheme="majorBidi" w:hAnsiTheme="majorBidi" w:cstheme="majorBidi"/>
          <w:color w:val="000000" w:themeColor="text1"/>
          <w:szCs w:val="24"/>
        </w:rPr>
        <w:t>s for the same age ranges.</w:t>
      </w:r>
      <w:r w:rsidR="00BA2114"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To complement these</w:t>
      </w:r>
      <w:r w:rsidR="002B7BEB" w:rsidRPr="004B36B2">
        <w:rPr>
          <w:rFonts w:asciiTheme="majorBidi" w:hAnsiTheme="majorBidi" w:cstheme="majorBidi"/>
          <w:color w:val="000000" w:themeColor="text1"/>
          <w:szCs w:val="24"/>
        </w:rPr>
        <w:t xml:space="preserve"> school</w:t>
      </w:r>
      <w:r w:rsidRPr="004B36B2">
        <w:rPr>
          <w:rFonts w:asciiTheme="majorBidi" w:hAnsiTheme="majorBidi" w:cstheme="majorBidi"/>
          <w:color w:val="000000" w:themeColor="text1"/>
          <w:szCs w:val="24"/>
        </w:rPr>
        <w:t>ing measures</w:t>
      </w:r>
      <w:r w:rsidR="002B7BEB" w:rsidRPr="004B36B2">
        <w:rPr>
          <w:rFonts w:asciiTheme="majorBidi" w:hAnsiTheme="majorBidi" w:cstheme="majorBidi"/>
          <w:color w:val="000000" w:themeColor="text1"/>
          <w:szCs w:val="24"/>
        </w:rPr>
        <w:t xml:space="preserve">, we </w:t>
      </w:r>
      <w:r w:rsidRPr="004B36B2">
        <w:rPr>
          <w:rFonts w:asciiTheme="majorBidi" w:hAnsiTheme="majorBidi" w:cstheme="majorBidi"/>
          <w:color w:val="000000" w:themeColor="text1"/>
          <w:szCs w:val="24"/>
        </w:rPr>
        <w:t xml:space="preserve">also </w:t>
      </w:r>
      <w:r w:rsidR="002B7BEB" w:rsidRPr="004B36B2">
        <w:rPr>
          <w:rFonts w:asciiTheme="majorBidi" w:hAnsiTheme="majorBidi" w:cstheme="majorBidi"/>
          <w:color w:val="000000" w:themeColor="text1"/>
          <w:szCs w:val="24"/>
        </w:rPr>
        <w:t xml:space="preserve">estimate </w:t>
      </w:r>
      <w:r w:rsidRPr="004B36B2">
        <w:rPr>
          <w:rFonts w:asciiTheme="majorBidi" w:hAnsiTheme="majorBidi" w:cstheme="majorBidi"/>
          <w:color w:val="000000" w:themeColor="text1"/>
          <w:szCs w:val="24"/>
        </w:rPr>
        <w:t xml:space="preserve">impacts </w:t>
      </w:r>
      <w:r w:rsidR="00E6008A" w:rsidRPr="004B36B2">
        <w:rPr>
          <w:rFonts w:asciiTheme="majorBidi" w:hAnsiTheme="majorBidi" w:cstheme="majorBidi"/>
          <w:color w:val="000000" w:themeColor="text1"/>
          <w:szCs w:val="24"/>
        </w:rPr>
        <w:t xml:space="preserve">of migration and remittances </w:t>
      </w:r>
      <w:r w:rsidR="002B7BEB" w:rsidRPr="004B36B2">
        <w:rPr>
          <w:rFonts w:asciiTheme="majorBidi" w:hAnsiTheme="majorBidi" w:cstheme="majorBidi"/>
          <w:color w:val="000000" w:themeColor="text1"/>
          <w:szCs w:val="24"/>
        </w:rPr>
        <w:t>on</w:t>
      </w:r>
      <w:r w:rsidR="00EB1F5D" w:rsidRPr="004B36B2">
        <w:rPr>
          <w:rFonts w:asciiTheme="majorBidi" w:hAnsiTheme="majorBidi" w:cstheme="majorBidi"/>
          <w:color w:val="000000" w:themeColor="text1"/>
          <w:szCs w:val="24"/>
        </w:rPr>
        <w:t xml:space="preserve"> </w:t>
      </w:r>
      <w:r w:rsidR="00537923" w:rsidRPr="004B36B2">
        <w:rPr>
          <w:rFonts w:asciiTheme="majorBidi" w:hAnsiTheme="majorBidi" w:cstheme="majorBidi"/>
          <w:color w:val="000000" w:themeColor="text1"/>
          <w:szCs w:val="24"/>
        </w:rPr>
        <w:t xml:space="preserve">child </w:t>
      </w:r>
      <w:r w:rsidR="00E6008A" w:rsidRPr="004B36B2">
        <w:rPr>
          <w:rFonts w:asciiTheme="majorBidi" w:hAnsiTheme="majorBidi" w:cstheme="majorBidi"/>
          <w:color w:val="000000" w:themeColor="text1"/>
          <w:szCs w:val="24"/>
        </w:rPr>
        <w:t>labour force participation</w:t>
      </w:r>
      <w:r w:rsidR="002B7BEB"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rates</w:t>
      </w:r>
      <w:r w:rsidR="002C44BC"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 xml:space="preserve">on the </w:t>
      </w:r>
      <w:r w:rsidR="00537923" w:rsidRPr="004B36B2">
        <w:rPr>
          <w:rFonts w:asciiTheme="majorBidi" w:hAnsiTheme="majorBidi" w:cstheme="majorBidi"/>
          <w:color w:val="000000" w:themeColor="text1"/>
          <w:szCs w:val="24"/>
        </w:rPr>
        <w:t>extensive and intensive margin</w:t>
      </w:r>
      <w:r w:rsidR="002C44BC"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w:t>
      </w:r>
      <w:r w:rsidR="002B7BEB" w:rsidRPr="004B36B2">
        <w:rPr>
          <w:rFonts w:asciiTheme="majorBidi" w:hAnsiTheme="majorBidi" w:cstheme="majorBidi"/>
          <w:color w:val="000000" w:themeColor="text1"/>
          <w:szCs w:val="24"/>
        </w:rPr>
        <w:t xml:space="preserve">for </w:t>
      </w:r>
      <w:r w:rsidRPr="004B36B2">
        <w:rPr>
          <w:rFonts w:asciiTheme="majorBidi" w:hAnsiTheme="majorBidi" w:cstheme="majorBidi"/>
          <w:color w:val="000000" w:themeColor="text1"/>
          <w:szCs w:val="24"/>
        </w:rPr>
        <w:t xml:space="preserve">those </w:t>
      </w:r>
      <w:r w:rsidR="002B7BEB" w:rsidRPr="004B36B2">
        <w:rPr>
          <w:rFonts w:asciiTheme="majorBidi" w:hAnsiTheme="majorBidi" w:cstheme="majorBidi"/>
          <w:color w:val="000000" w:themeColor="text1"/>
          <w:szCs w:val="24"/>
        </w:rPr>
        <w:t xml:space="preserve">children </w:t>
      </w:r>
      <w:r w:rsidR="00A031BA" w:rsidRPr="004B36B2">
        <w:rPr>
          <w:rFonts w:asciiTheme="majorBidi" w:hAnsiTheme="majorBidi" w:cstheme="majorBidi"/>
          <w:color w:val="000000" w:themeColor="text1"/>
          <w:szCs w:val="24"/>
        </w:rPr>
        <w:t xml:space="preserve">aged </w:t>
      </w:r>
      <w:r w:rsidR="002B7BEB" w:rsidRPr="004B36B2">
        <w:rPr>
          <w:rFonts w:asciiTheme="majorBidi" w:hAnsiTheme="majorBidi" w:cstheme="majorBidi"/>
          <w:color w:val="000000" w:themeColor="text1"/>
          <w:szCs w:val="24"/>
        </w:rPr>
        <w:t>8-10</w:t>
      </w:r>
      <w:r w:rsidR="00A031BA" w:rsidRPr="004B36B2">
        <w:rPr>
          <w:rFonts w:asciiTheme="majorBidi" w:hAnsiTheme="majorBidi" w:cstheme="majorBidi"/>
          <w:color w:val="000000" w:themeColor="text1"/>
          <w:szCs w:val="24"/>
        </w:rPr>
        <w:t xml:space="preserve"> and </w:t>
      </w:r>
      <w:r w:rsidRPr="004B36B2">
        <w:rPr>
          <w:rFonts w:asciiTheme="majorBidi" w:hAnsiTheme="majorBidi" w:cstheme="majorBidi"/>
          <w:color w:val="000000" w:themeColor="text1"/>
          <w:szCs w:val="24"/>
        </w:rPr>
        <w:t xml:space="preserve">aged </w:t>
      </w:r>
      <w:r w:rsidR="00A031BA" w:rsidRPr="004B36B2">
        <w:rPr>
          <w:rFonts w:asciiTheme="majorBidi" w:hAnsiTheme="majorBidi" w:cstheme="majorBidi"/>
          <w:color w:val="000000" w:themeColor="text1"/>
          <w:szCs w:val="24"/>
        </w:rPr>
        <w:t>11-16</w:t>
      </w:r>
      <w:r w:rsidR="00BF7227" w:rsidRPr="004B36B2">
        <w:rPr>
          <w:rFonts w:asciiTheme="majorBidi" w:hAnsiTheme="majorBidi" w:cstheme="majorBidi"/>
          <w:color w:val="000000" w:themeColor="text1"/>
          <w:szCs w:val="24"/>
        </w:rPr>
        <w:t xml:space="preserve">. </w:t>
      </w:r>
    </w:p>
    <w:p w14:paraId="37EEFBD0" w14:textId="77777777" w:rsidR="009D22DE" w:rsidRPr="00E54F60" w:rsidRDefault="009D22DE" w:rsidP="00283A3C">
      <w:pPr>
        <w:spacing w:line="288" w:lineRule="auto"/>
        <w:ind w:firstLine="720"/>
        <w:jc w:val="both"/>
        <w:rPr>
          <w:rFonts w:asciiTheme="majorBidi" w:hAnsiTheme="majorBidi" w:cstheme="majorBidi"/>
          <w:color w:val="000000" w:themeColor="text1"/>
          <w:sz w:val="20"/>
          <w:szCs w:val="20"/>
        </w:rPr>
      </w:pPr>
    </w:p>
    <w:p w14:paraId="393FB9E1" w14:textId="663F3C31" w:rsidR="002425DF" w:rsidRDefault="00E6008A"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A further difference from most studies is that we allow for local spillovers. Typically, studies just compare households with and without a </w:t>
      </w:r>
      <w:r w:rsidR="008E1FE3" w:rsidRPr="004B36B2">
        <w:rPr>
          <w:rFonts w:asciiTheme="majorBidi" w:hAnsiTheme="majorBidi" w:cstheme="majorBidi"/>
          <w:color w:val="000000" w:themeColor="text1"/>
          <w:szCs w:val="24"/>
        </w:rPr>
        <w:t>migrant</w:t>
      </w:r>
      <w:r w:rsidRPr="004B36B2">
        <w:rPr>
          <w:rFonts w:asciiTheme="majorBidi" w:hAnsiTheme="majorBidi" w:cstheme="majorBidi"/>
          <w:color w:val="000000" w:themeColor="text1"/>
          <w:szCs w:val="24"/>
        </w:rPr>
        <w:t xml:space="preserve">(s) abroad; this may understate the impacts </w:t>
      </w:r>
      <w:r w:rsidR="00686F18" w:rsidRPr="004B36B2">
        <w:rPr>
          <w:rFonts w:asciiTheme="majorBidi" w:hAnsiTheme="majorBidi" w:cstheme="majorBidi"/>
          <w:color w:val="000000" w:themeColor="text1"/>
          <w:szCs w:val="24"/>
        </w:rPr>
        <w:t xml:space="preserve">if </w:t>
      </w:r>
      <w:r w:rsidRPr="004B36B2">
        <w:rPr>
          <w:rFonts w:asciiTheme="majorBidi" w:hAnsiTheme="majorBidi" w:cstheme="majorBidi"/>
          <w:color w:val="000000" w:themeColor="text1"/>
          <w:szCs w:val="24"/>
        </w:rPr>
        <w:t>m</w:t>
      </w:r>
      <w:r w:rsidR="00F02603" w:rsidRPr="004B36B2">
        <w:rPr>
          <w:rFonts w:asciiTheme="majorBidi" w:hAnsiTheme="majorBidi" w:cstheme="majorBidi"/>
          <w:color w:val="000000" w:themeColor="text1"/>
          <w:szCs w:val="24"/>
        </w:rPr>
        <w:t>igration affect</w:t>
      </w:r>
      <w:r w:rsidR="00686F18" w:rsidRPr="004B36B2">
        <w:rPr>
          <w:rFonts w:asciiTheme="majorBidi" w:hAnsiTheme="majorBidi" w:cstheme="majorBidi"/>
          <w:color w:val="000000" w:themeColor="text1"/>
          <w:szCs w:val="24"/>
        </w:rPr>
        <w:t>s</w:t>
      </w:r>
      <w:r w:rsidR="00F02603" w:rsidRPr="004B36B2">
        <w:rPr>
          <w:rFonts w:asciiTheme="majorBidi" w:hAnsiTheme="majorBidi" w:cstheme="majorBidi"/>
          <w:color w:val="000000" w:themeColor="text1"/>
          <w:szCs w:val="24"/>
        </w:rPr>
        <w:t xml:space="preserve"> household</w:t>
      </w:r>
      <w:r w:rsidRPr="004B36B2">
        <w:rPr>
          <w:rFonts w:asciiTheme="majorBidi" w:hAnsiTheme="majorBidi" w:cstheme="majorBidi"/>
          <w:color w:val="000000" w:themeColor="text1"/>
          <w:szCs w:val="24"/>
        </w:rPr>
        <w:t>s</w:t>
      </w:r>
      <w:r w:rsidR="00F02603"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without migrants through local multiplier and general equilibrium effects</w:t>
      </w:r>
      <w:r w:rsidR="00F02603" w:rsidRPr="004B36B2">
        <w:rPr>
          <w:rFonts w:asciiTheme="majorBidi" w:hAnsiTheme="majorBidi" w:cstheme="majorBidi"/>
          <w:color w:val="000000" w:themeColor="text1"/>
          <w:szCs w:val="24"/>
        </w:rPr>
        <w:t xml:space="preserve"> (</w:t>
      </w:r>
      <w:r w:rsidR="00F02603" w:rsidRPr="004B36B2">
        <w:rPr>
          <w:rFonts w:asciiTheme="majorBidi" w:hAnsiTheme="majorBidi" w:cstheme="majorBidi"/>
          <w:color w:val="000000" w:themeColor="text1"/>
          <w:szCs w:val="24"/>
          <w:shd w:val="clear" w:color="auto" w:fill="FFFFFF"/>
        </w:rPr>
        <w:t>Theoharides, 2018</w:t>
      </w:r>
      <w:r w:rsidR="00F02603" w:rsidRPr="004B36B2">
        <w:rPr>
          <w:rFonts w:asciiTheme="majorBidi" w:hAnsiTheme="majorBidi" w:cstheme="majorBidi"/>
          <w:color w:val="000000" w:themeColor="text1"/>
          <w:szCs w:val="24"/>
        </w:rPr>
        <w:t>).</w:t>
      </w:r>
      <w:r w:rsidR="00686F18" w:rsidRPr="004B36B2">
        <w:rPr>
          <w:rStyle w:val="FootnoteReference"/>
          <w:rFonts w:asciiTheme="majorBidi" w:hAnsiTheme="majorBidi" w:cstheme="majorBidi"/>
          <w:color w:val="000000" w:themeColor="text1"/>
          <w:szCs w:val="24"/>
        </w:rPr>
        <w:t xml:space="preserve"> </w:t>
      </w:r>
      <w:r w:rsidR="00686F18" w:rsidRPr="004B36B2">
        <w:rPr>
          <w:rFonts w:asciiTheme="majorBidi" w:hAnsiTheme="majorBidi" w:cstheme="majorBidi"/>
          <w:color w:val="000000" w:themeColor="text1"/>
          <w:szCs w:val="24"/>
        </w:rPr>
        <w:t xml:space="preserve">For example, </w:t>
      </w:r>
      <w:r w:rsidR="002C44BC" w:rsidRPr="004B36B2">
        <w:rPr>
          <w:rFonts w:asciiTheme="majorBidi" w:hAnsiTheme="majorBidi" w:cstheme="majorBidi"/>
          <w:color w:val="000000" w:themeColor="text1"/>
          <w:szCs w:val="24"/>
        </w:rPr>
        <w:t xml:space="preserve">if migration changes </w:t>
      </w:r>
      <w:r w:rsidR="00686F18" w:rsidRPr="004B36B2">
        <w:rPr>
          <w:rFonts w:asciiTheme="majorBidi" w:hAnsiTheme="majorBidi" w:cstheme="majorBidi"/>
          <w:color w:val="000000" w:themeColor="text1"/>
          <w:szCs w:val="24"/>
        </w:rPr>
        <w:t xml:space="preserve">the return to education </w:t>
      </w:r>
      <w:r w:rsidR="002C44BC" w:rsidRPr="004B36B2">
        <w:rPr>
          <w:rFonts w:asciiTheme="majorBidi" w:hAnsiTheme="majorBidi" w:cstheme="majorBidi"/>
          <w:color w:val="000000" w:themeColor="text1"/>
          <w:szCs w:val="24"/>
        </w:rPr>
        <w:t xml:space="preserve">the decisions </w:t>
      </w:r>
      <w:r w:rsidR="00686F18" w:rsidRPr="004B36B2">
        <w:rPr>
          <w:rFonts w:asciiTheme="majorBidi" w:hAnsiTheme="majorBidi" w:cstheme="majorBidi"/>
          <w:color w:val="000000" w:themeColor="text1"/>
          <w:szCs w:val="24"/>
        </w:rPr>
        <w:t xml:space="preserve">of both migrant and non-migrant households </w:t>
      </w:r>
      <w:r w:rsidR="002C44BC" w:rsidRPr="004B36B2">
        <w:rPr>
          <w:rFonts w:asciiTheme="majorBidi" w:hAnsiTheme="majorBidi" w:cstheme="majorBidi"/>
          <w:color w:val="000000" w:themeColor="text1"/>
          <w:szCs w:val="24"/>
        </w:rPr>
        <w:t xml:space="preserve">about </w:t>
      </w:r>
      <w:r w:rsidR="00686F18" w:rsidRPr="004B36B2">
        <w:rPr>
          <w:rFonts w:asciiTheme="majorBidi" w:hAnsiTheme="majorBidi" w:cstheme="majorBidi"/>
          <w:color w:val="000000" w:themeColor="text1"/>
          <w:szCs w:val="24"/>
        </w:rPr>
        <w:t xml:space="preserve">the optimal level of educational investment </w:t>
      </w:r>
      <w:r w:rsidR="002C44BC" w:rsidRPr="004B36B2">
        <w:rPr>
          <w:rFonts w:asciiTheme="majorBidi" w:hAnsiTheme="majorBidi" w:cstheme="majorBidi"/>
          <w:color w:val="000000" w:themeColor="text1"/>
          <w:szCs w:val="24"/>
        </w:rPr>
        <w:t>may be affected</w:t>
      </w:r>
      <w:r w:rsidR="00686F18"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Similarly, i</w:t>
      </w:r>
      <w:r w:rsidR="00686F18" w:rsidRPr="004B36B2">
        <w:rPr>
          <w:rFonts w:asciiTheme="majorBidi" w:hAnsiTheme="majorBidi" w:cstheme="majorBidi"/>
          <w:color w:val="000000" w:themeColor="text1"/>
          <w:szCs w:val="24"/>
        </w:rPr>
        <w:t xml:space="preserve">f migration </w:t>
      </w:r>
      <w:r w:rsidR="002C44BC" w:rsidRPr="004B36B2">
        <w:rPr>
          <w:rFonts w:asciiTheme="majorBidi" w:hAnsiTheme="majorBidi" w:cstheme="majorBidi"/>
          <w:color w:val="000000" w:themeColor="text1"/>
          <w:szCs w:val="24"/>
        </w:rPr>
        <w:t>affect</w:t>
      </w:r>
      <w:r w:rsidR="00686F18" w:rsidRPr="004B36B2">
        <w:rPr>
          <w:rFonts w:asciiTheme="majorBidi" w:hAnsiTheme="majorBidi" w:cstheme="majorBidi"/>
          <w:color w:val="000000" w:themeColor="text1"/>
          <w:szCs w:val="24"/>
        </w:rPr>
        <w:t>s local wages, then the opportunity cost of going to school change</w:t>
      </w:r>
      <w:r w:rsidR="002C44BC" w:rsidRPr="004B36B2">
        <w:rPr>
          <w:rFonts w:asciiTheme="majorBidi" w:hAnsiTheme="majorBidi" w:cstheme="majorBidi"/>
          <w:color w:val="000000" w:themeColor="text1"/>
          <w:szCs w:val="24"/>
        </w:rPr>
        <w:t>s</w:t>
      </w:r>
      <w:r w:rsidR="00686F18" w:rsidRPr="004B36B2">
        <w:rPr>
          <w:rFonts w:asciiTheme="majorBidi" w:hAnsiTheme="majorBidi" w:cstheme="majorBidi"/>
          <w:color w:val="000000" w:themeColor="text1"/>
          <w:szCs w:val="24"/>
        </w:rPr>
        <w:t xml:space="preserve"> as well. </w:t>
      </w:r>
      <w:r w:rsidR="0072463C" w:rsidRPr="004B36B2">
        <w:rPr>
          <w:rFonts w:asciiTheme="majorBidi" w:hAnsiTheme="majorBidi" w:cstheme="majorBidi"/>
          <w:color w:val="000000" w:themeColor="text1"/>
          <w:szCs w:val="24"/>
        </w:rPr>
        <w:t>Therefore, w</w:t>
      </w:r>
      <w:r w:rsidR="005669FD" w:rsidRPr="004B36B2">
        <w:rPr>
          <w:rFonts w:asciiTheme="majorBidi" w:hAnsiTheme="majorBidi" w:cstheme="majorBidi"/>
          <w:color w:val="000000" w:themeColor="text1"/>
          <w:szCs w:val="24"/>
          <w:shd w:val="clear" w:color="auto" w:fill="FFFFFF"/>
        </w:rPr>
        <w:t>e conduct our analysis at the PSU level</w:t>
      </w:r>
      <w:r w:rsidR="00FB50B2" w:rsidRPr="004B36B2">
        <w:rPr>
          <w:rFonts w:asciiTheme="majorBidi" w:hAnsiTheme="majorBidi" w:cstheme="majorBidi"/>
          <w:color w:val="000000" w:themeColor="text1"/>
          <w:szCs w:val="24"/>
          <w:shd w:val="clear" w:color="auto" w:fill="FFFFFF"/>
        </w:rPr>
        <w:t xml:space="preserve"> (Primary Sampling Unit which we denote as village in this paper)</w:t>
      </w:r>
      <w:r w:rsidR="002C44BC" w:rsidRPr="004B36B2">
        <w:rPr>
          <w:rFonts w:asciiTheme="majorBidi" w:hAnsiTheme="majorBidi" w:cstheme="majorBidi"/>
          <w:color w:val="000000" w:themeColor="text1"/>
          <w:szCs w:val="24"/>
          <w:shd w:val="clear" w:color="auto" w:fill="FFFFFF"/>
        </w:rPr>
        <w:t xml:space="preserve">. The advantage of </w:t>
      </w:r>
      <w:r w:rsidR="002C44BC" w:rsidRPr="004B36B2">
        <w:rPr>
          <w:rFonts w:asciiTheme="majorBidi" w:hAnsiTheme="majorBidi" w:cstheme="majorBidi"/>
          <w:color w:val="000000" w:themeColor="text1"/>
          <w:szCs w:val="24"/>
          <w:shd w:val="clear" w:color="auto" w:fill="FFFFFF"/>
        </w:rPr>
        <w:lastRenderedPageBreak/>
        <w:t>using village level data is that the the local spillover effects will show up at village level but may be missed at household level.</w:t>
      </w:r>
      <w:r w:rsidR="002B7BEB"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These spillover effects should</w:t>
      </w:r>
      <w:r w:rsidR="002425DF"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matter</w:t>
      </w:r>
      <w:r w:rsidRPr="004B36B2">
        <w:rPr>
          <w:rFonts w:asciiTheme="majorBidi" w:hAnsiTheme="majorBidi" w:cstheme="majorBidi"/>
          <w:color w:val="000000" w:themeColor="text1"/>
          <w:szCs w:val="24"/>
        </w:rPr>
        <w:t xml:space="preserve"> </w:t>
      </w:r>
      <w:r w:rsidR="002425DF" w:rsidRPr="004B36B2">
        <w:rPr>
          <w:rFonts w:asciiTheme="majorBidi" w:hAnsiTheme="majorBidi" w:cstheme="majorBidi"/>
          <w:color w:val="000000" w:themeColor="text1"/>
          <w:szCs w:val="24"/>
        </w:rPr>
        <w:t xml:space="preserve">in Nepal, where households </w:t>
      </w:r>
      <w:r w:rsidR="00FB50B2" w:rsidRPr="004B36B2">
        <w:rPr>
          <w:rFonts w:asciiTheme="majorBidi" w:hAnsiTheme="majorBidi" w:cstheme="majorBidi"/>
          <w:color w:val="000000" w:themeColor="text1"/>
          <w:szCs w:val="24"/>
        </w:rPr>
        <w:t xml:space="preserve">living in </w:t>
      </w:r>
      <w:r w:rsidR="00686F18" w:rsidRPr="004B36B2">
        <w:rPr>
          <w:rFonts w:asciiTheme="majorBidi" w:hAnsiTheme="majorBidi" w:cstheme="majorBidi"/>
          <w:color w:val="000000" w:themeColor="text1"/>
          <w:szCs w:val="24"/>
        </w:rPr>
        <w:t xml:space="preserve">the </w:t>
      </w:r>
      <w:r w:rsidR="00FB50B2" w:rsidRPr="004B36B2">
        <w:rPr>
          <w:rFonts w:asciiTheme="majorBidi" w:hAnsiTheme="majorBidi" w:cstheme="majorBidi"/>
          <w:color w:val="000000" w:themeColor="text1"/>
          <w:szCs w:val="24"/>
        </w:rPr>
        <w:t xml:space="preserve">same </w:t>
      </w:r>
      <w:r w:rsidR="002425DF" w:rsidRPr="004B36B2">
        <w:rPr>
          <w:rFonts w:asciiTheme="majorBidi" w:hAnsiTheme="majorBidi" w:cstheme="majorBidi"/>
          <w:color w:val="000000" w:themeColor="text1"/>
          <w:szCs w:val="24"/>
        </w:rPr>
        <w:t xml:space="preserve">village </w:t>
      </w:r>
      <w:r w:rsidR="002425DF" w:rsidRPr="004B36B2">
        <w:rPr>
          <w:rFonts w:asciiTheme="majorBidi" w:hAnsiTheme="majorBidi" w:cstheme="majorBidi"/>
          <w:noProof/>
          <w:color w:val="000000" w:themeColor="text1"/>
          <w:szCs w:val="24"/>
        </w:rPr>
        <w:t>are closely interconnect</w:t>
      </w:r>
      <w:r w:rsidR="004F1278" w:rsidRPr="004B36B2">
        <w:rPr>
          <w:rFonts w:asciiTheme="majorBidi" w:hAnsiTheme="majorBidi" w:cstheme="majorBidi"/>
          <w:noProof/>
          <w:color w:val="000000" w:themeColor="text1"/>
          <w:szCs w:val="24"/>
        </w:rPr>
        <w:t>ed</w:t>
      </w:r>
      <w:r w:rsidR="002425DF" w:rsidRPr="004B36B2">
        <w:rPr>
          <w:rFonts w:asciiTheme="majorBidi" w:hAnsiTheme="majorBidi" w:cstheme="majorBidi"/>
          <w:color w:val="000000" w:themeColor="text1"/>
          <w:szCs w:val="24"/>
        </w:rPr>
        <w:t xml:space="preserve"> </w:t>
      </w:r>
      <w:r w:rsidR="005669FD" w:rsidRPr="004B36B2">
        <w:rPr>
          <w:rFonts w:asciiTheme="majorBidi" w:hAnsiTheme="majorBidi" w:cstheme="majorBidi"/>
          <w:color w:val="000000" w:themeColor="text1"/>
          <w:szCs w:val="24"/>
        </w:rPr>
        <w:t>and interdependent</w:t>
      </w:r>
      <w:r w:rsidR="000E6BEB" w:rsidRPr="004B36B2">
        <w:rPr>
          <w:rFonts w:asciiTheme="majorBidi" w:hAnsiTheme="majorBidi" w:cstheme="majorBidi"/>
          <w:color w:val="000000" w:themeColor="text1"/>
          <w:szCs w:val="24"/>
        </w:rPr>
        <w:t>.</w:t>
      </w:r>
    </w:p>
    <w:p w14:paraId="22F517A4" w14:textId="77777777" w:rsidR="009D22DE" w:rsidRPr="00E54F60" w:rsidRDefault="009D22DE" w:rsidP="00283A3C">
      <w:pPr>
        <w:spacing w:line="288" w:lineRule="auto"/>
        <w:ind w:firstLine="720"/>
        <w:jc w:val="both"/>
        <w:rPr>
          <w:rFonts w:asciiTheme="majorBidi" w:hAnsiTheme="majorBidi" w:cstheme="majorBidi"/>
          <w:color w:val="000000" w:themeColor="text1"/>
          <w:sz w:val="20"/>
          <w:szCs w:val="20"/>
        </w:rPr>
      </w:pPr>
    </w:p>
    <w:p w14:paraId="5CCAAF33" w14:textId="0B63F5CE" w:rsidR="00D878CF" w:rsidRDefault="000C6E19"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 decision to migrate is endogenous</w:t>
      </w:r>
      <w:r w:rsidR="000E6BEB" w:rsidRPr="004B36B2">
        <w:rPr>
          <w:rFonts w:asciiTheme="majorBidi" w:hAnsiTheme="majorBidi" w:cstheme="majorBidi"/>
          <w:color w:val="000000" w:themeColor="text1"/>
          <w:szCs w:val="24"/>
        </w:rPr>
        <w:t xml:space="preserve"> (</w:t>
      </w:r>
      <w:r w:rsidR="00B201E7" w:rsidRPr="004B36B2">
        <w:rPr>
          <w:rFonts w:asciiTheme="majorBidi" w:hAnsiTheme="majorBidi" w:cstheme="majorBidi"/>
          <w:color w:val="000000" w:themeColor="text1"/>
          <w:szCs w:val="24"/>
          <w:shd w:val="clear" w:color="auto" w:fill="FFFFFF"/>
        </w:rPr>
        <w:t>Gibson</w:t>
      </w:r>
      <w:r w:rsidR="00467FB8"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i/>
          <w:iCs/>
          <w:color w:val="000000" w:themeColor="text1"/>
          <w:szCs w:val="24"/>
          <w:shd w:val="clear" w:color="auto" w:fill="FFFFFF"/>
        </w:rPr>
        <w:t>et al.</w:t>
      </w:r>
      <w:r w:rsidR="0027239A" w:rsidRPr="004B36B2">
        <w:rPr>
          <w:rFonts w:asciiTheme="majorBidi" w:hAnsiTheme="majorBidi" w:cstheme="majorBidi"/>
          <w:color w:val="000000" w:themeColor="text1"/>
          <w:szCs w:val="24"/>
          <w:shd w:val="clear" w:color="auto" w:fill="FFFFFF"/>
        </w:rPr>
        <w:t xml:space="preserve"> </w:t>
      </w:r>
      <w:r w:rsidR="00467FB8" w:rsidRPr="004B36B2">
        <w:rPr>
          <w:rFonts w:asciiTheme="majorBidi" w:hAnsiTheme="majorBidi" w:cstheme="majorBidi"/>
          <w:color w:val="000000" w:themeColor="text1"/>
          <w:szCs w:val="24"/>
          <w:shd w:val="clear" w:color="auto" w:fill="FFFFFF"/>
        </w:rPr>
        <w:t>2011</w:t>
      </w:r>
      <w:r w:rsidR="000E6BEB"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and so instrumental variables (IV) </w:t>
      </w:r>
      <w:r w:rsidR="002C0FC2" w:rsidRPr="004B36B2">
        <w:rPr>
          <w:rFonts w:asciiTheme="majorBidi" w:hAnsiTheme="majorBidi" w:cstheme="majorBidi"/>
          <w:color w:val="000000" w:themeColor="text1"/>
          <w:szCs w:val="24"/>
        </w:rPr>
        <w:t xml:space="preserve">may be used to mitigate </w:t>
      </w:r>
      <w:r w:rsidRPr="004B36B2">
        <w:rPr>
          <w:rFonts w:asciiTheme="majorBidi" w:hAnsiTheme="majorBidi" w:cstheme="majorBidi"/>
          <w:color w:val="000000" w:themeColor="text1"/>
          <w:szCs w:val="24"/>
        </w:rPr>
        <w:t xml:space="preserve">bias in econometric estimates of migration impacts. A shift-share variable is commonly used as an instrument, </w:t>
      </w:r>
      <w:r w:rsidR="002C0FC2" w:rsidRPr="004B36B2">
        <w:rPr>
          <w:rFonts w:asciiTheme="majorBidi" w:hAnsiTheme="majorBidi" w:cstheme="majorBidi"/>
          <w:color w:val="000000" w:themeColor="text1"/>
          <w:szCs w:val="24"/>
        </w:rPr>
        <w:t xml:space="preserve">despite </w:t>
      </w:r>
      <w:r w:rsidR="009C7522" w:rsidRPr="004B36B2">
        <w:rPr>
          <w:rFonts w:asciiTheme="majorBidi" w:hAnsiTheme="majorBidi" w:cstheme="majorBidi"/>
          <w:color w:val="000000" w:themeColor="text1"/>
          <w:szCs w:val="24"/>
        </w:rPr>
        <w:t xml:space="preserve">growing </w:t>
      </w:r>
      <w:r w:rsidRPr="004B36B2">
        <w:rPr>
          <w:rFonts w:asciiTheme="majorBidi" w:hAnsiTheme="majorBidi" w:cstheme="majorBidi"/>
          <w:color w:val="000000" w:themeColor="text1"/>
          <w:szCs w:val="24"/>
        </w:rPr>
        <w:t xml:space="preserve">doubts about this method </w:t>
      </w:r>
      <w:r w:rsidR="00E31E5C" w:rsidRPr="004B36B2">
        <w:rPr>
          <w:rFonts w:asciiTheme="majorBidi" w:hAnsiTheme="majorBidi" w:cstheme="majorBidi"/>
          <w:color w:val="000000" w:themeColor="text1"/>
          <w:szCs w:val="24"/>
        </w:rPr>
        <w:t>(</w:t>
      </w:r>
      <w:r w:rsidR="00E31E5C" w:rsidRPr="004B36B2">
        <w:rPr>
          <w:rFonts w:asciiTheme="majorBidi" w:hAnsiTheme="majorBidi" w:cstheme="majorBidi"/>
          <w:color w:val="000000" w:themeColor="text1"/>
          <w:szCs w:val="24"/>
          <w:shd w:val="clear" w:color="auto" w:fill="FFFFFF"/>
        </w:rPr>
        <w:t>Christian</w:t>
      </w:r>
      <w:r w:rsidR="00033DB6"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color w:val="000000" w:themeColor="text1"/>
          <w:szCs w:val="24"/>
          <w:shd w:val="clear" w:color="auto" w:fill="FFFFFF"/>
        </w:rPr>
        <w:t>and</w:t>
      </w:r>
      <w:r w:rsidR="00033DB6" w:rsidRPr="004B36B2">
        <w:rPr>
          <w:rFonts w:asciiTheme="majorBidi" w:hAnsiTheme="majorBidi" w:cstheme="majorBidi"/>
          <w:color w:val="000000" w:themeColor="text1"/>
          <w:szCs w:val="24"/>
          <w:shd w:val="clear" w:color="auto" w:fill="FFFFFF"/>
        </w:rPr>
        <w:t xml:space="preserve"> Barrett</w:t>
      </w:r>
      <w:r w:rsidR="00EA044E" w:rsidRPr="004B36B2">
        <w:rPr>
          <w:rFonts w:asciiTheme="majorBidi" w:hAnsiTheme="majorBidi" w:cstheme="majorBidi"/>
          <w:color w:val="000000" w:themeColor="text1"/>
          <w:szCs w:val="24"/>
          <w:shd w:val="clear" w:color="auto" w:fill="FFFFFF"/>
        </w:rPr>
        <w:t xml:space="preserve"> 2017</w:t>
      </w:r>
      <w:r w:rsidR="00DB0036">
        <w:rPr>
          <w:rFonts w:asciiTheme="majorBidi" w:hAnsiTheme="majorBidi" w:cstheme="majorBidi"/>
          <w:color w:val="000000" w:themeColor="text1"/>
          <w:szCs w:val="24"/>
          <w:shd w:val="clear" w:color="auto" w:fill="FFFFFF"/>
        </w:rPr>
        <w:t>,</w:t>
      </w:r>
      <w:r w:rsidR="00EA044E" w:rsidRPr="004B36B2">
        <w:rPr>
          <w:rFonts w:asciiTheme="majorBidi" w:hAnsiTheme="majorBidi" w:cstheme="majorBidi"/>
          <w:color w:val="000000" w:themeColor="text1"/>
          <w:szCs w:val="24"/>
          <w:shd w:val="clear" w:color="auto" w:fill="FFFFFF"/>
        </w:rPr>
        <w:t xml:space="preserve"> Jaeger</w:t>
      </w:r>
      <w:r w:rsidR="001B2A24" w:rsidRPr="004B36B2">
        <w:rPr>
          <w:rFonts w:asciiTheme="majorBidi" w:hAnsiTheme="majorBidi" w:cstheme="majorBidi"/>
          <w:color w:val="000000" w:themeColor="text1"/>
          <w:szCs w:val="24"/>
          <w:shd w:val="clear" w:color="auto" w:fill="FFFFFF"/>
        </w:rPr>
        <w:t xml:space="preserve"> </w:t>
      </w:r>
      <w:r w:rsidR="00DB0036" w:rsidRPr="00DB0036">
        <w:rPr>
          <w:rFonts w:asciiTheme="majorBidi" w:hAnsiTheme="majorBidi" w:cstheme="majorBidi"/>
          <w:i/>
          <w:iCs/>
          <w:color w:val="000000" w:themeColor="text1"/>
          <w:szCs w:val="24"/>
          <w:shd w:val="clear" w:color="auto" w:fill="FFFFFF"/>
        </w:rPr>
        <w:t>et al.</w:t>
      </w:r>
      <w:r w:rsidR="00E31E5C" w:rsidRPr="004B36B2">
        <w:rPr>
          <w:rFonts w:asciiTheme="majorBidi" w:hAnsiTheme="majorBidi" w:cstheme="majorBidi"/>
          <w:color w:val="000000" w:themeColor="text1"/>
          <w:szCs w:val="24"/>
          <w:shd w:val="clear" w:color="auto" w:fill="FFFFFF"/>
        </w:rPr>
        <w:t xml:space="preserve"> 2018)</w:t>
      </w:r>
      <w:r w:rsidRPr="004B36B2">
        <w:rPr>
          <w:rFonts w:asciiTheme="majorBidi" w:hAnsiTheme="majorBidi" w:cstheme="majorBidi"/>
          <w:color w:val="000000" w:themeColor="text1"/>
          <w:szCs w:val="24"/>
          <w:shd w:val="clear" w:color="auto" w:fill="FFFFFF"/>
        </w:rPr>
        <w:t xml:space="preserve">. </w:t>
      </w:r>
      <w:r w:rsidR="002C44BC" w:rsidRPr="004B36B2">
        <w:rPr>
          <w:rFonts w:asciiTheme="majorBidi" w:hAnsiTheme="majorBidi" w:cstheme="majorBidi"/>
          <w:color w:val="000000" w:themeColor="text1"/>
          <w:szCs w:val="24"/>
          <w:shd w:val="clear" w:color="auto" w:fill="FFFFFF"/>
        </w:rPr>
        <w:t>C</w:t>
      </w:r>
      <w:r w:rsidR="00357DE9" w:rsidRPr="004B36B2">
        <w:rPr>
          <w:rFonts w:asciiTheme="majorBidi" w:hAnsiTheme="majorBidi" w:cstheme="majorBidi"/>
          <w:color w:val="000000" w:themeColor="text1"/>
          <w:szCs w:val="24"/>
        </w:rPr>
        <w:t>ross</w:t>
      </w:r>
      <w:r w:rsidR="007107A0" w:rsidRPr="004B36B2">
        <w:rPr>
          <w:rFonts w:asciiTheme="majorBidi" w:hAnsiTheme="majorBidi" w:cstheme="majorBidi"/>
          <w:color w:val="000000" w:themeColor="text1"/>
          <w:szCs w:val="24"/>
        </w:rPr>
        <w:t>-</w:t>
      </w:r>
      <w:r w:rsidR="00357DE9" w:rsidRPr="004B36B2">
        <w:rPr>
          <w:rFonts w:asciiTheme="majorBidi" w:hAnsiTheme="majorBidi" w:cstheme="majorBidi"/>
          <w:color w:val="000000" w:themeColor="text1"/>
          <w:szCs w:val="24"/>
        </w:rPr>
        <w:t>sectional data</w:t>
      </w:r>
      <w:r w:rsidR="002C44BC" w:rsidRPr="004B36B2">
        <w:rPr>
          <w:rFonts w:asciiTheme="majorBidi" w:hAnsiTheme="majorBidi" w:cstheme="majorBidi"/>
          <w:color w:val="000000" w:themeColor="text1"/>
          <w:szCs w:val="24"/>
        </w:rPr>
        <w:t xml:space="preserve"> are often used, even though such data have</w:t>
      </w:r>
      <w:r w:rsidRPr="004B36B2">
        <w:rPr>
          <w:rFonts w:asciiTheme="majorBidi" w:hAnsiTheme="majorBidi" w:cstheme="majorBidi"/>
          <w:color w:val="000000" w:themeColor="text1"/>
          <w:szCs w:val="24"/>
        </w:rPr>
        <w:t xml:space="preserve"> a </w:t>
      </w:r>
      <w:r w:rsidR="00E31E5C" w:rsidRPr="004B36B2">
        <w:rPr>
          <w:rFonts w:asciiTheme="majorBidi" w:hAnsiTheme="majorBidi" w:cstheme="majorBidi"/>
          <w:noProof/>
          <w:color w:val="000000" w:themeColor="text1"/>
          <w:szCs w:val="24"/>
        </w:rPr>
        <w:t>risk</w:t>
      </w:r>
      <w:r w:rsidR="00E31E5C" w:rsidRPr="004B36B2">
        <w:rPr>
          <w:rFonts w:asciiTheme="majorBidi" w:hAnsiTheme="majorBidi" w:cstheme="majorBidi"/>
          <w:color w:val="000000" w:themeColor="text1"/>
          <w:szCs w:val="24"/>
        </w:rPr>
        <w:t xml:space="preserve"> of </w:t>
      </w:r>
      <w:r w:rsidRPr="004B36B2">
        <w:rPr>
          <w:rFonts w:asciiTheme="majorBidi" w:hAnsiTheme="majorBidi" w:cstheme="majorBidi"/>
          <w:color w:val="000000" w:themeColor="text1"/>
          <w:szCs w:val="24"/>
        </w:rPr>
        <w:t>bias due to</w:t>
      </w:r>
      <w:r w:rsidR="00E31E5C" w:rsidRPr="004B36B2">
        <w:rPr>
          <w:rFonts w:asciiTheme="majorBidi" w:hAnsiTheme="majorBidi" w:cstheme="majorBidi"/>
          <w:color w:val="000000" w:themeColor="text1"/>
          <w:szCs w:val="24"/>
        </w:rPr>
        <w:t xml:space="preserve"> omitted variable</w:t>
      </w:r>
      <w:r w:rsidRPr="004B36B2">
        <w:rPr>
          <w:rFonts w:asciiTheme="majorBidi" w:hAnsiTheme="majorBidi" w:cstheme="majorBidi"/>
          <w:color w:val="000000" w:themeColor="text1"/>
          <w:szCs w:val="24"/>
        </w:rPr>
        <w:t>s</w:t>
      </w:r>
      <w:r w:rsidR="00357DE9"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Instead, w</w:t>
      </w:r>
      <w:r w:rsidR="00E31E5C" w:rsidRPr="004B36B2">
        <w:rPr>
          <w:rFonts w:asciiTheme="majorBidi" w:hAnsiTheme="majorBidi" w:cstheme="majorBidi"/>
          <w:color w:val="000000" w:themeColor="text1"/>
          <w:szCs w:val="24"/>
        </w:rPr>
        <w:t>e use panel data</w:t>
      </w:r>
      <w:r w:rsidRPr="004B36B2">
        <w:rPr>
          <w:rFonts w:asciiTheme="majorBidi" w:hAnsiTheme="majorBidi" w:cstheme="majorBidi"/>
          <w:color w:val="000000" w:themeColor="text1"/>
          <w:szCs w:val="24"/>
        </w:rPr>
        <w:t>, with</w:t>
      </w:r>
      <w:r w:rsidR="00E31E5C" w:rsidRPr="004B36B2">
        <w:rPr>
          <w:rFonts w:asciiTheme="majorBidi" w:hAnsiTheme="majorBidi" w:cstheme="majorBidi"/>
          <w:color w:val="000000" w:themeColor="text1"/>
          <w:szCs w:val="24"/>
        </w:rPr>
        <w:t xml:space="preserve"> fixed effect</w:t>
      </w:r>
      <w:r w:rsidRPr="004B36B2">
        <w:rPr>
          <w:rFonts w:asciiTheme="majorBidi" w:hAnsiTheme="majorBidi" w:cstheme="majorBidi"/>
          <w:color w:val="000000" w:themeColor="text1"/>
          <w:szCs w:val="24"/>
        </w:rPr>
        <w:t>s</w:t>
      </w:r>
      <w:r w:rsidR="00E31E5C" w:rsidRPr="004B36B2">
        <w:rPr>
          <w:rFonts w:asciiTheme="majorBidi" w:hAnsiTheme="majorBidi" w:cstheme="majorBidi"/>
          <w:color w:val="000000" w:themeColor="text1"/>
          <w:szCs w:val="24"/>
        </w:rPr>
        <w:t xml:space="preserve"> </w:t>
      </w:r>
      <w:r w:rsidR="004058E6" w:rsidRPr="004B36B2">
        <w:rPr>
          <w:rFonts w:asciiTheme="majorBidi" w:hAnsiTheme="majorBidi" w:cstheme="majorBidi"/>
          <w:color w:val="000000" w:themeColor="text1"/>
          <w:szCs w:val="24"/>
        </w:rPr>
        <w:t>and</w:t>
      </w:r>
      <w:r w:rsidR="00E31E5C"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i</w:t>
      </w:r>
      <w:r w:rsidR="00E31E5C" w:rsidRPr="004B36B2">
        <w:rPr>
          <w:rFonts w:asciiTheme="majorBidi" w:hAnsiTheme="majorBidi" w:cstheme="majorBidi"/>
          <w:color w:val="000000" w:themeColor="text1"/>
          <w:szCs w:val="24"/>
        </w:rPr>
        <w:t>nstrumental variable</w:t>
      </w:r>
      <w:r w:rsidRPr="004B36B2">
        <w:rPr>
          <w:rFonts w:asciiTheme="majorBidi" w:hAnsiTheme="majorBidi" w:cstheme="majorBidi"/>
          <w:color w:val="000000" w:themeColor="text1"/>
          <w:szCs w:val="24"/>
        </w:rPr>
        <w:t>s</w:t>
      </w:r>
      <w:r w:rsidR="00E31E5C" w:rsidRPr="004B36B2">
        <w:rPr>
          <w:rFonts w:asciiTheme="majorBidi" w:hAnsiTheme="majorBidi" w:cstheme="majorBidi"/>
          <w:color w:val="000000" w:themeColor="text1"/>
          <w:szCs w:val="24"/>
        </w:rPr>
        <w:t xml:space="preserve"> estimation</w:t>
      </w:r>
      <w:r w:rsidRPr="004B36B2">
        <w:rPr>
          <w:rFonts w:asciiTheme="majorBidi" w:hAnsiTheme="majorBidi" w:cstheme="majorBidi"/>
          <w:color w:val="000000" w:themeColor="text1"/>
          <w:szCs w:val="24"/>
        </w:rPr>
        <w:t>, following</w:t>
      </w:r>
      <w:r w:rsidR="00E31E5C" w:rsidRPr="004B36B2">
        <w:rPr>
          <w:rFonts w:asciiTheme="majorBidi" w:hAnsiTheme="majorBidi" w:cstheme="majorBidi"/>
          <w:color w:val="000000" w:themeColor="text1"/>
          <w:szCs w:val="24"/>
        </w:rPr>
        <w:t xml:space="preserve"> </w:t>
      </w:r>
      <w:r w:rsidR="00E31E5C" w:rsidRPr="004B36B2">
        <w:rPr>
          <w:rFonts w:asciiTheme="majorBidi" w:hAnsiTheme="majorBidi" w:cstheme="majorBidi"/>
          <w:color w:val="000000" w:themeColor="text1"/>
          <w:szCs w:val="24"/>
          <w:shd w:val="clear" w:color="auto" w:fill="FFFFFF"/>
        </w:rPr>
        <w:t>Theoharides (2018</w:t>
      </w:r>
      <w:r w:rsidR="00E31E5C" w:rsidRPr="004B36B2">
        <w:rPr>
          <w:rFonts w:asciiTheme="majorBidi" w:hAnsiTheme="majorBidi" w:cstheme="majorBidi"/>
          <w:color w:val="000000" w:themeColor="text1"/>
          <w:szCs w:val="24"/>
        </w:rPr>
        <w:t>)</w:t>
      </w:r>
      <w:r w:rsidR="004058E6" w:rsidRPr="004B36B2">
        <w:rPr>
          <w:rFonts w:asciiTheme="majorBidi" w:hAnsiTheme="majorBidi" w:cstheme="majorBidi"/>
          <w:color w:val="000000" w:themeColor="text1"/>
          <w:szCs w:val="24"/>
        </w:rPr>
        <w:t xml:space="preserve">. </w:t>
      </w:r>
      <w:r w:rsidR="0054684B" w:rsidRPr="004B36B2">
        <w:rPr>
          <w:rFonts w:asciiTheme="majorBidi" w:hAnsiTheme="majorBidi" w:cstheme="majorBidi"/>
          <w:color w:val="000000" w:themeColor="text1"/>
          <w:szCs w:val="24"/>
        </w:rPr>
        <w:t>We</w:t>
      </w:r>
      <w:r w:rsidR="00BE2B2A" w:rsidRPr="004B36B2">
        <w:rPr>
          <w:rFonts w:asciiTheme="majorBidi" w:hAnsiTheme="majorBidi" w:cstheme="majorBidi"/>
          <w:color w:val="000000" w:themeColor="text1"/>
          <w:szCs w:val="24"/>
        </w:rPr>
        <w:t xml:space="preserve"> </w:t>
      </w:r>
      <w:r w:rsidR="00876D59" w:rsidRPr="004B36B2">
        <w:rPr>
          <w:rFonts w:asciiTheme="majorBidi" w:hAnsiTheme="majorBidi" w:cstheme="majorBidi"/>
          <w:color w:val="000000" w:themeColor="text1"/>
          <w:szCs w:val="24"/>
        </w:rPr>
        <w:t>identify</w:t>
      </w:r>
      <w:r w:rsidR="0054684B"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a </w:t>
      </w:r>
      <w:r w:rsidR="002C44BC" w:rsidRPr="004B36B2">
        <w:rPr>
          <w:rFonts w:asciiTheme="majorBidi" w:hAnsiTheme="majorBidi" w:cstheme="majorBidi"/>
          <w:color w:val="000000" w:themeColor="text1"/>
          <w:szCs w:val="24"/>
        </w:rPr>
        <w:t>plausibly</w:t>
      </w:r>
      <w:r w:rsidR="004E4977" w:rsidRPr="004B36B2">
        <w:rPr>
          <w:rFonts w:asciiTheme="majorBidi" w:hAnsiTheme="majorBidi" w:cstheme="majorBidi"/>
          <w:color w:val="000000" w:themeColor="text1"/>
          <w:szCs w:val="24"/>
        </w:rPr>
        <w:t xml:space="preserve"> exogenous instrument </w:t>
      </w:r>
      <w:r w:rsidR="00263583" w:rsidRPr="004B36B2">
        <w:rPr>
          <w:rFonts w:asciiTheme="majorBidi" w:hAnsiTheme="majorBidi" w:cstheme="majorBidi"/>
          <w:color w:val="000000" w:themeColor="text1"/>
          <w:szCs w:val="24"/>
        </w:rPr>
        <w:t xml:space="preserve">for </w:t>
      </w:r>
      <w:r w:rsidRPr="004B36B2">
        <w:rPr>
          <w:rFonts w:asciiTheme="majorBidi" w:hAnsiTheme="majorBidi" w:cstheme="majorBidi"/>
          <w:color w:val="000000" w:themeColor="text1"/>
          <w:szCs w:val="24"/>
        </w:rPr>
        <w:t xml:space="preserve">the </w:t>
      </w:r>
      <w:r w:rsidR="00263583" w:rsidRPr="004B36B2">
        <w:rPr>
          <w:rFonts w:asciiTheme="majorBidi" w:hAnsiTheme="majorBidi" w:cstheme="majorBidi"/>
          <w:color w:val="000000" w:themeColor="text1"/>
          <w:szCs w:val="24"/>
        </w:rPr>
        <w:t xml:space="preserve">migration rate </w:t>
      </w:r>
      <w:r w:rsidR="009C7522" w:rsidRPr="004B36B2">
        <w:rPr>
          <w:rFonts w:asciiTheme="majorBidi" w:hAnsiTheme="majorBidi" w:cstheme="majorBidi"/>
          <w:color w:val="000000" w:themeColor="text1"/>
          <w:szCs w:val="24"/>
        </w:rPr>
        <w:t xml:space="preserve">using </w:t>
      </w:r>
      <w:r w:rsidR="00FB50B2" w:rsidRPr="004B36B2">
        <w:rPr>
          <w:rFonts w:asciiTheme="majorBidi" w:hAnsiTheme="majorBidi" w:cstheme="majorBidi"/>
          <w:color w:val="000000" w:themeColor="text1"/>
          <w:szCs w:val="24"/>
        </w:rPr>
        <w:t>village</w:t>
      </w:r>
      <w:r w:rsidR="00AE6E31" w:rsidRPr="004B36B2">
        <w:rPr>
          <w:rFonts w:asciiTheme="majorBidi" w:hAnsiTheme="majorBidi" w:cstheme="majorBidi"/>
          <w:color w:val="000000" w:themeColor="text1"/>
          <w:szCs w:val="24"/>
        </w:rPr>
        <w:t>-</w:t>
      </w:r>
      <w:r w:rsidR="00263583" w:rsidRPr="004B36B2">
        <w:rPr>
          <w:rFonts w:asciiTheme="majorBidi" w:hAnsiTheme="majorBidi" w:cstheme="majorBidi"/>
          <w:color w:val="000000" w:themeColor="text1"/>
          <w:szCs w:val="24"/>
        </w:rPr>
        <w:t xml:space="preserve">level </w:t>
      </w:r>
      <w:r w:rsidR="004E4977" w:rsidRPr="004B36B2">
        <w:rPr>
          <w:rFonts w:asciiTheme="majorBidi" w:hAnsiTheme="majorBidi" w:cstheme="majorBidi"/>
          <w:color w:val="000000" w:themeColor="text1"/>
          <w:szCs w:val="24"/>
        </w:rPr>
        <w:t xml:space="preserve">variation in </w:t>
      </w:r>
      <w:r w:rsidR="003452D4" w:rsidRPr="004B36B2">
        <w:rPr>
          <w:rFonts w:asciiTheme="majorBidi" w:hAnsiTheme="majorBidi" w:cstheme="majorBidi"/>
          <w:color w:val="000000" w:themeColor="text1"/>
          <w:szCs w:val="24"/>
        </w:rPr>
        <w:t xml:space="preserve">predicted </w:t>
      </w:r>
      <w:r w:rsidR="0054684B" w:rsidRPr="004B36B2">
        <w:rPr>
          <w:rFonts w:asciiTheme="majorBidi" w:hAnsiTheme="majorBidi" w:cstheme="majorBidi"/>
          <w:color w:val="000000" w:themeColor="text1"/>
          <w:szCs w:val="24"/>
        </w:rPr>
        <w:t xml:space="preserve">migration </w:t>
      </w:r>
      <w:r w:rsidR="00222782" w:rsidRPr="004B36B2">
        <w:rPr>
          <w:rFonts w:asciiTheme="majorBidi" w:hAnsiTheme="majorBidi" w:cstheme="majorBidi"/>
          <w:color w:val="000000" w:themeColor="text1"/>
          <w:szCs w:val="24"/>
        </w:rPr>
        <w:t>(</w:t>
      </w:r>
      <w:r w:rsidR="009C7522" w:rsidRPr="004B36B2">
        <w:rPr>
          <w:rFonts w:asciiTheme="majorBidi" w:hAnsiTheme="majorBidi" w:cstheme="majorBidi"/>
          <w:color w:val="000000" w:themeColor="text1"/>
          <w:szCs w:val="24"/>
        </w:rPr>
        <w:t xml:space="preserve">derived from the </w:t>
      </w:r>
      <w:r w:rsidRPr="004B36B2">
        <w:rPr>
          <w:rFonts w:asciiTheme="majorBidi" w:hAnsiTheme="majorBidi" w:cstheme="majorBidi"/>
          <w:color w:val="000000" w:themeColor="text1"/>
          <w:szCs w:val="24"/>
        </w:rPr>
        <w:t xml:space="preserve">destination country </w:t>
      </w:r>
      <w:r w:rsidR="009C7522" w:rsidRPr="004B36B2">
        <w:rPr>
          <w:rFonts w:asciiTheme="majorBidi" w:hAnsiTheme="majorBidi" w:cstheme="majorBidi"/>
          <w:color w:val="000000" w:themeColor="text1"/>
          <w:szCs w:val="24"/>
        </w:rPr>
        <w:t>demand for migrants</w:t>
      </w:r>
      <w:r w:rsidR="00222782" w:rsidRPr="004B36B2">
        <w:rPr>
          <w:rFonts w:asciiTheme="majorBidi" w:hAnsiTheme="majorBidi" w:cstheme="majorBidi"/>
          <w:color w:val="000000" w:themeColor="text1"/>
          <w:szCs w:val="24"/>
        </w:rPr>
        <w:t>)</w:t>
      </w:r>
      <w:r w:rsidR="00424E01" w:rsidRPr="004B36B2">
        <w:rPr>
          <w:rFonts w:asciiTheme="majorBidi" w:hAnsiTheme="majorBidi" w:cstheme="majorBidi"/>
          <w:color w:val="000000" w:themeColor="text1"/>
          <w:szCs w:val="24"/>
        </w:rPr>
        <w:t xml:space="preserve">. This is </w:t>
      </w:r>
      <w:r w:rsidR="00F85ECC" w:rsidRPr="004B36B2">
        <w:rPr>
          <w:rFonts w:asciiTheme="majorBidi" w:hAnsiTheme="majorBidi" w:cstheme="majorBidi"/>
          <w:color w:val="000000" w:themeColor="text1"/>
          <w:szCs w:val="24"/>
        </w:rPr>
        <w:t xml:space="preserve">based on </w:t>
      </w:r>
      <w:r w:rsidR="00424E01" w:rsidRPr="004B36B2">
        <w:rPr>
          <w:rFonts w:asciiTheme="majorBidi" w:hAnsiTheme="majorBidi" w:cstheme="majorBidi"/>
          <w:color w:val="000000" w:themeColor="text1"/>
          <w:szCs w:val="24"/>
        </w:rPr>
        <w:t xml:space="preserve">a trend migration rate which </w:t>
      </w:r>
      <w:r w:rsidR="00F85ECC" w:rsidRPr="004B36B2">
        <w:rPr>
          <w:rFonts w:asciiTheme="majorBidi" w:hAnsiTheme="majorBidi" w:cstheme="majorBidi"/>
          <w:color w:val="000000" w:themeColor="text1"/>
          <w:szCs w:val="24"/>
        </w:rPr>
        <w:t xml:space="preserve">depends on </w:t>
      </w:r>
      <w:r w:rsidR="0054684B" w:rsidRPr="004B36B2">
        <w:rPr>
          <w:rFonts w:asciiTheme="majorBidi" w:hAnsiTheme="majorBidi" w:cstheme="majorBidi"/>
          <w:color w:val="000000" w:themeColor="text1"/>
          <w:szCs w:val="24"/>
        </w:rPr>
        <w:t>the</w:t>
      </w:r>
      <w:r w:rsidR="00424E01" w:rsidRPr="004B36B2">
        <w:rPr>
          <w:rFonts w:asciiTheme="majorBidi" w:hAnsiTheme="majorBidi" w:cstheme="majorBidi"/>
          <w:color w:val="000000" w:themeColor="text1"/>
          <w:szCs w:val="24"/>
        </w:rPr>
        <w:t xml:space="preserve"> </w:t>
      </w:r>
      <w:r w:rsidR="00854727" w:rsidRPr="004B36B2">
        <w:rPr>
          <w:rFonts w:asciiTheme="majorBidi" w:hAnsiTheme="majorBidi" w:cstheme="majorBidi"/>
          <w:color w:val="000000" w:themeColor="text1"/>
          <w:szCs w:val="24"/>
        </w:rPr>
        <w:t>baseline (</w:t>
      </w:r>
      <w:r w:rsidR="00F85ECC" w:rsidRPr="004B36B2">
        <w:rPr>
          <w:rFonts w:asciiTheme="majorBidi" w:hAnsiTheme="majorBidi" w:cstheme="majorBidi"/>
          <w:color w:val="000000" w:themeColor="text1"/>
          <w:szCs w:val="24"/>
        </w:rPr>
        <w:t xml:space="preserve">in </w:t>
      </w:r>
      <w:r w:rsidR="00854727" w:rsidRPr="004B36B2">
        <w:rPr>
          <w:rFonts w:asciiTheme="majorBidi" w:hAnsiTheme="majorBidi" w:cstheme="majorBidi"/>
          <w:color w:val="000000" w:themeColor="text1"/>
          <w:szCs w:val="24"/>
        </w:rPr>
        <w:t xml:space="preserve">2001) </w:t>
      </w:r>
      <w:r w:rsidRPr="004B36B2">
        <w:rPr>
          <w:rFonts w:asciiTheme="majorBidi" w:hAnsiTheme="majorBidi" w:cstheme="majorBidi"/>
          <w:color w:val="000000" w:themeColor="text1"/>
          <w:szCs w:val="24"/>
        </w:rPr>
        <w:t xml:space="preserve">village share of migrants </w:t>
      </w:r>
      <w:r w:rsidR="00F85ECC" w:rsidRPr="004B36B2">
        <w:rPr>
          <w:rFonts w:asciiTheme="majorBidi" w:hAnsiTheme="majorBidi" w:cstheme="majorBidi"/>
          <w:color w:val="000000" w:themeColor="text1"/>
          <w:szCs w:val="24"/>
        </w:rPr>
        <w:t>in</w:t>
      </w:r>
      <w:r w:rsidR="00876D59" w:rsidRPr="004B36B2">
        <w:rPr>
          <w:rFonts w:asciiTheme="majorBidi" w:hAnsiTheme="majorBidi" w:cstheme="majorBidi"/>
          <w:color w:val="000000" w:themeColor="text1"/>
          <w:szCs w:val="24"/>
        </w:rPr>
        <w:t xml:space="preserve"> each destination</w:t>
      </w:r>
      <w:r w:rsidR="004E4977" w:rsidRPr="004B36B2">
        <w:rPr>
          <w:rFonts w:asciiTheme="majorBidi" w:hAnsiTheme="majorBidi" w:cstheme="majorBidi"/>
          <w:color w:val="000000" w:themeColor="text1"/>
          <w:szCs w:val="24"/>
        </w:rPr>
        <w:t xml:space="preserve">. </w:t>
      </w:r>
      <w:r w:rsidR="004379D5" w:rsidRPr="004B36B2">
        <w:rPr>
          <w:rFonts w:asciiTheme="majorBidi" w:hAnsiTheme="majorBidi" w:cstheme="majorBidi"/>
          <w:color w:val="000000" w:themeColor="text1"/>
          <w:szCs w:val="24"/>
        </w:rPr>
        <w:t>We assum</w:t>
      </w:r>
      <w:r w:rsidR="00947992" w:rsidRPr="004B36B2">
        <w:rPr>
          <w:rFonts w:asciiTheme="majorBidi" w:hAnsiTheme="majorBidi" w:cstheme="majorBidi"/>
          <w:color w:val="000000" w:themeColor="text1"/>
          <w:szCs w:val="24"/>
        </w:rPr>
        <w:t xml:space="preserve">e </w:t>
      </w:r>
      <w:r w:rsidR="004379D5" w:rsidRPr="004B36B2">
        <w:rPr>
          <w:rFonts w:asciiTheme="majorBidi" w:hAnsiTheme="majorBidi" w:cstheme="majorBidi"/>
          <w:color w:val="000000" w:themeColor="text1"/>
          <w:szCs w:val="24"/>
        </w:rPr>
        <w:t xml:space="preserve">that </w:t>
      </w:r>
      <w:r w:rsidR="00F85ECC" w:rsidRPr="004B36B2">
        <w:rPr>
          <w:rFonts w:asciiTheme="majorBidi" w:hAnsiTheme="majorBidi" w:cstheme="majorBidi"/>
          <w:color w:val="000000" w:themeColor="text1"/>
          <w:szCs w:val="24"/>
        </w:rPr>
        <w:t>a</w:t>
      </w:r>
      <w:r w:rsidR="00B75A8E" w:rsidRPr="004B36B2">
        <w:rPr>
          <w:rFonts w:asciiTheme="majorBidi" w:hAnsiTheme="majorBidi" w:cstheme="majorBidi"/>
          <w:color w:val="000000" w:themeColor="text1"/>
          <w:szCs w:val="24"/>
        </w:rPr>
        <w:t xml:space="preserve"> demand shock</w:t>
      </w:r>
      <w:r w:rsidR="00472BCA" w:rsidRPr="004B36B2">
        <w:rPr>
          <w:rFonts w:asciiTheme="majorBidi" w:hAnsiTheme="majorBidi" w:cstheme="majorBidi"/>
          <w:color w:val="000000" w:themeColor="text1"/>
          <w:szCs w:val="24"/>
        </w:rPr>
        <w:t xml:space="preserve"> (change in demand</w:t>
      </w:r>
      <w:r w:rsidRPr="004B36B2">
        <w:rPr>
          <w:rFonts w:asciiTheme="majorBidi" w:hAnsiTheme="majorBidi" w:cstheme="majorBidi"/>
          <w:color w:val="000000" w:themeColor="text1"/>
          <w:szCs w:val="24"/>
        </w:rPr>
        <w:t xml:space="preserve"> for migrants</w:t>
      </w:r>
      <w:r w:rsidR="00472BCA" w:rsidRPr="004B36B2">
        <w:rPr>
          <w:rFonts w:asciiTheme="majorBidi" w:hAnsiTheme="majorBidi" w:cstheme="majorBidi"/>
          <w:color w:val="000000" w:themeColor="text1"/>
          <w:szCs w:val="24"/>
        </w:rPr>
        <w:t>)</w:t>
      </w:r>
      <w:r w:rsidR="00B75A8E" w:rsidRPr="004B36B2">
        <w:rPr>
          <w:rFonts w:asciiTheme="majorBidi" w:hAnsiTheme="majorBidi" w:cstheme="majorBidi"/>
          <w:color w:val="000000" w:themeColor="text1"/>
          <w:szCs w:val="24"/>
        </w:rPr>
        <w:t xml:space="preserve"> in the destination </w:t>
      </w:r>
      <w:r w:rsidR="00947992" w:rsidRPr="004B36B2">
        <w:rPr>
          <w:rFonts w:asciiTheme="majorBidi" w:hAnsiTheme="majorBidi" w:cstheme="majorBidi"/>
          <w:color w:val="000000" w:themeColor="text1"/>
          <w:szCs w:val="24"/>
        </w:rPr>
        <w:t>would primarily affect village</w:t>
      </w:r>
      <w:r w:rsidRPr="004B36B2">
        <w:rPr>
          <w:rFonts w:asciiTheme="majorBidi" w:hAnsiTheme="majorBidi" w:cstheme="majorBidi"/>
          <w:color w:val="000000" w:themeColor="text1"/>
          <w:szCs w:val="24"/>
        </w:rPr>
        <w:t>s</w:t>
      </w:r>
      <w:r w:rsidR="00044035"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with stronger pre-existing migrant network</w:t>
      </w:r>
      <w:r w:rsidR="00686F18" w:rsidRPr="004B36B2">
        <w:rPr>
          <w:rFonts w:asciiTheme="majorBidi" w:hAnsiTheme="majorBidi" w:cstheme="majorBidi"/>
          <w:color w:val="000000" w:themeColor="text1"/>
          <w:szCs w:val="24"/>
        </w:rPr>
        <w:t>s</w:t>
      </w:r>
      <w:r w:rsidR="00F85ECC" w:rsidRPr="004B36B2">
        <w:rPr>
          <w:rFonts w:asciiTheme="majorBidi" w:hAnsiTheme="majorBidi" w:cstheme="majorBidi"/>
          <w:color w:val="000000" w:themeColor="text1"/>
          <w:szCs w:val="24"/>
        </w:rPr>
        <w:t xml:space="preserve"> to</w:t>
      </w:r>
      <w:r w:rsidRPr="004B36B2">
        <w:rPr>
          <w:rFonts w:asciiTheme="majorBidi" w:hAnsiTheme="majorBidi" w:cstheme="majorBidi"/>
          <w:color w:val="000000" w:themeColor="text1"/>
          <w:szCs w:val="24"/>
        </w:rPr>
        <w:t xml:space="preserve"> that</w:t>
      </w:r>
      <w:r w:rsidR="00044035" w:rsidRPr="004B36B2">
        <w:rPr>
          <w:rFonts w:asciiTheme="majorBidi" w:hAnsiTheme="majorBidi" w:cstheme="majorBidi"/>
          <w:color w:val="000000" w:themeColor="text1"/>
          <w:szCs w:val="24"/>
        </w:rPr>
        <w:t xml:space="preserve"> destination. The </w:t>
      </w:r>
      <w:r w:rsidR="00222782" w:rsidRPr="004B36B2">
        <w:rPr>
          <w:rFonts w:asciiTheme="majorBidi" w:hAnsiTheme="majorBidi" w:cstheme="majorBidi"/>
          <w:color w:val="000000" w:themeColor="text1"/>
          <w:szCs w:val="24"/>
        </w:rPr>
        <w:t>variation in</w:t>
      </w:r>
      <w:r w:rsidR="003452D4" w:rsidRPr="004B36B2">
        <w:rPr>
          <w:rFonts w:asciiTheme="majorBidi" w:hAnsiTheme="majorBidi" w:cstheme="majorBidi"/>
          <w:color w:val="000000" w:themeColor="text1"/>
          <w:szCs w:val="24"/>
        </w:rPr>
        <w:t xml:space="preserve"> predicted migration rate</w:t>
      </w:r>
      <w:r w:rsidRPr="004B36B2">
        <w:rPr>
          <w:rFonts w:asciiTheme="majorBidi" w:hAnsiTheme="majorBidi" w:cstheme="majorBidi"/>
          <w:color w:val="000000" w:themeColor="text1"/>
          <w:szCs w:val="24"/>
        </w:rPr>
        <w:t>s</w:t>
      </w:r>
      <w:r w:rsidR="003452D4" w:rsidRPr="004B36B2">
        <w:rPr>
          <w:rFonts w:asciiTheme="majorBidi" w:hAnsiTheme="majorBidi" w:cstheme="majorBidi"/>
          <w:color w:val="000000" w:themeColor="text1"/>
          <w:szCs w:val="24"/>
        </w:rPr>
        <w:t xml:space="preserve"> </w:t>
      </w:r>
      <w:r w:rsidR="00044035" w:rsidRPr="004B36B2">
        <w:rPr>
          <w:rFonts w:asciiTheme="majorBidi" w:hAnsiTheme="majorBidi" w:cstheme="majorBidi"/>
          <w:color w:val="000000" w:themeColor="text1"/>
          <w:szCs w:val="24"/>
        </w:rPr>
        <w:t xml:space="preserve">is determined by the factors outside </w:t>
      </w:r>
      <w:r w:rsidRPr="004B36B2">
        <w:rPr>
          <w:rFonts w:asciiTheme="majorBidi" w:hAnsiTheme="majorBidi" w:cstheme="majorBidi"/>
          <w:color w:val="000000" w:themeColor="text1"/>
          <w:szCs w:val="24"/>
        </w:rPr>
        <w:t>of Nepal</w:t>
      </w:r>
      <w:r w:rsidR="00044035" w:rsidRPr="004B36B2">
        <w:rPr>
          <w:rFonts w:asciiTheme="majorBidi" w:hAnsiTheme="majorBidi" w:cstheme="majorBidi"/>
          <w:color w:val="000000" w:themeColor="text1"/>
          <w:szCs w:val="24"/>
        </w:rPr>
        <w:t xml:space="preserve">, and </w:t>
      </w:r>
      <w:r w:rsidRPr="004B36B2">
        <w:rPr>
          <w:rFonts w:asciiTheme="majorBidi" w:hAnsiTheme="majorBidi" w:cstheme="majorBidi"/>
          <w:color w:val="000000" w:themeColor="text1"/>
          <w:szCs w:val="24"/>
        </w:rPr>
        <w:t xml:space="preserve">so </w:t>
      </w:r>
      <w:r w:rsidR="002F4E7E" w:rsidRPr="004B36B2">
        <w:rPr>
          <w:rFonts w:asciiTheme="majorBidi" w:hAnsiTheme="majorBidi" w:cstheme="majorBidi"/>
          <w:color w:val="000000" w:themeColor="text1"/>
          <w:szCs w:val="24"/>
        </w:rPr>
        <w:t xml:space="preserve">such </w:t>
      </w:r>
      <w:r w:rsidRPr="004B36B2">
        <w:rPr>
          <w:rFonts w:asciiTheme="majorBidi" w:hAnsiTheme="majorBidi" w:cstheme="majorBidi"/>
          <w:color w:val="000000" w:themeColor="text1"/>
          <w:szCs w:val="24"/>
        </w:rPr>
        <w:t xml:space="preserve">factors should only </w:t>
      </w:r>
      <w:r w:rsidR="002F4E7E" w:rsidRPr="004B36B2">
        <w:rPr>
          <w:rFonts w:asciiTheme="majorBidi" w:hAnsiTheme="majorBidi" w:cstheme="majorBidi"/>
          <w:color w:val="000000" w:themeColor="text1"/>
          <w:szCs w:val="24"/>
        </w:rPr>
        <w:t xml:space="preserve">affect </w:t>
      </w:r>
      <w:r w:rsidR="002F4E7E" w:rsidRPr="004B36B2">
        <w:rPr>
          <w:rFonts w:asciiTheme="majorBidi" w:hAnsiTheme="majorBidi" w:cstheme="majorBidi"/>
          <w:noProof/>
          <w:color w:val="000000" w:themeColor="text1"/>
          <w:szCs w:val="24"/>
        </w:rPr>
        <w:t>child</w:t>
      </w:r>
      <w:r w:rsidR="002F4E7E" w:rsidRPr="004B36B2">
        <w:rPr>
          <w:rFonts w:asciiTheme="majorBidi" w:hAnsiTheme="majorBidi" w:cstheme="majorBidi"/>
          <w:color w:val="000000" w:themeColor="text1"/>
          <w:szCs w:val="24"/>
        </w:rPr>
        <w:t xml:space="preserve"> schooling and </w:t>
      </w:r>
      <w:r w:rsidR="00D878CF" w:rsidRPr="004B36B2">
        <w:rPr>
          <w:rFonts w:asciiTheme="majorBidi" w:hAnsiTheme="majorBidi" w:cstheme="majorBidi"/>
          <w:color w:val="000000" w:themeColor="text1"/>
          <w:szCs w:val="24"/>
        </w:rPr>
        <w:t>child</w:t>
      </w:r>
      <w:r w:rsidRPr="004B36B2">
        <w:rPr>
          <w:rFonts w:asciiTheme="majorBidi" w:hAnsiTheme="majorBidi" w:cstheme="majorBidi"/>
          <w:color w:val="000000" w:themeColor="text1"/>
          <w:szCs w:val="24"/>
        </w:rPr>
        <w:t xml:space="preserve"> labour in Nepal through the migration and remittances channel</w:t>
      </w:r>
      <w:r w:rsidR="002F4E7E" w:rsidRPr="004B36B2">
        <w:rPr>
          <w:rFonts w:asciiTheme="majorBidi" w:hAnsiTheme="majorBidi" w:cstheme="majorBidi"/>
          <w:color w:val="000000" w:themeColor="text1"/>
          <w:szCs w:val="24"/>
        </w:rPr>
        <w:t xml:space="preserve">. </w:t>
      </w:r>
    </w:p>
    <w:p w14:paraId="123F4EB4" w14:textId="77777777" w:rsidR="009D22DE" w:rsidRPr="00E54F60" w:rsidRDefault="009D22DE" w:rsidP="00283A3C">
      <w:pPr>
        <w:spacing w:line="288" w:lineRule="auto"/>
        <w:ind w:firstLine="720"/>
        <w:jc w:val="both"/>
        <w:rPr>
          <w:rFonts w:asciiTheme="majorBidi" w:hAnsiTheme="majorBidi" w:cstheme="majorBidi"/>
          <w:color w:val="000000" w:themeColor="text1"/>
          <w:sz w:val="20"/>
          <w:szCs w:val="20"/>
        </w:rPr>
      </w:pPr>
    </w:p>
    <w:p w14:paraId="66B015C9" w14:textId="7F969730" w:rsidR="00B01441" w:rsidRDefault="00A11923"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We use two </w:t>
      </w:r>
      <w:r w:rsidRPr="004B36B2">
        <w:rPr>
          <w:rFonts w:asciiTheme="majorBidi" w:hAnsiTheme="majorBidi" w:cstheme="majorBidi"/>
          <w:noProof/>
          <w:color w:val="000000" w:themeColor="text1"/>
          <w:szCs w:val="24"/>
        </w:rPr>
        <w:t>nationally</w:t>
      </w:r>
      <w:r w:rsidRPr="004B36B2">
        <w:rPr>
          <w:rFonts w:asciiTheme="majorBidi" w:hAnsiTheme="majorBidi" w:cstheme="majorBidi"/>
          <w:color w:val="000000" w:themeColor="text1"/>
          <w:szCs w:val="24"/>
        </w:rPr>
        <w:t xml:space="preserve"> representative household survey</w:t>
      </w:r>
      <w:r w:rsidR="00B01441" w:rsidRPr="004B36B2">
        <w:rPr>
          <w:rFonts w:asciiTheme="majorBidi" w:hAnsiTheme="majorBidi" w:cstheme="majorBidi"/>
          <w:color w:val="000000" w:themeColor="text1"/>
          <w:szCs w:val="24"/>
        </w:rPr>
        <w:t>s</w:t>
      </w:r>
      <w:r w:rsidR="00920BF4">
        <w:rPr>
          <w:rFonts w:asciiTheme="majorBidi" w:hAnsiTheme="majorBidi" w:cstheme="majorBidi"/>
          <w:color w:val="000000" w:themeColor="text1"/>
          <w:szCs w:val="24"/>
        </w:rPr>
        <w:t xml:space="preserve"> - the </w:t>
      </w:r>
      <w:r w:rsidRPr="004B36B2">
        <w:rPr>
          <w:rFonts w:asciiTheme="majorBidi" w:hAnsiTheme="majorBidi" w:cstheme="majorBidi"/>
          <w:color w:val="000000" w:themeColor="text1"/>
          <w:szCs w:val="24"/>
        </w:rPr>
        <w:t xml:space="preserve">National Labour Force Survey 2008 and </w:t>
      </w:r>
      <w:r w:rsidR="00920BF4">
        <w:rPr>
          <w:rFonts w:asciiTheme="majorBidi" w:hAnsiTheme="majorBidi" w:cstheme="majorBidi"/>
          <w:color w:val="000000" w:themeColor="text1"/>
          <w:szCs w:val="24"/>
        </w:rPr>
        <w:t xml:space="preserve">the </w:t>
      </w:r>
      <w:r w:rsidRPr="004B36B2">
        <w:rPr>
          <w:rFonts w:asciiTheme="majorBidi" w:hAnsiTheme="majorBidi" w:cstheme="majorBidi"/>
          <w:color w:val="000000" w:themeColor="text1"/>
          <w:szCs w:val="24"/>
        </w:rPr>
        <w:t>National Living Standard Survey 2010</w:t>
      </w:r>
      <w:r w:rsidR="00885731" w:rsidRPr="004B36B2">
        <w:rPr>
          <w:rFonts w:asciiTheme="majorBidi" w:hAnsiTheme="majorBidi" w:cstheme="majorBidi"/>
          <w:color w:val="000000" w:themeColor="text1"/>
          <w:szCs w:val="24"/>
        </w:rPr>
        <w:t xml:space="preserve"> </w:t>
      </w:r>
      <w:r w:rsidR="00920BF4">
        <w:rPr>
          <w:rFonts w:asciiTheme="majorBidi" w:hAnsiTheme="majorBidi" w:cstheme="majorBidi"/>
          <w:color w:val="000000" w:themeColor="text1"/>
          <w:szCs w:val="24"/>
        </w:rPr>
        <w:t>-</w:t>
      </w:r>
      <w:r w:rsidR="00B01441" w:rsidRPr="004B36B2">
        <w:rPr>
          <w:rFonts w:asciiTheme="majorBidi" w:hAnsiTheme="majorBidi" w:cstheme="majorBidi"/>
          <w:color w:val="000000" w:themeColor="text1"/>
          <w:szCs w:val="24"/>
        </w:rPr>
        <w:t xml:space="preserve"> to </w:t>
      </w:r>
      <w:r w:rsidR="00885731" w:rsidRPr="004B36B2">
        <w:rPr>
          <w:rFonts w:asciiTheme="majorBidi" w:hAnsiTheme="majorBidi" w:cstheme="majorBidi"/>
          <w:color w:val="000000" w:themeColor="text1"/>
          <w:szCs w:val="24"/>
        </w:rPr>
        <w:t>constru</w:t>
      </w:r>
      <w:r w:rsidR="00AF4CE2" w:rsidRPr="004B36B2">
        <w:rPr>
          <w:rFonts w:asciiTheme="majorBidi" w:hAnsiTheme="majorBidi" w:cstheme="majorBidi"/>
          <w:color w:val="000000" w:themeColor="text1"/>
          <w:szCs w:val="24"/>
        </w:rPr>
        <w:t>ct a two</w:t>
      </w:r>
      <w:r w:rsidR="007C777A" w:rsidRPr="004B36B2">
        <w:rPr>
          <w:rFonts w:asciiTheme="majorBidi" w:hAnsiTheme="majorBidi" w:cstheme="majorBidi"/>
          <w:color w:val="000000" w:themeColor="text1"/>
          <w:szCs w:val="24"/>
        </w:rPr>
        <w:t>-</w:t>
      </w:r>
      <w:r w:rsidR="00AF4CE2" w:rsidRPr="004B36B2">
        <w:rPr>
          <w:rFonts w:asciiTheme="majorBidi" w:hAnsiTheme="majorBidi" w:cstheme="majorBidi"/>
          <w:color w:val="000000" w:themeColor="text1"/>
          <w:szCs w:val="24"/>
        </w:rPr>
        <w:t xml:space="preserve">period </w:t>
      </w:r>
      <w:r w:rsidR="00B01441" w:rsidRPr="004B36B2">
        <w:rPr>
          <w:rFonts w:asciiTheme="majorBidi" w:hAnsiTheme="majorBidi" w:cstheme="majorBidi"/>
          <w:color w:val="000000" w:themeColor="text1"/>
          <w:szCs w:val="24"/>
        </w:rPr>
        <w:t xml:space="preserve">village-level </w:t>
      </w:r>
      <w:r w:rsidR="00AF4CE2" w:rsidRPr="004B36B2">
        <w:rPr>
          <w:rFonts w:asciiTheme="majorBidi" w:hAnsiTheme="majorBidi" w:cstheme="majorBidi"/>
          <w:color w:val="000000" w:themeColor="text1"/>
          <w:szCs w:val="24"/>
        </w:rPr>
        <w:t>panel</w:t>
      </w:r>
      <w:r w:rsidRPr="004B36B2">
        <w:rPr>
          <w:rFonts w:asciiTheme="majorBidi" w:hAnsiTheme="majorBidi" w:cstheme="majorBidi"/>
          <w:color w:val="000000" w:themeColor="text1"/>
          <w:szCs w:val="24"/>
        </w:rPr>
        <w:t>.</w:t>
      </w:r>
      <w:r w:rsidR="00DF496D" w:rsidRPr="004B36B2">
        <w:rPr>
          <w:rFonts w:asciiTheme="majorBidi" w:hAnsiTheme="majorBidi" w:cstheme="majorBidi"/>
          <w:color w:val="000000" w:themeColor="text1"/>
          <w:szCs w:val="24"/>
        </w:rPr>
        <w:t xml:space="preserve"> We find that </w:t>
      </w:r>
      <w:r w:rsidR="00927DC3" w:rsidRPr="004B36B2">
        <w:rPr>
          <w:rFonts w:asciiTheme="majorBidi" w:hAnsiTheme="majorBidi" w:cstheme="majorBidi"/>
          <w:noProof/>
          <w:color w:val="000000" w:themeColor="text1"/>
          <w:szCs w:val="24"/>
        </w:rPr>
        <w:t>migration</w:t>
      </w:r>
      <w:r w:rsidR="00927DC3" w:rsidRPr="004B36B2">
        <w:rPr>
          <w:rFonts w:asciiTheme="majorBidi" w:hAnsiTheme="majorBidi" w:cstheme="majorBidi"/>
          <w:color w:val="000000" w:themeColor="text1"/>
          <w:szCs w:val="24"/>
        </w:rPr>
        <w:t xml:space="preserve"> increas</w:t>
      </w:r>
      <w:r w:rsidR="002C44BC" w:rsidRPr="004B36B2">
        <w:rPr>
          <w:rFonts w:asciiTheme="majorBidi" w:hAnsiTheme="majorBidi" w:cstheme="majorBidi"/>
          <w:color w:val="000000" w:themeColor="text1"/>
          <w:szCs w:val="24"/>
        </w:rPr>
        <w:t>es</w:t>
      </w:r>
      <w:r w:rsidR="00B01441" w:rsidRPr="004B36B2">
        <w:rPr>
          <w:rFonts w:asciiTheme="majorBidi" w:hAnsiTheme="majorBidi" w:cstheme="majorBidi"/>
          <w:color w:val="000000" w:themeColor="text1"/>
          <w:szCs w:val="24"/>
        </w:rPr>
        <w:t xml:space="preserve"> </w:t>
      </w:r>
      <w:r w:rsidR="00927DC3" w:rsidRPr="004B36B2">
        <w:rPr>
          <w:rFonts w:asciiTheme="majorBidi" w:hAnsiTheme="majorBidi" w:cstheme="majorBidi"/>
          <w:color w:val="000000" w:themeColor="text1"/>
          <w:szCs w:val="24"/>
        </w:rPr>
        <w:t>net enrolment</w:t>
      </w:r>
      <w:r w:rsidR="00E2366B" w:rsidRPr="004B36B2">
        <w:rPr>
          <w:rFonts w:asciiTheme="majorBidi" w:hAnsiTheme="majorBidi" w:cstheme="majorBidi"/>
          <w:color w:val="000000" w:themeColor="text1"/>
          <w:szCs w:val="24"/>
        </w:rPr>
        <w:t xml:space="preserve"> </w:t>
      </w:r>
      <w:r w:rsidR="00177331" w:rsidRPr="004B36B2">
        <w:rPr>
          <w:rFonts w:asciiTheme="majorBidi" w:hAnsiTheme="majorBidi" w:cstheme="majorBidi"/>
          <w:color w:val="000000" w:themeColor="text1"/>
          <w:szCs w:val="24"/>
        </w:rPr>
        <w:t xml:space="preserve">rate </w:t>
      </w:r>
      <w:r w:rsidR="00B01441" w:rsidRPr="004B36B2">
        <w:rPr>
          <w:rFonts w:asciiTheme="majorBidi" w:hAnsiTheme="majorBidi" w:cstheme="majorBidi"/>
          <w:color w:val="000000" w:themeColor="text1"/>
          <w:szCs w:val="24"/>
        </w:rPr>
        <w:t>in</w:t>
      </w:r>
      <w:r w:rsidR="00927DC3" w:rsidRPr="004B36B2">
        <w:rPr>
          <w:rFonts w:asciiTheme="majorBidi" w:hAnsiTheme="majorBidi" w:cstheme="majorBidi"/>
          <w:color w:val="000000" w:themeColor="text1"/>
          <w:szCs w:val="24"/>
        </w:rPr>
        <w:t xml:space="preserve"> secondary education</w:t>
      </w:r>
      <w:r w:rsidR="00E2366B" w:rsidRPr="004B36B2">
        <w:rPr>
          <w:rFonts w:asciiTheme="majorBidi" w:hAnsiTheme="majorBidi" w:cstheme="majorBidi"/>
          <w:color w:val="000000" w:themeColor="text1"/>
          <w:szCs w:val="24"/>
        </w:rPr>
        <w:t xml:space="preserve">, and this positive effect </w:t>
      </w:r>
      <w:r w:rsidR="00B01441" w:rsidRPr="004B36B2">
        <w:rPr>
          <w:rFonts w:asciiTheme="majorBidi" w:hAnsiTheme="majorBidi" w:cstheme="majorBidi"/>
          <w:color w:val="000000" w:themeColor="text1"/>
          <w:szCs w:val="24"/>
        </w:rPr>
        <w:t xml:space="preserve">occurs </w:t>
      </w:r>
      <w:r w:rsidR="002D41AE" w:rsidRPr="004B36B2">
        <w:rPr>
          <w:rFonts w:asciiTheme="majorBidi" w:hAnsiTheme="majorBidi" w:cstheme="majorBidi"/>
          <w:color w:val="000000" w:themeColor="text1"/>
          <w:szCs w:val="24"/>
        </w:rPr>
        <w:t xml:space="preserve">through </w:t>
      </w:r>
      <w:r w:rsidR="00B01441" w:rsidRPr="004B36B2">
        <w:rPr>
          <w:rFonts w:asciiTheme="majorBidi" w:hAnsiTheme="majorBidi" w:cstheme="majorBidi"/>
          <w:color w:val="000000" w:themeColor="text1"/>
          <w:szCs w:val="24"/>
        </w:rPr>
        <w:t xml:space="preserve">reduced </w:t>
      </w:r>
      <w:r w:rsidR="00305C66" w:rsidRPr="004B36B2">
        <w:rPr>
          <w:rFonts w:asciiTheme="majorBidi" w:hAnsiTheme="majorBidi" w:cstheme="majorBidi"/>
          <w:color w:val="000000" w:themeColor="text1"/>
          <w:szCs w:val="24"/>
        </w:rPr>
        <w:t xml:space="preserve">child </w:t>
      </w:r>
      <w:r w:rsidR="00B01441" w:rsidRPr="004B36B2">
        <w:rPr>
          <w:rFonts w:asciiTheme="majorBidi" w:hAnsiTheme="majorBidi" w:cstheme="majorBidi"/>
          <w:color w:val="000000" w:themeColor="text1"/>
          <w:szCs w:val="24"/>
        </w:rPr>
        <w:t xml:space="preserve">labour </w:t>
      </w:r>
      <w:r w:rsidR="00F85ECC" w:rsidRPr="004B36B2">
        <w:rPr>
          <w:rFonts w:asciiTheme="majorBidi" w:hAnsiTheme="majorBidi" w:cstheme="majorBidi"/>
          <w:color w:val="000000" w:themeColor="text1"/>
          <w:szCs w:val="24"/>
        </w:rPr>
        <w:t xml:space="preserve">for </w:t>
      </w:r>
      <w:r w:rsidR="00B01441" w:rsidRPr="004B36B2">
        <w:rPr>
          <w:rFonts w:asciiTheme="majorBidi" w:hAnsiTheme="majorBidi" w:cstheme="majorBidi"/>
          <w:color w:val="000000" w:themeColor="text1"/>
          <w:szCs w:val="24"/>
        </w:rPr>
        <w:t xml:space="preserve">those </w:t>
      </w:r>
      <w:r w:rsidR="00E2366B" w:rsidRPr="004B36B2">
        <w:rPr>
          <w:rFonts w:asciiTheme="majorBidi" w:hAnsiTheme="majorBidi" w:cstheme="majorBidi"/>
          <w:color w:val="000000" w:themeColor="text1"/>
          <w:szCs w:val="24"/>
        </w:rPr>
        <w:t>aged 11-16.</w:t>
      </w:r>
      <w:r w:rsidR="00405AB4"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One pathway through which this effect could occur is that m</w:t>
      </w:r>
      <w:r w:rsidR="00B01441" w:rsidRPr="004B36B2">
        <w:rPr>
          <w:rFonts w:asciiTheme="majorBidi" w:hAnsiTheme="majorBidi" w:cstheme="majorBidi"/>
          <w:color w:val="000000" w:themeColor="text1"/>
          <w:szCs w:val="24"/>
        </w:rPr>
        <w:t>igration and remittances help credit constrained</w:t>
      </w:r>
      <w:r w:rsidR="004979F1" w:rsidRPr="004B36B2">
        <w:rPr>
          <w:rFonts w:asciiTheme="majorBidi" w:hAnsiTheme="majorBidi" w:cstheme="majorBidi"/>
          <w:color w:val="000000" w:themeColor="text1"/>
          <w:szCs w:val="24"/>
        </w:rPr>
        <w:t xml:space="preserve"> household</w:t>
      </w:r>
      <w:r w:rsidR="007C777A" w:rsidRPr="004B36B2">
        <w:rPr>
          <w:rFonts w:asciiTheme="majorBidi" w:hAnsiTheme="majorBidi" w:cstheme="majorBidi"/>
          <w:color w:val="000000" w:themeColor="text1"/>
          <w:szCs w:val="24"/>
        </w:rPr>
        <w:t>s</w:t>
      </w:r>
      <w:r w:rsidR="002C44BC" w:rsidRPr="004B36B2">
        <w:rPr>
          <w:rFonts w:asciiTheme="majorBidi" w:hAnsiTheme="majorBidi" w:cstheme="majorBidi"/>
          <w:color w:val="000000" w:themeColor="text1"/>
          <w:szCs w:val="24"/>
        </w:rPr>
        <w:t xml:space="preserve"> </w:t>
      </w:r>
      <w:r w:rsidR="002F54A9" w:rsidRPr="004B36B2">
        <w:rPr>
          <w:rFonts w:asciiTheme="majorBidi" w:hAnsiTheme="majorBidi" w:cstheme="majorBidi"/>
          <w:color w:val="000000" w:themeColor="text1"/>
          <w:szCs w:val="24"/>
        </w:rPr>
        <w:t xml:space="preserve">to </w:t>
      </w:r>
      <w:r w:rsidR="004979F1" w:rsidRPr="004B36B2">
        <w:rPr>
          <w:rFonts w:asciiTheme="majorBidi" w:hAnsiTheme="majorBidi" w:cstheme="majorBidi"/>
          <w:color w:val="000000" w:themeColor="text1"/>
          <w:szCs w:val="24"/>
        </w:rPr>
        <w:t>cover schooling cost</w:t>
      </w:r>
      <w:r w:rsidR="00B01441" w:rsidRPr="004B36B2">
        <w:rPr>
          <w:rFonts w:asciiTheme="majorBidi" w:hAnsiTheme="majorBidi" w:cstheme="majorBidi"/>
          <w:color w:val="000000" w:themeColor="text1"/>
          <w:szCs w:val="24"/>
        </w:rPr>
        <w:t>s</w:t>
      </w:r>
      <w:r w:rsidR="004979F1" w:rsidRPr="004B36B2">
        <w:rPr>
          <w:rFonts w:asciiTheme="majorBidi" w:hAnsiTheme="majorBidi" w:cstheme="majorBidi"/>
          <w:color w:val="000000" w:themeColor="text1"/>
          <w:szCs w:val="24"/>
        </w:rPr>
        <w:t xml:space="preserve"> and compensate </w:t>
      </w:r>
      <w:r w:rsidR="00B01441" w:rsidRPr="004B36B2">
        <w:rPr>
          <w:rFonts w:asciiTheme="majorBidi" w:hAnsiTheme="majorBidi" w:cstheme="majorBidi"/>
          <w:color w:val="000000" w:themeColor="text1"/>
          <w:szCs w:val="24"/>
        </w:rPr>
        <w:t xml:space="preserve">for </w:t>
      </w:r>
      <w:r w:rsidR="00235D76" w:rsidRPr="004B36B2">
        <w:rPr>
          <w:rFonts w:asciiTheme="majorBidi" w:hAnsiTheme="majorBidi" w:cstheme="majorBidi"/>
          <w:color w:val="000000" w:themeColor="text1"/>
          <w:szCs w:val="24"/>
        </w:rPr>
        <w:t xml:space="preserve">the </w:t>
      </w:r>
      <w:r w:rsidR="00B01441" w:rsidRPr="004B36B2">
        <w:rPr>
          <w:rFonts w:asciiTheme="majorBidi" w:hAnsiTheme="majorBidi" w:cstheme="majorBidi"/>
          <w:color w:val="000000" w:themeColor="text1"/>
          <w:szCs w:val="24"/>
        </w:rPr>
        <w:t xml:space="preserve">foregone earnings from child </w:t>
      </w:r>
      <w:r w:rsidR="00405AB4" w:rsidRPr="004B36B2">
        <w:rPr>
          <w:rFonts w:asciiTheme="majorBidi" w:hAnsiTheme="majorBidi" w:cstheme="majorBidi"/>
          <w:color w:val="000000" w:themeColor="text1"/>
          <w:szCs w:val="24"/>
        </w:rPr>
        <w:t>labour</w:t>
      </w:r>
      <w:r w:rsidR="004979F1" w:rsidRPr="004B36B2">
        <w:rPr>
          <w:rFonts w:asciiTheme="majorBidi" w:hAnsiTheme="majorBidi" w:cstheme="majorBidi"/>
          <w:color w:val="000000" w:themeColor="text1"/>
          <w:szCs w:val="24"/>
        </w:rPr>
        <w:t>.</w:t>
      </w:r>
      <w:r w:rsidR="002D41AE" w:rsidRPr="004B36B2">
        <w:rPr>
          <w:rFonts w:asciiTheme="majorBidi" w:hAnsiTheme="majorBidi" w:cstheme="majorBidi"/>
          <w:color w:val="000000" w:themeColor="text1"/>
          <w:szCs w:val="24"/>
        </w:rPr>
        <w:t xml:space="preserve"> </w:t>
      </w:r>
      <w:r w:rsidR="00B01441" w:rsidRPr="004B36B2">
        <w:rPr>
          <w:rFonts w:asciiTheme="majorBidi" w:hAnsiTheme="majorBidi" w:cstheme="majorBidi"/>
          <w:color w:val="000000" w:themeColor="text1"/>
          <w:szCs w:val="24"/>
        </w:rPr>
        <w:t>Yet the</w:t>
      </w:r>
      <w:r w:rsidR="0028365A" w:rsidRPr="004B36B2">
        <w:rPr>
          <w:rFonts w:asciiTheme="majorBidi" w:hAnsiTheme="majorBidi" w:cstheme="majorBidi"/>
          <w:color w:val="000000" w:themeColor="text1"/>
          <w:szCs w:val="24"/>
        </w:rPr>
        <w:t xml:space="preserve"> opposite picture </w:t>
      </w:r>
      <w:r w:rsidR="00B01441" w:rsidRPr="004B36B2">
        <w:rPr>
          <w:rFonts w:asciiTheme="majorBidi" w:hAnsiTheme="majorBidi" w:cstheme="majorBidi"/>
          <w:color w:val="000000" w:themeColor="text1"/>
          <w:szCs w:val="24"/>
        </w:rPr>
        <w:t>would emerge</w:t>
      </w:r>
      <w:r w:rsidR="0028365A" w:rsidRPr="004B36B2">
        <w:rPr>
          <w:rFonts w:asciiTheme="majorBidi" w:hAnsiTheme="majorBidi" w:cstheme="majorBidi"/>
          <w:color w:val="000000" w:themeColor="text1"/>
          <w:szCs w:val="24"/>
        </w:rPr>
        <w:t xml:space="preserve"> </w:t>
      </w:r>
      <w:r w:rsidR="00B01441" w:rsidRPr="004B36B2">
        <w:rPr>
          <w:rFonts w:asciiTheme="majorBidi" w:hAnsiTheme="majorBidi" w:cstheme="majorBidi"/>
          <w:color w:val="000000" w:themeColor="text1"/>
          <w:szCs w:val="24"/>
        </w:rPr>
        <w:t xml:space="preserve">if </w:t>
      </w:r>
      <w:r w:rsidR="0028365A" w:rsidRPr="004B36B2">
        <w:rPr>
          <w:rFonts w:asciiTheme="majorBidi" w:hAnsiTheme="majorBidi" w:cstheme="majorBidi"/>
          <w:color w:val="000000" w:themeColor="text1"/>
          <w:szCs w:val="24"/>
        </w:rPr>
        <w:t xml:space="preserve">we </w:t>
      </w:r>
      <w:r w:rsidR="00B01441" w:rsidRPr="004B36B2">
        <w:rPr>
          <w:rFonts w:asciiTheme="majorBidi" w:hAnsiTheme="majorBidi" w:cstheme="majorBidi"/>
          <w:color w:val="000000" w:themeColor="text1"/>
          <w:szCs w:val="24"/>
        </w:rPr>
        <w:t xml:space="preserve">were to just </w:t>
      </w:r>
      <w:r w:rsidR="0028365A" w:rsidRPr="004B36B2">
        <w:rPr>
          <w:rFonts w:asciiTheme="majorBidi" w:hAnsiTheme="majorBidi" w:cstheme="majorBidi"/>
          <w:color w:val="000000" w:themeColor="text1"/>
          <w:szCs w:val="24"/>
        </w:rPr>
        <w:t>estimate effect</w:t>
      </w:r>
      <w:r w:rsidR="002C44BC" w:rsidRPr="004B36B2">
        <w:rPr>
          <w:rFonts w:asciiTheme="majorBidi" w:hAnsiTheme="majorBidi" w:cstheme="majorBidi"/>
          <w:color w:val="000000" w:themeColor="text1"/>
          <w:szCs w:val="24"/>
        </w:rPr>
        <w:t>s</w:t>
      </w:r>
      <w:r w:rsidR="0028365A" w:rsidRPr="004B36B2">
        <w:rPr>
          <w:rFonts w:asciiTheme="majorBidi" w:hAnsiTheme="majorBidi" w:cstheme="majorBidi"/>
          <w:color w:val="000000" w:themeColor="text1"/>
          <w:szCs w:val="24"/>
        </w:rPr>
        <w:t xml:space="preserve"> on attendance </w:t>
      </w:r>
      <w:r w:rsidR="00885731" w:rsidRPr="004B36B2">
        <w:rPr>
          <w:rFonts w:asciiTheme="majorBidi" w:hAnsiTheme="majorBidi" w:cstheme="majorBidi"/>
          <w:color w:val="000000" w:themeColor="text1"/>
          <w:szCs w:val="24"/>
        </w:rPr>
        <w:t>and dropout</w:t>
      </w:r>
      <w:r w:rsidR="002C44BC" w:rsidRPr="004B36B2">
        <w:rPr>
          <w:rFonts w:asciiTheme="majorBidi" w:hAnsiTheme="majorBidi" w:cstheme="majorBidi"/>
          <w:color w:val="000000" w:themeColor="text1"/>
          <w:szCs w:val="24"/>
        </w:rPr>
        <w:t>s</w:t>
      </w:r>
      <w:r w:rsidR="00B01441" w:rsidRPr="004B36B2">
        <w:rPr>
          <w:rFonts w:asciiTheme="majorBidi" w:hAnsiTheme="majorBidi" w:cstheme="majorBidi"/>
          <w:color w:val="000000" w:themeColor="text1"/>
          <w:szCs w:val="24"/>
        </w:rPr>
        <w:t>, as in some previous studies</w:t>
      </w:r>
      <w:r w:rsidR="00DB0036">
        <w:rPr>
          <w:rFonts w:asciiTheme="majorBidi" w:hAnsiTheme="majorBidi" w:cstheme="majorBidi"/>
          <w:color w:val="000000" w:themeColor="text1"/>
          <w:szCs w:val="24"/>
        </w:rPr>
        <w:t>,</w:t>
      </w:r>
      <w:r w:rsidR="00B01441" w:rsidRPr="004B36B2">
        <w:rPr>
          <w:rFonts w:asciiTheme="majorBidi" w:hAnsiTheme="majorBidi" w:cstheme="majorBidi"/>
          <w:color w:val="000000" w:themeColor="text1"/>
          <w:szCs w:val="24"/>
        </w:rPr>
        <w:t xml:space="preserve"> </w:t>
      </w:r>
      <w:r w:rsidR="002C44BC" w:rsidRPr="004B36B2">
        <w:rPr>
          <w:rFonts w:asciiTheme="majorBidi" w:hAnsiTheme="majorBidi" w:cstheme="majorBidi"/>
          <w:color w:val="000000" w:themeColor="text1"/>
          <w:szCs w:val="24"/>
        </w:rPr>
        <w:t xml:space="preserve">specifically, </w:t>
      </w:r>
      <w:r w:rsidR="00B01441" w:rsidRPr="004B36B2">
        <w:rPr>
          <w:rFonts w:asciiTheme="majorBidi" w:hAnsiTheme="majorBidi" w:cstheme="majorBidi"/>
          <w:color w:val="000000" w:themeColor="text1"/>
          <w:szCs w:val="24"/>
        </w:rPr>
        <w:t xml:space="preserve">migration seems to decrease </w:t>
      </w:r>
      <w:r w:rsidR="00885731" w:rsidRPr="004B36B2">
        <w:rPr>
          <w:rFonts w:asciiTheme="majorBidi" w:hAnsiTheme="majorBidi" w:cstheme="majorBidi"/>
          <w:color w:val="000000" w:themeColor="text1"/>
          <w:szCs w:val="24"/>
        </w:rPr>
        <w:t xml:space="preserve">attendance and </w:t>
      </w:r>
      <w:r w:rsidR="00B01441" w:rsidRPr="004B36B2">
        <w:rPr>
          <w:rFonts w:asciiTheme="majorBidi" w:hAnsiTheme="majorBidi" w:cstheme="majorBidi"/>
          <w:color w:val="000000" w:themeColor="text1"/>
          <w:szCs w:val="24"/>
        </w:rPr>
        <w:t xml:space="preserve">increase </w:t>
      </w:r>
      <w:r w:rsidR="00885731" w:rsidRPr="004B36B2">
        <w:rPr>
          <w:rFonts w:asciiTheme="majorBidi" w:hAnsiTheme="majorBidi" w:cstheme="majorBidi"/>
          <w:color w:val="000000" w:themeColor="text1"/>
          <w:szCs w:val="24"/>
        </w:rPr>
        <w:t>dropout</w:t>
      </w:r>
      <w:r w:rsidR="00B01441" w:rsidRPr="004B36B2">
        <w:rPr>
          <w:rFonts w:asciiTheme="majorBidi" w:hAnsiTheme="majorBidi" w:cstheme="majorBidi"/>
          <w:color w:val="000000" w:themeColor="text1"/>
          <w:szCs w:val="24"/>
        </w:rPr>
        <w:t>s</w:t>
      </w:r>
      <w:r w:rsidR="00885731" w:rsidRPr="004B36B2">
        <w:rPr>
          <w:rFonts w:asciiTheme="majorBidi" w:hAnsiTheme="majorBidi" w:cstheme="majorBidi"/>
          <w:color w:val="000000" w:themeColor="text1"/>
          <w:szCs w:val="24"/>
        </w:rPr>
        <w:t xml:space="preserve">. </w:t>
      </w:r>
      <w:r w:rsidR="00B01441" w:rsidRPr="004B36B2">
        <w:rPr>
          <w:rFonts w:asciiTheme="majorBidi" w:hAnsiTheme="majorBidi" w:cstheme="majorBidi"/>
          <w:color w:val="000000" w:themeColor="text1"/>
          <w:szCs w:val="24"/>
        </w:rPr>
        <w:t xml:space="preserve">However, because of Nepal’s </w:t>
      </w:r>
      <w:r w:rsidR="00B01441" w:rsidRPr="004B36B2">
        <w:rPr>
          <w:rFonts w:asciiTheme="majorBidi" w:hAnsiTheme="majorBidi" w:cstheme="majorBidi"/>
          <w:noProof/>
          <w:color w:val="000000" w:themeColor="text1"/>
          <w:szCs w:val="24"/>
        </w:rPr>
        <w:t>universal</w:t>
      </w:r>
      <w:r w:rsidR="00B01441" w:rsidRPr="004B36B2">
        <w:rPr>
          <w:rFonts w:asciiTheme="majorBidi" w:hAnsiTheme="majorBidi" w:cstheme="majorBidi"/>
          <w:color w:val="000000" w:themeColor="text1"/>
          <w:szCs w:val="24"/>
        </w:rPr>
        <w:t xml:space="preserve"> free education program, the dropout rate is very low (especially in the 2010 survey) and </w:t>
      </w:r>
      <w:r w:rsidR="009C7522" w:rsidRPr="004B36B2">
        <w:rPr>
          <w:rFonts w:asciiTheme="majorBidi" w:hAnsiTheme="majorBidi" w:cstheme="majorBidi"/>
          <w:color w:val="000000" w:themeColor="text1"/>
          <w:szCs w:val="24"/>
        </w:rPr>
        <w:t xml:space="preserve">so the estimated effect is for a rare outcome. Plausibly, </w:t>
      </w:r>
      <w:r w:rsidR="00B01441" w:rsidRPr="004B36B2">
        <w:rPr>
          <w:rFonts w:asciiTheme="majorBidi" w:hAnsiTheme="majorBidi" w:cstheme="majorBidi"/>
          <w:color w:val="000000" w:themeColor="text1"/>
          <w:szCs w:val="24"/>
        </w:rPr>
        <w:t xml:space="preserve">there is more to be </w:t>
      </w:r>
      <w:r w:rsidR="009C7522" w:rsidRPr="004B36B2">
        <w:rPr>
          <w:rFonts w:asciiTheme="majorBidi" w:hAnsiTheme="majorBidi" w:cstheme="majorBidi"/>
          <w:color w:val="000000" w:themeColor="text1"/>
          <w:szCs w:val="24"/>
        </w:rPr>
        <w:t xml:space="preserve">learned </w:t>
      </w:r>
      <w:r w:rsidR="00B01441" w:rsidRPr="004B36B2">
        <w:rPr>
          <w:rFonts w:asciiTheme="majorBidi" w:hAnsiTheme="majorBidi" w:cstheme="majorBidi"/>
          <w:color w:val="000000" w:themeColor="text1"/>
          <w:szCs w:val="24"/>
        </w:rPr>
        <w:t xml:space="preserve">from </w:t>
      </w:r>
      <w:r w:rsidR="009C7522" w:rsidRPr="004B36B2">
        <w:rPr>
          <w:rFonts w:asciiTheme="majorBidi" w:hAnsiTheme="majorBidi" w:cstheme="majorBidi"/>
          <w:color w:val="000000" w:themeColor="text1"/>
          <w:szCs w:val="24"/>
        </w:rPr>
        <w:t xml:space="preserve">examining the </w:t>
      </w:r>
      <w:r w:rsidR="00B01441" w:rsidRPr="004B36B2">
        <w:rPr>
          <w:rFonts w:asciiTheme="majorBidi" w:hAnsiTheme="majorBidi" w:cstheme="majorBidi"/>
          <w:color w:val="000000" w:themeColor="text1"/>
          <w:szCs w:val="24"/>
        </w:rPr>
        <w:t xml:space="preserve">net enrolment rates </w:t>
      </w:r>
      <w:r w:rsidR="009C7522" w:rsidRPr="004B36B2">
        <w:rPr>
          <w:rFonts w:asciiTheme="majorBidi" w:hAnsiTheme="majorBidi" w:cstheme="majorBidi"/>
          <w:color w:val="000000" w:themeColor="text1"/>
          <w:szCs w:val="24"/>
        </w:rPr>
        <w:t xml:space="preserve">in order </w:t>
      </w:r>
      <w:r w:rsidR="00B01441" w:rsidRPr="004B36B2">
        <w:rPr>
          <w:rFonts w:asciiTheme="majorBidi" w:hAnsiTheme="majorBidi" w:cstheme="majorBidi"/>
          <w:color w:val="000000" w:themeColor="text1"/>
          <w:szCs w:val="24"/>
        </w:rPr>
        <w:t>to see overall schooling impacts</w:t>
      </w:r>
      <w:r w:rsidR="002C44BC" w:rsidRPr="004B36B2">
        <w:rPr>
          <w:rFonts w:asciiTheme="majorBidi" w:hAnsiTheme="majorBidi" w:cstheme="majorBidi"/>
          <w:color w:val="000000" w:themeColor="text1"/>
          <w:szCs w:val="24"/>
        </w:rPr>
        <w:t xml:space="preserve"> that account for timely progress through the various school grades</w:t>
      </w:r>
      <w:r w:rsidR="00B01441" w:rsidRPr="004B36B2">
        <w:rPr>
          <w:rFonts w:asciiTheme="majorBidi" w:hAnsiTheme="majorBidi" w:cstheme="majorBidi"/>
          <w:color w:val="000000" w:themeColor="text1"/>
          <w:szCs w:val="24"/>
        </w:rPr>
        <w:t>.</w:t>
      </w:r>
    </w:p>
    <w:p w14:paraId="1EE84AA2" w14:textId="77777777" w:rsidR="009D22DE" w:rsidRPr="00E54F60" w:rsidRDefault="009D22DE" w:rsidP="00283A3C">
      <w:pPr>
        <w:spacing w:line="288" w:lineRule="auto"/>
        <w:ind w:firstLine="720"/>
        <w:jc w:val="both"/>
        <w:rPr>
          <w:rFonts w:asciiTheme="majorBidi" w:hAnsiTheme="majorBidi" w:cstheme="majorBidi"/>
          <w:color w:val="000000" w:themeColor="text1"/>
          <w:sz w:val="18"/>
          <w:szCs w:val="18"/>
        </w:rPr>
      </w:pPr>
    </w:p>
    <w:p w14:paraId="0C40AD32" w14:textId="6F33CFCD" w:rsidR="00927DC3" w:rsidRDefault="00DC1C29"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The </w:t>
      </w:r>
      <w:r w:rsidR="002C44BC" w:rsidRPr="004B36B2">
        <w:rPr>
          <w:rFonts w:asciiTheme="majorBidi" w:hAnsiTheme="majorBidi" w:cstheme="majorBidi"/>
          <w:noProof/>
          <w:color w:val="000000" w:themeColor="text1"/>
          <w:szCs w:val="24"/>
        </w:rPr>
        <w:t>rest</w:t>
      </w:r>
      <w:r w:rsidRPr="004B36B2">
        <w:rPr>
          <w:rFonts w:asciiTheme="majorBidi" w:hAnsiTheme="majorBidi" w:cstheme="majorBidi"/>
          <w:color w:val="000000" w:themeColor="text1"/>
          <w:szCs w:val="24"/>
        </w:rPr>
        <w:t xml:space="preserve"> of the </w:t>
      </w:r>
      <w:r w:rsidRPr="004B36B2">
        <w:rPr>
          <w:rFonts w:asciiTheme="majorBidi" w:hAnsiTheme="majorBidi" w:cstheme="majorBidi"/>
          <w:noProof/>
          <w:color w:val="000000" w:themeColor="text1"/>
          <w:szCs w:val="24"/>
        </w:rPr>
        <w:t>paper</w:t>
      </w:r>
      <w:r w:rsidRPr="004B36B2">
        <w:rPr>
          <w:rFonts w:asciiTheme="majorBidi" w:hAnsiTheme="majorBidi" w:cstheme="majorBidi"/>
          <w:color w:val="000000" w:themeColor="text1"/>
          <w:szCs w:val="24"/>
        </w:rPr>
        <w:t xml:space="preserve"> is</w:t>
      </w:r>
      <w:r w:rsidR="002C44BC" w:rsidRPr="004B36B2">
        <w:rPr>
          <w:rFonts w:asciiTheme="majorBidi" w:hAnsiTheme="majorBidi" w:cstheme="majorBidi"/>
          <w:color w:val="000000" w:themeColor="text1"/>
          <w:szCs w:val="24"/>
        </w:rPr>
        <w:t xml:space="preserve"> as follows:</w:t>
      </w:r>
      <w:r w:rsidRPr="004B36B2">
        <w:rPr>
          <w:rFonts w:asciiTheme="majorBidi" w:hAnsiTheme="majorBidi" w:cstheme="majorBidi"/>
          <w:color w:val="000000" w:themeColor="text1"/>
          <w:szCs w:val="24"/>
        </w:rPr>
        <w:t xml:space="preserve"> Section</w:t>
      </w:r>
      <w:r w:rsidR="009D22DE">
        <w:rPr>
          <w:rFonts w:asciiTheme="majorBidi" w:hAnsiTheme="majorBidi" w:cstheme="majorBidi"/>
          <w:color w:val="000000" w:themeColor="text1"/>
          <w:szCs w:val="24"/>
        </w:rPr>
        <w:t xml:space="preserve"> 2 </w:t>
      </w:r>
      <w:r w:rsidRPr="004B36B2">
        <w:rPr>
          <w:rFonts w:asciiTheme="majorBidi" w:hAnsiTheme="majorBidi" w:cstheme="majorBidi"/>
          <w:color w:val="000000" w:themeColor="text1"/>
          <w:szCs w:val="24"/>
        </w:rPr>
        <w:t>briefly describes education and migration</w:t>
      </w:r>
      <w:r w:rsidR="00F85ECC" w:rsidRPr="004B36B2">
        <w:rPr>
          <w:rFonts w:asciiTheme="majorBidi" w:hAnsiTheme="majorBidi" w:cstheme="majorBidi"/>
          <w:color w:val="000000" w:themeColor="text1"/>
          <w:szCs w:val="24"/>
        </w:rPr>
        <w:t xml:space="preserve"> in Nepal</w:t>
      </w:r>
      <w:r w:rsidR="002C44BC" w:rsidRPr="004B36B2">
        <w:rPr>
          <w:rFonts w:asciiTheme="majorBidi" w:hAnsiTheme="majorBidi" w:cstheme="majorBidi"/>
          <w:color w:val="000000" w:themeColor="text1"/>
          <w:szCs w:val="24"/>
        </w:rPr>
        <w:t xml:space="preserve"> and</w:t>
      </w:r>
      <w:r w:rsidRPr="004B36B2">
        <w:rPr>
          <w:rFonts w:asciiTheme="majorBidi" w:hAnsiTheme="majorBidi" w:cstheme="majorBidi"/>
          <w:color w:val="000000" w:themeColor="text1"/>
          <w:szCs w:val="24"/>
        </w:rPr>
        <w:t xml:space="preserve"> Section</w:t>
      </w:r>
      <w:r w:rsidR="009D22DE">
        <w:rPr>
          <w:rFonts w:asciiTheme="majorBidi" w:hAnsiTheme="majorBidi" w:cstheme="majorBidi"/>
          <w:color w:val="000000" w:themeColor="text1"/>
          <w:szCs w:val="24"/>
        </w:rPr>
        <w:t xml:space="preserve"> 3</w:t>
      </w:r>
      <w:r w:rsidRPr="004B36B2">
        <w:rPr>
          <w:rFonts w:asciiTheme="majorBidi" w:hAnsiTheme="majorBidi" w:cstheme="majorBidi"/>
          <w:color w:val="000000" w:themeColor="text1"/>
          <w:szCs w:val="24"/>
        </w:rPr>
        <w:t xml:space="preserve"> discuss the data, methodology and empirical strategy. </w:t>
      </w:r>
      <w:r w:rsidR="00F85ECC" w:rsidRPr="004B36B2">
        <w:rPr>
          <w:rFonts w:asciiTheme="majorBidi" w:hAnsiTheme="majorBidi" w:cstheme="majorBidi"/>
          <w:color w:val="000000" w:themeColor="text1"/>
          <w:szCs w:val="24"/>
        </w:rPr>
        <w:t>S</w:t>
      </w:r>
      <w:r w:rsidRPr="004B36B2">
        <w:rPr>
          <w:rFonts w:asciiTheme="majorBidi" w:hAnsiTheme="majorBidi" w:cstheme="majorBidi"/>
          <w:noProof/>
          <w:color w:val="000000" w:themeColor="text1"/>
          <w:szCs w:val="24"/>
        </w:rPr>
        <w:t>ection</w:t>
      </w:r>
      <w:r w:rsidRPr="004B36B2">
        <w:rPr>
          <w:rFonts w:asciiTheme="majorBidi" w:hAnsiTheme="majorBidi" w:cstheme="majorBidi"/>
          <w:color w:val="000000" w:themeColor="text1"/>
          <w:szCs w:val="24"/>
        </w:rPr>
        <w:t xml:space="preserve"> </w:t>
      </w:r>
      <w:r w:rsidR="009D22DE">
        <w:rPr>
          <w:rFonts w:asciiTheme="majorBidi" w:hAnsiTheme="majorBidi" w:cstheme="majorBidi"/>
          <w:color w:val="000000" w:themeColor="text1"/>
          <w:szCs w:val="24"/>
        </w:rPr>
        <w:t>4</w:t>
      </w:r>
      <w:r w:rsidRPr="004B36B2">
        <w:rPr>
          <w:rFonts w:asciiTheme="majorBidi" w:hAnsiTheme="majorBidi" w:cstheme="majorBidi"/>
          <w:color w:val="000000" w:themeColor="text1"/>
          <w:szCs w:val="24"/>
        </w:rPr>
        <w:t xml:space="preserve"> presents the result</w:t>
      </w:r>
      <w:r w:rsidR="00F85ECC"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w:t>
      </w:r>
      <w:r w:rsidR="00F85ECC" w:rsidRPr="004B36B2">
        <w:rPr>
          <w:rFonts w:asciiTheme="majorBidi" w:hAnsiTheme="majorBidi" w:cstheme="majorBidi"/>
          <w:color w:val="000000" w:themeColor="text1"/>
          <w:szCs w:val="24"/>
        </w:rPr>
        <w:t>while S</w:t>
      </w:r>
      <w:r w:rsidRPr="004B36B2">
        <w:rPr>
          <w:rFonts w:asciiTheme="majorBidi" w:hAnsiTheme="majorBidi" w:cstheme="majorBidi"/>
          <w:color w:val="000000" w:themeColor="text1"/>
          <w:szCs w:val="24"/>
        </w:rPr>
        <w:t xml:space="preserve">ection </w:t>
      </w:r>
      <w:r w:rsidR="009D22DE">
        <w:rPr>
          <w:rFonts w:asciiTheme="majorBidi" w:hAnsiTheme="majorBidi" w:cstheme="majorBidi"/>
          <w:color w:val="000000" w:themeColor="text1"/>
          <w:szCs w:val="24"/>
        </w:rPr>
        <w:t>5</w:t>
      </w:r>
      <w:r w:rsidRPr="004B36B2">
        <w:rPr>
          <w:rFonts w:asciiTheme="majorBidi" w:hAnsiTheme="majorBidi" w:cstheme="majorBidi"/>
          <w:color w:val="000000" w:themeColor="text1"/>
          <w:szCs w:val="24"/>
        </w:rPr>
        <w:t xml:space="preserve"> </w:t>
      </w:r>
      <w:r w:rsidR="00F85ECC" w:rsidRPr="004B36B2">
        <w:rPr>
          <w:rFonts w:asciiTheme="majorBidi" w:hAnsiTheme="majorBidi" w:cstheme="majorBidi"/>
          <w:color w:val="000000" w:themeColor="text1"/>
          <w:szCs w:val="24"/>
        </w:rPr>
        <w:t xml:space="preserve">has the </w:t>
      </w:r>
      <w:r w:rsidRPr="004B36B2">
        <w:rPr>
          <w:rFonts w:asciiTheme="majorBidi" w:hAnsiTheme="majorBidi" w:cstheme="majorBidi"/>
          <w:color w:val="000000" w:themeColor="text1"/>
          <w:szCs w:val="24"/>
        </w:rPr>
        <w:t>conclusion</w:t>
      </w:r>
      <w:r w:rsidR="00F85ECC"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and policy </w:t>
      </w:r>
      <w:r w:rsidR="00F85ECC" w:rsidRPr="004B36B2">
        <w:rPr>
          <w:rFonts w:asciiTheme="majorBidi" w:hAnsiTheme="majorBidi" w:cstheme="majorBidi"/>
          <w:color w:val="000000" w:themeColor="text1"/>
          <w:szCs w:val="24"/>
        </w:rPr>
        <w:t>discussion</w:t>
      </w:r>
      <w:r w:rsidRPr="004B36B2">
        <w:rPr>
          <w:rFonts w:asciiTheme="majorBidi" w:hAnsiTheme="majorBidi" w:cstheme="majorBidi"/>
          <w:color w:val="000000" w:themeColor="text1"/>
          <w:szCs w:val="24"/>
        </w:rPr>
        <w:t xml:space="preserve">.   </w:t>
      </w:r>
    </w:p>
    <w:p w14:paraId="6F2982DB" w14:textId="77777777" w:rsidR="009D22DE" w:rsidRPr="004B36B2" w:rsidRDefault="009D22DE" w:rsidP="00283A3C">
      <w:pPr>
        <w:spacing w:line="288" w:lineRule="auto"/>
        <w:ind w:firstLine="720"/>
        <w:jc w:val="both"/>
        <w:rPr>
          <w:rFonts w:asciiTheme="majorBidi" w:hAnsiTheme="majorBidi" w:cstheme="majorBidi"/>
          <w:color w:val="000000" w:themeColor="text1"/>
          <w:szCs w:val="24"/>
        </w:rPr>
      </w:pPr>
    </w:p>
    <w:p w14:paraId="2840FD3B" w14:textId="26220E20" w:rsidR="005B6FD0" w:rsidRPr="004B36B2" w:rsidRDefault="009D22DE" w:rsidP="00283A3C">
      <w:pPr>
        <w:autoSpaceDE w:val="0"/>
        <w:autoSpaceDN w:val="0"/>
        <w:adjustRightInd w:val="0"/>
        <w:spacing w:line="288" w:lineRule="auto"/>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2. </w:t>
      </w:r>
      <w:r w:rsidR="00475D61" w:rsidRPr="004B36B2">
        <w:rPr>
          <w:rFonts w:asciiTheme="majorBidi" w:hAnsiTheme="majorBidi" w:cstheme="majorBidi"/>
          <w:b/>
          <w:color w:val="000000" w:themeColor="text1"/>
          <w:szCs w:val="24"/>
        </w:rPr>
        <w:t>Context</w:t>
      </w:r>
    </w:p>
    <w:p w14:paraId="0A7389A4" w14:textId="77777777" w:rsidR="00920BF4" w:rsidRPr="00920BF4" w:rsidRDefault="00920BF4" w:rsidP="00283A3C">
      <w:pPr>
        <w:autoSpaceDE w:val="0"/>
        <w:autoSpaceDN w:val="0"/>
        <w:adjustRightInd w:val="0"/>
        <w:spacing w:line="288" w:lineRule="auto"/>
        <w:jc w:val="both"/>
        <w:rPr>
          <w:rFonts w:asciiTheme="majorBidi" w:hAnsiTheme="majorBidi" w:cstheme="majorBidi"/>
          <w:b/>
          <w:bCs/>
          <w:iCs/>
          <w:color w:val="000000" w:themeColor="text1"/>
          <w:sz w:val="6"/>
          <w:szCs w:val="6"/>
        </w:rPr>
      </w:pPr>
    </w:p>
    <w:p w14:paraId="603F7E66" w14:textId="0F4CA571" w:rsidR="00F36702" w:rsidRPr="009D22DE" w:rsidRDefault="005B6FD0" w:rsidP="00283A3C">
      <w:pPr>
        <w:autoSpaceDE w:val="0"/>
        <w:autoSpaceDN w:val="0"/>
        <w:adjustRightInd w:val="0"/>
        <w:spacing w:line="288" w:lineRule="auto"/>
        <w:jc w:val="both"/>
        <w:rPr>
          <w:rFonts w:asciiTheme="majorBidi" w:hAnsiTheme="majorBidi" w:cstheme="majorBidi"/>
          <w:b/>
          <w:bCs/>
          <w:iCs/>
          <w:color w:val="000000" w:themeColor="text1"/>
          <w:szCs w:val="24"/>
        </w:rPr>
      </w:pPr>
      <w:r w:rsidRPr="009D22DE">
        <w:rPr>
          <w:rFonts w:asciiTheme="majorBidi" w:hAnsiTheme="majorBidi" w:cstheme="majorBidi"/>
          <w:b/>
          <w:bCs/>
          <w:iCs/>
          <w:color w:val="000000" w:themeColor="text1"/>
          <w:szCs w:val="24"/>
        </w:rPr>
        <w:t xml:space="preserve">School </w:t>
      </w:r>
      <w:r w:rsidR="00920BF4">
        <w:rPr>
          <w:rFonts w:asciiTheme="majorBidi" w:hAnsiTheme="majorBidi" w:cstheme="majorBidi"/>
          <w:b/>
          <w:bCs/>
          <w:iCs/>
          <w:color w:val="000000" w:themeColor="text1"/>
          <w:szCs w:val="24"/>
        </w:rPr>
        <w:t>E</w:t>
      </w:r>
      <w:r w:rsidRPr="009D22DE">
        <w:rPr>
          <w:rFonts w:asciiTheme="majorBidi" w:hAnsiTheme="majorBidi" w:cstheme="majorBidi"/>
          <w:b/>
          <w:bCs/>
          <w:iCs/>
          <w:color w:val="000000" w:themeColor="text1"/>
          <w:szCs w:val="24"/>
        </w:rPr>
        <w:t>ducation in Nepal</w:t>
      </w:r>
    </w:p>
    <w:p w14:paraId="36E8734E" w14:textId="77777777" w:rsidR="00920BF4" w:rsidRPr="00920BF4" w:rsidRDefault="00920BF4" w:rsidP="00283A3C">
      <w:pPr>
        <w:autoSpaceDE w:val="0"/>
        <w:autoSpaceDN w:val="0"/>
        <w:adjustRightInd w:val="0"/>
        <w:spacing w:line="288" w:lineRule="auto"/>
        <w:jc w:val="both"/>
        <w:rPr>
          <w:rFonts w:asciiTheme="majorBidi" w:hAnsiTheme="majorBidi" w:cstheme="majorBidi"/>
          <w:color w:val="000000" w:themeColor="text1"/>
          <w:sz w:val="4"/>
          <w:szCs w:val="4"/>
        </w:rPr>
      </w:pPr>
    </w:p>
    <w:p w14:paraId="7EE0F135" w14:textId="604002CC" w:rsidR="0048527B" w:rsidRDefault="00585F3D" w:rsidP="00283A3C">
      <w:pPr>
        <w:autoSpaceDE w:val="0"/>
        <w:autoSpaceDN w:val="0"/>
        <w:adjustRightInd w:val="0"/>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Nepal</w:t>
      </w:r>
      <w:r w:rsidR="007A2F24" w:rsidRPr="004B36B2">
        <w:rPr>
          <w:rFonts w:asciiTheme="majorBidi" w:hAnsiTheme="majorBidi" w:cstheme="majorBidi"/>
          <w:color w:val="000000" w:themeColor="text1"/>
          <w:szCs w:val="24"/>
        </w:rPr>
        <w:t xml:space="preserve"> has three </w:t>
      </w:r>
      <w:r w:rsidRPr="004B36B2">
        <w:rPr>
          <w:rFonts w:asciiTheme="majorBidi" w:hAnsiTheme="majorBidi" w:cstheme="majorBidi"/>
          <w:color w:val="000000" w:themeColor="text1"/>
          <w:szCs w:val="24"/>
        </w:rPr>
        <w:t>schooling system</w:t>
      </w:r>
      <w:r w:rsidR="00E56CB2" w:rsidRPr="004B36B2">
        <w:rPr>
          <w:rFonts w:asciiTheme="majorBidi" w:hAnsiTheme="majorBidi" w:cstheme="majorBidi"/>
          <w:color w:val="000000" w:themeColor="text1"/>
          <w:szCs w:val="24"/>
        </w:rPr>
        <w:t>s</w:t>
      </w:r>
      <w:r w:rsidR="00A54C7D">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public (community-based)</w:t>
      </w:r>
      <w:r w:rsidR="00352C72" w:rsidRPr="004B36B2">
        <w:rPr>
          <w:rFonts w:asciiTheme="majorBidi" w:hAnsiTheme="majorBidi" w:cstheme="majorBidi"/>
          <w:color w:val="000000" w:themeColor="text1"/>
          <w:szCs w:val="24"/>
        </w:rPr>
        <w:t>, institutional (private)</w:t>
      </w:r>
      <w:r w:rsidRPr="004B36B2">
        <w:rPr>
          <w:rFonts w:asciiTheme="majorBidi" w:hAnsiTheme="majorBidi" w:cstheme="majorBidi"/>
          <w:color w:val="000000" w:themeColor="text1"/>
          <w:szCs w:val="24"/>
        </w:rPr>
        <w:t xml:space="preserve"> and religious (</w:t>
      </w:r>
      <w:r w:rsidRPr="004B36B2">
        <w:rPr>
          <w:rFonts w:asciiTheme="majorBidi" w:hAnsiTheme="majorBidi" w:cstheme="majorBidi"/>
          <w:i/>
          <w:color w:val="000000" w:themeColor="text1"/>
          <w:szCs w:val="24"/>
        </w:rPr>
        <w:t>Madrasas</w:t>
      </w:r>
      <w:r w:rsidRPr="004B36B2">
        <w:rPr>
          <w:rFonts w:asciiTheme="majorBidi" w:hAnsiTheme="majorBidi" w:cstheme="majorBidi"/>
          <w:color w:val="000000" w:themeColor="text1"/>
          <w:szCs w:val="24"/>
        </w:rPr>
        <w:t xml:space="preserve">). </w:t>
      </w:r>
      <w:r w:rsidR="00E56CB2" w:rsidRPr="004B36B2">
        <w:rPr>
          <w:rFonts w:asciiTheme="majorBidi" w:hAnsiTheme="majorBidi" w:cstheme="majorBidi"/>
          <w:color w:val="000000" w:themeColor="text1"/>
          <w:szCs w:val="24"/>
        </w:rPr>
        <w:t xml:space="preserve">Of the </w:t>
      </w:r>
      <w:r w:rsidR="001B0E72" w:rsidRPr="004B36B2">
        <w:rPr>
          <w:rFonts w:asciiTheme="majorBidi" w:hAnsiTheme="majorBidi" w:cstheme="majorBidi"/>
          <w:color w:val="000000" w:themeColor="text1"/>
          <w:szCs w:val="24"/>
        </w:rPr>
        <w:t>36,016 schools</w:t>
      </w:r>
      <w:r w:rsidR="00E56CB2" w:rsidRPr="004B36B2">
        <w:rPr>
          <w:rFonts w:asciiTheme="majorBidi" w:hAnsiTheme="majorBidi" w:cstheme="majorBidi"/>
          <w:color w:val="000000" w:themeColor="text1"/>
          <w:szCs w:val="24"/>
        </w:rPr>
        <w:t xml:space="preserve"> nationwide</w:t>
      </w:r>
      <w:r w:rsidR="001B0E72" w:rsidRPr="004B36B2">
        <w:rPr>
          <w:rFonts w:asciiTheme="majorBidi" w:hAnsiTheme="majorBidi" w:cstheme="majorBidi"/>
          <w:color w:val="000000" w:themeColor="text1"/>
          <w:szCs w:val="24"/>
        </w:rPr>
        <w:t xml:space="preserve">, 30,034 are public, 5087 are private and </w:t>
      </w:r>
      <w:r w:rsidR="00E56CB2" w:rsidRPr="004B36B2">
        <w:rPr>
          <w:rFonts w:asciiTheme="majorBidi" w:hAnsiTheme="majorBidi" w:cstheme="majorBidi"/>
          <w:color w:val="000000" w:themeColor="text1"/>
          <w:szCs w:val="24"/>
        </w:rPr>
        <w:t xml:space="preserve">the other </w:t>
      </w:r>
      <w:r w:rsidR="001B0E72" w:rsidRPr="004B36B2">
        <w:rPr>
          <w:rFonts w:asciiTheme="majorBidi" w:hAnsiTheme="majorBidi" w:cstheme="majorBidi"/>
          <w:color w:val="000000" w:themeColor="text1"/>
          <w:szCs w:val="24"/>
        </w:rPr>
        <w:t xml:space="preserve">895 are </w:t>
      </w:r>
      <w:r w:rsidR="001B0E72" w:rsidRPr="004B36B2">
        <w:rPr>
          <w:rFonts w:asciiTheme="majorBidi" w:hAnsiTheme="majorBidi" w:cstheme="majorBidi"/>
          <w:noProof/>
          <w:color w:val="000000" w:themeColor="text1"/>
          <w:szCs w:val="24"/>
        </w:rPr>
        <w:t>religious</w:t>
      </w:r>
      <w:r w:rsidR="001B0E72" w:rsidRPr="004B36B2">
        <w:rPr>
          <w:rFonts w:asciiTheme="majorBidi" w:hAnsiTheme="majorBidi" w:cstheme="majorBidi"/>
          <w:color w:val="000000" w:themeColor="text1"/>
          <w:szCs w:val="24"/>
        </w:rPr>
        <w:t xml:space="preserve"> school</w:t>
      </w:r>
      <w:r w:rsidR="00E56CB2" w:rsidRPr="004B36B2">
        <w:rPr>
          <w:rFonts w:asciiTheme="majorBidi" w:hAnsiTheme="majorBidi" w:cstheme="majorBidi"/>
          <w:color w:val="000000" w:themeColor="text1"/>
          <w:szCs w:val="24"/>
        </w:rPr>
        <w:t>s</w:t>
      </w:r>
      <w:r w:rsidR="001B0E72"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Community school</w:t>
      </w:r>
      <w:r w:rsidR="006E3896"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are funded by the government and managed by the </w:t>
      </w:r>
      <w:r w:rsidR="00503F2A" w:rsidRPr="004B36B2">
        <w:rPr>
          <w:rFonts w:asciiTheme="majorBidi" w:hAnsiTheme="majorBidi" w:cstheme="majorBidi"/>
          <w:color w:val="000000" w:themeColor="text1"/>
          <w:szCs w:val="24"/>
        </w:rPr>
        <w:t>school management committee (SMC)</w:t>
      </w:r>
      <w:r w:rsidRPr="004B36B2">
        <w:rPr>
          <w:rFonts w:asciiTheme="majorBidi" w:hAnsiTheme="majorBidi" w:cstheme="majorBidi"/>
          <w:color w:val="000000" w:themeColor="text1"/>
          <w:szCs w:val="24"/>
        </w:rPr>
        <w:t>.</w:t>
      </w:r>
      <w:r w:rsidR="00DF74EF" w:rsidRPr="004B36B2">
        <w:rPr>
          <w:rFonts w:asciiTheme="majorBidi" w:hAnsiTheme="majorBidi" w:cstheme="majorBidi"/>
          <w:color w:val="000000" w:themeColor="text1"/>
          <w:szCs w:val="24"/>
        </w:rPr>
        <w:t xml:space="preserve"> </w:t>
      </w:r>
      <w:r w:rsidR="00F82461" w:rsidRPr="004B36B2">
        <w:rPr>
          <w:rFonts w:asciiTheme="majorBidi" w:hAnsiTheme="majorBidi" w:cstheme="majorBidi"/>
          <w:color w:val="000000" w:themeColor="text1"/>
          <w:szCs w:val="24"/>
        </w:rPr>
        <w:t>Institutional school</w:t>
      </w:r>
      <w:r w:rsidR="00893295" w:rsidRPr="004B36B2">
        <w:rPr>
          <w:rFonts w:asciiTheme="majorBidi" w:hAnsiTheme="majorBidi" w:cstheme="majorBidi"/>
          <w:color w:val="000000" w:themeColor="text1"/>
          <w:szCs w:val="24"/>
        </w:rPr>
        <w:t>s</w:t>
      </w:r>
      <w:r w:rsidR="00F82461" w:rsidRPr="004B36B2">
        <w:rPr>
          <w:rFonts w:asciiTheme="majorBidi" w:hAnsiTheme="majorBidi" w:cstheme="majorBidi"/>
          <w:color w:val="000000" w:themeColor="text1"/>
          <w:szCs w:val="24"/>
        </w:rPr>
        <w:t xml:space="preserve"> </w:t>
      </w:r>
      <w:r w:rsidR="00893295" w:rsidRPr="004B36B2">
        <w:rPr>
          <w:rFonts w:asciiTheme="majorBidi" w:hAnsiTheme="majorBidi" w:cstheme="majorBidi"/>
          <w:noProof/>
          <w:color w:val="000000" w:themeColor="text1"/>
          <w:szCs w:val="24"/>
        </w:rPr>
        <w:t>are</w:t>
      </w:r>
      <w:r w:rsidR="00F82461" w:rsidRPr="004B36B2">
        <w:rPr>
          <w:rFonts w:asciiTheme="majorBidi" w:hAnsiTheme="majorBidi" w:cstheme="majorBidi"/>
          <w:color w:val="000000" w:themeColor="text1"/>
          <w:szCs w:val="24"/>
        </w:rPr>
        <w:t xml:space="preserve"> privately owned </w:t>
      </w:r>
      <w:r w:rsidR="00F82461" w:rsidRPr="004B36B2">
        <w:rPr>
          <w:rFonts w:asciiTheme="majorBidi" w:hAnsiTheme="majorBidi" w:cstheme="majorBidi"/>
          <w:color w:val="000000" w:themeColor="text1"/>
          <w:szCs w:val="24"/>
        </w:rPr>
        <w:lastRenderedPageBreak/>
        <w:t xml:space="preserve">and </w:t>
      </w:r>
      <w:r w:rsidR="00F82461" w:rsidRPr="004B36B2">
        <w:rPr>
          <w:rFonts w:asciiTheme="majorBidi" w:hAnsiTheme="majorBidi" w:cstheme="majorBidi"/>
          <w:noProof/>
          <w:color w:val="000000" w:themeColor="text1"/>
          <w:szCs w:val="24"/>
        </w:rPr>
        <w:t>managed</w:t>
      </w:r>
      <w:r w:rsidR="00E56CB2" w:rsidRPr="004B36B2">
        <w:rPr>
          <w:rFonts w:asciiTheme="majorBidi" w:hAnsiTheme="majorBidi" w:cstheme="majorBidi"/>
          <w:noProof/>
          <w:color w:val="000000" w:themeColor="text1"/>
          <w:szCs w:val="24"/>
        </w:rPr>
        <w:t>,</w:t>
      </w:r>
      <w:r w:rsidR="00F82461" w:rsidRPr="004B36B2">
        <w:rPr>
          <w:rFonts w:asciiTheme="majorBidi" w:hAnsiTheme="majorBidi" w:cstheme="majorBidi"/>
          <w:color w:val="000000" w:themeColor="text1"/>
          <w:szCs w:val="24"/>
        </w:rPr>
        <w:t xml:space="preserve"> </w:t>
      </w:r>
      <w:r w:rsidR="00043BE1" w:rsidRPr="004B36B2">
        <w:rPr>
          <w:rFonts w:asciiTheme="majorBidi" w:hAnsiTheme="majorBidi" w:cstheme="majorBidi"/>
          <w:color w:val="000000" w:themeColor="text1"/>
          <w:szCs w:val="24"/>
        </w:rPr>
        <w:t xml:space="preserve">are </w:t>
      </w:r>
      <w:r w:rsidR="00222AF9" w:rsidRPr="004B36B2">
        <w:rPr>
          <w:rFonts w:asciiTheme="majorBidi" w:hAnsiTheme="majorBidi" w:cstheme="majorBidi"/>
          <w:color w:val="000000" w:themeColor="text1"/>
          <w:szCs w:val="24"/>
        </w:rPr>
        <w:t xml:space="preserve">fully </w:t>
      </w:r>
      <w:r w:rsidR="00F82461" w:rsidRPr="004B36B2">
        <w:rPr>
          <w:rFonts w:asciiTheme="majorBidi" w:hAnsiTheme="majorBidi" w:cstheme="majorBidi"/>
          <w:color w:val="000000" w:themeColor="text1"/>
          <w:szCs w:val="24"/>
        </w:rPr>
        <w:t xml:space="preserve">funded by </w:t>
      </w:r>
      <w:r w:rsidR="00F85ECC" w:rsidRPr="004B36B2">
        <w:rPr>
          <w:rFonts w:asciiTheme="majorBidi" w:hAnsiTheme="majorBidi" w:cstheme="majorBidi"/>
          <w:color w:val="000000" w:themeColor="text1"/>
          <w:szCs w:val="24"/>
        </w:rPr>
        <w:t xml:space="preserve">fees paid by </w:t>
      </w:r>
      <w:r w:rsidR="00F82461" w:rsidRPr="004B36B2">
        <w:rPr>
          <w:rFonts w:asciiTheme="majorBidi" w:hAnsiTheme="majorBidi" w:cstheme="majorBidi"/>
          <w:color w:val="000000" w:themeColor="text1"/>
          <w:szCs w:val="24"/>
        </w:rPr>
        <w:t>parent</w:t>
      </w:r>
      <w:r w:rsidR="00236769" w:rsidRPr="004B36B2">
        <w:rPr>
          <w:rFonts w:asciiTheme="majorBidi" w:hAnsiTheme="majorBidi" w:cstheme="majorBidi"/>
          <w:color w:val="000000" w:themeColor="text1"/>
          <w:szCs w:val="24"/>
        </w:rPr>
        <w:t>s</w:t>
      </w:r>
      <w:r w:rsidR="009C7522" w:rsidRPr="004B36B2">
        <w:rPr>
          <w:rFonts w:asciiTheme="majorBidi" w:hAnsiTheme="majorBidi" w:cstheme="majorBidi"/>
          <w:color w:val="000000" w:themeColor="text1"/>
          <w:szCs w:val="24"/>
        </w:rPr>
        <w:t xml:space="preserve"> for </w:t>
      </w:r>
      <w:r w:rsidR="00F82461" w:rsidRPr="004B36B2">
        <w:rPr>
          <w:rFonts w:asciiTheme="majorBidi" w:hAnsiTheme="majorBidi" w:cstheme="majorBidi"/>
          <w:noProof/>
          <w:color w:val="000000" w:themeColor="text1"/>
          <w:szCs w:val="24"/>
        </w:rPr>
        <w:t>school</w:t>
      </w:r>
      <w:r w:rsidR="00263A3F" w:rsidRPr="004B36B2">
        <w:rPr>
          <w:rFonts w:asciiTheme="majorBidi" w:hAnsiTheme="majorBidi" w:cstheme="majorBidi"/>
          <w:noProof/>
          <w:color w:val="000000" w:themeColor="text1"/>
          <w:szCs w:val="24"/>
        </w:rPr>
        <w:t>-</w:t>
      </w:r>
      <w:r w:rsidR="00F82461" w:rsidRPr="004B36B2">
        <w:rPr>
          <w:rFonts w:asciiTheme="majorBidi" w:hAnsiTheme="majorBidi" w:cstheme="majorBidi"/>
          <w:noProof/>
          <w:color w:val="000000" w:themeColor="text1"/>
          <w:szCs w:val="24"/>
        </w:rPr>
        <w:t>related</w:t>
      </w:r>
      <w:r w:rsidR="00F82461" w:rsidRPr="004B36B2">
        <w:rPr>
          <w:rFonts w:asciiTheme="majorBidi" w:hAnsiTheme="majorBidi" w:cstheme="majorBidi"/>
          <w:color w:val="000000" w:themeColor="text1"/>
          <w:szCs w:val="24"/>
        </w:rPr>
        <w:t xml:space="preserve"> activities</w:t>
      </w:r>
      <w:r w:rsidR="009C7522" w:rsidRPr="004B36B2">
        <w:rPr>
          <w:rFonts w:asciiTheme="majorBidi" w:hAnsiTheme="majorBidi" w:cstheme="majorBidi"/>
          <w:color w:val="000000" w:themeColor="text1"/>
          <w:szCs w:val="24"/>
        </w:rPr>
        <w:t xml:space="preserve">, and have become more </w:t>
      </w:r>
      <w:r w:rsidR="002C0FC2" w:rsidRPr="004B36B2">
        <w:rPr>
          <w:rFonts w:asciiTheme="majorBidi" w:hAnsiTheme="majorBidi" w:cstheme="majorBidi"/>
          <w:color w:val="000000" w:themeColor="text1"/>
          <w:szCs w:val="24"/>
        </w:rPr>
        <w:t xml:space="preserve">widespread (especially in urban areas) </w:t>
      </w:r>
      <w:r w:rsidR="009C7522" w:rsidRPr="004B36B2">
        <w:rPr>
          <w:rFonts w:asciiTheme="majorBidi" w:hAnsiTheme="majorBidi" w:cstheme="majorBidi"/>
          <w:color w:val="000000" w:themeColor="text1"/>
          <w:szCs w:val="24"/>
        </w:rPr>
        <w:t>a</w:t>
      </w:r>
      <w:r w:rsidR="00D32A9D" w:rsidRPr="004B36B2">
        <w:rPr>
          <w:rFonts w:asciiTheme="majorBidi" w:hAnsiTheme="majorBidi" w:cstheme="majorBidi"/>
          <w:color w:val="000000" w:themeColor="text1"/>
          <w:szCs w:val="24"/>
        </w:rPr>
        <w:t xml:space="preserve">fter </w:t>
      </w:r>
      <w:r w:rsidR="009C7522" w:rsidRPr="004B36B2">
        <w:rPr>
          <w:rFonts w:asciiTheme="majorBidi" w:hAnsiTheme="majorBidi" w:cstheme="majorBidi"/>
          <w:color w:val="000000" w:themeColor="text1"/>
          <w:szCs w:val="24"/>
        </w:rPr>
        <w:t xml:space="preserve">the </w:t>
      </w:r>
      <w:r w:rsidR="00D32A9D" w:rsidRPr="004B36B2">
        <w:rPr>
          <w:rFonts w:asciiTheme="majorBidi" w:hAnsiTheme="majorBidi" w:cstheme="majorBidi"/>
          <w:noProof/>
          <w:color w:val="000000" w:themeColor="text1"/>
          <w:szCs w:val="24"/>
        </w:rPr>
        <w:t>education</w:t>
      </w:r>
      <w:r w:rsidR="00D32A9D" w:rsidRPr="004B36B2">
        <w:rPr>
          <w:rFonts w:asciiTheme="majorBidi" w:hAnsiTheme="majorBidi" w:cstheme="majorBidi"/>
          <w:color w:val="000000" w:themeColor="text1"/>
          <w:szCs w:val="24"/>
        </w:rPr>
        <w:t xml:space="preserve"> sector </w:t>
      </w:r>
      <w:r w:rsidR="002C0FC2" w:rsidRPr="004B36B2">
        <w:rPr>
          <w:rFonts w:asciiTheme="majorBidi" w:hAnsiTheme="majorBidi" w:cstheme="majorBidi"/>
          <w:color w:val="000000" w:themeColor="text1"/>
          <w:szCs w:val="24"/>
        </w:rPr>
        <w:t xml:space="preserve">was opened </w:t>
      </w:r>
      <w:r w:rsidR="00D32A9D" w:rsidRPr="004B36B2">
        <w:rPr>
          <w:rFonts w:asciiTheme="majorBidi" w:hAnsiTheme="majorBidi" w:cstheme="majorBidi"/>
          <w:color w:val="000000" w:themeColor="text1"/>
          <w:szCs w:val="24"/>
        </w:rPr>
        <w:t xml:space="preserve">for </w:t>
      </w:r>
      <w:r w:rsidR="00D32A9D" w:rsidRPr="004B36B2">
        <w:rPr>
          <w:rFonts w:asciiTheme="majorBidi" w:hAnsiTheme="majorBidi" w:cstheme="majorBidi"/>
          <w:noProof/>
          <w:color w:val="000000" w:themeColor="text1"/>
          <w:szCs w:val="24"/>
        </w:rPr>
        <w:t>private</w:t>
      </w:r>
      <w:r w:rsidR="00D32A9D" w:rsidRPr="004B36B2">
        <w:rPr>
          <w:rFonts w:asciiTheme="majorBidi" w:hAnsiTheme="majorBidi" w:cstheme="majorBidi"/>
          <w:color w:val="000000" w:themeColor="text1"/>
          <w:szCs w:val="24"/>
        </w:rPr>
        <w:t xml:space="preserve"> investment. </w:t>
      </w:r>
      <w:r w:rsidR="007A2F24" w:rsidRPr="004B36B2">
        <w:rPr>
          <w:rFonts w:asciiTheme="majorBidi" w:hAnsiTheme="majorBidi" w:cstheme="majorBidi"/>
          <w:color w:val="000000" w:themeColor="text1"/>
          <w:szCs w:val="24"/>
        </w:rPr>
        <w:t xml:space="preserve">The institutional schools are considered </w:t>
      </w:r>
      <w:r w:rsidR="00E56CB2" w:rsidRPr="004B36B2">
        <w:rPr>
          <w:rFonts w:asciiTheme="majorBidi" w:hAnsiTheme="majorBidi" w:cstheme="majorBidi"/>
          <w:color w:val="000000" w:themeColor="text1"/>
          <w:szCs w:val="24"/>
        </w:rPr>
        <w:t xml:space="preserve">to be </w:t>
      </w:r>
      <w:r w:rsidR="007A2F24" w:rsidRPr="004B36B2">
        <w:rPr>
          <w:rFonts w:asciiTheme="majorBidi" w:hAnsiTheme="majorBidi" w:cstheme="majorBidi"/>
          <w:color w:val="000000" w:themeColor="text1"/>
          <w:szCs w:val="24"/>
        </w:rPr>
        <w:t xml:space="preserve">quality education providers and they </w:t>
      </w:r>
      <w:r w:rsidR="00DD2ABA" w:rsidRPr="004B36B2">
        <w:rPr>
          <w:rFonts w:asciiTheme="majorBidi" w:hAnsiTheme="majorBidi" w:cstheme="majorBidi"/>
          <w:color w:val="000000" w:themeColor="text1"/>
          <w:szCs w:val="24"/>
        </w:rPr>
        <w:t xml:space="preserve">charge </w:t>
      </w:r>
      <w:r w:rsidR="00F77E5C" w:rsidRPr="004B36B2">
        <w:rPr>
          <w:rFonts w:asciiTheme="majorBidi" w:hAnsiTheme="majorBidi" w:cstheme="majorBidi"/>
          <w:color w:val="000000" w:themeColor="text1"/>
          <w:szCs w:val="24"/>
        </w:rPr>
        <w:t xml:space="preserve">high </w:t>
      </w:r>
      <w:r w:rsidR="00DD2ABA" w:rsidRPr="004B36B2">
        <w:rPr>
          <w:rFonts w:asciiTheme="majorBidi" w:hAnsiTheme="majorBidi" w:cstheme="majorBidi"/>
          <w:color w:val="000000" w:themeColor="text1"/>
          <w:szCs w:val="24"/>
        </w:rPr>
        <w:t xml:space="preserve">fees. </w:t>
      </w:r>
      <w:r w:rsidR="00B12D0C" w:rsidRPr="004B36B2">
        <w:rPr>
          <w:rFonts w:asciiTheme="majorBidi" w:hAnsiTheme="majorBidi" w:cstheme="majorBidi"/>
          <w:color w:val="000000" w:themeColor="text1"/>
          <w:szCs w:val="24"/>
        </w:rPr>
        <w:t>The religious school</w:t>
      </w:r>
      <w:r w:rsidR="00263A3F" w:rsidRPr="004B36B2">
        <w:rPr>
          <w:rFonts w:asciiTheme="majorBidi" w:hAnsiTheme="majorBidi" w:cstheme="majorBidi"/>
          <w:color w:val="000000" w:themeColor="text1"/>
          <w:szCs w:val="24"/>
        </w:rPr>
        <w:t>s are</w:t>
      </w:r>
      <w:r w:rsidR="00B12D0C" w:rsidRPr="004B36B2">
        <w:rPr>
          <w:rFonts w:asciiTheme="majorBidi" w:hAnsiTheme="majorBidi" w:cstheme="majorBidi"/>
          <w:color w:val="000000" w:themeColor="text1"/>
          <w:szCs w:val="24"/>
        </w:rPr>
        <w:t xml:space="preserve"> </w:t>
      </w:r>
      <w:r w:rsidR="00B12D0C" w:rsidRPr="004B36B2">
        <w:rPr>
          <w:rFonts w:asciiTheme="majorBidi" w:hAnsiTheme="majorBidi" w:cstheme="majorBidi"/>
          <w:i/>
          <w:color w:val="000000" w:themeColor="text1"/>
          <w:szCs w:val="24"/>
        </w:rPr>
        <w:t>Madarasha</w:t>
      </w:r>
      <w:r w:rsidR="00B12D0C" w:rsidRPr="004B36B2">
        <w:rPr>
          <w:rFonts w:asciiTheme="majorBidi" w:hAnsiTheme="majorBidi" w:cstheme="majorBidi"/>
          <w:color w:val="000000" w:themeColor="text1"/>
          <w:szCs w:val="24"/>
        </w:rPr>
        <w:t xml:space="preserve">, </w:t>
      </w:r>
      <w:r w:rsidR="00B12D0C" w:rsidRPr="004B36B2">
        <w:rPr>
          <w:rFonts w:asciiTheme="majorBidi" w:hAnsiTheme="majorBidi" w:cstheme="majorBidi"/>
          <w:i/>
          <w:color w:val="000000" w:themeColor="text1"/>
          <w:szCs w:val="24"/>
        </w:rPr>
        <w:t>Gumba</w:t>
      </w:r>
      <w:r w:rsidR="00263A3F" w:rsidRPr="004B36B2">
        <w:rPr>
          <w:rFonts w:asciiTheme="majorBidi" w:hAnsiTheme="majorBidi" w:cstheme="majorBidi"/>
          <w:i/>
          <w:color w:val="000000" w:themeColor="text1"/>
          <w:szCs w:val="24"/>
        </w:rPr>
        <w:t>,</w:t>
      </w:r>
      <w:r w:rsidR="00B12D0C" w:rsidRPr="004B36B2">
        <w:rPr>
          <w:rFonts w:asciiTheme="majorBidi" w:hAnsiTheme="majorBidi" w:cstheme="majorBidi"/>
          <w:i/>
          <w:color w:val="000000" w:themeColor="text1"/>
          <w:szCs w:val="24"/>
        </w:rPr>
        <w:t xml:space="preserve"> </w:t>
      </w:r>
      <w:r w:rsidR="00B12D0C" w:rsidRPr="004B36B2">
        <w:rPr>
          <w:rFonts w:asciiTheme="majorBidi" w:hAnsiTheme="majorBidi" w:cstheme="majorBidi"/>
          <w:noProof/>
          <w:color w:val="000000" w:themeColor="text1"/>
          <w:szCs w:val="24"/>
        </w:rPr>
        <w:t>and</w:t>
      </w:r>
      <w:r w:rsidR="00B12D0C" w:rsidRPr="004B36B2">
        <w:rPr>
          <w:rFonts w:asciiTheme="majorBidi" w:hAnsiTheme="majorBidi" w:cstheme="majorBidi"/>
          <w:color w:val="000000" w:themeColor="text1"/>
          <w:szCs w:val="24"/>
        </w:rPr>
        <w:t xml:space="preserve"> </w:t>
      </w:r>
      <w:r w:rsidR="00B12D0C" w:rsidRPr="004B36B2">
        <w:rPr>
          <w:rFonts w:asciiTheme="majorBidi" w:hAnsiTheme="majorBidi" w:cstheme="majorBidi"/>
          <w:i/>
          <w:color w:val="000000" w:themeColor="text1"/>
          <w:szCs w:val="24"/>
        </w:rPr>
        <w:t>Gurukul</w:t>
      </w:r>
      <w:r w:rsidR="00025E0E" w:rsidRPr="004B36B2">
        <w:rPr>
          <w:rFonts w:asciiTheme="majorBidi" w:hAnsiTheme="majorBidi" w:cstheme="majorBidi"/>
          <w:i/>
          <w:color w:val="000000" w:themeColor="text1"/>
          <w:szCs w:val="24"/>
        </w:rPr>
        <w:t>,</w:t>
      </w:r>
      <w:r w:rsidR="00B12D0C" w:rsidRPr="004B36B2">
        <w:rPr>
          <w:rFonts w:asciiTheme="majorBidi" w:hAnsiTheme="majorBidi" w:cstheme="majorBidi"/>
          <w:i/>
          <w:color w:val="000000" w:themeColor="text1"/>
          <w:szCs w:val="24"/>
        </w:rPr>
        <w:t xml:space="preserve"> </w:t>
      </w:r>
      <w:r w:rsidR="00B04D34" w:rsidRPr="004B36B2">
        <w:rPr>
          <w:rFonts w:asciiTheme="majorBidi" w:hAnsiTheme="majorBidi" w:cstheme="majorBidi"/>
          <w:color w:val="000000" w:themeColor="text1"/>
          <w:szCs w:val="24"/>
        </w:rPr>
        <w:t xml:space="preserve">they </w:t>
      </w:r>
      <w:r w:rsidR="00B12D0C" w:rsidRPr="004B36B2">
        <w:rPr>
          <w:rFonts w:asciiTheme="majorBidi" w:hAnsiTheme="majorBidi" w:cstheme="majorBidi"/>
          <w:color w:val="000000" w:themeColor="text1"/>
          <w:szCs w:val="24"/>
        </w:rPr>
        <w:t xml:space="preserve">are </w:t>
      </w:r>
      <w:r w:rsidR="00025E0E" w:rsidRPr="004B36B2">
        <w:rPr>
          <w:rFonts w:asciiTheme="majorBidi" w:hAnsiTheme="majorBidi" w:cstheme="majorBidi"/>
          <w:color w:val="000000" w:themeColor="text1"/>
          <w:szCs w:val="24"/>
        </w:rPr>
        <w:t>fe</w:t>
      </w:r>
      <w:r w:rsidR="00F85ECC" w:rsidRPr="004B36B2">
        <w:rPr>
          <w:rFonts w:asciiTheme="majorBidi" w:hAnsiTheme="majorBidi" w:cstheme="majorBidi"/>
          <w:color w:val="000000" w:themeColor="text1"/>
          <w:szCs w:val="24"/>
        </w:rPr>
        <w:t>w in number</w:t>
      </w:r>
      <w:r w:rsidR="00025E0E" w:rsidRPr="004B36B2">
        <w:rPr>
          <w:rFonts w:asciiTheme="majorBidi" w:hAnsiTheme="majorBidi" w:cstheme="majorBidi"/>
          <w:color w:val="000000" w:themeColor="text1"/>
          <w:szCs w:val="24"/>
        </w:rPr>
        <w:t xml:space="preserve"> and </w:t>
      </w:r>
      <w:r w:rsidR="00F85ECC" w:rsidRPr="004B36B2">
        <w:rPr>
          <w:rFonts w:asciiTheme="majorBidi" w:hAnsiTheme="majorBidi" w:cstheme="majorBidi"/>
          <w:color w:val="000000" w:themeColor="text1"/>
          <w:szCs w:val="24"/>
        </w:rPr>
        <w:t xml:space="preserve">are </w:t>
      </w:r>
      <w:r w:rsidR="00B12D0C" w:rsidRPr="004B36B2">
        <w:rPr>
          <w:rFonts w:asciiTheme="majorBidi" w:hAnsiTheme="majorBidi" w:cstheme="majorBidi"/>
          <w:color w:val="000000" w:themeColor="text1"/>
          <w:szCs w:val="24"/>
        </w:rPr>
        <w:t>operated and funded by the religious organization</w:t>
      </w:r>
      <w:r w:rsidR="00E56CB2" w:rsidRPr="004B36B2">
        <w:rPr>
          <w:rFonts w:asciiTheme="majorBidi" w:hAnsiTheme="majorBidi" w:cstheme="majorBidi"/>
          <w:color w:val="000000" w:themeColor="text1"/>
          <w:szCs w:val="24"/>
        </w:rPr>
        <w:t>s</w:t>
      </w:r>
      <w:r w:rsidR="00B12D0C" w:rsidRPr="004B36B2">
        <w:rPr>
          <w:rFonts w:asciiTheme="majorBidi" w:hAnsiTheme="majorBidi" w:cstheme="majorBidi"/>
          <w:color w:val="000000" w:themeColor="text1"/>
          <w:szCs w:val="24"/>
        </w:rPr>
        <w:t>.</w:t>
      </w:r>
      <w:r w:rsidR="00B563A6" w:rsidRPr="004B36B2">
        <w:rPr>
          <w:rFonts w:asciiTheme="majorBidi" w:hAnsiTheme="majorBidi" w:cstheme="majorBidi"/>
          <w:color w:val="000000" w:themeColor="text1"/>
          <w:szCs w:val="24"/>
        </w:rPr>
        <w:t xml:space="preserve"> </w:t>
      </w:r>
    </w:p>
    <w:p w14:paraId="761B9190" w14:textId="77777777" w:rsidR="009D22DE" w:rsidRPr="00E54F60" w:rsidRDefault="009D22DE" w:rsidP="00283A3C">
      <w:pPr>
        <w:autoSpaceDE w:val="0"/>
        <w:autoSpaceDN w:val="0"/>
        <w:adjustRightInd w:val="0"/>
        <w:spacing w:line="288" w:lineRule="auto"/>
        <w:jc w:val="both"/>
        <w:rPr>
          <w:rFonts w:asciiTheme="majorBidi" w:hAnsiTheme="majorBidi" w:cstheme="majorBidi"/>
          <w:color w:val="000000" w:themeColor="text1"/>
          <w:sz w:val="18"/>
          <w:szCs w:val="18"/>
        </w:rPr>
      </w:pPr>
    </w:p>
    <w:p w14:paraId="16927C83" w14:textId="1AAC33A8" w:rsidR="00F40CFB" w:rsidRDefault="00F36702" w:rsidP="00283A3C">
      <w:pPr>
        <w:autoSpaceDE w:val="0"/>
        <w:autoSpaceDN w:val="0"/>
        <w:adjustRightInd w:val="0"/>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For a long time (1850-1950) under the rule of </w:t>
      </w:r>
      <w:r w:rsidRPr="004B36B2">
        <w:rPr>
          <w:rFonts w:asciiTheme="majorBidi" w:hAnsiTheme="majorBidi" w:cstheme="majorBidi"/>
          <w:i/>
          <w:color w:val="000000" w:themeColor="text1"/>
          <w:szCs w:val="24"/>
        </w:rPr>
        <w:t>Rana</w:t>
      </w:r>
      <w:r w:rsidRPr="004B36B2">
        <w:rPr>
          <w:rFonts w:asciiTheme="majorBidi" w:hAnsiTheme="majorBidi" w:cstheme="majorBidi"/>
          <w:color w:val="000000" w:themeColor="text1"/>
          <w:szCs w:val="24"/>
        </w:rPr>
        <w:t xml:space="preserve">, </w:t>
      </w:r>
      <w:r w:rsidR="00E56CB2" w:rsidRPr="004B36B2">
        <w:rPr>
          <w:rFonts w:asciiTheme="majorBidi" w:hAnsiTheme="majorBidi" w:cstheme="majorBidi"/>
          <w:color w:val="000000" w:themeColor="text1"/>
          <w:szCs w:val="24"/>
        </w:rPr>
        <w:t>education in</w:t>
      </w:r>
      <w:r w:rsidRPr="004B36B2">
        <w:rPr>
          <w:rFonts w:asciiTheme="majorBidi" w:hAnsiTheme="majorBidi" w:cstheme="majorBidi"/>
          <w:color w:val="000000" w:themeColor="text1"/>
          <w:szCs w:val="24"/>
        </w:rPr>
        <w:t xml:space="preserve"> Nepal was centralized and limited to the ruling and </w:t>
      </w:r>
      <w:r w:rsidRPr="004B36B2">
        <w:rPr>
          <w:rFonts w:asciiTheme="majorBidi" w:hAnsiTheme="majorBidi" w:cstheme="majorBidi"/>
          <w:i/>
          <w:color w:val="000000" w:themeColor="text1"/>
          <w:szCs w:val="24"/>
        </w:rPr>
        <w:t>high caste</w:t>
      </w:r>
      <w:r w:rsidRPr="004B36B2">
        <w:rPr>
          <w:rFonts w:asciiTheme="majorBidi" w:hAnsiTheme="majorBidi" w:cstheme="majorBidi"/>
          <w:color w:val="000000" w:themeColor="text1"/>
          <w:szCs w:val="24"/>
        </w:rPr>
        <w:t xml:space="preserve"> elites. The end of </w:t>
      </w:r>
      <w:r w:rsidRPr="004B36B2">
        <w:rPr>
          <w:rFonts w:asciiTheme="majorBidi" w:hAnsiTheme="majorBidi" w:cstheme="majorBidi"/>
          <w:i/>
          <w:color w:val="000000" w:themeColor="text1"/>
          <w:szCs w:val="24"/>
        </w:rPr>
        <w:t>Rana</w:t>
      </w:r>
      <w:r w:rsidRPr="004B36B2">
        <w:rPr>
          <w:rFonts w:asciiTheme="majorBidi" w:hAnsiTheme="majorBidi" w:cstheme="majorBidi"/>
          <w:color w:val="000000" w:themeColor="text1"/>
          <w:szCs w:val="24"/>
        </w:rPr>
        <w:t xml:space="preserve"> period brought the provision of </w:t>
      </w:r>
      <w:r w:rsidR="003E0D87" w:rsidRPr="004B36B2">
        <w:rPr>
          <w:rFonts w:asciiTheme="majorBidi" w:hAnsiTheme="majorBidi" w:cstheme="majorBidi"/>
          <w:color w:val="000000" w:themeColor="text1"/>
          <w:szCs w:val="24"/>
        </w:rPr>
        <w:t xml:space="preserve">the </w:t>
      </w:r>
      <w:r w:rsidRPr="004B36B2">
        <w:rPr>
          <w:rFonts w:asciiTheme="majorBidi" w:hAnsiTheme="majorBidi" w:cstheme="majorBidi"/>
          <w:noProof/>
          <w:color w:val="000000" w:themeColor="text1"/>
          <w:szCs w:val="24"/>
        </w:rPr>
        <w:t>decentralized</w:t>
      </w:r>
      <w:r w:rsidRPr="004B36B2">
        <w:rPr>
          <w:rFonts w:asciiTheme="majorBidi" w:hAnsiTheme="majorBidi" w:cstheme="majorBidi"/>
          <w:color w:val="000000" w:themeColor="text1"/>
          <w:szCs w:val="24"/>
        </w:rPr>
        <w:t xml:space="preserve"> education system in Nepal</w:t>
      </w:r>
      <w:r w:rsidR="00326B8C" w:rsidRPr="004B36B2">
        <w:rPr>
          <w:rFonts w:asciiTheme="majorBidi" w:hAnsiTheme="majorBidi" w:cstheme="majorBidi"/>
          <w:color w:val="000000" w:themeColor="text1"/>
          <w:szCs w:val="24"/>
        </w:rPr>
        <w:t>, and</w:t>
      </w:r>
      <w:r w:rsidR="00F40CFB" w:rsidRPr="004B36B2">
        <w:rPr>
          <w:rFonts w:asciiTheme="majorBidi" w:hAnsiTheme="majorBidi" w:cstheme="majorBidi"/>
          <w:color w:val="000000" w:themeColor="text1"/>
          <w:szCs w:val="24"/>
        </w:rPr>
        <w:t xml:space="preserve"> </w:t>
      </w:r>
      <w:r w:rsidR="003C3835" w:rsidRPr="004B36B2">
        <w:rPr>
          <w:rFonts w:asciiTheme="majorBidi" w:hAnsiTheme="majorBidi" w:cstheme="majorBidi"/>
          <w:color w:val="000000" w:themeColor="text1"/>
          <w:szCs w:val="24"/>
        </w:rPr>
        <w:t>d</w:t>
      </w:r>
      <w:r w:rsidRPr="004B36B2">
        <w:rPr>
          <w:rFonts w:asciiTheme="majorBidi" w:hAnsiTheme="majorBidi" w:cstheme="majorBidi"/>
          <w:color w:val="000000" w:themeColor="text1"/>
          <w:szCs w:val="24"/>
        </w:rPr>
        <w:t>ur</w:t>
      </w:r>
      <w:r w:rsidR="00FB01D1" w:rsidRPr="004B36B2">
        <w:rPr>
          <w:rFonts w:asciiTheme="majorBidi" w:hAnsiTheme="majorBidi" w:cstheme="majorBidi"/>
          <w:color w:val="000000" w:themeColor="text1"/>
          <w:szCs w:val="24"/>
        </w:rPr>
        <w:t xml:space="preserve">ing the </w:t>
      </w:r>
      <w:r w:rsidR="00FB01D1" w:rsidRPr="004B36B2">
        <w:rPr>
          <w:rFonts w:asciiTheme="majorBidi" w:hAnsiTheme="majorBidi" w:cstheme="majorBidi"/>
          <w:i/>
          <w:color w:val="000000" w:themeColor="text1"/>
          <w:szCs w:val="24"/>
        </w:rPr>
        <w:t>Panchayat</w:t>
      </w:r>
      <w:r w:rsidR="00FB01D1" w:rsidRPr="004B36B2">
        <w:rPr>
          <w:rFonts w:asciiTheme="majorBidi" w:hAnsiTheme="majorBidi" w:cstheme="majorBidi"/>
          <w:color w:val="000000" w:themeColor="text1"/>
          <w:szCs w:val="24"/>
        </w:rPr>
        <w:t xml:space="preserve"> system</w:t>
      </w:r>
      <w:r w:rsidRPr="004B36B2">
        <w:rPr>
          <w:rFonts w:asciiTheme="majorBidi" w:hAnsiTheme="majorBidi" w:cstheme="majorBidi"/>
          <w:color w:val="000000" w:themeColor="text1"/>
          <w:szCs w:val="24"/>
        </w:rPr>
        <w:t xml:space="preserve">, the </w:t>
      </w:r>
      <w:r w:rsidR="00401E7B" w:rsidRPr="004B36B2">
        <w:rPr>
          <w:rFonts w:asciiTheme="majorBidi" w:hAnsiTheme="majorBidi" w:cstheme="majorBidi"/>
          <w:color w:val="000000" w:themeColor="text1"/>
          <w:szCs w:val="24"/>
        </w:rPr>
        <w:t>1971 Education A</w:t>
      </w:r>
      <w:r w:rsidRPr="004B36B2">
        <w:rPr>
          <w:rFonts w:asciiTheme="majorBidi" w:hAnsiTheme="majorBidi" w:cstheme="majorBidi"/>
          <w:color w:val="000000" w:themeColor="text1"/>
          <w:szCs w:val="24"/>
        </w:rPr>
        <w:t>ct was introduced along with the national education plan to natio</w:t>
      </w:r>
      <w:r w:rsidR="00B04D34" w:rsidRPr="004B36B2">
        <w:rPr>
          <w:rFonts w:asciiTheme="majorBidi" w:hAnsiTheme="majorBidi" w:cstheme="majorBidi"/>
          <w:color w:val="000000" w:themeColor="text1"/>
          <w:szCs w:val="24"/>
        </w:rPr>
        <w:t>nalize school education</w:t>
      </w:r>
      <w:r w:rsidRPr="004B36B2">
        <w:rPr>
          <w:rFonts w:asciiTheme="majorBidi" w:hAnsiTheme="majorBidi" w:cstheme="majorBidi"/>
          <w:color w:val="000000" w:themeColor="text1"/>
          <w:szCs w:val="24"/>
        </w:rPr>
        <w:t xml:space="preserve">. These schools were managed at </w:t>
      </w:r>
      <w:r w:rsidR="003E0D87" w:rsidRPr="004B36B2">
        <w:rPr>
          <w:rFonts w:asciiTheme="majorBidi" w:hAnsiTheme="majorBidi" w:cstheme="majorBidi"/>
          <w:color w:val="000000" w:themeColor="text1"/>
          <w:szCs w:val="24"/>
        </w:rPr>
        <w:t xml:space="preserve">the </w:t>
      </w:r>
      <w:r w:rsidRPr="004B36B2">
        <w:rPr>
          <w:rFonts w:asciiTheme="majorBidi" w:hAnsiTheme="majorBidi" w:cstheme="majorBidi"/>
          <w:noProof/>
          <w:color w:val="000000" w:themeColor="text1"/>
          <w:szCs w:val="24"/>
        </w:rPr>
        <w:t>local</w:t>
      </w:r>
      <w:r w:rsidRPr="004B36B2">
        <w:rPr>
          <w:rFonts w:asciiTheme="majorBidi" w:hAnsiTheme="majorBidi" w:cstheme="majorBidi"/>
          <w:color w:val="000000" w:themeColor="text1"/>
          <w:szCs w:val="24"/>
        </w:rPr>
        <w:t xml:space="preserve"> level with </w:t>
      </w:r>
      <w:r w:rsidRPr="004B36B2">
        <w:rPr>
          <w:rFonts w:asciiTheme="majorBidi" w:hAnsiTheme="majorBidi" w:cstheme="majorBidi"/>
          <w:noProof/>
          <w:color w:val="000000" w:themeColor="text1"/>
          <w:szCs w:val="24"/>
        </w:rPr>
        <w:t>centralized</w:t>
      </w:r>
      <w:r w:rsidRPr="004B36B2">
        <w:rPr>
          <w:rFonts w:asciiTheme="majorBidi" w:hAnsiTheme="majorBidi" w:cstheme="majorBidi"/>
          <w:color w:val="000000" w:themeColor="text1"/>
          <w:szCs w:val="24"/>
        </w:rPr>
        <w:t xml:space="preserve"> control. </w:t>
      </w:r>
      <w:r w:rsidR="001A4F37" w:rsidRPr="004B36B2">
        <w:rPr>
          <w:rFonts w:asciiTheme="majorBidi" w:hAnsiTheme="majorBidi" w:cstheme="majorBidi"/>
          <w:color w:val="000000" w:themeColor="text1"/>
          <w:szCs w:val="24"/>
        </w:rPr>
        <w:t xml:space="preserve">Later, in an effort to decentralise management of public schools, the </w:t>
      </w:r>
      <w:r w:rsidRPr="004B36B2">
        <w:rPr>
          <w:rFonts w:asciiTheme="majorBidi" w:hAnsiTheme="majorBidi" w:cstheme="majorBidi"/>
          <w:color w:val="000000" w:themeColor="text1"/>
          <w:szCs w:val="24"/>
        </w:rPr>
        <w:t>EASA 2001</w:t>
      </w:r>
      <w:r w:rsidR="001435E8" w:rsidRPr="004B36B2">
        <w:rPr>
          <w:rFonts w:asciiTheme="majorBidi" w:hAnsiTheme="majorBidi" w:cstheme="majorBidi"/>
          <w:color w:val="000000" w:themeColor="text1"/>
          <w:szCs w:val="24"/>
        </w:rPr>
        <w:t xml:space="preserve"> (</w:t>
      </w:r>
      <w:r w:rsidR="001435E8" w:rsidRPr="004B36B2">
        <w:rPr>
          <w:rFonts w:asciiTheme="majorBidi" w:hAnsiTheme="majorBidi" w:cstheme="majorBidi"/>
          <w:bCs/>
          <w:color w:val="000000" w:themeColor="text1"/>
          <w:szCs w:val="24"/>
          <w:lang w:val="en-CA"/>
        </w:rPr>
        <w:t>Education Act Seventh Amendment</w:t>
      </w:r>
      <w:r w:rsidR="001A4F37"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has </w:t>
      </w:r>
      <w:r w:rsidR="00E56CB2" w:rsidRPr="004B36B2">
        <w:rPr>
          <w:rFonts w:asciiTheme="majorBidi" w:hAnsiTheme="majorBidi" w:cstheme="majorBidi"/>
          <w:color w:val="000000" w:themeColor="text1"/>
          <w:szCs w:val="24"/>
        </w:rPr>
        <w:t xml:space="preserve">aided establishing </w:t>
      </w:r>
      <w:r w:rsidR="00F85ECC" w:rsidRPr="004B36B2">
        <w:rPr>
          <w:rFonts w:asciiTheme="majorBidi" w:hAnsiTheme="majorBidi" w:cstheme="majorBidi"/>
          <w:color w:val="000000" w:themeColor="text1"/>
          <w:szCs w:val="24"/>
        </w:rPr>
        <w:t>s</w:t>
      </w:r>
      <w:r w:rsidR="00F40CFB" w:rsidRPr="004B36B2">
        <w:rPr>
          <w:rFonts w:asciiTheme="majorBidi" w:hAnsiTheme="majorBidi" w:cstheme="majorBidi"/>
          <w:color w:val="000000" w:themeColor="text1"/>
          <w:szCs w:val="24"/>
        </w:rPr>
        <w:t xml:space="preserve">chool </w:t>
      </w:r>
      <w:r w:rsidR="00F85ECC" w:rsidRPr="004B36B2">
        <w:rPr>
          <w:rFonts w:asciiTheme="majorBidi" w:hAnsiTheme="majorBidi" w:cstheme="majorBidi"/>
          <w:color w:val="000000" w:themeColor="text1"/>
          <w:szCs w:val="24"/>
        </w:rPr>
        <w:t>management c</w:t>
      </w:r>
      <w:r w:rsidR="00F40CFB" w:rsidRPr="004B36B2">
        <w:rPr>
          <w:rFonts w:asciiTheme="majorBidi" w:hAnsiTheme="majorBidi" w:cstheme="majorBidi"/>
          <w:color w:val="000000" w:themeColor="text1"/>
          <w:szCs w:val="24"/>
        </w:rPr>
        <w:t>ommittee</w:t>
      </w:r>
      <w:r w:rsidR="00E56CB2" w:rsidRPr="004B36B2">
        <w:rPr>
          <w:rFonts w:asciiTheme="majorBidi" w:hAnsiTheme="majorBidi" w:cstheme="majorBidi"/>
          <w:color w:val="000000" w:themeColor="text1"/>
          <w:szCs w:val="24"/>
        </w:rPr>
        <w:t>s</w:t>
      </w:r>
      <w:r w:rsidR="00F40CFB" w:rsidRPr="004B36B2">
        <w:rPr>
          <w:rFonts w:asciiTheme="majorBidi" w:hAnsiTheme="majorBidi" w:cstheme="majorBidi"/>
          <w:color w:val="000000" w:themeColor="text1"/>
          <w:szCs w:val="24"/>
        </w:rPr>
        <w:t xml:space="preserve"> (SMC) </w:t>
      </w:r>
      <w:r w:rsidRPr="004B36B2">
        <w:rPr>
          <w:rFonts w:asciiTheme="majorBidi" w:hAnsiTheme="majorBidi" w:cstheme="majorBidi"/>
          <w:color w:val="000000" w:themeColor="text1"/>
          <w:szCs w:val="24"/>
        </w:rPr>
        <w:t xml:space="preserve">with </w:t>
      </w:r>
      <w:r w:rsidR="001B0E72" w:rsidRPr="004B36B2">
        <w:rPr>
          <w:rFonts w:asciiTheme="majorBidi" w:hAnsiTheme="majorBidi" w:cstheme="majorBidi"/>
          <w:color w:val="000000" w:themeColor="text1"/>
          <w:szCs w:val="24"/>
        </w:rPr>
        <w:t>full representation of parents.</w:t>
      </w:r>
    </w:p>
    <w:p w14:paraId="5B466EB3" w14:textId="77777777" w:rsidR="009D22DE" w:rsidRPr="00E54F60" w:rsidRDefault="009D22DE" w:rsidP="00283A3C">
      <w:pPr>
        <w:autoSpaceDE w:val="0"/>
        <w:autoSpaceDN w:val="0"/>
        <w:adjustRightInd w:val="0"/>
        <w:spacing w:line="288" w:lineRule="auto"/>
        <w:ind w:firstLine="720"/>
        <w:jc w:val="both"/>
        <w:rPr>
          <w:rFonts w:asciiTheme="majorBidi" w:hAnsiTheme="majorBidi" w:cstheme="majorBidi"/>
          <w:color w:val="000000" w:themeColor="text1"/>
          <w:sz w:val="18"/>
          <w:szCs w:val="18"/>
        </w:rPr>
      </w:pPr>
    </w:p>
    <w:p w14:paraId="0CBF639E" w14:textId="3811AB7C" w:rsidR="00C857EF" w:rsidRDefault="005D5B94" w:rsidP="00283A3C">
      <w:pPr>
        <w:autoSpaceDE w:val="0"/>
        <w:autoSpaceDN w:val="0"/>
        <w:adjustRightInd w:val="0"/>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More recently,</w:t>
      </w:r>
      <w:r w:rsidR="008C5659" w:rsidRPr="004B36B2">
        <w:rPr>
          <w:rFonts w:asciiTheme="majorBidi" w:hAnsiTheme="majorBidi" w:cstheme="majorBidi"/>
          <w:color w:val="000000" w:themeColor="text1"/>
          <w:szCs w:val="24"/>
        </w:rPr>
        <w:t xml:space="preserve"> u</w:t>
      </w:r>
      <w:r w:rsidR="00F40CFB" w:rsidRPr="004B36B2">
        <w:rPr>
          <w:rFonts w:asciiTheme="majorBidi" w:hAnsiTheme="majorBidi" w:cstheme="majorBidi"/>
          <w:color w:val="000000" w:themeColor="text1"/>
          <w:szCs w:val="24"/>
        </w:rPr>
        <w:t xml:space="preserve">niversal </w:t>
      </w:r>
      <w:r w:rsidR="005C3770" w:rsidRPr="004B36B2">
        <w:rPr>
          <w:rFonts w:asciiTheme="majorBidi" w:hAnsiTheme="majorBidi" w:cstheme="majorBidi"/>
          <w:color w:val="000000" w:themeColor="text1"/>
          <w:szCs w:val="24"/>
        </w:rPr>
        <w:t xml:space="preserve">free </w:t>
      </w:r>
      <w:r w:rsidR="00F40CFB" w:rsidRPr="004B36B2">
        <w:rPr>
          <w:rFonts w:asciiTheme="majorBidi" w:hAnsiTheme="majorBidi" w:cstheme="majorBidi"/>
          <w:color w:val="000000" w:themeColor="text1"/>
          <w:szCs w:val="24"/>
        </w:rPr>
        <w:t xml:space="preserve">education is seen as </w:t>
      </w:r>
      <w:r w:rsidRPr="004B36B2">
        <w:rPr>
          <w:rFonts w:asciiTheme="majorBidi" w:hAnsiTheme="majorBidi" w:cstheme="majorBidi"/>
          <w:color w:val="000000" w:themeColor="text1"/>
          <w:szCs w:val="24"/>
        </w:rPr>
        <w:t xml:space="preserve">a way to </w:t>
      </w:r>
      <w:r w:rsidR="00F40CFB" w:rsidRPr="004B36B2">
        <w:rPr>
          <w:rFonts w:asciiTheme="majorBidi" w:hAnsiTheme="majorBidi" w:cstheme="majorBidi"/>
          <w:color w:val="000000" w:themeColor="text1"/>
          <w:szCs w:val="24"/>
        </w:rPr>
        <w:t xml:space="preserve">address poverty and </w:t>
      </w:r>
      <w:r w:rsidRPr="004B36B2">
        <w:rPr>
          <w:rFonts w:asciiTheme="majorBidi" w:hAnsiTheme="majorBidi" w:cstheme="majorBidi"/>
          <w:color w:val="000000" w:themeColor="text1"/>
          <w:szCs w:val="24"/>
        </w:rPr>
        <w:t xml:space="preserve">to </w:t>
      </w:r>
      <w:r w:rsidR="00F40CFB" w:rsidRPr="004B36B2">
        <w:rPr>
          <w:rFonts w:asciiTheme="majorBidi" w:hAnsiTheme="majorBidi" w:cstheme="majorBidi"/>
          <w:color w:val="000000" w:themeColor="text1"/>
          <w:szCs w:val="24"/>
        </w:rPr>
        <w:t xml:space="preserve">achieve </w:t>
      </w:r>
      <w:r w:rsidR="007E1659" w:rsidRPr="004B36B2">
        <w:rPr>
          <w:rFonts w:asciiTheme="majorBidi" w:hAnsiTheme="majorBidi" w:cstheme="majorBidi"/>
          <w:color w:val="000000" w:themeColor="text1"/>
          <w:szCs w:val="24"/>
        </w:rPr>
        <w:t xml:space="preserve">high </w:t>
      </w:r>
      <w:r w:rsidR="00F40CFB" w:rsidRPr="004B36B2">
        <w:rPr>
          <w:rFonts w:asciiTheme="majorBidi" w:hAnsiTheme="majorBidi" w:cstheme="majorBidi"/>
          <w:color w:val="000000" w:themeColor="text1"/>
          <w:szCs w:val="24"/>
        </w:rPr>
        <w:t xml:space="preserve">economic </w:t>
      </w:r>
      <w:r w:rsidR="00A848FE" w:rsidRPr="004B36B2">
        <w:rPr>
          <w:rFonts w:asciiTheme="majorBidi" w:hAnsiTheme="majorBidi" w:cstheme="majorBidi"/>
          <w:color w:val="000000" w:themeColor="text1"/>
          <w:szCs w:val="24"/>
        </w:rPr>
        <w:t xml:space="preserve">growth. </w:t>
      </w:r>
      <w:r w:rsidR="001B009D" w:rsidRPr="004B36B2">
        <w:rPr>
          <w:rFonts w:asciiTheme="majorBidi" w:hAnsiTheme="majorBidi" w:cstheme="majorBidi"/>
          <w:color w:val="000000" w:themeColor="text1"/>
          <w:szCs w:val="24"/>
        </w:rPr>
        <w:t xml:space="preserve">To boost the universal access to quality education, </w:t>
      </w:r>
      <w:r w:rsidR="009F2EC3" w:rsidRPr="004B36B2">
        <w:rPr>
          <w:rFonts w:asciiTheme="majorBidi" w:hAnsiTheme="majorBidi" w:cstheme="majorBidi"/>
          <w:color w:val="000000" w:themeColor="text1"/>
          <w:szCs w:val="24"/>
        </w:rPr>
        <w:t>Ministry of Education (M</w:t>
      </w:r>
      <w:r w:rsidR="001B009D" w:rsidRPr="004B36B2">
        <w:rPr>
          <w:rFonts w:asciiTheme="majorBidi" w:hAnsiTheme="majorBidi" w:cstheme="majorBidi"/>
          <w:color w:val="000000" w:themeColor="text1"/>
          <w:szCs w:val="24"/>
        </w:rPr>
        <w:t>OE</w:t>
      </w:r>
      <w:r w:rsidR="009F2EC3" w:rsidRPr="004B36B2">
        <w:rPr>
          <w:rFonts w:asciiTheme="majorBidi" w:hAnsiTheme="majorBidi" w:cstheme="majorBidi"/>
          <w:color w:val="000000" w:themeColor="text1"/>
          <w:szCs w:val="24"/>
        </w:rPr>
        <w:t>)</w:t>
      </w:r>
      <w:r w:rsidR="001B009D" w:rsidRPr="004B36B2">
        <w:rPr>
          <w:rFonts w:asciiTheme="majorBidi" w:hAnsiTheme="majorBidi" w:cstheme="majorBidi"/>
          <w:color w:val="000000" w:themeColor="text1"/>
          <w:szCs w:val="24"/>
        </w:rPr>
        <w:t xml:space="preserve"> has initiated a number of strategies and reform program</w:t>
      </w:r>
      <w:r w:rsidR="006C5A7D" w:rsidRPr="004B36B2">
        <w:rPr>
          <w:rFonts w:asciiTheme="majorBidi" w:hAnsiTheme="majorBidi" w:cstheme="majorBidi"/>
          <w:color w:val="000000" w:themeColor="text1"/>
          <w:szCs w:val="24"/>
        </w:rPr>
        <w:t>s</w:t>
      </w:r>
      <w:r w:rsidR="001B009D" w:rsidRPr="004B36B2">
        <w:rPr>
          <w:rFonts w:asciiTheme="majorBidi" w:hAnsiTheme="majorBidi" w:cstheme="majorBidi"/>
          <w:color w:val="000000" w:themeColor="text1"/>
          <w:szCs w:val="24"/>
        </w:rPr>
        <w:t xml:space="preserve"> including BPEP I (1992-</w:t>
      </w:r>
      <w:r w:rsidR="00D772AE" w:rsidRPr="004B36B2">
        <w:rPr>
          <w:rFonts w:asciiTheme="majorBidi" w:hAnsiTheme="majorBidi" w:cstheme="majorBidi"/>
          <w:color w:val="000000" w:themeColor="text1"/>
          <w:szCs w:val="24"/>
        </w:rPr>
        <w:t>19</w:t>
      </w:r>
      <w:r w:rsidR="001B009D" w:rsidRPr="004B36B2">
        <w:rPr>
          <w:rFonts w:asciiTheme="majorBidi" w:hAnsiTheme="majorBidi" w:cstheme="majorBidi"/>
          <w:color w:val="000000" w:themeColor="text1"/>
          <w:szCs w:val="24"/>
        </w:rPr>
        <w:t xml:space="preserve">98), BPEP-II (1998-2003), EFA program (2001-08), </w:t>
      </w:r>
      <w:r w:rsidR="006C5A7D" w:rsidRPr="004B36B2">
        <w:rPr>
          <w:rFonts w:asciiTheme="majorBidi" w:hAnsiTheme="majorBidi" w:cstheme="majorBidi"/>
          <w:color w:val="000000" w:themeColor="text1"/>
          <w:szCs w:val="24"/>
        </w:rPr>
        <w:t xml:space="preserve">and </w:t>
      </w:r>
      <w:r w:rsidR="00B86FA7" w:rsidRPr="004B36B2">
        <w:rPr>
          <w:rFonts w:asciiTheme="majorBidi" w:hAnsiTheme="majorBidi" w:cstheme="majorBidi"/>
          <w:color w:val="000000" w:themeColor="text1"/>
          <w:szCs w:val="24"/>
        </w:rPr>
        <w:t xml:space="preserve">SSRP (2009-2015). </w:t>
      </w:r>
      <w:r w:rsidR="001B009D" w:rsidRPr="004B36B2">
        <w:rPr>
          <w:rFonts w:asciiTheme="majorBidi" w:hAnsiTheme="majorBidi" w:cstheme="majorBidi"/>
          <w:color w:val="000000" w:themeColor="text1"/>
          <w:szCs w:val="24"/>
          <w:lang w:eastAsia="en-GB"/>
        </w:rPr>
        <w:t>Through these programs, M</w:t>
      </w:r>
      <w:r w:rsidR="00D04B4E" w:rsidRPr="004B36B2">
        <w:rPr>
          <w:rFonts w:asciiTheme="majorBidi" w:hAnsiTheme="majorBidi" w:cstheme="majorBidi"/>
          <w:color w:val="000000" w:themeColor="text1"/>
          <w:szCs w:val="24"/>
          <w:lang w:eastAsia="en-GB"/>
        </w:rPr>
        <w:t>O</w:t>
      </w:r>
      <w:r w:rsidR="001B009D" w:rsidRPr="004B36B2">
        <w:rPr>
          <w:rFonts w:asciiTheme="majorBidi" w:hAnsiTheme="majorBidi" w:cstheme="majorBidi"/>
          <w:color w:val="000000" w:themeColor="text1"/>
          <w:szCs w:val="24"/>
          <w:lang w:eastAsia="en-GB"/>
        </w:rPr>
        <w:t xml:space="preserve">E </w:t>
      </w:r>
      <w:r w:rsidR="00D54F1B" w:rsidRPr="004B36B2">
        <w:rPr>
          <w:rFonts w:asciiTheme="majorBidi" w:hAnsiTheme="majorBidi" w:cstheme="majorBidi"/>
          <w:color w:val="000000" w:themeColor="text1"/>
          <w:szCs w:val="24"/>
          <w:lang w:eastAsia="en-GB"/>
        </w:rPr>
        <w:t xml:space="preserve">has </w:t>
      </w:r>
      <w:r w:rsidR="001B009D" w:rsidRPr="004B36B2">
        <w:rPr>
          <w:rFonts w:asciiTheme="majorBidi" w:hAnsiTheme="majorBidi" w:cstheme="majorBidi"/>
          <w:color w:val="000000" w:themeColor="text1"/>
          <w:szCs w:val="24"/>
          <w:lang w:eastAsia="en-GB"/>
        </w:rPr>
        <w:t>in</w:t>
      </w:r>
      <w:r w:rsidR="007356DB" w:rsidRPr="004B36B2">
        <w:rPr>
          <w:rFonts w:asciiTheme="majorBidi" w:hAnsiTheme="majorBidi" w:cstheme="majorBidi"/>
          <w:color w:val="000000" w:themeColor="text1"/>
          <w:szCs w:val="24"/>
          <w:lang w:eastAsia="en-GB"/>
        </w:rPr>
        <w:t>troduced and developed planning and</w:t>
      </w:r>
      <w:r w:rsidR="001B009D" w:rsidRPr="004B36B2">
        <w:rPr>
          <w:rFonts w:asciiTheme="majorBidi" w:hAnsiTheme="majorBidi" w:cstheme="majorBidi"/>
          <w:color w:val="000000" w:themeColor="text1"/>
          <w:szCs w:val="24"/>
          <w:lang w:eastAsia="en-GB"/>
        </w:rPr>
        <w:t xml:space="preserve"> strategies to transform school education</w:t>
      </w:r>
      <w:r w:rsidR="006C5A7D" w:rsidRPr="004B36B2">
        <w:rPr>
          <w:rFonts w:asciiTheme="majorBidi" w:hAnsiTheme="majorBidi" w:cstheme="majorBidi"/>
          <w:color w:val="000000" w:themeColor="text1"/>
          <w:szCs w:val="24"/>
          <w:lang w:eastAsia="en-GB"/>
        </w:rPr>
        <w:t xml:space="preserve"> and increase </w:t>
      </w:r>
      <w:r w:rsidR="006C5A7D" w:rsidRPr="004B36B2">
        <w:rPr>
          <w:rFonts w:asciiTheme="majorBidi" w:hAnsiTheme="majorBidi" w:cstheme="majorBidi"/>
          <w:noProof/>
          <w:color w:val="000000" w:themeColor="text1"/>
          <w:szCs w:val="24"/>
          <w:lang w:eastAsia="en-GB"/>
        </w:rPr>
        <w:t>access</w:t>
      </w:r>
      <w:r w:rsidR="006C5A7D" w:rsidRPr="004B36B2">
        <w:rPr>
          <w:rFonts w:asciiTheme="majorBidi" w:hAnsiTheme="majorBidi" w:cstheme="majorBidi"/>
          <w:color w:val="000000" w:themeColor="text1"/>
          <w:szCs w:val="24"/>
          <w:lang w:eastAsia="en-GB"/>
        </w:rPr>
        <w:t xml:space="preserve"> to </w:t>
      </w:r>
      <w:r w:rsidR="001B0E72" w:rsidRPr="004B36B2">
        <w:rPr>
          <w:rFonts w:asciiTheme="majorBidi" w:hAnsiTheme="majorBidi" w:cstheme="majorBidi"/>
          <w:color w:val="000000" w:themeColor="text1"/>
          <w:szCs w:val="24"/>
          <w:lang w:eastAsia="en-GB"/>
        </w:rPr>
        <w:t xml:space="preserve">quality </w:t>
      </w:r>
      <w:r w:rsidR="006C5A7D" w:rsidRPr="004B36B2">
        <w:rPr>
          <w:rFonts w:asciiTheme="majorBidi" w:hAnsiTheme="majorBidi" w:cstheme="majorBidi"/>
          <w:color w:val="000000" w:themeColor="text1"/>
          <w:szCs w:val="24"/>
          <w:lang w:eastAsia="en-GB"/>
        </w:rPr>
        <w:t>education</w:t>
      </w:r>
      <w:r w:rsidR="001B009D" w:rsidRPr="004B36B2">
        <w:rPr>
          <w:rFonts w:asciiTheme="majorBidi" w:hAnsiTheme="majorBidi" w:cstheme="majorBidi"/>
          <w:color w:val="000000" w:themeColor="text1"/>
          <w:szCs w:val="24"/>
          <w:lang w:eastAsia="en-GB"/>
        </w:rPr>
        <w:t>.</w:t>
      </w:r>
      <w:r w:rsidR="0066198B" w:rsidRPr="004B36B2">
        <w:rPr>
          <w:rFonts w:asciiTheme="majorBidi" w:hAnsiTheme="majorBidi" w:cstheme="majorBidi"/>
          <w:color w:val="000000" w:themeColor="text1"/>
          <w:szCs w:val="24"/>
          <w:lang w:eastAsia="en-GB"/>
        </w:rPr>
        <w:t xml:space="preserve"> </w:t>
      </w:r>
      <w:r w:rsidR="00C857EF" w:rsidRPr="004B36B2">
        <w:rPr>
          <w:rFonts w:asciiTheme="majorBidi" w:hAnsiTheme="majorBidi" w:cstheme="majorBidi"/>
          <w:color w:val="000000" w:themeColor="text1"/>
          <w:szCs w:val="24"/>
          <w:lang w:eastAsia="en-GB"/>
        </w:rPr>
        <w:t>The Education for All (</w:t>
      </w:r>
      <w:r w:rsidR="00582888" w:rsidRPr="004B36B2">
        <w:rPr>
          <w:rFonts w:asciiTheme="majorBidi" w:hAnsiTheme="majorBidi" w:cstheme="majorBidi"/>
          <w:color w:val="000000" w:themeColor="text1"/>
          <w:szCs w:val="24"/>
        </w:rPr>
        <w:t>EFA</w:t>
      </w:r>
      <w:r w:rsidR="00C857EF" w:rsidRPr="004B36B2">
        <w:rPr>
          <w:rFonts w:asciiTheme="majorBidi" w:hAnsiTheme="majorBidi" w:cstheme="majorBidi"/>
          <w:color w:val="000000" w:themeColor="text1"/>
          <w:szCs w:val="24"/>
        </w:rPr>
        <w:t>)</w:t>
      </w:r>
      <w:r w:rsidR="00582888" w:rsidRPr="004B36B2">
        <w:rPr>
          <w:rFonts w:asciiTheme="majorBidi" w:hAnsiTheme="majorBidi" w:cstheme="majorBidi"/>
          <w:color w:val="000000" w:themeColor="text1"/>
          <w:szCs w:val="24"/>
        </w:rPr>
        <w:t xml:space="preserve"> program has </w:t>
      </w:r>
      <w:r w:rsidR="00B86FA7" w:rsidRPr="004B36B2">
        <w:rPr>
          <w:rFonts w:asciiTheme="majorBidi" w:hAnsiTheme="majorBidi" w:cstheme="majorBidi"/>
          <w:color w:val="000000" w:themeColor="text1"/>
          <w:szCs w:val="24"/>
        </w:rPr>
        <w:t xml:space="preserve">focused on improving access and quality of primary </w:t>
      </w:r>
      <w:r w:rsidR="00B86FA7" w:rsidRPr="004B36B2">
        <w:rPr>
          <w:rFonts w:asciiTheme="majorBidi" w:hAnsiTheme="majorBidi" w:cstheme="majorBidi"/>
          <w:noProof/>
          <w:color w:val="000000" w:themeColor="text1"/>
          <w:szCs w:val="24"/>
        </w:rPr>
        <w:t>education</w:t>
      </w:r>
      <w:r w:rsidR="007356DB" w:rsidRPr="004B36B2">
        <w:rPr>
          <w:rFonts w:asciiTheme="majorBidi" w:hAnsiTheme="majorBidi" w:cstheme="majorBidi"/>
          <w:color w:val="000000" w:themeColor="text1"/>
          <w:szCs w:val="24"/>
        </w:rPr>
        <w:t xml:space="preserve"> and supported</w:t>
      </w:r>
      <w:r w:rsidR="00B86FA7" w:rsidRPr="004B36B2">
        <w:rPr>
          <w:rFonts w:asciiTheme="majorBidi" w:hAnsiTheme="majorBidi" w:cstheme="majorBidi"/>
          <w:color w:val="000000" w:themeColor="text1"/>
          <w:szCs w:val="24"/>
        </w:rPr>
        <w:t xml:space="preserve"> </w:t>
      </w:r>
      <w:r w:rsidR="00A60FC6" w:rsidRPr="004B36B2">
        <w:rPr>
          <w:rFonts w:asciiTheme="majorBidi" w:hAnsiTheme="majorBidi" w:cstheme="majorBidi"/>
          <w:color w:val="000000" w:themeColor="text1"/>
          <w:szCs w:val="24"/>
        </w:rPr>
        <w:t xml:space="preserve">the </w:t>
      </w:r>
      <w:r w:rsidR="00B86FA7" w:rsidRPr="004B36B2">
        <w:rPr>
          <w:rFonts w:asciiTheme="majorBidi" w:hAnsiTheme="majorBidi" w:cstheme="majorBidi"/>
          <w:noProof/>
          <w:color w:val="000000" w:themeColor="text1"/>
          <w:szCs w:val="24"/>
        </w:rPr>
        <w:t>tradition</w:t>
      </w:r>
      <w:r w:rsidR="00B86FA7" w:rsidRPr="004B36B2">
        <w:rPr>
          <w:rFonts w:asciiTheme="majorBidi" w:hAnsiTheme="majorBidi" w:cstheme="majorBidi"/>
          <w:color w:val="000000" w:themeColor="text1"/>
          <w:szCs w:val="24"/>
        </w:rPr>
        <w:t xml:space="preserve"> of community </w:t>
      </w:r>
      <w:r w:rsidR="007356DB" w:rsidRPr="004B36B2">
        <w:rPr>
          <w:rFonts w:asciiTheme="majorBidi" w:hAnsiTheme="majorBidi" w:cstheme="majorBidi"/>
          <w:color w:val="000000" w:themeColor="text1"/>
          <w:szCs w:val="24"/>
        </w:rPr>
        <w:t xml:space="preserve">management in </w:t>
      </w:r>
      <w:r w:rsidR="00025E0E" w:rsidRPr="004B36B2">
        <w:rPr>
          <w:rFonts w:asciiTheme="majorBidi" w:hAnsiTheme="majorBidi" w:cstheme="majorBidi"/>
          <w:color w:val="000000" w:themeColor="text1"/>
          <w:szCs w:val="24"/>
        </w:rPr>
        <w:t>school</w:t>
      </w:r>
      <w:r w:rsidR="007356DB" w:rsidRPr="004B36B2">
        <w:rPr>
          <w:rFonts w:asciiTheme="majorBidi" w:hAnsiTheme="majorBidi" w:cstheme="majorBidi"/>
          <w:color w:val="000000" w:themeColor="text1"/>
          <w:szCs w:val="24"/>
        </w:rPr>
        <w:t xml:space="preserve">. </w:t>
      </w:r>
      <w:r w:rsidR="00B86FA7" w:rsidRPr="004B36B2">
        <w:rPr>
          <w:rFonts w:asciiTheme="majorBidi" w:hAnsiTheme="majorBidi" w:cstheme="majorBidi"/>
          <w:color w:val="000000" w:themeColor="text1"/>
          <w:szCs w:val="24"/>
        </w:rPr>
        <w:t>Under EFA</w:t>
      </w:r>
      <w:r w:rsidR="00A848FE" w:rsidRPr="004B36B2">
        <w:rPr>
          <w:rFonts w:asciiTheme="majorBidi" w:hAnsiTheme="majorBidi" w:cstheme="majorBidi"/>
          <w:color w:val="000000" w:themeColor="text1"/>
          <w:szCs w:val="24"/>
        </w:rPr>
        <w:t>,</w:t>
      </w:r>
      <w:r w:rsidR="00B86FA7" w:rsidRPr="004B36B2">
        <w:rPr>
          <w:rFonts w:asciiTheme="majorBidi" w:hAnsiTheme="majorBidi" w:cstheme="majorBidi"/>
          <w:color w:val="000000" w:themeColor="text1"/>
          <w:szCs w:val="24"/>
        </w:rPr>
        <w:t xml:space="preserve"> the government has supported free compulsory primary education to increase the participation from </w:t>
      </w:r>
      <w:r w:rsidR="00B86FA7" w:rsidRPr="004B36B2">
        <w:rPr>
          <w:rFonts w:asciiTheme="majorBidi" w:hAnsiTheme="majorBidi" w:cstheme="majorBidi"/>
          <w:noProof/>
          <w:color w:val="000000" w:themeColor="text1"/>
          <w:szCs w:val="24"/>
        </w:rPr>
        <w:t>disadvantage</w:t>
      </w:r>
      <w:r w:rsidR="002E543D" w:rsidRPr="004B36B2">
        <w:rPr>
          <w:rFonts w:asciiTheme="majorBidi" w:hAnsiTheme="majorBidi" w:cstheme="majorBidi"/>
          <w:noProof/>
          <w:color w:val="000000" w:themeColor="text1"/>
          <w:szCs w:val="24"/>
        </w:rPr>
        <w:t>d</w:t>
      </w:r>
      <w:r w:rsidR="00B86FA7" w:rsidRPr="004B36B2">
        <w:rPr>
          <w:rFonts w:asciiTheme="majorBidi" w:hAnsiTheme="majorBidi" w:cstheme="majorBidi"/>
          <w:color w:val="000000" w:themeColor="text1"/>
          <w:szCs w:val="24"/>
        </w:rPr>
        <w:t xml:space="preserve"> and marginalized group</w:t>
      </w:r>
      <w:r w:rsidRPr="004B36B2">
        <w:rPr>
          <w:rFonts w:asciiTheme="majorBidi" w:hAnsiTheme="majorBidi" w:cstheme="majorBidi"/>
          <w:color w:val="000000" w:themeColor="text1"/>
          <w:szCs w:val="24"/>
        </w:rPr>
        <w:t>s</w:t>
      </w:r>
      <w:r w:rsidR="00B86FA7" w:rsidRPr="004B36B2">
        <w:rPr>
          <w:rFonts w:asciiTheme="majorBidi" w:hAnsiTheme="majorBidi" w:cstheme="majorBidi"/>
          <w:color w:val="000000" w:themeColor="text1"/>
          <w:szCs w:val="24"/>
        </w:rPr>
        <w:t xml:space="preserve">. </w:t>
      </w:r>
      <w:r w:rsidR="007356DB" w:rsidRPr="004B36B2">
        <w:rPr>
          <w:rFonts w:asciiTheme="majorBidi" w:hAnsiTheme="majorBidi" w:cstheme="majorBidi"/>
          <w:color w:val="000000" w:themeColor="text1"/>
          <w:szCs w:val="24"/>
        </w:rPr>
        <w:t xml:space="preserve">To </w:t>
      </w:r>
      <w:r w:rsidR="00974172" w:rsidRPr="004B36B2">
        <w:rPr>
          <w:rFonts w:asciiTheme="majorBidi" w:hAnsiTheme="majorBidi" w:cstheme="majorBidi"/>
          <w:color w:val="000000" w:themeColor="text1"/>
          <w:szCs w:val="24"/>
        </w:rPr>
        <w:t xml:space="preserve">further increase access and complete </w:t>
      </w:r>
      <w:r w:rsidR="00974172" w:rsidRPr="004B36B2">
        <w:rPr>
          <w:rFonts w:asciiTheme="majorBidi" w:hAnsiTheme="majorBidi" w:cstheme="majorBidi"/>
          <w:noProof/>
          <w:color w:val="000000" w:themeColor="text1"/>
          <w:szCs w:val="24"/>
        </w:rPr>
        <w:t>education</w:t>
      </w:r>
      <w:r w:rsidR="00F85ECC" w:rsidRPr="004B36B2">
        <w:rPr>
          <w:rFonts w:asciiTheme="majorBidi" w:hAnsiTheme="majorBidi" w:cstheme="majorBidi"/>
          <w:noProof/>
          <w:color w:val="000000" w:themeColor="text1"/>
          <w:szCs w:val="24"/>
        </w:rPr>
        <w:t>al</w:t>
      </w:r>
      <w:r w:rsidR="00974172" w:rsidRPr="004B36B2">
        <w:rPr>
          <w:rFonts w:asciiTheme="majorBidi" w:hAnsiTheme="majorBidi" w:cstheme="majorBidi"/>
          <w:color w:val="000000" w:themeColor="text1"/>
          <w:szCs w:val="24"/>
        </w:rPr>
        <w:t xml:space="preserve"> sector</w:t>
      </w:r>
      <w:r w:rsidR="00F85ECC" w:rsidRPr="004B36B2">
        <w:rPr>
          <w:rFonts w:asciiTheme="majorBidi" w:hAnsiTheme="majorBidi" w:cstheme="majorBidi"/>
          <w:color w:val="000000" w:themeColor="text1"/>
          <w:szCs w:val="24"/>
        </w:rPr>
        <w:t xml:space="preserve"> reform</w:t>
      </w:r>
      <w:r w:rsidR="00974172" w:rsidRPr="004B36B2">
        <w:rPr>
          <w:rFonts w:asciiTheme="majorBidi" w:hAnsiTheme="majorBidi" w:cstheme="majorBidi"/>
          <w:color w:val="000000" w:themeColor="text1"/>
          <w:szCs w:val="24"/>
        </w:rPr>
        <w:t xml:space="preserve">, </w:t>
      </w:r>
      <w:r w:rsidR="002E543D" w:rsidRPr="004B36B2">
        <w:rPr>
          <w:rFonts w:asciiTheme="majorBidi" w:hAnsiTheme="majorBidi" w:cstheme="majorBidi"/>
          <w:color w:val="000000" w:themeColor="text1"/>
          <w:szCs w:val="24"/>
        </w:rPr>
        <w:t xml:space="preserve">the </w:t>
      </w:r>
      <w:r w:rsidR="00974172" w:rsidRPr="004B36B2">
        <w:rPr>
          <w:rFonts w:asciiTheme="majorBidi" w:hAnsiTheme="majorBidi" w:cstheme="majorBidi"/>
          <w:noProof/>
          <w:color w:val="000000" w:themeColor="text1"/>
          <w:szCs w:val="24"/>
        </w:rPr>
        <w:t>government</w:t>
      </w:r>
      <w:r w:rsidR="00974172" w:rsidRPr="004B36B2">
        <w:rPr>
          <w:rFonts w:asciiTheme="majorBidi" w:hAnsiTheme="majorBidi" w:cstheme="majorBidi"/>
          <w:color w:val="000000" w:themeColor="text1"/>
          <w:szCs w:val="24"/>
        </w:rPr>
        <w:t xml:space="preserve"> has introduced SSRP </w:t>
      </w:r>
      <w:r w:rsidR="001B0E72" w:rsidRPr="004B36B2">
        <w:rPr>
          <w:rFonts w:asciiTheme="majorBidi" w:hAnsiTheme="majorBidi" w:cstheme="majorBidi"/>
          <w:color w:val="000000" w:themeColor="text1"/>
          <w:szCs w:val="24"/>
        </w:rPr>
        <w:t>(</w:t>
      </w:r>
      <w:r w:rsidR="00974172" w:rsidRPr="004B36B2">
        <w:rPr>
          <w:rFonts w:asciiTheme="majorBidi" w:hAnsiTheme="majorBidi" w:cstheme="majorBidi"/>
          <w:color w:val="000000" w:themeColor="text1"/>
          <w:szCs w:val="24"/>
        </w:rPr>
        <w:t>2009-2015</w:t>
      </w:r>
      <w:r w:rsidR="001B0E72" w:rsidRPr="004B36B2">
        <w:rPr>
          <w:rFonts w:asciiTheme="majorBidi" w:hAnsiTheme="majorBidi" w:cstheme="majorBidi"/>
          <w:color w:val="000000" w:themeColor="text1"/>
          <w:szCs w:val="24"/>
        </w:rPr>
        <w:t>)</w:t>
      </w:r>
      <w:r w:rsidR="00974172" w:rsidRPr="004B36B2">
        <w:rPr>
          <w:rFonts w:asciiTheme="majorBidi" w:hAnsiTheme="majorBidi" w:cstheme="majorBidi"/>
          <w:color w:val="000000" w:themeColor="text1"/>
          <w:szCs w:val="24"/>
        </w:rPr>
        <w:t xml:space="preserve">. The main goal of SSRP was to </w:t>
      </w:r>
      <w:r w:rsidR="00B86FA7" w:rsidRPr="004B36B2">
        <w:rPr>
          <w:rFonts w:asciiTheme="majorBidi" w:hAnsiTheme="majorBidi" w:cstheme="majorBidi"/>
          <w:color w:val="000000" w:themeColor="text1"/>
          <w:szCs w:val="24"/>
        </w:rPr>
        <w:t xml:space="preserve">meet </w:t>
      </w:r>
      <w:r w:rsidR="00EC2968" w:rsidRPr="004B36B2">
        <w:rPr>
          <w:rFonts w:asciiTheme="majorBidi" w:hAnsiTheme="majorBidi" w:cstheme="majorBidi"/>
          <w:color w:val="000000" w:themeColor="text1"/>
          <w:szCs w:val="24"/>
        </w:rPr>
        <w:t>Millennium Development G</w:t>
      </w:r>
      <w:r w:rsidR="00B86FA7" w:rsidRPr="004B36B2">
        <w:rPr>
          <w:rFonts w:asciiTheme="majorBidi" w:hAnsiTheme="majorBidi" w:cstheme="majorBidi"/>
          <w:color w:val="000000" w:themeColor="text1"/>
          <w:szCs w:val="24"/>
        </w:rPr>
        <w:t>oal</w:t>
      </w:r>
      <w:r w:rsidR="00EC2968" w:rsidRPr="004B36B2">
        <w:rPr>
          <w:rFonts w:asciiTheme="majorBidi" w:hAnsiTheme="majorBidi" w:cstheme="majorBidi"/>
          <w:color w:val="000000" w:themeColor="text1"/>
          <w:szCs w:val="24"/>
        </w:rPr>
        <w:t>s</w:t>
      </w:r>
      <w:r w:rsidR="00B86FA7" w:rsidRPr="004B36B2">
        <w:rPr>
          <w:rFonts w:asciiTheme="majorBidi" w:hAnsiTheme="majorBidi" w:cstheme="majorBidi"/>
          <w:color w:val="000000" w:themeColor="text1"/>
          <w:szCs w:val="24"/>
        </w:rPr>
        <w:t xml:space="preserve"> in education, and </w:t>
      </w:r>
      <w:r w:rsidR="00974172" w:rsidRPr="004B36B2">
        <w:rPr>
          <w:rFonts w:asciiTheme="majorBidi" w:hAnsiTheme="majorBidi" w:cstheme="majorBidi"/>
          <w:color w:val="000000" w:themeColor="text1"/>
          <w:szCs w:val="24"/>
        </w:rPr>
        <w:t xml:space="preserve">it was </w:t>
      </w:r>
      <w:r w:rsidR="001B0E72" w:rsidRPr="004B36B2">
        <w:rPr>
          <w:rFonts w:asciiTheme="majorBidi" w:hAnsiTheme="majorBidi" w:cstheme="majorBidi"/>
          <w:color w:val="000000" w:themeColor="text1"/>
          <w:szCs w:val="24"/>
        </w:rPr>
        <w:t xml:space="preserve">also </w:t>
      </w:r>
      <w:r w:rsidR="00974172" w:rsidRPr="004B36B2">
        <w:rPr>
          <w:rFonts w:asciiTheme="majorBidi" w:hAnsiTheme="majorBidi" w:cstheme="majorBidi"/>
          <w:color w:val="000000" w:themeColor="text1"/>
          <w:szCs w:val="24"/>
        </w:rPr>
        <w:t>aimed to</w:t>
      </w:r>
      <w:r w:rsidR="00B86FA7" w:rsidRPr="004B36B2">
        <w:rPr>
          <w:rFonts w:asciiTheme="majorBidi" w:hAnsiTheme="majorBidi" w:cstheme="majorBidi"/>
          <w:color w:val="000000" w:themeColor="text1"/>
          <w:szCs w:val="24"/>
        </w:rPr>
        <w:t xml:space="preserve"> expand </w:t>
      </w:r>
      <w:r w:rsidR="00401E7B" w:rsidRPr="004B36B2">
        <w:rPr>
          <w:rFonts w:asciiTheme="majorBidi" w:hAnsiTheme="majorBidi" w:cstheme="majorBidi"/>
          <w:color w:val="000000" w:themeColor="text1"/>
          <w:szCs w:val="24"/>
        </w:rPr>
        <w:t xml:space="preserve">equitable </w:t>
      </w:r>
      <w:r w:rsidR="00B86FA7" w:rsidRPr="004B36B2">
        <w:rPr>
          <w:rFonts w:asciiTheme="majorBidi" w:hAnsiTheme="majorBidi" w:cstheme="majorBidi"/>
          <w:color w:val="000000" w:themeColor="text1"/>
          <w:szCs w:val="24"/>
        </w:rPr>
        <w:t>acces</w:t>
      </w:r>
      <w:r w:rsidR="00974172" w:rsidRPr="004B36B2">
        <w:rPr>
          <w:rFonts w:asciiTheme="majorBidi" w:hAnsiTheme="majorBidi" w:cstheme="majorBidi"/>
          <w:color w:val="000000" w:themeColor="text1"/>
          <w:szCs w:val="24"/>
        </w:rPr>
        <w:t xml:space="preserve">s to education, </w:t>
      </w:r>
      <w:r w:rsidR="00B86FA7" w:rsidRPr="004B36B2">
        <w:rPr>
          <w:rFonts w:asciiTheme="majorBidi" w:hAnsiTheme="majorBidi" w:cstheme="majorBidi"/>
          <w:color w:val="000000" w:themeColor="text1"/>
          <w:szCs w:val="24"/>
        </w:rPr>
        <w:t>improve q</w:t>
      </w:r>
      <w:r w:rsidR="00974172" w:rsidRPr="004B36B2">
        <w:rPr>
          <w:rFonts w:asciiTheme="majorBidi" w:hAnsiTheme="majorBidi" w:cstheme="majorBidi"/>
          <w:color w:val="000000" w:themeColor="text1"/>
          <w:szCs w:val="24"/>
        </w:rPr>
        <w:t xml:space="preserve">uality and relevance, and </w:t>
      </w:r>
      <w:r w:rsidR="00B86FA7" w:rsidRPr="004B36B2">
        <w:rPr>
          <w:rFonts w:asciiTheme="majorBidi" w:hAnsiTheme="majorBidi" w:cstheme="majorBidi"/>
          <w:color w:val="000000" w:themeColor="text1"/>
          <w:szCs w:val="24"/>
        </w:rPr>
        <w:t xml:space="preserve">strengthen the institutional capacity of the entire school education system. </w:t>
      </w:r>
    </w:p>
    <w:p w14:paraId="18EC8173" w14:textId="77777777" w:rsidR="009D22DE" w:rsidRPr="00E54F60" w:rsidRDefault="009D22DE" w:rsidP="00283A3C">
      <w:pPr>
        <w:autoSpaceDE w:val="0"/>
        <w:autoSpaceDN w:val="0"/>
        <w:adjustRightInd w:val="0"/>
        <w:spacing w:line="288" w:lineRule="auto"/>
        <w:ind w:firstLine="720"/>
        <w:jc w:val="both"/>
        <w:rPr>
          <w:rFonts w:asciiTheme="majorBidi" w:hAnsiTheme="majorBidi" w:cstheme="majorBidi"/>
          <w:color w:val="000000" w:themeColor="text1"/>
          <w:sz w:val="18"/>
          <w:szCs w:val="18"/>
          <w:lang w:eastAsia="en-GB"/>
        </w:rPr>
      </w:pPr>
    </w:p>
    <w:p w14:paraId="3B6FDAF9" w14:textId="77777777" w:rsidR="005E0A0D" w:rsidRDefault="00DC3C2D" w:rsidP="005E0A0D">
      <w:pPr>
        <w:autoSpaceDE w:val="0"/>
        <w:autoSpaceDN w:val="0"/>
        <w:adjustRightInd w:val="0"/>
        <w:spacing w:line="288" w:lineRule="auto"/>
        <w:ind w:firstLine="567"/>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Previously, </w:t>
      </w:r>
      <w:r w:rsidR="005D5B94" w:rsidRPr="004B36B2">
        <w:rPr>
          <w:rFonts w:asciiTheme="majorBidi" w:hAnsiTheme="majorBidi" w:cstheme="majorBidi"/>
          <w:color w:val="000000" w:themeColor="text1"/>
          <w:szCs w:val="24"/>
        </w:rPr>
        <w:t xml:space="preserve">Nepal’s </w:t>
      </w:r>
      <w:r w:rsidRPr="004B36B2">
        <w:rPr>
          <w:rFonts w:asciiTheme="majorBidi" w:hAnsiTheme="majorBidi" w:cstheme="majorBidi"/>
          <w:color w:val="000000" w:themeColor="text1"/>
          <w:szCs w:val="24"/>
        </w:rPr>
        <w:t xml:space="preserve">education </w:t>
      </w:r>
      <w:r w:rsidR="005D5B94" w:rsidRPr="004B36B2">
        <w:rPr>
          <w:rFonts w:asciiTheme="majorBidi" w:hAnsiTheme="majorBidi" w:cstheme="majorBidi"/>
          <w:color w:val="000000" w:themeColor="text1"/>
          <w:szCs w:val="24"/>
        </w:rPr>
        <w:t xml:space="preserve">system had </w:t>
      </w:r>
      <w:r w:rsidRPr="004B36B2">
        <w:rPr>
          <w:rFonts w:asciiTheme="majorBidi" w:hAnsiTheme="majorBidi" w:cstheme="majorBidi"/>
          <w:color w:val="000000" w:themeColor="text1"/>
          <w:szCs w:val="24"/>
        </w:rPr>
        <w:t xml:space="preserve">primary level (grade 1 to 5), lower secondary level (grade 6-8), secondary level (grade 9-10) and higher secondary level (grade 11-12) </w:t>
      </w:r>
      <w:r w:rsidR="00401E7B" w:rsidRPr="004B36B2">
        <w:rPr>
          <w:rFonts w:asciiTheme="majorBidi" w:hAnsiTheme="majorBidi" w:cstheme="majorBidi"/>
          <w:color w:val="000000" w:themeColor="text1"/>
          <w:szCs w:val="24"/>
        </w:rPr>
        <w:t xml:space="preserve">that </w:t>
      </w:r>
      <w:r w:rsidR="005D5B94" w:rsidRPr="004B36B2">
        <w:rPr>
          <w:rFonts w:asciiTheme="majorBidi" w:hAnsiTheme="majorBidi" w:cstheme="majorBidi"/>
          <w:color w:val="000000" w:themeColor="text1"/>
          <w:szCs w:val="24"/>
        </w:rPr>
        <w:t>should correspond to ages</w:t>
      </w:r>
      <w:r w:rsidRPr="004B36B2">
        <w:rPr>
          <w:rFonts w:asciiTheme="majorBidi" w:hAnsiTheme="majorBidi" w:cstheme="majorBidi"/>
          <w:color w:val="000000" w:themeColor="text1"/>
          <w:szCs w:val="24"/>
        </w:rPr>
        <w:t xml:space="preserve"> 5-9, 10-12, 13-14 and 15-16. </w:t>
      </w:r>
      <w:r w:rsidR="005D5B94" w:rsidRPr="004B36B2">
        <w:rPr>
          <w:rFonts w:asciiTheme="majorBidi" w:hAnsiTheme="majorBidi" w:cstheme="majorBidi"/>
          <w:color w:val="000000" w:themeColor="text1"/>
          <w:szCs w:val="24"/>
        </w:rPr>
        <w:t>The</w:t>
      </w:r>
      <w:r w:rsidR="00FB01D1" w:rsidRPr="004B36B2">
        <w:rPr>
          <w:rFonts w:asciiTheme="majorBidi" w:hAnsiTheme="majorBidi" w:cstheme="majorBidi"/>
          <w:color w:val="000000" w:themeColor="text1"/>
          <w:szCs w:val="24"/>
        </w:rPr>
        <w:t xml:space="preserve"> 8</w:t>
      </w:r>
      <w:r w:rsidR="00FB01D1" w:rsidRPr="004B36B2">
        <w:rPr>
          <w:rFonts w:asciiTheme="majorBidi" w:hAnsiTheme="majorBidi" w:cstheme="majorBidi"/>
          <w:color w:val="000000" w:themeColor="text1"/>
          <w:szCs w:val="24"/>
          <w:vertAlign w:val="superscript"/>
        </w:rPr>
        <w:t xml:space="preserve">th </w:t>
      </w:r>
      <w:r w:rsidR="00FB01D1" w:rsidRPr="004B36B2">
        <w:rPr>
          <w:rFonts w:asciiTheme="majorBidi" w:hAnsiTheme="majorBidi" w:cstheme="majorBidi"/>
          <w:color w:val="000000" w:themeColor="text1"/>
          <w:szCs w:val="24"/>
        </w:rPr>
        <w:t xml:space="preserve">Amendment </w:t>
      </w:r>
      <w:r w:rsidR="005D5B94" w:rsidRPr="004B36B2">
        <w:rPr>
          <w:rFonts w:asciiTheme="majorBidi" w:hAnsiTheme="majorBidi" w:cstheme="majorBidi"/>
          <w:color w:val="000000" w:themeColor="text1"/>
          <w:szCs w:val="24"/>
        </w:rPr>
        <w:t xml:space="preserve">to the Education Act, in </w:t>
      </w:r>
      <w:r w:rsidR="00FB01D1" w:rsidRPr="004B36B2">
        <w:rPr>
          <w:rFonts w:asciiTheme="majorBidi" w:hAnsiTheme="majorBidi" w:cstheme="majorBidi"/>
          <w:color w:val="000000" w:themeColor="text1"/>
          <w:szCs w:val="24"/>
        </w:rPr>
        <w:t>2016</w:t>
      </w:r>
      <w:r w:rsidR="005D5B94" w:rsidRPr="004B36B2">
        <w:rPr>
          <w:rFonts w:asciiTheme="majorBidi" w:hAnsiTheme="majorBidi" w:cstheme="majorBidi"/>
          <w:color w:val="000000" w:themeColor="text1"/>
          <w:szCs w:val="24"/>
        </w:rPr>
        <w:t>,</w:t>
      </w:r>
      <w:r w:rsidR="00FB01D1" w:rsidRPr="004B36B2">
        <w:rPr>
          <w:rFonts w:asciiTheme="majorBidi" w:hAnsiTheme="majorBidi" w:cstheme="majorBidi"/>
          <w:color w:val="000000" w:themeColor="text1"/>
          <w:szCs w:val="24"/>
        </w:rPr>
        <w:t xml:space="preserve"> </w:t>
      </w:r>
      <w:r w:rsidR="00045535" w:rsidRPr="004B36B2">
        <w:rPr>
          <w:rFonts w:asciiTheme="majorBidi" w:hAnsiTheme="majorBidi" w:cstheme="majorBidi"/>
          <w:color w:val="000000" w:themeColor="text1"/>
          <w:szCs w:val="24"/>
        </w:rPr>
        <w:t>re</w:t>
      </w:r>
      <w:r w:rsidR="001B0E72" w:rsidRPr="004B36B2">
        <w:rPr>
          <w:rFonts w:asciiTheme="majorBidi" w:hAnsiTheme="majorBidi" w:cstheme="majorBidi"/>
          <w:color w:val="000000" w:themeColor="text1"/>
          <w:szCs w:val="24"/>
        </w:rPr>
        <w:t xml:space="preserve">classified </w:t>
      </w:r>
      <w:r w:rsidR="00FB01D1" w:rsidRPr="004B36B2">
        <w:rPr>
          <w:rFonts w:asciiTheme="majorBidi" w:hAnsiTheme="majorBidi" w:cstheme="majorBidi"/>
          <w:color w:val="000000" w:themeColor="text1"/>
          <w:szCs w:val="24"/>
        </w:rPr>
        <w:t xml:space="preserve">school education </w:t>
      </w:r>
      <w:r w:rsidR="001B0E72" w:rsidRPr="004B36B2">
        <w:rPr>
          <w:rFonts w:asciiTheme="majorBidi" w:hAnsiTheme="majorBidi" w:cstheme="majorBidi"/>
          <w:color w:val="000000" w:themeColor="text1"/>
          <w:szCs w:val="24"/>
        </w:rPr>
        <w:t>in two broad categor</w:t>
      </w:r>
      <w:r w:rsidR="00EB1043" w:rsidRPr="004B36B2">
        <w:rPr>
          <w:rFonts w:asciiTheme="majorBidi" w:hAnsiTheme="majorBidi" w:cstheme="majorBidi"/>
          <w:color w:val="000000" w:themeColor="text1"/>
          <w:szCs w:val="24"/>
        </w:rPr>
        <w:t>ies</w:t>
      </w:r>
      <w:r w:rsidR="001B0E72" w:rsidRPr="004B36B2">
        <w:rPr>
          <w:rFonts w:asciiTheme="majorBidi" w:hAnsiTheme="majorBidi" w:cstheme="majorBidi"/>
          <w:color w:val="000000" w:themeColor="text1"/>
          <w:szCs w:val="24"/>
        </w:rPr>
        <w:t xml:space="preserve">- </w:t>
      </w:r>
      <w:r w:rsidR="00FB01D1" w:rsidRPr="004B36B2">
        <w:rPr>
          <w:rFonts w:asciiTheme="majorBidi" w:hAnsiTheme="majorBidi" w:cstheme="majorBidi"/>
          <w:color w:val="000000" w:themeColor="text1"/>
          <w:szCs w:val="24"/>
        </w:rPr>
        <w:t>Basic Education (1-8 grade)</w:t>
      </w:r>
      <w:r w:rsidR="00025E0E" w:rsidRPr="004B36B2">
        <w:rPr>
          <w:rFonts w:asciiTheme="majorBidi" w:hAnsiTheme="majorBidi" w:cstheme="majorBidi"/>
          <w:color w:val="000000" w:themeColor="text1"/>
          <w:szCs w:val="24"/>
        </w:rPr>
        <w:t xml:space="preserve"> </w:t>
      </w:r>
      <w:r w:rsidR="00FB01D1" w:rsidRPr="004B36B2">
        <w:rPr>
          <w:rFonts w:asciiTheme="majorBidi" w:hAnsiTheme="majorBidi" w:cstheme="majorBidi"/>
          <w:color w:val="000000" w:themeColor="text1"/>
          <w:szCs w:val="24"/>
        </w:rPr>
        <w:t>and Secondary Education (9-12 grade</w:t>
      </w:r>
      <w:r w:rsidR="00660C36" w:rsidRPr="004B36B2">
        <w:rPr>
          <w:rFonts w:asciiTheme="majorBidi" w:hAnsiTheme="majorBidi" w:cstheme="majorBidi"/>
          <w:color w:val="000000" w:themeColor="text1"/>
          <w:szCs w:val="24"/>
        </w:rPr>
        <w:t>)</w:t>
      </w:r>
      <w:r w:rsidR="00025E0E" w:rsidRPr="004B36B2">
        <w:rPr>
          <w:rFonts w:asciiTheme="majorBidi" w:hAnsiTheme="majorBidi" w:cstheme="majorBidi"/>
          <w:color w:val="000000" w:themeColor="text1"/>
          <w:szCs w:val="24"/>
        </w:rPr>
        <w:t xml:space="preserve"> </w:t>
      </w:r>
      <w:r w:rsidR="002C0FC2" w:rsidRPr="004B36B2">
        <w:rPr>
          <w:rFonts w:asciiTheme="majorBidi" w:hAnsiTheme="majorBidi" w:cstheme="majorBidi"/>
          <w:color w:val="000000" w:themeColor="text1"/>
          <w:szCs w:val="24"/>
        </w:rPr>
        <w:t xml:space="preserve">that should be </w:t>
      </w:r>
      <w:r w:rsidR="00025E0E" w:rsidRPr="004B36B2">
        <w:rPr>
          <w:rFonts w:asciiTheme="majorBidi" w:hAnsiTheme="majorBidi" w:cstheme="majorBidi"/>
          <w:color w:val="000000" w:themeColor="text1"/>
          <w:szCs w:val="24"/>
        </w:rPr>
        <w:t>for children aged</w:t>
      </w:r>
      <w:r w:rsidR="001B0E72" w:rsidRPr="004B36B2">
        <w:rPr>
          <w:rFonts w:asciiTheme="majorBidi" w:hAnsiTheme="majorBidi" w:cstheme="majorBidi"/>
          <w:color w:val="000000" w:themeColor="text1"/>
          <w:szCs w:val="24"/>
        </w:rPr>
        <w:t xml:space="preserve"> 5-12 and 13-</w:t>
      </w:r>
      <w:r w:rsidR="00025E0E" w:rsidRPr="004B36B2">
        <w:rPr>
          <w:rFonts w:asciiTheme="majorBidi" w:hAnsiTheme="majorBidi" w:cstheme="majorBidi"/>
          <w:color w:val="000000" w:themeColor="text1"/>
          <w:szCs w:val="24"/>
        </w:rPr>
        <w:t>16</w:t>
      </w:r>
      <w:r w:rsidR="00660C36" w:rsidRPr="004B36B2">
        <w:rPr>
          <w:rFonts w:asciiTheme="majorBidi" w:hAnsiTheme="majorBidi" w:cstheme="majorBidi"/>
          <w:color w:val="000000" w:themeColor="text1"/>
          <w:szCs w:val="24"/>
        </w:rPr>
        <w:t>.</w:t>
      </w:r>
      <w:r w:rsidR="005D5B94" w:rsidRPr="004B36B2">
        <w:rPr>
          <w:rStyle w:val="FootnoteReference"/>
          <w:rFonts w:asciiTheme="majorBidi" w:hAnsiTheme="majorBidi" w:cstheme="majorBidi"/>
          <w:color w:val="000000" w:themeColor="text1"/>
          <w:szCs w:val="24"/>
        </w:rPr>
        <w:footnoteReference w:id="2"/>
      </w:r>
      <w:r w:rsidR="00DE2320" w:rsidRPr="004B36B2">
        <w:rPr>
          <w:rFonts w:asciiTheme="majorBidi" w:hAnsiTheme="majorBidi" w:cstheme="majorBidi"/>
          <w:color w:val="000000" w:themeColor="text1"/>
          <w:szCs w:val="24"/>
        </w:rPr>
        <w:t xml:space="preserve"> </w:t>
      </w:r>
      <w:r w:rsidR="0075005D" w:rsidRPr="004B36B2">
        <w:rPr>
          <w:rFonts w:asciiTheme="majorBidi" w:hAnsiTheme="majorBidi" w:cstheme="majorBidi"/>
          <w:color w:val="000000" w:themeColor="text1"/>
          <w:szCs w:val="24"/>
        </w:rPr>
        <w:t xml:space="preserve">In 2011, </w:t>
      </w:r>
      <w:r w:rsidR="005F6546" w:rsidRPr="004B36B2">
        <w:rPr>
          <w:rFonts w:asciiTheme="majorBidi" w:hAnsiTheme="majorBidi" w:cstheme="majorBidi"/>
          <w:color w:val="000000" w:themeColor="text1"/>
          <w:szCs w:val="24"/>
        </w:rPr>
        <w:t xml:space="preserve">while </w:t>
      </w:r>
      <w:r w:rsidR="005D5B94" w:rsidRPr="004B36B2">
        <w:rPr>
          <w:rFonts w:asciiTheme="majorBidi" w:hAnsiTheme="majorBidi" w:cstheme="majorBidi"/>
          <w:color w:val="000000" w:themeColor="text1"/>
          <w:szCs w:val="24"/>
        </w:rPr>
        <w:t>the gross enrolment rate</w:t>
      </w:r>
      <w:r w:rsidR="0075005D" w:rsidRPr="004B36B2">
        <w:rPr>
          <w:rFonts w:asciiTheme="majorBidi" w:hAnsiTheme="majorBidi" w:cstheme="majorBidi"/>
          <w:color w:val="000000" w:themeColor="text1"/>
          <w:szCs w:val="24"/>
        </w:rPr>
        <w:t xml:space="preserve"> </w:t>
      </w:r>
      <w:r w:rsidR="005F6546" w:rsidRPr="004B36B2">
        <w:rPr>
          <w:rFonts w:asciiTheme="majorBidi" w:hAnsiTheme="majorBidi" w:cstheme="majorBidi"/>
          <w:color w:val="000000" w:themeColor="text1"/>
          <w:szCs w:val="24"/>
        </w:rPr>
        <w:t>at basic and secondary education w</w:t>
      </w:r>
      <w:r w:rsidR="00EA282E" w:rsidRPr="004B36B2">
        <w:rPr>
          <w:rFonts w:asciiTheme="majorBidi" w:hAnsiTheme="majorBidi" w:cstheme="majorBidi"/>
          <w:color w:val="000000" w:themeColor="text1"/>
          <w:szCs w:val="24"/>
        </w:rPr>
        <w:t>as</w:t>
      </w:r>
      <w:r w:rsidR="005F6546" w:rsidRPr="004B36B2">
        <w:rPr>
          <w:rFonts w:asciiTheme="majorBidi" w:hAnsiTheme="majorBidi" w:cstheme="majorBidi"/>
          <w:color w:val="000000" w:themeColor="text1"/>
          <w:szCs w:val="24"/>
        </w:rPr>
        <w:t xml:space="preserve"> as high as 124.4% and 86%</w:t>
      </w:r>
      <w:r w:rsidR="005D5B94" w:rsidRPr="004B36B2">
        <w:rPr>
          <w:rFonts w:asciiTheme="majorBidi" w:hAnsiTheme="majorBidi" w:cstheme="majorBidi"/>
          <w:color w:val="000000" w:themeColor="text1"/>
          <w:szCs w:val="24"/>
        </w:rPr>
        <w:t xml:space="preserve">, net enrolment rates were just </w:t>
      </w:r>
      <w:r w:rsidR="00C85FCE" w:rsidRPr="004B36B2">
        <w:rPr>
          <w:rFonts w:asciiTheme="majorBidi" w:hAnsiTheme="majorBidi" w:cstheme="majorBidi"/>
          <w:color w:val="000000" w:themeColor="text1"/>
          <w:szCs w:val="24"/>
        </w:rPr>
        <w:t>46.2%</w:t>
      </w:r>
      <w:r w:rsidR="005F6546" w:rsidRPr="004B36B2">
        <w:rPr>
          <w:rFonts w:asciiTheme="majorBidi" w:hAnsiTheme="majorBidi" w:cstheme="majorBidi"/>
          <w:color w:val="000000" w:themeColor="text1"/>
          <w:szCs w:val="24"/>
        </w:rPr>
        <w:t xml:space="preserve"> a</w:t>
      </w:r>
      <w:r w:rsidR="006C1994" w:rsidRPr="004B36B2">
        <w:rPr>
          <w:rFonts w:asciiTheme="majorBidi" w:hAnsiTheme="majorBidi" w:cstheme="majorBidi"/>
          <w:color w:val="000000" w:themeColor="text1"/>
          <w:szCs w:val="24"/>
        </w:rPr>
        <w:t>nd 27.1%</w:t>
      </w:r>
      <w:r w:rsidR="0035721C" w:rsidRPr="004B36B2">
        <w:rPr>
          <w:rFonts w:asciiTheme="majorBidi" w:hAnsiTheme="majorBidi" w:cstheme="majorBidi"/>
          <w:color w:val="000000" w:themeColor="text1"/>
          <w:szCs w:val="24"/>
        </w:rPr>
        <w:t xml:space="preserve"> (MOE, 2016</w:t>
      </w:r>
      <w:r w:rsidR="00A24FEC" w:rsidRPr="004B36B2">
        <w:rPr>
          <w:rFonts w:asciiTheme="majorBidi" w:hAnsiTheme="majorBidi" w:cstheme="majorBidi"/>
          <w:color w:val="000000" w:themeColor="text1"/>
          <w:szCs w:val="24"/>
        </w:rPr>
        <w:t>)</w:t>
      </w:r>
      <w:r w:rsidR="006C1994" w:rsidRPr="004B36B2">
        <w:rPr>
          <w:rFonts w:asciiTheme="majorBidi" w:hAnsiTheme="majorBidi" w:cstheme="majorBidi"/>
          <w:color w:val="000000" w:themeColor="text1"/>
          <w:szCs w:val="24"/>
        </w:rPr>
        <w:t>.</w:t>
      </w:r>
      <w:r w:rsidR="005D5B94" w:rsidRPr="004B36B2">
        <w:rPr>
          <w:rFonts w:asciiTheme="majorBidi" w:hAnsiTheme="majorBidi" w:cstheme="majorBidi"/>
          <w:color w:val="000000" w:themeColor="text1"/>
          <w:szCs w:val="24"/>
        </w:rPr>
        <w:t xml:space="preserve"> The high gross enrolments</w:t>
      </w:r>
      <w:r w:rsidR="00B742E2" w:rsidRPr="004B36B2">
        <w:rPr>
          <w:rFonts w:asciiTheme="majorBidi" w:hAnsiTheme="majorBidi" w:cstheme="majorBidi"/>
          <w:color w:val="000000" w:themeColor="text1"/>
          <w:szCs w:val="24"/>
        </w:rPr>
        <w:t xml:space="preserve"> </w:t>
      </w:r>
      <w:r w:rsidR="00921E84" w:rsidRPr="004B36B2">
        <w:rPr>
          <w:rFonts w:asciiTheme="majorBidi" w:hAnsiTheme="majorBidi" w:cstheme="majorBidi"/>
          <w:color w:val="000000" w:themeColor="text1"/>
          <w:szCs w:val="24"/>
        </w:rPr>
        <w:t xml:space="preserve">at primary level </w:t>
      </w:r>
      <w:r w:rsidR="005A6D5D" w:rsidRPr="004B36B2">
        <w:rPr>
          <w:rFonts w:asciiTheme="majorBidi" w:hAnsiTheme="majorBidi" w:cstheme="majorBidi"/>
          <w:color w:val="000000" w:themeColor="text1"/>
          <w:szCs w:val="24"/>
        </w:rPr>
        <w:t xml:space="preserve">and </w:t>
      </w:r>
      <w:r w:rsidR="005A6D5D" w:rsidRPr="004B36B2">
        <w:rPr>
          <w:rFonts w:asciiTheme="majorBidi" w:hAnsiTheme="majorBidi" w:cstheme="majorBidi"/>
          <w:noProof/>
          <w:color w:val="000000" w:themeColor="text1"/>
          <w:szCs w:val="24"/>
        </w:rPr>
        <w:t>very</w:t>
      </w:r>
      <w:r w:rsidR="005A6D5D" w:rsidRPr="004B36B2">
        <w:rPr>
          <w:rFonts w:asciiTheme="majorBidi" w:hAnsiTheme="majorBidi" w:cstheme="majorBidi"/>
          <w:color w:val="000000" w:themeColor="text1"/>
          <w:szCs w:val="24"/>
        </w:rPr>
        <w:t xml:space="preserve"> low </w:t>
      </w:r>
      <w:r w:rsidR="005D5B94" w:rsidRPr="004B36B2">
        <w:rPr>
          <w:rFonts w:asciiTheme="majorBidi" w:hAnsiTheme="majorBidi" w:cstheme="majorBidi"/>
          <w:color w:val="000000" w:themeColor="text1"/>
          <w:szCs w:val="24"/>
        </w:rPr>
        <w:t xml:space="preserve">net enrolments </w:t>
      </w:r>
      <w:r w:rsidR="005A6D5D" w:rsidRPr="004B36B2">
        <w:rPr>
          <w:rFonts w:asciiTheme="majorBidi" w:hAnsiTheme="majorBidi" w:cstheme="majorBidi"/>
          <w:color w:val="000000" w:themeColor="text1"/>
          <w:szCs w:val="24"/>
        </w:rPr>
        <w:t xml:space="preserve">at </w:t>
      </w:r>
      <w:r w:rsidR="005A6D5D" w:rsidRPr="004B36B2">
        <w:rPr>
          <w:rFonts w:asciiTheme="majorBidi" w:hAnsiTheme="majorBidi" w:cstheme="majorBidi"/>
          <w:noProof/>
          <w:color w:val="000000" w:themeColor="text1"/>
          <w:szCs w:val="24"/>
        </w:rPr>
        <w:t>secondary</w:t>
      </w:r>
      <w:r w:rsidR="005A6D5D" w:rsidRPr="004B36B2">
        <w:rPr>
          <w:rFonts w:asciiTheme="majorBidi" w:hAnsiTheme="majorBidi" w:cstheme="majorBidi"/>
          <w:color w:val="000000" w:themeColor="text1"/>
          <w:szCs w:val="24"/>
        </w:rPr>
        <w:t xml:space="preserve"> and higher secondary level </w:t>
      </w:r>
      <w:r w:rsidR="005D5B94" w:rsidRPr="004B36B2">
        <w:rPr>
          <w:rFonts w:asciiTheme="majorBidi" w:hAnsiTheme="majorBidi" w:cstheme="majorBidi"/>
          <w:color w:val="000000" w:themeColor="text1"/>
          <w:szCs w:val="24"/>
        </w:rPr>
        <w:t xml:space="preserve">(see Table 1 for details) </w:t>
      </w:r>
      <w:r w:rsidR="006B28C6" w:rsidRPr="004B36B2">
        <w:rPr>
          <w:rFonts w:asciiTheme="majorBidi" w:hAnsiTheme="majorBidi" w:cstheme="majorBidi"/>
          <w:color w:val="000000" w:themeColor="text1"/>
          <w:szCs w:val="24"/>
        </w:rPr>
        <w:t xml:space="preserve">indicates that the school progression </w:t>
      </w:r>
      <w:r w:rsidR="00E75EB5" w:rsidRPr="004B36B2">
        <w:rPr>
          <w:rFonts w:asciiTheme="majorBidi" w:hAnsiTheme="majorBidi" w:cstheme="majorBidi"/>
          <w:color w:val="000000" w:themeColor="text1"/>
          <w:szCs w:val="24"/>
        </w:rPr>
        <w:t xml:space="preserve">rate is very poor and </w:t>
      </w:r>
      <w:r w:rsidR="00B742E2" w:rsidRPr="004B36B2">
        <w:rPr>
          <w:rFonts w:asciiTheme="majorBidi" w:hAnsiTheme="majorBidi" w:cstheme="majorBidi"/>
          <w:color w:val="000000" w:themeColor="text1"/>
          <w:szCs w:val="24"/>
        </w:rPr>
        <w:t>over</w:t>
      </w:r>
      <w:r w:rsidR="002C0FC2" w:rsidRPr="004B36B2">
        <w:rPr>
          <w:rFonts w:asciiTheme="majorBidi" w:hAnsiTheme="majorBidi" w:cstheme="majorBidi"/>
          <w:color w:val="000000" w:themeColor="text1"/>
          <w:szCs w:val="24"/>
        </w:rPr>
        <w:t>-</w:t>
      </w:r>
      <w:r w:rsidR="00B742E2" w:rsidRPr="004B36B2">
        <w:rPr>
          <w:rFonts w:asciiTheme="majorBidi" w:hAnsiTheme="majorBidi" w:cstheme="majorBidi"/>
          <w:color w:val="000000" w:themeColor="text1"/>
          <w:szCs w:val="24"/>
        </w:rPr>
        <w:t xml:space="preserve">aged children are enrolled. </w:t>
      </w:r>
    </w:p>
    <w:p w14:paraId="365211D4" w14:textId="77777777" w:rsidR="00E71E45" w:rsidRDefault="00E71E45" w:rsidP="0039064F">
      <w:pPr>
        <w:jc w:val="center"/>
        <w:rPr>
          <w:rFonts w:asciiTheme="majorBidi" w:eastAsia="Times New Roman" w:hAnsiTheme="majorBidi" w:cstheme="majorBidi"/>
          <w:b/>
          <w:bCs/>
          <w:color w:val="000000" w:themeColor="text1"/>
        </w:rPr>
        <w:sectPr w:rsidR="00E71E45" w:rsidSect="00E54F60">
          <w:footerReference w:type="first" r:id="rId8"/>
          <w:pgSz w:w="11906" w:h="16838"/>
          <w:pgMar w:top="1440" w:right="1276" w:bottom="1440" w:left="1440" w:header="709" w:footer="709" w:gutter="0"/>
          <w:cols w:space="708"/>
          <w:docGrid w:linePitch="360"/>
        </w:sectPr>
      </w:pPr>
    </w:p>
    <w:tbl>
      <w:tblPr>
        <w:tblW w:w="14772" w:type="dxa"/>
        <w:tblInd w:w="-438" w:type="dxa"/>
        <w:tblCellMar>
          <w:left w:w="28" w:type="dxa"/>
          <w:right w:w="28" w:type="dxa"/>
        </w:tblCellMar>
        <w:tblLook w:val="04A0" w:firstRow="1" w:lastRow="0" w:firstColumn="1" w:lastColumn="0" w:noHBand="0" w:noVBand="1"/>
      </w:tblPr>
      <w:tblGrid>
        <w:gridCol w:w="9494"/>
        <w:gridCol w:w="1135"/>
        <w:gridCol w:w="446"/>
        <w:gridCol w:w="883"/>
        <w:gridCol w:w="538"/>
        <w:gridCol w:w="1135"/>
        <w:gridCol w:w="1141"/>
      </w:tblGrid>
      <w:tr w:rsidR="00E71E45" w:rsidRPr="004B36B2" w14:paraId="0CBF8633" w14:textId="77777777" w:rsidTr="0039064F">
        <w:trPr>
          <w:trHeight w:val="403"/>
        </w:trPr>
        <w:tc>
          <w:tcPr>
            <w:tcW w:w="14772" w:type="dxa"/>
            <w:gridSpan w:val="7"/>
            <w:tcBorders>
              <w:top w:val="nil"/>
              <w:left w:val="nil"/>
              <w:bottom w:val="single" w:sz="8" w:space="0" w:color="auto"/>
              <w:right w:val="nil"/>
            </w:tcBorders>
            <w:shd w:val="clear" w:color="000000" w:fill="FFFFFF"/>
            <w:noWrap/>
            <w:vAlign w:val="center"/>
            <w:hideMark/>
          </w:tcPr>
          <w:p w14:paraId="7559AFF0" w14:textId="25E4746A" w:rsidR="00E71E45" w:rsidRPr="00443CE7" w:rsidRDefault="00E71E45" w:rsidP="00F64C07">
            <w:pPr>
              <w:jc w:val="center"/>
              <w:rPr>
                <w:rFonts w:asciiTheme="majorBidi" w:eastAsia="Times New Roman" w:hAnsiTheme="majorBidi" w:cstheme="majorBidi"/>
                <w:b/>
                <w:bCs/>
                <w:color w:val="000000" w:themeColor="text1"/>
                <w:sz w:val="22"/>
              </w:rPr>
            </w:pPr>
            <w:r w:rsidRPr="00443CE7">
              <w:rPr>
                <w:rFonts w:asciiTheme="majorBidi" w:eastAsia="Times New Roman" w:hAnsiTheme="majorBidi" w:cstheme="majorBidi"/>
                <w:b/>
                <w:bCs/>
                <w:color w:val="000000" w:themeColor="text1"/>
                <w:sz w:val="22"/>
              </w:rPr>
              <w:lastRenderedPageBreak/>
              <w:t xml:space="preserve">Table 1: Descriptive Statistics </w:t>
            </w:r>
            <w:r w:rsidR="00F64C07" w:rsidRPr="00443CE7">
              <w:rPr>
                <w:rFonts w:asciiTheme="majorBidi" w:eastAsia="Times New Roman" w:hAnsiTheme="majorBidi" w:cstheme="majorBidi"/>
                <w:color w:val="000000" w:themeColor="text1"/>
                <w:sz w:val="22"/>
              </w:rPr>
              <w:t>(</w:t>
            </w:r>
            <w:r w:rsidRPr="00443CE7">
              <w:rPr>
                <w:rFonts w:asciiTheme="majorBidi" w:eastAsia="Times New Roman" w:hAnsiTheme="majorBidi" w:cstheme="majorBidi"/>
                <w:color w:val="000000" w:themeColor="text1"/>
                <w:sz w:val="22"/>
              </w:rPr>
              <w:t>N=499</w:t>
            </w:r>
            <w:r w:rsidR="00F64C07" w:rsidRPr="00443CE7">
              <w:rPr>
                <w:rFonts w:asciiTheme="majorBidi" w:eastAsia="Times New Roman" w:hAnsiTheme="majorBidi" w:cstheme="majorBidi"/>
                <w:color w:val="000000" w:themeColor="text1"/>
                <w:sz w:val="22"/>
              </w:rPr>
              <w:t>)</w:t>
            </w:r>
          </w:p>
        </w:tc>
      </w:tr>
      <w:tr w:rsidR="00E71E45" w:rsidRPr="004B36B2" w14:paraId="788AB830" w14:textId="77777777" w:rsidTr="0039064F">
        <w:trPr>
          <w:trHeight w:val="403"/>
        </w:trPr>
        <w:tc>
          <w:tcPr>
            <w:tcW w:w="9494" w:type="dxa"/>
            <w:tcBorders>
              <w:top w:val="nil"/>
              <w:left w:val="nil"/>
              <w:bottom w:val="nil"/>
              <w:right w:val="nil"/>
            </w:tcBorders>
            <w:shd w:val="clear" w:color="000000" w:fill="FFFFFF"/>
            <w:noWrap/>
            <w:vAlign w:val="center"/>
            <w:hideMark/>
          </w:tcPr>
          <w:p w14:paraId="2A8BF752" w14:textId="77777777" w:rsidR="00E71E45" w:rsidRPr="008D58B6" w:rsidRDefault="00E71E45" w:rsidP="0039064F">
            <w:pPr>
              <w:contextualSpacing/>
              <w:jc w:val="both"/>
              <w:rPr>
                <w:rFonts w:asciiTheme="majorBidi" w:eastAsia="Times New Roman" w:hAnsiTheme="majorBidi" w:cstheme="majorBidi"/>
                <w:color w:val="000000" w:themeColor="text1"/>
              </w:rPr>
            </w:pPr>
            <w:r w:rsidRPr="008D58B6">
              <w:rPr>
                <w:rFonts w:asciiTheme="majorBidi" w:eastAsia="Times New Roman" w:hAnsiTheme="majorBidi" w:cstheme="majorBidi"/>
                <w:color w:val="000000" w:themeColor="text1"/>
              </w:rPr>
              <w:t> </w:t>
            </w:r>
          </w:p>
        </w:tc>
        <w:tc>
          <w:tcPr>
            <w:tcW w:w="2464" w:type="dxa"/>
            <w:gridSpan w:val="3"/>
            <w:tcBorders>
              <w:top w:val="single" w:sz="8" w:space="0" w:color="auto"/>
              <w:left w:val="nil"/>
              <w:bottom w:val="single" w:sz="8" w:space="0" w:color="auto"/>
              <w:right w:val="nil"/>
            </w:tcBorders>
            <w:shd w:val="clear" w:color="000000" w:fill="FFFFFF"/>
            <w:noWrap/>
            <w:vAlign w:val="center"/>
            <w:hideMark/>
          </w:tcPr>
          <w:p w14:paraId="569BBF62" w14:textId="77777777" w:rsidR="00E71E45" w:rsidRPr="00735EAE" w:rsidRDefault="00E71E45" w:rsidP="00A54C7D">
            <w:pPr>
              <w:contextualSpacing/>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NLFS 2008</w:t>
            </w:r>
          </w:p>
        </w:tc>
        <w:tc>
          <w:tcPr>
            <w:tcW w:w="538" w:type="dxa"/>
            <w:tcBorders>
              <w:top w:val="nil"/>
              <w:left w:val="nil"/>
              <w:bottom w:val="nil"/>
              <w:right w:val="nil"/>
            </w:tcBorders>
            <w:shd w:val="clear" w:color="000000" w:fill="FFFFFF"/>
            <w:noWrap/>
            <w:vAlign w:val="center"/>
            <w:hideMark/>
          </w:tcPr>
          <w:p w14:paraId="3009EE17" w14:textId="73A33DE9" w:rsidR="00E71E45" w:rsidRPr="00735EAE" w:rsidRDefault="00E71E45" w:rsidP="00A54C7D">
            <w:pPr>
              <w:contextualSpacing/>
              <w:jc w:val="center"/>
              <w:rPr>
                <w:rFonts w:asciiTheme="majorBidi" w:eastAsia="Times New Roman" w:hAnsiTheme="majorBidi" w:cstheme="majorBidi"/>
                <w:color w:val="000000" w:themeColor="text1"/>
                <w:sz w:val="22"/>
              </w:rPr>
            </w:pPr>
          </w:p>
        </w:tc>
        <w:tc>
          <w:tcPr>
            <w:tcW w:w="2276" w:type="dxa"/>
            <w:gridSpan w:val="2"/>
            <w:tcBorders>
              <w:top w:val="single" w:sz="8" w:space="0" w:color="auto"/>
              <w:left w:val="nil"/>
              <w:bottom w:val="single" w:sz="8" w:space="0" w:color="auto"/>
              <w:right w:val="nil"/>
            </w:tcBorders>
            <w:shd w:val="clear" w:color="000000" w:fill="FFFFFF"/>
            <w:noWrap/>
            <w:vAlign w:val="center"/>
            <w:hideMark/>
          </w:tcPr>
          <w:p w14:paraId="07FFB9E2" w14:textId="77777777" w:rsidR="00E71E45" w:rsidRPr="00735EAE" w:rsidRDefault="00E71E45" w:rsidP="00A54C7D">
            <w:pPr>
              <w:contextualSpacing/>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NLSS 2010</w:t>
            </w:r>
          </w:p>
        </w:tc>
      </w:tr>
      <w:tr w:rsidR="00E71E45" w:rsidRPr="004B36B2" w14:paraId="5A45CF7E" w14:textId="77777777" w:rsidTr="0039064F">
        <w:trPr>
          <w:trHeight w:val="403"/>
        </w:trPr>
        <w:tc>
          <w:tcPr>
            <w:tcW w:w="9494" w:type="dxa"/>
            <w:tcBorders>
              <w:top w:val="nil"/>
              <w:left w:val="nil"/>
              <w:bottom w:val="single" w:sz="8" w:space="0" w:color="auto"/>
              <w:right w:val="nil"/>
            </w:tcBorders>
            <w:shd w:val="clear" w:color="000000" w:fill="FFFFFF"/>
            <w:noWrap/>
            <w:vAlign w:val="center"/>
            <w:hideMark/>
          </w:tcPr>
          <w:p w14:paraId="7CC90644" w14:textId="77777777" w:rsidR="00E71E45" w:rsidRPr="00735EAE" w:rsidRDefault="00E71E45" w:rsidP="0039064F">
            <w:pPr>
              <w:contextualSpacing/>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w:t>
            </w:r>
          </w:p>
        </w:tc>
        <w:tc>
          <w:tcPr>
            <w:tcW w:w="1581" w:type="dxa"/>
            <w:gridSpan w:val="2"/>
            <w:tcBorders>
              <w:top w:val="single" w:sz="8" w:space="0" w:color="auto"/>
              <w:left w:val="nil"/>
              <w:bottom w:val="single" w:sz="8" w:space="0" w:color="auto"/>
              <w:right w:val="nil"/>
            </w:tcBorders>
            <w:shd w:val="clear" w:color="000000" w:fill="FFFFFF"/>
            <w:noWrap/>
            <w:vAlign w:val="center"/>
            <w:hideMark/>
          </w:tcPr>
          <w:p w14:paraId="47025038" w14:textId="77777777" w:rsidR="00E71E45" w:rsidRPr="00735EAE" w:rsidRDefault="00E71E45" w:rsidP="00A54C7D">
            <w:pPr>
              <w:contextualSpacing/>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Mean</w:t>
            </w:r>
          </w:p>
        </w:tc>
        <w:tc>
          <w:tcPr>
            <w:tcW w:w="883" w:type="dxa"/>
            <w:tcBorders>
              <w:top w:val="nil"/>
              <w:left w:val="nil"/>
              <w:bottom w:val="single" w:sz="8" w:space="0" w:color="auto"/>
              <w:right w:val="nil"/>
            </w:tcBorders>
            <w:shd w:val="clear" w:color="000000" w:fill="FFFFFF"/>
            <w:noWrap/>
            <w:vAlign w:val="center"/>
            <w:hideMark/>
          </w:tcPr>
          <w:p w14:paraId="3ECC5560" w14:textId="77777777" w:rsidR="00E71E45" w:rsidRPr="00735EAE" w:rsidRDefault="00E71E45" w:rsidP="00A54C7D">
            <w:pPr>
              <w:contextualSpacing/>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Std Dev</w:t>
            </w:r>
          </w:p>
        </w:tc>
        <w:tc>
          <w:tcPr>
            <w:tcW w:w="538" w:type="dxa"/>
            <w:tcBorders>
              <w:top w:val="nil"/>
              <w:left w:val="nil"/>
              <w:bottom w:val="single" w:sz="8" w:space="0" w:color="auto"/>
              <w:right w:val="nil"/>
            </w:tcBorders>
            <w:shd w:val="clear" w:color="000000" w:fill="FFFFFF"/>
            <w:noWrap/>
            <w:vAlign w:val="bottom"/>
            <w:hideMark/>
          </w:tcPr>
          <w:p w14:paraId="3FF42655" w14:textId="12B840B3" w:rsidR="00E71E45" w:rsidRPr="00735EAE" w:rsidRDefault="00E71E45" w:rsidP="00A54C7D">
            <w:pPr>
              <w:contextualSpacing/>
              <w:jc w:val="center"/>
              <w:rPr>
                <w:rFonts w:asciiTheme="majorBidi" w:eastAsia="Times New Roman" w:hAnsiTheme="majorBidi" w:cstheme="majorBidi"/>
                <w:color w:val="000000" w:themeColor="text1"/>
                <w:sz w:val="22"/>
              </w:rPr>
            </w:pPr>
          </w:p>
        </w:tc>
        <w:tc>
          <w:tcPr>
            <w:tcW w:w="1135" w:type="dxa"/>
            <w:tcBorders>
              <w:top w:val="nil"/>
              <w:left w:val="nil"/>
              <w:bottom w:val="single" w:sz="8" w:space="0" w:color="auto"/>
              <w:right w:val="nil"/>
            </w:tcBorders>
            <w:shd w:val="clear" w:color="000000" w:fill="FFFFFF"/>
            <w:noWrap/>
            <w:vAlign w:val="center"/>
            <w:hideMark/>
          </w:tcPr>
          <w:p w14:paraId="146F5848" w14:textId="77777777" w:rsidR="00E71E45" w:rsidRPr="00735EAE" w:rsidRDefault="00E71E45" w:rsidP="00A54C7D">
            <w:pPr>
              <w:contextualSpacing/>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Mean</w:t>
            </w:r>
          </w:p>
        </w:tc>
        <w:tc>
          <w:tcPr>
            <w:tcW w:w="1141" w:type="dxa"/>
            <w:tcBorders>
              <w:top w:val="nil"/>
              <w:left w:val="nil"/>
              <w:bottom w:val="single" w:sz="8" w:space="0" w:color="auto"/>
              <w:right w:val="nil"/>
            </w:tcBorders>
            <w:shd w:val="clear" w:color="000000" w:fill="FFFFFF"/>
            <w:noWrap/>
            <w:vAlign w:val="center"/>
            <w:hideMark/>
          </w:tcPr>
          <w:p w14:paraId="0E9A8DFD" w14:textId="77777777" w:rsidR="00E71E45" w:rsidRPr="00735EAE" w:rsidRDefault="00E71E45" w:rsidP="00A54C7D">
            <w:pPr>
              <w:contextualSpacing/>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Std Dev</w:t>
            </w:r>
          </w:p>
        </w:tc>
      </w:tr>
      <w:tr w:rsidR="00E71E45" w:rsidRPr="004B36B2" w14:paraId="61B12B9A" w14:textId="77777777" w:rsidTr="0039064F">
        <w:trPr>
          <w:trHeight w:val="340"/>
        </w:trPr>
        <w:tc>
          <w:tcPr>
            <w:tcW w:w="9494" w:type="dxa"/>
            <w:tcBorders>
              <w:top w:val="nil"/>
              <w:left w:val="nil"/>
              <w:bottom w:val="nil"/>
              <w:right w:val="nil"/>
            </w:tcBorders>
            <w:shd w:val="clear" w:color="000000" w:fill="FFFFFF"/>
            <w:noWrap/>
            <w:vAlign w:val="center"/>
            <w:hideMark/>
          </w:tcPr>
          <w:p w14:paraId="4335F189"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Basic Education (grade 1-8) enrolment rate for child aged 5 -12</w:t>
            </w:r>
          </w:p>
        </w:tc>
        <w:tc>
          <w:tcPr>
            <w:tcW w:w="1135" w:type="dxa"/>
            <w:tcBorders>
              <w:top w:val="nil"/>
              <w:left w:val="nil"/>
              <w:right w:val="nil"/>
            </w:tcBorders>
            <w:shd w:val="clear" w:color="000000" w:fill="FFFFFF"/>
            <w:noWrap/>
            <w:vAlign w:val="center"/>
            <w:hideMark/>
          </w:tcPr>
          <w:p w14:paraId="077FE9AB"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0.705</w:t>
            </w:r>
          </w:p>
        </w:tc>
        <w:tc>
          <w:tcPr>
            <w:tcW w:w="1329" w:type="dxa"/>
            <w:gridSpan w:val="2"/>
            <w:tcBorders>
              <w:top w:val="nil"/>
              <w:left w:val="nil"/>
              <w:right w:val="nil"/>
            </w:tcBorders>
            <w:shd w:val="clear" w:color="000000" w:fill="FFFFFF"/>
            <w:noWrap/>
            <w:vAlign w:val="center"/>
            <w:hideMark/>
          </w:tcPr>
          <w:p w14:paraId="5133F0E1"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0.148</w:t>
            </w:r>
          </w:p>
        </w:tc>
        <w:tc>
          <w:tcPr>
            <w:tcW w:w="538" w:type="dxa"/>
            <w:tcBorders>
              <w:top w:val="nil"/>
              <w:left w:val="nil"/>
              <w:bottom w:val="nil"/>
              <w:right w:val="nil"/>
            </w:tcBorders>
            <w:shd w:val="clear" w:color="000000" w:fill="FFFFFF"/>
            <w:noWrap/>
            <w:vAlign w:val="center"/>
            <w:hideMark/>
          </w:tcPr>
          <w:p w14:paraId="50ACC493" w14:textId="4196DEC8"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hideMark/>
          </w:tcPr>
          <w:p w14:paraId="0EFE1745"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0.813</w:t>
            </w:r>
          </w:p>
        </w:tc>
        <w:tc>
          <w:tcPr>
            <w:tcW w:w="1141" w:type="dxa"/>
            <w:tcBorders>
              <w:top w:val="nil"/>
              <w:left w:val="nil"/>
              <w:bottom w:val="nil"/>
              <w:right w:val="nil"/>
            </w:tcBorders>
            <w:shd w:val="clear" w:color="000000" w:fill="FFFFFF"/>
            <w:noWrap/>
            <w:vAlign w:val="center"/>
            <w:hideMark/>
          </w:tcPr>
          <w:p w14:paraId="44CF59B4"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0.031</w:t>
            </w:r>
          </w:p>
        </w:tc>
      </w:tr>
      <w:tr w:rsidR="00E71E45" w:rsidRPr="004B36B2" w14:paraId="4B24232C" w14:textId="77777777" w:rsidTr="0039064F">
        <w:trPr>
          <w:trHeight w:val="340"/>
        </w:trPr>
        <w:tc>
          <w:tcPr>
            <w:tcW w:w="9494" w:type="dxa"/>
            <w:tcBorders>
              <w:top w:val="nil"/>
              <w:left w:val="nil"/>
              <w:bottom w:val="nil"/>
              <w:right w:val="nil"/>
            </w:tcBorders>
            <w:shd w:val="clear" w:color="000000" w:fill="FFFFFF"/>
            <w:noWrap/>
            <w:vAlign w:val="center"/>
            <w:hideMark/>
          </w:tcPr>
          <w:p w14:paraId="64E28B49"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Secondary Education (grade 9-12) enrolment rate for child aged 13 -16</w:t>
            </w:r>
          </w:p>
        </w:tc>
        <w:tc>
          <w:tcPr>
            <w:tcW w:w="1135" w:type="dxa"/>
            <w:tcBorders>
              <w:left w:val="nil"/>
              <w:bottom w:val="nil"/>
              <w:right w:val="nil"/>
            </w:tcBorders>
            <w:shd w:val="clear" w:color="000000" w:fill="FFFFFF"/>
            <w:noWrap/>
            <w:vAlign w:val="center"/>
            <w:hideMark/>
          </w:tcPr>
          <w:p w14:paraId="62064F47"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0.176</w:t>
            </w:r>
          </w:p>
        </w:tc>
        <w:tc>
          <w:tcPr>
            <w:tcW w:w="1329" w:type="dxa"/>
            <w:gridSpan w:val="2"/>
            <w:tcBorders>
              <w:left w:val="nil"/>
              <w:bottom w:val="nil"/>
              <w:right w:val="nil"/>
            </w:tcBorders>
            <w:shd w:val="clear" w:color="000000" w:fill="FFFFFF"/>
            <w:noWrap/>
            <w:vAlign w:val="center"/>
            <w:hideMark/>
          </w:tcPr>
          <w:p w14:paraId="271C35E1"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0.178</w:t>
            </w:r>
          </w:p>
        </w:tc>
        <w:tc>
          <w:tcPr>
            <w:tcW w:w="538" w:type="dxa"/>
            <w:tcBorders>
              <w:top w:val="nil"/>
              <w:left w:val="nil"/>
              <w:bottom w:val="nil"/>
              <w:right w:val="nil"/>
            </w:tcBorders>
            <w:shd w:val="clear" w:color="000000" w:fill="FFFFFF"/>
            <w:noWrap/>
            <w:vAlign w:val="center"/>
            <w:hideMark/>
          </w:tcPr>
          <w:p w14:paraId="004BBF7A" w14:textId="53ED6AA2"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hideMark/>
          </w:tcPr>
          <w:p w14:paraId="74FD4A6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0.361</w:t>
            </w:r>
          </w:p>
        </w:tc>
        <w:tc>
          <w:tcPr>
            <w:tcW w:w="1141" w:type="dxa"/>
            <w:tcBorders>
              <w:top w:val="nil"/>
              <w:left w:val="nil"/>
              <w:bottom w:val="nil"/>
              <w:right w:val="nil"/>
            </w:tcBorders>
            <w:shd w:val="clear" w:color="000000" w:fill="FFFFFF"/>
            <w:noWrap/>
            <w:vAlign w:val="center"/>
            <w:hideMark/>
          </w:tcPr>
          <w:p w14:paraId="341CACF6"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0.288</w:t>
            </w:r>
          </w:p>
        </w:tc>
      </w:tr>
      <w:tr w:rsidR="00E71E45" w:rsidRPr="004B36B2" w14:paraId="081B2E37" w14:textId="77777777" w:rsidTr="0039064F">
        <w:trPr>
          <w:trHeight w:val="340"/>
        </w:trPr>
        <w:tc>
          <w:tcPr>
            <w:tcW w:w="9494" w:type="dxa"/>
            <w:tcBorders>
              <w:top w:val="nil"/>
              <w:left w:val="nil"/>
              <w:bottom w:val="nil"/>
              <w:right w:val="nil"/>
            </w:tcBorders>
            <w:shd w:val="clear" w:color="000000" w:fill="FFFFFF"/>
            <w:noWrap/>
            <w:vAlign w:val="center"/>
          </w:tcPr>
          <w:p w14:paraId="4466259A"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Primary level (grade 1-5) Gross Enrolment Rate for children of all age</w:t>
            </w:r>
          </w:p>
        </w:tc>
        <w:tc>
          <w:tcPr>
            <w:tcW w:w="1135" w:type="dxa"/>
            <w:tcBorders>
              <w:left w:val="nil"/>
              <w:bottom w:val="nil"/>
              <w:right w:val="nil"/>
            </w:tcBorders>
            <w:shd w:val="clear" w:color="000000" w:fill="FFFFFF"/>
            <w:noWrap/>
            <w:vAlign w:val="center"/>
          </w:tcPr>
          <w:p w14:paraId="1DBD5DE3"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1.397</w:t>
            </w:r>
          </w:p>
        </w:tc>
        <w:tc>
          <w:tcPr>
            <w:tcW w:w="1329" w:type="dxa"/>
            <w:gridSpan w:val="2"/>
            <w:tcBorders>
              <w:left w:val="nil"/>
              <w:bottom w:val="nil"/>
              <w:right w:val="nil"/>
            </w:tcBorders>
            <w:shd w:val="clear" w:color="000000" w:fill="FFFFFF"/>
            <w:noWrap/>
            <w:vAlign w:val="center"/>
          </w:tcPr>
          <w:p w14:paraId="04C7983F"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0.626</w:t>
            </w:r>
          </w:p>
        </w:tc>
        <w:tc>
          <w:tcPr>
            <w:tcW w:w="538" w:type="dxa"/>
            <w:tcBorders>
              <w:top w:val="nil"/>
              <w:left w:val="nil"/>
              <w:bottom w:val="nil"/>
              <w:right w:val="nil"/>
            </w:tcBorders>
            <w:shd w:val="clear" w:color="000000" w:fill="FFFFFF"/>
            <w:noWrap/>
            <w:vAlign w:val="center"/>
          </w:tcPr>
          <w:p w14:paraId="78286700" w14:textId="5620A9BC"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41045B18"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1.358</w:t>
            </w:r>
          </w:p>
        </w:tc>
        <w:tc>
          <w:tcPr>
            <w:tcW w:w="1141" w:type="dxa"/>
            <w:tcBorders>
              <w:top w:val="nil"/>
              <w:left w:val="nil"/>
              <w:bottom w:val="nil"/>
              <w:right w:val="nil"/>
            </w:tcBorders>
            <w:shd w:val="clear" w:color="000000" w:fill="FFFFFF"/>
            <w:noWrap/>
            <w:vAlign w:val="center"/>
          </w:tcPr>
          <w:p w14:paraId="5F27775E"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0.609</w:t>
            </w:r>
          </w:p>
        </w:tc>
      </w:tr>
      <w:tr w:rsidR="00E71E45" w:rsidRPr="004B36B2" w14:paraId="0590D2DB" w14:textId="77777777" w:rsidTr="0039064F">
        <w:trPr>
          <w:trHeight w:val="340"/>
        </w:trPr>
        <w:tc>
          <w:tcPr>
            <w:tcW w:w="9494" w:type="dxa"/>
            <w:tcBorders>
              <w:top w:val="nil"/>
              <w:left w:val="nil"/>
              <w:bottom w:val="nil"/>
              <w:right w:val="nil"/>
            </w:tcBorders>
            <w:shd w:val="clear" w:color="000000" w:fill="FFFFFF"/>
            <w:noWrap/>
            <w:vAlign w:val="center"/>
          </w:tcPr>
          <w:p w14:paraId="15C89806"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Primary level (grade 1-5) Net Enrolment Rate for children of aged 5-9</w:t>
            </w:r>
          </w:p>
        </w:tc>
        <w:tc>
          <w:tcPr>
            <w:tcW w:w="1135" w:type="dxa"/>
            <w:tcBorders>
              <w:left w:val="nil"/>
              <w:bottom w:val="nil"/>
              <w:right w:val="nil"/>
            </w:tcBorders>
            <w:shd w:val="clear" w:color="000000" w:fill="FFFFFF"/>
            <w:noWrap/>
            <w:vAlign w:val="center"/>
          </w:tcPr>
          <w:p w14:paraId="4B7CDFD1"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0.552</w:t>
            </w:r>
          </w:p>
        </w:tc>
        <w:tc>
          <w:tcPr>
            <w:tcW w:w="1329" w:type="dxa"/>
            <w:gridSpan w:val="2"/>
            <w:tcBorders>
              <w:left w:val="nil"/>
              <w:bottom w:val="nil"/>
              <w:right w:val="nil"/>
            </w:tcBorders>
            <w:shd w:val="clear" w:color="000000" w:fill="FFFFFF"/>
            <w:noWrap/>
            <w:vAlign w:val="center"/>
          </w:tcPr>
          <w:p w14:paraId="10A33344"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0.194</w:t>
            </w:r>
          </w:p>
        </w:tc>
        <w:tc>
          <w:tcPr>
            <w:tcW w:w="538" w:type="dxa"/>
            <w:tcBorders>
              <w:top w:val="nil"/>
              <w:left w:val="nil"/>
              <w:bottom w:val="nil"/>
              <w:right w:val="nil"/>
            </w:tcBorders>
            <w:shd w:val="clear" w:color="000000" w:fill="FFFFFF"/>
            <w:noWrap/>
            <w:vAlign w:val="center"/>
          </w:tcPr>
          <w:p w14:paraId="5FF25F1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7037CA34"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0.718</w:t>
            </w:r>
          </w:p>
        </w:tc>
        <w:tc>
          <w:tcPr>
            <w:tcW w:w="1141" w:type="dxa"/>
            <w:tcBorders>
              <w:top w:val="nil"/>
              <w:left w:val="nil"/>
              <w:bottom w:val="nil"/>
              <w:right w:val="nil"/>
            </w:tcBorders>
            <w:shd w:val="clear" w:color="000000" w:fill="FFFFFF"/>
            <w:noWrap/>
            <w:vAlign w:val="center"/>
          </w:tcPr>
          <w:p w14:paraId="27551199"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0.235</w:t>
            </w:r>
          </w:p>
        </w:tc>
      </w:tr>
      <w:tr w:rsidR="00E71E45" w:rsidRPr="004B36B2" w14:paraId="1F195A9C" w14:textId="77777777" w:rsidTr="0039064F">
        <w:trPr>
          <w:trHeight w:val="340"/>
        </w:trPr>
        <w:tc>
          <w:tcPr>
            <w:tcW w:w="9494" w:type="dxa"/>
            <w:tcBorders>
              <w:top w:val="nil"/>
              <w:left w:val="nil"/>
              <w:bottom w:val="nil"/>
              <w:right w:val="nil"/>
            </w:tcBorders>
            <w:shd w:val="clear" w:color="000000" w:fill="FFFFFF"/>
            <w:noWrap/>
            <w:vAlign w:val="center"/>
          </w:tcPr>
          <w:p w14:paraId="1FF5DED9"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Lower secondary level (grade 6-8) Gross Enrolment Rate for children of all age</w:t>
            </w:r>
          </w:p>
        </w:tc>
        <w:tc>
          <w:tcPr>
            <w:tcW w:w="1135" w:type="dxa"/>
            <w:tcBorders>
              <w:left w:val="nil"/>
              <w:bottom w:val="nil"/>
              <w:right w:val="nil"/>
            </w:tcBorders>
            <w:shd w:val="clear" w:color="000000" w:fill="FFFFFF"/>
            <w:noWrap/>
            <w:vAlign w:val="center"/>
          </w:tcPr>
          <w:p w14:paraId="3672E2A8"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0.854</w:t>
            </w:r>
          </w:p>
        </w:tc>
        <w:tc>
          <w:tcPr>
            <w:tcW w:w="1329" w:type="dxa"/>
            <w:gridSpan w:val="2"/>
            <w:tcBorders>
              <w:left w:val="nil"/>
              <w:bottom w:val="nil"/>
              <w:right w:val="nil"/>
            </w:tcBorders>
            <w:shd w:val="clear" w:color="000000" w:fill="FFFFFF"/>
            <w:noWrap/>
            <w:vAlign w:val="center"/>
          </w:tcPr>
          <w:p w14:paraId="706E06DE"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0.63</w:t>
            </w:r>
          </w:p>
        </w:tc>
        <w:tc>
          <w:tcPr>
            <w:tcW w:w="538" w:type="dxa"/>
            <w:tcBorders>
              <w:top w:val="nil"/>
              <w:left w:val="nil"/>
              <w:bottom w:val="nil"/>
              <w:right w:val="nil"/>
            </w:tcBorders>
            <w:shd w:val="clear" w:color="000000" w:fill="FFFFFF"/>
            <w:noWrap/>
            <w:vAlign w:val="center"/>
          </w:tcPr>
          <w:p w14:paraId="480A698F" w14:textId="3E1C65D1"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528076F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0.984</w:t>
            </w:r>
          </w:p>
        </w:tc>
        <w:tc>
          <w:tcPr>
            <w:tcW w:w="1141" w:type="dxa"/>
            <w:tcBorders>
              <w:top w:val="nil"/>
              <w:left w:val="nil"/>
              <w:bottom w:val="nil"/>
              <w:right w:val="nil"/>
            </w:tcBorders>
            <w:shd w:val="clear" w:color="000000" w:fill="FFFFFF"/>
            <w:noWrap/>
            <w:vAlign w:val="center"/>
          </w:tcPr>
          <w:p w14:paraId="25614178"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0.662</w:t>
            </w:r>
          </w:p>
        </w:tc>
      </w:tr>
      <w:tr w:rsidR="00E71E45" w:rsidRPr="004B36B2" w14:paraId="025E03F8" w14:textId="77777777" w:rsidTr="0039064F">
        <w:trPr>
          <w:trHeight w:val="340"/>
        </w:trPr>
        <w:tc>
          <w:tcPr>
            <w:tcW w:w="9494" w:type="dxa"/>
            <w:tcBorders>
              <w:top w:val="nil"/>
              <w:left w:val="nil"/>
              <w:bottom w:val="nil"/>
              <w:right w:val="nil"/>
            </w:tcBorders>
            <w:shd w:val="clear" w:color="000000" w:fill="FFFFFF"/>
            <w:noWrap/>
            <w:vAlign w:val="center"/>
          </w:tcPr>
          <w:p w14:paraId="2AB5C720"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Lower secondary level (grade 6-8) Net Enrolment Rate for child aged 10-12</w:t>
            </w:r>
          </w:p>
        </w:tc>
        <w:tc>
          <w:tcPr>
            <w:tcW w:w="1135" w:type="dxa"/>
            <w:tcBorders>
              <w:left w:val="nil"/>
              <w:bottom w:val="nil"/>
              <w:right w:val="nil"/>
            </w:tcBorders>
            <w:shd w:val="clear" w:color="000000" w:fill="FFFFFF"/>
            <w:noWrap/>
            <w:vAlign w:val="center"/>
          </w:tcPr>
          <w:p w14:paraId="1AA4CFCC"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0.137</w:t>
            </w:r>
          </w:p>
        </w:tc>
        <w:tc>
          <w:tcPr>
            <w:tcW w:w="1329" w:type="dxa"/>
            <w:gridSpan w:val="2"/>
            <w:tcBorders>
              <w:left w:val="nil"/>
              <w:bottom w:val="nil"/>
              <w:right w:val="nil"/>
            </w:tcBorders>
            <w:shd w:val="clear" w:color="000000" w:fill="FFFFFF"/>
            <w:noWrap/>
            <w:vAlign w:val="center"/>
          </w:tcPr>
          <w:p w14:paraId="3FC48F4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0.171</w:t>
            </w:r>
          </w:p>
        </w:tc>
        <w:tc>
          <w:tcPr>
            <w:tcW w:w="538" w:type="dxa"/>
            <w:tcBorders>
              <w:top w:val="nil"/>
              <w:left w:val="nil"/>
              <w:bottom w:val="nil"/>
              <w:right w:val="nil"/>
            </w:tcBorders>
            <w:shd w:val="clear" w:color="000000" w:fill="FFFFFF"/>
            <w:noWrap/>
            <w:vAlign w:val="center"/>
          </w:tcPr>
          <w:p w14:paraId="72B9DCFA" w14:textId="627AD891"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5F5F4D84"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0.326</w:t>
            </w:r>
          </w:p>
        </w:tc>
        <w:tc>
          <w:tcPr>
            <w:tcW w:w="1141" w:type="dxa"/>
            <w:tcBorders>
              <w:top w:val="nil"/>
              <w:left w:val="nil"/>
              <w:bottom w:val="nil"/>
              <w:right w:val="nil"/>
            </w:tcBorders>
            <w:shd w:val="clear" w:color="000000" w:fill="FFFFFF"/>
            <w:noWrap/>
            <w:vAlign w:val="center"/>
          </w:tcPr>
          <w:p w14:paraId="662DB3F7"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0.306</w:t>
            </w:r>
          </w:p>
        </w:tc>
      </w:tr>
      <w:tr w:rsidR="00E71E45" w:rsidRPr="004B36B2" w14:paraId="04581FD1" w14:textId="77777777" w:rsidTr="0039064F">
        <w:trPr>
          <w:trHeight w:val="340"/>
        </w:trPr>
        <w:tc>
          <w:tcPr>
            <w:tcW w:w="9494" w:type="dxa"/>
            <w:tcBorders>
              <w:top w:val="nil"/>
              <w:left w:val="nil"/>
              <w:bottom w:val="nil"/>
              <w:right w:val="nil"/>
            </w:tcBorders>
            <w:shd w:val="clear" w:color="000000" w:fill="FFFFFF"/>
            <w:noWrap/>
            <w:vAlign w:val="center"/>
          </w:tcPr>
          <w:p w14:paraId="6BCAF085"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Secondary level (grade 9-10) Gross Enrolment Rate for children of all age</w:t>
            </w:r>
          </w:p>
        </w:tc>
        <w:tc>
          <w:tcPr>
            <w:tcW w:w="1135" w:type="dxa"/>
            <w:tcBorders>
              <w:left w:val="nil"/>
              <w:bottom w:val="nil"/>
              <w:right w:val="nil"/>
            </w:tcBorders>
            <w:shd w:val="clear" w:color="000000" w:fill="FFFFFF"/>
            <w:noWrap/>
            <w:vAlign w:val="center"/>
          </w:tcPr>
          <w:p w14:paraId="637A1DB2"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0.591</w:t>
            </w:r>
          </w:p>
        </w:tc>
        <w:tc>
          <w:tcPr>
            <w:tcW w:w="1329" w:type="dxa"/>
            <w:gridSpan w:val="2"/>
            <w:tcBorders>
              <w:left w:val="nil"/>
              <w:bottom w:val="nil"/>
              <w:right w:val="nil"/>
            </w:tcBorders>
            <w:shd w:val="clear" w:color="000000" w:fill="FFFFFF"/>
            <w:noWrap/>
            <w:vAlign w:val="center"/>
          </w:tcPr>
          <w:p w14:paraId="5ED21E7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0.66</w:t>
            </w:r>
          </w:p>
        </w:tc>
        <w:tc>
          <w:tcPr>
            <w:tcW w:w="538" w:type="dxa"/>
            <w:tcBorders>
              <w:top w:val="nil"/>
              <w:left w:val="nil"/>
              <w:bottom w:val="nil"/>
              <w:right w:val="nil"/>
            </w:tcBorders>
            <w:shd w:val="clear" w:color="000000" w:fill="FFFFFF"/>
            <w:noWrap/>
            <w:vAlign w:val="center"/>
          </w:tcPr>
          <w:p w14:paraId="3DE87FAC" w14:textId="1DD3241F"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1B76B04B"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0.929</w:t>
            </w:r>
          </w:p>
        </w:tc>
        <w:tc>
          <w:tcPr>
            <w:tcW w:w="1141" w:type="dxa"/>
            <w:tcBorders>
              <w:top w:val="nil"/>
              <w:left w:val="nil"/>
              <w:bottom w:val="nil"/>
              <w:right w:val="nil"/>
            </w:tcBorders>
            <w:shd w:val="clear" w:color="000000" w:fill="FFFFFF"/>
            <w:noWrap/>
            <w:vAlign w:val="center"/>
          </w:tcPr>
          <w:p w14:paraId="3355F9A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0.867</w:t>
            </w:r>
          </w:p>
        </w:tc>
      </w:tr>
      <w:tr w:rsidR="00E71E45" w:rsidRPr="004B36B2" w14:paraId="684393BE" w14:textId="77777777" w:rsidTr="0039064F">
        <w:trPr>
          <w:trHeight w:val="340"/>
        </w:trPr>
        <w:tc>
          <w:tcPr>
            <w:tcW w:w="9494" w:type="dxa"/>
            <w:tcBorders>
              <w:top w:val="nil"/>
              <w:left w:val="nil"/>
              <w:bottom w:val="nil"/>
              <w:right w:val="nil"/>
            </w:tcBorders>
            <w:shd w:val="clear" w:color="000000" w:fill="FFFFFF"/>
            <w:noWrap/>
            <w:vAlign w:val="center"/>
          </w:tcPr>
          <w:p w14:paraId="43C950B8"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Secondary level (grade 9-10) Net Enrolment Rate for child aged 13-14</w:t>
            </w:r>
          </w:p>
        </w:tc>
        <w:tc>
          <w:tcPr>
            <w:tcW w:w="1135" w:type="dxa"/>
            <w:tcBorders>
              <w:left w:val="nil"/>
              <w:bottom w:val="nil"/>
              <w:right w:val="nil"/>
            </w:tcBorders>
            <w:shd w:val="clear" w:color="000000" w:fill="FFFFFF"/>
            <w:noWrap/>
            <w:vAlign w:val="center"/>
          </w:tcPr>
          <w:p w14:paraId="1D2A7AB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0.061</w:t>
            </w:r>
          </w:p>
        </w:tc>
        <w:tc>
          <w:tcPr>
            <w:tcW w:w="1329" w:type="dxa"/>
            <w:gridSpan w:val="2"/>
            <w:tcBorders>
              <w:left w:val="nil"/>
              <w:bottom w:val="nil"/>
              <w:right w:val="nil"/>
            </w:tcBorders>
            <w:shd w:val="clear" w:color="000000" w:fill="FFFFFF"/>
            <w:noWrap/>
            <w:vAlign w:val="center"/>
          </w:tcPr>
          <w:p w14:paraId="01B35A9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0.129</w:t>
            </w:r>
          </w:p>
        </w:tc>
        <w:tc>
          <w:tcPr>
            <w:tcW w:w="538" w:type="dxa"/>
            <w:tcBorders>
              <w:top w:val="nil"/>
              <w:left w:val="nil"/>
              <w:bottom w:val="nil"/>
              <w:right w:val="nil"/>
            </w:tcBorders>
            <w:shd w:val="clear" w:color="000000" w:fill="FFFFFF"/>
            <w:noWrap/>
            <w:vAlign w:val="center"/>
          </w:tcPr>
          <w:p w14:paraId="58A7E41E" w14:textId="481D6CE3"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3BE73DC0"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0.191</w:t>
            </w:r>
          </w:p>
        </w:tc>
        <w:tc>
          <w:tcPr>
            <w:tcW w:w="1141" w:type="dxa"/>
            <w:tcBorders>
              <w:top w:val="nil"/>
              <w:left w:val="nil"/>
              <w:bottom w:val="nil"/>
              <w:right w:val="nil"/>
            </w:tcBorders>
            <w:shd w:val="clear" w:color="000000" w:fill="FFFFFF"/>
            <w:noWrap/>
            <w:vAlign w:val="center"/>
          </w:tcPr>
          <w:p w14:paraId="3138B9FB"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0.277</w:t>
            </w:r>
          </w:p>
        </w:tc>
      </w:tr>
      <w:tr w:rsidR="00E71E45" w:rsidRPr="004B36B2" w14:paraId="42BC48D0" w14:textId="77777777" w:rsidTr="0039064F">
        <w:trPr>
          <w:trHeight w:val="340"/>
        </w:trPr>
        <w:tc>
          <w:tcPr>
            <w:tcW w:w="9494" w:type="dxa"/>
            <w:tcBorders>
              <w:top w:val="nil"/>
              <w:left w:val="nil"/>
              <w:bottom w:val="nil"/>
              <w:right w:val="nil"/>
            </w:tcBorders>
            <w:shd w:val="clear" w:color="000000" w:fill="FFFFFF"/>
            <w:noWrap/>
            <w:vAlign w:val="center"/>
          </w:tcPr>
          <w:p w14:paraId="0387DDC2"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Higher Secondary level (grade 11-12) Gross Enrolment Rate for children of all age</w:t>
            </w:r>
          </w:p>
        </w:tc>
        <w:tc>
          <w:tcPr>
            <w:tcW w:w="1135" w:type="dxa"/>
            <w:tcBorders>
              <w:left w:val="nil"/>
              <w:bottom w:val="nil"/>
              <w:right w:val="nil"/>
            </w:tcBorders>
            <w:shd w:val="clear" w:color="000000" w:fill="FFFFFF"/>
            <w:noWrap/>
            <w:vAlign w:val="center"/>
          </w:tcPr>
          <w:p w14:paraId="0E530703"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1.307</w:t>
            </w:r>
          </w:p>
        </w:tc>
        <w:tc>
          <w:tcPr>
            <w:tcW w:w="1329" w:type="dxa"/>
            <w:gridSpan w:val="2"/>
            <w:tcBorders>
              <w:left w:val="nil"/>
              <w:bottom w:val="nil"/>
              <w:right w:val="nil"/>
            </w:tcBorders>
            <w:shd w:val="clear" w:color="000000" w:fill="FFFFFF"/>
            <w:noWrap/>
            <w:vAlign w:val="center"/>
          </w:tcPr>
          <w:p w14:paraId="2240C606"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1.874</w:t>
            </w:r>
          </w:p>
        </w:tc>
        <w:tc>
          <w:tcPr>
            <w:tcW w:w="538" w:type="dxa"/>
            <w:tcBorders>
              <w:top w:val="nil"/>
              <w:left w:val="nil"/>
              <w:bottom w:val="nil"/>
              <w:right w:val="nil"/>
            </w:tcBorders>
            <w:shd w:val="clear" w:color="000000" w:fill="FFFFFF"/>
            <w:noWrap/>
            <w:vAlign w:val="center"/>
          </w:tcPr>
          <w:p w14:paraId="29F9960B" w14:textId="2BE72013"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66FDF0DF"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0.935</w:t>
            </w:r>
          </w:p>
        </w:tc>
        <w:tc>
          <w:tcPr>
            <w:tcW w:w="1141" w:type="dxa"/>
            <w:tcBorders>
              <w:top w:val="nil"/>
              <w:left w:val="nil"/>
              <w:bottom w:val="nil"/>
              <w:right w:val="nil"/>
            </w:tcBorders>
            <w:shd w:val="clear" w:color="000000" w:fill="FFFFFF"/>
            <w:noWrap/>
            <w:vAlign w:val="center"/>
          </w:tcPr>
          <w:p w14:paraId="370E82C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1.038</w:t>
            </w:r>
          </w:p>
        </w:tc>
      </w:tr>
      <w:tr w:rsidR="00E71E45" w:rsidRPr="004B36B2" w14:paraId="7A0327EB" w14:textId="77777777" w:rsidTr="0039064F">
        <w:trPr>
          <w:trHeight w:val="340"/>
        </w:trPr>
        <w:tc>
          <w:tcPr>
            <w:tcW w:w="9494" w:type="dxa"/>
            <w:tcBorders>
              <w:top w:val="nil"/>
              <w:left w:val="nil"/>
              <w:bottom w:val="nil"/>
              <w:right w:val="nil"/>
            </w:tcBorders>
            <w:shd w:val="clear" w:color="000000" w:fill="FFFFFF"/>
            <w:noWrap/>
            <w:vAlign w:val="center"/>
          </w:tcPr>
          <w:p w14:paraId="4C422DB3"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Higher Secondary level (grade 11-12) Net Enrolment Rate for child aged 15-16</w:t>
            </w:r>
          </w:p>
        </w:tc>
        <w:tc>
          <w:tcPr>
            <w:tcW w:w="1135" w:type="dxa"/>
            <w:tcBorders>
              <w:left w:val="nil"/>
              <w:bottom w:val="nil"/>
              <w:right w:val="nil"/>
            </w:tcBorders>
            <w:shd w:val="clear" w:color="000000" w:fill="FFFFFF"/>
            <w:noWrap/>
            <w:vAlign w:val="center"/>
          </w:tcPr>
          <w:p w14:paraId="21E01993"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0.078</w:t>
            </w:r>
          </w:p>
        </w:tc>
        <w:tc>
          <w:tcPr>
            <w:tcW w:w="1329" w:type="dxa"/>
            <w:gridSpan w:val="2"/>
            <w:tcBorders>
              <w:left w:val="nil"/>
              <w:bottom w:val="nil"/>
              <w:right w:val="nil"/>
            </w:tcBorders>
            <w:shd w:val="clear" w:color="000000" w:fill="FFFFFF"/>
            <w:noWrap/>
            <w:vAlign w:val="center"/>
          </w:tcPr>
          <w:p w14:paraId="2D41E54F"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0.17</w:t>
            </w:r>
          </w:p>
        </w:tc>
        <w:tc>
          <w:tcPr>
            <w:tcW w:w="538" w:type="dxa"/>
            <w:tcBorders>
              <w:top w:val="nil"/>
              <w:left w:val="nil"/>
              <w:bottom w:val="nil"/>
              <w:right w:val="nil"/>
            </w:tcBorders>
            <w:shd w:val="clear" w:color="000000" w:fill="FFFFFF"/>
            <w:noWrap/>
            <w:vAlign w:val="center"/>
          </w:tcPr>
          <w:p w14:paraId="5406D76C" w14:textId="5CC64A0C"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25832E44"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0.137</w:t>
            </w:r>
          </w:p>
        </w:tc>
        <w:tc>
          <w:tcPr>
            <w:tcW w:w="1141" w:type="dxa"/>
            <w:tcBorders>
              <w:top w:val="nil"/>
              <w:left w:val="nil"/>
              <w:bottom w:val="nil"/>
              <w:right w:val="nil"/>
            </w:tcBorders>
            <w:shd w:val="clear" w:color="000000" w:fill="FFFFFF"/>
            <w:noWrap/>
            <w:vAlign w:val="center"/>
          </w:tcPr>
          <w:p w14:paraId="3492ACF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0.252</w:t>
            </w:r>
          </w:p>
        </w:tc>
      </w:tr>
      <w:tr w:rsidR="00E71E45" w:rsidRPr="004B36B2" w14:paraId="3F67DA9C" w14:textId="77777777" w:rsidTr="0039064F">
        <w:trPr>
          <w:trHeight w:val="340"/>
        </w:trPr>
        <w:tc>
          <w:tcPr>
            <w:tcW w:w="9494" w:type="dxa"/>
            <w:tcBorders>
              <w:top w:val="nil"/>
              <w:left w:val="nil"/>
              <w:bottom w:val="nil"/>
              <w:right w:val="nil"/>
            </w:tcBorders>
            <w:shd w:val="clear" w:color="000000" w:fill="FFFFFF"/>
            <w:noWrap/>
            <w:vAlign w:val="center"/>
          </w:tcPr>
          <w:p w14:paraId="661F638C"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xml:space="preserve">Attendance rate for children of all age </w:t>
            </w:r>
          </w:p>
        </w:tc>
        <w:tc>
          <w:tcPr>
            <w:tcW w:w="1135" w:type="dxa"/>
            <w:tcBorders>
              <w:left w:val="nil"/>
              <w:bottom w:val="nil"/>
              <w:right w:val="nil"/>
            </w:tcBorders>
            <w:shd w:val="clear" w:color="000000" w:fill="FFFFFF"/>
            <w:noWrap/>
            <w:vAlign w:val="center"/>
          </w:tcPr>
          <w:p w14:paraId="5D3AD164"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0.903</w:t>
            </w:r>
          </w:p>
        </w:tc>
        <w:tc>
          <w:tcPr>
            <w:tcW w:w="1329" w:type="dxa"/>
            <w:gridSpan w:val="2"/>
            <w:tcBorders>
              <w:left w:val="nil"/>
              <w:bottom w:val="nil"/>
              <w:right w:val="nil"/>
            </w:tcBorders>
            <w:shd w:val="clear" w:color="000000" w:fill="FFFFFF"/>
            <w:noWrap/>
            <w:vAlign w:val="center"/>
          </w:tcPr>
          <w:p w14:paraId="347FD9DF"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0.114</w:t>
            </w:r>
          </w:p>
        </w:tc>
        <w:tc>
          <w:tcPr>
            <w:tcW w:w="538" w:type="dxa"/>
            <w:tcBorders>
              <w:top w:val="nil"/>
              <w:left w:val="nil"/>
              <w:bottom w:val="nil"/>
              <w:right w:val="nil"/>
            </w:tcBorders>
            <w:shd w:val="clear" w:color="000000" w:fill="FFFFFF"/>
            <w:noWrap/>
            <w:vAlign w:val="center"/>
          </w:tcPr>
          <w:p w14:paraId="27D6131C" w14:textId="3E13A3B3"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5AA7DD81"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0.919</w:t>
            </w:r>
          </w:p>
        </w:tc>
        <w:tc>
          <w:tcPr>
            <w:tcW w:w="1141" w:type="dxa"/>
            <w:tcBorders>
              <w:top w:val="nil"/>
              <w:left w:val="nil"/>
              <w:bottom w:val="nil"/>
              <w:right w:val="nil"/>
            </w:tcBorders>
            <w:shd w:val="clear" w:color="000000" w:fill="FFFFFF"/>
            <w:noWrap/>
            <w:vAlign w:val="center"/>
          </w:tcPr>
          <w:p w14:paraId="74E990E0"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0.115</w:t>
            </w:r>
          </w:p>
        </w:tc>
      </w:tr>
      <w:tr w:rsidR="00E71E45" w:rsidRPr="004B36B2" w14:paraId="4ED65936" w14:textId="77777777" w:rsidTr="0039064F">
        <w:trPr>
          <w:trHeight w:val="340"/>
        </w:trPr>
        <w:tc>
          <w:tcPr>
            <w:tcW w:w="9494" w:type="dxa"/>
            <w:tcBorders>
              <w:top w:val="nil"/>
              <w:left w:val="nil"/>
              <w:bottom w:val="nil"/>
              <w:right w:val="nil"/>
            </w:tcBorders>
            <w:shd w:val="clear" w:color="000000" w:fill="FFFFFF"/>
            <w:noWrap/>
            <w:vAlign w:val="center"/>
          </w:tcPr>
          <w:p w14:paraId="0E3A689E"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Dropout rate for children of all age</w:t>
            </w:r>
          </w:p>
        </w:tc>
        <w:tc>
          <w:tcPr>
            <w:tcW w:w="1135" w:type="dxa"/>
            <w:tcBorders>
              <w:left w:val="nil"/>
              <w:bottom w:val="nil"/>
              <w:right w:val="nil"/>
            </w:tcBorders>
            <w:shd w:val="clear" w:color="000000" w:fill="FFFFFF"/>
            <w:noWrap/>
            <w:vAlign w:val="center"/>
          </w:tcPr>
          <w:p w14:paraId="71CC35FC"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0.129</w:t>
            </w:r>
          </w:p>
        </w:tc>
        <w:tc>
          <w:tcPr>
            <w:tcW w:w="1329" w:type="dxa"/>
            <w:gridSpan w:val="2"/>
            <w:tcBorders>
              <w:left w:val="nil"/>
              <w:bottom w:val="nil"/>
              <w:right w:val="nil"/>
            </w:tcBorders>
            <w:shd w:val="clear" w:color="000000" w:fill="FFFFFF"/>
            <w:noWrap/>
            <w:vAlign w:val="center"/>
          </w:tcPr>
          <w:p w14:paraId="423FF46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0.028</w:t>
            </w:r>
          </w:p>
        </w:tc>
        <w:tc>
          <w:tcPr>
            <w:tcW w:w="538" w:type="dxa"/>
            <w:tcBorders>
              <w:top w:val="nil"/>
              <w:left w:val="nil"/>
              <w:bottom w:val="nil"/>
              <w:right w:val="nil"/>
            </w:tcBorders>
            <w:shd w:val="clear" w:color="000000" w:fill="FFFFFF"/>
            <w:noWrap/>
            <w:vAlign w:val="center"/>
          </w:tcPr>
          <w:p w14:paraId="2A9067B1" w14:textId="127BCEBD"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00E6BB56"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0.011</w:t>
            </w:r>
          </w:p>
        </w:tc>
        <w:tc>
          <w:tcPr>
            <w:tcW w:w="1141" w:type="dxa"/>
            <w:tcBorders>
              <w:top w:val="nil"/>
              <w:left w:val="nil"/>
              <w:bottom w:val="nil"/>
              <w:right w:val="nil"/>
            </w:tcBorders>
            <w:shd w:val="clear" w:color="000000" w:fill="FFFFFF"/>
            <w:noWrap/>
            <w:vAlign w:val="center"/>
          </w:tcPr>
          <w:p w14:paraId="2EAD710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0.031</w:t>
            </w:r>
          </w:p>
        </w:tc>
      </w:tr>
      <w:tr w:rsidR="00E71E45" w:rsidRPr="004B36B2" w14:paraId="23F3C47E" w14:textId="77777777" w:rsidTr="0039064F">
        <w:trPr>
          <w:trHeight w:val="340"/>
        </w:trPr>
        <w:tc>
          <w:tcPr>
            <w:tcW w:w="9494" w:type="dxa"/>
            <w:tcBorders>
              <w:top w:val="nil"/>
              <w:left w:val="nil"/>
              <w:bottom w:val="nil"/>
              <w:right w:val="nil"/>
            </w:tcBorders>
            <w:shd w:val="clear" w:color="000000" w:fill="FFFFFF"/>
            <w:noWrap/>
            <w:vAlign w:val="center"/>
            <w:hideMark/>
          </w:tcPr>
          <w:p w14:paraId="10294406"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Child labour force participation (child labour) for child aged 11-16</w:t>
            </w:r>
          </w:p>
        </w:tc>
        <w:tc>
          <w:tcPr>
            <w:tcW w:w="1135" w:type="dxa"/>
            <w:tcBorders>
              <w:top w:val="nil"/>
              <w:left w:val="nil"/>
              <w:bottom w:val="nil"/>
              <w:right w:val="nil"/>
            </w:tcBorders>
            <w:shd w:val="clear" w:color="000000" w:fill="FFFFFF"/>
            <w:noWrap/>
            <w:vAlign w:val="center"/>
            <w:hideMark/>
          </w:tcPr>
          <w:p w14:paraId="1A235C6B"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0.495</w:t>
            </w:r>
          </w:p>
        </w:tc>
        <w:tc>
          <w:tcPr>
            <w:tcW w:w="1329" w:type="dxa"/>
            <w:gridSpan w:val="2"/>
            <w:tcBorders>
              <w:top w:val="nil"/>
              <w:left w:val="nil"/>
              <w:bottom w:val="nil"/>
              <w:right w:val="nil"/>
            </w:tcBorders>
            <w:shd w:val="clear" w:color="000000" w:fill="FFFFFF"/>
            <w:noWrap/>
            <w:vAlign w:val="center"/>
            <w:hideMark/>
          </w:tcPr>
          <w:p w14:paraId="599D3E3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0.322</w:t>
            </w:r>
          </w:p>
        </w:tc>
        <w:tc>
          <w:tcPr>
            <w:tcW w:w="538" w:type="dxa"/>
            <w:tcBorders>
              <w:top w:val="nil"/>
              <w:left w:val="nil"/>
              <w:bottom w:val="nil"/>
              <w:right w:val="nil"/>
            </w:tcBorders>
            <w:shd w:val="clear" w:color="000000" w:fill="FFFFFF"/>
            <w:noWrap/>
            <w:vAlign w:val="center"/>
            <w:hideMark/>
          </w:tcPr>
          <w:p w14:paraId="00690A3F" w14:textId="32B6F1CB"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hideMark/>
          </w:tcPr>
          <w:p w14:paraId="58BAB7D3"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0.588</w:t>
            </w:r>
          </w:p>
        </w:tc>
        <w:tc>
          <w:tcPr>
            <w:tcW w:w="1141" w:type="dxa"/>
            <w:tcBorders>
              <w:top w:val="nil"/>
              <w:left w:val="nil"/>
              <w:bottom w:val="nil"/>
              <w:right w:val="nil"/>
            </w:tcBorders>
            <w:shd w:val="clear" w:color="000000" w:fill="FFFFFF"/>
            <w:noWrap/>
            <w:vAlign w:val="center"/>
            <w:hideMark/>
          </w:tcPr>
          <w:p w14:paraId="0E2B088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0.332</w:t>
            </w:r>
          </w:p>
        </w:tc>
      </w:tr>
      <w:tr w:rsidR="00E71E45" w:rsidRPr="004B36B2" w14:paraId="070DE4D6" w14:textId="77777777" w:rsidTr="0039064F">
        <w:trPr>
          <w:trHeight w:val="340"/>
        </w:trPr>
        <w:tc>
          <w:tcPr>
            <w:tcW w:w="9494" w:type="dxa"/>
            <w:tcBorders>
              <w:top w:val="nil"/>
              <w:left w:val="nil"/>
              <w:bottom w:val="nil"/>
              <w:right w:val="nil"/>
            </w:tcBorders>
            <w:shd w:val="clear" w:color="000000" w:fill="FFFFFF"/>
            <w:noWrap/>
            <w:vAlign w:val="center"/>
            <w:hideMark/>
          </w:tcPr>
          <w:p w14:paraId="59C5E33F"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Child labour force participation (child labour) for child aged 8-10</w:t>
            </w:r>
          </w:p>
        </w:tc>
        <w:tc>
          <w:tcPr>
            <w:tcW w:w="1135" w:type="dxa"/>
            <w:tcBorders>
              <w:top w:val="nil"/>
              <w:left w:val="nil"/>
              <w:bottom w:val="nil"/>
              <w:right w:val="nil"/>
            </w:tcBorders>
            <w:shd w:val="clear" w:color="000000" w:fill="FFFFFF"/>
            <w:noWrap/>
            <w:vAlign w:val="center"/>
            <w:hideMark/>
          </w:tcPr>
          <w:p w14:paraId="17ABE10C"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0.232</w:t>
            </w:r>
          </w:p>
        </w:tc>
        <w:tc>
          <w:tcPr>
            <w:tcW w:w="1329" w:type="dxa"/>
            <w:gridSpan w:val="2"/>
            <w:tcBorders>
              <w:top w:val="nil"/>
              <w:left w:val="nil"/>
              <w:bottom w:val="nil"/>
              <w:right w:val="nil"/>
            </w:tcBorders>
            <w:shd w:val="clear" w:color="000000" w:fill="FFFFFF"/>
            <w:noWrap/>
            <w:vAlign w:val="center"/>
            <w:hideMark/>
          </w:tcPr>
          <w:p w14:paraId="37E5582F"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0.273</w:t>
            </w:r>
          </w:p>
        </w:tc>
        <w:tc>
          <w:tcPr>
            <w:tcW w:w="538" w:type="dxa"/>
            <w:tcBorders>
              <w:top w:val="nil"/>
              <w:left w:val="nil"/>
              <w:bottom w:val="nil"/>
              <w:right w:val="nil"/>
            </w:tcBorders>
            <w:shd w:val="clear" w:color="000000" w:fill="FFFFFF"/>
            <w:noWrap/>
            <w:vAlign w:val="center"/>
            <w:hideMark/>
          </w:tcPr>
          <w:p w14:paraId="7474E035" w14:textId="2F66B703"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hideMark/>
          </w:tcPr>
          <w:p w14:paraId="42CA48F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0.324</w:t>
            </w:r>
          </w:p>
        </w:tc>
        <w:tc>
          <w:tcPr>
            <w:tcW w:w="1141" w:type="dxa"/>
            <w:tcBorders>
              <w:top w:val="nil"/>
              <w:left w:val="nil"/>
              <w:bottom w:val="nil"/>
              <w:right w:val="nil"/>
            </w:tcBorders>
            <w:shd w:val="clear" w:color="000000" w:fill="FFFFFF"/>
            <w:noWrap/>
            <w:vAlign w:val="center"/>
            <w:hideMark/>
          </w:tcPr>
          <w:p w14:paraId="655EF5F0"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0.342</w:t>
            </w:r>
          </w:p>
        </w:tc>
      </w:tr>
      <w:tr w:rsidR="00E71E45" w:rsidRPr="004B36B2" w14:paraId="494DF076" w14:textId="77777777" w:rsidTr="0039064F">
        <w:trPr>
          <w:trHeight w:val="340"/>
        </w:trPr>
        <w:tc>
          <w:tcPr>
            <w:tcW w:w="9494" w:type="dxa"/>
            <w:tcBorders>
              <w:top w:val="nil"/>
              <w:left w:val="nil"/>
              <w:bottom w:val="nil"/>
              <w:right w:val="nil"/>
            </w:tcBorders>
            <w:shd w:val="clear" w:color="000000" w:fill="FFFFFF"/>
            <w:noWrap/>
            <w:vAlign w:val="center"/>
          </w:tcPr>
          <w:p w14:paraId="3B10A7C1"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Hours spend in labour market by child aged 11-16</w:t>
            </w:r>
          </w:p>
        </w:tc>
        <w:tc>
          <w:tcPr>
            <w:tcW w:w="1135" w:type="dxa"/>
            <w:tcBorders>
              <w:top w:val="nil"/>
              <w:left w:val="nil"/>
              <w:bottom w:val="nil"/>
              <w:right w:val="nil"/>
            </w:tcBorders>
            <w:shd w:val="clear" w:color="000000" w:fill="FFFFFF"/>
            <w:noWrap/>
            <w:vAlign w:val="center"/>
          </w:tcPr>
          <w:p w14:paraId="090071EE"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21.928</w:t>
            </w:r>
          </w:p>
        </w:tc>
        <w:tc>
          <w:tcPr>
            <w:tcW w:w="1329" w:type="dxa"/>
            <w:gridSpan w:val="2"/>
            <w:tcBorders>
              <w:top w:val="nil"/>
              <w:left w:val="nil"/>
              <w:bottom w:val="nil"/>
              <w:right w:val="nil"/>
            </w:tcBorders>
            <w:shd w:val="clear" w:color="000000" w:fill="FFFFFF"/>
            <w:noWrap/>
            <w:vAlign w:val="center"/>
          </w:tcPr>
          <w:p w14:paraId="711F70A1"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15.20</w:t>
            </w:r>
          </w:p>
        </w:tc>
        <w:tc>
          <w:tcPr>
            <w:tcW w:w="538" w:type="dxa"/>
            <w:tcBorders>
              <w:top w:val="nil"/>
              <w:left w:val="nil"/>
              <w:bottom w:val="nil"/>
              <w:right w:val="nil"/>
            </w:tcBorders>
            <w:shd w:val="clear" w:color="000000" w:fill="FFFFFF"/>
            <w:noWrap/>
            <w:vAlign w:val="center"/>
          </w:tcPr>
          <w:p w14:paraId="5E30C107"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0F6A2328"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16.909</w:t>
            </w:r>
          </w:p>
        </w:tc>
        <w:tc>
          <w:tcPr>
            <w:tcW w:w="1141" w:type="dxa"/>
            <w:tcBorders>
              <w:top w:val="nil"/>
              <w:left w:val="nil"/>
              <w:bottom w:val="nil"/>
              <w:right w:val="nil"/>
            </w:tcBorders>
            <w:shd w:val="clear" w:color="000000" w:fill="FFFFFF"/>
            <w:noWrap/>
            <w:vAlign w:val="center"/>
          </w:tcPr>
          <w:p w14:paraId="75D36170"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13.988</w:t>
            </w:r>
          </w:p>
        </w:tc>
      </w:tr>
      <w:tr w:rsidR="00E71E45" w:rsidRPr="004B36B2" w14:paraId="0A2BB195" w14:textId="77777777" w:rsidTr="0039064F">
        <w:trPr>
          <w:trHeight w:val="340"/>
        </w:trPr>
        <w:tc>
          <w:tcPr>
            <w:tcW w:w="9494" w:type="dxa"/>
            <w:tcBorders>
              <w:top w:val="nil"/>
              <w:left w:val="nil"/>
              <w:bottom w:val="nil"/>
              <w:right w:val="nil"/>
            </w:tcBorders>
            <w:shd w:val="clear" w:color="000000" w:fill="FFFFFF"/>
            <w:noWrap/>
            <w:vAlign w:val="center"/>
          </w:tcPr>
          <w:p w14:paraId="4E0EB290"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Hours spend in labour market by child aged 8-10</w:t>
            </w:r>
          </w:p>
        </w:tc>
        <w:tc>
          <w:tcPr>
            <w:tcW w:w="1135" w:type="dxa"/>
            <w:tcBorders>
              <w:top w:val="nil"/>
              <w:left w:val="nil"/>
              <w:bottom w:val="nil"/>
              <w:right w:val="nil"/>
            </w:tcBorders>
            <w:shd w:val="clear" w:color="000000" w:fill="FFFFFF"/>
            <w:noWrap/>
            <w:vAlign w:val="center"/>
          </w:tcPr>
          <w:p w14:paraId="24E51408"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8.678</w:t>
            </w:r>
          </w:p>
        </w:tc>
        <w:tc>
          <w:tcPr>
            <w:tcW w:w="1329" w:type="dxa"/>
            <w:gridSpan w:val="2"/>
            <w:tcBorders>
              <w:top w:val="nil"/>
              <w:left w:val="nil"/>
              <w:bottom w:val="nil"/>
              <w:right w:val="nil"/>
            </w:tcBorders>
            <w:shd w:val="clear" w:color="000000" w:fill="FFFFFF"/>
            <w:noWrap/>
            <w:vAlign w:val="center"/>
          </w:tcPr>
          <w:p w14:paraId="033E48F5"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10.212</w:t>
            </w:r>
          </w:p>
        </w:tc>
        <w:tc>
          <w:tcPr>
            <w:tcW w:w="538" w:type="dxa"/>
            <w:tcBorders>
              <w:top w:val="nil"/>
              <w:left w:val="nil"/>
              <w:bottom w:val="nil"/>
              <w:right w:val="nil"/>
            </w:tcBorders>
            <w:shd w:val="clear" w:color="000000" w:fill="FFFFFF"/>
            <w:noWrap/>
            <w:vAlign w:val="center"/>
          </w:tcPr>
          <w:p w14:paraId="07818E83"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tcPr>
          <w:p w14:paraId="1044F137"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6.208</w:t>
            </w:r>
          </w:p>
        </w:tc>
        <w:tc>
          <w:tcPr>
            <w:tcW w:w="1141" w:type="dxa"/>
            <w:tcBorders>
              <w:top w:val="nil"/>
              <w:left w:val="nil"/>
              <w:bottom w:val="nil"/>
              <w:right w:val="nil"/>
            </w:tcBorders>
            <w:shd w:val="clear" w:color="000000" w:fill="FFFFFF"/>
            <w:noWrap/>
            <w:vAlign w:val="center"/>
          </w:tcPr>
          <w:p w14:paraId="3FE6893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8.234</w:t>
            </w:r>
          </w:p>
        </w:tc>
      </w:tr>
      <w:tr w:rsidR="00E71E45" w:rsidRPr="004B36B2" w14:paraId="091AA045" w14:textId="77777777" w:rsidTr="0039064F">
        <w:trPr>
          <w:trHeight w:val="130"/>
        </w:trPr>
        <w:tc>
          <w:tcPr>
            <w:tcW w:w="9494" w:type="dxa"/>
            <w:tcBorders>
              <w:top w:val="nil"/>
              <w:left w:val="nil"/>
              <w:bottom w:val="nil"/>
              <w:right w:val="nil"/>
            </w:tcBorders>
            <w:shd w:val="clear" w:color="000000" w:fill="FFFFFF"/>
            <w:noWrap/>
            <w:vAlign w:val="center"/>
            <w:hideMark/>
          </w:tcPr>
          <w:p w14:paraId="494856C7"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Migration rate (in 1,000 ppln)</w:t>
            </w:r>
          </w:p>
        </w:tc>
        <w:tc>
          <w:tcPr>
            <w:tcW w:w="1135" w:type="dxa"/>
            <w:tcBorders>
              <w:top w:val="nil"/>
              <w:left w:val="nil"/>
              <w:bottom w:val="nil"/>
              <w:right w:val="nil"/>
            </w:tcBorders>
            <w:shd w:val="clear" w:color="000000" w:fill="FFFFFF"/>
            <w:noWrap/>
            <w:vAlign w:val="center"/>
            <w:hideMark/>
          </w:tcPr>
          <w:p w14:paraId="7735EC3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71.525</w:t>
            </w:r>
          </w:p>
        </w:tc>
        <w:tc>
          <w:tcPr>
            <w:tcW w:w="1329" w:type="dxa"/>
            <w:gridSpan w:val="2"/>
            <w:tcBorders>
              <w:top w:val="nil"/>
              <w:left w:val="nil"/>
              <w:bottom w:val="nil"/>
              <w:right w:val="nil"/>
            </w:tcBorders>
            <w:shd w:val="clear" w:color="000000" w:fill="FFFFFF"/>
            <w:noWrap/>
            <w:vAlign w:val="center"/>
            <w:hideMark/>
          </w:tcPr>
          <w:p w14:paraId="6AB46866"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50.584</w:t>
            </w:r>
          </w:p>
        </w:tc>
        <w:tc>
          <w:tcPr>
            <w:tcW w:w="538" w:type="dxa"/>
            <w:tcBorders>
              <w:top w:val="nil"/>
              <w:left w:val="nil"/>
              <w:bottom w:val="nil"/>
              <w:right w:val="nil"/>
            </w:tcBorders>
            <w:shd w:val="clear" w:color="000000" w:fill="FFFFFF"/>
            <w:noWrap/>
            <w:vAlign w:val="center"/>
            <w:hideMark/>
          </w:tcPr>
          <w:p w14:paraId="261610A9" w14:textId="1287C5C2"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nil"/>
              <w:right w:val="nil"/>
            </w:tcBorders>
            <w:shd w:val="clear" w:color="000000" w:fill="FFFFFF"/>
            <w:noWrap/>
            <w:vAlign w:val="center"/>
            <w:hideMark/>
          </w:tcPr>
          <w:p w14:paraId="3789E3AF"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85.738</w:t>
            </w:r>
          </w:p>
        </w:tc>
        <w:tc>
          <w:tcPr>
            <w:tcW w:w="1141" w:type="dxa"/>
            <w:tcBorders>
              <w:top w:val="nil"/>
              <w:left w:val="nil"/>
              <w:bottom w:val="nil"/>
              <w:right w:val="nil"/>
            </w:tcBorders>
            <w:shd w:val="clear" w:color="000000" w:fill="FFFFFF"/>
            <w:noWrap/>
            <w:vAlign w:val="center"/>
            <w:hideMark/>
          </w:tcPr>
          <w:p w14:paraId="3FF08492"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59.196</w:t>
            </w:r>
          </w:p>
        </w:tc>
      </w:tr>
      <w:tr w:rsidR="00E71E45" w:rsidRPr="004B36B2" w14:paraId="21A73CDC" w14:textId="77777777" w:rsidTr="0039064F">
        <w:trPr>
          <w:trHeight w:val="122"/>
        </w:trPr>
        <w:tc>
          <w:tcPr>
            <w:tcW w:w="9494" w:type="dxa"/>
            <w:tcBorders>
              <w:top w:val="nil"/>
              <w:left w:val="nil"/>
              <w:bottom w:val="single" w:sz="8" w:space="0" w:color="auto"/>
              <w:right w:val="nil"/>
            </w:tcBorders>
            <w:shd w:val="clear" w:color="000000" w:fill="FFFFFF"/>
            <w:noWrap/>
            <w:vAlign w:val="center"/>
            <w:hideMark/>
          </w:tcPr>
          <w:p w14:paraId="5D8338A1" w14:textId="77777777" w:rsidR="00E71E45" w:rsidRPr="00735EAE" w:rsidRDefault="00E71E45" w:rsidP="0039064F">
            <w:pPr>
              <w:spacing w:after="100"/>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Average remittance received by Household in PSU (In NPR)</w:t>
            </w:r>
          </w:p>
        </w:tc>
        <w:tc>
          <w:tcPr>
            <w:tcW w:w="1135" w:type="dxa"/>
            <w:tcBorders>
              <w:top w:val="nil"/>
              <w:left w:val="nil"/>
              <w:bottom w:val="single" w:sz="8" w:space="0" w:color="auto"/>
              <w:right w:val="nil"/>
            </w:tcBorders>
            <w:shd w:val="clear" w:color="000000" w:fill="FFFFFF"/>
            <w:noWrap/>
            <w:vAlign w:val="center"/>
            <w:hideMark/>
          </w:tcPr>
          <w:p w14:paraId="0E204FDC"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3705</w:t>
            </w:r>
          </w:p>
        </w:tc>
        <w:tc>
          <w:tcPr>
            <w:tcW w:w="1329" w:type="dxa"/>
            <w:gridSpan w:val="2"/>
            <w:tcBorders>
              <w:top w:val="nil"/>
              <w:left w:val="nil"/>
              <w:bottom w:val="single" w:sz="8" w:space="0" w:color="auto"/>
              <w:right w:val="nil"/>
            </w:tcBorders>
            <w:shd w:val="clear" w:color="000000" w:fill="FFFFFF"/>
            <w:noWrap/>
            <w:vAlign w:val="center"/>
            <w:hideMark/>
          </w:tcPr>
          <w:p w14:paraId="08A45675"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5993</w:t>
            </w:r>
          </w:p>
        </w:tc>
        <w:tc>
          <w:tcPr>
            <w:tcW w:w="538" w:type="dxa"/>
            <w:tcBorders>
              <w:top w:val="nil"/>
              <w:left w:val="nil"/>
              <w:bottom w:val="single" w:sz="8" w:space="0" w:color="auto"/>
              <w:right w:val="nil"/>
            </w:tcBorders>
            <w:shd w:val="clear" w:color="000000" w:fill="FFFFFF"/>
            <w:noWrap/>
            <w:vAlign w:val="center"/>
            <w:hideMark/>
          </w:tcPr>
          <w:p w14:paraId="23958E70" w14:textId="7DBA6AE1" w:rsidR="00E71E45" w:rsidRPr="00735EAE" w:rsidRDefault="00E71E45" w:rsidP="00A54C7D">
            <w:pPr>
              <w:spacing w:after="100"/>
              <w:jc w:val="center"/>
              <w:rPr>
                <w:rFonts w:asciiTheme="majorBidi" w:eastAsia="Times New Roman" w:hAnsiTheme="majorBidi" w:cstheme="majorBidi"/>
                <w:color w:val="000000" w:themeColor="text1"/>
                <w:sz w:val="22"/>
              </w:rPr>
            </w:pPr>
          </w:p>
        </w:tc>
        <w:tc>
          <w:tcPr>
            <w:tcW w:w="1135" w:type="dxa"/>
            <w:tcBorders>
              <w:top w:val="nil"/>
              <w:left w:val="nil"/>
              <w:bottom w:val="single" w:sz="8" w:space="0" w:color="auto"/>
              <w:right w:val="nil"/>
            </w:tcBorders>
            <w:shd w:val="clear" w:color="000000" w:fill="FFFFFF"/>
            <w:noWrap/>
            <w:vAlign w:val="center"/>
            <w:hideMark/>
          </w:tcPr>
          <w:p w14:paraId="3B86208D"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4471</w:t>
            </w:r>
          </w:p>
        </w:tc>
        <w:tc>
          <w:tcPr>
            <w:tcW w:w="1141" w:type="dxa"/>
            <w:tcBorders>
              <w:top w:val="nil"/>
              <w:left w:val="nil"/>
              <w:bottom w:val="single" w:sz="8" w:space="0" w:color="auto"/>
              <w:right w:val="nil"/>
            </w:tcBorders>
            <w:shd w:val="clear" w:color="000000" w:fill="FFFFFF"/>
            <w:noWrap/>
            <w:vAlign w:val="center"/>
            <w:hideMark/>
          </w:tcPr>
          <w:p w14:paraId="239B8E1A" w14:textId="77777777" w:rsidR="00E71E45" w:rsidRPr="00735EAE" w:rsidRDefault="00E71E45" w:rsidP="00A54C7D">
            <w:pPr>
              <w:spacing w:after="100"/>
              <w:jc w:val="center"/>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6703</w:t>
            </w:r>
          </w:p>
        </w:tc>
      </w:tr>
      <w:tr w:rsidR="00E71E45" w:rsidRPr="004B36B2" w14:paraId="6CF98FD5" w14:textId="77777777" w:rsidTr="0039064F">
        <w:trPr>
          <w:trHeight w:val="236"/>
        </w:trPr>
        <w:tc>
          <w:tcPr>
            <w:tcW w:w="14772" w:type="dxa"/>
            <w:gridSpan w:val="7"/>
            <w:tcBorders>
              <w:top w:val="single" w:sz="8" w:space="0" w:color="auto"/>
              <w:left w:val="nil"/>
              <w:bottom w:val="nil"/>
              <w:right w:val="nil"/>
            </w:tcBorders>
            <w:shd w:val="clear" w:color="000000" w:fill="FFFFFF"/>
            <w:noWrap/>
            <w:vAlign w:val="center"/>
            <w:hideMark/>
          </w:tcPr>
          <w:p w14:paraId="27D68D5A" w14:textId="5C5AB061" w:rsidR="00E71E45" w:rsidRPr="008D58B6" w:rsidRDefault="00E71E45" w:rsidP="005E71B3">
            <w:pPr>
              <w:jc w:val="both"/>
              <w:rPr>
                <w:rFonts w:asciiTheme="majorBidi" w:eastAsia="Times New Roman" w:hAnsiTheme="majorBidi" w:cstheme="majorBidi"/>
                <w:color w:val="000000" w:themeColor="text1"/>
                <w:sz w:val="20"/>
                <w:szCs w:val="20"/>
              </w:rPr>
            </w:pPr>
            <w:r w:rsidRPr="008D58B6">
              <w:rPr>
                <w:rFonts w:asciiTheme="majorBidi" w:eastAsia="Times New Roman" w:hAnsiTheme="majorBidi" w:cstheme="majorBidi"/>
                <w:i/>
                <w:iCs/>
                <w:color w:val="000000" w:themeColor="text1"/>
                <w:sz w:val="20"/>
                <w:szCs w:val="20"/>
              </w:rPr>
              <w:t>Note</w:t>
            </w:r>
            <w:r w:rsidR="00D92344">
              <w:rPr>
                <w:rFonts w:asciiTheme="majorBidi" w:eastAsia="Times New Roman" w:hAnsiTheme="majorBidi" w:cstheme="majorBidi"/>
                <w:i/>
                <w:iCs/>
                <w:color w:val="000000" w:themeColor="text1"/>
                <w:sz w:val="20"/>
                <w:szCs w:val="20"/>
              </w:rPr>
              <w:t>s</w:t>
            </w:r>
            <w:r w:rsidRPr="008D58B6">
              <w:rPr>
                <w:rFonts w:asciiTheme="majorBidi" w:eastAsia="Times New Roman" w:hAnsiTheme="majorBidi" w:cstheme="majorBidi"/>
                <w:i/>
                <w:iCs/>
                <w:color w:val="000000" w:themeColor="text1"/>
                <w:sz w:val="20"/>
                <w:szCs w:val="20"/>
              </w:rPr>
              <w:t xml:space="preserve"> </w:t>
            </w:r>
            <w:r w:rsidRPr="008D58B6">
              <w:rPr>
                <w:rFonts w:asciiTheme="majorBidi" w:eastAsia="Times New Roman" w:hAnsiTheme="majorBidi" w:cstheme="majorBidi"/>
                <w:color w:val="000000" w:themeColor="text1"/>
                <w:sz w:val="20"/>
                <w:szCs w:val="20"/>
              </w:rPr>
              <w:t xml:space="preserve">Above figure are rates which ranges from 0 to 1. The quantity of child labour participation is reported in average number of hours spend in last seven days. Migration rate is measured as number of migrants in per thousand of population. The average remittance includes remittance from all the sources which is divided by no of household in PSU. Basic education includes primary and lower secondary level, and secondary education combines secondary and high-secondary level. NPR is Nepalese rupees.     </w:t>
            </w:r>
          </w:p>
        </w:tc>
      </w:tr>
    </w:tbl>
    <w:p w14:paraId="061E1EDF" w14:textId="77777777" w:rsidR="00E71E45" w:rsidRDefault="00E71E45">
      <w:pPr>
        <w:rPr>
          <w:rFonts w:asciiTheme="majorBidi" w:hAnsiTheme="majorBidi" w:cstheme="majorBidi"/>
          <w:color w:val="000000" w:themeColor="text1"/>
          <w:szCs w:val="24"/>
        </w:rPr>
        <w:sectPr w:rsidR="00E71E45" w:rsidSect="003A462A">
          <w:pgSz w:w="16838" w:h="11906" w:orient="landscape"/>
          <w:pgMar w:top="1134" w:right="1440" w:bottom="1276" w:left="1440" w:header="709" w:footer="709" w:gutter="0"/>
          <w:cols w:space="708"/>
          <w:docGrid w:linePitch="360"/>
        </w:sectPr>
      </w:pPr>
    </w:p>
    <w:p w14:paraId="255D5674" w14:textId="403F7426" w:rsidR="00D9371C" w:rsidRDefault="003F4C38" w:rsidP="00E71E45">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lastRenderedPageBreak/>
        <w:t>The u</w:t>
      </w:r>
      <w:r w:rsidR="004D1C98" w:rsidRPr="004B36B2">
        <w:rPr>
          <w:rFonts w:asciiTheme="majorBidi" w:hAnsiTheme="majorBidi" w:cstheme="majorBidi"/>
          <w:color w:val="000000" w:themeColor="text1"/>
          <w:szCs w:val="24"/>
        </w:rPr>
        <w:t>niversal free education</w:t>
      </w:r>
      <w:r w:rsidR="00280679" w:rsidRPr="004B36B2">
        <w:rPr>
          <w:rFonts w:asciiTheme="majorBidi" w:hAnsiTheme="majorBidi" w:cstheme="majorBidi"/>
          <w:color w:val="000000" w:themeColor="text1"/>
          <w:szCs w:val="24"/>
        </w:rPr>
        <w:t xml:space="preserve"> and partial scholarship </w:t>
      </w:r>
      <w:r w:rsidR="00D72420" w:rsidRPr="004B36B2">
        <w:rPr>
          <w:rFonts w:asciiTheme="majorBidi" w:hAnsiTheme="majorBidi" w:cstheme="majorBidi"/>
          <w:color w:val="000000" w:themeColor="text1"/>
          <w:szCs w:val="24"/>
        </w:rPr>
        <w:t>program</w:t>
      </w:r>
      <w:r w:rsidR="008C0EB8" w:rsidRPr="004B36B2">
        <w:rPr>
          <w:rFonts w:asciiTheme="majorBidi" w:hAnsiTheme="majorBidi" w:cstheme="majorBidi"/>
          <w:color w:val="000000" w:themeColor="text1"/>
          <w:szCs w:val="24"/>
        </w:rPr>
        <w:t>,</w:t>
      </w:r>
      <w:r w:rsidR="00D72420" w:rsidRPr="004B36B2">
        <w:rPr>
          <w:rFonts w:asciiTheme="majorBidi" w:hAnsiTheme="majorBidi" w:cstheme="majorBidi"/>
          <w:color w:val="000000" w:themeColor="text1"/>
          <w:szCs w:val="24"/>
        </w:rPr>
        <w:t xml:space="preserve"> </w:t>
      </w:r>
      <w:r w:rsidR="00280679" w:rsidRPr="004B36B2">
        <w:rPr>
          <w:rFonts w:asciiTheme="majorBidi" w:hAnsiTheme="majorBidi" w:cstheme="majorBidi"/>
          <w:color w:val="000000" w:themeColor="text1"/>
          <w:szCs w:val="24"/>
        </w:rPr>
        <w:t>especially for girls</w:t>
      </w:r>
      <w:r w:rsidR="008C0EB8" w:rsidRPr="004B36B2">
        <w:rPr>
          <w:rFonts w:asciiTheme="majorBidi" w:hAnsiTheme="majorBidi" w:cstheme="majorBidi"/>
          <w:color w:val="000000" w:themeColor="text1"/>
          <w:szCs w:val="24"/>
        </w:rPr>
        <w:t>,</w:t>
      </w:r>
      <w:r w:rsidR="002C0FC2" w:rsidRPr="004B36B2">
        <w:rPr>
          <w:rFonts w:asciiTheme="majorBidi" w:hAnsiTheme="majorBidi" w:cstheme="majorBidi"/>
          <w:color w:val="000000" w:themeColor="text1"/>
          <w:szCs w:val="24"/>
        </w:rPr>
        <w:t xml:space="preserve"> i</w:t>
      </w:r>
      <w:r w:rsidR="004D1C98" w:rsidRPr="004B36B2">
        <w:rPr>
          <w:rFonts w:asciiTheme="majorBidi" w:hAnsiTheme="majorBidi" w:cstheme="majorBidi"/>
          <w:color w:val="000000" w:themeColor="text1"/>
          <w:szCs w:val="24"/>
        </w:rPr>
        <w:t>s mandated by the constitution of Nepal</w:t>
      </w:r>
      <w:r w:rsidR="002C0FC2" w:rsidRPr="004B36B2">
        <w:rPr>
          <w:rFonts w:asciiTheme="majorBidi" w:hAnsiTheme="majorBidi" w:cstheme="majorBidi"/>
          <w:color w:val="000000" w:themeColor="text1"/>
          <w:szCs w:val="24"/>
        </w:rPr>
        <w:t>. This</w:t>
      </w:r>
      <w:r w:rsidR="004D1C98" w:rsidRPr="004B36B2">
        <w:rPr>
          <w:rFonts w:asciiTheme="majorBidi" w:hAnsiTheme="majorBidi" w:cstheme="majorBidi"/>
          <w:color w:val="000000" w:themeColor="text1"/>
          <w:szCs w:val="24"/>
        </w:rPr>
        <w:t xml:space="preserve"> has increased access to education</w:t>
      </w:r>
      <w:r w:rsidR="00F510CC" w:rsidRPr="004B36B2">
        <w:rPr>
          <w:rFonts w:asciiTheme="majorBidi" w:hAnsiTheme="majorBidi" w:cstheme="majorBidi"/>
          <w:color w:val="000000" w:themeColor="text1"/>
          <w:szCs w:val="24"/>
        </w:rPr>
        <w:t>,</w:t>
      </w:r>
      <w:r w:rsidR="004D1C98" w:rsidRPr="004B36B2">
        <w:rPr>
          <w:rFonts w:asciiTheme="majorBidi" w:hAnsiTheme="majorBidi" w:cstheme="majorBidi"/>
          <w:color w:val="000000" w:themeColor="text1"/>
          <w:szCs w:val="24"/>
        </w:rPr>
        <w:t xml:space="preserve"> yet school progression </w:t>
      </w:r>
      <w:r w:rsidR="00CD0883" w:rsidRPr="004B36B2">
        <w:rPr>
          <w:rFonts w:asciiTheme="majorBidi" w:hAnsiTheme="majorBidi" w:cstheme="majorBidi"/>
          <w:color w:val="000000" w:themeColor="text1"/>
          <w:szCs w:val="24"/>
        </w:rPr>
        <w:t xml:space="preserve">at </w:t>
      </w:r>
      <w:r w:rsidR="00CD0883" w:rsidRPr="004B36B2">
        <w:rPr>
          <w:rFonts w:asciiTheme="majorBidi" w:hAnsiTheme="majorBidi" w:cstheme="majorBidi"/>
          <w:noProof/>
          <w:color w:val="000000" w:themeColor="text1"/>
          <w:szCs w:val="24"/>
        </w:rPr>
        <w:t>secondary</w:t>
      </w:r>
      <w:r w:rsidR="00CD0883" w:rsidRPr="004B36B2">
        <w:rPr>
          <w:rFonts w:asciiTheme="majorBidi" w:hAnsiTheme="majorBidi" w:cstheme="majorBidi"/>
          <w:color w:val="000000" w:themeColor="text1"/>
          <w:szCs w:val="24"/>
        </w:rPr>
        <w:t xml:space="preserve"> education </w:t>
      </w:r>
      <w:r w:rsidR="002C0FC2" w:rsidRPr="004B36B2">
        <w:rPr>
          <w:rFonts w:asciiTheme="majorBidi" w:hAnsiTheme="majorBidi" w:cstheme="majorBidi"/>
          <w:color w:val="000000" w:themeColor="text1"/>
          <w:szCs w:val="24"/>
        </w:rPr>
        <w:t xml:space="preserve">level </w:t>
      </w:r>
      <w:r w:rsidR="005D5B94" w:rsidRPr="004B36B2">
        <w:rPr>
          <w:rFonts w:asciiTheme="majorBidi" w:hAnsiTheme="majorBidi" w:cstheme="majorBidi"/>
          <w:color w:val="000000" w:themeColor="text1"/>
          <w:szCs w:val="24"/>
        </w:rPr>
        <w:t xml:space="preserve">remains </w:t>
      </w:r>
      <w:r w:rsidR="004D1C98" w:rsidRPr="004B36B2">
        <w:rPr>
          <w:rFonts w:asciiTheme="majorBidi" w:hAnsiTheme="majorBidi" w:cstheme="majorBidi"/>
          <w:color w:val="000000" w:themeColor="text1"/>
          <w:szCs w:val="24"/>
        </w:rPr>
        <w:t xml:space="preserve">low. </w:t>
      </w:r>
      <w:r w:rsidR="005D5B94" w:rsidRPr="004B36B2">
        <w:rPr>
          <w:rFonts w:asciiTheme="majorBidi" w:hAnsiTheme="majorBidi" w:cstheme="majorBidi"/>
          <w:color w:val="000000" w:themeColor="text1"/>
          <w:szCs w:val="24"/>
        </w:rPr>
        <w:t xml:space="preserve">Moreover, given that </w:t>
      </w:r>
      <w:r w:rsidR="00280679" w:rsidRPr="004B36B2">
        <w:rPr>
          <w:rFonts w:asciiTheme="majorBidi" w:hAnsiTheme="majorBidi" w:cstheme="majorBidi"/>
          <w:color w:val="000000" w:themeColor="text1"/>
          <w:szCs w:val="24"/>
        </w:rPr>
        <w:t xml:space="preserve">child labour coexists with </w:t>
      </w:r>
      <w:r w:rsidR="008275E7" w:rsidRPr="004B36B2">
        <w:rPr>
          <w:rFonts w:asciiTheme="majorBidi" w:hAnsiTheme="majorBidi" w:cstheme="majorBidi"/>
          <w:color w:val="000000" w:themeColor="text1"/>
          <w:szCs w:val="24"/>
        </w:rPr>
        <w:t>schooling,</w:t>
      </w:r>
      <w:r w:rsidR="00280679" w:rsidRPr="004B36B2">
        <w:rPr>
          <w:rFonts w:asciiTheme="majorBidi" w:hAnsiTheme="majorBidi" w:cstheme="majorBidi"/>
          <w:color w:val="000000" w:themeColor="text1"/>
          <w:szCs w:val="24"/>
        </w:rPr>
        <w:t xml:space="preserve"> any </w:t>
      </w:r>
      <w:r w:rsidR="005776A8" w:rsidRPr="004B36B2">
        <w:rPr>
          <w:rFonts w:asciiTheme="majorBidi" w:hAnsiTheme="majorBidi" w:cstheme="majorBidi"/>
          <w:color w:val="000000" w:themeColor="text1"/>
          <w:szCs w:val="24"/>
        </w:rPr>
        <w:t>small</w:t>
      </w:r>
      <w:r w:rsidR="00280679" w:rsidRPr="004B36B2">
        <w:rPr>
          <w:rFonts w:asciiTheme="majorBidi" w:hAnsiTheme="majorBidi" w:cstheme="majorBidi"/>
          <w:color w:val="000000" w:themeColor="text1"/>
          <w:szCs w:val="24"/>
        </w:rPr>
        <w:t xml:space="preserve"> </w:t>
      </w:r>
      <w:r w:rsidR="008275E7" w:rsidRPr="004B36B2">
        <w:rPr>
          <w:rFonts w:asciiTheme="majorBidi" w:hAnsiTheme="majorBidi" w:cstheme="majorBidi"/>
          <w:color w:val="000000" w:themeColor="text1"/>
          <w:szCs w:val="24"/>
        </w:rPr>
        <w:t xml:space="preserve">value of </w:t>
      </w:r>
      <w:r w:rsidR="00280679" w:rsidRPr="004B36B2">
        <w:rPr>
          <w:rFonts w:asciiTheme="majorBidi" w:hAnsiTheme="majorBidi" w:cstheme="majorBidi"/>
          <w:color w:val="000000" w:themeColor="text1"/>
          <w:szCs w:val="24"/>
        </w:rPr>
        <w:t>scholarship</w:t>
      </w:r>
      <w:r w:rsidR="005D5B94" w:rsidRPr="004B36B2">
        <w:rPr>
          <w:rFonts w:asciiTheme="majorBidi" w:hAnsiTheme="majorBidi" w:cstheme="majorBidi"/>
          <w:color w:val="000000" w:themeColor="text1"/>
          <w:szCs w:val="24"/>
        </w:rPr>
        <w:t>s</w:t>
      </w:r>
      <w:r w:rsidR="00280679" w:rsidRPr="004B36B2">
        <w:rPr>
          <w:rFonts w:asciiTheme="majorBidi" w:hAnsiTheme="majorBidi" w:cstheme="majorBidi"/>
          <w:color w:val="000000" w:themeColor="text1"/>
          <w:szCs w:val="24"/>
        </w:rPr>
        <w:t xml:space="preserve"> may not be sufficient to </w:t>
      </w:r>
      <w:r w:rsidR="00401E7B" w:rsidRPr="004B36B2">
        <w:rPr>
          <w:rFonts w:asciiTheme="majorBidi" w:hAnsiTheme="majorBidi" w:cstheme="majorBidi"/>
          <w:color w:val="000000" w:themeColor="text1"/>
          <w:szCs w:val="24"/>
        </w:rPr>
        <w:t>reduce child</w:t>
      </w:r>
      <w:r w:rsidR="00F26227" w:rsidRPr="004B36B2">
        <w:rPr>
          <w:rFonts w:asciiTheme="majorBidi" w:hAnsiTheme="majorBidi" w:cstheme="majorBidi"/>
          <w:color w:val="000000" w:themeColor="text1"/>
          <w:szCs w:val="24"/>
        </w:rPr>
        <w:t xml:space="preserve"> labour </w:t>
      </w:r>
      <w:r w:rsidR="008275E7" w:rsidRPr="004B36B2">
        <w:rPr>
          <w:rFonts w:asciiTheme="majorBidi" w:hAnsiTheme="majorBidi" w:cstheme="majorBidi"/>
          <w:color w:val="000000" w:themeColor="text1"/>
          <w:szCs w:val="24"/>
        </w:rPr>
        <w:t>(</w:t>
      </w:r>
      <w:r w:rsidR="008275E7" w:rsidRPr="004B36B2">
        <w:rPr>
          <w:rFonts w:asciiTheme="majorBidi" w:hAnsiTheme="majorBidi" w:cstheme="majorBidi"/>
          <w:color w:val="000000" w:themeColor="text1"/>
          <w:szCs w:val="24"/>
          <w:shd w:val="clear" w:color="auto" w:fill="FFFFFF"/>
        </w:rPr>
        <w:t xml:space="preserve">Datt </w:t>
      </w:r>
      <w:r w:rsidR="00DB0036" w:rsidRPr="00DB0036">
        <w:rPr>
          <w:rFonts w:asciiTheme="majorBidi" w:hAnsiTheme="majorBidi" w:cstheme="majorBidi"/>
          <w:color w:val="000000" w:themeColor="text1"/>
          <w:szCs w:val="24"/>
          <w:shd w:val="clear" w:color="auto" w:fill="FFFFFF"/>
        </w:rPr>
        <w:t>and</w:t>
      </w:r>
      <w:r w:rsidR="008275E7" w:rsidRPr="004B36B2">
        <w:rPr>
          <w:rFonts w:asciiTheme="majorBidi" w:hAnsiTheme="majorBidi" w:cstheme="majorBidi"/>
          <w:color w:val="000000" w:themeColor="text1"/>
          <w:szCs w:val="24"/>
          <w:shd w:val="clear" w:color="auto" w:fill="FFFFFF"/>
        </w:rPr>
        <w:t xml:space="preserve"> Uhe, 2019)</w:t>
      </w:r>
      <w:r w:rsidR="008356C1" w:rsidRPr="004B36B2">
        <w:rPr>
          <w:rFonts w:asciiTheme="majorBidi" w:hAnsiTheme="majorBidi" w:cstheme="majorBidi"/>
          <w:color w:val="000000" w:themeColor="text1"/>
          <w:szCs w:val="24"/>
        </w:rPr>
        <w:t xml:space="preserve"> and </w:t>
      </w:r>
      <w:r w:rsidR="005D5B94" w:rsidRPr="004B36B2">
        <w:rPr>
          <w:rFonts w:asciiTheme="majorBidi" w:hAnsiTheme="majorBidi" w:cstheme="majorBidi"/>
          <w:color w:val="000000" w:themeColor="text1"/>
          <w:szCs w:val="24"/>
        </w:rPr>
        <w:t xml:space="preserve">raise </w:t>
      </w:r>
      <w:r w:rsidR="008356C1" w:rsidRPr="004B36B2">
        <w:rPr>
          <w:rFonts w:asciiTheme="majorBidi" w:hAnsiTheme="majorBidi" w:cstheme="majorBidi"/>
          <w:color w:val="000000" w:themeColor="text1"/>
          <w:szCs w:val="24"/>
        </w:rPr>
        <w:t>school</w:t>
      </w:r>
      <w:r w:rsidR="00F85ECC" w:rsidRPr="004B36B2">
        <w:rPr>
          <w:rFonts w:asciiTheme="majorBidi" w:hAnsiTheme="majorBidi" w:cstheme="majorBidi"/>
          <w:color w:val="000000" w:themeColor="text1"/>
          <w:szCs w:val="24"/>
        </w:rPr>
        <w:t xml:space="preserve"> retention</w:t>
      </w:r>
      <w:r w:rsidR="00F26227" w:rsidRPr="004B36B2">
        <w:rPr>
          <w:rFonts w:asciiTheme="majorBidi" w:hAnsiTheme="majorBidi" w:cstheme="majorBidi"/>
          <w:color w:val="000000" w:themeColor="text1"/>
          <w:szCs w:val="24"/>
        </w:rPr>
        <w:t xml:space="preserve">. </w:t>
      </w:r>
      <w:r w:rsidR="008275E7" w:rsidRPr="004B36B2">
        <w:rPr>
          <w:rFonts w:asciiTheme="majorBidi" w:hAnsiTheme="majorBidi" w:cstheme="majorBidi"/>
          <w:color w:val="000000" w:themeColor="text1"/>
          <w:szCs w:val="24"/>
        </w:rPr>
        <w:t>Therefore, o</w:t>
      </w:r>
      <w:r w:rsidR="00C417DD" w:rsidRPr="004B36B2">
        <w:rPr>
          <w:rFonts w:asciiTheme="majorBidi" w:hAnsiTheme="majorBidi" w:cstheme="majorBidi"/>
          <w:color w:val="000000" w:themeColor="text1"/>
          <w:szCs w:val="24"/>
        </w:rPr>
        <w:t>ther factors like family</w:t>
      </w:r>
      <w:r w:rsidR="002C6CF6" w:rsidRPr="004B36B2">
        <w:rPr>
          <w:rFonts w:asciiTheme="majorBidi" w:hAnsiTheme="majorBidi" w:cstheme="majorBidi"/>
          <w:color w:val="000000" w:themeColor="text1"/>
          <w:szCs w:val="24"/>
        </w:rPr>
        <w:t xml:space="preserve"> income, </w:t>
      </w:r>
      <w:r w:rsidR="005D5B94" w:rsidRPr="004B36B2">
        <w:rPr>
          <w:rFonts w:asciiTheme="majorBidi" w:hAnsiTheme="majorBidi" w:cstheme="majorBidi"/>
          <w:color w:val="000000" w:themeColor="text1"/>
          <w:szCs w:val="24"/>
        </w:rPr>
        <w:t xml:space="preserve">including from remittances, </w:t>
      </w:r>
      <w:r w:rsidR="00C417DD" w:rsidRPr="004B36B2">
        <w:rPr>
          <w:rFonts w:asciiTheme="majorBidi" w:hAnsiTheme="majorBidi" w:cstheme="majorBidi"/>
          <w:color w:val="000000" w:themeColor="text1"/>
          <w:szCs w:val="24"/>
        </w:rPr>
        <w:t xml:space="preserve">are </w:t>
      </w:r>
      <w:r w:rsidR="005D5B94" w:rsidRPr="004B36B2">
        <w:rPr>
          <w:rFonts w:asciiTheme="majorBidi" w:hAnsiTheme="majorBidi" w:cstheme="majorBidi"/>
          <w:color w:val="000000" w:themeColor="text1"/>
          <w:szCs w:val="24"/>
        </w:rPr>
        <w:t xml:space="preserve">also </w:t>
      </w:r>
      <w:r w:rsidR="00921E84" w:rsidRPr="004B36B2">
        <w:rPr>
          <w:rFonts w:asciiTheme="majorBidi" w:hAnsiTheme="majorBidi" w:cstheme="majorBidi"/>
          <w:color w:val="000000" w:themeColor="text1"/>
          <w:szCs w:val="24"/>
        </w:rPr>
        <w:t xml:space="preserve">important </w:t>
      </w:r>
      <w:r w:rsidR="0039523B" w:rsidRPr="004B36B2">
        <w:rPr>
          <w:rFonts w:asciiTheme="majorBidi" w:hAnsiTheme="majorBidi" w:cstheme="majorBidi"/>
          <w:color w:val="000000" w:themeColor="text1"/>
          <w:szCs w:val="24"/>
        </w:rPr>
        <w:t xml:space="preserve">to improve </w:t>
      </w:r>
      <w:r w:rsidR="00F85ECC" w:rsidRPr="004B36B2">
        <w:rPr>
          <w:rFonts w:asciiTheme="majorBidi" w:hAnsiTheme="majorBidi" w:cstheme="majorBidi"/>
          <w:color w:val="000000" w:themeColor="text1"/>
          <w:szCs w:val="24"/>
        </w:rPr>
        <w:t>children’s access to education</w:t>
      </w:r>
      <w:r w:rsidR="00F510CC" w:rsidRPr="004B36B2">
        <w:rPr>
          <w:rFonts w:asciiTheme="majorBidi" w:hAnsiTheme="majorBidi" w:cstheme="majorBidi"/>
          <w:color w:val="000000" w:themeColor="text1"/>
          <w:szCs w:val="24"/>
        </w:rPr>
        <w:t>.</w:t>
      </w:r>
    </w:p>
    <w:p w14:paraId="648BDF5F" w14:textId="77777777" w:rsidR="00F03BFB" w:rsidRPr="004B36B2" w:rsidRDefault="00F03BFB" w:rsidP="00283A3C">
      <w:pPr>
        <w:autoSpaceDE w:val="0"/>
        <w:autoSpaceDN w:val="0"/>
        <w:adjustRightInd w:val="0"/>
        <w:spacing w:line="288" w:lineRule="auto"/>
        <w:ind w:firstLine="720"/>
        <w:jc w:val="both"/>
        <w:rPr>
          <w:rFonts w:asciiTheme="majorBidi" w:hAnsiTheme="majorBidi" w:cstheme="majorBidi"/>
          <w:color w:val="000000" w:themeColor="text1"/>
          <w:szCs w:val="24"/>
          <w:lang w:eastAsia="en-GB"/>
        </w:rPr>
      </w:pPr>
    </w:p>
    <w:p w14:paraId="56E50FD3" w14:textId="77777777" w:rsidR="005B6FD0" w:rsidRPr="00F03BFB" w:rsidRDefault="00012C14" w:rsidP="00283A3C">
      <w:pPr>
        <w:autoSpaceDE w:val="0"/>
        <w:autoSpaceDN w:val="0"/>
        <w:adjustRightInd w:val="0"/>
        <w:spacing w:line="288" w:lineRule="auto"/>
        <w:jc w:val="both"/>
        <w:rPr>
          <w:rFonts w:asciiTheme="majorBidi" w:hAnsiTheme="majorBidi" w:cstheme="majorBidi"/>
          <w:b/>
          <w:bCs/>
          <w:iCs/>
          <w:color w:val="000000" w:themeColor="text1"/>
          <w:szCs w:val="24"/>
        </w:rPr>
      </w:pPr>
      <w:r w:rsidRPr="00F03BFB">
        <w:rPr>
          <w:rFonts w:asciiTheme="majorBidi" w:hAnsiTheme="majorBidi" w:cstheme="majorBidi"/>
          <w:b/>
          <w:bCs/>
          <w:iCs/>
          <w:color w:val="000000" w:themeColor="text1"/>
          <w:szCs w:val="24"/>
        </w:rPr>
        <w:t>M</w:t>
      </w:r>
      <w:r w:rsidR="005B6FD0" w:rsidRPr="00F03BFB">
        <w:rPr>
          <w:rFonts w:asciiTheme="majorBidi" w:hAnsiTheme="majorBidi" w:cstheme="majorBidi"/>
          <w:b/>
          <w:bCs/>
          <w:iCs/>
          <w:color w:val="000000" w:themeColor="text1"/>
          <w:szCs w:val="24"/>
        </w:rPr>
        <w:t>igration from Nepal</w:t>
      </w:r>
    </w:p>
    <w:p w14:paraId="765E9D3C" w14:textId="77777777" w:rsidR="00E71E45" w:rsidRPr="00E71E45" w:rsidRDefault="00E71E45" w:rsidP="00283A3C">
      <w:pPr>
        <w:autoSpaceDE w:val="0"/>
        <w:autoSpaceDN w:val="0"/>
        <w:adjustRightInd w:val="0"/>
        <w:spacing w:line="288" w:lineRule="auto"/>
        <w:jc w:val="both"/>
        <w:rPr>
          <w:rFonts w:asciiTheme="majorBidi" w:hAnsiTheme="majorBidi" w:cstheme="majorBidi"/>
          <w:color w:val="000000" w:themeColor="text1"/>
          <w:sz w:val="6"/>
          <w:szCs w:val="6"/>
        </w:rPr>
      </w:pPr>
    </w:p>
    <w:p w14:paraId="2C9CFF20" w14:textId="780BC3AC" w:rsidR="004A1605" w:rsidRDefault="005B364E" w:rsidP="00283A3C">
      <w:pPr>
        <w:autoSpaceDE w:val="0"/>
        <w:autoSpaceDN w:val="0"/>
        <w:adjustRightInd w:val="0"/>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Nepal has </w:t>
      </w:r>
      <w:r w:rsidR="00324FF4" w:rsidRPr="004B36B2">
        <w:rPr>
          <w:rFonts w:asciiTheme="majorBidi" w:hAnsiTheme="majorBidi" w:cstheme="majorBidi"/>
          <w:color w:val="000000" w:themeColor="text1"/>
          <w:szCs w:val="24"/>
        </w:rPr>
        <w:t xml:space="preserve">a </w:t>
      </w:r>
      <w:r w:rsidRPr="004B36B2">
        <w:rPr>
          <w:rFonts w:asciiTheme="majorBidi" w:hAnsiTheme="majorBidi" w:cstheme="majorBidi"/>
          <w:noProof/>
          <w:color w:val="000000" w:themeColor="text1"/>
          <w:szCs w:val="24"/>
        </w:rPr>
        <w:t>long</w:t>
      </w:r>
      <w:r w:rsidRPr="004B36B2">
        <w:rPr>
          <w:rFonts w:asciiTheme="majorBidi" w:hAnsiTheme="majorBidi" w:cstheme="majorBidi"/>
          <w:color w:val="000000" w:themeColor="text1"/>
          <w:szCs w:val="24"/>
        </w:rPr>
        <w:t xml:space="preserve"> history of </w:t>
      </w:r>
      <w:r w:rsidRPr="004B36B2">
        <w:rPr>
          <w:rFonts w:asciiTheme="majorBidi" w:hAnsiTheme="majorBidi" w:cstheme="majorBidi"/>
          <w:noProof/>
          <w:color w:val="000000" w:themeColor="text1"/>
          <w:szCs w:val="24"/>
        </w:rPr>
        <w:t>work</w:t>
      </w:r>
      <w:r w:rsidR="00324FF4" w:rsidRPr="004B36B2">
        <w:rPr>
          <w:rFonts w:asciiTheme="majorBidi" w:hAnsiTheme="majorBidi" w:cstheme="majorBidi"/>
          <w:noProof/>
          <w:color w:val="000000" w:themeColor="text1"/>
          <w:szCs w:val="24"/>
        </w:rPr>
        <w:t>-</w:t>
      </w:r>
      <w:r w:rsidRPr="004B36B2">
        <w:rPr>
          <w:rFonts w:asciiTheme="majorBidi" w:hAnsiTheme="majorBidi" w:cstheme="majorBidi"/>
          <w:noProof/>
          <w:color w:val="000000" w:themeColor="text1"/>
          <w:szCs w:val="24"/>
        </w:rPr>
        <w:t>related</w:t>
      </w:r>
      <w:r w:rsidRPr="004B36B2">
        <w:rPr>
          <w:rFonts w:asciiTheme="majorBidi" w:hAnsiTheme="majorBidi" w:cstheme="majorBidi"/>
          <w:color w:val="000000" w:themeColor="text1"/>
          <w:szCs w:val="24"/>
        </w:rPr>
        <w:t xml:space="preserve"> migration. </w:t>
      </w:r>
      <w:r w:rsidR="002C1CE3" w:rsidRPr="004B36B2">
        <w:rPr>
          <w:rFonts w:asciiTheme="majorBidi" w:hAnsiTheme="majorBidi" w:cstheme="majorBidi"/>
          <w:color w:val="000000" w:themeColor="text1"/>
          <w:szCs w:val="24"/>
        </w:rPr>
        <w:t xml:space="preserve">After </w:t>
      </w:r>
      <w:r w:rsidR="00D85DFA" w:rsidRPr="004B36B2">
        <w:rPr>
          <w:rFonts w:asciiTheme="majorBidi" w:hAnsiTheme="majorBidi" w:cstheme="majorBidi"/>
          <w:color w:val="000000" w:themeColor="text1"/>
          <w:szCs w:val="24"/>
        </w:rPr>
        <w:t xml:space="preserve">conquest of </w:t>
      </w:r>
      <w:r w:rsidR="002C1CE3" w:rsidRPr="004B36B2">
        <w:rPr>
          <w:rFonts w:asciiTheme="majorBidi" w:hAnsiTheme="majorBidi" w:cstheme="majorBidi"/>
          <w:color w:val="000000" w:themeColor="text1"/>
          <w:szCs w:val="24"/>
        </w:rPr>
        <w:t xml:space="preserve">the </w:t>
      </w:r>
      <w:r w:rsidR="00D85DFA" w:rsidRPr="004B36B2">
        <w:rPr>
          <w:rFonts w:asciiTheme="majorBidi" w:hAnsiTheme="majorBidi" w:cstheme="majorBidi"/>
          <w:iCs/>
          <w:color w:val="000000" w:themeColor="text1"/>
          <w:szCs w:val="24"/>
        </w:rPr>
        <w:t>Kathmandu</w:t>
      </w:r>
      <w:r w:rsidR="002C1CE3" w:rsidRPr="004B36B2">
        <w:rPr>
          <w:rFonts w:asciiTheme="majorBidi" w:hAnsiTheme="majorBidi" w:cstheme="majorBidi"/>
          <w:color w:val="000000" w:themeColor="text1"/>
          <w:szCs w:val="24"/>
        </w:rPr>
        <w:t xml:space="preserve"> v</w:t>
      </w:r>
      <w:r w:rsidR="00D85DFA" w:rsidRPr="004B36B2">
        <w:rPr>
          <w:rFonts w:asciiTheme="majorBidi" w:hAnsiTheme="majorBidi" w:cstheme="majorBidi"/>
          <w:color w:val="000000" w:themeColor="text1"/>
          <w:szCs w:val="24"/>
        </w:rPr>
        <w:t>alley</w:t>
      </w:r>
      <w:r w:rsidR="00087011" w:rsidRPr="004B36B2">
        <w:rPr>
          <w:rFonts w:asciiTheme="majorBidi" w:hAnsiTheme="majorBidi" w:cstheme="majorBidi"/>
          <w:color w:val="000000" w:themeColor="text1"/>
          <w:szCs w:val="24"/>
        </w:rPr>
        <w:t xml:space="preserve"> by </w:t>
      </w:r>
      <w:r w:rsidR="00D85DFA" w:rsidRPr="004B36B2">
        <w:rPr>
          <w:rFonts w:asciiTheme="majorBidi" w:hAnsiTheme="majorBidi" w:cstheme="majorBidi"/>
          <w:color w:val="000000" w:themeColor="text1"/>
          <w:szCs w:val="24"/>
        </w:rPr>
        <w:t xml:space="preserve">the King </w:t>
      </w:r>
      <w:r w:rsidR="00D85DFA" w:rsidRPr="004B36B2">
        <w:rPr>
          <w:rFonts w:asciiTheme="majorBidi" w:hAnsiTheme="majorBidi" w:cstheme="majorBidi"/>
          <w:i/>
          <w:color w:val="000000" w:themeColor="text1"/>
          <w:szCs w:val="24"/>
        </w:rPr>
        <w:t>Prithivin</w:t>
      </w:r>
      <w:r w:rsidR="00957A92" w:rsidRPr="004B36B2">
        <w:rPr>
          <w:rFonts w:asciiTheme="majorBidi" w:hAnsiTheme="majorBidi" w:cstheme="majorBidi"/>
          <w:i/>
          <w:color w:val="000000" w:themeColor="text1"/>
          <w:szCs w:val="24"/>
        </w:rPr>
        <w:t>ayaran Shah</w:t>
      </w:r>
      <w:r w:rsidR="002C1CE3" w:rsidRPr="004B36B2">
        <w:rPr>
          <w:rFonts w:asciiTheme="majorBidi" w:hAnsiTheme="majorBidi" w:cstheme="majorBidi"/>
          <w:color w:val="000000" w:themeColor="text1"/>
          <w:szCs w:val="24"/>
        </w:rPr>
        <w:t xml:space="preserve">, </w:t>
      </w:r>
      <w:r w:rsidR="00D85DFA" w:rsidRPr="004B36B2">
        <w:rPr>
          <w:rFonts w:asciiTheme="majorBidi" w:hAnsiTheme="majorBidi" w:cstheme="majorBidi"/>
          <w:color w:val="000000" w:themeColor="text1"/>
          <w:szCs w:val="24"/>
        </w:rPr>
        <w:t xml:space="preserve">migration to India </w:t>
      </w:r>
      <w:r w:rsidR="002C1CE3" w:rsidRPr="004B36B2">
        <w:rPr>
          <w:rFonts w:asciiTheme="majorBidi" w:hAnsiTheme="majorBidi" w:cstheme="majorBidi"/>
          <w:color w:val="000000" w:themeColor="text1"/>
          <w:szCs w:val="24"/>
        </w:rPr>
        <w:t xml:space="preserve">rose </w:t>
      </w:r>
      <w:r w:rsidR="00957A92" w:rsidRPr="004B36B2">
        <w:rPr>
          <w:rFonts w:asciiTheme="majorBidi" w:hAnsiTheme="majorBidi" w:cstheme="majorBidi"/>
          <w:color w:val="000000" w:themeColor="text1"/>
          <w:szCs w:val="24"/>
        </w:rPr>
        <w:t xml:space="preserve">substantially, and </w:t>
      </w:r>
      <w:r w:rsidR="002C1CE3" w:rsidRPr="004B36B2">
        <w:rPr>
          <w:rFonts w:asciiTheme="majorBidi" w:hAnsiTheme="majorBidi" w:cstheme="majorBidi"/>
          <w:color w:val="000000" w:themeColor="text1"/>
          <w:szCs w:val="24"/>
        </w:rPr>
        <w:t>w</w:t>
      </w:r>
      <w:r w:rsidR="0069515C" w:rsidRPr="004B36B2">
        <w:rPr>
          <w:rFonts w:asciiTheme="majorBidi" w:hAnsiTheme="majorBidi" w:cstheme="majorBidi"/>
          <w:color w:val="000000" w:themeColor="text1"/>
          <w:szCs w:val="24"/>
        </w:rPr>
        <w:t xml:space="preserve">as </w:t>
      </w:r>
      <w:r w:rsidR="00D85DFA" w:rsidRPr="004B36B2">
        <w:rPr>
          <w:rFonts w:asciiTheme="majorBidi" w:hAnsiTheme="majorBidi" w:cstheme="majorBidi"/>
          <w:color w:val="000000" w:themeColor="text1"/>
          <w:szCs w:val="24"/>
        </w:rPr>
        <w:t xml:space="preserve">further augmented by territorial expansion of Nepal and </w:t>
      </w:r>
      <w:r w:rsidR="007E44D9" w:rsidRPr="004B36B2">
        <w:rPr>
          <w:rFonts w:asciiTheme="majorBidi" w:hAnsiTheme="majorBidi" w:cstheme="majorBidi"/>
          <w:color w:val="000000" w:themeColor="text1"/>
          <w:szCs w:val="24"/>
        </w:rPr>
        <w:t xml:space="preserve">the </w:t>
      </w:r>
      <w:r w:rsidR="002C1CE3" w:rsidRPr="004B36B2">
        <w:rPr>
          <w:rFonts w:asciiTheme="majorBidi" w:hAnsiTheme="majorBidi" w:cstheme="majorBidi"/>
          <w:i/>
          <w:color w:val="000000" w:themeColor="text1"/>
          <w:szCs w:val="24"/>
        </w:rPr>
        <w:t>Sagauli</w:t>
      </w:r>
      <w:r w:rsidR="002C1CE3" w:rsidRPr="004B36B2">
        <w:rPr>
          <w:rFonts w:asciiTheme="majorBidi" w:hAnsiTheme="majorBidi" w:cstheme="majorBidi"/>
          <w:color w:val="000000" w:themeColor="text1"/>
          <w:szCs w:val="24"/>
        </w:rPr>
        <w:t xml:space="preserve"> peace treaty </w:t>
      </w:r>
      <w:r w:rsidR="00D85DFA" w:rsidRPr="004B36B2">
        <w:rPr>
          <w:rFonts w:asciiTheme="majorBidi" w:hAnsiTheme="majorBidi" w:cstheme="majorBidi"/>
          <w:color w:val="000000" w:themeColor="text1"/>
          <w:szCs w:val="24"/>
        </w:rPr>
        <w:t xml:space="preserve">with </w:t>
      </w:r>
      <w:r w:rsidR="00324FF4" w:rsidRPr="004B36B2">
        <w:rPr>
          <w:rFonts w:asciiTheme="majorBidi" w:hAnsiTheme="majorBidi" w:cstheme="majorBidi"/>
          <w:color w:val="000000" w:themeColor="text1"/>
          <w:szCs w:val="24"/>
        </w:rPr>
        <w:t xml:space="preserve">the </w:t>
      </w:r>
      <w:r w:rsidR="00D85DFA" w:rsidRPr="004B36B2">
        <w:rPr>
          <w:rFonts w:asciiTheme="majorBidi" w:hAnsiTheme="majorBidi" w:cstheme="majorBidi"/>
          <w:noProof/>
          <w:color w:val="000000" w:themeColor="text1"/>
          <w:szCs w:val="24"/>
        </w:rPr>
        <w:t>British</w:t>
      </w:r>
      <w:r w:rsidR="00D85DFA" w:rsidRPr="004B36B2">
        <w:rPr>
          <w:rFonts w:asciiTheme="majorBidi" w:hAnsiTheme="majorBidi" w:cstheme="majorBidi"/>
          <w:color w:val="000000" w:themeColor="text1"/>
          <w:szCs w:val="24"/>
        </w:rPr>
        <w:t xml:space="preserve"> government.</w:t>
      </w:r>
      <w:r w:rsidR="002C1CE3" w:rsidRPr="004B36B2">
        <w:rPr>
          <w:rStyle w:val="FootnoteReference"/>
          <w:rFonts w:asciiTheme="majorBidi" w:hAnsiTheme="majorBidi" w:cstheme="majorBidi"/>
          <w:color w:val="000000" w:themeColor="text1"/>
          <w:szCs w:val="24"/>
        </w:rPr>
        <w:footnoteReference w:id="3"/>
      </w:r>
      <w:r w:rsidR="00D85DFA" w:rsidRPr="004B36B2">
        <w:rPr>
          <w:rFonts w:asciiTheme="majorBidi" w:hAnsiTheme="majorBidi" w:cstheme="majorBidi"/>
          <w:color w:val="000000" w:themeColor="text1"/>
          <w:szCs w:val="24"/>
        </w:rPr>
        <w:t xml:space="preserve"> The 1950 open border treaty with India, which allowed free </w:t>
      </w:r>
      <w:r w:rsidR="002C1CE3" w:rsidRPr="004B36B2">
        <w:rPr>
          <w:rFonts w:asciiTheme="majorBidi" w:hAnsiTheme="majorBidi" w:cstheme="majorBidi"/>
          <w:color w:val="000000" w:themeColor="text1"/>
          <w:szCs w:val="24"/>
        </w:rPr>
        <w:t xml:space="preserve">labour </w:t>
      </w:r>
      <w:r w:rsidR="00D85DFA" w:rsidRPr="004B36B2">
        <w:rPr>
          <w:rFonts w:asciiTheme="majorBidi" w:hAnsiTheme="majorBidi" w:cstheme="majorBidi"/>
          <w:color w:val="000000" w:themeColor="text1"/>
          <w:szCs w:val="24"/>
        </w:rPr>
        <w:t>mobility</w:t>
      </w:r>
      <w:r w:rsidR="002C1CE3" w:rsidRPr="004B36B2">
        <w:rPr>
          <w:rFonts w:asciiTheme="majorBidi" w:hAnsiTheme="majorBidi" w:cstheme="majorBidi"/>
          <w:color w:val="000000" w:themeColor="text1"/>
          <w:szCs w:val="24"/>
        </w:rPr>
        <w:t>, made India an</w:t>
      </w:r>
      <w:r w:rsidR="00D85DFA" w:rsidRPr="004B36B2">
        <w:rPr>
          <w:rFonts w:asciiTheme="majorBidi" w:hAnsiTheme="majorBidi" w:cstheme="majorBidi"/>
          <w:color w:val="000000" w:themeColor="text1"/>
          <w:szCs w:val="24"/>
        </w:rPr>
        <w:t xml:space="preserve"> attractive and </w:t>
      </w:r>
      <w:r w:rsidR="00D85DFA" w:rsidRPr="004B36B2">
        <w:rPr>
          <w:rFonts w:asciiTheme="majorBidi" w:hAnsiTheme="majorBidi" w:cstheme="majorBidi"/>
          <w:noProof/>
          <w:color w:val="000000" w:themeColor="text1"/>
          <w:szCs w:val="24"/>
        </w:rPr>
        <w:t>low-cost</w:t>
      </w:r>
      <w:r w:rsidR="00D85DFA" w:rsidRPr="004B36B2">
        <w:rPr>
          <w:rFonts w:asciiTheme="majorBidi" w:hAnsiTheme="majorBidi" w:cstheme="majorBidi"/>
          <w:color w:val="000000" w:themeColor="text1"/>
          <w:szCs w:val="24"/>
        </w:rPr>
        <w:t xml:space="preserve"> destination </w:t>
      </w:r>
      <w:r w:rsidR="002C1CE3" w:rsidRPr="004B36B2">
        <w:rPr>
          <w:rFonts w:asciiTheme="majorBidi" w:hAnsiTheme="majorBidi" w:cstheme="majorBidi"/>
          <w:color w:val="000000" w:themeColor="text1"/>
          <w:szCs w:val="24"/>
        </w:rPr>
        <w:t xml:space="preserve">to escape domestic unemployment, especially for </w:t>
      </w:r>
      <w:r w:rsidR="00DC6834" w:rsidRPr="004B36B2">
        <w:rPr>
          <w:rFonts w:asciiTheme="majorBidi" w:hAnsiTheme="majorBidi" w:cstheme="majorBidi"/>
          <w:color w:val="000000" w:themeColor="text1"/>
          <w:szCs w:val="24"/>
        </w:rPr>
        <w:t xml:space="preserve">households in </w:t>
      </w:r>
      <w:r w:rsidR="002C0FC2" w:rsidRPr="004B36B2">
        <w:rPr>
          <w:rFonts w:asciiTheme="majorBidi" w:hAnsiTheme="majorBidi" w:cstheme="majorBidi"/>
          <w:color w:val="000000" w:themeColor="text1"/>
          <w:szCs w:val="24"/>
        </w:rPr>
        <w:t xml:space="preserve">the </w:t>
      </w:r>
      <w:r w:rsidR="00DC6834" w:rsidRPr="004B36B2">
        <w:rPr>
          <w:rFonts w:asciiTheme="majorBidi" w:hAnsiTheme="majorBidi" w:cstheme="majorBidi"/>
          <w:color w:val="000000" w:themeColor="text1"/>
          <w:szCs w:val="24"/>
        </w:rPr>
        <w:t>far-west and mid-west</w:t>
      </w:r>
      <w:r w:rsidR="00957A92" w:rsidRPr="004B36B2">
        <w:rPr>
          <w:rFonts w:asciiTheme="majorBidi" w:hAnsiTheme="majorBidi" w:cstheme="majorBidi"/>
          <w:color w:val="000000" w:themeColor="text1"/>
          <w:szCs w:val="24"/>
        </w:rPr>
        <w:t xml:space="preserve"> region</w:t>
      </w:r>
      <w:r w:rsidR="00B10A1D" w:rsidRPr="004B36B2">
        <w:rPr>
          <w:rFonts w:asciiTheme="majorBidi" w:hAnsiTheme="majorBidi" w:cstheme="majorBidi"/>
          <w:color w:val="000000" w:themeColor="text1"/>
          <w:szCs w:val="24"/>
        </w:rPr>
        <w:t>s</w:t>
      </w:r>
      <w:r w:rsidR="00957A92" w:rsidRPr="004B36B2">
        <w:rPr>
          <w:rFonts w:asciiTheme="majorBidi" w:hAnsiTheme="majorBidi" w:cstheme="majorBidi"/>
          <w:color w:val="000000" w:themeColor="text1"/>
          <w:szCs w:val="24"/>
        </w:rPr>
        <w:t xml:space="preserve"> </w:t>
      </w:r>
      <w:r w:rsidR="002C1CE3" w:rsidRPr="004B36B2">
        <w:rPr>
          <w:rFonts w:asciiTheme="majorBidi" w:hAnsiTheme="majorBidi" w:cstheme="majorBidi"/>
          <w:color w:val="000000" w:themeColor="text1"/>
          <w:szCs w:val="24"/>
        </w:rPr>
        <w:t xml:space="preserve">of Nepal that have </w:t>
      </w:r>
      <w:r w:rsidR="002C78C7" w:rsidRPr="004B36B2">
        <w:rPr>
          <w:rFonts w:asciiTheme="majorBidi" w:hAnsiTheme="majorBidi" w:cstheme="majorBidi"/>
          <w:color w:val="000000" w:themeColor="text1"/>
          <w:szCs w:val="24"/>
        </w:rPr>
        <w:t xml:space="preserve">high unemployment, poverty, </w:t>
      </w:r>
      <w:r w:rsidR="00B90D2F" w:rsidRPr="004B36B2">
        <w:rPr>
          <w:rFonts w:asciiTheme="majorBidi" w:hAnsiTheme="majorBidi" w:cstheme="majorBidi"/>
          <w:color w:val="000000" w:themeColor="text1"/>
          <w:szCs w:val="24"/>
        </w:rPr>
        <w:t xml:space="preserve">and </w:t>
      </w:r>
      <w:r w:rsidR="002C78C7" w:rsidRPr="004B36B2">
        <w:rPr>
          <w:rFonts w:asciiTheme="majorBidi" w:hAnsiTheme="majorBidi" w:cstheme="majorBidi"/>
          <w:color w:val="000000" w:themeColor="text1"/>
          <w:szCs w:val="24"/>
        </w:rPr>
        <w:t>food insecurity</w:t>
      </w:r>
      <w:r w:rsidR="00B90D2F" w:rsidRPr="004B36B2">
        <w:rPr>
          <w:rFonts w:asciiTheme="majorBidi" w:hAnsiTheme="majorBidi" w:cstheme="majorBidi"/>
          <w:color w:val="000000" w:themeColor="text1"/>
          <w:szCs w:val="24"/>
        </w:rPr>
        <w:t xml:space="preserve">. India is </w:t>
      </w:r>
      <w:r w:rsidR="00B10A1D" w:rsidRPr="004B36B2">
        <w:rPr>
          <w:rFonts w:asciiTheme="majorBidi" w:hAnsiTheme="majorBidi" w:cstheme="majorBidi"/>
          <w:color w:val="000000" w:themeColor="text1"/>
          <w:szCs w:val="24"/>
        </w:rPr>
        <w:t>the</w:t>
      </w:r>
      <w:r w:rsidR="002C1CE3" w:rsidRPr="004B36B2">
        <w:rPr>
          <w:rFonts w:asciiTheme="majorBidi" w:hAnsiTheme="majorBidi" w:cstheme="majorBidi"/>
          <w:color w:val="000000" w:themeColor="text1"/>
          <w:szCs w:val="24"/>
        </w:rPr>
        <w:t xml:space="preserve"> first choice for </w:t>
      </w:r>
      <w:r w:rsidR="00B90D2F" w:rsidRPr="004B36B2">
        <w:rPr>
          <w:rFonts w:asciiTheme="majorBidi" w:hAnsiTheme="majorBidi" w:cstheme="majorBidi"/>
          <w:color w:val="000000" w:themeColor="text1"/>
          <w:szCs w:val="24"/>
        </w:rPr>
        <w:t>people from relatively poor region</w:t>
      </w:r>
      <w:r w:rsidR="002C1CE3" w:rsidRPr="004B36B2">
        <w:rPr>
          <w:rFonts w:asciiTheme="majorBidi" w:hAnsiTheme="majorBidi" w:cstheme="majorBidi"/>
          <w:color w:val="000000" w:themeColor="text1"/>
          <w:szCs w:val="24"/>
        </w:rPr>
        <w:t>s</w:t>
      </w:r>
      <w:r w:rsidR="00B90D2F" w:rsidRPr="004B36B2">
        <w:rPr>
          <w:rFonts w:asciiTheme="majorBidi" w:hAnsiTheme="majorBidi" w:cstheme="majorBidi"/>
          <w:color w:val="000000" w:themeColor="text1"/>
          <w:szCs w:val="24"/>
        </w:rPr>
        <w:t xml:space="preserve"> since well-established migrant’s network helps new migrant</w:t>
      </w:r>
      <w:r w:rsidR="002C1CE3" w:rsidRPr="004B36B2">
        <w:rPr>
          <w:rFonts w:asciiTheme="majorBidi" w:hAnsiTheme="majorBidi" w:cstheme="majorBidi"/>
          <w:color w:val="000000" w:themeColor="text1"/>
          <w:szCs w:val="24"/>
        </w:rPr>
        <w:t>s</w:t>
      </w:r>
      <w:r w:rsidR="00B90D2F" w:rsidRPr="004B36B2">
        <w:rPr>
          <w:rFonts w:asciiTheme="majorBidi" w:hAnsiTheme="majorBidi" w:cstheme="majorBidi"/>
          <w:color w:val="000000" w:themeColor="text1"/>
          <w:szCs w:val="24"/>
        </w:rPr>
        <w:t xml:space="preserve"> to find a </w:t>
      </w:r>
      <w:r w:rsidR="00B90D2F" w:rsidRPr="004B36B2">
        <w:rPr>
          <w:rFonts w:asciiTheme="majorBidi" w:hAnsiTheme="majorBidi" w:cstheme="majorBidi"/>
          <w:noProof/>
          <w:color w:val="000000" w:themeColor="text1"/>
          <w:szCs w:val="24"/>
        </w:rPr>
        <w:t>job</w:t>
      </w:r>
      <w:r w:rsidR="00B90D2F" w:rsidRPr="004B36B2">
        <w:rPr>
          <w:rFonts w:asciiTheme="majorBidi" w:hAnsiTheme="majorBidi" w:cstheme="majorBidi"/>
          <w:color w:val="000000" w:themeColor="text1"/>
          <w:szCs w:val="24"/>
        </w:rPr>
        <w:t xml:space="preserve"> in Indian cities</w:t>
      </w:r>
      <w:r w:rsidR="002C1CE3" w:rsidRPr="004B36B2">
        <w:rPr>
          <w:rFonts w:asciiTheme="majorBidi" w:hAnsiTheme="majorBidi" w:cstheme="majorBidi"/>
          <w:color w:val="000000" w:themeColor="text1"/>
          <w:szCs w:val="24"/>
        </w:rPr>
        <w:t xml:space="preserve"> and there are no recruitment and visa costs</w:t>
      </w:r>
      <w:r w:rsidR="00B90D2F" w:rsidRPr="004B36B2">
        <w:rPr>
          <w:rFonts w:asciiTheme="majorBidi" w:hAnsiTheme="majorBidi" w:cstheme="majorBidi"/>
          <w:color w:val="000000" w:themeColor="text1"/>
          <w:szCs w:val="24"/>
        </w:rPr>
        <w:t xml:space="preserve">. </w:t>
      </w:r>
      <w:r w:rsidR="00251382" w:rsidRPr="004B36B2">
        <w:rPr>
          <w:rFonts w:asciiTheme="majorBidi" w:hAnsiTheme="majorBidi" w:cstheme="majorBidi"/>
          <w:color w:val="000000" w:themeColor="text1"/>
          <w:szCs w:val="24"/>
        </w:rPr>
        <w:t xml:space="preserve">For instance, </w:t>
      </w:r>
      <w:r w:rsidR="002C1CE3" w:rsidRPr="004B36B2">
        <w:rPr>
          <w:rFonts w:asciiTheme="majorBidi" w:hAnsiTheme="majorBidi" w:cstheme="majorBidi"/>
          <w:color w:val="000000" w:themeColor="text1"/>
          <w:szCs w:val="24"/>
        </w:rPr>
        <w:t xml:space="preserve">migrants </w:t>
      </w:r>
      <w:r w:rsidR="005C4618" w:rsidRPr="004B36B2">
        <w:rPr>
          <w:rFonts w:asciiTheme="majorBidi" w:hAnsiTheme="majorBidi" w:cstheme="majorBidi"/>
          <w:color w:val="000000" w:themeColor="text1"/>
          <w:szCs w:val="24"/>
        </w:rPr>
        <w:t xml:space="preserve">from </w:t>
      </w:r>
      <w:r w:rsidR="005C4618" w:rsidRPr="004B36B2">
        <w:rPr>
          <w:rFonts w:asciiTheme="majorBidi" w:hAnsiTheme="majorBidi" w:cstheme="majorBidi"/>
          <w:noProof/>
          <w:color w:val="000000" w:themeColor="text1"/>
          <w:szCs w:val="24"/>
        </w:rPr>
        <w:t>t</w:t>
      </w:r>
      <w:r w:rsidR="009F74EA" w:rsidRPr="004B36B2">
        <w:rPr>
          <w:rFonts w:asciiTheme="majorBidi" w:hAnsiTheme="majorBidi" w:cstheme="majorBidi"/>
          <w:noProof/>
          <w:color w:val="000000" w:themeColor="text1"/>
          <w:szCs w:val="24"/>
        </w:rPr>
        <w:t>h</w:t>
      </w:r>
      <w:r w:rsidR="002C1CE3" w:rsidRPr="004B36B2">
        <w:rPr>
          <w:rFonts w:asciiTheme="majorBidi" w:hAnsiTheme="majorBidi" w:cstheme="majorBidi"/>
          <w:noProof/>
          <w:color w:val="000000" w:themeColor="text1"/>
          <w:szCs w:val="24"/>
        </w:rPr>
        <w:t>e far-west and mid-west</w:t>
      </w:r>
      <w:r w:rsidR="009F74EA" w:rsidRPr="004B36B2">
        <w:rPr>
          <w:rFonts w:asciiTheme="majorBidi" w:hAnsiTheme="majorBidi" w:cstheme="majorBidi"/>
          <w:noProof/>
          <w:color w:val="000000" w:themeColor="text1"/>
          <w:szCs w:val="24"/>
        </w:rPr>
        <w:t xml:space="preserve"> region</w:t>
      </w:r>
      <w:r w:rsidR="00FB41F7" w:rsidRPr="004B36B2">
        <w:rPr>
          <w:rFonts w:asciiTheme="majorBidi" w:hAnsiTheme="majorBidi" w:cstheme="majorBidi"/>
          <w:noProof/>
          <w:color w:val="000000" w:themeColor="text1"/>
          <w:szCs w:val="24"/>
        </w:rPr>
        <w:t>s</w:t>
      </w:r>
      <w:r w:rsidR="009F74EA" w:rsidRPr="004B36B2">
        <w:rPr>
          <w:rFonts w:asciiTheme="majorBidi" w:hAnsiTheme="majorBidi" w:cstheme="majorBidi"/>
          <w:color w:val="000000" w:themeColor="text1"/>
          <w:szCs w:val="24"/>
        </w:rPr>
        <w:t xml:space="preserve"> </w:t>
      </w:r>
      <w:r w:rsidR="002C1CE3" w:rsidRPr="004B36B2">
        <w:rPr>
          <w:rFonts w:asciiTheme="majorBidi" w:hAnsiTheme="majorBidi" w:cstheme="majorBidi"/>
          <w:color w:val="000000" w:themeColor="text1"/>
          <w:szCs w:val="24"/>
        </w:rPr>
        <w:t xml:space="preserve">of Nepal </w:t>
      </w:r>
      <w:r w:rsidR="00D85DFA" w:rsidRPr="004B36B2">
        <w:rPr>
          <w:rFonts w:asciiTheme="majorBidi" w:hAnsiTheme="majorBidi" w:cstheme="majorBidi"/>
          <w:noProof/>
          <w:color w:val="000000" w:themeColor="text1"/>
          <w:szCs w:val="24"/>
        </w:rPr>
        <w:t>account</w:t>
      </w:r>
      <w:r w:rsidR="002C1CE3" w:rsidRPr="004B36B2">
        <w:rPr>
          <w:rFonts w:asciiTheme="majorBidi" w:hAnsiTheme="majorBidi" w:cstheme="majorBidi"/>
          <w:noProof/>
          <w:color w:val="000000" w:themeColor="text1"/>
          <w:szCs w:val="24"/>
        </w:rPr>
        <w:t>ed</w:t>
      </w:r>
      <w:r w:rsidR="0069515C" w:rsidRPr="004B36B2">
        <w:rPr>
          <w:rFonts w:asciiTheme="majorBidi" w:hAnsiTheme="majorBidi" w:cstheme="majorBidi"/>
          <w:color w:val="000000" w:themeColor="text1"/>
          <w:szCs w:val="24"/>
        </w:rPr>
        <w:t xml:space="preserve"> for 48%</w:t>
      </w:r>
      <w:r w:rsidR="00401E7B" w:rsidRPr="004B36B2">
        <w:rPr>
          <w:rFonts w:asciiTheme="majorBidi" w:hAnsiTheme="majorBidi" w:cstheme="majorBidi"/>
          <w:color w:val="000000" w:themeColor="text1"/>
          <w:szCs w:val="24"/>
        </w:rPr>
        <w:t xml:space="preserve"> and 36</w:t>
      </w:r>
      <w:r w:rsidR="0069515C" w:rsidRPr="004B36B2">
        <w:rPr>
          <w:rFonts w:asciiTheme="majorBidi" w:hAnsiTheme="majorBidi" w:cstheme="majorBidi"/>
          <w:color w:val="000000" w:themeColor="text1"/>
          <w:szCs w:val="24"/>
        </w:rPr>
        <w:t>%</w:t>
      </w:r>
      <w:r w:rsidR="00D85DFA" w:rsidRPr="004B36B2">
        <w:rPr>
          <w:rFonts w:asciiTheme="majorBidi" w:hAnsiTheme="majorBidi" w:cstheme="majorBidi"/>
          <w:color w:val="000000" w:themeColor="text1"/>
          <w:szCs w:val="24"/>
        </w:rPr>
        <w:t xml:space="preserve"> </w:t>
      </w:r>
      <w:r w:rsidR="004A1605" w:rsidRPr="004B36B2">
        <w:rPr>
          <w:rFonts w:asciiTheme="majorBidi" w:hAnsiTheme="majorBidi" w:cstheme="majorBidi"/>
          <w:color w:val="000000" w:themeColor="text1"/>
          <w:szCs w:val="24"/>
        </w:rPr>
        <w:t xml:space="preserve">of </w:t>
      </w:r>
      <w:r w:rsidR="005C4618" w:rsidRPr="004B36B2">
        <w:rPr>
          <w:rFonts w:asciiTheme="majorBidi" w:hAnsiTheme="majorBidi" w:cstheme="majorBidi"/>
          <w:color w:val="000000" w:themeColor="text1"/>
          <w:szCs w:val="24"/>
        </w:rPr>
        <w:t xml:space="preserve">total </w:t>
      </w:r>
      <w:r w:rsidR="002C1CE3" w:rsidRPr="004B36B2">
        <w:rPr>
          <w:rFonts w:asciiTheme="majorBidi" w:hAnsiTheme="majorBidi" w:cstheme="majorBidi"/>
          <w:color w:val="000000" w:themeColor="text1"/>
          <w:szCs w:val="24"/>
        </w:rPr>
        <w:t xml:space="preserve">work-related Nepalese </w:t>
      </w:r>
      <w:r w:rsidR="004A1605" w:rsidRPr="004B36B2">
        <w:rPr>
          <w:rFonts w:asciiTheme="majorBidi" w:hAnsiTheme="majorBidi" w:cstheme="majorBidi"/>
          <w:color w:val="000000" w:themeColor="text1"/>
          <w:szCs w:val="24"/>
        </w:rPr>
        <w:t>migrant</w:t>
      </w:r>
      <w:r w:rsidR="002C78C7" w:rsidRPr="004B36B2">
        <w:rPr>
          <w:rFonts w:asciiTheme="majorBidi" w:hAnsiTheme="majorBidi" w:cstheme="majorBidi"/>
          <w:color w:val="000000" w:themeColor="text1"/>
          <w:szCs w:val="24"/>
        </w:rPr>
        <w:t>s</w:t>
      </w:r>
      <w:r w:rsidR="004A1605" w:rsidRPr="004B36B2">
        <w:rPr>
          <w:rFonts w:asciiTheme="majorBidi" w:hAnsiTheme="majorBidi" w:cstheme="majorBidi"/>
          <w:color w:val="000000" w:themeColor="text1"/>
          <w:szCs w:val="24"/>
        </w:rPr>
        <w:t xml:space="preserve"> </w:t>
      </w:r>
      <w:r w:rsidR="002C1CE3" w:rsidRPr="004B36B2">
        <w:rPr>
          <w:rFonts w:asciiTheme="majorBidi" w:hAnsiTheme="majorBidi" w:cstheme="majorBidi"/>
          <w:color w:val="000000" w:themeColor="text1"/>
          <w:szCs w:val="24"/>
        </w:rPr>
        <w:t xml:space="preserve">to India </w:t>
      </w:r>
      <w:r w:rsidR="00D85DFA" w:rsidRPr="004B36B2">
        <w:rPr>
          <w:rFonts w:asciiTheme="majorBidi" w:hAnsiTheme="majorBidi" w:cstheme="majorBidi"/>
          <w:color w:val="000000" w:themeColor="text1"/>
          <w:szCs w:val="24"/>
        </w:rPr>
        <w:t xml:space="preserve">in 2001 and 2011 </w:t>
      </w:r>
      <w:r w:rsidR="00D85DFA" w:rsidRPr="004B36B2">
        <w:rPr>
          <w:rFonts w:asciiTheme="majorBidi" w:hAnsiTheme="majorBidi" w:cstheme="majorBidi"/>
          <w:color w:val="000000" w:themeColor="text1"/>
          <w:szCs w:val="24"/>
        </w:rPr>
        <w:fldChar w:fldCharType="begin"/>
      </w:r>
      <w:r w:rsidR="00D85DFA" w:rsidRPr="004B36B2">
        <w:rPr>
          <w:rFonts w:asciiTheme="majorBidi" w:hAnsiTheme="majorBidi" w:cstheme="majorBidi"/>
          <w:color w:val="000000" w:themeColor="text1"/>
          <w:szCs w:val="24"/>
        </w:rPr>
        <w:instrText xml:space="preserve"> ADDIN EN.CITE &lt;EndNote&gt;&lt;Cite&gt;&lt;Author&gt;CBS&lt;/Author&gt;&lt;Year&gt;2001&lt;/Year&gt;&lt;RecNum&gt;1259&lt;/RecNum&gt;&lt;DisplayText&gt;(CBS, 2001, 2011)&lt;/DisplayText&gt;&lt;record&gt;&lt;rec-number&gt;1259&lt;/rec-number&gt;&lt;foreign-keys&gt;&lt;key app="EN" db-id="2e5x09etnw59plezvanxesw9rdtvrf2azwfd" timestamp="1516772606"&gt;1259&lt;/key&gt;&lt;/foreign-keys&gt;&lt;ref-type name="Report"&gt;27&lt;/ref-type&gt;&lt;contributors&gt;&lt;authors&gt;&lt;author&gt;CBS, Nepal&lt;/author&gt;&lt;/authors&gt;&lt;tertiary-authors&gt;&lt;author&gt;GON&lt;/author&gt;&lt;/tertiary-authors&gt;&lt;/contributors&gt;&lt;titles&gt;&lt;title&gt;Nepal - National Population Census 2001, Tenth Census&lt;/title&gt;&lt;/titles&gt;&lt;dates&gt;&lt;year&gt;2001&lt;/year&gt;&lt;pub-dates&gt;&lt;date&gt;2001&lt;/date&gt;&lt;/pub-dates&gt;&lt;/dates&gt;&lt;urls&gt;&lt;/urls&gt;&lt;/record&gt;&lt;/Cite&gt;&lt;Cite&gt;&lt;Author&gt;CBS&lt;/Author&gt;&lt;Year&gt;2011&lt;/Year&gt;&lt;RecNum&gt;19&lt;/RecNum&gt;&lt;record&gt;&lt;rec-number&gt;19&lt;/rec-number&gt;&lt;foreign-keys&gt;&lt;key app="EN" db-id="2e5x09etnw59plezvanxesw9rdtvrf2azwfd" timestamp="1485916706"&gt;19&lt;/key&gt;&lt;/foreign-keys&gt;&lt;ref-type name="Report"&gt;27&lt;/ref-type&gt;&lt;contributors&gt;&lt;authors&gt;&lt;author&gt;CBS, Nepal&lt;/author&gt;&lt;/authors&gt;&lt;/contributors&gt;&lt;titles&gt;&lt;title&gt;National Population and Housing Census 2011, National Report&lt;/title&gt;&lt;/titles&gt;&lt;dates&gt;&lt;year&gt;2011&lt;/year&gt;&lt;/dates&gt;&lt;publisher&gt;Kathmandu&lt;/publisher&gt;&lt;urls&gt;&lt;/urls&gt;&lt;/record&gt;&lt;/Cite&gt;&lt;/EndNote&gt;</w:instrText>
      </w:r>
      <w:r w:rsidR="00D85DFA" w:rsidRPr="004B36B2">
        <w:rPr>
          <w:rFonts w:asciiTheme="majorBidi" w:hAnsiTheme="majorBidi" w:cstheme="majorBidi"/>
          <w:color w:val="000000" w:themeColor="text1"/>
          <w:szCs w:val="24"/>
        </w:rPr>
        <w:fldChar w:fldCharType="separate"/>
      </w:r>
      <w:r w:rsidR="009F74EA" w:rsidRPr="004B36B2">
        <w:rPr>
          <w:rFonts w:asciiTheme="majorBidi" w:hAnsiTheme="majorBidi" w:cstheme="majorBidi"/>
          <w:noProof/>
          <w:color w:val="000000" w:themeColor="text1"/>
          <w:szCs w:val="24"/>
        </w:rPr>
        <w:t>(CBS, 2001</w:t>
      </w:r>
      <w:r w:rsidR="003337D3" w:rsidRPr="004B36B2">
        <w:rPr>
          <w:rFonts w:asciiTheme="majorBidi" w:hAnsiTheme="majorBidi" w:cstheme="majorBidi"/>
          <w:noProof/>
          <w:color w:val="000000" w:themeColor="text1"/>
          <w:szCs w:val="24"/>
        </w:rPr>
        <w:t>,</w:t>
      </w:r>
      <w:r w:rsidR="00D85DFA" w:rsidRPr="004B36B2">
        <w:rPr>
          <w:rFonts w:asciiTheme="majorBidi" w:hAnsiTheme="majorBidi" w:cstheme="majorBidi"/>
          <w:noProof/>
          <w:color w:val="000000" w:themeColor="text1"/>
          <w:szCs w:val="24"/>
        </w:rPr>
        <w:t xml:space="preserve"> 2011)</w:t>
      </w:r>
      <w:r w:rsidR="00D85DFA" w:rsidRPr="004B36B2">
        <w:rPr>
          <w:rFonts w:asciiTheme="majorBidi" w:hAnsiTheme="majorBidi" w:cstheme="majorBidi"/>
          <w:color w:val="000000" w:themeColor="text1"/>
          <w:szCs w:val="24"/>
        </w:rPr>
        <w:fldChar w:fldCharType="end"/>
      </w:r>
      <w:r w:rsidR="00ED1151" w:rsidRPr="004B36B2">
        <w:rPr>
          <w:rFonts w:asciiTheme="majorBidi" w:hAnsiTheme="majorBidi" w:cstheme="majorBidi"/>
          <w:color w:val="000000" w:themeColor="text1"/>
          <w:szCs w:val="24"/>
        </w:rPr>
        <w:t>.</w:t>
      </w:r>
    </w:p>
    <w:p w14:paraId="11C6CB0F" w14:textId="77777777" w:rsidR="00F03BFB" w:rsidRPr="004B36B2" w:rsidRDefault="00F03BFB" w:rsidP="00283A3C">
      <w:pPr>
        <w:autoSpaceDE w:val="0"/>
        <w:autoSpaceDN w:val="0"/>
        <w:adjustRightInd w:val="0"/>
        <w:spacing w:line="288" w:lineRule="auto"/>
        <w:jc w:val="both"/>
        <w:rPr>
          <w:rFonts w:asciiTheme="majorBidi" w:hAnsiTheme="majorBidi" w:cstheme="majorBidi"/>
          <w:color w:val="000000" w:themeColor="text1"/>
          <w:szCs w:val="24"/>
        </w:rPr>
      </w:pPr>
    </w:p>
    <w:p w14:paraId="1DF43090" w14:textId="1268A9FC" w:rsidR="0073402D" w:rsidRDefault="005A1CF9" w:rsidP="00283A3C">
      <w:pPr>
        <w:widowControl w:val="0"/>
        <w:autoSpaceDE w:val="0"/>
        <w:autoSpaceDN w:val="0"/>
        <w:adjustRightInd w:val="0"/>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The migration </w:t>
      </w:r>
      <w:r w:rsidR="00F31EDC" w:rsidRPr="004B36B2">
        <w:rPr>
          <w:rFonts w:asciiTheme="majorBidi" w:hAnsiTheme="majorBidi" w:cstheme="majorBidi"/>
          <w:color w:val="000000" w:themeColor="text1"/>
          <w:szCs w:val="24"/>
        </w:rPr>
        <w:t xml:space="preserve">for work </w:t>
      </w:r>
      <w:r w:rsidRPr="004B36B2">
        <w:rPr>
          <w:rFonts w:asciiTheme="majorBidi" w:hAnsiTheme="majorBidi" w:cstheme="majorBidi"/>
          <w:color w:val="000000" w:themeColor="text1"/>
          <w:szCs w:val="24"/>
        </w:rPr>
        <w:t>to other destination</w:t>
      </w:r>
      <w:r w:rsidR="00442876" w:rsidRPr="004B36B2">
        <w:rPr>
          <w:rFonts w:asciiTheme="majorBidi" w:hAnsiTheme="majorBidi" w:cstheme="majorBidi"/>
          <w:color w:val="000000" w:themeColor="text1"/>
          <w:szCs w:val="24"/>
        </w:rPr>
        <w:t>s, especially the Middle E</w:t>
      </w:r>
      <w:r w:rsidR="002C1CE3" w:rsidRPr="004B36B2">
        <w:rPr>
          <w:rFonts w:asciiTheme="majorBidi" w:hAnsiTheme="majorBidi" w:cstheme="majorBidi"/>
          <w:color w:val="000000" w:themeColor="text1"/>
          <w:szCs w:val="24"/>
        </w:rPr>
        <w:t>ast,</w:t>
      </w:r>
      <w:r w:rsidRPr="004B36B2">
        <w:rPr>
          <w:rFonts w:asciiTheme="majorBidi" w:hAnsiTheme="majorBidi" w:cstheme="majorBidi"/>
          <w:color w:val="000000" w:themeColor="text1"/>
          <w:szCs w:val="24"/>
        </w:rPr>
        <w:t xml:space="preserve"> is </w:t>
      </w:r>
      <w:r w:rsidR="00324FF4" w:rsidRPr="004B36B2">
        <w:rPr>
          <w:rFonts w:asciiTheme="majorBidi" w:hAnsiTheme="majorBidi" w:cstheme="majorBidi"/>
          <w:color w:val="000000" w:themeColor="text1"/>
          <w:szCs w:val="24"/>
        </w:rPr>
        <w:t xml:space="preserve">a </w:t>
      </w:r>
      <w:r w:rsidR="00442876" w:rsidRPr="004B36B2">
        <w:rPr>
          <w:rFonts w:asciiTheme="majorBidi" w:hAnsiTheme="majorBidi" w:cstheme="majorBidi"/>
          <w:color w:val="000000" w:themeColor="text1"/>
          <w:szCs w:val="24"/>
        </w:rPr>
        <w:t xml:space="preserve">fairly </w:t>
      </w:r>
      <w:r w:rsidRPr="004B36B2">
        <w:rPr>
          <w:rFonts w:asciiTheme="majorBidi" w:hAnsiTheme="majorBidi" w:cstheme="majorBidi"/>
          <w:color w:val="000000" w:themeColor="text1"/>
          <w:szCs w:val="24"/>
        </w:rPr>
        <w:t xml:space="preserve">new phenomenon in Nepal. The restoration of democracy in 1990 and </w:t>
      </w:r>
      <w:r w:rsidR="00324FF4" w:rsidRPr="004B36B2">
        <w:rPr>
          <w:rFonts w:asciiTheme="majorBidi" w:hAnsiTheme="majorBidi" w:cstheme="majorBidi"/>
          <w:color w:val="000000" w:themeColor="text1"/>
          <w:szCs w:val="24"/>
        </w:rPr>
        <w:t xml:space="preserve">the </w:t>
      </w:r>
      <w:r w:rsidRPr="004B36B2">
        <w:rPr>
          <w:rFonts w:asciiTheme="majorBidi" w:hAnsiTheme="majorBidi" w:cstheme="majorBidi"/>
          <w:noProof/>
          <w:color w:val="000000" w:themeColor="text1"/>
          <w:szCs w:val="24"/>
        </w:rPr>
        <w:t>official</w:t>
      </w:r>
      <w:r w:rsidRPr="004B36B2">
        <w:rPr>
          <w:rFonts w:asciiTheme="majorBidi" w:hAnsiTheme="majorBidi" w:cstheme="majorBidi"/>
          <w:color w:val="000000" w:themeColor="text1"/>
          <w:szCs w:val="24"/>
        </w:rPr>
        <w:t xml:space="preserve"> move to embrace </w:t>
      </w:r>
      <w:r w:rsidR="00324FF4" w:rsidRPr="004B36B2">
        <w:rPr>
          <w:rFonts w:asciiTheme="majorBidi" w:hAnsiTheme="majorBidi" w:cstheme="majorBidi"/>
          <w:color w:val="000000" w:themeColor="text1"/>
          <w:szCs w:val="24"/>
        </w:rPr>
        <w:t xml:space="preserve">the </w:t>
      </w:r>
      <w:r w:rsidRPr="004B36B2">
        <w:rPr>
          <w:rFonts w:asciiTheme="majorBidi" w:hAnsiTheme="majorBidi" w:cstheme="majorBidi"/>
          <w:noProof/>
          <w:color w:val="000000" w:themeColor="text1"/>
          <w:szCs w:val="24"/>
        </w:rPr>
        <w:t>market</w:t>
      </w:r>
      <w:r w:rsidRPr="004B36B2">
        <w:rPr>
          <w:rFonts w:asciiTheme="majorBidi" w:hAnsiTheme="majorBidi" w:cstheme="majorBidi"/>
          <w:color w:val="000000" w:themeColor="text1"/>
          <w:szCs w:val="24"/>
        </w:rPr>
        <w:t xml:space="preserve"> economy has </w:t>
      </w:r>
      <w:r w:rsidRPr="004B36B2">
        <w:rPr>
          <w:rFonts w:asciiTheme="majorBidi" w:hAnsiTheme="majorBidi" w:cstheme="majorBidi"/>
          <w:noProof/>
          <w:color w:val="000000" w:themeColor="text1"/>
          <w:szCs w:val="24"/>
        </w:rPr>
        <w:t>facilitated</w:t>
      </w:r>
      <w:r w:rsidR="0054781B" w:rsidRPr="004B36B2">
        <w:rPr>
          <w:rFonts w:asciiTheme="majorBidi" w:hAnsiTheme="majorBidi" w:cstheme="majorBidi"/>
          <w:color w:val="000000" w:themeColor="text1"/>
          <w:szCs w:val="24"/>
        </w:rPr>
        <w:t xml:space="preserve"> and encouraged </w:t>
      </w:r>
      <w:r w:rsidRPr="004B36B2">
        <w:rPr>
          <w:rFonts w:asciiTheme="majorBidi" w:hAnsiTheme="majorBidi" w:cstheme="majorBidi"/>
          <w:color w:val="000000" w:themeColor="text1"/>
          <w:szCs w:val="24"/>
        </w:rPr>
        <w:t xml:space="preserve">migration </w:t>
      </w:r>
      <w:r w:rsidR="00A30002" w:rsidRPr="004B36B2">
        <w:rPr>
          <w:rFonts w:asciiTheme="majorBidi" w:hAnsiTheme="majorBidi" w:cstheme="majorBidi"/>
          <w:color w:val="000000" w:themeColor="text1"/>
          <w:szCs w:val="24"/>
        </w:rPr>
        <w:t>by allowing private recruiter</w:t>
      </w:r>
      <w:r w:rsidR="007E44D9" w:rsidRPr="004B36B2">
        <w:rPr>
          <w:rFonts w:asciiTheme="majorBidi" w:hAnsiTheme="majorBidi" w:cstheme="majorBidi"/>
          <w:color w:val="000000" w:themeColor="text1"/>
          <w:szCs w:val="24"/>
        </w:rPr>
        <w:t>s</w:t>
      </w:r>
      <w:r w:rsidR="00A30002" w:rsidRPr="004B36B2">
        <w:rPr>
          <w:rFonts w:asciiTheme="majorBidi" w:hAnsiTheme="majorBidi" w:cstheme="majorBidi"/>
          <w:color w:val="000000" w:themeColor="text1"/>
          <w:szCs w:val="24"/>
        </w:rPr>
        <w:t xml:space="preserve"> to recruit Nepalese worker</w:t>
      </w:r>
      <w:r w:rsidR="007E44D9" w:rsidRPr="004B36B2">
        <w:rPr>
          <w:rFonts w:asciiTheme="majorBidi" w:hAnsiTheme="majorBidi" w:cstheme="majorBidi"/>
          <w:color w:val="000000" w:themeColor="text1"/>
          <w:szCs w:val="24"/>
        </w:rPr>
        <w:t>s</w:t>
      </w:r>
      <w:r w:rsidR="00A30002" w:rsidRPr="004B36B2">
        <w:rPr>
          <w:rFonts w:asciiTheme="majorBidi" w:hAnsiTheme="majorBidi" w:cstheme="majorBidi"/>
          <w:color w:val="000000" w:themeColor="text1"/>
          <w:szCs w:val="24"/>
        </w:rPr>
        <w:t xml:space="preserve"> for foreign employment </w:t>
      </w:r>
      <w:r w:rsidRPr="004B36B2">
        <w:rPr>
          <w:rFonts w:asciiTheme="majorBidi" w:hAnsiTheme="majorBidi" w:cstheme="majorBidi"/>
          <w:color w:val="000000" w:themeColor="text1"/>
          <w:szCs w:val="24"/>
        </w:rPr>
        <w:fldChar w:fldCharType="begin"/>
      </w:r>
      <w:r w:rsidRPr="004B36B2">
        <w:rPr>
          <w:rFonts w:asciiTheme="majorBidi" w:hAnsiTheme="majorBidi" w:cstheme="majorBidi"/>
          <w:color w:val="000000" w:themeColor="text1"/>
          <w:szCs w:val="24"/>
        </w:rPr>
        <w:instrText xml:space="preserve"> ADDIN EN.CITE &lt;EndNote&gt;&lt;Cite&gt;&lt;Author&gt;GON&lt;/Author&gt;&lt;Year&gt;2014&lt;/Year&gt;&lt;RecNum&gt;1258&lt;/RecNum&gt;&lt;DisplayText&gt;(GON, 2014)&lt;/DisplayText&gt;&lt;record&gt;&lt;rec-number&gt;1258&lt;/rec-number&gt;&lt;foreign-keys&gt;&lt;key app="EN" db-id="2e5x09etnw59plezvanxesw9rdtvrf2azwfd" timestamp="1516771600"&gt;1258&lt;/key&gt;&lt;/foreign-keys&gt;&lt;ref-type name="Report"&gt;27&lt;/ref-type&gt;&lt;contributors&gt;&lt;authors&gt;&lt;author&gt;GON&lt;/author&gt;&lt;/authors&gt;&lt;/contributors&gt;&lt;titles&gt;&lt;title&gt;Labour Migration for Employment: A Status Report for Nepal: 2013/2014&lt;/title&gt;&lt;/titles&gt;&lt;dates&gt;&lt;year&gt;2014&lt;/year&gt;&lt;/dates&gt;&lt;orig-pub&gt;Ministry of Labour and Employment: Department of Foreign Employment&lt;/orig-pub&gt;&lt;work-type&gt;Report&lt;/work-type&gt;&lt;urls&gt;&lt;/urls&gt;&lt;/record&gt;&lt;/Cite&gt;&lt;/EndNote&gt;</w:instrText>
      </w:r>
      <w:r w:rsidRPr="004B36B2">
        <w:rPr>
          <w:rFonts w:asciiTheme="majorBidi" w:hAnsiTheme="majorBidi" w:cstheme="majorBidi"/>
          <w:color w:val="000000" w:themeColor="text1"/>
          <w:szCs w:val="24"/>
        </w:rPr>
        <w:fldChar w:fldCharType="separate"/>
      </w:r>
      <w:r w:rsidRPr="004B36B2">
        <w:rPr>
          <w:rFonts w:asciiTheme="majorBidi" w:hAnsiTheme="majorBidi" w:cstheme="majorBidi"/>
          <w:noProof/>
          <w:color w:val="000000" w:themeColor="text1"/>
          <w:szCs w:val="24"/>
        </w:rPr>
        <w:t>(GON, 2014)</w:t>
      </w:r>
      <w:r w:rsidRPr="004B36B2">
        <w:rPr>
          <w:rFonts w:asciiTheme="majorBidi" w:hAnsiTheme="majorBidi" w:cstheme="majorBidi"/>
          <w:color w:val="000000" w:themeColor="text1"/>
          <w:szCs w:val="24"/>
        </w:rPr>
        <w:fldChar w:fldCharType="end"/>
      </w:r>
      <w:r w:rsidRPr="004B36B2">
        <w:rPr>
          <w:rFonts w:asciiTheme="majorBidi" w:hAnsiTheme="majorBidi" w:cstheme="majorBidi"/>
          <w:color w:val="000000" w:themeColor="text1"/>
          <w:szCs w:val="24"/>
        </w:rPr>
        <w:t>.</w:t>
      </w:r>
      <w:r w:rsidR="00442876" w:rsidRPr="004B36B2">
        <w:rPr>
          <w:rFonts w:asciiTheme="majorBidi" w:hAnsiTheme="majorBidi" w:cstheme="majorBidi"/>
          <w:color w:val="000000" w:themeColor="text1"/>
          <w:szCs w:val="24"/>
        </w:rPr>
        <w:t xml:space="preserve"> This new </w:t>
      </w:r>
      <w:r w:rsidR="009D248E" w:rsidRPr="004B36B2">
        <w:rPr>
          <w:rFonts w:asciiTheme="majorBidi" w:hAnsiTheme="majorBidi" w:cstheme="majorBidi"/>
          <w:color w:val="000000" w:themeColor="text1"/>
          <w:szCs w:val="24"/>
        </w:rPr>
        <w:t xml:space="preserve">opportunity to </w:t>
      </w:r>
      <w:r w:rsidR="00442876" w:rsidRPr="004B36B2">
        <w:rPr>
          <w:rFonts w:asciiTheme="majorBidi" w:hAnsiTheme="majorBidi" w:cstheme="majorBidi"/>
          <w:color w:val="000000" w:themeColor="text1"/>
          <w:szCs w:val="24"/>
        </w:rPr>
        <w:t xml:space="preserve">migrate to </w:t>
      </w:r>
      <w:r w:rsidR="009D248E" w:rsidRPr="004B36B2">
        <w:rPr>
          <w:rFonts w:asciiTheme="majorBidi" w:hAnsiTheme="majorBidi" w:cstheme="majorBidi"/>
          <w:color w:val="000000" w:themeColor="text1"/>
          <w:szCs w:val="24"/>
        </w:rPr>
        <w:t xml:space="preserve">high </w:t>
      </w:r>
      <w:r w:rsidR="00442876" w:rsidRPr="004B36B2">
        <w:rPr>
          <w:rFonts w:asciiTheme="majorBidi" w:hAnsiTheme="majorBidi" w:cstheme="majorBidi"/>
          <w:color w:val="000000" w:themeColor="text1"/>
          <w:szCs w:val="24"/>
        </w:rPr>
        <w:t xml:space="preserve">wage </w:t>
      </w:r>
      <w:r w:rsidR="009D248E" w:rsidRPr="004B36B2">
        <w:rPr>
          <w:rFonts w:asciiTheme="majorBidi" w:hAnsiTheme="majorBidi" w:cstheme="majorBidi"/>
          <w:color w:val="000000" w:themeColor="text1"/>
          <w:szCs w:val="24"/>
        </w:rPr>
        <w:t>destination</w:t>
      </w:r>
      <w:r w:rsidR="00442876"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has become </w:t>
      </w:r>
      <w:r w:rsidR="00324FF4" w:rsidRPr="004B36B2">
        <w:rPr>
          <w:rFonts w:asciiTheme="majorBidi" w:hAnsiTheme="majorBidi" w:cstheme="majorBidi"/>
          <w:color w:val="000000" w:themeColor="text1"/>
          <w:szCs w:val="24"/>
        </w:rPr>
        <w:t xml:space="preserve">a </w:t>
      </w:r>
      <w:r w:rsidRPr="004B36B2">
        <w:rPr>
          <w:rFonts w:asciiTheme="majorBidi" w:hAnsiTheme="majorBidi" w:cstheme="majorBidi"/>
          <w:noProof/>
          <w:color w:val="000000" w:themeColor="text1"/>
          <w:szCs w:val="24"/>
        </w:rPr>
        <w:t>boom</w:t>
      </w:r>
      <w:r w:rsidRPr="004B36B2">
        <w:rPr>
          <w:rFonts w:asciiTheme="majorBidi" w:hAnsiTheme="majorBidi" w:cstheme="majorBidi"/>
          <w:color w:val="000000" w:themeColor="text1"/>
          <w:szCs w:val="24"/>
        </w:rPr>
        <w:t xml:space="preserve"> for the Nepali migrants</w:t>
      </w:r>
      <w:r w:rsidR="00324FF4" w:rsidRPr="004B36B2">
        <w:rPr>
          <w:rFonts w:asciiTheme="majorBidi" w:hAnsiTheme="majorBidi" w:cstheme="majorBidi"/>
          <w:color w:val="000000" w:themeColor="text1"/>
          <w:szCs w:val="24"/>
        </w:rPr>
        <w:t>,</w:t>
      </w:r>
      <w:r w:rsidR="009D248E" w:rsidRPr="004B36B2">
        <w:rPr>
          <w:rFonts w:asciiTheme="majorBidi" w:hAnsiTheme="majorBidi" w:cstheme="majorBidi"/>
          <w:color w:val="000000" w:themeColor="text1"/>
          <w:szCs w:val="24"/>
        </w:rPr>
        <w:t xml:space="preserve"> </w:t>
      </w:r>
      <w:r w:rsidR="009D248E" w:rsidRPr="004B36B2">
        <w:rPr>
          <w:rFonts w:asciiTheme="majorBidi" w:hAnsiTheme="majorBidi" w:cstheme="majorBidi"/>
          <w:noProof/>
          <w:color w:val="000000" w:themeColor="text1"/>
          <w:szCs w:val="24"/>
        </w:rPr>
        <w:t>especially</w:t>
      </w:r>
      <w:r w:rsidR="00DC6834" w:rsidRPr="004B36B2">
        <w:rPr>
          <w:rFonts w:asciiTheme="majorBidi" w:hAnsiTheme="majorBidi" w:cstheme="majorBidi"/>
          <w:color w:val="000000" w:themeColor="text1"/>
          <w:szCs w:val="24"/>
        </w:rPr>
        <w:t xml:space="preserve"> from central and e</w:t>
      </w:r>
      <w:r w:rsidR="009D248E" w:rsidRPr="004B36B2">
        <w:rPr>
          <w:rFonts w:asciiTheme="majorBidi" w:hAnsiTheme="majorBidi" w:cstheme="majorBidi"/>
          <w:color w:val="000000" w:themeColor="text1"/>
          <w:szCs w:val="24"/>
        </w:rPr>
        <w:t>aster</w:t>
      </w:r>
      <w:r w:rsidR="004D47AB" w:rsidRPr="004B36B2">
        <w:rPr>
          <w:rFonts w:asciiTheme="majorBidi" w:hAnsiTheme="majorBidi" w:cstheme="majorBidi"/>
          <w:color w:val="000000" w:themeColor="text1"/>
          <w:szCs w:val="24"/>
        </w:rPr>
        <w:t>n</w:t>
      </w:r>
      <w:r w:rsidR="009D248E" w:rsidRPr="004B36B2">
        <w:rPr>
          <w:rFonts w:asciiTheme="majorBidi" w:hAnsiTheme="majorBidi" w:cstheme="majorBidi"/>
          <w:color w:val="000000" w:themeColor="text1"/>
          <w:szCs w:val="24"/>
        </w:rPr>
        <w:t xml:space="preserve"> </w:t>
      </w:r>
      <w:r w:rsidR="00442876" w:rsidRPr="004B36B2">
        <w:rPr>
          <w:rFonts w:asciiTheme="majorBidi" w:hAnsiTheme="majorBidi" w:cstheme="majorBidi"/>
          <w:color w:val="000000" w:themeColor="text1"/>
          <w:szCs w:val="24"/>
        </w:rPr>
        <w:t xml:space="preserve">regions </w:t>
      </w:r>
      <w:r w:rsidR="00401E7B" w:rsidRPr="004B36B2">
        <w:rPr>
          <w:rFonts w:asciiTheme="majorBidi" w:hAnsiTheme="majorBidi" w:cstheme="majorBidi"/>
          <w:color w:val="000000" w:themeColor="text1"/>
          <w:szCs w:val="24"/>
        </w:rPr>
        <w:t xml:space="preserve">whose </w:t>
      </w:r>
      <w:r w:rsidR="0091451C" w:rsidRPr="004B36B2">
        <w:rPr>
          <w:rFonts w:asciiTheme="majorBidi" w:hAnsiTheme="majorBidi" w:cstheme="majorBidi"/>
          <w:color w:val="000000" w:themeColor="text1"/>
          <w:szCs w:val="24"/>
        </w:rPr>
        <w:t xml:space="preserve">close proximity </w:t>
      </w:r>
      <w:r w:rsidR="00442876" w:rsidRPr="004B36B2">
        <w:rPr>
          <w:rFonts w:asciiTheme="majorBidi" w:hAnsiTheme="majorBidi" w:cstheme="majorBidi"/>
          <w:color w:val="000000" w:themeColor="text1"/>
          <w:szCs w:val="24"/>
        </w:rPr>
        <w:t xml:space="preserve">to the </w:t>
      </w:r>
      <w:r w:rsidR="0091451C" w:rsidRPr="004B36B2">
        <w:rPr>
          <w:rFonts w:asciiTheme="majorBidi" w:hAnsiTheme="majorBidi" w:cstheme="majorBidi"/>
          <w:color w:val="000000" w:themeColor="text1"/>
          <w:szCs w:val="24"/>
        </w:rPr>
        <w:t xml:space="preserve">capital city </w:t>
      </w:r>
      <w:r w:rsidR="00401E7B" w:rsidRPr="004B36B2">
        <w:rPr>
          <w:rFonts w:asciiTheme="majorBidi" w:hAnsiTheme="majorBidi" w:cstheme="majorBidi"/>
          <w:color w:val="000000" w:themeColor="text1"/>
          <w:szCs w:val="24"/>
        </w:rPr>
        <w:t>aids recruitment and visa process</w:t>
      </w:r>
      <w:r w:rsidR="00442876" w:rsidRPr="004B36B2">
        <w:rPr>
          <w:rFonts w:asciiTheme="majorBidi" w:hAnsiTheme="majorBidi" w:cstheme="majorBidi"/>
          <w:color w:val="000000" w:themeColor="text1"/>
          <w:szCs w:val="24"/>
        </w:rPr>
        <w:t>es</w:t>
      </w:r>
      <w:r w:rsidR="002C0FC2" w:rsidRPr="004B36B2">
        <w:rPr>
          <w:rFonts w:asciiTheme="majorBidi" w:hAnsiTheme="majorBidi" w:cstheme="majorBidi"/>
          <w:color w:val="000000" w:themeColor="text1"/>
          <w:szCs w:val="24"/>
        </w:rPr>
        <w:t>. People in these regions also have</w:t>
      </w:r>
      <w:r w:rsidR="00401E7B" w:rsidRPr="004B36B2">
        <w:rPr>
          <w:rFonts w:asciiTheme="majorBidi" w:hAnsiTheme="majorBidi" w:cstheme="majorBidi"/>
          <w:color w:val="000000" w:themeColor="text1"/>
          <w:szCs w:val="24"/>
        </w:rPr>
        <w:t xml:space="preserve"> more </w:t>
      </w:r>
      <w:r w:rsidR="009D248E" w:rsidRPr="004B36B2">
        <w:rPr>
          <w:rFonts w:asciiTheme="majorBidi" w:hAnsiTheme="majorBidi" w:cstheme="majorBidi"/>
          <w:color w:val="000000" w:themeColor="text1"/>
          <w:szCs w:val="24"/>
        </w:rPr>
        <w:t xml:space="preserve">access to finance </w:t>
      </w:r>
      <w:r w:rsidR="00401E7B" w:rsidRPr="004B36B2">
        <w:rPr>
          <w:rFonts w:asciiTheme="majorBidi" w:hAnsiTheme="majorBidi" w:cstheme="majorBidi"/>
          <w:color w:val="000000" w:themeColor="text1"/>
          <w:szCs w:val="24"/>
        </w:rPr>
        <w:t xml:space="preserve">for </w:t>
      </w:r>
      <w:r w:rsidR="0091451C" w:rsidRPr="004B36B2">
        <w:rPr>
          <w:rFonts w:asciiTheme="majorBidi" w:hAnsiTheme="majorBidi" w:cstheme="majorBidi"/>
          <w:color w:val="000000" w:themeColor="text1"/>
          <w:szCs w:val="24"/>
        </w:rPr>
        <w:t xml:space="preserve">upfront </w:t>
      </w:r>
      <w:r w:rsidR="009D248E" w:rsidRPr="004B36B2">
        <w:rPr>
          <w:rFonts w:asciiTheme="majorBidi" w:hAnsiTheme="majorBidi" w:cstheme="majorBidi"/>
          <w:color w:val="000000" w:themeColor="text1"/>
          <w:szCs w:val="24"/>
        </w:rPr>
        <w:t>migration</w:t>
      </w:r>
      <w:r w:rsidR="00242A01" w:rsidRPr="004B36B2">
        <w:rPr>
          <w:rFonts w:asciiTheme="majorBidi" w:hAnsiTheme="majorBidi" w:cstheme="majorBidi"/>
          <w:color w:val="000000" w:themeColor="text1"/>
          <w:szCs w:val="24"/>
        </w:rPr>
        <w:t>-</w:t>
      </w:r>
      <w:r w:rsidR="009D248E" w:rsidRPr="004B36B2">
        <w:rPr>
          <w:rFonts w:asciiTheme="majorBidi" w:hAnsiTheme="majorBidi" w:cstheme="majorBidi"/>
          <w:color w:val="000000" w:themeColor="text1"/>
          <w:szCs w:val="24"/>
        </w:rPr>
        <w:t>related cost</w:t>
      </w:r>
      <w:r w:rsidR="00442876" w:rsidRPr="004B36B2">
        <w:rPr>
          <w:rFonts w:asciiTheme="majorBidi" w:hAnsiTheme="majorBidi" w:cstheme="majorBidi"/>
          <w:color w:val="000000" w:themeColor="text1"/>
          <w:szCs w:val="24"/>
        </w:rPr>
        <w:t>s</w:t>
      </w:r>
      <w:r w:rsidRPr="004B36B2">
        <w:rPr>
          <w:rFonts w:asciiTheme="majorBidi" w:hAnsiTheme="majorBidi" w:cstheme="majorBidi"/>
          <w:noProof/>
          <w:color w:val="000000" w:themeColor="text1"/>
          <w:szCs w:val="24"/>
        </w:rPr>
        <w:t xml:space="preserve">. </w:t>
      </w:r>
      <w:r w:rsidRPr="004B36B2">
        <w:rPr>
          <w:rFonts w:asciiTheme="majorBidi" w:hAnsiTheme="majorBidi" w:cstheme="majorBidi"/>
          <w:color w:val="000000" w:themeColor="text1"/>
          <w:szCs w:val="24"/>
        </w:rPr>
        <w:t>I</w:t>
      </w:r>
      <w:r w:rsidR="00096610" w:rsidRPr="004B36B2">
        <w:rPr>
          <w:rFonts w:asciiTheme="majorBidi" w:hAnsiTheme="majorBidi" w:cstheme="majorBidi"/>
          <w:color w:val="000000" w:themeColor="text1"/>
          <w:szCs w:val="24"/>
        </w:rPr>
        <w:t xml:space="preserve">n </w:t>
      </w:r>
      <w:r w:rsidR="00CB5A7D" w:rsidRPr="004B36B2">
        <w:rPr>
          <w:rFonts w:asciiTheme="majorBidi" w:hAnsiTheme="majorBidi" w:cstheme="majorBidi"/>
          <w:color w:val="000000" w:themeColor="text1"/>
          <w:szCs w:val="24"/>
        </w:rPr>
        <w:t xml:space="preserve">the </w:t>
      </w:r>
      <w:r w:rsidR="00096610" w:rsidRPr="004B36B2">
        <w:rPr>
          <w:rFonts w:asciiTheme="majorBidi" w:hAnsiTheme="majorBidi" w:cstheme="majorBidi"/>
          <w:color w:val="000000" w:themeColor="text1"/>
          <w:szCs w:val="24"/>
        </w:rPr>
        <w:t>last decade</w:t>
      </w:r>
      <w:r w:rsidRPr="004B36B2">
        <w:rPr>
          <w:rFonts w:asciiTheme="majorBidi" w:hAnsiTheme="majorBidi" w:cstheme="majorBidi"/>
          <w:color w:val="000000" w:themeColor="text1"/>
          <w:szCs w:val="24"/>
        </w:rPr>
        <w:t xml:space="preserve">, the outflow of </w:t>
      </w:r>
      <w:r w:rsidR="005C4618" w:rsidRPr="004B36B2">
        <w:rPr>
          <w:rFonts w:asciiTheme="majorBidi" w:hAnsiTheme="majorBidi" w:cstheme="majorBidi"/>
          <w:color w:val="000000" w:themeColor="text1"/>
          <w:szCs w:val="24"/>
        </w:rPr>
        <w:t>migrant</w:t>
      </w:r>
      <w:r w:rsidR="00F05E3E" w:rsidRPr="004B36B2">
        <w:rPr>
          <w:rFonts w:asciiTheme="majorBidi" w:hAnsiTheme="majorBidi" w:cstheme="majorBidi"/>
          <w:color w:val="000000" w:themeColor="text1"/>
          <w:szCs w:val="24"/>
        </w:rPr>
        <w:t>s</w:t>
      </w:r>
      <w:r w:rsidR="00096610" w:rsidRPr="004B36B2">
        <w:rPr>
          <w:rFonts w:asciiTheme="majorBidi" w:hAnsiTheme="majorBidi" w:cstheme="majorBidi"/>
          <w:color w:val="000000" w:themeColor="text1"/>
          <w:szCs w:val="24"/>
        </w:rPr>
        <w:t xml:space="preserve"> </w:t>
      </w:r>
      <w:r w:rsidR="00263B1E" w:rsidRPr="004B36B2">
        <w:rPr>
          <w:rFonts w:asciiTheme="majorBidi" w:hAnsiTheme="majorBidi" w:cstheme="majorBidi"/>
          <w:color w:val="000000" w:themeColor="text1"/>
          <w:szCs w:val="24"/>
        </w:rPr>
        <w:t>extended from</w:t>
      </w:r>
      <w:r w:rsidRPr="004B36B2">
        <w:rPr>
          <w:rFonts w:asciiTheme="majorBidi" w:hAnsiTheme="majorBidi" w:cstheme="majorBidi"/>
          <w:color w:val="000000" w:themeColor="text1"/>
          <w:szCs w:val="24"/>
        </w:rPr>
        <w:t xml:space="preserve"> </w:t>
      </w:r>
      <w:r w:rsidR="00096610" w:rsidRPr="004B36B2">
        <w:rPr>
          <w:rFonts w:asciiTheme="majorBidi" w:hAnsiTheme="majorBidi" w:cstheme="majorBidi"/>
          <w:color w:val="000000" w:themeColor="text1"/>
          <w:szCs w:val="24"/>
        </w:rPr>
        <w:t xml:space="preserve">Middle-East </w:t>
      </w:r>
      <w:r w:rsidRPr="004B36B2">
        <w:rPr>
          <w:rFonts w:asciiTheme="majorBidi" w:hAnsiTheme="majorBidi" w:cstheme="majorBidi"/>
          <w:color w:val="000000" w:themeColor="text1"/>
          <w:szCs w:val="24"/>
        </w:rPr>
        <w:t xml:space="preserve">and </w:t>
      </w:r>
      <w:r w:rsidR="00F05E3E" w:rsidRPr="004B36B2">
        <w:rPr>
          <w:rFonts w:asciiTheme="majorBidi" w:hAnsiTheme="majorBidi" w:cstheme="majorBidi"/>
          <w:color w:val="000000" w:themeColor="text1"/>
          <w:szCs w:val="24"/>
        </w:rPr>
        <w:t>North</w:t>
      </w:r>
      <w:r w:rsidRPr="004B36B2">
        <w:rPr>
          <w:rFonts w:asciiTheme="majorBidi" w:hAnsiTheme="majorBidi" w:cstheme="majorBidi"/>
          <w:color w:val="000000" w:themeColor="text1"/>
          <w:szCs w:val="24"/>
        </w:rPr>
        <w:t xml:space="preserve"> African </w:t>
      </w:r>
      <w:r w:rsidR="00263B1E" w:rsidRPr="004B36B2">
        <w:rPr>
          <w:rFonts w:asciiTheme="majorBidi" w:hAnsiTheme="majorBidi" w:cstheme="majorBidi"/>
          <w:color w:val="000000" w:themeColor="text1"/>
          <w:szCs w:val="24"/>
        </w:rPr>
        <w:t>countries to</w:t>
      </w:r>
      <w:r w:rsidRPr="004B36B2">
        <w:rPr>
          <w:rFonts w:asciiTheme="majorBidi" w:hAnsiTheme="majorBidi" w:cstheme="majorBidi"/>
          <w:color w:val="000000" w:themeColor="text1"/>
          <w:szCs w:val="24"/>
        </w:rPr>
        <w:t xml:space="preserve"> </w:t>
      </w:r>
      <w:r w:rsidR="00263B1E" w:rsidRPr="004B36B2">
        <w:rPr>
          <w:rFonts w:asciiTheme="majorBidi" w:hAnsiTheme="majorBidi" w:cstheme="majorBidi"/>
          <w:color w:val="000000" w:themeColor="text1"/>
          <w:szCs w:val="24"/>
        </w:rPr>
        <w:t>ASEAN</w:t>
      </w:r>
      <w:r w:rsidR="005C4618" w:rsidRPr="004B36B2">
        <w:rPr>
          <w:rFonts w:asciiTheme="majorBidi" w:hAnsiTheme="majorBidi" w:cstheme="majorBidi"/>
          <w:color w:val="000000" w:themeColor="text1"/>
          <w:szCs w:val="24"/>
        </w:rPr>
        <w:t>, Hong Kong</w:t>
      </w:r>
      <w:r w:rsidR="00263B1E" w:rsidRPr="004B36B2">
        <w:rPr>
          <w:rFonts w:asciiTheme="majorBidi" w:hAnsiTheme="majorBidi" w:cstheme="majorBidi"/>
          <w:color w:val="000000" w:themeColor="text1"/>
          <w:szCs w:val="24"/>
        </w:rPr>
        <w:t xml:space="preserve"> and</w:t>
      </w:r>
      <w:r w:rsidRPr="004B36B2">
        <w:rPr>
          <w:rFonts w:asciiTheme="majorBidi" w:hAnsiTheme="majorBidi" w:cstheme="majorBidi"/>
          <w:color w:val="000000" w:themeColor="text1"/>
          <w:szCs w:val="24"/>
        </w:rPr>
        <w:t xml:space="preserve"> </w:t>
      </w:r>
      <w:r w:rsidR="00096610" w:rsidRPr="004B36B2">
        <w:rPr>
          <w:rFonts w:asciiTheme="majorBidi" w:hAnsiTheme="majorBidi" w:cstheme="majorBidi"/>
          <w:color w:val="000000" w:themeColor="text1"/>
          <w:szCs w:val="24"/>
        </w:rPr>
        <w:t>Korea</w:t>
      </w:r>
      <w:r w:rsidRPr="004B36B2">
        <w:rPr>
          <w:rFonts w:asciiTheme="majorBidi" w:hAnsiTheme="majorBidi" w:cstheme="majorBidi"/>
          <w:color w:val="000000" w:themeColor="text1"/>
          <w:szCs w:val="24"/>
        </w:rPr>
        <w:t xml:space="preserve">. </w:t>
      </w:r>
      <w:r w:rsidR="0063172A" w:rsidRPr="004B36B2">
        <w:rPr>
          <w:rFonts w:asciiTheme="majorBidi" w:hAnsiTheme="majorBidi" w:cstheme="majorBidi"/>
          <w:color w:val="000000" w:themeColor="text1"/>
          <w:szCs w:val="24"/>
        </w:rPr>
        <w:t xml:space="preserve">Recently, skilled migration to </w:t>
      </w:r>
      <w:r w:rsidR="00183AB7" w:rsidRPr="004B36B2">
        <w:rPr>
          <w:rFonts w:asciiTheme="majorBidi" w:hAnsiTheme="majorBidi" w:cstheme="majorBidi"/>
          <w:color w:val="000000" w:themeColor="text1"/>
          <w:szCs w:val="24"/>
        </w:rPr>
        <w:t xml:space="preserve">OECD </w:t>
      </w:r>
      <w:r w:rsidR="0063172A" w:rsidRPr="004B36B2">
        <w:rPr>
          <w:rFonts w:asciiTheme="majorBidi" w:hAnsiTheme="majorBidi" w:cstheme="majorBidi"/>
          <w:color w:val="000000" w:themeColor="text1"/>
          <w:szCs w:val="24"/>
        </w:rPr>
        <w:t xml:space="preserve">countries is also </w:t>
      </w:r>
      <w:r w:rsidR="00F85ECC" w:rsidRPr="004B36B2">
        <w:rPr>
          <w:rFonts w:asciiTheme="majorBidi" w:hAnsiTheme="majorBidi" w:cstheme="majorBidi"/>
          <w:noProof/>
          <w:color w:val="000000" w:themeColor="text1"/>
          <w:szCs w:val="24"/>
        </w:rPr>
        <w:t>rising</w:t>
      </w:r>
      <w:r w:rsidR="0063172A" w:rsidRPr="004B36B2">
        <w:rPr>
          <w:rFonts w:asciiTheme="majorBidi" w:hAnsiTheme="majorBidi" w:cstheme="majorBidi"/>
          <w:color w:val="000000" w:themeColor="text1"/>
          <w:szCs w:val="24"/>
        </w:rPr>
        <w:t>.</w:t>
      </w:r>
      <w:r w:rsidR="0028297A" w:rsidRPr="004B36B2">
        <w:rPr>
          <w:rFonts w:asciiTheme="majorBidi" w:hAnsiTheme="majorBidi" w:cstheme="majorBidi"/>
          <w:color w:val="000000" w:themeColor="text1"/>
          <w:szCs w:val="24"/>
        </w:rPr>
        <w:t xml:space="preserve"> </w:t>
      </w:r>
      <w:r w:rsidR="003B29EE" w:rsidRPr="004B36B2">
        <w:rPr>
          <w:rFonts w:asciiTheme="majorBidi" w:hAnsiTheme="majorBidi" w:cstheme="majorBidi"/>
          <w:color w:val="000000" w:themeColor="text1"/>
          <w:szCs w:val="24"/>
        </w:rPr>
        <w:t xml:space="preserve">For instance, </w:t>
      </w:r>
      <w:r w:rsidR="00F85ECC" w:rsidRPr="004B36B2">
        <w:rPr>
          <w:rFonts w:asciiTheme="majorBidi" w:hAnsiTheme="majorBidi" w:cstheme="majorBidi"/>
          <w:color w:val="000000" w:themeColor="text1"/>
          <w:szCs w:val="24"/>
        </w:rPr>
        <w:t xml:space="preserve">one-fifth of </w:t>
      </w:r>
      <w:r w:rsidR="003B29EE" w:rsidRPr="004B36B2">
        <w:rPr>
          <w:rFonts w:asciiTheme="majorBidi" w:hAnsiTheme="majorBidi" w:cstheme="majorBidi"/>
          <w:color w:val="000000" w:themeColor="text1"/>
          <w:szCs w:val="24"/>
        </w:rPr>
        <w:t xml:space="preserve">migrants are </w:t>
      </w:r>
      <w:r w:rsidR="00B83E7D" w:rsidRPr="004B36B2">
        <w:rPr>
          <w:rFonts w:asciiTheme="majorBidi" w:hAnsiTheme="majorBidi" w:cstheme="majorBidi"/>
          <w:color w:val="000000" w:themeColor="text1"/>
          <w:szCs w:val="24"/>
        </w:rPr>
        <w:t xml:space="preserve">in </w:t>
      </w:r>
      <w:r w:rsidR="008663DE" w:rsidRPr="004B36B2">
        <w:rPr>
          <w:rFonts w:asciiTheme="majorBidi" w:hAnsiTheme="majorBidi" w:cstheme="majorBidi"/>
          <w:color w:val="000000" w:themeColor="text1"/>
          <w:szCs w:val="24"/>
        </w:rPr>
        <w:t>developed countries like USA, Canada, Europe, Japan and Australia (</w:t>
      </w:r>
      <w:r w:rsidR="00420F09" w:rsidRPr="004B36B2">
        <w:rPr>
          <w:rFonts w:asciiTheme="majorBidi" w:hAnsiTheme="majorBidi" w:cstheme="majorBidi"/>
          <w:color w:val="000000" w:themeColor="text1"/>
          <w:szCs w:val="24"/>
        </w:rPr>
        <w:t>CBS, 2008</w:t>
      </w:r>
      <w:r w:rsidR="008663DE" w:rsidRPr="004B36B2">
        <w:rPr>
          <w:rFonts w:asciiTheme="majorBidi" w:hAnsiTheme="majorBidi" w:cstheme="majorBidi"/>
          <w:color w:val="000000" w:themeColor="text1"/>
          <w:szCs w:val="24"/>
        </w:rPr>
        <w:t xml:space="preserve">, 2010). </w:t>
      </w:r>
      <w:r w:rsidR="00D85EB0" w:rsidRPr="004B36B2">
        <w:rPr>
          <w:rFonts w:asciiTheme="majorBidi" w:hAnsiTheme="majorBidi" w:cstheme="majorBidi"/>
          <w:color w:val="000000" w:themeColor="text1"/>
          <w:szCs w:val="24"/>
        </w:rPr>
        <w:t xml:space="preserve">Migration to high </w:t>
      </w:r>
      <w:r w:rsidR="00442876" w:rsidRPr="004B36B2">
        <w:rPr>
          <w:rFonts w:asciiTheme="majorBidi" w:hAnsiTheme="majorBidi" w:cstheme="majorBidi"/>
          <w:color w:val="000000" w:themeColor="text1"/>
          <w:szCs w:val="24"/>
        </w:rPr>
        <w:t xml:space="preserve">wage </w:t>
      </w:r>
      <w:r w:rsidR="00D85EB0" w:rsidRPr="004B36B2">
        <w:rPr>
          <w:rFonts w:asciiTheme="majorBidi" w:hAnsiTheme="majorBidi" w:cstheme="majorBidi"/>
          <w:color w:val="000000" w:themeColor="text1"/>
          <w:szCs w:val="24"/>
        </w:rPr>
        <w:t>destination</w:t>
      </w:r>
      <w:r w:rsidR="00442876" w:rsidRPr="004B36B2">
        <w:rPr>
          <w:rFonts w:asciiTheme="majorBidi" w:hAnsiTheme="majorBidi" w:cstheme="majorBidi"/>
          <w:color w:val="000000" w:themeColor="text1"/>
          <w:szCs w:val="24"/>
        </w:rPr>
        <w:t>s</w:t>
      </w:r>
      <w:r w:rsidR="00D85EB0" w:rsidRPr="004B36B2">
        <w:rPr>
          <w:rFonts w:asciiTheme="majorBidi" w:hAnsiTheme="majorBidi" w:cstheme="majorBidi"/>
          <w:color w:val="000000" w:themeColor="text1"/>
          <w:szCs w:val="24"/>
        </w:rPr>
        <w:t xml:space="preserve"> has become an </w:t>
      </w:r>
      <w:r w:rsidR="00096610" w:rsidRPr="004B36B2">
        <w:rPr>
          <w:rFonts w:asciiTheme="majorBidi" w:hAnsiTheme="majorBidi" w:cstheme="majorBidi"/>
          <w:color w:val="000000" w:themeColor="text1"/>
          <w:szCs w:val="24"/>
        </w:rPr>
        <w:t>alternative income</w:t>
      </w:r>
      <w:r w:rsidR="00242A01" w:rsidRPr="004B36B2">
        <w:rPr>
          <w:rFonts w:asciiTheme="majorBidi" w:hAnsiTheme="majorBidi" w:cstheme="majorBidi"/>
          <w:color w:val="000000" w:themeColor="text1"/>
          <w:szCs w:val="24"/>
        </w:rPr>
        <w:t>-</w:t>
      </w:r>
      <w:r w:rsidR="00096610" w:rsidRPr="004B36B2">
        <w:rPr>
          <w:rFonts w:asciiTheme="majorBidi" w:hAnsiTheme="majorBidi" w:cstheme="majorBidi"/>
          <w:color w:val="000000" w:themeColor="text1"/>
          <w:szCs w:val="24"/>
        </w:rPr>
        <w:t xml:space="preserve">generating activity </w:t>
      </w:r>
      <w:r w:rsidR="00D85EB0" w:rsidRPr="004B36B2">
        <w:rPr>
          <w:rFonts w:asciiTheme="majorBidi" w:hAnsiTheme="majorBidi" w:cstheme="majorBidi"/>
          <w:color w:val="000000" w:themeColor="text1"/>
          <w:szCs w:val="24"/>
        </w:rPr>
        <w:t xml:space="preserve">to escape high unemployment and low quality of life in </w:t>
      </w:r>
      <w:r w:rsidR="00442876" w:rsidRPr="004B36B2">
        <w:rPr>
          <w:rFonts w:asciiTheme="majorBidi" w:hAnsiTheme="majorBidi" w:cstheme="majorBidi"/>
          <w:color w:val="000000" w:themeColor="text1"/>
          <w:szCs w:val="24"/>
        </w:rPr>
        <w:t>Nepal.</w:t>
      </w:r>
      <w:r w:rsidR="00D85EB0" w:rsidRPr="004B36B2">
        <w:rPr>
          <w:rFonts w:asciiTheme="majorBidi" w:hAnsiTheme="majorBidi" w:cstheme="majorBidi"/>
          <w:color w:val="000000" w:themeColor="text1"/>
          <w:szCs w:val="24"/>
        </w:rPr>
        <w:t xml:space="preserve"> </w:t>
      </w:r>
      <w:r w:rsidR="00442876" w:rsidRPr="004B36B2">
        <w:rPr>
          <w:rFonts w:asciiTheme="majorBidi" w:hAnsiTheme="majorBidi" w:cstheme="majorBidi"/>
          <w:color w:val="000000" w:themeColor="text1"/>
          <w:szCs w:val="24"/>
        </w:rPr>
        <w:t>Consequently, t</w:t>
      </w:r>
      <w:r w:rsidR="00544311" w:rsidRPr="004B36B2">
        <w:rPr>
          <w:rFonts w:asciiTheme="majorBidi" w:hAnsiTheme="majorBidi" w:cstheme="majorBidi"/>
          <w:color w:val="000000" w:themeColor="text1"/>
          <w:szCs w:val="24"/>
        </w:rPr>
        <w:t xml:space="preserve">he </w:t>
      </w:r>
      <w:r w:rsidR="00E97172" w:rsidRPr="004B36B2">
        <w:rPr>
          <w:rFonts w:asciiTheme="majorBidi" w:hAnsiTheme="majorBidi" w:cstheme="majorBidi"/>
          <w:noProof/>
          <w:color w:val="000000" w:themeColor="text1"/>
          <w:szCs w:val="24"/>
        </w:rPr>
        <w:t>out</w:t>
      </w:r>
      <w:r w:rsidR="00855ED8" w:rsidRPr="004B36B2">
        <w:rPr>
          <w:rFonts w:asciiTheme="majorBidi" w:hAnsiTheme="majorBidi" w:cstheme="majorBidi"/>
          <w:noProof/>
          <w:color w:val="000000" w:themeColor="text1"/>
          <w:szCs w:val="24"/>
        </w:rPr>
        <w:t>-</w:t>
      </w:r>
      <w:r w:rsidR="00544311" w:rsidRPr="004B36B2">
        <w:rPr>
          <w:rFonts w:asciiTheme="majorBidi" w:hAnsiTheme="majorBidi" w:cstheme="majorBidi"/>
          <w:noProof/>
          <w:color w:val="000000" w:themeColor="text1"/>
          <w:szCs w:val="24"/>
        </w:rPr>
        <w:t>migration</w:t>
      </w:r>
      <w:r w:rsidR="00393D97" w:rsidRPr="004B36B2">
        <w:rPr>
          <w:rFonts w:asciiTheme="majorBidi" w:hAnsiTheme="majorBidi" w:cstheme="majorBidi"/>
          <w:color w:val="000000" w:themeColor="text1"/>
          <w:szCs w:val="24"/>
        </w:rPr>
        <w:t xml:space="preserve"> </w:t>
      </w:r>
      <w:r w:rsidR="00544311" w:rsidRPr="004B36B2">
        <w:rPr>
          <w:rFonts w:asciiTheme="majorBidi" w:hAnsiTheme="majorBidi" w:cstheme="majorBidi"/>
          <w:noProof/>
          <w:color w:val="000000" w:themeColor="text1"/>
          <w:szCs w:val="24"/>
        </w:rPr>
        <w:t>continue</w:t>
      </w:r>
      <w:r w:rsidR="00B10A1D" w:rsidRPr="004B36B2">
        <w:rPr>
          <w:rFonts w:asciiTheme="majorBidi" w:hAnsiTheme="majorBidi" w:cstheme="majorBidi"/>
          <w:noProof/>
          <w:color w:val="000000" w:themeColor="text1"/>
          <w:szCs w:val="24"/>
        </w:rPr>
        <w:t>s</w:t>
      </w:r>
      <w:r w:rsidR="00544311" w:rsidRPr="004B36B2">
        <w:rPr>
          <w:rFonts w:asciiTheme="majorBidi" w:hAnsiTheme="majorBidi" w:cstheme="majorBidi"/>
          <w:color w:val="000000" w:themeColor="text1"/>
          <w:szCs w:val="24"/>
        </w:rPr>
        <w:t xml:space="preserve"> to </w:t>
      </w:r>
      <w:r w:rsidR="00393D97" w:rsidRPr="004B36B2">
        <w:rPr>
          <w:rFonts w:asciiTheme="majorBidi" w:hAnsiTheme="majorBidi" w:cstheme="majorBidi"/>
          <w:color w:val="000000" w:themeColor="text1"/>
          <w:szCs w:val="24"/>
        </w:rPr>
        <w:t xml:space="preserve">rise </w:t>
      </w:r>
      <w:r w:rsidR="00544311" w:rsidRPr="004B36B2">
        <w:rPr>
          <w:rFonts w:asciiTheme="majorBidi" w:hAnsiTheme="majorBidi" w:cstheme="majorBidi"/>
          <w:color w:val="000000" w:themeColor="text1"/>
          <w:szCs w:val="24"/>
        </w:rPr>
        <w:t xml:space="preserve">and </w:t>
      </w:r>
      <w:r w:rsidR="0054781B" w:rsidRPr="004B36B2">
        <w:rPr>
          <w:rFonts w:asciiTheme="majorBidi" w:hAnsiTheme="majorBidi" w:cstheme="majorBidi"/>
          <w:noProof/>
          <w:color w:val="000000" w:themeColor="text1"/>
          <w:szCs w:val="24"/>
        </w:rPr>
        <w:t>o</w:t>
      </w:r>
      <w:r w:rsidR="0073402D" w:rsidRPr="004B36B2">
        <w:rPr>
          <w:rFonts w:asciiTheme="majorBidi" w:hAnsiTheme="majorBidi" w:cstheme="majorBidi"/>
          <w:noProof/>
          <w:color w:val="000000" w:themeColor="text1"/>
          <w:szCs w:val="24"/>
        </w:rPr>
        <w:t>ne</w:t>
      </w:r>
      <w:r w:rsidR="00FD6429" w:rsidRPr="004B36B2">
        <w:rPr>
          <w:rFonts w:asciiTheme="majorBidi" w:hAnsiTheme="majorBidi" w:cstheme="majorBidi"/>
          <w:noProof/>
          <w:color w:val="000000" w:themeColor="text1"/>
          <w:szCs w:val="24"/>
        </w:rPr>
        <w:t>-</w:t>
      </w:r>
      <w:r w:rsidR="0073402D" w:rsidRPr="004B36B2">
        <w:rPr>
          <w:rFonts w:asciiTheme="majorBidi" w:hAnsiTheme="majorBidi" w:cstheme="majorBidi"/>
          <w:noProof/>
          <w:color w:val="000000" w:themeColor="text1"/>
          <w:szCs w:val="24"/>
        </w:rPr>
        <w:t>third</w:t>
      </w:r>
      <w:r w:rsidR="0073402D" w:rsidRPr="004B36B2">
        <w:rPr>
          <w:rFonts w:asciiTheme="majorBidi" w:hAnsiTheme="majorBidi" w:cstheme="majorBidi"/>
          <w:color w:val="000000" w:themeColor="text1"/>
          <w:szCs w:val="24"/>
        </w:rPr>
        <w:t xml:space="preserve"> </w:t>
      </w:r>
      <w:r w:rsidR="00855ED8" w:rsidRPr="004B36B2">
        <w:rPr>
          <w:rFonts w:asciiTheme="majorBidi" w:hAnsiTheme="majorBidi" w:cstheme="majorBidi"/>
          <w:color w:val="000000" w:themeColor="text1"/>
          <w:szCs w:val="24"/>
        </w:rPr>
        <w:t xml:space="preserve">of </w:t>
      </w:r>
      <w:r w:rsidR="0073402D" w:rsidRPr="004B36B2">
        <w:rPr>
          <w:rFonts w:asciiTheme="majorBidi" w:hAnsiTheme="majorBidi" w:cstheme="majorBidi"/>
          <w:noProof/>
          <w:color w:val="000000" w:themeColor="text1"/>
          <w:szCs w:val="24"/>
        </w:rPr>
        <w:t>household</w:t>
      </w:r>
      <w:r w:rsidR="00442876" w:rsidRPr="004B36B2">
        <w:rPr>
          <w:rFonts w:asciiTheme="majorBidi" w:hAnsiTheme="majorBidi" w:cstheme="majorBidi"/>
          <w:noProof/>
          <w:color w:val="000000" w:themeColor="text1"/>
          <w:szCs w:val="24"/>
        </w:rPr>
        <w:t>s</w:t>
      </w:r>
      <w:r w:rsidR="0073402D" w:rsidRPr="004B36B2">
        <w:rPr>
          <w:rFonts w:asciiTheme="majorBidi" w:hAnsiTheme="majorBidi" w:cstheme="majorBidi"/>
          <w:color w:val="000000" w:themeColor="text1"/>
          <w:szCs w:val="24"/>
        </w:rPr>
        <w:t xml:space="preserve"> </w:t>
      </w:r>
      <w:r w:rsidR="0073402D" w:rsidRPr="004B36B2">
        <w:rPr>
          <w:rFonts w:asciiTheme="majorBidi" w:hAnsiTheme="majorBidi" w:cstheme="majorBidi"/>
          <w:noProof/>
          <w:color w:val="000000" w:themeColor="text1"/>
          <w:szCs w:val="24"/>
        </w:rPr>
        <w:t>ha</w:t>
      </w:r>
      <w:r w:rsidR="004A2A0F" w:rsidRPr="004B36B2">
        <w:rPr>
          <w:rFonts w:asciiTheme="majorBidi" w:hAnsiTheme="majorBidi" w:cstheme="majorBidi"/>
          <w:noProof/>
          <w:color w:val="000000" w:themeColor="text1"/>
          <w:szCs w:val="24"/>
        </w:rPr>
        <w:t>ve</w:t>
      </w:r>
      <w:r w:rsidR="0073402D" w:rsidRPr="004B36B2">
        <w:rPr>
          <w:rFonts w:asciiTheme="majorBidi" w:hAnsiTheme="majorBidi" w:cstheme="majorBidi"/>
          <w:color w:val="000000" w:themeColor="text1"/>
          <w:szCs w:val="24"/>
        </w:rPr>
        <w:t xml:space="preserve"> at least one migrant member </w:t>
      </w:r>
      <w:r w:rsidR="00442876" w:rsidRPr="004B36B2">
        <w:rPr>
          <w:rFonts w:asciiTheme="majorBidi" w:hAnsiTheme="majorBidi" w:cstheme="majorBidi"/>
          <w:color w:val="000000" w:themeColor="text1"/>
          <w:szCs w:val="24"/>
        </w:rPr>
        <w:t xml:space="preserve">working abroad, </w:t>
      </w:r>
      <w:r w:rsidR="0073402D" w:rsidRPr="004B36B2">
        <w:rPr>
          <w:rFonts w:asciiTheme="majorBidi" w:hAnsiTheme="majorBidi" w:cstheme="majorBidi"/>
          <w:color w:val="000000" w:themeColor="text1"/>
          <w:szCs w:val="24"/>
        </w:rPr>
        <w:t xml:space="preserve">mostly </w:t>
      </w:r>
      <w:r w:rsidR="00176096" w:rsidRPr="004B36B2">
        <w:rPr>
          <w:rFonts w:asciiTheme="majorBidi" w:hAnsiTheme="majorBidi" w:cstheme="majorBidi"/>
          <w:color w:val="000000" w:themeColor="text1"/>
          <w:szCs w:val="24"/>
        </w:rPr>
        <w:t xml:space="preserve">in </w:t>
      </w:r>
      <w:r w:rsidR="00442876" w:rsidRPr="004B36B2">
        <w:rPr>
          <w:rFonts w:asciiTheme="majorBidi" w:hAnsiTheme="majorBidi" w:cstheme="majorBidi"/>
          <w:color w:val="000000" w:themeColor="text1"/>
          <w:szCs w:val="24"/>
        </w:rPr>
        <w:t xml:space="preserve">the </w:t>
      </w:r>
      <w:r w:rsidR="0073402D" w:rsidRPr="004B36B2">
        <w:rPr>
          <w:rFonts w:asciiTheme="majorBidi" w:hAnsiTheme="majorBidi" w:cstheme="majorBidi"/>
          <w:color w:val="000000" w:themeColor="text1"/>
          <w:szCs w:val="24"/>
        </w:rPr>
        <w:t>15-59 age group (CBS, 2010)</w:t>
      </w:r>
      <w:r w:rsidR="00544311" w:rsidRPr="004B36B2">
        <w:rPr>
          <w:rFonts w:asciiTheme="majorBidi" w:hAnsiTheme="majorBidi" w:cstheme="majorBidi"/>
          <w:color w:val="000000" w:themeColor="text1"/>
          <w:szCs w:val="24"/>
        </w:rPr>
        <w:t>.</w:t>
      </w:r>
    </w:p>
    <w:p w14:paraId="544DF07A" w14:textId="77777777" w:rsidR="00F03BFB" w:rsidRPr="004B36B2" w:rsidRDefault="00F03BFB" w:rsidP="00283A3C">
      <w:pPr>
        <w:widowControl w:val="0"/>
        <w:autoSpaceDE w:val="0"/>
        <w:autoSpaceDN w:val="0"/>
        <w:adjustRightInd w:val="0"/>
        <w:spacing w:line="288" w:lineRule="auto"/>
        <w:ind w:firstLine="720"/>
        <w:jc w:val="both"/>
        <w:rPr>
          <w:rFonts w:asciiTheme="majorBidi" w:hAnsiTheme="majorBidi" w:cstheme="majorBidi"/>
          <w:color w:val="000000" w:themeColor="text1"/>
          <w:szCs w:val="24"/>
        </w:rPr>
      </w:pPr>
    </w:p>
    <w:p w14:paraId="3BF7D828" w14:textId="26C2FB76" w:rsidR="00E97172" w:rsidRDefault="00F44D54" w:rsidP="00283A3C">
      <w:pPr>
        <w:autoSpaceDE w:val="0"/>
        <w:autoSpaceDN w:val="0"/>
        <w:adjustRightInd w:val="0"/>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 rise in mi</w:t>
      </w:r>
      <w:r w:rsidR="005A01D3" w:rsidRPr="004B36B2">
        <w:rPr>
          <w:rFonts w:asciiTheme="majorBidi" w:hAnsiTheme="majorBidi" w:cstheme="majorBidi"/>
          <w:color w:val="000000" w:themeColor="text1"/>
          <w:szCs w:val="24"/>
        </w:rPr>
        <w:t>gration</w:t>
      </w:r>
      <w:r w:rsidRPr="004B36B2">
        <w:rPr>
          <w:rFonts w:asciiTheme="majorBidi" w:hAnsiTheme="majorBidi" w:cstheme="majorBidi"/>
          <w:color w:val="000000" w:themeColor="text1"/>
          <w:szCs w:val="24"/>
        </w:rPr>
        <w:t xml:space="preserve"> </w:t>
      </w:r>
      <w:r w:rsidR="005A01D3" w:rsidRPr="004B36B2">
        <w:rPr>
          <w:rFonts w:asciiTheme="majorBidi" w:hAnsiTheme="majorBidi" w:cstheme="majorBidi"/>
          <w:color w:val="000000" w:themeColor="text1"/>
          <w:szCs w:val="24"/>
        </w:rPr>
        <w:t xml:space="preserve">has led to </w:t>
      </w:r>
      <w:r w:rsidR="005C441D" w:rsidRPr="004B36B2">
        <w:rPr>
          <w:rFonts w:asciiTheme="majorBidi" w:hAnsiTheme="majorBidi" w:cstheme="majorBidi"/>
          <w:color w:val="000000" w:themeColor="text1"/>
          <w:szCs w:val="24"/>
        </w:rPr>
        <w:t xml:space="preserve">a </w:t>
      </w:r>
      <w:r w:rsidR="005A01D3" w:rsidRPr="004B36B2">
        <w:rPr>
          <w:rFonts w:asciiTheme="majorBidi" w:hAnsiTheme="majorBidi" w:cstheme="majorBidi"/>
          <w:noProof/>
          <w:color w:val="000000" w:themeColor="text1"/>
          <w:szCs w:val="24"/>
        </w:rPr>
        <w:t>massive</w:t>
      </w:r>
      <w:r w:rsidR="005A01D3" w:rsidRPr="004B36B2">
        <w:rPr>
          <w:rFonts w:asciiTheme="majorBidi" w:hAnsiTheme="majorBidi" w:cstheme="majorBidi"/>
          <w:color w:val="000000" w:themeColor="text1"/>
          <w:szCs w:val="24"/>
        </w:rPr>
        <w:t xml:space="preserve"> surge in remittance</w:t>
      </w:r>
      <w:r w:rsidR="00442876" w:rsidRPr="004B36B2">
        <w:rPr>
          <w:rFonts w:asciiTheme="majorBidi" w:hAnsiTheme="majorBidi" w:cstheme="majorBidi"/>
          <w:color w:val="000000" w:themeColor="text1"/>
          <w:szCs w:val="24"/>
        </w:rPr>
        <w:t xml:space="preserve">s, rising from </w:t>
      </w:r>
      <w:r w:rsidR="00251BDE" w:rsidRPr="004B36B2">
        <w:rPr>
          <w:rFonts w:asciiTheme="majorBidi" w:hAnsiTheme="majorBidi" w:cstheme="majorBidi"/>
          <w:color w:val="000000" w:themeColor="text1"/>
          <w:szCs w:val="24"/>
        </w:rPr>
        <w:t>US$0.9 billion in 2004/05 to US$6 billion in 2016/17</w:t>
      </w:r>
      <w:r w:rsidR="00442876" w:rsidRPr="004B36B2">
        <w:rPr>
          <w:rFonts w:asciiTheme="majorBidi" w:hAnsiTheme="majorBidi" w:cstheme="majorBidi"/>
          <w:color w:val="000000" w:themeColor="text1"/>
          <w:szCs w:val="24"/>
        </w:rPr>
        <w:t>. Nepal is now the</w:t>
      </w:r>
      <w:r w:rsidR="00711AC0" w:rsidRPr="004B36B2">
        <w:rPr>
          <w:rFonts w:asciiTheme="majorBidi" w:hAnsiTheme="majorBidi" w:cstheme="majorBidi"/>
          <w:color w:val="000000" w:themeColor="text1"/>
          <w:szCs w:val="24"/>
        </w:rPr>
        <w:t xml:space="preserve"> s</w:t>
      </w:r>
      <w:r w:rsidR="005C4618" w:rsidRPr="004B36B2">
        <w:rPr>
          <w:rFonts w:asciiTheme="majorBidi" w:hAnsiTheme="majorBidi" w:cstheme="majorBidi"/>
          <w:color w:val="000000" w:themeColor="text1"/>
          <w:szCs w:val="24"/>
        </w:rPr>
        <w:t>ixth-highest remittance</w:t>
      </w:r>
      <w:r w:rsidR="00242A01" w:rsidRPr="004B36B2">
        <w:rPr>
          <w:rFonts w:asciiTheme="majorBidi" w:hAnsiTheme="majorBidi" w:cstheme="majorBidi"/>
          <w:color w:val="000000" w:themeColor="text1"/>
          <w:szCs w:val="24"/>
        </w:rPr>
        <w:t>-</w:t>
      </w:r>
      <w:r w:rsidR="005C4618" w:rsidRPr="004B36B2">
        <w:rPr>
          <w:rFonts w:asciiTheme="majorBidi" w:hAnsiTheme="majorBidi" w:cstheme="majorBidi"/>
          <w:color w:val="000000" w:themeColor="text1"/>
          <w:szCs w:val="24"/>
        </w:rPr>
        <w:lastRenderedPageBreak/>
        <w:t>receiving</w:t>
      </w:r>
      <w:r w:rsidR="00711AC0" w:rsidRPr="004B36B2">
        <w:rPr>
          <w:rFonts w:asciiTheme="majorBidi" w:hAnsiTheme="majorBidi" w:cstheme="majorBidi"/>
          <w:color w:val="000000" w:themeColor="text1"/>
          <w:szCs w:val="24"/>
        </w:rPr>
        <w:t xml:space="preserve"> country</w:t>
      </w:r>
      <w:r w:rsidR="00442876" w:rsidRPr="004B36B2">
        <w:rPr>
          <w:rFonts w:asciiTheme="majorBidi" w:hAnsiTheme="majorBidi" w:cstheme="majorBidi"/>
          <w:color w:val="000000" w:themeColor="text1"/>
          <w:szCs w:val="24"/>
        </w:rPr>
        <w:t>,</w:t>
      </w:r>
      <w:r w:rsidR="00711AC0" w:rsidRPr="004B36B2">
        <w:rPr>
          <w:rFonts w:asciiTheme="majorBidi" w:hAnsiTheme="majorBidi" w:cstheme="majorBidi"/>
          <w:color w:val="000000" w:themeColor="text1"/>
          <w:szCs w:val="24"/>
        </w:rPr>
        <w:t xml:space="preserve"> in terms of </w:t>
      </w:r>
      <w:r w:rsidR="00442876" w:rsidRPr="004B36B2">
        <w:rPr>
          <w:rFonts w:asciiTheme="majorBidi" w:hAnsiTheme="majorBidi" w:cstheme="majorBidi"/>
          <w:color w:val="000000" w:themeColor="text1"/>
          <w:szCs w:val="24"/>
        </w:rPr>
        <w:t>remittances as a</w:t>
      </w:r>
      <w:r w:rsidR="005C4618" w:rsidRPr="004B36B2">
        <w:rPr>
          <w:rFonts w:asciiTheme="majorBidi" w:hAnsiTheme="majorBidi" w:cstheme="majorBidi"/>
          <w:color w:val="000000" w:themeColor="text1"/>
          <w:szCs w:val="24"/>
        </w:rPr>
        <w:t xml:space="preserve"> share in national </w:t>
      </w:r>
      <w:r w:rsidR="00711AC0" w:rsidRPr="004B36B2">
        <w:rPr>
          <w:rFonts w:asciiTheme="majorBidi" w:hAnsiTheme="majorBidi" w:cstheme="majorBidi"/>
          <w:color w:val="000000" w:themeColor="text1"/>
          <w:szCs w:val="24"/>
        </w:rPr>
        <w:t>GDP</w:t>
      </w:r>
      <w:r w:rsidR="005A01D3" w:rsidRPr="004B36B2">
        <w:rPr>
          <w:rFonts w:asciiTheme="majorBidi" w:hAnsiTheme="majorBidi" w:cstheme="majorBidi"/>
          <w:color w:val="000000" w:themeColor="text1"/>
          <w:szCs w:val="24"/>
        </w:rPr>
        <w:t xml:space="preserve">. </w:t>
      </w:r>
      <w:r w:rsidR="00442876" w:rsidRPr="004B36B2">
        <w:rPr>
          <w:rFonts w:asciiTheme="majorBidi" w:hAnsiTheme="majorBidi" w:cstheme="majorBidi"/>
          <w:color w:val="000000" w:themeColor="text1"/>
          <w:szCs w:val="24"/>
        </w:rPr>
        <w:t>This</w:t>
      </w:r>
      <w:r w:rsidR="00562DE6" w:rsidRPr="004B36B2">
        <w:rPr>
          <w:rFonts w:asciiTheme="majorBidi" w:hAnsiTheme="majorBidi" w:cstheme="majorBidi"/>
          <w:color w:val="000000" w:themeColor="text1"/>
          <w:szCs w:val="24"/>
        </w:rPr>
        <w:t xml:space="preserve"> share </w:t>
      </w:r>
      <w:r w:rsidR="00442876" w:rsidRPr="004B36B2">
        <w:rPr>
          <w:rFonts w:asciiTheme="majorBidi" w:hAnsiTheme="majorBidi" w:cstheme="majorBidi"/>
          <w:color w:val="000000" w:themeColor="text1"/>
          <w:szCs w:val="24"/>
        </w:rPr>
        <w:t xml:space="preserve">reached </w:t>
      </w:r>
      <w:r w:rsidR="00562DE6" w:rsidRPr="004B36B2">
        <w:rPr>
          <w:rFonts w:asciiTheme="majorBidi" w:hAnsiTheme="majorBidi" w:cstheme="majorBidi"/>
          <w:color w:val="000000" w:themeColor="text1"/>
          <w:szCs w:val="24"/>
        </w:rPr>
        <w:t>31.3% in 2016</w:t>
      </w:r>
      <w:r w:rsidR="00442876" w:rsidRPr="004B36B2">
        <w:rPr>
          <w:rFonts w:asciiTheme="majorBidi" w:hAnsiTheme="majorBidi" w:cstheme="majorBidi"/>
          <w:color w:val="000000" w:themeColor="text1"/>
          <w:szCs w:val="24"/>
        </w:rPr>
        <w:t>, up from 10.7</w:t>
      </w:r>
      <w:r w:rsidR="00562DE6" w:rsidRPr="004B36B2">
        <w:rPr>
          <w:rFonts w:asciiTheme="majorBidi" w:hAnsiTheme="majorBidi" w:cstheme="majorBidi"/>
          <w:color w:val="000000" w:themeColor="text1"/>
          <w:szCs w:val="24"/>
        </w:rPr>
        <w:t>% in 2001.</w:t>
      </w:r>
      <w:r w:rsidR="00442876" w:rsidRPr="004B36B2">
        <w:rPr>
          <w:rFonts w:asciiTheme="majorBidi" w:hAnsiTheme="majorBidi" w:cstheme="majorBidi"/>
          <w:color w:val="000000" w:themeColor="text1"/>
          <w:szCs w:val="24"/>
        </w:rPr>
        <w:t xml:space="preserve"> Yet</w:t>
      </w:r>
      <w:r w:rsidR="005C4618" w:rsidRPr="004B36B2">
        <w:rPr>
          <w:rFonts w:asciiTheme="majorBidi" w:hAnsiTheme="majorBidi" w:cstheme="majorBidi"/>
          <w:color w:val="000000" w:themeColor="text1"/>
          <w:szCs w:val="24"/>
        </w:rPr>
        <w:t xml:space="preserve"> </w:t>
      </w:r>
      <w:r w:rsidR="00920B0F" w:rsidRPr="004B36B2">
        <w:rPr>
          <w:rFonts w:asciiTheme="majorBidi" w:hAnsiTheme="majorBidi" w:cstheme="majorBidi"/>
          <w:color w:val="000000" w:themeColor="text1"/>
          <w:szCs w:val="24"/>
        </w:rPr>
        <w:t>actual remittance inflow</w:t>
      </w:r>
      <w:r w:rsidR="00442876" w:rsidRPr="004B36B2">
        <w:rPr>
          <w:rFonts w:asciiTheme="majorBidi" w:hAnsiTheme="majorBidi" w:cstheme="majorBidi"/>
          <w:color w:val="000000" w:themeColor="text1"/>
          <w:szCs w:val="24"/>
        </w:rPr>
        <w:t>s</w:t>
      </w:r>
      <w:r w:rsidR="00920B0F" w:rsidRPr="004B36B2">
        <w:rPr>
          <w:rFonts w:asciiTheme="majorBidi" w:hAnsiTheme="majorBidi" w:cstheme="majorBidi"/>
          <w:color w:val="000000" w:themeColor="text1"/>
          <w:szCs w:val="24"/>
        </w:rPr>
        <w:t xml:space="preserve"> </w:t>
      </w:r>
      <w:r w:rsidR="00442876" w:rsidRPr="004B36B2">
        <w:rPr>
          <w:rFonts w:asciiTheme="majorBidi" w:hAnsiTheme="majorBidi" w:cstheme="majorBidi"/>
          <w:color w:val="000000" w:themeColor="text1"/>
          <w:szCs w:val="24"/>
        </w:rPr>
        <w:t xml:space="preserve">are likely </w:t>
      </w:r>
      <w:r w:rsidR="00920B0F" w:rsidRPr="004B36B2">
        <w:rPr>
          <w:rFonts w:asciiTheme="majorBidi" w:hAnsiTheme="majorBidi" w:cstheme="majorBidi"/>
          <w:color w:val="000000" w:themeColor="text1"/>
          <w:szCs w:val="24"/>
        </w:rPr>
        <w:t xml:space="preserve">much higher </w:t>
      </w:r>
      <w:r w:rsidR="002C0FC2" w:rsidRPr="004B36B2">
        <w:rPr>
          <w:rFonts w:asciiTheme="majorBidi" w:hAnsiTheme="majorBidi" w:cstheme="majorBidi"/>
          <w:color w:val="000000" w:themeColor="text1"/>
          <w:szCs w:val="24"/>
        </w:rPr>
        <w:t xml:space="preserve">because the </w:t>
      </w:r>
      <w:r w:rsidR="009413B3" w:rsidRPr="004B36B2">
        <w:rPr>
          <w:rFonts w:asciiTheme="majorBidi" w:hAnsiTheme="majorBidi" w:cstheme="majorBidi"/>
          <w:color w:val="000000" w:themeColor="text1"/>
          <w:szCs w:val="24"/>
        </w:rPr>
        <w:t xml:space="preserve">informal channel </w:t>
      </w:r>
      <w:r w:rsidR="00442876" w:rsidRPr="004B36B2">
        <w:rPr>
          <w:rFonts w:asciiTheme="majorBidi" w:hAnsiTheme="majorBidi" w:cstheme="majorBidi"/>
          <w:color w:val="000000" w:themeColor="text1"/>
          <w:szCs w:val="24"/>
        </w:rPr>
        <w:t xml:space="preserve">remittances, </w:t>
      </w:r>
      <w:r w:rsidR="009413B3" w:rsidRPr="004B36B2">
        <w:rPr>
          <w:rFonts w:asciiTheme="majorBidi" w:hAnsiTheme="majorBidi" w:cstheme="majorBidi"/>
          <w:color w:val="000000" w:themeColor="text1"/>
          <w:szCs w:val="24"/>
        </w:rPr>
        <w:t>especially from India</w:t>
      </w:r>
      <w:r w:rsidR="00442876" w:rsidRPr="004B36B2">
        <w:rPr>
          <w:rFonts w:asciiTheme="majorBidi" w:hAnsiTheme="majorBidi" w:cstheme="majorBidi"/>
          <w:color w:val="000000" w:themeColor="text1"/>
          <w:szCs w:val="24"/>
        </w:rPr>
        <w:t>,</w:t>
      </w:r>
      <w:r w:rsidR="005C4618" w:rsidRPr="004B36B2">
        <w:rPr>
          <w:rFonts w:asciiTheme="majorBidi" w:hAnsiTheme="majorBidi" w:cstheme="majorBidi"/>
          <w:color w:val="000000" w:themeColor="text1"/>
          <w:szCs w:val="24"/>
        </w:rPr>
        <w:t xml:space="preserve"> </w:t>
      </w:r>
      <w:r w:rsidR="00442876" w:rsidRPr="004B36B2">
        <w:rPr>
          <w:rFonts w:asciiTheme="majorBidi" w:hAnsiTheme="majorBidi" w:cstheme="majorBidi"/>
          <w:color w:val="000000" w:themeColor="text1"/>
          <w:szCs w:val="24"/>
        </w:rPr>
        <w:t xml:space="preserve">are </w:t>
      </w:r>
      <w:r w:rsidR="005C4618" w:rsidRPr="004B36B2">
        <w:rPr>
          <w:rFonts w:asciiTheme="majorBidi" w:hAnsiTheme="majorBidi" w:cstheme="majorBidi"/>
          <w:color w:val="000000" w:themeColor="text1"/>
          <w:szCs w:val="24"/>
        </w:rPr>
        <w:t xml:space="preserve">difficult to </w:t>
      </w:r>
      <w:r w:rsidR="00442876" w:rsidRPr="004B36B2">
        <w:rPr>
          <w:rFonts w:asciiTheme="majorBidi" w:hAnsiTheme="majorBidi" w:cstheme="majorBidi"/>
          <w:color w:val="000000" w:themeColor="text1"/>
          <w:szCs w:val="24"/>
        </w:rPr>
        <w:t>track</w:t>
      </w:r>
      <w:r w:rsidR="009413B3" w:rsidRPr="004B36B2">
        <w:rPr>
          <w:rFonts w:asciiTheme="majorBidi" w:hAnsiTheme="majorBidi" w:cstheme="majorBidi"/>
          <w:color w:val="000000" w:themeColor="text1"/>
          <w:szCs w:val="24"/>
        </w:rPr>
        <w:t xml:space="preserve">. </w:t>
      </w:r>
      <w:r w:rsidR="00BE590E" w:rsidRPr="004B36B2">
        <w:rPr>
          <w:rFonts w:asciiTheme="majorBidi" w:hAnsiTheme="majorBidi" w:cstheme="majorBidi"/>
          <w:color w:val="000000" w:themeColor="text1"/>
          <w:szCs w:val="24"/>
        </w:rPr>
        <w:t>Accordi</w:t>
      </w:r>
      <w:r w:rsidR="000354BB" w:rsidRPr="004B36B2">
        <w:rPr>
          <w:rFonts w:asciiTheme="majorBidi" w:hAnsiTheme="majorBidi" w:cstheme="majorBidi"/>
          <w:color w:val="000000" w:themeColor="text1"/>
          <w:szCs w:val="24"/>
        </w:rPr>
        <w:t>n</w:t>
      </w:r>
      <w:r w:rsidR="00BE590E" w:rsidRPr="004B36B2">
        <w:rPr>
          <w:rFonts w:asciiTheme="majorBidi" w:hAnsiTheme="majorBidi" w:cstheme="majorBidi"/>
          <w:color w:val="000000" w:themeColor="text1"/>
          <w:szCs w:val="24"/>
        </w:rPr>
        <w:t>g</w:t>
      </w:r>
      <w:r w:rsidR="000354BB" w:rsidRPr="004B36B2">
        <w:rPr>
          <w:rFonts w:asciiTheme="majorBidi" w:hAnsiTheme="majorBidi" w:cstheme="majorBidi"/>
          <w:color w:val="000000" w:themeColor="text1"/>
          <w:szCs w:val="24"/>
        </w:rPr>
        <w:t xml:space="preserve"> to CBS </w:t>
      </w:r>
      <w:r w:rsidR="00597653" w:rsidRPr="004B36B2">
        <w:rPr>
          <w:rFonts w:asciiTheme="majorBidi" w:hAnsiTheme="majorBidi" w:cstheme="majorBidi"/>
          <w:color w:val="000000" w:themeColor="text1"/>
          <w:szCs w:val="24"/>
        </w:rPr>
        <w:t>(</w:t>
      </w:r>
      <w:r w:rsidR="000354BB" w:rsidRPr="004B36B2">
        <w:rPr>
          <w:rFonts w:asciiTheme="majorBidi" w:hAnsiTheme="majorBidi" w:cstheme="majorBidi"/>
          <w:color w:val="000000" w:themeColor="text1"/>
          <w:szCs w:val="24"/>
        </w:rPr>
        <w:t>2010</w:t>
      </w:r>
      <w:r w:rsidR="00597653" w:rsidRPr="004B36B2">
        <w:rPr>
          <w:rFonts w:asciiTheme="majorBidi" w:hAnsiTheme="majorBidi" w:cstheme="majorBidi"/>
          <w:color w:val="000000" w:themeColor="text1"/>
          <w:szCs w:val="24"/>
        </w:rPr>
        <w:t>)</w:t>
      </w:r>
      <w:r w:rsidR="000354BB" w:rsidRPr="004B36B2">
        <w:rPr>
          <w:rFonts w:asciiTheme="majorBidi" w:hAnsiTheme="majorBidi" w:cstheme="majorBidi"/>
          <w:color w:val="000000" w:themeColor="text1"/>
          <w:szCs w:val="24"/>
        </w:rPr>
        <w:t>, a</w:t>
      </w:r>
      <w:r w:rsidR="004714D6" w:rsidRPr="004B36B2">
        <w:rPr>
          <w:rFonts w:asciiTheme="majorBidi" w:hAnsiTheme="majorBidi" w:cstheme="majorBidi"/>
          <w:color w:val="000000" w:themeColor="text1"/>
          <w:szCs w:val="24"/>
        </w:rPr>
        <w:t xml:space="preserve">round 55% of </w:t>
      </w:r>
      <w:r w:rsidR="004714D6" w:rsidRPr="004B36B2">
        <w:rPr>
          <w:rFonts w:asciiTheme="majorBidi" w:hAnsiTheme="majorBidi" w:cstheme="majorBidi"/>
          <w:noProof/>
          <w:color w:val="000000" w:themeColor="text1"/>
          <w:szCs w:val="24"/>
        </w:rPr>
        <w:t>household</w:t>
      </w:r>
      <w:r w:rsidR="00442876" w:rsidRPr="004B36B2">
        <w:rPr>
          <w:rFonts w:asciiTheme="majorBidi" w:hAnsiTheme="majorBidi" w:cstheme="majorBidi"/>
          <w:noProof/>
          <w:color w:val="000000" w:themeColor="text1"/>
          <w:szCs w:val="24"/>
        </w:rPr>
        <w:t>s</w:t>
      </w:r>
      <w:r w:rsidR="00442876" w:rsidRPr="004B36B2">
        <w:rPr>
          <w:rFonts w:asciiTheme="majorBidi" w:hAnsiTheme="majorBidi" w:cstheme="majorBidi"/>
          <w:color w:val="000000" w:themeColor="text1"/>
          <w:szCs w:val="24"/>
        </w:rPr>
        <w:t xml:space="preserve"> receive</w:t>
      </w:r>
      <w:r w:rsidR="004714D6" w:rsidRPr="004B36B2">
        <w:rPr>
          <w:rFonts w:asciiTheme="majorBidi" w:hAnsiTheme="majorBidi" w:cstheme="majorBidi"/>
          <w:color w:val="000000" w:themeColor="text1"/>
          <w:szCs w:val="24"/>
        </w:rPr>
        <w:t xml:space="preserve"> remittance</w:t>
      </w:r>
      <w:r w:rsidR="00442876" w:rsidRPr="004B36B2">
        <w:rPr>
          <w:rFonts w:asciiTheme="majorBidi" w:hAnsiTheme="majorBidi" w:cstheme="majorBidi"/>
          <w:color w:val="000000" w:themeColor="text1"/>
          <w:szCs w:val="24"/>
        </w:rPr>
        <w:t>s</w:t>
      </w:r>
      <w:r w:rsidR="004714D6" w:rsidRPr="004B36B2">
        <w:rPr>
          <w:rFonts w:asciiTheme="majorBidi" w:hAnsiTheme="majorBidi" w:cstheme="majorBidi"/>
          <w:color w:val="000000" w:themeColor="text1"/>
          <w:szCs w:val="24"/>
        </w:rPr>
        <w:t xml:space="preserve"> each year and </w:t>
      </w:r>
      <w:r w:rsidR="000F32A0" w:rsidRPr="004B36B2">
        <w:rPr>
          <w:rFonts w:asciiTheme="majorBidi" w:hAnsiTheme="majorBidi" w:cstheme="majorBidi"/>
          <w:color w:val="000000" w:themeColor="text1"/>
          <w:szCs w:val="24"/>
        </w:rPr>
        <w:t xml:space="preserve">the </w:t>
      </w:r>
      <w:r w:rsidR="000F5E74" w:rsidRPr="004B36B2">
        <w:rPr>
          <w:rFonts w:asciiTheme="majorBidi" w:hAnsiTheme="majorBidi" w:cstheme="majorBidi"/>
          <w:noProof/>
          <w:color w:val="000000" w:themeColor="text1"/>
          <w:szCs w:val="24"/>
        </w:rPr>
        <w:t>average</w:t>
      </w:r>
      <w:r w:rsidR="000F5E74" w:rsidRPr="004B36B2">
        <w:rPr>
          <w:rFonts w:asciiTheme="majorBidi" w:hAnsiTheme="majorBidi" w:cstheme="majorBidi"/>
          <w:color w:val="000000" w:themeColor="text1"/>
          <w:szCs w:val="24"/>
        </w:rPr>
        <w:t xml:space="preserve"> </w:t>
      </w:r>
      <w:r w:rsidR="004714D6" w:rsidRPr="004B36B2">
        <w:rPr>
          <w:rFonts w:asciiTheme="majorBidi" w:hAnsiTheme="majorBidi" w:cstheme="majorBidi"/>
          <w:color w:val="000000" w:themeColor="text1"/>
          <w:szCs w:val="24"/>
        </w:rPr>
        <w:t xml:space="preserve">size of </w:t>
      </w:r>
      <w:r w:rsidR="00BE590E" w:rsidRPr="004B36B2">
        <w:rPr>
          <w:rFonts w:asciiTheme="majorBidi" w:hAnsiTheme="majorBidi" w:cstheme="majorBidi"/>
          <w:color w:val="000000" w:themeColor="text1"/>
          <w:szCs w:val="24"/>
        </w:rPr>
        <w:t>remittance</w:t>
      </w:r>
      <w:r w:rsidR="00442876" w:rsidRPr="004B36B2">
        <w:rPr>
          <w:rFonts w:asciiTheme="majorBidi" w:hAnsiTheme="majorBidi" w:cstheme="majorBidi"/>
          <w:color w:val="000000" w:themeColor="text1"/>
          <w:szCs w:val="24"/>
        </w:rPr>
        <w:t>s</w:t>
      </w:r>
      <w:r w:rsidR="00F85ECC" w:rsidRPr="004B36B2">
        <w:rPr>
          <w:rFonts w:asciiTheme="majorBidi" w:hAnsiTheme="majorBidi" w:cstheme="majorBidi"/>
          <w:color w:val="000000" w:themeColor="text1"/>
          <w:szCs w:val="24"/>
        </w:rPr>
        <w:t xml:space="preserve"> sent</w:t>
      </w:r>
      <w:r w:rsidR="000F5E74" w:rsidRPr="004B36B2">
        <w:rPr>
          <w:rFonts w:asciiTheme="majorBidi" w:hAnsiTheme="majorBidi" w:cstheme="majorBidi"/>
          <w:color w:val="000000" w:themeColor="text1"/>
          <w:szCs w:val="24"/>
        </w:rPr>
        <w:t xml:space="preserve"> </w:t>
      </w:r>
      <w:r w:rsidR="00442876" w:rsidRPr="004B36B2">
        <w:rPr>
          <w:rFonts w:asciiTheme="majorBidi" w:hAnsiTheme="majorBidi" w:cstheme="majorBidi"/>
          <w:color w:val="000000" w:themeColor="text1"/>
          <w:szCs w:val="24"/>
        </w:rPr>
        <w:t xml:space="preserve">per </w:t>
      </w:r>
      <w:r w:rsidR="000F5E74" w:rsidRPr="004B36B2">
        <w:rPr>
          <w:rFonts w:asciiTheme="majorBidi" w:hAnsiTheme="majorBidi" w:cstheme="majorBidi"/>
          <w:color w:val="000000" w:themeColor="text1"/>
          <w:szCs w:val="24"/>
        </w:rPr>
        <w:t>migra</w:t>
      </w:r>
      <w:r w:rsidR="004714D6" w:rsidRPr="004B36B2">
        <w:rPr>
          <w:rFonts w:asciiTheme="majorBidi" w:hAnsiTheme="majorBidi" w:cstheme="majorBidi"/>
          <w:color w:val="000000" w:themeColor="text1"/>
          <w:szCs w:val="24"/>
        </w:rPr>
        <w:t>n</w:t>
      </w:r>
      <w:r w:rsidR="000F5E74" w:rsidRPr="004B36B2">
        <w:rPr>
          <w:rFonts w:asciiTheme="majorBidi" w:hAnsiTheme="majorBidi" w:cstheme="majorBidi"/>
          <w:color w:val="000000" w:themeColor="text1"/>
          <w:szCs w:val="24"/>
        </w:rPr>
        <w:t>t</w:t>
      </w:r>
      <w:r w:rsidR="004714D6" w:rsidRPr="004B36B2">
        <w:rPr>
          <w:rFonts w:asciiTheme="majorBidi" w:hAnsiTheme="majorBidi" w:cstheme="majorBidi"/>
          <w:color w:val="000000" w:themeColor="text1"/>
          <w:szCs w:val="24"/>
        </w:rPr>
        <w:t xml:space="preserve"> </w:t>
      </w:r>
      <w:r w:rsidR="000F5E74" w:rsidRPr="004B36B2">
        <w:rPr>
          <w:rFonts w:asciiTheme="majorBidi" w:hAnsiTheme="majorBidi" w:cstheme="majorBidi"/>
          <w:color w:val="000000" w:themeColor="text1"/>
          <w:szCs w:val="24"/>
        </w:rPr>
        <w:t>is around US$</w:t>
      </w:r>
      <w:r w:rsidR="004714D6" w:rsidRPr="004B36B2">
        <w:rPr>
          <w:rFonts w:asciiTheme="majorBidi" w:hAnsiTheme="majorBidi" w:cstheme="majorBidi"/>
          <w:color w:val="000000" w:themeColor="text1"/>
          <w:szCs w:val="24"/>
        </w:rPr>
        <w:t>73</w:t>
      </w:r>
      <w:r w:rsidR="000F5E74" w:rsidRPr="004B36B2">
        <w:rPr>
          <w:rFonts w:asciiTheme="majorBidi" w:hAnsiTheme="majorBidi" w:cstheme="majorBidi"/>
          <w:color w:val="000000" w:themeColor="text1"/>
          <w:szCs w:val="24"/>
        </w:rPr>
        <w:t>0</w:t>
      </w:r>
      <w:r w:rsidR="002446DA" w:rsidRPr="004B36B2">
        <w:rPr>
          <w:rFonts w:asciiTheme="majorBidi" w:hAnsiTheme="majorBidi" w:cstheme="majorBidi"/>
          <w:color w:val="000000" w:themeColor="text1"/>
          <w:szCs w:val="24"/>
        </w:rPr>
        <w:t xml:space="preserve"> </w:t>
      </w:r>
      <w:r w:rsidR="000F32A0" w:rsidRPr="004B36B2">
        <w:rPr>
          <w:rFonts w:asciiTheme="majorBidi" w:hAnsiTheme="majorBidi" w:cstheme="majorBidi"/>
          <w:color w:val="000000" w:themeColor="text1"/>
          <w:szCs w:val="24"/>
        </w:rPr>
        <w:t xml:space="preserve">a </w:t>
      </w:r>
      <w:r w:rsidR="002446DA" w:rsidRPr="004B36B2">
        <w:rPr>
          <w:rFonts w:asciiTheme="majorBidi" w:hAnsiTheme="majorBidi" w:cstheme="majorBidi"/>
          <w:noProof/>
          <w:color w:val="000000" w:themeColor="text1"/>
          <w:szCs w:val="24"/>
        </w:rPr>
        <w:t>year</w:t>
      </w:r>
      <w:r w:rsidR="002446DA" w:rsidRPr="004B36B2">
        <w:rPr>
          <w:rFonts w:asciiTheme="majorBidi" w:hAnsiTheme="majorBidi" w:cstheme="majorBidi"/>
          <w:color w:val="000000" w:themeColor="text1"/>
          <w:szCs w:val="24"/>
        </w:rPr>
        <w:t xml:space="preserve">. </w:t>
      </w:r>
      <w:r w:rsidR="00BE590E" w:rsidRPr="004B36B2">
        <w:rPr>
          <w:rFonts w:asciiTheme="majorBidi" w:hAnsiTheme="majorBidi" w:cstheme="majorBidi"/>
          <w:color w:val="000000" w:themeColor="text1"/>
          <w:szCs w:val="24"/>
        </w:rPr>
        <w:t>Of that</w:t>
      </w:r>
      <w:r w:rsidR="006C0F95" w:rsidRPr="004B36B2">
        <w:rPr>
          <w:rFonts w:asciiTheme="majorBidi" w:hAnsiTheme="majorBidi" w:cstheme="majorBidi"/>
          <w:color w:val="000000" w:themeColor="text1"/>
          <w:szCs w:val="24"/>
        </w:rPr>
        <w:t>,</w:t>
      </w:r>
      <w:r w:rsidR="00BE590E" w:rsidRPr="004B36B2">
        <w:rPr>
          <w:rFonts w:asciiTheme="majorBidi" w:hAnsiTheme="majorBidi" w:cstheme="majorBidi"/>
          <w:color w:val="000000" w:themeColor="text1"/>
          <w:szCs w:val="24"/>
        </w:rPr>
        <w:t xml:space="preserve"> </w:t>
      </w:r>
      <w:r w:rsidR="000F32A0" w:rsidRPr="004B36B2">
        <w:rPr>
          <w:rFonts w:asciiTheme="majorBidi" w:hAnsiTheme="majorBidi" w:cstheme="majorBidi"/>
          <w:color w:val="000000" w:themeColor="text1"/>
          <w:szCs w:val="24"/>
        </w:rPr>
        <w:t xml:space="preserve">the </w:t>
      </w:r>
      <w:r w:rsidR="00442876" w:rsidRPr="004B36B2">
        <w:rPr>
          <w:rFonts w:asciiTheme="majorBidi" w:hAnsiTheme="majorBidi" w:cstheme="majorBidi"/>
          <w:color w:val="000000" w:themeColor="text1"/>
          <w:szCs w:val="24"/>
        </w:rPr>
        <w:t xml:space="preserve">average </w:t>
      </w:r>
      <w:r w:rsidR="002446DA" w:rsidRPr="004B36B2">
        <w:rPr>
          <w:rFonts w:asciiTheme="majorBidi" w:hAnsiTheme="majorBidi" w:cstheme="majorBidi"/>
          <w:noProof/>
          <w:color w:val="000000" w:themeColor="text1"/>
          <w:szCs w:val="24"/>
        </w:rPr>
        <w:t>h</w:t>
      </w:r>
      <w:r w:rsidR="009F6537" w:rsidRPr="004B36B2">
        <w:rPr>
          <w:rFonts w:asciiTheme="majorBidi" w:hAnsiTheme="majorBidi" w:cstheme="majorBidi"/>
          <w:noProof/>
          <w:color w:val="000000" w:themeColor="text1"/>
          <w:szCs w:val="24"/>
        </w:rPr>
        <w:t>ousehold</w:t>
      </w:r>
      <w:r w:rsidR="009F6537" w:rsidRPr="004B36B2">
        <w:rPr>
          <w:rFonts w:asciiTheme="majorBidi" w:hAnsiTheme="majorBidi" w:cstheme="majorBidi"/>
          <w:color w:val="000000" w:themeColor="text1"/>
          <w:szCs w:val="24"/>
        </w:rPr>
        <w:t xml:space="preserve"> spend</w:t>
      </w:r>
      <w:r w:rsidR="00BE590E" w:rsidRPr="004B36B2">
        <w:rPr>
          <w:rFonts w:asciiTheme="majorBidi" w:hAnsiTheme="majorBidi" w:cstheme="majorBidi"/>
          <w:color w:val="000000" w:themeColor="text1"/>
          <w:szCs w:val="24"/>
        </w:rPr>
        <w:t>s</w:t>
      </w:r>
      <w:r w:rsidR="002446DA" w:rsidRPr="004B36B2">
        <w:rPr>
          <w:rFonts w:asciiTheme="majorBidi" w:hAnsiTheme="majorBidi" w:cstheme="majorBidi"/>
          <w:color w:val="000000" w:themeColor="text1"/>
          <w:szCs w:val="24"/>
        </w:rPr>
        <w:t xml:space="preserve"> arou</w:t>
      </w:r>
      <w:r w:rsidR="006E5446" w:rsidRPr="004B36B2">
        <w:rPr>
          <w:rFonts w:asciiTheme="majorBidi" w:hAnsiTheme="majorBidi" w:cstheme="majorBidi"/>
          <w:color w:val="000000" w:themeColor="text1"/>
          <w:szCs w:val="24"/>
        </w:rPr>
        <w:t>nd 87</w:t>
      </w:r>
      <w:r w:rsidR="002446DA" w:rsidRPr="004B36B2">
        <w:rPr>
          <w:rFonts w:asciiTheme="majorBidi" w:hAnsiTheme="majorBidi" w:cstheme="majorBidi"/>
          <w:color w:val="000000" w:themeColor="text1"/>
          <w:szCs w:val="24"/>
        </w:rPr>
        <w:t>% on daily consumption and loan repayment, and</w:t>
      </w:r>
      <w:r w:rsidR="000F32A0" w:rsidRPr="004B36B2">
        <w:rPr>
          <w:rFonts w:asciiTheme="majorBidi" w:hAnsiTheme="majorBidi" w:cstheme="majorBidi"/>
          <w:color w:val="000000" w:themeColor="text1"/>
          <w:szCs w:val="24"/>
        </w:rPr>
        <w:t xml:space="preserve"> </w:t>
      </w:r>
      <w:r w:rsidR="00442876" w:rsidRPr="004B36B2">
        <w:rPr>
          <w:rFonts w:asciiTheme="majorBidi" w:hAnsiTheme="majorBidi" w:cstheme="majorBidi"/>
          <w:noProof/>
          <w:color w:val="000000" w:themeColor="text1"/>
          <w:szCs w:val="24"/>
        </w:rPr>
        <w:t xml:space="preserve">just six percent </w:t>
      </w:r>
      <w:r w:rsidR="004D47AB" w:rsidRPr="004B36B2">
        <w:rPr>
          <w:rFonts w:asciiTheme="majorBidi" w:hAnsiTheme="majorBidi" w:cstheme="majorBidi"/>
          <w:color w:val="000000" w:themeColor="text1"/>
          <w:szCs w:val="24"/>
        </w:rPr>
        <w:t>is</w:t>
      </w:r>
      <w:r w:rsidR="002446DA" w:rsidRPr="004B36B2">
        <w:rPr>
          <w:rFonts w:asciiTheme="majorBidi" w:hAnsiTheme="majorBidi" w:cstheme="majorBidi"/>
          <w:color w:val="000000" w:themeColor="text1"/>
          <w:szCs w:val="24"/>
        </w:rPr>
        <w:t xml:space="preserve"> </w:t>
      </w:r>
      <w:r w:rsidR="000354BB" w:rsidRPr="004B36B2">
        <w:rPr>
          <w:rFonts w:asciiTheme="majorBidi" w:hAnsiTheme="majorBidi" w:cstheme="majorBidi"/>
          <w:color w:val="000000" w:themeColor="text1"/>
          <w:szCs w:val="24"/>
        </w:rPr>
        <w:t xml:space="preserve">used for </w:t>
      </w:r>
      <w:r w:rsidR="002446DA" w:rsidRPr="004B36B2">
        <w:rPr>
          <w:rFonts w:asciiTheme="majorBidi" w:hAnsiTheme="majorBidi" w:cstheme="majorBidi"/>
          <w:color w:val="000000" w:themeColor="text1"/>
          <w:szCs w:val="24"/>
        </w:rPr>
        <w:t>education</w:t>
      </w:r>
      <w:r w:rsidR="006A6B09" w:rsidRPr="004B36B2">
        <w:rPr>
          <w:rFonts w:asciiTheme="majorBidi" w:hAnsiTheme="majorBidi" w:cstheme="majorBidi"/>
          <w:color w:val="000000" w:themeColor="text1"/>
          <w:szCs w:val="24"/>
        </w:rPr>
        <w:t xml:space="preserve"> and capital formation</w:t>
      </w:r>
      <w:r w:rsidR="002446DA" w:rsidRPr="004B36B2">
        <w:rPr>
          <w:rFonts w:asciiTheme="majorBidi" w:hAnsiTheme="majorBidi" w:cstheme="majorBidi"/>
          <w:color w:val="000000" w:themeColor="text1"/>
          <w:szCs w:val="24"/>
        </w:rPr>
        <w:t>.</w:t>
      </w:r>
      <w:r w:rsidR="009F6537" w:rsidRPr="004B36B2">
        <w:rPr>
          <w:rFonts w:asciiTheme="majorBidi" w:hAnsiTheme="majorBidi" w:cstheme="majorBidi"/>
          <w:color w:val="000000" w:themeColor="text1"/>
          <w:szCs w:val="24"/>
        </w:rPr>
        <w:t xml:space="preserve"> </w:t>
      </w:r>
    </w:p>
    <w:p w14:paraId="2135B0AA" w14:textId="77777777" w:rsidR="00E71E45" w:rsidRPr="004B36B2" w:rsidRDefault="00E71E45" w:rsidP="00283A3C">
      <w:pPr>
        <w:autoSpaceDE w:val="0"/>
        <w:autoSpaceDN w:val="0"/>
        <w:adjustRightInd w:val="0"/>
        <w:spacing w:line="288" w:lineRule="auto"/>
        <w:ind w:firstLine="720"/>
        <w:jc w:val="both"/>
        <w:rPr>
          <w:rFonts w:asciiTheme="majorBidi" w:hAnsiTheme="majorBidi" w:cstheme="majorBidi"/>
          <w:color w:val="000000" w:themeColor="text1"/>
          <w:szCs w:val="24"/>
        </w:rPr>
      </w:pPr>
    </w:p>
    <w:p w14:paraId="2E2C5A30" w14:textId="1B2F4D83" w:rsidR="00450C49" w:rsidRPr="004B36B2" w:rsidRDefault="00F03BFB" w:rsidP="00283A3C">
      <w:pPr>
        <w:keepNext/>
        <w:autoSpaceDE w:val="0"/>
        <w:autoSpaceDN w:val="0"/>
        <w:adjustRightInd w:val="0"/>
        <w:spacing w:line="288" w:lineRule="auto"/>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3. </w:t>
      </w:r>
      <w:r w:rsidR="005B6FD0" w:rsidRPr="004B36B2">
        <w:rPr>
          <w:rFonts w:asciiTheme="majorBidi" w:hAnsiTheme="majorBidi" w:cstheme="majorBidi"/>
          <w:b/>
          <w:color w:val="000000" w:themeColor="text1"/>
          <w:szCs w:val="24"/>
        </w:rPr>
        <w:t xml:space="preserve"> </w:t>
      </w:r>
      <w:r w:rsidR="00475D61" w:rsidRPr="004B36B2">
        <w:rPr>
          <w:rFonts w:asciiTheme="majorBidi" w:hAnsiTheme="majorBidi" w:cstheme="majorBidi"/>
          <w:b/>
          <w:color w:val="000000" w:themeColor="text1"/>
          <w:szCs w:val="24"/>
        </w:rPr>
        <w:t>Data</w:t>
      </w:r>
      <w:r w:rsidR="001D4301" w:rsidRPr="004B36B2">
        <w:rPr>
          <w:rFonts w:asciiTheme="majorBidi" w:hAnsiTheme="majorBidi" w:cstheme="majorBidi"/>
          <w:b/>
          <w:color w:val="000000" w:themeColor="text1"/>
          <w:szCs w:val="24"/>
        </w:rPr>
        <w:t xml:space="preserve"> and Method</w:t>
      </w:r>
      <w:r w:rsidR="008A1583" w:rsidRPr="004B36B2">
        <w:rPr>
          <w:rFonts w:asciiTheme="majorBidi" w:hAnsiTheme="majorBidi" w:cstheme="majorBidi"/>
          <w:b/>
          <w:color w:val="000000" w:themeColor="text1"/>
          <w:szCs w:val="24"/>
        </w:rPr>
        <w:t>s</w:t>
      </w:r>
    </w:p>
    <w:p w14:paraId="7DE0C05F" w14:textId="77777777" w:rsidR="00F03BFB" w:rsidRPr="00E71E45" w:rsidRDefault="00F03BFB" w:rsidP="00283A3C">
      <w:pPr>
        <w:autoSpaceDE w:val="0"/>
        <w:autoSpaceDN w:val="0"/>
        <w:adjustRightInd w:val="0"/>
        <w:spacing w:line="288" w:lineRule="auto"/>
        <w:jc w:val="both"/>
        <w:rPr>
          <w:rFonts w:asciiTheme="majorBidi" w:hAnsiTheme="majorBidi" w:cstheme="majorBidi"/>
          <w:color w:val="000000" w:themeColor="text1"/>
          <w:sz w:val="6"/>
          <w:szCs w:val="6"/>
        </w:rPr>
      </w:pPr>
    </w:p>
    <w:p w14:paraId="768CAD3D" w14:textId="324105B5" w:rsidR="008048F8" w:rsidRDefault="007C46EE" w:rsidP="00283A3C">
      <w:pPr>
        <w:autoSpaceDE w:val="0"/>
        <w:autoSpaceDN w:val="0"/>
        <w:adjustRightInd w:val="0"/>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We use </w:t>
      </w:r>
      <w:r w:rsidR="002C2D7B" w:rsidRPr="004B36B2">
        <w:rPr>
          <w:rFonts w:asciiTheme="majorBidi" w:hAnsiTheme="majorBidi" w:cstheme="majorBidi"/>
          <w:color w:val="000000" w:themeColor="text1"/>
          <w:szCs w:val="24"/>
        </w:rPr>
        <w:t xml:space="preserve">data </w:t>
      </w:r>
      <w:r w:rsidR="00A24173" w:rsidRPr="004B36B2">
        <w:rPr>
          <w:rFonts w:asciiTheme="majorBidi" w:hAnsiTheme="majorBidi" w:cstheme="majorBidi"/>
          <w:color w:val="000000" w:themeColor="text1"/>
          <w:szCs w:val="24"/>
        </w:rPr>
        <w:t xml:space="preserve">from </w:t>
      </w:r>
      <w:r w:rsidRPr="004B36B2">
        <w:rPr>
          <w:rFonts w:asciiTheme="majorBidi" w:hAnsiTheme="majorBidi" w:cstheme="majorBidi"/>
          <w:color w:val="000000" w:themeColor="text1"/>
          <w:szCs w:val="24"/>
        </w:rPr>
        <w:t xml:space="preserve">the 2008 </w:t>
      </w:r>
      <w:r w:rsidR="00C2503F" w:rsidRPr="004B36B2">
        <w:rPr>
          <w:rFonts w:asciiTheme="majorBidi" w:hAnsiTheme="majorBidi" w:cstheme="majorBidi"/>
          <w:color w:val="000000" w:themeColor="text1"/>
          <w:szCs w:val="24"/>
        </w:rPr>
        <w:t xml:space="preserve">Nepal Labour Force Survey (NLFS II) and </w:t>
      </w:r>
      <w:r w:rsidR="009477C5" w:rsidRPr="004B36B2">
        <w:rPr>
          <w:rFonts w:asciiTheme="majorBidi" w:hAnsiTheme="majorBidi" w:cstheme="majorBidi"/>
          <w:color w:val="000000" w:themeColor="text1"/>
          <w:szCs w:val="24"/>
        </w:rPr>
        <w:t>the 2010</w:t>
      </w:r>
      <w:r w:rsidRPr="004B36B2">
        <w:rPr>
          <w:rFonts w:asciiTheme="majorBidi" w:hAnsiTheme="majorBidi" w:cstheme="majorBidi"/>
          <w:color w:val="000000" w:themeColor="text1"/>
          <w:szCs w:val="24"/>
        </w:rPr>
        <w:t xml:space="preserve"> </w:t>
      </w:r>
      <w:r w:rsidR="00C2503F" w:rsidRPr="004B36B2">
        <w:rPr>
          <w:rFonts w:asciiTheme="majorBidi" w:hAnsiTheme="majorBidi" w:cstheme="majorBidi"/>
          <w:color w:val="000000" w:themeColor="text1"/>
          <w:szCs w:val="24"/>
        </w:rPr>
        <w:t xml:space="preserve">Nepal Living Standard Survey (NLSS III). </w:t>
      </w:r>
      <w:r w:rsidR="00B84C7F" w:rsidRPr="004B36B2">
        <w:rPr>
          <w:rFonts w:asciiTheme="majorBidi" w:hAnsiTheme="majorBidi" w:cstheme="majorBidi"/>
          <w:color w:val="000000" w:themeColor="text1"/>
          <w:szCs w:val="24"/>
        </w:rPr>
        <w:t xml:space="preserve">The </w:t>
      </w:r>
      <w:r w:rsidRPr="004B36B2">
        <w:rPr>
          <w:rFonts w:asciiTheme="majorBidi" w:hAnsiTheme="majorBidi" w:cstheme="majorBidi"/>
          <w:color w:val="000000" w:themeColor="text1"/>
          <w:szCs w:val="24"/>
        </w:rPr>
        <w:t xml:space="preserve">primary sampling units for </w:t>
      </w:r>
      <w:r w:rsidR="00B84C7F" w:rsidRPr="004B36B2">
        <w:rPr>
          <w:rFonts w:asciiTheme="majorBidi" w:hAnsiTheme="majorBidi" w:cstheme="majorBidi"/>
          <w:color w:val="000000" w:themeColor="text1"/>
          <w:szCs w:val="24"/>
        </w:rPr>
        <w:t xml:space="preserve">NLSS III </w:t>
      </w:r>
      <w:r w:rsidRPr="004B36B2">
        <w:rPr>
          <w:rFonts w:asciiTheme="majorBidi" w:hAnsiTheme="majorBidi" w:cstheme="majorBidi"/>
          <w:color w:val="000000" w:themeColor="text1"/>
          <w:szCs w:val="24"/>
        </w:rPr>
        <w:t xml:space="preserve">are a subset of those used for the </w:t>
      </w:r>
      <w:r w:rsidR="009C2BA5" w:rsidRPr="004B36B2">
        <w:rPr>
          <w:rFonts w:asciiTheme="majorBidi" w:hAnsiTheme="majorBidi" w:cstheme="majorBidi"/>
          <w:color w:val="000000" w:themeColor="text1"/>
          <w:szCs w:val="24"/>
        </w:rPr>
        <w:t>NLFS II</w:t>
      </w:r>
      <w:r w:rsidR="00590A6F"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where this design was </w:t>
      </w:r>
      <w:r w:rsidR="009C2BA5" w:rsidRPr="004B36B2">
        <w:rPr>
          <w:rFonts w:asciiTheme="majorBidi" w:hAnsiTheme="majorBidi" w:cstheme="majorBidi"/>
          <w:color w:val="000000" w:themeColor="text1"/>
          <w:szCs w:val="24"/>
        </w:rPr>
        <w:t xml:space="preserve">to take advantage of </w:t>
      </w:r>
      <w:r w:rsidRPr="004B36B2">
        <w:rPr>
          <w:rFonts w:asciiTheme="majorBidi" w:hAnsiTheme="majorBidi" w:cstheme="majorBidi"/>
          <w:color w:val="000000" w:themeColor="text1"/>
          <w:szCs w:val="24"/>
        </w:rPr>
        <w:t xml:space="preserve">the </w:t>
      </w:r>
      <w:r w:rsidR="009C2BA5" w:rsidRPr="004B36B2">
        <w:rPr>
          <w:rFonts w:asciiTheme="majorBidi" w:hAnsiTheme="majorBidi" w:cstheme="majorBidi"/>
          <w:color w:val="000000" w:themeColor="text1"/>
          <w:szCs w:val="24"/>
        </w:rPr>
        <w:t xml:space="preserve">cartographic segmentation and household listing </w:t>
      </w:r>
      <w:r w:rsidRPr="004B36B2">
        <w:rPr>
          <w:rFonts w:asciiTheme="majorBidi" w:hAnsiTheme="majorBidi" w:cstheme="majorBidi"/>
          <w:color w:val="000000" w:themeColor="text1"/>
          <w:szCs w:val="24"/>
        </w:rPr>
        <w:t xml:space="preserve">already carried out in 2008 </w:t>
      </w:r>
      <w:r w:rsidR="009C2BA5" w:rsidRPr="004B36B2">
        <w:rPr>
          <w:rFonts w:asciiTheme="majorBidi" w:hAnsiTheme="majorBidi" w:cstheme="majorBidi"/>
          <w:color w:val="000000" w:themeColor="text1"/>
          <w:szCs w:val="24"/>
        </w:rPr>
        <w:t>(CBS</w:t>
      </w:r>
      <w:r w:rsidR="008C1D1D" w:rsidRPr="004B36B2">
        <w:rPr>
          <w:rFonts w:asciiTheme="majorBidi" w:hAnsiTheme="majorBidi" w:cstheme="majorBidi"/>
          <w:color w:val="000000" w:themeColor="text1"/>
          <w:szCs w:val="24"/>
        </w:rPr>
        <w:t>,</w:t>
      </w:r>
      <w:r w:rsidR="009C2BA5" w:rsidRPr="004B36B2">
        <w:rPr>
          <w:rFonts w:asciiTheme="majorBidi" w:hAnsiTheme="majorBidi" w:cstheme="majorBidi"/>
          <w:color w:val="000000" w:themeColor="text1"/>
          <w:szCs w:val="24"/>
        </w:rPr>
        <w:t xml:space="preserve"> 2010)</w:t>
      </w:r>
      <w:r w:rsidRPr="004B36B2">
        <w:rPr>
          <w:rStyle w:val="FootnoteReference"/>
          <w:rFonts w:asciiTheme="majorBidi" w:hAnsiTheme="majorBidi" w:cstheme="majorBidi"/>
          <w:color w:val="000000" w:themeColor="text1"/>
          <w:szCs w:val="24"/>
        </w:rPr>
        <w:footnoteReference w:id="4"/>
      </w:r>
      <w:r w:rsidR="00431E95" w:rsidRPr="004B36B2">
        <w:rPr>
          <w:rFonts w:asciiTheme="majorBidi" w:hAnsiTheme="majorBidi" w:cstheme="majorBidi"/>
          <w:color w:val="000000" w:themeColor="text1"/>
          <w:szCs w:val="24"/>
        </w:rPr>
        <w:t>.</w:t>
      </w:r>
      <w:r w:rsidR="009C2BA5" w:rsidRPr="004B36B2">
        <w:rPr>
          <w:rFonts w:asciiTheme="majorBidi" w:hAnsiTheme="majorBidi" w:cstheme="majorBidi"/>
          <w:color w:val="000000" w:themeColor="text1"/>
          <w:szCs w:val="24"/>
        </w:rPr>
        <w:t xml:space="preserve"> </w:t>
      </w:r>
      <w:r w:rsidR="00CF714F" w:rsidRPr="004B36B2">
        <w:rPr>
          <w:rFonts w:asciiTheme="majorBidi" w:hAnsiTheme="majorBidi" w:cstheme="majorBidi"/>
          <w:color w:val="000000" w:themeColor="text1"/>
          <w:szCs w:val="24"/>
        </w:rPr>
        <w:t>O</w:t>
      </w:r>
      <w:r w:rsidR="002F4459" w:rsidRPr="004B36B2">
        <w:rPr>
          <w:rFonts w:asciiTheme="majorBidi" w:hAnsiTheme="majorBidi" w:cstheme="majorBidi"/>
          <w:color w:val="000000" w:themeColor="text1"/>
          <w:szCs w:val="24"/>
        </w:rPr>
        <w:t>ut of 799</w:t>
      </w:r>
      <w:r w:rsidR="00CF714F" w:rsidRPr="004B36B2">
        <w:rPr>
          <w:rFonts w:asciiTheme="majorBidi" w:hAnsiTheme="majorBidi" w:cstheme="majorBidi"/>
          <w:color w:val="000000" w:themeColor="text1"/>
          <w:szCs w:val="24"/>
        </w:rPr>
        <w:t xml:space="preserve"> PSU in NLFS II</w:t>
      </w:r>
      <w:r w:rsidRPr="004B36B2">
        <w:rPr>
          <w:rFonts w:asciiTheme="majorBidi" w:hAnsiTheme="majorBidi" w:cstheme="majorBidi"/>
          <w:color w:val="000000" w:themeColor="text1"/>
          <w:szCs w:val="24"/>
        </w:rPr>
        <w:t xml:space="preserve"> (399</w:t>
      </w:r>
      <w:r w:rsidR="00010E73" w:rsidRPr="004B36B2">
        <w:rPr>
          <w:rFonts w:asciiTheme="majorBidi" w:hAnsiTheme="majorBidi" w:cstheme="majorBidi"/>
          <w:color w:val="000000" w:themeColor="text1"/>
          <w:szCs w:val="24"/>
        </w:rPr>
        <w:t xml:space="preserve"> Urban and 400 Rural PSU)</w:t>
      </w:r>
      <w:r w:rsidR="00CF714F" w:rsidRPr="004B36B2">
        <w:rPr>
          <w:rFonts w:asciiTheme="majorBidi" w:hAnsiTheme="majorBidi" w:cstheme="majorBidi"/>
          <w:color w:val="000000" w:themeColor="text1"/>
          <w:szCs w:val="24"/>
        </w:rPr>
        <w:t xml:space="preserve">, </w:t>
      </w:r>
      <w:r w:rsidR="00010E73" w:rsidRPr="004B36B2">
        <w:rPr>
          <w:rFonts w:asciiTheme="majorBidi" w:hAnsiTheme="majorBidi" w:cstheme="majorBidi"/>
          <w:color w:val="000000" w:themeColor="text1"/>
          <w:szCs w:val="24"/>
        </w:rPr>
        <w:t xml:space="preserve">174 urban and 325 rural PSU </w:t>
      </w:r>
      <w:r w:rsidR="00430BEC" w:rsidRPr="004B36B2">
        <w:rPr>
          <w:rFonts w:asciiTheme="majorBidi" w:hAnsiTheme="majorBidi" w:cstheme="majorBidi"/>
          <w:color w:val="000000" w:themeColor="text1"/>
          <w:szCs w:val="24"/>
        </w:rPr>
        <w:t xml:space="preserve">were </w:t>
      </w:r>
      <w:r w:rsidR="000103E1" w:rsidRPr="004B36B2">
        <w:rPr>
          <w:rFonts w:asciiTheme="majorBidi" w:hAnsiTheme="majorBidi" w:cstheme="majorBidi"/>
          <w:color w:val="000000" w:themeColor="text1"/>
          <w:szCs w:val="24"/>
        </w:rPr>
        <w:t>randomly selected</w:t>
      </w:r>
      <w:r w:rsidR="00430BEC" w:rsidRPr="004B36B2">
        <w:rPr>
          <w:rFonts w:asciiTheme="majorBidi" w:hAnsiTheme="majorBidi" w:cstheme="majorBidi"/>
          <w:color w:val="000000" w:themeColor="text1"/>
          <w:szCs w:val="24"/>
        </w:rPr>
        <w:t xml:space="preserve"> </w:t>
      </w:r>
      <w:r w:rsidR="00010E73" w:rsidRPr="004B36B2">
        <w:rPr>
          <w:rFonts w:asciiTheme="majorBidi" w:hAnsiTheme="majorBidi" w:cstheme="majorBidi"/>
          <w:color w:val="000000" w:themeColor="text1"/>
          <w:szCs w:val="24"/>
        </w:rPr>
        <w:t xml:space="preserve">to </w:t>
      </w:r>
      <w:r w:rsidRPr="004B36B2">
        <w:rPr>
          <w:rFonts w:asciiTheme="majorBidi" w:hAnsiTheme="majorBidi" w:cstheme="majorBidi"/>
          <w:color w:val="000000" w:themeColor="text1"/>
          <w:szCs w:val="24"/>
        </w:rPr>
        <w:t xml:space="preserve">provide </w:t>
      </w:r>
      <w:r w:rsidR="00A05A1B" w:rsidRPr="004B36B2">
        <w:rPr>
          <w:rFonts w:asciiTheme="majorBidi" w:hAnsiTheme="majorBidi" w:cstheme="majorBidi"/>
          <w:color w:val="000000" w:themeColor="text1"/>
          <w:szCs w:val="24"/>
        </w:rPr>
        <w:t>a</w:t>
      </w:r>
      <w:r w:rsidRPr="004B36B2">
        <w:rPr>
          <w:rFonts w:asciiTheme="majorBidi" w:hAnsiTheme="majorBidi" w:cstheme="majorBidi"/>
          <w:color w:val="000000" w:themeColor="text1"/>
          <w:szCs w:val="24"/>
        </w:rPr>
        <w:t xml:space="preserve"> sample of </w:t>
      </w:r>
      <w:r w:rsidR="00010E73" w:rsidRPr="004B36B2">
        <w:rPr>
          <w:rFonts w:asciiTheme="majorBidi" w:hAnsiTheme="majorBidi" w:cstheme="majorBidi"/>
          <w:color w:val="000000" w:themeColor="text1"/>
          <w:szCs w:val="24"/>
        </w:rPr>
        <w:t xml:space="preserve">499 PSU </w:t>
      </w:r>
      <w:r w:rsidRPr="004B36B2">
        <w:rPr>
          <w:rFonts w:asciiTheme="majorBidi" w:hAnsiTheme="majorBidi" w:cstheme="majorBidi"/>
          <w:color w:val="000000" w:themeColor="text1"/>
          <w:szCs w:val="24"/>
        </w:rPr>
        <w:t xml:space="preserve">used </w:t>
      </w:r>
      <w:r w:rsidR="00430BEC" w:rsidRPr="004B36B2">
        <w:rPr>
          <w:rFonts w:asciiTheme="majorBidi" w:hAnsiTheme="majorBidi" w:cstheme="majorBidi"/>
          <w:color w:val="000000" w:themeColor="text1"/>
          <w:szCs w:val="24"/>
        </w:rPr>
        <w:t xml:space="preserve">for </w:t>
      </w:r>
      <w:r w:rsidR="00CF714F" w:rsidRPr="004B36B2">
        <w:rPr>
          <w:rFonts w:asciiTheme="majorBidi" w:hAnsiTheme="majorBidi" w:cstheme="majorBidi"/>
          <w:color w:val="000000" w:themeColor="text1"/>
          <w:szCs w:val="24"/>
        </w:rPr>
        <w:t>NLSS</w:t>
      </w:r>
      <w:r w:rsidR="00430BEC" w:rsidRPr="004B36B2">
        <w:rPr>
          <w:rFonts w:asciiTheme="majorBidi" w:hAnsiTheme="majorBidi" w:cstheme="majorBidi"/>
          <w:color w:val="000000" w:themeColor="text1"/>
          <w:szCs w:val="24"/>
        </w:rPr>
        <w:t xml:space="preserve"> </w:t>
      </w:r>
      <w:r w:rsidR="00CF714F" w:rsidRPr="004B36B2">
        <w:rPr>
          <w:rFonts w:asciiTheme="majorBidi" w:hAnsiTheme="majorBidi" w:cstheme="majorBidi"/>
          <w:color w:val="000000" w:themeColor="text1"/>
          <w:szCs w:val="24"/>
        </w:rPr>
        <w:t>I</w:t>
      </w:r>
      <w:r w:rsidR="00430BEC" w:rsidRPr="004B36B2">
        <w:rPr>
          <w:rFonts w:asciiTheme="majorBidi" w:hAnsiTheme="majorBidi" w:cstheme="majorBidi"/>
          <w:color w:val="000000" w:themeColor="text1"/>
          <w:szCs w:val="24"/>
        </w:rPr>
        <w:t>I</w:t>
      </w:r>
      <w:r w:rsidR="00CF714F" w:rsidRPr="004B36B2">
        <w:rPr>
          <w:rFonts w:asciiTheme="majorBidi" w:hAnsiTheme="majorBidi" w:cstheme="majorBidi"/>
          <w:color w:val="000000" w:themeColor="text1"/>
          <w:szCs w:val="24"/>
        </w:rPr>
        <w:t>I</w:t>
      </w:r>
      <w:r w:rsidR="00430BEC"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Thus, we can average over the surveyed households in each PSU to construct a two-wave village-level panel to study impacts of migration and remittances, allowing for inter-household spillovers within villages.</w:t>
      </w:r>
    </w:p>
    <w:p w14:paraId="0384C640" w14:textId="77777777" w:rsidR="00F03BFB" w:rsidRPr="004B36B2" w:rsidRDefault="00F03BFB" w:rsidP="00283A3C">
      <w:pPr>
        <w:autoSpaceDE w:val="0"/>
        <w:autoSpaceDN w:val="0"/>
        <w:adjustRightInd w:val="0"/>
        <w:spacing w:line="288" w:lineRule="auto"/>
        <w:jc w:val="both"/>
        <w:rPr>
          <w:rFonts w:asciiTheme="majorBidi" w:hAnsiTheme="majorBidi" w:cstheme="majorBidi"/>
          <w:color w:val="000000" w:themeColor="text1"/>
          <w:szCs w:val="24"/>
        </w:rPr>
      </w:pPr>
    </w:p>
    <w:p w14:paraId="0DDEFA25" w14:textId="038326CF" w:rsidR="00437147" w:rsidRDefault="00A70E38"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Both survey</w:t>
      </w:r>
      <w:r w:rsidR="0055087B" w:rsidRPr="004B36B2">
        <w:rPr>
          <w:rFonts w:asciiTheme="majorBidi" w:hAnsiTheme="majorBidi" w:cstheme="majorBidi"/>
          <w:color w:val="000000" w:themeColor="text1"/>
          <w:szCs w:val="24"/>
        </w:rPr>
        <w:t>s</w:t>
      </w:r>
      <w:r w:rsidR="00C8316D" w:rsidRPr="004B36B2">
        <w:rPr>
          <w:rFonts w:asciiTheme="majorBidi" w:hAnsiTheme="majorBidi" w:cstheme="majorBidi"/>
          <w:color w:val="000000" w:themeColor="text1"/>
          <w:szCs w:val="24"/>
        </w:rPr>
        <w:t xml:space="preserve"> </w:t>
      </w:r>
      <w:r w:rsidR="00B410F1" w:rsidRPr="004B36B2">
        <w:rPr>
          <w:rFonts w:asciiTheme="majorBidi" w:hAnsiTheme="majorBidi" w:cstheme="majorBidi"/>
          <w:color w:val="000000" w:themeColor="text1"/>
          <w:szCs w:val="24"/>
        </w:rPr>
        <w:t>have</w:t>
      </w:r>
      <w:r w:rsidR="00C8316D" w:rsidRPr="004B36B2">
        <w:rPr>
          <w:rFonts w:asciiTheme="majorBidi" w:hAnsiTheme="majorBidi" w:cstheme="majorBidi"/>
          <w:color w:val="000000" w:themeColor="text1"/>
          <w:szCs w:val="24"/>
        </w:rPr>
        <w:t xml:space="preserve"> information on household</w:t>
      </w:r>
      <w:r w:rsidR="00B410F1"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members working abroad, </w:t>
      </w:r>
      <w:r w:rsidR="0055087B" w:rsidRPr="004B36B2">
        <w:rPr>
          <w:rFonts w:asciiTheme="majorBidi" w:hAnsiTheme="majorBidi" w:cstheme="majorBidi"/>
          <w:color w:val="000000" w:themeColor="text1"/>
          <w:szCs w:val="24"/>
        </w:rPr>
        <w:t xml:space="preserve">and </w:t>
      </w:r>
      <w:r w:rsidR="00122B5C" w:rsidRPr="004B36B2">
        <w:rPr>
          <w:rFonts w:asciiTheme="majorBidi" w:hAnsiTheme="majorBidi" w:cstheme="majorBidi"/>
          <w:color w:val="000000" w:themeColor="text1"/>
          <w:szCs w:val="24"/>
        </w:rPr>
        <w:t xml:space="preserve">age, gender, </w:t>
      </w:r>
      <w:r w:rsidR="00E76C76" w:rsidRPr="004B36B2">
        <w:rPr>
          <w:rFonts w:asciiTheme="majorBidi" w:hAnsiTheme="majorBidi" w:cstheme="majorBidi"/>
          <w:color w:val="000000" w:themeColor="text1"/>
          <w:szCs w:val="24"/>
        </w:rPr>
        <w:t xml:space="preserve">ethnicity, </w:t>
      </w:r>
      <w:r w:rsidR="000949D9" w:rsidRPr="004B36B2">
        <w:rPr>
          <w:rFonts w:asciiTheme="majorBidi" w:hAnsiTheme="majorBidi" w:cstheme="majorBidi"/>
          <w:color w:val="000000" w:themeColor="text1"/>
          <w:szCs w:val="24"/>
        </w:rPr>
        <w:t xml:space="preserve">literacy, </w:t>
      </w:r>
      <w:r w:rsidR="00122B5C" w:rsidRPr="004B36B2">
        <w:rPr>
          <w:rFonts w:asciiTheme="majorBidi" w:hAnsiTheme="majorBidi" w:cstheme="majorBidi"/>
          <w:color w:val="000000" w:themeColor="text1"/>
          <w:szCs w:val="24"/>
        </w:rPr>
        <w:t xml:space="preserve">education </w:t>
      </w:r>
      <w:r w:rsidR="000949D9" w:rsidRPr="004B36B2">
        <w:rPr>
          <w:rFonts w:asciiTheme="majorBidi" w:hAnsiTheme="majorBidi" w:cstheme="majorBidi"/>
          <w:color w:val="000000" w:themeColor="text1"/>
          <w:szCs w:val="24"/>
        </w:rPr>
        <w:t xml:space="preserve">and employment status </w:t>
      </w:r>
      <w:r w:rsidR="00122B5C" w:rsidRPr="004B36B2">
        <w:rPr>
          <w:rFonts w:asciiTheme="majorBidi" w:hAnsiTheme="majorBidi" w:cstheme="majorBidi"/>
          <w:color w:val="000000" w:themeColor="text1"/>
          <w:szCs w:val="24"/>
        </w:rPr>
        <w:t xml:space="preserve">of </w:t>
      </w:r>
      <w:r w:rsidR="00122B5C" w:rsidRPr="004B36B2">
        <w:rPr>
          <w:rFonts w:asciiTheme="majorBidi" w:hAnsiTheme="majorBidi" w:cstheme="majorBidi"/>
          <w:noProof/>
          <w:color w:val="000000" w:themeColor="text1"/>
          <w:szCs w:val="24"/>
        </w:rPr>
        <w:t>household</w:t>
      </w:r>
      <w:r w:rsidR="00122B5C" w:rsidRPr="004B36B2">
        <w:rPr>
          <w:rFonts w:asciiTheme="majorBidi" w:hAnsiTheme="majorBidi" w:cstheme="majorBidi"/>
          <w:color w:val="000000" w:themeColor="text1"/>
          <w:szCs w:val="24"/>
        </w:rPr>
        <w:t xml:space="preserve"> member</w:t>
      </w:r>
      <w:r w:rsidR="0055087B" w:rsidRPr="004B36B2">
        <w:rPr>
          <w:rFonts w:asciiTheme="majorBidi" w:hAnsiTheme="majorBidi" w:cstheme="majorBidi"/>
          <w:color w:val="000000" w:themeColor="text1"/>
          <w:szCs w:val="24"/>
        </w:rPr>
        <w:t>s</w:t>
      </w:r>
      <w:r w:rsidR="00122B5C" w:rsidRPr="004B36B2">
        <w:rPr>
          <w:rFonts w:asciiTheme="majorBidi" w:hAnsiTheme="majorBidi" w:cstheme="majorBidi"/>
          <w:color w:val="000000" w:themeColor="text1"/>
          <w:szCs w:val="24"/>
        </w:rPr>
        <w:t xml:space="preserve">, </w:t>
      </w:r>
      <w:r w:rsidR="002F1DCD" w:rsidRPr="004B36B2">
        <w:rPr>
          <w:rFonts w:asciiTheme="majorBidi" w:hAnsiTheme="majorBidi" w:cstheme="majorBidi"/>
          <w:color w:val="000000" w:themeColor="text1"/>
          <w:szCs w:val="24"/>
        </w:rPr>
        <w:t>remittance income and household land ow</w:t>
      </w:r>
      <w:r w:rsidR="000949D9" w:rsidRPr="004B36B2">
        <w:rPr>
          <w:rFonts w:asciiTheme="majorBidi" w:hAnsiTheme="majorBidi" w:cstheme="majorBidi"/>
          <w:color w:val="000000" w:themeColor="text1"/>
          <w:szCs w:val="24"/>
        </w:rPr>
        <w:t>nership</w:t>
      </w:r>
      <w:r w:rsidR="002F1DCD" w:rsidRPr="004B36B2">
        <w:rPr>
          <w:rFonts w:asciiTheme="majorBidi" w:hAnsiTheme="majorBidi" w:cstheme="majorBidi"/>
          <w:color w:val="000000" w:themeColor="text1"/>
          <w:szCs w:val="24"/>
        </w:rPr>
        <w:t xml:space="preserve">. </w:t>
      </w:r>
      <w:r w:rsidR="00941046" w:rsidRPr="004B36B2">
        <w:rPr>
          <w:rFonts w:asciiTheme="majorBidi" w:hAnsiTheme="majorBidi" w:cstheme="majorBidi"/>
          <w:color w:val="000000" w:themeColor="text1"/>
          <w:szCs w:val="24"/>
        </w:rPr>
        <w:t xml:space="preserve">We develop </w:t>
      </w:r>
      <w:r w:rsidR="004B15E1" w:rsidRPr="004B36B2">
        <w:rPr>
          <w:rFonts w:asciiTheme="majorBidi" w:hAnsiTheme="majorBidi" w:cstheme="majorBidi"/>
          <w:color w:val="000000" w:themeColor="text1"/>
          <w:szCs w:val="24"/>
        </w:rPr>
        <w:t xml:space="preserve">basic and secondary level </w:t>
      </w:r>
      <w:r w:rsidR="006E000A" w:rsidRPr="004B36B2">
        <w:rPr>
          <w:rFonts w:asciiTheme="majorBidi" w:hAnsiTheme="majorBidi" w:cstheme="majorBidi"/>
          <w:color w:val="000000" w:themeColor="text1"/>
          <w:szCs w:val="24"/>
        </w:rPr>
        <w:t xml:space="preserve">net </w:t>
      </w:r>
      <w:r w:rsidR="00941046" w:rsidRPr="004B36B2">
        <w:rPr>
          <w:rFonts w:asciiTheme="majorBidi" w:hAnsiTheme="majorBidi" w:cstheme="majorBidi"/>
          <w:color w:val="000000" w:themeColor="text1"/>
          <w:szCs w:val="24"/>
        </w:rPr>
        <w:t>enrolment rate</w:t>
      </w:r>
      <w:r w:rsidR="00121258" w:rsidRPr="004B36B2">
        <w:rPr>
          <w:rFonts w:asciiTheme="majorBidi" w:hAnsiTheme="majorBidi" w:cstheme="majorBidi"/>
          <w:color w:val="000000" w:themeColor="text1"/>
          <w:szCs w:val="24"/>
        </w:rPr>
        <w:t>s</w:t>
      </w:r>
      <w:r w:rsidR="00941046" w:rsidRPr="004B36B2">
        <w:rPr>
          <w:rFonts w:asciiTheme="majorBidi" w:hAnsiTheme="majorBidi" w:cstheme="majorBidi"/>
          <w:color w:val="000000" w:themeColor="text1"/>
          <w:szCs w:val="24"/>
        </w:rPr>
        <w:t xml:space="preserve"> </w:t>
      </w:r>
      <w:r w:rsidR="00F35660" w:rsidRPr="004B36B2">
        <w:rPr>
          <w:rFonts w:asciiTheme="majorBidi" w:hAnsiTheme="majorBidi" w:cstheme="majorBidi"/>
          <w:color w:val="000000" w:themeColor="text1"/>
          <w:szCs w:val="24"/>
        </w:rPr>
        <w:t>and four indic</w:t>
      </w:r>
      <w:r w:rsidR="00121258" w:rsidRPr="004B36B2">
        <w:rPr>
          <w:rFonts w:asciiTheme="majorBidi" w:hAnsiTheme="majorBidi" w:cstheme="majorBidi"/>
          <w:color w:val="000000" w:themeColor="text1"/>
          <w:szCs w:val="24"/>
        </w:rPr>
        <w:t>a</w:t>
      </w:r>
      <w:r w:rsidR="00F35660" w:rsidRPr="004B36B2">
        <w:rPr>
          <w:rFonts w:asciiTheme="majorBidi" w:hAnsiTheme="majorBidi" w:cstheme="majorBidi"/>
          <w:color w:val="000000" w:themeColor="text1"/>
          <w:szCs w:val="24"/>
        </w:rPr>
        <w:t>tor</w:t>
      </w:r>
      <w:r w:rsidR="00121258" w:rsidRPr="004B36B2">
        <w:rPr>
          <w:rFonts w:asciiTheme="majorBidi" w:hAnsiTheme="majorBidi" w:cstheme="majorBidi"/>
          <w:color w:val="000000" w:themeColor="text1"/>
          <w:szCs w:val="24"/>
        </w:rPr>
        <w:t>s</w:t>
      </w:r>
      <w:r w:rsidR="00F35660" w:rsidRPr="004B36B2">
        <w:rPr>
          <w:rFonts w:asciiTheme="majorBidi" w:hAnsiTheme="majorBidi" w:cstheme="majorBidi"/>
          <w:color w:val="000000" w:themeColor="text1"/>
          <w:szCs w:val="24"/>
        </w:rPr>
        <w:t xml:space="preserve"> for child labour force participation </w:t>
      </w:r>
      <w:r w:rsidR="00941046" w:rsidRPr="004B36B2">
        <w:rPr>
          <w:rFonts w:asciiTheme="majorBidi" w:hAnsiTheme="majorBidi" w:cstheme="majorBidi"/>
          <w:color w:val="000000" w:themeColor="text1"/>
          <w:szCs w:val="24"/>
        </w:rPr>
        <w:t>for school</w:t>
      </w:r>
      <w:r w:rsidR="00121258" w:rsidRPr="004B36B2">
        <w:rPr>
          <w:rFonts w:asciiTheme="majorBidi" w:hAnsiTheme="majorBidi" w:cstheme="majorBidi"/>
          <w:color w:val="000000" w:themeColor="text1"/>
          <w:szCs w:val="24"/>
        </w:rPr>
        <w:t>-</w:t>
      </w:r>
      <w:r w:rsidR="003911B8" w:rsidRPr="004B36B2">
        <w:rPr>
          <w:rFonts w:asciiTheme="majorBidi" w:hAnsiTheme="majorBidi" w:cstheme="majorBidi"/>
          <w:color w:val="000000" w:themeColor="text1"/>
          <w:szCs w:val="24"/>
        </w:rPr>
        <w:t xml:space="preserve">aged </w:t>
      </w:r>
      <w:r w:rsidR="00941046" w:rsidRPr="004B36B2">
        <w:rPr>
          <w:rFonts w:asciiTheme="majorBidi" w:hAnsiTheme="majorBidi" w:cstheme="majorBidi"/>
          <w:color w:val="000000" w:themeColor="text1"/>
          <w:szCs w:val="24"/>
        </w:rPr>
        <w:t xml:space="preserve">(5-16) children. </w:t>
      </w:r>
      <w:r w:rsidR="003911B8" w:rsidRPr="004B36B2">
        <w:rPr>
          <w:rFonts w:asciiTheme="majorBidi" w:hAnsiTheme="majorBidi" w:cstheme="majorBidi"/>
          <w:color w:val="000000" w:themeColor="text1"/>
          <w:szCs w:val="24"/>
        </w:rPr>
        <w:t>O</w:t>
      </w:r>
      <w:r w:rsidR="00941046" w:rsidRPr="004B36B2">
        <w:rPr>
          <w:rFonts w:asciiTheme="majorBidi" w:hAnsiTheme="majorBidi" w:cstheme="majorBidi"/>
          <w:color w:val="000000" w:themeColor="text1"/>
          <w:szCs w:val="24"/>
        </w:rPr>
        <w:t xml:space="preserve">ur unit of observation is a village, </w:t>
      </w:r>
      <w:r w:rsidR="003911B8" w:rsidRPr="004B36B2">
        <w:rPr>
          <w:rFonts w:asciiTheme="majorBidi" w:hAnsiTheme="majorBidi" w:cstheme="majorBidi"/>
          <w:color w:val="000000" w:themeColor="text1"/>
          <w:szCs w:val="24"/>
        </w:rPr>
        <w:t xml:space="preserve">and </w:t>
      </w:r>
      <w:r w:rsidR="00941046" w:rsidRPr="004B36B2">
        <w:rPr>
          <w:rFonts w:asciiTheme="majorBidi" w:hAnsiTheme="majorBidi" w:cstheme="majorBidi"/>
          <w:color w:val="000000" w:themeColor="text1"/>
          <w:szCs w:val="24"/>
        </w:rPr>
        <w:t xml:space="preserve">we measure migration as </w:t>
      </w:r>
      <w:r w:rsidR="0055087B" w:rsidRPr="004B36B2">
        <w:rPr>
          <w:rFonts w:asciiTheme="majorBidi" w:hAnsiTheme="majorBidi" w:cstheme="majorBidi"/>
          <w:color w:val="000000" w:themeColor="text1"/>
          <w:szCs w:val="24"/>
        </w:rPr>
        <w:t xml:space="preserve">a </w:t>
      </w:r>
      <w:r w:rsidR="00941046" w:rsidRPr="004B36B2">
        <w:rPr>
          <w:rFonts w:asciiTheme="majorBidi" w:hAnsiTheme="majorBidi" w:cstheme="majorBidi"/>
          <w:noProof/>
          <w:color w:val="000000" w:themeColor="text1"/>
          <w:szCs w:val="24"/>
        </w:rPr>
        <w:t>rate</w:t>
      </w:r>
      <w:r w:rsidR="00DB0036">
        <w:rPr>
          <w:rFonts w:asciiTheme="majorBidi" w:hAnsiTheme="majorBidi" w:cstheme="majorBidi"/>
          <w:noProof/>
          <w:color w:val="000000" w:themeColor="text1"/>
          <w:szCs w:val="24"/>
        </w:rPr>
        <w:t>,</w:t>
      </w:r>
      <w:r w:rsidR="0055087B" w:rsidRPr="004B36B2">
        <w:rPr>
          <w:rFonts w:asciiTheme="majorBidi" w:hAnsiTheme="majorBidi" w:cstheme="majorBidi"/>
          <w:noProof/>
          <w:color w:val="000000" w:themeColor="text1"/>
          <w:szCs w:val="24"/>
        </w:rPr>
        <w:t xml:space="preserve"> in terms of </w:t>
      </w:r>
      <w:r w:rsidR="00941046" w:rsidRPr="004B36B2">
        <w:rPr>
          <w:rFonts w:asciiTheme="majorBidi" w:hAnsiTheme="majorBidi" w:cstheme="majorBidi"/>
          <w:noProof/>
          <w:color w:val="000000" w:themeColor="text1"/>
          <w:szCs w:val="24"/>
        </w:rPr>
        <w:t>migrants</w:t>
      </w:r>
      <w:r w:rsidR="00941046" w:rsidRPr="004B36B2">
        <w:rPr>
          <w:rFonts w:asciiTheme="majorBidi" w:hAnsiTheme="majorBidi" w:cstheme="majorBidi"/>
          <w:color w:val="000000" w:themeColor="text1"/>
          <w:szCs w:val="24"/>
        </w:rPr>
        <w:t xml:space="preserve"> per thousand population. </w:t>
      </w:r>
      <w:r w:rsidR="00B27D99" w:rsidRPr="004B36B2">
        <w:rPr>
          <w:rFonts w:asciiTheme="majorBidi" w:eastAsia="Calibri" w:hAnsiTheme="majorBidi" w:cstheme="majorBidi"/>
          <w:color w:val="000000" w:themeColor="text1"/>
          <w:szCs w:val="24"/>
        </w:rPr>
        <w:t xml:space="preserve">We </w:t>
      </w:r>
      <w:r w:rsidR="00F85ECC" w:rsidRPr="004B36B2">
        <w:rPr>
          <w:rFonts w:asciiTheme="majorBidi" w:eastAsia="Calibri" w:hAnsiTheme="majorBidi" w:cstheme="majorBidi"/>
          <w:color w:val="000000" w:themeColor="text1"/>
          <w:szCs w:val="24"/>
        </w:rPr>
        <w:t xml:space="preserve">calculate </w:t>
      </w:r>
      <w:r w:rsidR="00B27D99" w:rsidRPr="004B36B2">
        <w:rPr>
          <w:rFonts w:asciiTheme="majorBidi" w:eastAsia="Calibri" w:hAnsiTheme="majorBidi" w:cstheme="majorBidi"/>
          <w:color w:val="000000" w:themeColor="text1"/>
          <w:szCs w:val="24"/>
        </w:rPr>
        <w:t>the average remittance</w:t>
      </w:r>
      <w:r w:rsidR="00F85ECC" w:rsidRPr="004B36B2">
        <w:rPr>
          <w:rFonts w:asciiTheme="majorBidi" w:eastAsia="Calibri" w:hAnsiTheme="majorBidi" w:cstheme="majorBidi"/>
          <w:color w:val="000000" w:themeColor="text1"/>
          <w:szCs w:val="24"/>
        </w:rPr>
        <w:t>s</w:t>
      </w:r>
      <w:r w:rsidR="00B27D99" w:rsidRPr="004B36B2">
        <w:rPr>
          <w:rFonts w:asciiTheme="majorBidi" w:eastAsia="Calibri" w:hAnsiTheme="majorBidi" w:cstheme="majorBidi"/>
          <w:color w:val="000000" w:themeColor="text1"/>
          <w:szCs w:val="24"/>
        </w:rPr>
        <w:t xml:space="preserve"> per household in </w:t>
      </w:r>
      <w:r w:rsidR="0055087B" w:rsidRPr="004B36B2">
        <w:rPr>
          <w:rFonts w:asciiTheme="majorBidi" w:eastAsia="Calibri" w:hAnsiTheme="majorBidi" w:cstheme="majorBidi"/>
          <w:color w:val="000000" w:themeColor="text1"/>
          <w:szCs w:val="24"/>
        </w:rPr>
        <w:t xml:space="preserve">each </w:t>
      </w:r>
      <w:r w:rsidR="00B27D99" w:rsidRPr="004B36B2">
        <w:rPr>
          <w:rFonts w:asciiTheme="majorBidi" w:eastAsia="Calibri" w:hAnsiTheme="majorBidi" w:cstheme="majorBidi"/>
          <w:color w:val="000000" w:themeColor="text1"/>
          <w:szCs w:val="24"/>
        </w:rPr>
        <w:t xml:space="preserve">village </w:t>
      </w:r>
      <w:r w:rsidR="00F85ECC" w:rsidRPr="004B36B2">
        <w:rPr>
          <w:rFonts w:asciiTheme="majorBidi" w:eastAsia="Calibri" w:hAnsiTheme="majorBidi" w:cstheme="majorBidi"/>
          <w:color w:val="000000" w:themeColor="text1"/>
          <w:szCs w:val="24"/>
        </w:rPr>
        <w:t>(in terms of 1</w:t>
      </w:r>
      <w:r w:rsidR="00B27D99" w:rsidRPr="004B36B2">
        <w:rPr>
          <w:rFonts w:asciiTheme="majorBidi" w:eastAsia="Calibri" w:hAnsiTheme="majorBidi" w:cstheme="majorBidi"/>
          <w:color w:val="000000" w:themeColor="text1"/>
          <w:szCs w:val="24"/>
        </w:rPr>
        <w:t>000</w:t>
      </w:r>
      <w:r w:rsidR="00F85ECC" w:rsidRPr="004B36B2">
        <w:rPr>
          <w:rFonts w:asciiTheme="majorBidi" w:eastAsia="Calibri" w:hAnsiTheme="majorBidi" w:cstheme="majorBidi"/>
          <w:color w:val="000000" w:themeColor="text1"/>
          <w:szCs w:val="24"/>
        </w:rPr>
        <w:t>s of</w:t>
      </w:r>
      <w:r w:rsidR="00B27D99" w:rsidRPr="004B36B2">
        <w:rPr>
          <w:rFonts w:asciiTheme="majorBidi" w:eastAsia="Calibri" w:hAnsiTheme="majorBidi" w:cstheme="majorBidi"/>
          <w:color w:val="000000" w:themeColor="text1"/>
          <w:szCs w:val="24"/>
        </w:rPr>
        <w:t xml:space="preserve"> Nepalese rupees</w:t>
      </w:r>
      <w:r w:rsidR="00F85ECC" w:rsidRPr="004B36B2">
        <w:rPr>
          <w:rFonts w:asciiTheme="majorBidi" w:eastAsia="Calibri" w:hAnsiTheme="majorBidi" w:cstheme="majorBidi"/>
          <w:color w:val="000000" w:themeColor="text1"/>
          <w:szCs w:val="24"/>
        </w:rPr>
        <w:t>, NPR</w:t>
      </w:r>
      <w:r w:rsidR="00B27D99" w:rsidRPr="004B36B2">
        <w:rPr>
          <w:rFonts w:asciiTheme="majorBidi" w:eastAsia="Calibri" w:hAnsiTheme="majorBidi" w:cstheme="majorBidi"/>
          <w:color w:val="000000" w:themeColor="text1"/>
          <w:szCs w:val="24"/>
        </w:rPr>
        <w:t>).</w:t>
      </w:r>
      <w:r w:rsidR="00B27D99" w:rsidRPr="004B36B2">
        <w:rPr>
          <w:rFonts w:asciiTheme="majorBidi" w:hAnsiTheme="majorBidi" w:cstheme="majorBidi"/>
          <w:color w:val="000000" w:themeColor="text1"/>
          <w:szCs w:val="24"/>
        </w:rPr>
        <w:t xml:space="preserve"> </w:t>
      </w:r>
    </w:p>
    <w:p w14:paraId="461DD88F" w14:textId="77777777" w:rsidR="00F03BFB" w:rsidRPr="004B36B2" w:rsidRDefault="00F03BFB" w:rsidP="00283A3C">
      <w:pPr>
        <w:spacing w:line="288" w:lineRule="auto"/>
        <w:ind w:firstLine="720"/>
        <w:jc w:val="both"/>
        <w:rPr>
          <w:rFonts w:asciiTheme="majorBidi" w:hAnsiTheme="majorBidi" w:cstheme="majorBidi"/>
          <w:color w:val="000000" w:themeColor="text1"/>
          <w:szCs w:val="24"/>
        </w:rPr>
      </w:pPr>
    </w:p>
    <w:p w14:paraId="3E2F1005" w14:textId="23028FE9" w:rsidR="00941046" w:rsidRDefault="002F1DCD"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We use </w:t>
      </w:r>
      <w:r w:rsidR="00437147" w:rsidRPr="004B36B2">
        <w:rPr>
          <w:rFonts w:asciiTheme="majorBidi" w:hAnsiTheme="majorBidi" w:cstheme="majorBidi"/>
          <w:color w:val="000000" w:themeColor="text1"/>
          <w:szCs w:val="24"/>
        </w:rPr>
        <w:t xml:space="preserve">the </w:t>
      </w:r>
      <w:r w:rsidR="003911B8" w:rsidRPr="004B36B2">
        <w:rPr>
          <w:rFonts w:asciiTheme="majorBidi" w:hAnsiTheme="majorBidi" w:cstheme="majorBidi"/>
          <w:color w:val="000000" w:themeColor="text1"/>
          <w:szCs w:val="24"/>
        </w:rPr>
        <w:t xml:space="preserve">above </w:t>
      </w:r>
      <w:r w:rsidRPr="004B36B2">
        <w:rPr>
          <w:rFonts w:asciiTheme="majorBidi" w:hAnsiTheme="majorBidi" w:cstheme="majorBidi"/>
          <w:color w:val="000000" w:themeColor="text1"/>
          <w:szCs w:val="24"/>
        </w:rPr>
        <w:t>information to construct</w:t>
      </w:r>
      <w:r w:rsidR="003911B8" w:rsidRPr="004B36B2">
        <w:rPr>
          <w:rFonts w:asciiTheme="majorBidi" w:hAnsiTheme="majorBidi" w:cstheme="majorBidi"/>
          <w:color w:val="000000" w:themeColor="text1"/>
          <w:szCs w:val="24"/>
        </w:rPr>
        <w:t xml:space="preserve"> </w:t>
      </w:r>
      <w:r w:rsidR="00437147" w:rsidRPr="004B36B2">
        <w:rPr>
          <w:rFonts w:asciiTheme="majorBidi" w:hAnsiTheme="majorBidi" w:cstheme="majorBidi"/>
          <w:color w:val="000000" w:themeColor="text1"/>
          <w:szCs w:val="24"/>
        </w:rPr>
        <w:t xml:space="preserve">as control variables, the </w:t>
      </w:r>
      <w:r w:rsidR="00803CE9" w:rsidRPr="004B36B2">
        <w:rPr>
          <w:rFonts w:asciiTheme="majorBidi" w:hAnsiTheme="majorBidi" w:cstheme="majorBidi"/>
          <w:noProof/>
          <w:color w:val="000000" w:themeColor="text1"/>
          <w:szCs w:val="24"/>
        </w:rPr>
        <w:t>quantity</w:t>
      </w:r>
      <w:r w:rsidR="00803CE9" w:rsidRPr="004B36B2">
        <w:rPr>
          <w:rFonts w:asciiTheme="majorBidi" w:hAnsiTheme="majorBidi" w:cstheme="majorBidi"/>
          <w:color w:val="000000" w:themeColor="text1"/>
          <w:szCs w:val="24"/>
        </w:rPr>
        <w:t xml:space="preserve"> of land owned (</w:t>
      </w:r>
      <w:r w:rsidR="0055087B" w:rsidRPr="004B36B2">
        <w:rPr>
          <w:rFonts w:asciiTheme="majorBidi" w:hAnsiTheme="majorBidi" w:cstheme="majorBidi"/>
          <w:color w:val="000000" w:themeColor="text1"/>
          <w:szCs w:val="24"/>
        </w:rPr>
        <w:t xml:space="preserve">a proxy for </w:t>
      </w:r>
      <w:r w:rsidR="00803CE9" w:rsidRPr="004B36B2">
        <w:rPr>
          <w:rFonts w:asciiTheme="majorBidi" w:hAnsiTheme="majorBidi" w:cstheme="majorBidi"/>
          <w:color w:val="000000" w:themeColor="text1"/>
          <w:szCs w:val="24"/>
        </w:rPr>
        <w:t xml:space="preserve">wealth),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average member</w:t>
      </w:r>
      <w:r w:rsidR="0055087B" w:rsidRPr="004B36B2">
        <w:rPr>
          <w:rFonts w:asciiTheme="majorBidi" w:hAnsiTheme="majorBidi" w:cstheme="majorBidi"/>
          <w:color w:val="000000" w:themeColor="text1"/>
          <w:szCs w:val="24"/>
        </w:rPr>
        <w:t>s</w:t>
      </w:r>
      <w:r w:rsidR="00963924" w:rsidRPr="004B36B2">
        <w:rPr>
          <w:rFonts w:asciiTheme="majorBidi" w:hAnsiTheme="majorBidi" w:cstheme="majorBidi"/>
          <w:color w:val="000000" w:themeColor="text1"/>
          <w:szCs w:val="24"/>
        </w:rPr>
        <w:t xml:space="preserve"> per </w:t>
      </w:r>
      <w:r w:rsidR="00590A6F" w:rsidRPr="004B36B2">
        <w:rPr>
          <w:rFonts w:asciiTheme="majorBidi" w:hAnsiTheme="majorBidi" w:cstheme="majorBidi"/>
          <w:color w:val="000000" w:themeColor="text1"/>
          <w:szCs w:val="24"/>
        </w:rPr>
        <w:t>household</w:t>
      </w:r>
      <w:r w:rsidR="00963924" w:rsidRPr="004B36B2">
        <w:rPr>
          <w:rFonts w:asciiTheme="majorBidi" w:hAnsiTheme="majorBidi" w:cstheme="majorBidi"/>
          <w:color w:val="000000" w:themeColor="text1"/>
          <w:szCs w:val="24"/>
        </w:rPr>
        <w:t xml:space="preserve">,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 xml:space="preserve">share of migrants </w:t>
      </w:r>
      <w:r w:rsidR="00437147" w:rsidRPr="004B36B2">
        <w:rPr>
          <w:rFonts w:asciiTheme="majorBidi" w:hAnsiTheme="majorBidi" w:cstheme="majorBidi"/>
          <w:color w:val="000000" w:themeColor="text1"/>
          <w:szCs w:val="24"/>
        </w:rPr>
        <w:t xml:space="preserve">whose education is </w:t>
      </w:r>
      <w:r w:rsidR="00963924" w:rsidRPr="004B36B2">
        <w:rPr>
          <w:rFonts w:asciiTheme="majorBidi" w:hAnsiTheme="majorBidi" w:cstheme="majorBidi"/>
          <w:color w:val="000000" w:themeColor="text1"/>
          <w:szCs w:val="24"/>
        </w:rPr>
        <w:t xml:space="preserve">grade 8 or above,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 xml:space="preserve">share of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noProof/>
          <w:color w:val="000000" w:themeColor="text1"/>
          <w:szCs w:val="24"/>
        </w:rPr>
        <w:t>working</w:t>
      </w:r>
      <w:r w:rsidR="00FD6429" w:rsidRPr="004B36B2">
        <w:rPr>
          <w:rFonts w:asciiTheme="majorBidi" w:hAnsiTheme="majorBidi" w:cstheme="majorBidi"/>
          <w:noProof/>
          <w:color w:val="000000" w:themeColor="text1"/>
          <w:szCs w:val="24"/>
        </w:rPr>
        <w:t>-</w:t>
      </w:r>
      <w:r w:rsidR="00963924" w:rsidRPr="004B36B2">
        <w:rPr>
          <w:rFonts w:asciiTheme="majorBidi" w:hAnsiTheme="majorBidi" w:cstheme="majorBidi"/>
          <w:noProof/>
          <w:color w:val="000000" w:themeColor="text1"/>
          <w:szCs w:val="24"/>
        </w:rPr>
        <w:t>age</w:t>
      </w:r>
      <w:r w:rsidR="00963924" w:rsidRPr="004B36B2">
        <w:rPr>
          <w:rFonts w:asciiTheme="majorBidi" w:hAnsiTheme="majorBidi" w:cstheme="majorBidi"/>
          <w:color w:val="000000" w:themeColor="text1"/>
          <w:szCs w:val="24"/>
        </w:rPr>
        <w:t xml:space="preserve"> population (15-60)</w:t>
      </w:r>
      <w:r w:rsidR="00437147" w:rsidRPr="004B36B2">
        <w:rPr>
          <w:rFonts w:asciiTheme="majorBidi" w:hAnsiTheme="majorBidi" w:cstheme="majorBidi"/>
          <w:color w:val="000000" w:themeColor="text1"/>
          <w:szCs w:val="24"/>
        </w:rPr>
        <w:t xml:space="preserve"> in total populaton</w:t>
      </w:r>
      <w:r w:rsidR="00963924" w:rsidRPr="004B36B2">
        <w:rPr>
          <w:rFonts w:asciiTheme="majorBidi" w:hAnsiTheme="majorBidi" w:cstheme="majorBidi"/>
          <w:color w:val="000000" w:themeColor="text1"/>
          <w:szCs w:val="24"/>
        </w:rPr>
        <w:t xml:space="preserve">,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 xml:space="preserve">share of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working</w:t>
      </w:r>
      <w:r w:rsidR="00121258" w:rsidRPr="004B36B2">
        <w:rPr>
          <w:rFonts w:asciiTheme="majorBidi" w:hAnsiTheme="majorBidi" w:cstheme="majorBidi"/>
          <w:color w:val="000000" w:themeColor="text1"/>
          <w:szCs w:val="24"/>
        </w:rPr>
        <w:t>-</w:t>
      </w:r>
      <w:r w:rsidR="00963924" w:rsidRPr="004B36B2">
        <w:rPr>
          <w:rFonts w:asciiTheme="majorBidi" w:hAnsiTheme="majorBidi" w:cstheme="majorBidi"/>
          <w:color w:val="000000" w:themeColor="text1"/>
          <w:szCs w:val="24"/>
        </w:rPr>
        <w:t xml:space="preserve">age population with grade 8 or above education,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literacy rate</w:t>
      </w:r>
      <w:r w:rsidR="005138CE" w:rsidRPr="004B36B2">
        <w:rPr>
          <w:rFonts w:asciiTheme="majorBidi" w:hAnsiTheme="majorBidi" w:cstheme="majorBidi"/>
          <w:color w:val="000000" w:themeColor="text1"/>
          <w:szCs w:val="24"/>
        </w:rPr>
        <w:t xml:space="preserve">, </w:t>
      </w:r>
      <w:r w:rsidR="004859C9" w:rsidRPr="004B36B2">
        <w:rPr>
          <w:rFonts w:asciiTheme="majorBidi" w:hAnsiTheme="majorBidi" w:cstheme="majorBidi"/>
          <w:color w:val="000000" w:themeColor="text1"/>
          <w:szCs w:val="24"/>
        </w:rPr>
        <w:t>and</w:t>
      </w:r>
      <w:r w:rsidR="00963924" w:rsidRPr="004B36B2">
        <w:rPr>
          <w:rFonts w:asciiTheme="majorBidi" w:hAnsiTheme="majorBidi" w:cstheme="majorBidi"/>
          <w:color w:val="000000" w:themeColor="text1"/>
          <w:szCs w:val="24"/>
        </w:rPr>
        <w:t xml:space="preserve"> </w:t>
      </w:r>
      <w:r w:rsidR="00437147" w:rsidRPr="004B36B2">
        <w:rPr>
          <w:rFonts w:asciiTheme="majorBidi" w:hAnsiTheme="majorBidi" w:cstheme="majorBidi"/>
          <w:color w:val="000000" w:themeColor="text1"/>
          <w:szCs w:val="24"/>
        </w:rPr>
        <w:t xml:space="preserve">the </w:t>
      </w:r>
      <w:r w:rsidR="00963924" w:rsidRPr="004B36B2">
        <w:rPr>
          <w:rFonts w:asciiTheme="majorBidi" w:hAnsiTheme="majorBidi" w:cstheme="majorBidi"/>
          <w:color w:val="000000" w:themeColor="text1"/>
          <w:szCs w:val="24"/>
        </w:rPr>
        <w:t>unemployment rate</w:t>
      </w:r>
      <w:r w:rsidR="006A17BE" w:rsidRPr="004B36B2">
        <w:rPr>
          <w:rFonts w:asciiTheme="majorBidi" w:hAnsiTheme="majorBidi" w:cstheme="majorBidi"/>
          <w:color w:val="000000" w:themeColor="text1"/>
          <w:szCs w:val="24"/>
        </w:rPr>
        <w:t>.</w:t>
      </w:r>
      <w:r w:rsidR="0055087B" w:rsidRPr="004B36B2">
        <w:rPr>
          <w:rStyle w:val="FootnoteReference"/>
          <w:rFonts w:asciiTheme="majorBidi" w:hAnsiTheme="majorBidi" w:cstheme="majorBidi"/>
          <w:color w:val="000000" w:themeColor="text1"/>
          <w:szCs w:val="24"/>
        </w:rPr>
        <w:footnoteReference w:id="5"/>
      </w:r>
      <w:r w:rsidR="003F2910" w:rsidRPr="004B36B2">
        <w:rPr>
          <w:rFonts w:asciiTheme="majorBidi" w:hAnsiTheme="majorBidi" w:cstheme="majorBidi"/>
          <w:color w:val="000000" w:themeColor="text1"/>
          <w:szCs w:val="24"/>
        </w:rPr>
        <w:t xml:space="preserve"> </w:t>
      </w:r>
      <w:r w:rsidR="006A17BE" w:rsidRPr="004B36B2">
        <w:rPr>
          <w:rFonts w:asciiTheme="majorBidi" w:eastAsia="Times New Roman" w:hAnsiTheme="majorBidi" w:cstheme="majorBidi"/>
          <w:color w:val="000000" w:themeColor="text1"/>
          <w:szCs w:val="24"/>
        </w:rPr>
        <w:t xml:space="preserve">The surveys did not have </w:t>
      </w:r>
      <w:r w:rsidR="006B1317" w:rsidRPr="004B36B2">
        <w:rPr>
          <w:rFonts w:asciiTheme="majorBidi" w:eastAsia="Times New Roman" w:hAnsiTheme="majorBidi" w:cstheme="majorBidi"/>
          <w:color w:val="000000" w:themeColor="text1"/>
          <w:szCs w:val="24"/>
        </w:rPr>
        <w:t>relationship matrix</w:t>
      </w:r>
      <w:r w:rsidR="006A17BE" w:rsidRPr="004B36B2">
        <w:rPr>
          <w:rFonts w:asciiTheme="majorBidi" w:eastAsia="Times New Roman" w:hAnsiTheme="majorBidi" w:cstheme="majorBidi"/>
          <w:color w:val="000000" w:themeColor="text1"/>
          <w:szCs w:val="24"/>
        </w:rPr>
        <w:t>es to</w:t>
      </w:r>
      <w:r w:rsidR="006B1317" w:rsidRPr="004B36B2">
        <w:rPr>
          <w:rFonts w:asciiTheme="majorBidi" w:eastAsia="Times New Roman" w:hAnsiTheme="majorBidi" w:cstheme="majorBidi"/>
          <w:color w:val="000000" w:themeColor="text1"/>
          <w:szCs w:val="24"/>
        </w:rPr>
        <w:t xml:space="preserve"> </w:t>
      </w:r>
      <w:r w:rsidR="006A17BE" w:rsidRPr="004B36B2">
        <w:rPr>
          <w:rFonts w:asciiTheme="majorBidi" w:eastAsia="Times New Roman" w:hAnsiTheme="majorBidi" w:cstheme="majorBidi"/>
          <w:color w:val="000000" w:themeColor="text1"/>
          <w:szCs w:val="24"/>
        </w:rPr>
        <w:t xml:space="preserve">enable us to directly </w:t>
      </w:r>
      <w:r w:rsidR="006B1317" w:rsidRPr="004B36B2">
        <w:rPr>
          <w:rFonts w:asciiTheme="majorBidi" w:eastAsia="Times New Roman" w:hAnsiTheme="majorBidi" w:cstheme="majorBidi"/>
          <w:color w:val="000000" w:themeColor="text1"/>
          <w:szCs w:val="24"/>
        </w:rPr>
        <w:t xml:space="preserve">identify the parents of each child. </w:t>
      </w:r>
      <w:proofErr w:type="gramStart"/>
      <w:r w:rsidR="006A17BE" w:rsidRPr="004B36B2">
        <w:rPr>
          <w:rFonts w:asciiTheme="majorBidi" w:eastAsia="Times New Roman" w:hAnsiTheme="majorBidi" w:cstheme="majorBidi"/>
          <w:color w:val="000000" w:themeColor="text1"/>
          <w:szCs w:val="24"/>
        </w:rPr>
        <w:t>Th</w:t>
      </w:r>
      <w:r w:rsidR="001159AB" w:rsidRPr="004B36B2">
        <w:rPr>
          <w:rFonts w:asciiTheme="majorBidi" w:eastAsia="Times New Roman" w:hAnsiTheme="majorBidi" w:cstheme="majorBidi"/>
          <w:color w:val="000000" w:themeColor="text1"/>
          <w:szCs w:val="24"/>
        </w:rPr>
        <w:t>erefore</w:t>
      </w:r>
      <w:proofErr w:type="gramEnd"/>
      <w:r w:rsidR="001159AB" w:rsidRPr="004B36B2">
        <w:rPr>
          <w:rFonts w:asciiTheme="majorBidi" w:eastAsia="Times New Roman" w:hAnsiTheme="majorBidi" w:cstheme="majorBidi"/>
          <w:color w:val="000000" w:themeColor="text1"/>
          <w:szCs w:val="24"/>
        </w:rPr>
        <w:t xml:space="preserve"> we developed a proxy, that assumes that household residents aged 30 and above are likely to have a school aged children in the household. For this 30 and above age group we calculate the proportion who have high school education or higher, and use this as a proxy for parental</w:t>
      </w:r>
      <w:r w:rsidR="006B1317" w:rsidRPr="004B36B2">
        <w:rPr>
          <w:rFonts w:asciiTheme="majorBidi" w:eastAsia="Times New Roman" w:hAnsiTheme="majorBidi" w:cstheme="majorBidi"/>
          <w:color w:val="000000" w:themeColor="text1"/>
          <w:szCs w:val="24"/>
        </w:rPr>
        <w:t xml:space="preserve"> education</w:t>
      </w:r>
      <w:r w:rsidR="001159AB" w:rsidRPr="004B36B2">
        <w:rPr>
          <w:rFonts w:asciiTheme="majorBidi" w:eastAsia="Times New Roman" w:hAnsiTheme="majorBidi" w:cstheme="majorBidi"/>
          <w:color w:val="000000" w:themeColor="text1"/>
          <w:szCs w:val="24"/>
        </w:rPr>
        <w:t>, which is usually relevant to</w:t>
      </w:r>
      <w:r w:rsidR="006B1317" w:rsidRPr="004B36B2">
        <w:rPr>
          <w:rFonts w:asciiTheme="majorBidi" w:eastAsia="Times New Roman" w:hAnsiTheme="majorBidi" w:cstheme="majorBidi"/>
          <w:color w:val="000000" w:themeColor="text1"/>
          <w:szCs w:val="24"/>
        </w:rPr>
        <w:t xml:space="preserve"> children's schooling outcomes</w:t>
      </w:r>
      <w:r w:rsidR="001159AB" w:rsidRPr="004B36B2">
        <w:rPr>
          <w:rFonts w:asciiTheme="majorBidi" w:eastAsia="Times New Roman" w:hAnsiTheme="majorBidi" w:cstheme="majorBidi"/>
          <w:color w:val="000000" w:themeColor="text1"/>
          <w:szCs w:val="24"/>
        </w:rPr>
        <w:t>.</w:t>
      </w:r>
      <w:r w:rsidR="006B1317" w:rsidRPr="004B36B2">
        <w:rPr>
          <w:rFonts w:asciiTheme="majorBidi" w:eastAsia="Times New Roman" w:hAnsiTheme="majorBidi" w:cstheme="majorBidi"/>
          <w:color w:val="000000" w:themeColor="text1"/>
          <w:szCs w:val="24"/>
        </w:rPr>
        <w:t xml:space="preserve"> </w:t>
      </w:r>
      <w:r w:rsidR="00941046" w:rsidRPr="004B36B2">
        <w:rPr>
          <w:rFonts w:asciiTheme="majorBidi" w:hAnsiTheme="majorBidi" w:cstheme="majorBidi"/>
          <w:color w:val="000000" w:themeColor="text1"/>
          <w:szCs w:val="24"/>
        </w:rPr>
        <w:t xml:space="preserve">We also use </w:t>
      </w:r>
      <w:r w:rsidR="00F85ECC" w:rsidRPr="004B36B2">
        <w:rPr>
          <w:rFonts w:asciiTheme="majorBidi" w:hAnsiTheme="majorBidi" w:cstheme="majorBidi"/>
          <w:color w:val="000000" w:themeColor="text1"/>
          <w:szCs w:val="24"/>
        </w:rPr>
        <w:t xml:space="preserve">data from the 2001 </w:t>
      </w:r>
      <w:r w:rsidR="00941046" w:rsidRPr="004B36B2">
        <w:rPr>
          <w:rFonts w:asciiTheme="majorBidi" w:hAnsiTheme="majorBidi" w:cstheme="majorBidi"/>
          <w:color w:val="000000" w:themeColor="text1"/>
          <w:szCs w:val="24"/>
        </w:rPr>
        <w:t xml:space="preserve">population </w:t>
      </w:r>
      <w:r w:rsidR="00941046" w:rsidRPr="004B36B2">
        <w:rPr>
          <w:rFonts w:asciiTheme="majorBidi" w:hAnsiTheme="majorBidi" w:cstheme="majorBidi"/>
          <w:noProof/>
          <w:color w:val="000000" w:themeColor="text1"/>
          <w:szCs w:val="24"/>
        </w:rPr>
        <w:t>census</w:t>
      </w:r>
      <w:r w:rsidR="001159AB" w:rsidRPr="004B36B2">
        <w:rPr>
          <w:rFonts w:asciiTheme="majorBidi" w:hAnsiTheme="majorBidi" w:cstheme="majorBidi"/>
          <w:noProof/>
          <w:color w:val="000000" w:themeColor="text1"/>
          <w:szCs w:val="24"/>
        </w:rPr>
        <w:t xml:space="preserve">, </w:t>
      </w:r>
      <w:r w:rsidR="001159AB" w:rsidRPr="004B36B2">
        <w:rPr>
          <w:rFonts w:asciiTheme="majorBidi" w:hAnsiTheme="majorBidi" w:cstheme="majorBidi"/>
          <w:noProof/>
          <w:color w:val="000000" w:themeColor="text1"/>
          <w:szCs w:val="24"/>
        </w:rPr>
        <w:lastRenderedPageBreak/>
        <w:t>to calculate for each village the</w:t>
      </w:r>
      <w:r w:rsidR="00941046" w:rsidRPr="004B36B2">
        <w:rPr>
          <w:rFonts w:asciiTheme="majorBidi" w:hAnsiTheme="majorBidi" w:cstheme="majorBidi"/>
          <w:color w:val="000000" w:themeColor="text1"/>
          <w:szCs w:val="24"/>
        </w:rPr>
        <w:t xml:space="preserve"> international destination</w:t>
      </w:r>
      <w:r w:rsidR="001159AB" w:rsidRPr="004B36B2">
        <w:rPr>
          <w:rFonts w:asciiTheme="majorBidi" w:hAnsiTheme="majorBidi" w:cstheme="majorBidi"/>
          <w:color w:val="000000" w:themeColor="text1"/>
          <w:szCs w:val="24"/>
        </w:rPr>
        <w:t>s</w:t>
      </w:r>
      <w:r w:rsidR="00437147" w:rsidRPr="004B36B2">
        <w:rPr>
          <w:rFonts w:asciiTheme="majorBidi" w:hAnsiTheme="majorBidi" w:cstheme="majorBidi"/>
          <w:color w:val="000000" w:themeColor="text1"/>
          <w:szCs w:val="24"/>
        </w:rPr>
        <w:t xml:space="preserve"> of migrants</w:t>
      </w:r>
      <w:r w:rsidR="001159AB" w:rsidRPr="004B36B2">
        <w:rPr>
          <w:rFonts w:asciiTheme="majorBidi" w:hAnsiTheme="majorBidi" w:cstheme="majorBidi"/>
          <w:color w:val="000000" w:themeColor="text1"/>
          <w:szCs w:val="24"/>
        </w:rPr>
        <w:t xml:space="preserve">. </w:t>
      </w:r>
      <w:r w:rsidR="00A8762F" w:rsidRPr="004B36B2">
        <w:rPr>
          <w:rFonts w:asciiTheme="majorBidi" w:hAnsiTheme="majorBidi" w:cstheme="majorBidi"/>
          <w:color w:val="000000" w:themeColor="text1"/>
          <w:szCs w:val="24"/>
        </w:rPr>
        <w:t xml:space="preserve">We separate migration to India from MEOA (Middle-East and Other Asia) since these are </w:t>
      </w:r>
      <w:r w:rsidR="00A8762F" w:rsidRPr="004B36B2">
        <w:rPr>
          <w:rFonts w:asciiTheme="majorBidi" w:eastAsia="Calibri" w:hAnsiTheme="majorBidi" w:cstheme="majorBidi"/>
          <w:color w:val="000000" w:themeColor="text1"/>
          <w:szCs w:val="24"/>
        </w:rPr>
        <w:t>two different migration channels –</w:t>
      </w:r>
      <w:r w:rsidR="00A8762F" w:rsidRPr="004B36B2">
        <w:rPr>
          <w:rFonts w:asciiTheme="majorBidi" w:hAnsiTheme="majorBidi" w:cstheme="majorBidi"/>
          <w:color w:val="000000" w:themeColor="text1"/>
          <w:szCs w:val="24"/>
        </w:rPr>
        <w:t xml:space="preserve"> informal and low-cost to India, and formal and high-cost to the Middle East and Other Asian countries (</w:t>
      </w:r>
      <w:r w:rsidR="00A8762F" w:rsidRPr="004B36B2">
        <w:rPr>
          <w:rFonts w:asciiTheme="majorBidi" w:eastAsia="Calibri" w:hAnsiTheme="majorBidi" w:cstheme="majorBidi"/>
          <w:color w:val="000000" w:themeColor="text1"/>
          <w:szCs w:val="24"/>
        </w:rPr>
        <w:t xml:space="preserve">MEOA) (Sharma </w:t>
      </w:r>
      <w:r w:rsidR="00DB0036" w:rsidRPr="00DB0036">
        <w:rPr>
          <w:rFonts w:asciiTheme="majorBidi" w:eastAsia="Calibri" w:hAnsiTheme="majorBidi" w:cstheme="majorBidi"/>
          <w:color w:val="000000" w:themeColor="text1"/>
          <w:szCs w:val="24"/>
        </w:rPr>
        <w:t>and</w:t>
      </w:r>
      <w:r w:rsidR="00A8762F" w:rsidRPr="004B36B2">
        <w:rPr>
          <w:rFonts w:asciiTheme="majorBidi" w:eastAsia="Calibri" w:hAnsiTheme="majorBidi" w:cstheme="majorBidi"/>
          <w:color w:val="000000" w:themeColor="text1"/>
          <w:szCs w:val="24"/>
        </w:rPr>
        <w:t xml:space="preserve"> Gibson, 2019)</w:t>
      </w:r>
      <w:r w:rsidR="00A8762F" w:rsidRPr="004B36B2">
        <w:rPr>
          <w:rFonts w:asciiTheme="majorBidi" w:hAnsiTheme="majorBidi" w:cstheme="majorBidi"/>
          <w:color w:val="000000" w:themeColor="text1"/>
          <w:szCs w:val="24"/>
        </w:rPr>
        <w:t xml:space="preserve">. </w:t>
      </w:r>
      <w:r w:rsidR="001159AB" w:rsidRPr="004B36B2">
        <w:rPr>
          <w:rFonts w:asciiTheme="majorBidi" w:hAnsiTheme="majorBidi" w:cstheme="majorBidi"/>
          <w:color w:val="000000" w:themeColor="text1"/>
          <w:szCs w:val="24"/>
        </w:rPr>
        <w:t>We create</w:t>
      </w:r>
      <w:r w:rsidR="00437147" w:rsidRPr="004B36B2">
        <w:rPr>
          <w:rFonts w:asciiTheme="majorBidi" w:hAnsiTheme="majorBidi" w:cstheme="majorBidi"/>
          <w:color w:val="000000" w:themeColor="text1"/>
          <w:szCs w:val="24"/>
        </w:rPr>
        <w:t xml:space="preserve"> </w:t>
      </w:r>
      <w:r w:rsidR="00F85ECC" w:rsidRPr="004B36B2">
        <w:rPr>
          <w:rFonts w:asciiTheme="majorBidi" w:hAnsiTheme="majorBidi" w:cstheme="majorBidi"/>
          <w:color w:val="000000" w:themeColor="text1"/>
          <w:szCs w:val="24"/>
        </w:rPr>
        <w:t xml:space="preserve">measures of </w:t>
      </w:r>
      <w:r w:rsidR="00941046" w:rsidRPr="004B36B2">
        <w:rPr>
          <w:rFonts w:asciiTheme="majorBidi" w:hAnsiTheme="majorBidi" w:cstheme="majorBidi"/>
          <w:noProof/>
          <w:color w:val="000000" w:themeColor="text1"/>
          <w:szCs w:val="24"/>
        </w:rPr>
        <w:t>historical</w:t>
      </w:r>
      <w:r w:rsidR="00F85ECC" w:rsidRPr="004B36B2">
        <w:rPr>
          <w:rFonts w:asciiTheme="majorBidi" w:hAnsiTheme="majorBidi" w:cstheme="majorBidi"/>
          <w:color w:val="000000" w:themeColor="text1"/>
          <w:szCs w:val="24"/>
        </w:rPr>
        <w:t xml:space="preserve"> migration networks</w:t>
      </w:r>
      <w:r w:rsidR="00437147" w:rsidRPr="004B36B2">
        <w:rPr>
          <w:rFonts w:asciiTheme="majorBidi" w:hAnsiTheme="majorBidi" w:cstheme="majorBidi"/>
          <w:color w:val="000000" w:themeColor="text1"/>
          <w:szCs w:val="24"/>
        </w:rPr>
        <w:t xml:space="preserve"> separately for the</w:t>
      </w:r>
      <w:r w:rsidR="00A8762F" w:rsidRPr="004B36B2">
        <w:rPr>
          <w:rFonts w:asciiTheme="majorBidi" w:hAnsiTheme="majorBidi" w:cstheme="majorBidi"/>
          <w:color w:val="000000" w:themeColor="text1"/>
          <w:szCs w:val="24"/>
        </w:rPr>
        <w:t>se</w:t>
      </w:r>
      <w:r w:rsidR="00437147" w:rsidRPr="004B36B2">
        <w:rPr>
          <w:rFonts w:asciiTheme="majorBidi" w:hAnsiTheme="majorBidi" w:cstheme="majorBidi"/>
          <w:color w:val="000000" w:themeColor="text1"/>
          <w:szCs w:val="24"/>
        </w:rPr>
        <w:t xml:space="preserve"> </w:t>
      </w:r>
      <w:r w:rsidR="00941046" w:rsidRPr="004B36B2">
        <w:rPr>
          <w:rFonts w:asciiTheme="majorBidi" w:hAnsiTheme="majorBidi" w:cstheme="majorBidi"/>
          <w:color w:val="000000" w:themeColor="text1"/>
          <w:szCs w:val="24"/>
        </w:rPr>
        <w:t xml:space="preserve">two </w:t>
      </w:r>
      <w:r w:rsidR="00437147" w:rsidRPr="004B36B2">
        <w:rPr>
          <w:rFonts w:asciiTheme="majorBidi" w:hAnsiTheme="majorBidi" w:cstheme="majorBidi"/>
          <w:color w:val="000000" w:themeColor="text1"/>
          <w:szCs w:val="24"/>
        </w:rPr>
        <w:t>main migration channels</w:t>
      </w:r>
      <w:r w:rsidR="00941046" w:rsidRPr="004B36B2">
        <w:rPr>
          <w:rFonts w:asciiTheme="majorBidi" w:hAnsiTheme="majorBidi" w:cstheme="majorBidi"/>
          <w:color w:val="000000" w:themeColor="text1"/>
          <w:szCs w:val="24"/>
        </w:rPr>
        <w:t>.</w:t>
      </w:r>
    </w:p>
    <w:p w14:paraId="4BD01164" w14:textId="77777777" w:rsidR="00F03BFB" w:rsidRPr="004B36B2" w:rsidRDefault="00F03BFB" w:rsidP="00283A3C">
      <w:pPr>
        <w:spacing w:line="288" w:lineRule="auto"/>
        <w:ind w:firstLine="720"/>
        <w:jc w:val="both"/>
        <w:rPr>
          <w:rFonts w:asciiTheme="majorBidi" w:hAnsiTheme="majorBidi" w:cstheme="majorBidi"/>
          <w:color w:val="000000" w:themeColor="text1"/>
          <w:szCs w:val="24"/>
        </w:rPr>
      </w:pPr>
    </w:p>
    <w:p w14:paraId="2E865A99" w14:textId="4424933C" w:rsidR="000B725E" w:rsidRDefault="000B725E" w:rsidP="00283A3C">
      <w:pPr>
        <w:spacing w:line="288" w:lineRule="auto"/>
        <w:ind w:firstLine="720"/>
        <w:jc w:val="both"/>
        <w:rPr>
          <w:rFonts w:asciiTheme="majorBidi" w:eastAsia="Calibri" w:hAnsiTheme="majorBidi" w:cstheme="majorBidi"/>
          <w:color w:val="000000" w:themeColor="text1"/>
          <w:szCs w:val="24"/>
        </w:rPr>
      </w:pPr>
      <w:r w:rsidRPr="004B36B2">
        <w:rPr>
          <w:rFonts w:asciiTheme="majorBidi" w:hAnsiTheme="majorBidi" w:cstheme="majorBidi"/>
          <w:color w:val="000000" w:themeColor="text1"/>
          <w:szCs w:val="24"/>
        </w:rPr>
        <w:t>We assume th</w:t>
      </w:r>
      <w:r w:rsidR="001159AB" w:rsidRPr="004B36B2">
        <w:rPr>
          <w:rFonts w:asciiTheme="majorBidi" w:hAnsiTheme="majorBidi" w:cstheme="majorBidi"/>
          <w:color w:val="000000" w:themeColor="text1"/>
          <w:szCs w:val="24"/>
        </w:rPr>
        <w:t>at the effect of migration is main</w:t>
      </w:r>
      <w:r w:rsidRPr="004B36B2">
        <w:rPr>
          <w:rFonts w:asciiTheme="majorBidi" w:hAnsiTheme="majorBidi" w:cstheme="majorBidi"/>
          <w:color w:val="000000" w:themeColor="text1"/>
          <w:szCs w:val="24"/>
        </w:rPr>
        <w:t xml:space="preserve">ly </w:t>
      </w:r>
      <w:r w:rsidRPr="004B36B2">
        <w:rPr>
          <w:rFonts w:asciiTheme="majorBidi" w:hAnsiTheme="majorBidi" w:cstheme="majorBidi"/>
          <w:noProof/>
          <w:color w:val="000000" w:themeColor="text1"/>
          <w:szCs w:val="24"/>
        </w:rPr>
        <w:t>channeled</w:t>
      </w:r>
      <w:r w:rsidRPr="004B36B2">
        <w:rPr>
          <w:rFonts w:asciiTheme="majorBidi" w:hAnsiTheme="majorBidi" w:cstheme="majorBidi"/>
          <w:color w:val="000000" w:themeColor="text1"/>
          <w:szCs w:val="24"/>
        </w:rPr>
        <w:t xml:space="preserve"> through remittanc</w:t>
      </w:r>
      <w:r w:rsidR="00F5590A" w:rsidRPr="004B36B2">
        <w:rPr>
          <w:rFonts w:asciiTheme="majorBidi" w:hAnsiTheme="majorBidi" w:cstheme="majorBidi"/>
          <w:color w:val="000000" w:themeColor="text1"/>
          <w:szCs w:val="24"/>
        </w:rPr>
        <w:t>e</w:t>
      </w:r>
      <w:r w:rsidR="00F85ECC" w:rsidRPr="004B36B2">
        <w:rPr>
          <w:rFonts w:asciiTheme="majorBidi" w:hAnsiTheme="majorBidi" w:cstheme="majorBidi"/>
          <w:color w:val="000000" w:themeColor="text1"/>
          <w:szCs w:val="24"/>
        </w:rPr>
        <w:t>s</w:t>
      </w:r>
      <w:r w:rsidR="001159AB" w:rsidRPr="004B36B2">
        <w:rPr>
          <w:rFonts w:asciiTheme="majorBidi" w:hAnsiTheme="majorBidi" w:cstheme="majorBidi"/>
          <w:color w:val="000000" w:themeColor="text1"/>
          <w:szCs w:val="24"/>
        </w:rPr>
        <w:t>, given that</w:t>
      </w:r>
      <w:r w:rsidRPr="004B36B2">
        <w:rPr>
          <w:rFonts w:asciiTheme="majorBidi" w:hAnsiTheme="majorBidi" w:cstheme="majorBidi"/>
          <w:color w:val="000000" w:themeColor="text1"/>
          <w:szCs w:val="24"/>
        </w:rPr>
        <w:t xml:space="preserve"> </w:t>
      </w:r>
      <w:r w:rsidR="001159AB" w:rsidRPr="004B36B2">
        <w:rPr>
          <w:rFonts w:asciiTheme="majorBidi" w:hAnsiTheme="majorBidi" w:cstheme="majorBidi"/>
          <w:color w:val="000000" w:themeColor="text1"/>
          <w:szCs w:val="24"/>
        </w:rPr>
        <w:t xml:space="preserve">identifying separate effects can be difficult because </w:t>
      </w:r>
      <w:r w:rsidRPr="004B36B2">
        <w:rPr>
          <w:rFonts w:asciiTheme="majorBidi" w:hAnsiTheme="majorBidi" w:cstheme="majorBidi"/>
          <w:color w:val="000000" w:themeColor="text1"/>
          <w:szCs w:val="24"/>
        </w:rPr>
        <w:t>migration and remittance</w:t>
      </w:r>
      <w:r w:rsidR="00F85ECC"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are </w:t>
      </w:r>
      <w:r w:rsidR="00F5590A" w:rsidRPr="004B36B2">
        <w:rPr>
          <w:rFonts w:asciiTheme="majorBidi" w:hAnsiTheme="majorBidi" w:cstheme="majorBidi"/>
          <w:color w:val="000000" w:themeColor="text1"/>
          <w:szCs w:val="24"/>
        </w:rPr>
        <w:t xml:space="preserve">highly </w:t>
      </w:r>
      <w:r w:rsidRPr="004B36B2">
        <w:rPr>
          <w:rFonts w:asciiTheme="majorBidi" w:hAnsiTheme="majorBidi" w:cstheme="majorBidi"/>
          <w:color w:val="000000" w:themeColor="text1"/>
          <w:szCs w:val="24"/>
        </w:rPr>
        <w:t>correlated.</w:t>
      </w:r>
      <w:r w:rsidR="005B7949" w:rsidRPr="004B36B2">
        <w:rPr>
          <w:rFonts w:asciiTheme="majorBidi" w:hAnsiTheme="majorBidi" w:cstheme="majorBidi"/>
          <w:color w:val="000000" w:themeColor="text1"/>
          <w:szCs w:val="24"/>
        </w:rPr>
        <w:t xml:space="preserve"> Also</w:t>
      </w:r>
      <w:r w:rsidR="00A05A1B" w:rsidRPr="004B36B2">
        <w:rPr>
          <w:rFonts w:asciiTheme="majorBidi" w:hAnsiTheme="majorBidi" w:cstheme="majorBidi"/>
          <w:color w:val="000000" w:themeColor="text1"/>
          <w:szCs w:val="24"/>
        </w:rPr>
        <w:t>,</w:t>
      </w:r>
      <w:r w:rsidR="00F85ECC" w:rsidRPr="004B36B2">
        <w:rPr>
          <w:rFonts w:asciiTheme="majorBidi" w:hAnsiTheme="majorBidi" w:cstheme="majorBidi"/>
          <w:color w:val="000000" w:themeColor="text1"/>
          <w:szCs w:val="24"/>
        </w:rPr>
        <w:t xml:space="preserve"> </w:t>
      </w:r>
      <w:r w:rsidR="001B1E5E" w:rsidRPr="004B36B2">
        <w:rPr>
          <w:rFonts w:asciiTheme="majorBidi" w:hAnsiTheme="majorBidi" w:cstheme="majorBidi"/>
          <w:color w:val="000000" w:themeColor="text1"/>
          <w:szCs w:val="24"/>
        </w:rPr>
        <w:t>remittance</w:t>
      </w:r>
      <w:r w:rsidR="00F85ECC" w:rsidRPr="004B36B2">
        <w:rPr>
          <w:rFonts w:asciiTheme="majorBidi" w:hAnsiTheme="majorBidi" w:cstheme="majorBidi"/>
          <w:color w:val="000000" w:themeColor="text1"/>
          <w:szCs w:val="24"/>
        </w:rPr>
        <w:t>s</w:t>
      </w:r>
      <w:r w:rsidR="001B1E5E" w:rsidRPr="004B36B2">
        <w:rPr>
          <w:rFonts w:asciiTheme="majorBidi" w:hAnsiTheme="majorBidi" w:cstheme="majorBidi"/>
          <w:color w:val="000000" w:themeColor="text1"/>
          <w:szCs w:val="24"/>
        </w:rPr>
        <w:t xml:space="preserve"> </w:t>
      </w:r>
      <w:r w:rsidR="005B7949" w:rsidRPr="004B36B2">
        <w:rPr>
          <w:rFonts w:asciiTheme="majorBidi" w:hAnsiTheme="majorBidi" w:cstheme="majorBidi"/>
          <w:color w:val="000000" w:themeColor="text1"/>
          <w:szCs w:val="24"/>
        </w:rPr>
        <w:t>depend upon migrants becoming</w:t>
      </w:r>
      <w:r w:rsidRPr="004B36B2">
        <w:rPr>
          <w:rFonts w:asciiTheme="majorBidi" w:hAnsiTheme="majorBidi" w:cstheme="majorBidi"/>
          <w:color w:val="000000" w:themeColor="text1"/>
          <w:szCs w:val="24"/>
        </w:rPr>
        <w:t xml:space="preserve"> established in the </w:t>
      </w:r>
      <w:r w:rsidRPr="004B36B2">
        <w:rPr>
          <w:rFonts w:asciiTheme="majorBidi" w:hAnsiTheme="majorBidi" w:cstheme="majorBidi"/>
          <w:noProof/>
          <w:color w:val="000000" w:themeColor="text1"/>
          <w:szCs w:val="24"/>
        </w:rPr>
        <w:t>destination</w:t>
      </w:r>
      <w:r w:rsidR="001159AB" w:rsidRPr="004B36B2">
        <w:rPr>
          <w:rFonts w:asciiTheme="majorBidi" w:hAnsiTheme="majorBidi" w:cstheme="majorBidi"/>
          <w:noProof/>
          <w:color w:val="000000" w:themeColor="text1"/>
          <w:szCs w:val="24"/>
        </w:rPr>
        <w:t>,</w:t>
      </w:r>
      <w:r w:rsidR="001B1E5E" w:rsidRPr="004B36B2">
        <w:rPr>
          <w:rFonts w:asciiTheme="majorBidi" w:hAnsiTheme="majorBidi" w:cstheme="majorBidi"/>
          <w:color w:val="000000" w:themeColor="text1"/>
          <w:szCs w:val="24"/>
        </w:rPr>
        <w:t xml:space="preserve"> </w:t>
      </w:r>
      <w:r w:rsidR="001159AB" w:rsidRPr="004B36B2">
        <w:rPr>
          <w:rFonts w:asciiTheme="majorBidi" w:hAnsiTheme="majorBidi" w:cstheme="majorBidi"/>
          <w:color w:val="000000" w:themeColor="text1"/>
          <w:szCs w:val="24"/>
        </w:rPr>
        <w:t xml:space="preserve">so </w:t>
      </w:r>
      <w:r w:rsidR="005B7949" w:rsidRPr="004B36B2">
        <w:rPr>
          <w:rFonts w:asciiTheme="majorBidi" w:hAnsiTheme="majorBidi" w:cstheme="majorBidi"/>
          <w:color w:val="000000" w:themeColor="text1"/>
          <w:szCs w:val="24"/>
        </w:rPr>
        <w:t xml:space="preserve">it may take some time to compensate </w:t>
      </w:r>
      <w:r w:rsidR="001159AB" w:rsidRPr="004B36B2">
        <w:rPr>
          <w:rFonts w:asciiTheme="majorBidi" w:hAnsiTheme="majorBidi" w:cstheme="majorBidi"/>
          <w:color w:val="000000" w:themeColor="text1"/>
          <w:szCs w:val="24"/>
        </w:rPr>
        <w:t xml:space="preserve">their left-behind family members </w:t>
      </w:r>
      <w:r w:rsidR="005B7949" w:rsidRPr="004B36B2">
        <w:rPr>
          <w:rFonts w:asciiTheme="majorBidi" w:hAnsiTheme="majorBidi" w:cstheme="majorBidi"/>
          <w:color w:val="000000" w:themeColor="text1"/>
          <w:szCs w:val="24"/>
        </w:rPr>
        <w:t>for the</w:t>
      </w:r>
      <w:r w:rsidR="001B1E5E" w:rsidRPr="004B36B2">
        <w:rPr>
          <w:rFonts w:asciiTheme="majorBidi" w:hAnsiTheme="majorBidi" w:cstheme="majorBidi"/>
          <w:color w:val="000000" w:themeColor="text1"/>
          <w:szCs w:val="24"/>
        </w:rPr>
        <w:t xml:space="preserve"> initial loss</w:t>
      </w:r>
      <w:r w:rsidR="005B7949" w:rsidRPr="004B36B2">
        <w:rPr>
          <w:rFonts w:asciiTheme="majorBidi" w:hAnsiTheme="majorBidi" w:cstheme="majorBidi"/>
          <w:color w:val="000000" w:themeColor="text1"/>
          <w:szCs w:val="24"/>
        </w:rPr>
        <w:t xml:space="preserve"> of </w:t>
      </w:r>
      <w:r w:rsidR="001159AB" w:rsidRPr="004B36B2">
        <w:rPr>
          <w:rFonts w:asciiTheme="majorBidi" w:hAnsiTheme="majorBidi" w:cstheme="majorBidi"/>
          <w:color w:val="000000" w:themeColor="text1"/>
          <w:szCs w:val="24"/>
        </w:rPr>
        <w:t xml:space="preserve">local </w:t>
      </w:r>
      <w:r w:rsidR="005B7949" w:rsidRPr="004B36B2">
        <w:rPr>
          <w:rFonts w:asciiTheme="majorBidi" w:hAnsiTheme="majorBidi" w:cstheme="majorBidi"/>
          <w:color w:val="000000" w:themeColor="text1"/>
          <w:szCs w:val="24"/>
        </w:rPr>
        <w:t xml:space="preserve">income </w:t>
      </w:r>
      <w:r w:rsidR="001159AB" w:rsidRPr="004B36B2">
        <w:rPr>
          <w:rFonts w:asciiTheme="majorBidi" w:hAnsiTheme="majorBidi" w:cstheme="majorBidi"/>
          <w:color w:val="000000" w:themeColor="text1"/>
          <w:szCs w:val="24"/>
        </w:rPr>
        <w:t xml:space="preserve">that </w:t>
      </w:r>
      <w:r w:rsidR="005B7949" w:rsidRPr="004B36B2">
        <w:rPr>
          <w:rFonts w:asciiTheme="majorBidi" w:hAnsiTheme="majorBidi" w:cstheme="majorBidi"/>
          <w:color w:val="000000" w:themeColor="text1"/>
          <w:szCs w:val="24"/>
        </w:rPr>
        <w:t xml:space="preserve">the migrant </w:t>
      </w:r>
      <w:r w:rsidR="001159AB" w:rsidRPr="004B36B2">
        <w:rPr>
          <w:rFonts w:asciiTheme="majorBidi" w:hAnsiTheme="majorBidi" w:cstheme="majorBidi"/>
          <w:color w:val="000000" w:themeColor="text1"/>
          <w:szCs w:val="24"/>
        </w:rPr>
        <w:t>would have earned if they had not emigrated</w:t>
      </w:r>
      <w:r w:rsidR="001B1E5E" w:rsidRPr="004B36B2">
        <w:rPr>
          <w:rFonts w:asciiTheme="majorBidi" w:hAnsiTheme="majorBidi" w:cstheme="majorBidi"/>
          <w:color w:val="000000" w:themeColor="text1"/>
          <w:szCs w:val="24"/>
        </w:rPr>
        <w:t xml:space="preserve">. </w:t>
      </w:r>
      <w:r w:rsidR="00B27D99" w:rsidRPr="004B36B2">
        <w:rPr>
          <w:rFonts w:asciiTheme="majorBidi" w:hAnsiTheme="majorBidi" w:cstheme="majorBidi"/>
          <w:color w:val="000000" w:themeColor="text1"/>
          <w:szCs w:val="24"/>
        </w:rPr>
        <w:t xml:space="preserve">Of the total migrants from Nepal, 76% of them are living abroad for more than a year (CBS, 2008, 2010), and </w:t>
      </w:r>
      <w:r w:rsidR="005B7949" w:rsidRPr="004B36B2">
        <w:rPr>
          <w:rFonts w:asciiTheme="majorBidi" w:hAnsiTheme="majorBidi" w:cstheme="majorBidi"/>
          <w:color w:val="000000" w:themeColor="text1"/>
          <w:szCs w:val="24"/>
        </w:rPr>
        <w:t xml:space="preserve">these </w:t>
      </w:r>
      <w:r w:rsidR="00B27D99" w:rsidRPr="004B36B2">
        <w:rPr>
          <w:rFonts w:asciiTheme="majorBidi" w:hAnsiTheme="majorBidi" w:cstheme="majorBidi"/>
          <w:color w:val="000000" w:themeColor="text1"/>
          <w:szCs w:val="24"/>
        </w:rPr>
        <w:t xml:space="preserve">are </w:t>
      </w:r>
      <w:r w:rsidR="005B7949" w:rsidRPr="004B36B2">
        <w:rPr>
          <w:rFonts w:asciiTheme="majorBidi" w:hAnsiTheme="majorBidi" w:cstheme="majorBidi"/>
          <w:color w:val="000000" w:themeColor="text1"/>
          <w:szCs w:val="24"/>
        </w:rPr>
        <w:t xml:space="preserve">the ones most </w:t>
      </w:r>
      <w:r w:rsidR="00B27D99" w:rsidRPr="004B36B2">
        <w:rPr>
          <w:rFonts w:asciiTheme="majorBidi" w:hAnsiTheme="majorBidi" w:cstheme="majorBidi"/>
          <w:color w:val="000000" w:themeColor="text1"/>
          <w:szCs w:val="24"/>
        </w:rPr>
        <w:t>likely to send remittance</w:t>
      </w:r>
      <w:r w:rsidR="005B7949" w:rsidRPr="004B36B2">
        <w:rPr>
          <w:rFonts w:asciiTheme="majorBidi" w:hAnsiTheme="majorBidi" w:cstheme="majorBidi"/>
          <w:color w:val="000000" w:themeColor="text1"/>
          <w:szCs w:val="24"/>
        </w:rPr>
        <w:t>s</w:t>
      </w:r>
      <w:r w:rsidR="00B27D99" w:rsidRPr="004B36B2">
        <w:rPr>
          <w:rFonts w:asciiTheme="majorBidi" w:hAnsiTheme="majorBidi" w:cstheme="majorBidi"/>
          <w:color w:val="000000" w:themeColor="text1"/>
          <w:szCs w:val="24"/>
        </w:rPr>
        <w:t xml:space="preserve">. </w:t>
      </w:r>
      <w:r w:rsidR="001159AB" w:rsidRPr="004B36B2">
        <w:rPr>
          <w:rFonts w:asciiTheme="majorBidi" w:hAnsiTheme="majorBidi" w:cstheme="majorBidi"/>
          <w:color w:val="000000" w:themeColor="text1"/>
          <w:szCs w:val="24"/>
        </w:rPr>
        <w:t>Thus, h</w:t>
      </w:r>
      <w:r w:rsidR="001B1E5E" w:rsidRPr="004B36B2">
        <w:rPr>
          <w:rFonts w:asciiTheme="majorBidi" w:hAnsiTheme="majorBidi" w:cstheme="majorBidi"/>
          <w:color w:val="000000" w:themeColor="text1"/>
          <w:szCs w:val="24"/>
        </w:rPr>
        <w:t>ousehold</w:t>
      </w:r>
      <w:r w:rsidR="00EE0D94" w:rsidRPr="004B36B2">
        <w:rPr>
          <w:rFonts w:asciiTheme="majorBidi" w:hAnsiTheme="majorBidi" w:cstheme="majorBidi"/>
          <w:color w:val="000000" w:themeColor="text1"/>
          <w:szCs w:val="24"/>
        </w:rPr>
        <w:t>s</w:t>
      </w:r>
      <w:r w:rsidR="001B1E5E" w:rsidRPr="004B36B2">
        <w:rPr>
          <w:rFonts w:asciiTheme="majorBidi" w:hAnsiTheme="majorBidi" w:cstheme="majorBidi"/>
          <w:color w:val="000000" w:themeColor="text1"/>
          <w:szCs w:val="24"/>
        </w:rPr>
        <w:t xml:space="preserve"> </w:t>
      </w:r>
      <w:r w:rsidR="005B7949" w:rsidRPr="004B36B2">
        <w:rPr>
          <w:rFonts w:asciiTheme="majorBidi" w:hAnsiTheme="majorBidi" w:cstheme="majorBidi"/>
          <w:color w:val="000000" w:themeColor="text1"/>
          <w:szCs w:val="24"/>
        </w:rPr>
        <w:t xml:space="preserve">with </w:t>
      </w:r>
      <w:r w:rsidR="001159AB" w:rsidRPr="004B36B2">
        <w:rPr>
          <w:rFonts w:asciiTheme="majorBidi" w:hAnsiTheme="majorBidi" w:cstheme="majorBidi"/>
          <w:color w:val="000000" w:themeColor="text1"/>
          <w:szCs w:val="24"/>
        </w:rPr>
        <w:t xml:space="preserve">longer duration </w:t>
      </w:r>
      <w:r w:rsidR="005B7949" w:rsidRPr="004B36B2">
        <w:rPr>
          <w:rFonts w:asciiTheme="majorBidi" w:hAnsiTheme="majorBidi" w:cstheme="majorBidi"/>
          <w:color w:val="000000" w:themeColor="text1"/>
          <w:szCs w:val="24"/>
        </w:rPr>
        <w:t>e</w:t>
      </w:r>
      <w:r w:rsidR="001B1E5E" w:rsidRPr="004B36B2">
        <w:rPr>
          <w:rFonts w:asciiTheme="majorBidi" w:hAnsiTheme="majorBidi" w:cstheme="majorBidi"/>
          <w:color w:val="000000" w:themeColor="text1"/>
          <w:szCs w:val="24"/>
        </w:rPr>
        <w:t>migrants</w:t>
      </w:r>
      <w:r w:rsidR="005B7949" w:rsidRPr="004B36B2">
        <w:rPr>
          <w:rFonts w:asciiTheme="majorBidi" w:hAnsiTheme="majorBidi" w:cstheme="majorBidi"/>
          <w:color w:val="000000" w:themeColor="text1"/>
          <w:szCs w:val="24"/>
        </w:rPr>
        <w:t xml:space="preserve"> may see </w:t>
      </w:r>
      <w:r w:rsidR="001B1E5E" w:rsidRPr="004B36B2">
        <w:rPr>
          <w:rFonts w:asciiTheme="majorBidi" w:hAnsiTheme="majorBidi" w:cstheme="majorBidi"/>
          <w:color w:val="000000" w:themeColor="text1"/>
          <w:szCs w:val="24"/>
        </w:rPr>
        <w:t xml:space="preserve">more pronounced </w:t>
      </w:r>
      <w:r w:rsidR="005B7949" w:rsidRPr="004B36B2">
        <w:rPr>
          <w:rFonts w:asciiTheme="majorBidi" w:hAnsiTheme="majorBidi" w:cstheme="majorBidi"/>
          <w:color w:val="000000" w:themeColor="text1"/>
          <w:szCs w:val="24"/>
        </w:rPr>
        <w:t xml:space="preserve">effects </w:t>
      </w:r>
      <w:r w:rsidR="001B1E5E" w:rsidRPr="004B36B2">
        <w:rPr>
          <w:rFonts w:asciiTheme="majorBidi" w:hAnsiTheme="majorBidi" w:cstheme="majorBidi"/>
          <w:color w:val="000000" w:themeColor="text1"/>
          <w:szCs w:val="24"/>
        </w:rPr>
        <w:t xml:space="preserve">than </w:t>
      </w:r>
      <w:r w:rsidR="001159AB" w:rsidRPr="004B36B2">
        <w:rPr>
          <w:rFonts w:asciiTheme="majorBidi" w:hAnsiTheme="majorBidi" w:cstheme="majorBidi"/>
          <w:color w:val="000000" w:themeColor="text1"/>
          <w:szCs w:val="24"/>
        </w:rPr>
        <w:t>do</w:t>
      </w:r>
      <w:r w:rsidR="005B7949" w:rsidRPr="004B36B2">
        <w:rPr>
          <w:rFonts w:asciiTheme="majorBidi" w:hAnsiTheme="majorBidi" w:cstheme="majorBidi"/>
          <w:color w:val="000000" w:themeColor="text1"/>
          <w:szCs w:val="24"/>
        </w:rPr>
        <w:t xml:space="preserve"> </w:t>
      </w:r>
      <w:r w:rsidR="001B1E5E" w:rsidRPr="004B36B2">
        <w:rPr>
          <w:rFonts w:asciiTheme="majorBidi" w:hAnsiTheme="majorBidi" w:cstheme="majorBidi"/>
          <w:color w:val="000000" w:themeColor="text1"/>
          <w:szCs w:val="24"/>
        </w:rPr>
        <w:t>househ</w:t>
      </w:r>
      <w:r w:rsidR="00B27D99" w:rsidRPr="004B36B2">
        <w:rPr>
          <w:rFonts w:asciiTheme="majorBidi" w:hAnsiTheme="majorBidi" w:cstheme="majorBidi"/>
          <w:color w:val="000000" w:themeColor="text1"/>
          <w:szCs w:val="24"/>
        </w:rPr>
        <w:t>old</w:t>
      </w:r>
      <w:r w:rsidR="005B7949" w:rsidRPr="004B36B2">
        <w:rPr>
          <w:rFonts w:asciiTheme="majorBidi" w:hAnsiTheme="majorBidi" w:cstheme="majorBidi"/>
          <w:color w:val="000000" w:themeColor="text1"/>
          <w:szCs w:val="24"/>
        </w:rPr>
        <w:t>s</w:t>
      </w:r>
      <w:r w:rsidR="00B27D99" w:rsidRPr="004B36B2">
        <w:rPr>
          <w:rFonts w:asciiTheme="majorBidi" w:hAnsiTheme="majorBidi" w:cstheme="majorBidi"/>
          <w:color w:val="000000" w:themeColor="text1"/>
          <w:szCs w:val="24"/>
        </w:rPr>
        <w:t xml:space="preserve"> sending new migrants</w:t>
      </w:r>
      <w:r w:rsidR="001159AB" w:rsidRPr="004B36B2">
        <w:rPr>
          <w:rFonts w:asciiTheme="majorBidi" w:hAnsiTheme="majorBidi" w:cstheme="majorBidi"/>
          <w:color w:val="000000" w:themeColor="text1"/>
          <w:szCs w:val="24"/>
        </w:rPr>
        <w:t>.</w:t>
      </w:r>
      <w:r w:rsidR="00B27D99" w:rsidRPr="004B36B2">
        <w:rPr>
          <w:rFonts w:asciiTheme="majorBidi" w:hAnsiTheme="majorBidi" w:cstheme="majorBidi"/>
          <w:color w:val="000000" w:themeColor="text1"/>
          <w:szCs w:val="24"/>
        </w:rPr>
        <w:t xml:space="preserve"> </w:t>
      </w:r>
      <w:r w:rsidR="001159AB" w:rsidRPr="004B36B2">
        <w:rPr>
          <w:rFonts w:asciiTheme="majorBidi" w:hAnsiTheme="majorBidi" w:cstheme="majorBidi"/>
          <w:color w:val="000000" w:themeColor="text1"/>
          <w:szCs w:val="24"/>
        </w:rPr>
        <w:t>With</w:t>
      </w:r>
      <w:r w:rsidR="005B7949" w:rsidRPr="004B36B2">
        <w:rPr>
          <w:rFonts w:asciiTheme="majorBidi" w:hAnsiTheme="majorBidi" w:cstheme="majorBidi"/>
          <w:color w:val="000000" w:themeColor="text1"/>
          <w:szCs w:val="24"/>
        </w:rPr>
        <w:t xml:space="preserve"> our village-level data </w:t>
      </w:r>
      <w:r w:rsidR="001159AB" w:rsidRPr="004B36B2">
        <w:rPr>
          <w:rFonts w:asciiTheme="majorBidi" w:hAnsiTheme="majorBidi" w:cstheme="majorBidi"/>
          <w:color w:val="000000" w:themeColor="text1"/>
          <w:szCs w:val="24"/>
        </w:rPr>
        <w:t>we are implicitly averaging</w:t>
      </w:r>
      <w:r w:rsidR="005B7949" w:rsidRPr="004B36B2">
        <w:rPr>
          <w:rFonts w:asciiTheme="majorBidi" w:hAnsiTheme="majorBidi" w:cstheme="majorBidi"/>
          <w:color w:val="000000" w:themeColor="text1"/>
          <w:szCs w:val="24"/>
        </w:rPr>
        <w:t xml:space="preserve"> over these differences</w:t>
      </w:r>
      <w:r w:rsidRPr="004B36B2">
        <w:rPr>
          <w:rFonts w:asciiTheme="majorBidi" w:eastAsia="Calibri" w:hAnsiTheme="majorBidi" w:cstheme="majorBidi"/>
          <w:color w:val="000000" w:themeColor="text1"/>
          <w:szCs w:val="24"/>
        </w:rPr>
        <w:t>.</w:t>
      </w:r>
      <w:r w:rsidR="005B7949" w:rsidRPr="004B36B2">
        <w:rPr>
          <w:rStyle w:val="FootnoteReference"/>
          <w:rFonts w:asciiTheme="majorBidi" w:hAnsiTheme="majorBidi" w:cstheme="majorBidi"/>
          <w:color w:val="000000" w:themeColor="text1"/>
          <w:szCs w:val="24"/>
        </w:rPr>
        <w:footnoteReference w:id="6"/>
      </w:r>
      <w:r w:rsidRPr="004B36B2">
        <w:rPr>
          <w:rFonts w:asciiTheme="majorBidi" w:eastAsia="Calibri" w:hAnsiTheme="majorBidi" w:cstheme="majorBidi"/>
          <w:color w:val="000000" w:themeColor="text1"/>
          <w:szCs w:val="24"/>
        </w:rPr>
        <w:t xml:space="preserve"> </w:t>
      </w:r>
    </w:p>
    <w:p w14:paraId="4A313246" w14:textId="77777777" w:rsidR="00F03BFB" w:rsidRPr="004B36B2" w:rsidRDefault="00F03BFB" w:rsidP="00283A3C">
      <w:pPr>
        <w:spacing w:line="288" w:lineRule="auto"/>
        <w:ind w:firstLine="720"/>
        <w:jc w:val="both"/>
        <w:rPr>
          <w:rFonts w:asciiTheme="majorBidi" w:hAnsiTheme="majorBidi" w:cstheme="majorBidi"/>
          <w:color w:val="000000" w:themeColor="text1"/>
          <w:szCs w:val="24"/>
        </w:rPr>
      </w:pPr>
    </w:p>
    <w:p w14:paraId="734E5DB2" w14:textId="5C627A39" w:rsidR="00032925" w:rsidRPr="00F03BFB" w:rsidRDefault="00450C49" w:rsidP="00283A3C">
      <w:pPr>
        <w:spacing w:line="288" w:lineRule="auto"/>
        <w:jc w:val="both"/>
        <w:rPr>
          <w:rFonts w:asciiTheme="majorBidi" w:hAnsiTheme="majorBidi" w:cstheme="majorBidi"/>
          <w:b/>
          <w:bCs/>
          <w:iCs/>
          <w:color w:val="000000" w:themeColor="text1"/>
          <w:szCs w:val="24"/>
        </w:rPr>
      </w:pPr>
      <w:r w:rsidRPr="00F03BFB">
        <w:rPr>
          <w:rFonts w:asciiTheme="majorBidi" w:hAnsiTheme="majorBidi" w:cstheme="majorBidi"/>
          <w:b/>
          <w:bCs/>
          <w:iCs/>
          <w:color w:val="000000" w:themeColor="text1"/>
          <w:szCs w:val="24"/>
        </w:rPr>
        <w:t xml:space="preserve">The </w:t>
      </w:r>
      <w:r w:rsidR="00A75B0F" w:rsidRPr="00F03BFB">
        <w:rPr>
          <w:rFonts w:asciiTheme="majorBidi" w:hAnsiTheme="majorBidi" w:cstheme="majorBidi"/>
          <w:b/>
          <w:bCs/>
          <w:iCs/>
          <w:noProof/>
          <w:color w:val="000000" w:themeColor="text1"/>
          <w:szCs w:val="24"/>
        </w:rPr>
        <w:t>Economet</w:t>
      </w:r>
      <w:r w:rsidR="006841D5" w:rsidRPr="00F03BFB">
        <w:rPr>
          <w:rFonts w:asciiTheme="majorBidi" w:hAnsiTheme="majorBidi" w:cstheme="majorBidi"/>
          <w:b/>
          <w:bCs/>
          <w:iCs/>
          <w:noProof/>
          <w:color w:val="000000" w:themeColor="text1"/>
          <w:szCs w:val="24"/>
        </w:rPr>
        <w:t>ric</w:t>
      </w:r>
      <w:r w:rsidRPr="00F03BFB">
        <w:rPr>
          <w:rFonts w:asciiTheme="majorBidi" w:hAnsiTheme="majorBidi" w:cstheme="majorBidi"/>
          <w:b/>
          <w:bCs/>
          <w:iCs/>
          <w:color w:val="000000" w:themeColor="text1"/>
          <w:szCs w:val="24"/>
        </w:rPr>
        <w:t xml:space="preserve"> Model</w:t>
      </w:r>
    </w:p>
    <w:p w14:paraId="2CD28944" w14:textId="77777777" w:rsidR="00E71E45" w:rsidRPr="00E71E45" w:rsidRDefault="00E71E45" w:rsidP="00F03BFB">
      <w:pPr>
        <w:spacing w:line="288" w:lineRule="auto"/>
        <w:jc w:val="both"/>
        <w:rPr>
          <w:rFonts w:asciiTheme="majorBidi" w:hAnsiTheme="majorBidi" w:cstheme="majorBidi"/>
          <w:color w:val="000000" w:themeColor="text1"/>
          <w:sz w:val="6"/>
          <w:szCs w:val="6"/>
        </w:rPr>
      </w:pPr>
    </w:p>
    <w:p w14:paraId="206D65C2" w14:textId="23C73896" w:rsidR="00767219" w:rsidRDefault="00F03BFB" w:rsidP="00F03BFB">
      <w:pPr>
        <w:spacing w:line="288" w:lineRule="auto"/>
        <w:jc w:val="both"/>
        <w:rPr>
          <w:rFonts w:asciiTheme="majorBidi" w:hAnsiTheme="majorBidi" w:cstheme="majorBidi"/>
          <w:color w:val="000000" w:themeColor="text1"/>
          <w:szCs w:val="24"/>
        </w:rPr>
      </w:pPr>
      <w:r>
        <w:rPr>
          <w:rFonts w:asciiTheme="majorBidi" w:hAnsiTheme="majorBidi" w:cstheme="majorBidi"/>
          <w:color w:val="000000" w:themeColor="text1"/>
          <w:szCs w:val="24"/>
        </w:rPr>
        <w:t>W</w:t>
      </w:r>
      <w:r w:rsidR="00B93CDF" w:rsidRPr="004B36B2">
        <w:rPr>
          <w:rFonts w:asciiTheme="majorBidi" w:hAnsiTheme="majorBidi" w:cstheme="majorBidi"/>
          <w:color w:val="000000" w:themeColor="text1"/>
          <w:szCs w:val="24"/>
        </w:rPr>
        <w:t xml:space="preserve">e assume </w:t>
      </w:r>
      <w:r w:rsidR="006E000A" w:rsidRPr="004B36B2">
        <w:rPr>
          <w:rFonts w:asciiTheme="majorBidi" w:hAnsiTheme="majorBidi" w:cstheme="majorBidi"/>
          <w:color w:val="000000" w:themeColor="text1"/>
          <w:szCs w:val="24"/>
        </w:rPr>
        <w:t xml:space="preserve">that </w:t>
      </w:r>
      <w:r w:rsidR="00B93CDF" w:rsidRPr="004B36B2">
        <w:rPr>
          <w:rFonts w:asciiTheme="majorBidi" w:hAnsiTheme="majorBidi" w:cstheme="majorBidi"/>
          <w:color w:val="000000" w:themeColor="text1"/>
          <w:szCs w:val="24"/>
        </w:rPr>
        <w:t xml:space="preserve">altruistic </w:t>
      </w:r>
      <w:r w:rsidR="00B40294" w:rsidRPr="004B36B2">
        <w:rPr>
          <w:rFonts w:asciiTheme="majorBidi" w:hAnsiTheme="majorBidi" w:cstheme="majorBidi"/>
          <w:color w:val="000000" w:themeColor="text1"/>
          <w:szCs w:val="24"/>
        </w:rPr>
        <w:t xml:space="preserve">parents </w:t>
      </w:r>
      <w:r w:rsidR="00B93CDF" w:rsidRPr="004B36B2">
        <w:rPr>
          <w:rFonts w:asciiTheme="majorBidi" w:hAnsiTheme="majorBidi" w:cstheme="majorBidi"/>
          <w:color w:val="000000" w:themeColor="text1"/>
          <w:szCs w:val="24"/>
        </w:rPr>
        <w:t>get utility from additional human capital of household member</w:t>
      </w:r>
      <w:r w:rsidR="00121258" w:rsidRPr="004B36B2">
        <w:rPr>
          <w:rFonts w:asciiTheme="majorBidi" w:hAnsiTheme="majorBidi" w:cstheme="majorBidi"/>
          <w:color w:val="000000" w:themeColor="text1"/>
          <w:szCs w:val="24"/>
        </w:rPr>
        <w:t>s</w:t>
      </w:r>
      <w:r w:rsidR="006F3364"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rPr>
        <w:t xml:space="preserve">They </w:t>
      </w:r>
      <w:r w:rsidR="006F3364" w:rsidRPr="004B36B2">
        <w:rPr>
          <w:rFonts w:asciiTheme="majorBidi" w:hAnsiTheme="majorBidi" w:cstheme="majorBidi"/>
          <w:color w:val="000000" w:themeColor="text1"/>
          <w:szCs w:val="24"/>
        </w:rPr>
        <w:t>send ch</w:t>
      </w:r>
      <w:r w:rsidR="00F625B3" w:rsidRPr="004B36B2">
        <w:rPr>
          <w:rFonts w:asciiTheme="majorBidi" w:hAnsiTheme="majorBidi" w:cstheme="majorBidi"/>
          <w:color w:val="000000" w:themeColor="text1"/>
          <w:szCs w:val="24"/>
        </w:rPr>
        <w:t>ildren to school if they expect</w:t>
      </w:r>
      <w:r w:rsidR="0073521E"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rPr>
        <w:t xml:space="preserve">the discounted value of future </w:t>
      </w:r>
      <w:r w:rsidR="006F3364" w:rsidRPr="004B36B2">
        <w:rPr>
          <w:rFonts w:asciiTheme="majorBidi" w:hAnsiTheme="majorBidi" w:cstheme="majorBidi"/>
          <w:color w:val="000000" w:themeColor="text1"/>
          <w:szCs w:val="24"/>
        </w:rPr>
        <w:t>return</w:t>
      </w:r>
      <w:r w:rsidR="00B40294" w:rsidRPr="004B36B2">
        <w:rPr>
          <w:rFonts w:asciiTheme="majorBidi" w:hAnsiTheme="majorBidi" w:cstheme="majorBidi"/>
          <w:color w:val="000000" w:themeColor="text1"/>
          <w:szCs w:val="24"/>
        </w:rPr>
        <w:t>s</w:t>
      </w:r>
      <w:r w:rsidR="006F3364" w:rsidRPr="004B36B2">
        <w:rPr>
          <w:rFonts w:asciiTheme="majorBidi" w:hAnsiTheme="majorBidi" w:cstheme="majorBidi"/>
          <w:color w:val="000000" w:themeColor="text1"/>
          <w:szCs w:val="24"/>
        </w:rPr>
        <w:t xml:space="preserve"> </w:t>
      </w:r>
      <w:r w:rsidR="00F625B3" w:rsidRPr="004B36B2">
        <w:rPr>
          <w:rFonts w:asciiTheme="majorBidi" w:hAnsiTheme="majorBidi" w:cstheme="majorBidi"/>
          <w:color w:val="000000" w:themeColor="text1"/>
          <w:szCs w:val="24"/>
        </w:rPr>
        <w:t>from</w:t>
      </w:r>
      <w:r w:rsidR="006F3364"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rPr>
        <w:t xml:space="preserve">the </w:t>
      </w:r>
      <w:r w:rsidR="00F625B3" w:rsidRPr="004B36B2">
        <w:rPr>
          <w:rFonts w:asciiTheme="majorBidi" w:hAnsiTheme="majorBidi" w:cstheme="majorBidi"/>
          <w:color w:val="000000" w:themeColor="text1"/>
          <w:szCs w:val="24"/>
        </w:rPr>
        <w:t>additional year</w:t>
      </w:r>
      <w:r w:rsidR="008F67CE" w:rsidRPr="004B36B2">
        <w:rPr>
          <w:rFonts w:asciiTheme="majorBidi" w:hAnsiTheme="majorBidi" w:cstheme="majorBidi"/>
          <w:color w:val="000000" w:themeColor="text1"/>
          <w:szCs w:val="24"/>
        </w:rPr>
        <w:t xml:space="preserve"> of </w:t>
      </w:r>
      <w:r w:rsidR="006F3364" w:rsidRPr="004B36B2">
        <w:rPr>
          <w:rFonts w:asciiTheme="majorBidi" w:hAnsiTheme="majorBidi" w:cstheme="majorBidi"/>
          <w:color w:val="000000" w:themeColor="text1"/>
          <w:szCs w:val="24"/>
        </w:rPr>
        <w:t xml:space="preserve">schooling </w:t>
      </w:r>
      <w:r w:rsidR="001159AB" w:rsidRPr="004B36B2">
        <w:rPr>
          <w:rFonts w:asciiTheme="majorBidi" w:hAnsiTheme="majorBidi" w:cstheme="majorBidi"/>
          <w:color w:val="000000" w:themeColor="text1"/>
          <w:szCs w:val="24"/>
        </w:rPr>
        <w:t>to outweigh</w:t>
      </w:r>
      <w:r w:rsidR="00B40294" w:rsidRPr="004B36B2">
        <w:rPr>
          <w:rFonts w:asciiTheme="majorBidi" w:hAnsiTheme="majorBidi" w:cstheme="majorBidi"/>
          <w:color w:val="000000" w:themeColor="text1"/>
          <w:szCs w:val="24"/>
        </w:rPr>
        <w:t xml:space="preserve"> the current costs</w:t>
      </w:r>
      <w:r w:rsidR="006F3364" w:rsidRPr="004B36B2">
        <w:rPr>
          <w:rFonts w:asciiTheme="majorBidi" w:hAnsiTheme="majorBidi" w:cstheme="majorBidi"/>
          <w:color w:val="000000" w:themeColor="text1"/>
          <w:szCs w:val="24"/>
        </w:rPr>
        <w:t xml:space="preserve">. </w:t>
      </w:r>
      <w:r w:rsidR="00093F48" w:rsidRPr="004B36B2">
        <w:rPr>
          <w:rFonts w:asciiTheme="majorBidi" w:hAnsiTheme="majorBidi" w:cstheme="majorBidi"/>
          <w:color w:val="000000" w:themeColor="text1"/>
          <w:szCs w:val="24"/>
        </w:rPr>
        <w:t>We</w:t>
      </w:r>
      <w:r w:rsidR="00543A8C" w:rsidRPr="004B36B2">
        <w:rPr>
          <w:rFonts w:asciiTheme="majorBidi" w:hAnsiTheme="majorBidi" w:cstheme="majorBidi"/>
          <w:color w:val="000000" w:themeColor="text1"/>
          <w:szCs w:val="24"/>
        </w:rPr>
        <w:t xml:space="preserve"> consider that m</w:t>
      </w:r>
      <w:r w:rsidR="00125347" w:rsidRPr="004B36B2">
        <w:rPr>
          <w:rFonts w:asciiTheme="majorBidi" w:hAnsiTheme="majorBidi" w:cstheme="majorBidi"/>
          <w:color w:val="000000" w:themeColor="text1"/>
          <w:szCs w:val="24"/>
        </w:rPr>
        <w:t xml:space="preserve">igration can have two </w:t>
      </w:r>
      <w:r w:rsidR="00B40294" w:rsidRPr="004B36B2">
        <w:rPr>
          <w:rFonts w:asciiTheme="majorBidi" w:hAnsiTheme="majorBidi" w:cstheme="majorBidi"/>
          <w:color w:val="000000" w:themeColor="text1"/>
          <w:szCs w:val="24"/>
        </w:rPr>
        <w:t>opposing</w:t>
      </w:r>
      <w:r w:rsidR="0044644A" w:rsidRPr="004B36B2">
        <w:rPr>
          <w:rFonts w:asciiTheme="majorBidi" w:hAnsiTheme="majorBidi" w:cstheme="majorBidi"/>
          <w:color w:val="000000" w:themeColor="text1"/>
          <w:szCs w:val="24"/>
        </w:rPr>
        <w:t xml:space="preserve"> </w:t>
      </w:r>
      <w:r w:rsidR="00125347" w:rsidRPr="004B36B2">
        <w:rPr>
          <w:rFonts w:asciiTheme="majorBidi" w:hAnsiTheme="majorBidi" w:cstheme="majorBidi"/>
          <w:noProof/>
          <w:color w:val="000000" w:themeColor="text1"/>
          <w:szCs w:val="24"/>
        </w:rPr>
        <w:t>effect</w:t>
      </w:r>
      <w:r w:rsidR="00121258" w:rsidRPr="004B36B2">
        <w:rPr>
          <w:rFonts w:asciiTheme="majorBidi" w:hAnsiTheme="majorBidi" w:cstheme="majorBidi"/>
          <w:noProof/>
          <w:color w:val="000000" w:themeColor="text1"/>
          <w:szCs w:val="24"/>
        </w:rPr>
        <w:t>s</w:t>
      </w:r>
      <w:r w:rsidR="00125347" w:rsidRPr="004B36B2">
        <w:rPr>
          <w:rFonts w:asciiTheme="majorBidi" w:hAnsiTheme="majorBidi" w:cstheme="majorBidi"/>
          <w:color w:val="000000" w:themeColor="text1"/>
          <w:szCs w:val="24"/>
        </w:rPr>
        <w:t>.</w:t>
      </w:r>
      <w:r w:rsidR="00B40294" w:rsidRPr="004B36B2">
        <w:rPr>
          <w:rFonts w:asciiTheme="majorBidi" w:hAnsiTheme="majorBidi" w:cstheme="majorBidi"/>
          <w:color w:val="000000" w:themeColor="text1"/>
          <w:szCs w:val="24"/>
        </w:rPr>
        <w:t xml:space="preserve"> I</w:t>
      </w:r>
      <w:r w:rsidR="00125347" w:rsidRPr="004B36B2">
        <w:rPr>
          <w:rFonts w:asciiTheme="majorBidi" w:hAnsiTheme="majorBidi" w:cstheme="majorBidi"/>
          <w:color w:val="000000" w:themeColor="text1"/>
          <w:szCs w:val="24"/>
        </w:rPr>
        <w:t>t ma</w:t>
      </w:r>
      <w:r w:rsidR="00954995" w:rsidRPr="004B36B2">
        <w:rPr>
          <w:rFonts w:asciiTheme="majorBidi" w:hAnsiTheme="majorBidi" w:cstheme="majorBidi"/>
          <w:color w:val="000000" w:themeColor="text1"/>
          <w:szCs w:val="24"/>
        </w:rPr>
        <w:t xml:space="preserve">y decrease </w:t>
      </w:r>
      <w:r w:rsidR="00767219" w:rsidRPr="004B36B2">
        <w:rPr>
          <w:rFonts w:asciiTheme="majorBidi" w:hAnsiTheme="majorBidi" w:cstheme="majorBidi"/>
          <w:color w:val="000000" w:themeColor="text1"/>
          <w:szCs w:val="24"/>
        </w:rPr>
        <w:t xml:space="preserve">child </w:t>
      </w:r>
      <w:r w:rsidR="00954995" w:rsidRPr="004B36B2">
        <w:rPr>
          <w:rFonts w:asciiTheme="majorBidi" w:hAnsiTheme="majorBidi" w:cstheme="majorBidi"/>
          <w:color w:val="000000" w:themeColor="text1"/>
          <w:szCs w:val="24"/>
        </w:rPr>
        <w:t xml:space="preserve">human capital if </w:t>
      </w:r>
      <w:r w:rsidR="00A81667" w:rsidRPr="004B36B2">
        <w:rPr>
          <w:rFonts w:asciiTheme="majorBidi" w:hAnsiTheme="majorBidi" w:cstheme="majorBidi"/>
          <w:color w:val="000000" w:themeColor="text1"/>
          <w:szCs w:val="24"/>
        </w:rPr>
        <w:t>parental</w:t>
      </w:r>
      <w:r w:rsidR="003E710D" w:rsidRPr="004B36B2">
        <w:rPr>
          <w:rFonts w:asciiTheme="majorBidi" w:hAnsiTheme="majorBidi" w:cstheme="majorBidi"/>
          <w:color w:val="000000" w:themeColor="text1"/>
          <w:szCs w:val="24"/>
        </w:rPr>
        <w:t xml:space="preserve"> absence</w:t>
      </w:r>
      <w:r w:rsidR="00BD693E" w:rsidRPr="004B36B2">
        <w:rPr>
          <w:rFonts w:asciiTheme="majorBidi" w:hAnsiTheme="majorBidi" w:cstheme="majorBidi"/>
          <w:color w:val="000000" w:themeColor="text1"/>
          <w:szCs w:val="24"/>
        </w:rPr>
        <w:t xml:space="preserve">, household </w:t>
      </w:r>
      <w:r w:rsidR="00BD693E" w:rsidRPr="004B36B2">
        <w:rPr>
          <w:rFonts w:asciiTheme="majorBidi" w:hAnsiTheme="majorBidi" w:cstheme="majorBidi"/>
          <w:noProof/>
          <w:color w:val="000000" w:themeColor="text1"/>
          <w:szCs w:val="24"/>
        </w:rPr>
        <w:t>labour</w:t>
      </w:r>
      <w:r w:rsidR="00BD693E" w:rsidRPr="004B36B2">
        <w:rPr>
          <w:rFonts w:asciiTheme="majorBidi" w:hAnsiTheme="majorBidi" w:cstheme="majorBidi"/>
          <w:color w:val="000000" w:themeColor="text1"/>
          <w:szCs w:val="24"/>
        </w:rPr>
        <w:t xml:space="preserve"> shortage</w:t>
      </w:r>
      <w:r w:rsidR="00B40294" w:rsidRPr="004B36B2">
        <w:rPr>
          <w:rFonts w:asciiTheme="majorBidi" w:hAnsiTheme="majorBidi" w:cstheme="majorBidi"/>
          <w:color w:val="000000" w:themeColor="text1"/>
          <w:szCs w:val="24"/>
        </w:rPr>
        <w:t>s</w:t>
      </w:r>
      <w:r w:rsidR="0073521E" w:rsidRPr="004B36B2">
        <w:rPr>
          <w:rFonts w:asciiTheme="majorBidi" w:hAnsiTheme="majorBidi" w:cstheme="majorBidi"/>
          <w:color w:val="000000" w:themeColor="text1"/>
          <w:szCs w:val="24"/>
        </w:rPr>
        <w:t>,</w:t>
      </w:r>
      <w:r w:rsidR="003E710D" w:rsidRPr="004B36B2">
        <w:rPr>
          <w:rFonts w:asciiTheme="majorBidi" w:hAnsiTheme="majorBidi" w:cstheme="majorBidi"/>
          <w:color w:val="000000" w:themeColor="text1"/>
          <w:szCs w:val="24"/>
        </w:rPr>
        <w:t xml:space="preserve"> </w:t>
      </w:r>
      <w:r w:rsidR="003E710D" w:rsidRPr="004B36B2">
        <w:rPr>
          <w:rFonts w:asciiTheme="majorBidi" w:hAnsiTheme="majorBidi" w:cstheme="majorBidi"/>
          <w:noProof/>
          <w:color w:val="000000" w:themeColor="text1"/>
          <w:szCs w:val="24"/>
        </w:rPr>
        <w:t>and</w:t>
      </w:r>
      <w:r w:rsidR="003E710D" w:rsidRPr="004B36B2">
        <w:rPr>
          <w:rFonts w:asciiTheme="majorBidi" w:hAnsiTheme="majorBidi" w:cstheme="majorBidi"/>
          <w:color w:val="000000" w:themeColor="text1"/>
          <w:szCs w:val="24"/>
        </w:rPr>
        <w:t xml:space="preserve"> </w:t>
      </w:r>
      <w:r w:rsidR="000F0E41" w:rsidRPr="004B36B2">
        <w:rPr>
          <w:rFonts w:asciiTheme="majorBidi" w:hAnsiTheme="majorBidi" w:cstheme="majorBidi"/>
          <w:color w:val="000000" w:themeColor="text1"/>
          <w:szCs w:val="24"/>
        </w:rPr>
        <w:t>family disruption effect</w:t>
      </w:r>
      <w:r w:rsidR="001159AB" w:rsidRPr="004B36B2">
        <w:rPr>
          <w:rFonts w:asciiTheme="majorBidi" w:hAnsiTheme="majorBidi" w:cstheme="majorBidi"/>
          <w:color w:val="000000" w:themeColor="text1"/>
          <w:szCs w:val="24"/>
        </w:rPr>
        <w:t>s</w:t>
      </w:r>
      <w:r w:rsidR="000F0E41"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rPr>
        <w:t>dominate.</w:t>
      </w:r>
      <w:r w:rsidR="00767219"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rPr>
        <w:t xml:space="preserve">Conversely, </w:t>
      </w:r>
      <w:r w:rsidR="009E51B1" w:rsidRPr="004B36B2">
        <w:rPr>
          <w:rFonts w:asciiTheme="majorBidi" w:hAnsiTheme="majorBidi" w:cstheme="majorBidi"/>
          <w:color w:val="000000" w:themeColor="text1"/>
          <w:szCs w:val="24"/>
        </w:rPr>
        <w:t>i</w:t>
      </w:r>
      <w:r w:rsidR="00ED1DD0" w:rsidRPr="004B36B2">
        <w:rPr>
          <w:rFonts w:asciiTheme="majorBidi" w:hAnsiTheme="majorBidi" w:cstheme="majorBidi"/>
          <w:color w:val="000000" w:themeColor="text1"/>
          <w:szCs w:val="24"/>
        </w:rPr>
        <w:t xml:space="preserve">f </w:t>
      </w:r>
      <w:r w:rsidR="008A511F" w:rsidRPr="004B36B2">
        <w:rPr>
          <w:rFonts w:asciiTheme="majorBidi" w:hAnsiTheme="majorBidi" w:cstheme="majorBidi"/>
          <w:color w:val="000000" w:themeColor="text1"/>
          <w:szCs w:val="24"/>
        </w:rPr>
        <w:t xml:space="preserve">a </w:t>
      </w:r>
      <w:r w:rsidR="00ED1DD0" w:rsidRPr="004B36B2">
        <w:rPr>
          <w:rFonts w:asciiTheme="majorBidi" w:hAnsiTheme="majorBidi" w:cstheme="majorBidi"/>
          <w:noProof/>
          <w:color w:val="000000" w:themeColor="text1"/>
          <w:szCs w:val="24"/>
        </w:rPr>
        <w:t>ho</w:t>
      </w:r>
      <w:r w:rsidR="009E51B1" w:rsidRPr="004B36B2">
        <w:rPr>
          <w:rFonts w:asciiTheme="majorBidi" w:hAnsiTheme="majorBidi" w:cstheme="majorBidi"/>
          <w:noProof/>
          <w:color w:val="000000" w:themeColor="text1"/>
          <w:szCs w:val="24"/>
        </w:rPr>
        <w:t>usehold</w:t>
      </w:r>
      <w:r w:rsidR="00B40294" w:rsidRPr="004B36B2">
        <w:rPr>
          <w:rFonts w:asciiTheme="majorBidi" w:hAnsiTheme="majorBidi" w:cstheme="majorBidi"/>
          <w:color w:val="000000" w:themeColor="text1"/>
          <w:szCs w:val="24"/>
        </w:rPr>
        <w:t xml:space="preserve"> is credit constrained</w:t>
      </w:r>
      <w:r w:rsidR="009E51B1" w:rsidRPr="004B36B2">
        <w:rPr>
          <w:rFonts w:asciiTheme="majorBidi" w:hAnsiTheme="majorBidi" w:cstheme="majorBidi"/>
          <w:color w:val="000000" w:themeColor="text1"/>
          <w:szCs w:val="24"/>
        </w:rPr>
        <w:t xml:space="preserve"> the</w:t>
      </w:r>
      <w:r w:rsidR="00F625B3" w:rsidRPr="004B36B2">
        <w:rPr>
          <w:rFonts w:asciiTheme="majorBidi" w:hAnsiTheme="majorBidi" w:cstheme="majorBidi"/>
          <w:color w:val="000000" w:themeColor="text1"/>
          <w:szCs w:val="24"/>
        </w:rPr>
        <w:t>n migration</w:t>
      </w:r>
      <w:r w:rsidR="00B40294" w:rsidRPr="004B36B2">
        <w:rPr>
          <w:rFonts w:asciiTheme="majorBidi" w:hAnsiTheme="majorBidi" w:cstheme="majorBidi"/>
          <w:color w:val="000000" w:themeColor="text1"/>
          <w:szCs w:val="24"/>
        </w:rPr>
        <w:t>-induced remittances</w:t>
      </w:r>
      <w:r w:rsidR="00F625B3" w:rsidRPr="004B36B2">
        <w:rPr>
          <w:rFonts w:asciiTheme="majorBidi" w:hAnsiTheme="majorBidi" w:cstheme="majorBidi"/>
          <w:color w:val="000000" w:themeColor="text1"/>
          <w:szCs w:val="24"/>
        </w:rPr>
        <w:t xml:space="preserve"> </w:t>
      </w:r>
      <w:r w:rsidR="0044644A" w:rsidRPr="004B36B2">
        <w:rPr>
          <w:rFonts w:asciiTheme="majorBidi" w:hAnsiTheme="majorBidi" w:cstheme="majorBidi"/>
          <w:color w:val="000000" w:themeColor="text1"/>
          <w:szCs w:val="24"/>
        </w:rPr>
        <w:t xml:space="preserve">will </w:t>
      </w:r>
      <w:r w:rsidR="00ED1DD0" w:rsidRPr="004B36B2">
        <w:rPr>
          <w:rFonts w:asciiTheme="majorBidi" w:hAnsiTheme="majorBidi" w:cstheme="majorBidi"/>
          <w:color w:val="000000" w:themeColor="text1"/>
          <w:szCs w:val="24"/>
        </w:rPr>
        <w:t xml:space="preserve">increase </w:t>
      </w:r>
      <w:r w:rsidR="0044644A" w:rsidRPr="004B36B2">
        <w:rPr>
          <w:rFonts w:asciiTheme="majorBidi" w:hAnsiTheme="majorBidi" w:cstheme="majorBidi"/>
          <w:color w:val="000000" w:themeColor="text1"/>
          <w:szCs w:val="24"/>
        </w:rPr>
        <w:t xml:space="preserve">household </w:t>
      </w:r>
      <w:r w:rsidR="00ED1DD0" w:rsidRPr="004B36B2">
        <w:rPr>
          <w:rFonts w:asciiTheme="majorBidi" w:hAnsiTheme="majorBidi" w:cstheme="majorBidi"/>
          <w:color w:val="000000" w:themeColor="text1"/>
          <w:szCs w:val="24"/>
        </w:rPr>
        <w:t xml:space="preserve">consumption and </w:t>
      </w:r>
      <w:r w:rsidR="001159AB" w:rsidRPr="004B36B2">
        <w:rPr>
          <w:rFonts w:asciiTheme="majorBidi" w:hAnsiTheme="majorBidi" w:cstheme="majorBidi"/>
          <w:color w:val="000000" w:themeColor="text1"/>
          <w:szCs w:val="24"/>
        </w:rPr>
        <w:t xml:space="preserve">may </w:t>
      </w:r>
      <w:r w:rsidR="00ED1DD0" w:rsidRPr="004B36B2">
        <w:rPr>
          <w:rFonts w:asciiTheme="majorBidi" w:hAnsiTheme="majorBidi" w:cstheme="majorBidi"/>
          <w:color w:val="000000" w:themeColor="text1"/>
          <w:szCs w:val="24"/>
        </w:rPr>
        <w:t xml:space="preserve">release the children from </w:t>
      </w:r>
      <w:r w:rsidR="00ED1DD0" w:rsidRPr="004B36B2">
        <w:rPr>
          <w:rFonts w:asciiTheme="majorBidi" w:hAnsiTheme="majorBidi" w:cstheme="majorBidi"/>
          <w:noProof/>
          <w:color w:val="000000" w:themeColor="text1"/>
          <w:szCs w:val="24"/>
        </w:rPr>
        <w:t>labour</w:t>
      </w:r>
      <w:r w:rsidR="00ED1DD0" w:rsidRPr="004B36B2">
        <w:rPr>
          <w:rFonts w:asciiTheme="majorBidi" w:hAnsiTheme="majorBidi" w:cstheme="majorBidi"/>
          <w:color w:val="000000" w:themeColor="text1"/>
          <w:szCs w:val="24"/>
        </w:rPr>
        <w:t xml:space="preserve"> market </w:t>
      </w:r>
      <w:r w:rsidR="00B40294" w:rsidRPr="004B36B2">
        <w:rPr>
          <w:rFonts w:asciiTheme="majorBidi" w:hAnsiTheme="majorBidi" w:cstheme="majorBidi"/>
          <w:color w:val="000000" w:themeColor="text1"/>
          <w:szCs w:val="24"/>
        </w:rPr>
        <w:t xml:space="preserve">activity, allowing them </w:t>
      </w:r>
      <w:r w:rsidR="00ED1DD0" w:rsidRPr="004B36B2">
        <w:rPr>
          <w:rFonts w:asciiTheme="majorBidi" w:hAnsiTheme="majorBidi" w:cstheme="majorBidi"/>
          <w:color w:val="000000" w:themeColor="text1"/>
          <w:szCs w:val="24"/>
        </w:rPr>
        <w:t xml:space="preserve">to </w:t>
      </w:r>
      <w:r w:rsidR="00497B20" w:rsidRPr="004B36B2">
        <w:rPr>
          <w:rFonts w:asciiTheme="majorBidi" w:hAnsiTheme="majorBidi" w:cstheme="majorBidi"/>
          <w:color w:val="000000" w:themeColor="text1"/>
          <w:szCs w:val="24"/>
        </w:rPr>
        <w:t xml:space="preserve">spend more time in </w:t>
      </w:r>
      <w:r w:rsidR="0044644A" w:rsidRPr="004B36B2">
        <w:rPr>
          <w:rFonts w:asciiTheme="majorBidi" w:hAnsiTheme="majorBidi" w:cstheme="majorBidi"/>
          <w:color w:val="000000" w:themeColor="text1"/>
          <w:szCs w:val="24"/>
        </w:rPr>
        <w:t>school education.</w:t>
      </w:r>
    </w:p>
    <w:p w14:paraId="02D38659" w14:textId="77777777" w:rsidR="00F03BFB" w:rsidRPr="004B36B2" w:rsidRDefault="00F03BFB" w:rsidP="00F03BFB">
      <w:pPr>
        <w:spacing w:line="288" w:lineRule="auto"/>
        <w:jc w:val="both"/>
        <w:rPr>
          <w:rFonts w:asciiTheme="majorBidi" w:hAnsiTheme="majorBidi" w:cstheme="majorBidi"/>
          <w:color w:val="000000" w:themeColor="text1"/>
          <w:szCs w:val="24"/>
        </w:rPr>
      </w:pPr>
    </w:p>
    <w:p w14:paraId="1FE59321" w14:textId="1AD820C4" w:rsidR="00956336" w:rsidRDefault="00745816" w:rsidP="00206B37">
      <w:pPr>
        <w:spacing w:line="288" w:lineRule="auto"/>
        <w:ind w:firstLine="567"/>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W</w:t>
      </w:r>
      <w:r w:rsidR="005E40EF" w:rsidRPr="004B36B2">
        <w:rPr>
          <w:rFonts w:asciiTheme="majorBidi" w:hAnsiTheme="majorBidi" w:cstheme="majorBidi"/>
          <w:color w:val="000000" w:themeColor="text1"/>
          <w:szCs w:val="24"/>
        </w:rPr>
        <w:t xml:space="preserve">e use </w:t>
      </w:r>
      <w:r w:rsidR="00C174CD" w:rsidRPr="004B36B2">
        <w:rPr>
          <w:rFonts w:asciiTheme="majorBidi" w:hAnsiTheme="majorBidi" w:cstheme="majorBidi"/>
          <w:color w:val="000000" w:themeColor="text1"/>
          <w:szCs w:val="24"/>
        </w:rPr>
        <w:t>a</w:t>
      </w:r>
      <w:r w:rsidR="005E40EF" w:rsidRPr="004B36B2">
        <w:rPr>
          <w:rFonts w:asciiTheme="majorBidi" w:hAnsiTheme="majorBidi" w:cstheme="majorBidi"/>
          <w:color w:val="000000" w:themeColor="text1"/>
          <w:szCs w:val="24"/>
        </w:rPr>
        <w:t xml:space="preserve"> </w:t>
      </w:r>
      <w:r w:rsidR="005E40EF" w:rsidRPr="004B36B2">
        <w:rPr>
          <w:rFonts w:asciiTheme="majorBidi" w:hAnsiTheme="majorBidi" w:cstheme="majorBidi"/>
          <w:noProof/>
          <w:color w:val="000000" w:themeColor="text1"/>
          <w:szCs w:val="24"/>
        </w:rPr>
        <w:t>fixed</w:t>
      </w:r>
      <w:r w:rsidR="0073521E" w:rsidRPr="004B36B2">
        <w:rPr>
          <w:rFonts w:asciiTheme="majorBidi" w:hAnsiTheme="majorBidi" w:cstheme="majorBidi"/>
          <w:noProof/>
          <w:color w:val="000000" w:themeColor="text1"/>
          <w:szCs w:val="24"/>
        </w:rPr>
        <w:t>-</w:t>
      </w:r>
      <w:r w:rsidR="005E40EF" w:rsidRPr="004B36B2">
        <w:rPr>
          <w:rFonts w:asciiTheme="majorBidi" w:hAnsiTheme="majorBidi" w:cstheme="majorBidi"/>
          <w:noProof/>
          <w:color w:val="000000" w:themeColor="text1"/>
          <w:szCs w:val="24"/>
        </w:rPr>
        <w:t>effect</w:t>
      </w:r>
      <w:r w:rsidR="005E40EF"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rPr>
        <w:t xml:space="preserve">panel </w:t>
      </w:r>
      <w:r w:rsidR="005E40EF" w:rsidRPr="004B36B2">
        <w:rPr>
          <w:rFonts w:asciiTheme="majorBidi" w:hAnsiTheme="majorBidi" w:cstheme="majorBidi"/>
          <w:color w:val="000000" w:themeColor="text1"/>
          <w:szCs w:val="24"/>
        </w:rPr>
        <w:t xml:space="preserve">model to </w:t>
      </w:r>
      <w:r w:rsidR="00C174CD" w:rsidRPr="004B36B2">
        <w:rPr>
          <w:rFonts w:asciiTheme="majorBidi" w:hAnsiTheme="majorBidi" w:cstheme="majorBidi"/>
          <w:color w:val="000000" w:themeColor="text1"/>
          <w:szCs w:val="24"/>
        </w:rPr>
        <w:t>reduce</w:t>
      </w:r>
      <w:r w:rsidR="00745439" w:rsidRPr="004B36B2">
        <w:rPr>
          <w:rFonts w:asciiTheme="majorBidi" w:hAnsiTheme="majorBidi" w:cstheme="majorBidi"/>
          <w:color w:val="000000" w:themeColor="text1"/>
          <w:szCs w:val="24"/>
        </w:rPr>
        <w:t xml:space="preserve"> endogeneity bias, </w:t>
      </w:r>
      <w:r w:rsidR="00B40294" w:rsidRPr="004B36B2">
        <w:rPr>
          <w:rFonts w:asciiTheme="majorBidi" w:hAnsiTheme="majorBidi" w:cstheme="majorBidi"/>
          <w:color w:val="000000" w:themeColor="text1"/>
          <w:szCs w:val="24"/>
        </w:rPr>
        <w:t xml:space="preserve">due to </w:t>
      </w:r>
      <w:r w:rsidR="00745439" w:rsidRPr="004B36B2">
        <w:rPr>
          <w:rFonts w:asciiTheme="majorBidi" w:hAnsiTheme="majorBidi" w:cstheme="majorBidi"/>
          <w:color w:val="000000" w:themeColor="text1"/>
          <w:szCs w:val="24"/>
        </w:rPr>
        <w:t xml:space="preserve">unobserved </w:t>
      </w:r>
      <w:r w:rsidR="0077754F" w:rsidRPr="004B36B2">
        <w:rPr>
          <w:rFonts w:asciiTheme="majorBidi" w:hAnsiTheme="majorBidi" w:cstheme="majorBidi"/>
          <w:color w:val="000000" w:themeColor="text1"/>
          <w:szCs w:val="24"/>
        </w:rPr>
        <w:t xml:space="preserve">village </w:t>
      </w:r>
      <w:r w:rsidR="00745439" w:rsidRPr="004B36B2">
        <w:rPr>
          <w:rFonts w:asciiTheme="majorBidi" w:hAnsiTheme="majorBidi" w:cstheme="majorBidi"/>
          <w:color w:val="000000" w:themeColor="text1"/>
          <w:szCs w:val="24"/>
        </w:rPr>
        <w:t xml:space="preserve">characteristics </w:t>
      </w:r>
      <w:r w:rsidR="00B40294" w:rsidRPr="004B36B2">
        <w:rPr>
          <w:rFonts w:asciiTheme="majorBidi" w:hAnsiTheme="majorBidi" w:cstheme="majorBidi"/>
          <w:color w:val="000000" w:themeColor="text1"/>
          <w:szCs w:val="24"/>
        </w:rPr>
        <w:t xml:space="preserve">that are correlated with schooling and migration. Our use of village-level averages also helps mitigate </w:t>
      </w:r>
      <w:r w:rsidR="00745439" w:rsidRPr="004B36B2">
        <w:rPr>
          <w:rFonts w:asciiTheme="majorBidi" w:hAnsiTheme="majorBidi" w:cstheme="majorBidi"/>
          <w:color w:val="000000" w:themeColor="text1"/>
          <w:szCs w:val="24"/>
        </w:rPr>
        <w:t>effect</w:t>
      </w:r>
      <w:r w:rsidR="00B40294" w:rsidRPr="004B36B2">
        <w:rPr>
          <w:rFonts w:asciiTheme="majorBidi" w:hAnsiTheme="majorBidi" w:cstheme="majorBidi"/>
          <w:color w:val="000000" w:themeColor="text1"/>
          <w:szCs w:val="24"/>
        </w:rPr>
        <w:t>s</w:t>
      </w:r>
      <w:r w:rsidR="00745439" w:rsidRPr="004B36B2">
        <w:rPr>
          <w:rFonts w:asciiTheme="majorBidi" w:hAnsiTheme="majorBidi" w:cstheme="majorBidi"/>
          <w:color w:val="000000" w:themeColor="text1"/>
          <w:szCs w:val="24"/>
        </w:rPr>
        <w:t xml:space="preserve"> of measurement error in </w:t>
      </w:r>
      <w:r w:rsidR="00B40294" w:rsidRPr="004B36B2">
        <w:rPr>
          <w:rFonts w:asciiTheme="majorBidi" w:hAnsiTheme="majorBidi" w:cstheme="majorBidi"/>
          <w:color w:val="000000" w:themeColor="text1"/>
          <w:szCs w:val="24"/>
        </w:rPr>
        <w:t>the household-level data. Various advantages of panel data fixed-</w:t>
      </w:r>
      <w:r w:rsidR="00745439" w:rsidRPr="004B36B2">
        <w:rPr>
          <w:rFonts w:asciiTheme="majorBidi" w:hAnsiTheme="majorBidi" w:cstheme="majorBidi"/>
          <w:color w:val="000000" w:themeColor="text1"/>
          <w:szCs w:val="24"/>
        </w:rPr>
        <w:t>effect model</w:t>
      </w:r>
      <w:r w:rsidR="00B40294" w:rsidRPr="004B36B2">
        <w:rPr>
          <w:rFonts w:asciiTheme="majorBidi" w:hAnsiTheme="majorBidi" w:cstheme="majorBidi"/>
          <w:color w:val="000000" w:themeColor="text1"/>
          <w:szCs w:val="24"/>
        </w:rPr>
        <w:t xml:space="preserve">s are discussed in </w:t>
      </w:r>
      <w:r w:rsidR="00437147" w:rsidRPr="004B36B2">
        <w:rPr>
          <w:rFonts w:asciiTheme="majorBidi" w:hAnsiTheme="majorBidi" w:cstheme="majorBidi"/>
          <w:color w:val="000000" w:themeColor="text1"/>
          <w:szCs w:val="24"/>
        </w:rPr>
        <w:t>Hsiao (2007) and</w:t>
      </w:r>
      <w:r w:rsidR="00745439" w:rsidRPr="004B36B2">
        <w:rPr>
          <w:rFonts w:asciiTheme="majorBidi" w:hAnsiTheme="majorBidi" w:cstheme="majorBidi"/>
          <w:color w:val="000000" w:themeColor="text1"/>
          <w:szCs w:val="24"/>
        </w:rPr>
        <w:t xml:space="preserve"> </w:t>
      </w:r>
      <w:r w:rsidR="00B40294" w:rsidRPr="004B36B2">
        <w:rPr>
          <w:rFonts w:asciiTheme="majorBidi" w:hAnsiTheme="majorBidi" w:cstheme="majorBidi"/>
          <w:color w:val="000000" w:themeColor="text1"/>
          <w:szCs w:val="24"/>
          <w:shd w:val="clear" w:color="auto" w:fill="FFFFFF"/>
        </w:rPr>
        <w:t>Adams</w:t>
      </w:r>
      <w:r w:rsidR="00745439" w:rsidRPr="004B36B2">
        <w:rPr>
          <w:rFonts w:asciiTheme="majorBidi" w:hAnsiTheme="majorBidi" w:cstheme="majorBidi"/>
          <w:color w:val="000000" w:themeColor="text1"/>
          <w:szCs w:val="24"/>
          <w:shd w:val="clear" w:color="auto" w:fill="FFFFFF"/>
        </w:rPr>
        <w:t xml:space="preserve"> </w:t>
      </w:r>
      <w:r w:rsidR="00437147" w:rsidRPr="004B36B2">
        <w:rPr>
          <w:rFonts w:asciiTheme="majorBidi" w:hAnsiTheme="majorBidi" w:cstheme="majorBidi"/>
          <w:color w:val="000000" w:themeColor="text1"/>
          <w:szCs w:val="24"/>
          <w:shd w:val="clear" w:color="auto" w:fill="FFFFFF"/>
        </w:rPr>
        <w:t>(</w:t>
      </w:r>
      <w:r w:rsidR="00745439" w:rsidRPr="004B36B2">
        <w:rPr>
          <w:rFonts w:asciiTheme="majorBidi" w:hAnsiTheme="majorBidi" w:cstheme="majorBidi"/>
          <w:color w:val="000000" w:themeColor="text1"/>
          <w:szCs w:val="24"/>
          <w:shd w:val="clear" w:color="auto" w:fill="FFFFFF"/>
        </w:rPr>
        <w:t>2011</w:t>
      </w:r>
      <w:r w:rsidR="00437147" w:rsidRPr="004B36B2">
        <w:rPr>
          <w:rFonts w:asciiTheme="majorBidi" w:hAnsiTheme="majorBidi" w:cstheme="majorBidi"/>
          <w:color w:val="000000" w:themeColor="text1"/>
          <w:szCs w:val="24"/>
          <w:shd w:val="clear" w:color="auto" w:fill="FFFFFF"/>
        </w:rPr>
        <w:t>)</w:t>
      </w:r>
      <w:r w:rsidR="00000448" w:rsidRPr="004B36B2">
        <w:rPr>
          <w:rFonts w:asciiTheme="majorBidi" w:hAnsiTheme="majorBidi" w:cstheme="majorBidi"/>
          <w:color w:val="000000" w:themeColor="text1"/>
          <w:szCs w:val="24"/>
          <w:shd w:val="clear" w:color="auto" w:fill="FFFFFF"/>
        </w:rPr>
        <w:t xml:space="preserve">. Our panel fixed effect model </w:t>
      </w:r>
      <w:r w:rsidR="00C47FA4" w:rsidRPr="004B36B2">
        <w:rPr>
          <w:rFonts w:asciiTheme="majorBidi" w:hAnsiTheme="majorBidi" w:cstheme="majorBidi"/>
          <w:color w:val="000000" w:themeColor="text1"/>
          <w:szCs w:val="24"/>
          <w:shd w:val="clear" w:color="auto" w:fill="FFFFFF"/>
        </w:rPr>
        <w:t xml:space="preserve">is </w:t>
      </w:r>
      <w:r w:rsidR="00000448" w:rsidRPr="004B36B2">
        <w:rPr>
          <w:rFonts w:asciiTheme="majorBidi" w:hAnsiTheme="majorBidi" w:cstheme="majorBidi"/>
          <w:color w:val="000000" w:themeColor="text1"/>
          <w:szCs w:val="24"/>
          <w:shd w:val="clear" w:color="auto" w:fill="FFFFFF"/>
        </w:rPr>
        <w:t>as follows</w:t>
      </w:r>
      <w:r w:rsidR="00BD693E" w:rsidRPr="004B36B2">
        <w:rPr>
          <w:rFonts w:asciiTheme="majorBidi" w:hAnsiTheme="majorBidi" w:cstheme="majorBidi"/>
          <w:color w:val="000000" w:themeColor="text1"/>
          <w:szCs w:val="24"/>
        </w:rPr>
        <w:t>:</w:t>
      </w:r>
      <w:r w:rsidR="006F3364" w:rsidRPr="004B36B2">
        <w:rPr>
          <w:rFonts w:asciiTheme="majorBidi" w:hAnsiTheme="majorBidi" w:cstheme="majorBidi"/>
          <w:color w:val="000000" w:themeColor="text1"/>
          <w:szCs w:val="24"/>
        </w:rPr>
        <w:t xml:space="preserve"> </w:t>
      </w:r>
    </w:p>
    <w:p w14:paraId="706DCF99" w14:textId="77777777" w:rsidR="00206B37" w:rsidRPr="00206B37" w:rsidRDefault="00206B37" w:rsidP="00206B37">
      <w:pPr>
        <w:spacing w:line="288" w:lineRule="auto"/>
        <w:ind w:firstLine="567"/>
        <w:jc w:val="both"/>
        <w:rPr>
          <w:rFonts w:asciiTheme="majorBidi" w:hAnsiTheme="majorBidi" w:cstheme="majorBidi"/>
          <w:color w:val="000000" w:themeColor="text1"/>
          <w:sz w:val="16"/>
          <w:szCs w:val="16"/>
        </w:rPr>
      </w:pPr>
    </w:p>
    <w:p w14:paraId="454A0FB0" w14:textId="77777777" w:rsidR="00C14FBE" w:rsidRPr="00510A97" w:rsidRDefault="00F33F30" w:rsidP="00F03BFB">
      <w:pPr>
        <w:spacing w:line="288" w:lineRule="auto"/>
        <w:rPr>
          <w:rFonts w:asciiTheme="majorBidi" w:hAnsiTheme="majorBidi" w:cstheme="majorBidi"/>
          <w:color w:val="000000" w:themeColor="text1"/>
          <w:sz w:val="22"/>
        </w:rPr>
      </w:pPr>
      <m:oMathPara>
        <m:oMathParaPr>
          <m:jc m:val="right"/>
        </m:oMathParaPr>
        <m:oMath>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Y</m:t>
              </m:r>
            </m:e>
            <m:sub>
              <m:r>
                <w:rPr>
                  <w:rFonts w:ascii="Cambria Math" w:hAnsi="Cambria Math" w:cstheme="majorBidi"/>
                  <w:color w:val="000000" w:themeColor="text1"/>
                  <w:sz w:val="22"/>
                </w:rPr>
                <m:t>it</m:t>
              </m:r>
            </m:sub>
          </m:sSub>
          <m:r>
            <w:rPr>
              <w:rFonts w:ascii="Cambria Math" w:hAnsi="Cambria Math" w:cstheme="majorBidi"/>
              <w:color w:val="000000" w:themeColor="text1"/>
              <w:sz w:val="22"/>
            </w:rPr>
            <m:t xml:space="preserve"> = </m:t>
          </m:r>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μ</m:t>
              </m:r>
            </m:e>
            <m:sub>
              <m:r>
                <w:rPr>
                  <w:rFonts w:ascii="Cambria Math" w:hAnsi="Cambria Math" w:cstheme="majorBidi"/>
                  <w:color w:val="000000" w:themeColor="text1"/>
                  <w:sz w:val="22"/>
                </w:rPr>
                <m:t>i</m:t>
              </m:r>
            </m:sub>
          </m:sSub>
          <m:r>
            <w:rPr>
              <w:rFonts w:ascii="Cambria Math" w:hAnsi="Cambria Math" w:cstheme="majorBidi"/>
              <w:color w:val="000000" w:themeColor="text1"/>
              <w:sz w:val="22"/>
            </w:rPr>
            <m:t>+</m:t>
          </m:r>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λ</m:t>
              </m:r>
            </m:e>
            <m:sub>
              <m:r>
                <w:rPr>
                  <w:rFonts w:ascii="Cambria Math" w:hAnsi="Cambria Math" w:cstheme="majorBidi"/>
                  <w:color w:val="000000" w:themeColor="text1"/>
                  <w:sz w:val="22"/>
                </w:rPr>
                <m:t>t</m:t>
              </m:r>
            </m:sub>
          </m:sSub>
          <m:r>
            <w:rPr>
              <w:rFonts w:ascii="Cambria Math" w:hAnsi="Cambria Math" w:cstheme="majorBidi"/>
              <w:color w:val="000000" w:themeColor="text1"/>
              <w:sz w:val="22"/>
            </w:rPr>
            <m:t xml:space="preserve">+ </m:t>
          </m:r>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βX</m:t>
              </m:r>
            </m:e>
            <m:sub>
              <m:r>
                <w:rPr>
                  <w:rFonts w:ascii="Cambria Math" w:hAnsi="Cambria Math" w:cstheme="majorBidi"/>
                  <w:color w:val="000000" w:themeColor="text1"/>
                  <w:sz w:val="22"/>
                </w:rPr>
                <m:t>itmig</m:t>
              </m:r>
            </m:sub>
          </m:sSub>
          <m:r>
            <w:rPr>
              <w:rFonts w:ascii="Cambria Math" w:hAnsi="Cambria Math" w:cstheme="majorBidi"/>
              <w:color w:val="000000" w:themeColor="text1"/>
              <w:sz w:val="22"/>
            </w:rPr>
            <m:t xml:space="preserve">+ </m:t>
          </m:r>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θX</m:t>
              </m:r>
            </m:e>
            <m:sub>
              <m:r>
                <w:rPr>
                  <w:rFonts w:ascii="Cambria Math" w:hAnsi="Cambria Math" w:cstheme="majorBidi"/>
                  <w:color w:val="000000" w:themeColor="text1"/>
                  <w:sz w:val="22"/>
                </w:rPr>
                <m:t>it</m:t>
              </m:r>
            </m:sub>
          </m:sSub>
          <m:r>
            <w:rPr>
              <w:rFonts w:ascii="Cambria Math" w:hAnsi="Cambria Math" w:cstheme="majorBidi"/>
              <w:color w:val="000000" w:themeColor="text1"/>
              <w:sz w:val="22"/>
            </w:rPr>
            <m:t xml:space="preserve">+  </m:t>
          </m:r>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u</m:t>
              </m:r>
            </m:e>
            <m:sub>
              <m:r>
                <w:rPr>
                  <w:rFonts w:ascii="Cambria Math" w:hAnsi="Cambria Math" w:cstheme="majorBidi"/>
                  <w:color w:val="000000" w:themeColor="text1"/>
                  <w:sz w:val="22"/>
                </w:rPr>
                <m:t>it</m:t>
              </m:r>
            </m:sub>
          </m:sSub>
          <m:r>
            <w:rPr>
              <w:rFonts w:ascii="Cambria Math" w:hAnsi="Cambria Math" w:cstheme="majorBidi"/>
              <w:color w:val="000000" w:themeColor="text1"/>
              <w:sz w:val="22"/>
            </w:rPr>
            <m:t xml:space="preserve">                                            (1)</m:t>
          </m:r>
        </m:oMath>
      </m:oMathPara>
    </w:p>
    <w:p w14:paraId="45489D57" w14:textId="77777777" w:rsidR="00C14FBE" w:rsidRPr="00F03BFB" w:rsidRDefault="00F33F30" w:rsidP="00F03BFB">
      <w:pPr>
        <w:spacing w:line="288" w:lineRule="auto"/>
        <w:rPr>
          <w:rFonts w:asciiTheme="majorBidi" w:hAnsiTheme="majorBidi" w:cstheme="majorBidi"/>
          <w:color w:val="000000" w:themeColor="text1"/>
        </w:rPr>
      </w:pPr>
      <m:oMathPara>
        <m:oMathParaPr>
          <m:jc m:val="right"/>
        </m:oMathParaPr>
        <m:oMath>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u</m:t>
              </m:r>
            </m:e>
            <m:sub>
              <m:r>
                <w:rPr>
                  <w:rFonts w:ascii="Cambria Math" w:hAnsi="Cambria Math" w:cstheme="majorBidi"/>
                  <w:color w:val="000000" w:themeColor="text1"/>
                  <w:sz w:val="22"/>
                </w:rPr>
                <m:t>it</m:t>
              </m:r>
            </m:sub>
          </m:sSub>
          <m:r>
            <w:rPr>
              <w:rFonts w:ascii="Cambria Math" w:hAnsi="Cambria Math" w:cstheme="majorBidi"/>
              <w:color w:val="000000" w:themeColor="text1"/>
              <w:sz w:val="22"/>
            </w:rPr>
            <m:t xml:space="preserve"> ~ N</m:t>
          </m:r>
          <m:d>
            <m:dPr>
              <m:ctrlPr>
                <w:rPr>
                  <w:rFonts w:ascii="Cambria Math" w:hAnsi="Cambria Math" w:cstheme="majorBidi"/>
                  <w:i/>
                  <w:color w:val="000000" w:themeColor="text1"/>
                  <w:sz w:val="22"/>
                </w:rPr>
              </m:ctrlPr>
            </m:dPr>
            <m:e>
              <m:r>
                <w:rPr>
                  <w:rFonts w:ascii="Cambria Math" w:hAnsi="Cambria Math" w:cstheme="majorBidi"/>
                  <w:color w:val="000000" w:themeColor="text1"/>
                  <w:sz w:val="22"/>
                </w:rPr>
                <m:t xml:space="preserve">0, </m:t>
              </m:r>
              <m:sSup>
                <m:sSupPr>
                  <m:ctrlPr>
                    <w:rPr>
                      <w:rFonts w:ascii="Cambria Math" w:hAnsi="Cambria Math" w:cstheme="majorBidi"/>
                      <w:i/>
                      <w:color w:val="000000" w:themeColor="text1"/>
                      <w:sz w:val="22"/>
                    </w:rPr>
                  </m:ctrlPr>
                </m:sSupPr>
                <m:e>
                  <m:r>
                    <w:rPr>
                      <w:rFonts w:ascii="Cambria Math" w:hAnsi="Cambria Math" w:cstheme="majorBidi"/>
                      <w:color w:val="000000" w:themeColor="text1"/>
                      <w:sz w:val="22"/>
                    </w:rPr>
                    <m:t>σ</m:t>
                  </m:r>
                </m:e>
                <m:sup>
                  <m:r>
                    <w:rPr>
                      <w:rFonts w:ascii="Cambria Math" w:hAnsi="Cambria Math" w:cstheme="majorBidi"/>
                      <w:color w:val="000000" w:themeColor="text1"/>
                      <w:sz w:val="22"/>
                    </w:rPr>
                    <m:t>2</m:t>
                  </m:r>
                </m:sup>
              </m:sSup>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l</m:t>
                  </m:r>
                </m:e>
                <m:sub>
                  <m:r>
                    <w:rPr>
                      <w:rFonts w:ascii="Cambria Math" w:hAnsi="Cambria Math" w:cstheme="majorBidi"/>
                      <w:color w:val="000000" w:themeColor="text1"/>
                      <w:sz w:val="22"/>
                    </w:rPr>
                    <m:t>N</m:t>
                  </m:r>
                </m:sub>
              </m:sSub>
            </m:e>
          </m:d>
          <m:r>
            <w:rPr>
              <w:rFonts w:ascii="Cambria Math" w:hAnsi="Cambria Math" w:cstheme="majorBidi"/>
              <w:color w:val="000000" w:themeColor="text1"/>
              <w:sz w:val="22"/>
            </w:rPr>
            <m:t xml:space="preserve">                                                                                       (2)</m:t>
          </m:r>
        </m:oMath>
      </m:oMathPara>
    </w:p>
    <w:p w14:paraId="2DB42978" w14:textId="77777777" w:rsidR="00F03BFB" w:rsidRPr="00F03BFB" w:rsidRDefault="00F03BFB" w:rsidP="00F03BFB">
      <w:pPr>
        <w:spacing w:line="288" w:lineRule="auto"/>
        <w:ind w:firstLine="720"/>
        <w:rPr>
          <w:rFonts w:asciiTheme="majorBidi" w:hAnsiTheme="majorBidi" w:cstheme="majorBidi"/>
          <w:color w:val="000000" w:themeColor="text1"/>
        </w:rPr>
      </w:pPr>
    </w:p>
    <w:p w14:paraId="0DC8FA9C" w14:textId="12063DB8" w:rsidR="00DB243B" w:rsidRDefault="00ED0DE7" w:rsidP="00206B37">
      <w:pPr>
        <w:spacing w:line="288" w:lineRule="auto"/>
        <w:ind w:firstLine="567"/>
        <w:jc w:val="both"/>
        <w:rPr>
          <w:rFonts w:asciiTheme="majorBidi" w:hAnsiTheme="majorBidi" w:cstheme="majorBidi"/>
          <w:noProof/>
          <w:color w:val="000000" w:themeColor="text1"/>
          <w:szCs w:val="24"/>
        </w:rPr>
      </w:pPr>
      <w:r w:rsidRPr="004B36B2">
        <w:rPr>
          <w:rFonts w:asciiTheme="majorBidi" w:hAnsiTheme="majorBidi" w:cstheme="majorBidi"/>
          <w:color w:val="000000" w:themeColor="text1"/>
          <w:szCs w:val="24"/>
        </w:rPr>
        <w:t xml:space="preserve">In </w:t>
      </w:r>
      <w:r w:rsidR="00B40294" w:rsidRPr="004B36B2">
        <w:rPr>
          <w:rFonts w:asciiTheme="majorBidi" w:hAnsiTheme="majorBidi" w:cstheme="majorBidi"/>
          <w:color w:val="000000" w:themeColor="text1"/>
          <w:szCs w:val="24"/>
        </w:rPr>
        <w:t>equation</w:t>
      </w:r>
      <w:r w:rsidR="00437147" w:rsidRPr="004B36B2">
        <w:rPr>
          <w:rFonts w:asciiTheme="majorBidi" w:hAnsiTheme="majorBidi" w:cstheme="majorBidi"/>
          <w:color w:val="000000" w:themeColor="text1"/>
          <w:szCs w:val="24"/>
        </w:rPr>
        <w:t xml:space="preserve"> (1)</w:t>
      </w:r>
      <w:r w:rsidR="00B40294" w:rsidRPr="004B36B2">
        <w:rPr>
          <w:rFonts w:asciiTheme="majorBidi" w:hAnsiTheme="majorBidi" w:cstheme="majorBidi"/>
          <w:color w:val="000000" w:themeColor="text1"/>
          <w:szCs w:val="24"/>
        </w:rPr>
        <w:t xml:space="preserve">, the </w:t>
      </w:r>
      <w:r w:rsidRPr="004B36B2">
        <w:rPr>
          <w:rFonts w:asciiTheme="majorBidi" w:hAnsiTheme="majorBidi" w:cstheme="majorBidi"/>
          <w:color w:val="000000" w:themeColor="text1"/>
          <w:szCs w:val="24"/>
        </w:rPr>
        <w:t xml:space="preserve">NT × 1 vector of </w:t>
      </w:r>
      <w:r w:rsidRPr="004B36B2">
        <w:rPr>
          <w:rFonts w:asciiTheme="majorBidi" w:hAnsiTheme="majorBidi" w:cstheme="majorBidi"/>
          <w:noProof/>
          <w:color w:val="000000" w:themeColor="text1"/>
          <w:szCs w:val="24"/>
        </w:rPr>
        <w:t>depende</w:t>
      </w:r>
      <w:r w:rsidR="0073521E" w:rsidRPr="004B36B2">
        <w:rPr>
          <w:rFonts w:asciiTheme="majorBidi" w:hAnsiTheme="majorBidi" w:cstheme="majorBidi"/>
          <w:noProof/>
          <w:color w:val="000000" w:themeColor="text1"/>
          <w:szCs w:val="24"/>
        </w:rPr>
        <w:t>nt</w:t>
      </w:r>
      <w:r w:rsidR="00AF1B39" w:rsidRPr="004B36B2">
        <w:rPr>
          <w:rFonts w:asciiTheme="majorBidi" w:hAnsiTheme="majorBidi" w:cstheme="majorBidi"/>
          <w:color w:val="000000" w:themeColor="text1"/>
          <w:szCs w:val="24"/>
        </w:rPr>
        <w:t xml:space="preserve"> variable</w:t>
      </w:r>
      <w:r w:rsidR="00B40294" w:rsidRPr="004B36B2">
        <w:rPr>
          <w:rFonts w:asciiTheme="majorBidi" w:hAnsiTheme="majorBidi" w:cstheme="majorBidi"/>
          <w:color w:val="000000" w:themeColor="text1"/>
          <w:szCs w:val="24"/>
        </w:rPr>
        <w:t>s</w:t>
      </w:r>
      <w:r w:rsidR="00437147" w:rsidRPr="004B36B2">
        <w:rPr>
          <w:rFonts w:asciiTheme="majorBidi" w:hAnsiTheme="majorBidi" w:cstheme="majorBidi"/>
          <w:color w:val="000000" w:themeColor="text1"/>
          <w:szCs w:val="24"/>
        </w:rPr>
        <w:t>,</w:t>
      </w:r>
      <w:r w:rsidR="00AF1B39"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denoted by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Y</m:t>
            </m:r>
          </m:e>
          <m:sub>
            <m:r>
              <w:rPr>
                <w:rFonts w:ascii="Cambria Math" w:hAnsi="Cambria Math" w:cstheme="majorBidi"/>
                <w:color w:val="000000" w:themeColor="text1"/>
                <w:szCs w:val="24"/>
              </w:rPr>
              <m:t>it</m:t>
            </m:r>
          </m:sub>
        </m:sSub>
      </m:oMath>
      <w:r w:rsidRPr="004B36B2">
        <w:rPr>
          <w:rFonts w:asciiTheme="majorBidi" w:hAnsiTheme="majorBidi" w:cstheme="majorBidi"/>
          <w:color w:val="000000" w:themeColor="text1"/>
          <w:szCs w:val="24"/>
        </w:rPr>
        <w:t>,</w:t>
      </w:r>
      <w:r w:rsidR="00B40294" w:rsidRPr="004B36B2">
        <w:rPr>
          <w:rFonts w:asciiTheme="majorBidi" w:hAnsiTheme="majorBidi" w:cstheme="majorBidi"/>
          <w:color w:val="000000" w:themeColor="text1"/>
          <w:szCs w:val="24"/>
        </w:rPr>
        <w:t xml:space="preserve"> is modelled as depending on</w:t>
      </w:r>
      <w:r w:rsidRPr="004B36B2">
        <w:rPr>
          <w:rFonts w:asciiTheme="majorBidi" w:hAnsiTheme="majorBidi" w:cstheme="majorBidi"/>
          <w:color w:val="000000" w:themeColor="text1"/>
          <w:szCs w:val="24"/>
        </w:rPr>
        <w:t xml:space="preserve">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μ</m:t>
            </m:r>
          </m:e>
          <m:sub>
            <m:r>
              <w:rPr>
                <w:rFonts w:ascii="Cambria Math" w:hAnsi="Cambria Math" w:cstheme="majorBidi"/>
                <w:color w:val="000000" w:themeColor="text1"/>
                <w:szCs w:val="24"/>
              </w:rPr>
              <m:t>i</m:t>
            </m:r>
          </m:sub>
        </m:sSub>
      </m:oMath>
      <w:r w:rsidR="00141F78" w:rsidRPr="004B36B2">
        <w:rPr>
          <w:rFonts w:asciiTheme="majorBidi" w:hAnsiTheme="majorBidi" w:cstheme="majorBidi"/>
          <w:color w:val="000000" w:themeColor="text1"/>
          <w:szCs w:val="24"/>
        </w:rPr>
        <w:t xml:space="preserve"> </w:t>
      </w:r>
      <w:r w:rsidR="00866A17" w:rsidRPr="004B36B2">
        <w:rPr>
          <w:rFonts w:asciiTheme="majorBidi" w:hAnsiTheme="majorBidi" w:cstheme="majorBidi"/>
          <w:color w:val="000000" w:themeColor="text1"/>
          <w:szCs w:val="24"/>
        </w:rPr>
        <w:t xml:space="preserve">and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λ</m:t>
            </m:r>
          </m:e>
          <m:sub>
            <m:r>
              <w:rPr>
                <w:rFonts w:ascii="Cambria Math" w:hAnsi="Cambria Math" w:cstheme="majorBidi"/>
                <w:color w:val="000000" w:themeColor="text1"/>
                <w:szCs w:val="24"/>
              </w:rPr>
              <m:t>t</m:t>
            </m:r>
          </m:sub>
        </m:sSub>
        <m:r>
          <w:rPr>
            <w:rFonts w:ascii="Cambria Math" w:hAnsi="Cambria Math" w:cstheme="majorBidi"/>
            <w:color w:val="000000" w:themeColor="text1"/>
            <w:szCs w:val="24"/>
          </w:rPr>
          <m:t xml:space="preserve"> </m:t>
        </m:r>
      </m:oMath>
      <w:r w:rsidR="00866A17" w:rsidRPr="004B36B2">
        <w:rPr>
          <w:rFonts w:asciiTheme="majorBidi" w:hAnsiTheme="majorBidi" w:cstheme="majorBidi"/>
          <w:color w:val="000000" w:themeColor="text1"/>
          <w:szCs w:val="24"/>
        </w:rPr>
        <w:t xml:space="preserve">village and time </w:t>
      </w:r>
      <w:r w:rsidR="00141F78" w:rsidRPr="004B36B2">
        <w:rPr>
          <w:rFonts w:asciiTheme="majorBidi" w:hAnsiTheme="majorBidi" w:cstheme="majorBidi"/>
          <w:color w:val="000000" w:themeColor="text1"/>
          <w:szCs w:val="24"/>
        </w:rPr>
        <w:t>fixed effect</w:t>
      </w:r>
      <w:r w:rsidR="00B40294"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w:t>
      </w:r>
      <w:r w:rsidR="00141F78" w:rsidRPr="004B36B2">
        <w:rPr>
          <w:rFonts w:asciiTheme="majorBidi" w:hAnsiTheme="majorBidi" w:cstheme="majorBidi"/>
          <w:color w:val="000000" w:themeColor="text1"/>
          <w:szCs w:val="24"/>
        </w:rPr>
        <w:t>the variable</w:t>
      </w:r>
      <w:r w:rsidR="001159AB" w:rsidRPr="004B36B2">
        <w:rPr>
          <w:rFonts w:asciiTheme="majorBidi" w:hAnsiTheme="majorBidi" w:cstheme="majorBidi"/>
          <w:color w:val="000000" w:themeColor="text1"/>
          <w:szCs w:val="24"/>
        </w:rPr>
        <w:t>s</w:t>
      </w:r>
      <w:r w:rsidR="00141F78" w:rsidRPr="004B36B2">
        <w:rPr>
          <w:rFonts w:asciiTheme="majorBidi" w:hAnsiTheme="majorBidi" w:cstheme="majorBidi"/>
          <w:color w:val="000000" w:themeColor="text1"/>
          <w:szCs w:val="24"/>
        </w:rPr>
        <w:t xml:space="preserve"> of </w:t>
      </w:r>
      <w:r w:rsidR="00B40294" w:rsidRPr="004B36B2">
        <w:rPr>
          <w:rFonts w:asciiTheme="majorBidi" w:hAnsiTheme="majorBidi" w:cstheme="majorBidi"/>
          <w:color w:val="000000" w:themeColor="text1"/>
          <w:szCs w:val="24"/>
        </w:rPr>
        <w:t xml:space="preserve">main </w:t>
      </w:r>
      <w:r w:rsidR="001159AB" w:rsidRPr="004B36B2">
        <w:rPr>
          <w:rFonts w:asciiTheme="majorBidi" w:hAnsiTheme="majorBidi" w:cstheme="majorBidi"/>
          <w:color w:val="000000" w:themeColor="text1"/>
          <w:szCs w:val="24"/>
        </w:rPr>
        <w:t xml:space="preserve">interest, </w:t>
      </w:r>
      <w:r w:rsidRPr="004B36B2">
        <w:rPr>
          <w:rFonts w:asciiTheme="majorBidi" w:hAnsiTheme="majorBidi" w:cstheme="majorBidi"/>
          <w:color w:val="000000" w:themeColor="text1"/>
          <w:szCs w:val="24"/>
        </w:rPr>
        <w:t>migration and remittance</w:t>
      </w:r>
      <w:r w:rsidR="00B40294" w:rsidRPr="004B36B2">
        <w:rPr>
          <w:rFonts w:asciiTheme="majorBidi" w:hAnsiTheme="majorBidi" w:cstheme="majorBidi"/>
          <w:color w:val="000000" w:themeColor="text1"/>
          <w:szCs w:val="24"/>
        </w:rPr>
        <w:t>s</w:t>
      </w:r>
      <w:r w:rsidR="001159AB" w:rsidRPr="004B36B2">
        <w:rPr>
          <w:rFonts w:asciiTheme="majorBidi" w:hAnsiTheme="majorBidi" w:cstheme="majorBidi"/>
          <w:color w:val="000000" w:themeColor="text1"/>
          <w:szCs w:val="24"/>
        </w:rPr>
        <w:t>, are</w:t>
      </w:r>
      <w:r w:rsidR="00437147" w:rsidRPr="004B36B2">
        <w:rPr>
          <w:rFonts w:asciiTheme="majorBidi" w:hAnsiTheme="majorBidi" w:cstheme="majorBidi"/>
          <w:color w:val="000000" w:themeColor="text1"/>
          <w:szCs w:val="24"/>
        </w:rPr>
        <w:t xml:space="preserve"> denoted as a matri</w:t>
      </w:r>
      <w:r w:rsidR="00437147" w:rsidRPr="004B36B2">
        <w:rPr>
          <w:rFonts w:asciiTheme="majorBidi" w:hAnsiTheme="majorBidi" w:cstheme="majorBidi"/>
          <w:noProof/>
          <w:color w:val="000000" w:themeColor="text1"/>
          <w:szCs w:val="24"/>
        </w:rPr>
        <w:t xml:space="preserve">x of </w:t>
      </w:r>
      <m:oMath>
        <m:sSub>
          <m:sSubPr>
            <m:ctrlPr>
              <w:rPr>
                <w:rFonts w:ascii="Cambria Math" w:hAnsi="Cambria Math" w:cstheme="majorBidi"/>
                <w:i/>
                <w:noProof/>
                <w:color w:val="000000" w:themeColor="text1"/>
                <w:szCs w:val="24"/>
              </w:rPr>
            </m:ctrlPr>
          </m:sSubPr>
          <m:e>
            <m:r>
              <w:rPr>
                <w:rFonts w:ascii="Cambria Math" w:hAnsi="Cambria Math" w:cstheme="majorBidi"/>
                <w:color w:val="000000" w:themeColor="text1"/>
                <w:szCs w:val="24"/>
              </w:rPr>
              <m:t>X</m:t>
            </m:r>
            <m:ctrlPr>
              <w:rPr>
                <w:rFonts w:ascii="Cambria Math" w:hAnsi="Cambria Math" w:cstheme="majorBidi"/>
                <w:i/>
                <w:color w:val="000000" w:themeColor="text1"/>
                <w:szCs w:val="24"/>
              </w:rPr>
            </m:ctrlPr>
          </m:e>
          <m:sub>
            <m:r>
              <w:rPr>
                <w:rFonts w:ascii="Cambria Math" w:hAnsi="Cambria Math" w:cstheme="majorBidi"/>
                <w:color w:val="000000" w:themeColor="text1"/>
                <w:szCs w:val="24"/>
              </w:rPr>
              <m:t>itmig</m:t>
            </m:r>
            <m:ctrlPr>
              <w:rPr>
                <w:rFonts w:ascii="Cambria Math" w:hAnsi="Cambria Math" w:cstheme="majorBidi"/>
                <w:i/>
                <w:color w:val="000000" w:themeColor="text1"/>
                <w:szCs w:val="24"/>
              </w:rPr>
            </m:ctrlPr>
          </m:sub>
        </m:sSub>
      </m:oMath>
      <w:r w:rsidR="00437147" w:rsidRPr="004B36B2">
        <w:rPr>
          <w:rFonts w:asciiTheme="majorBidi" w:hAnsiTheme="majorBidi" w:cstheme="majorBidi"/>
          <w:noProof/>
          <w:color w:val="000000" w:themeColor="text1"/>
          <w:szCs w:val="24"/>
        </w:rPr>
        <w:t xml:space="preserve"> </w:t>
      </w:r>
      <w:r w:rsidRPr="004B36B2">
        <w:rPr>
          <w:rFonts w:asciiTheme="majorBidi" w:hAnsiTheme="majorBidi" w:cstheme="majorBidi"/>
          <w:color w:val="000000" w:themeColor="text1"/>
          <w:szCs w:val="24"/>
        </w:rPr>
        <w:t>and other control variable</w:t>
      </w:r>
      <w:r w:rsidR="002515E2"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(like size </w:t>
      </w:r>
      <w:r w:rsidRPr="004B36B2">
        <w:rPr>
          <w:rFonts w:asciiTheme="majorBidi" w:hAnsiTheme="majorBidi" w:cstheme="majorBidi"/>
          <w:noProof/>
          <w:color w:val="000000" w:themeColor="text1"/>
          <w:szCs w:val="24"/>
        </w:rPr>
        <w:t>of l</w:t>
      </w:r>
      <w:r w:rsidRPr="004B36B2">
        <w:rPr>
          <w:rFonts w:asciiTheme="majorBidi" w:hAnsiTheme="majorBidi" w:cstheme="majorBidi"/>
          <w:color w:val="000000" w:themeColor="text1"/>
          <w:szCs w:val="24"/>
        </w:rPr>
        <w:t xml:space="preserve">and </w:t>
      </w:r>
      <w:r w:rsidRPr="004B36B2">
        <w:rPr>
          <w:rFonts w:asciiTheme="majorBidi" w:hAnsiTheme="majorBidi" w:cstheme="majorBidi"/>
          <w:color w:val="000000" w:themeColor="text1"/>
          <w:szCs w:val="24"/>
        </w:rPr>
        <w:lastRenderedPageBreak/>
        <w:t>owned, parents education, share</w:t>
      </w:r>
      <w:r w:rsidRPr="004B36B2">
        <w:rPr>
          <w:rFonts w:asciiTheme="majorBidi" w:hAnsiTheme="majorBidi" w:cstheme="majorBidi"/>
          <w:noProof/>
          <w:color w:val="000000" w:themeColor="text1"/>
          <w:szCs w:val="24"/>
        </w:rPr>
        <w:t xml:space="preserve"> of w</w:t>
      </w:r>
      <w:r w:rsidR="00491015" w:rsidRPr="004B36B2">
        <w:rPr>
          <w:rFonts w:asciiTheme="majorBidi" w:hAnsiTheme="majorBidi" w:cstheme="majorBidi"/>
          <w:color w:val="000000" w:themeColor="text1"/>
          <w:szCs w:val="24"/>
        </w:rPr>
        <w:t>orking age population</w:t>
      </w:r>
      <w:r w:rsidRPr="004B36B2">
        <w:rPr>
          <w:rFonts w:asciiTheme="majorBidi" w:hAnsiTheme="majorBidi" w:cstheme="majorBidi"/>
          <w:color w:val="000000" w:themeColor="text1"/>
          <w:szCs w:val="24"/>
        </w:rPr>
        <w:t>) are denoted by matri</w:t>
      </w:r>
      <w:r w:rsidRPr="004B36B2">
        <w:rPr>
          <w:rFonts w:asciiTheme="majorBidi" w:hAnsiTheme="majorBidi" w:cstheme="majorBidi"/>
          <w:noProof/>
          <w:color w:val="000000" w:themeColor="text1"/>
          <w:szCs w:val="24"/>
        </w:rPr>
        <w:t xml:space="preserve">x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it</m:t>
            </m:r>
          </m:sub>
        </m:sSub>
      </m:oMath>
      <w:r w:rsidR="00B40294" w:rsidRPr="004B36B2">
        <w:rPr>
          <w:rFonts w:asciiTheme="majorBidi" w:hAnsiTheme="majorBidi" w:cstheme="majorBidi"/>
          <w:color w:val="000000" w:themeColor="text1"/>
          <w:szCs w:val="24"/>
        </w:rPr>
        <w:t>. The</w:t>
      </w:r>
      <w:r w:rsidRPr="004B36B2">
        <w:rPr>
          <w:rFonts w:asciiTheme="majorBidi" w:hAnsiTheme="majorBidi" w:cstheme="majorBidi"/>
          <w:color w:val="000000" w:themeColor="text1"/>
          <w:szCs w:val="24"/>
        </w:rPr>
        <w:t xml:space="preserve"> </w:t>
      </w:r>
      <m:oMath>
        <m:r>
          <w:rPr>
            <w:rFonts w:ascii="Cambria Math" w:hAnsi="Cambria Math" w:cstheme="majorBidi"/>
            <w:color w:val="000000" w:themeColor="text1"/>
            <w:szCs w:val="24"/>
          </w:rPr>
          <m:t>β</m:t>
        </m:r>
      </m:oMath>
      <w:r w:rsidRPr="004B36B2">
        <w:rPr>
          <w:rFonts w:asciiTheme="majorBidi" w:hAnsiTheme="majorBidi" w:cstheme="majorBidi"/>
          <w:color w:val="000000" w:themeColor="text1"/>
          <w:szCs w:val="24"/>
        </w:rPr>
        <w:t xml:space="preserve"> and </w:t>
      </w:r>
      <m:oMath>
        <m:r>
          <w:rPr>
            <w:rFonts w:ascii="Cambria Math" w:hAnsi="Cambria Math" w:cstheme="majorBidi"/>
            <w:color w:val="000000" w:themeColor="text1"/>
            <w:szCs w:val="24"/>
          </w:rPr>
          <m:t>θ</m:t>
        </m:r>
      </m:oMath>
      <w:r w:rsidRPr="004B36B2">
        <w:rPr>
          <w:rFonts w:asciiTheme="majorBidi" w:hAnsiTheme="majorBidi" w:cstheme="majorBidi"/>
          <w:color w:val="000000" w:themeColor="text1"/>
          <w:szCs w:val="24"/>
        </w:rPr>
        <w:t xml:space="preserve"> are vector</w:t>
      </w:r>
      <w:r w:rsidR="00B40294"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of coefficients for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X</m:t>
            </m:r>
          </m:e>
          <m:sub>
            <m:r>
              <w:rPr>
                <w:rFonts w:ascii="Cambria Math" w:hAnsi="Cambria Math" w:cstheme="majorBidi"/>
                <w:color w:val="000000" w:themeColor="text1"/>
                <w:szCs w:val="24"/>
              </w:rPr>
              <m:t>it</m:t>
            </m:r>
          </m:sub>
        </m:sSub>
      </m:oMath>
      <w:r w:rsidRPr="004B36B2">
        <w:rPr>
          <w:rFonts w:asciiTheme="majorBidi" w:hAnsiTheme="majorBidi" w:cstheme="majorBidi"/>
          <w:color w:val="000000" w:themeColor="text1"/>
          <w:szCs w:val="24"/>
        </w:rPr>
        <w:t xml:space="preserve"> and </w:t>
      </w:r>
      <m:oMath>
        <m:sSub>
          <m:sSubPr>
            <m:ctrlPr>
              <w:rPr>
                <w:rFonts w:ascii="Cambria Math" w:hAnsi="Cambria Math" w:cstheme="majorBidi"/>
                <w:i/>
                <w:color w:val="000000" w:themeColor="text1"/>
                <w:szCs w:val="24"/>
              </w:rPr>
            </m:ctrlPr>
          </m:sSubPr>
          <m:e>
            <m:r>
              <w:rPr>
                <w:rFonts w:ascii="Cambria Math" w:hAnsi="Cambria Math" w:cstheme="majorBidi"/>
                <w:color w:val="000000" w:themeColor="text1"/>
                <w:szCs w:val="24"/>
              </w:rPr>
              <m:t>u</m:t>
            </m:r>
          </m:e>
          <m:sub>
            <m:r>
              <w:rPr>
                <w:rFonts w:ascii="Cambria Math" w:hAnsi="Cambria Math" w:cstheme="majorBidi"/>
                <w:color w:val="000000" w:themeColor="text1"/>
                <w:szCs w:val="24"/>
              </w:rPr>
              <m:t>t</m:t>
            </m:r>
          </m:sub>
        </m:sSub>
        <m:r>
          <w:rPr>
            <w:rFonts w:ascii="Cambria Math" w:hAnsi="Cambria Math" w:cstheme="majorBidi"/>
            <w:color w:val="000000" w:themeColor="text1"/>
            <w:szCs w:val="24"/>
          </w:rPr>
          <m:t xml:space="preserve">  </m:t>
        </m:r>
      </m:oMath>
      <w:r w:rsidRPr="004B36B2">
        <w:rPr>
          <w:rFonts w:asciiTheme="majorBidi" w:hAnsiTheme="majorBidi" w:cstheme="majorBidi"/>
          <w:color w:val="000000" w:themeColor="text1"/>
          <w:szCs w:val="24"/>
        </w:rPr>
        <w:t xml:space="preserve">is </w:t>
      </w:r>
      <w:r w:rsidR="00B40294" w:rsidRPr="004B36B2">
        <w:rPr>
          <w:rFonts w:asciiTheme="majorBidi" w:hAnsiTheme="majorBidi" w:cstheme="majorBidi"/>
          <w:color w:val="000000" w:themeColor="text1"/>
          <w:szCs w:val="24"/>
        </w:rPr>
        <w:t xml:space="preserve">a </w:t>
      </w:r>
      <w:r w:rsidRPr="004B36B2">
        <w:rPr>
          <w:rFonts w:asciiTheme="majorBidi" w:hAnsiTheme="majorBidi" w:cstheme="majorBidi"/>
          <w:color w:val="000000" w:themeColor="text1"/>
          <w:szCs w:val="24"/>
        </w:rPr>
        <w:t>NT × 1 vector of error term</w:t>
      </w:r>
      <w:r w:rsidR="00B40294" w:rsidRPr="004B36B2">
        <w:rPr>
          <w:rFonts w:asciiTheme="majorBidi" w:hAnsiTheme="majorBidi" w:cstheme="majorBidi"/>
          <w:color w:val="000000" w:themeColor="text1"/>
          <w:szCs w:val="24"/>
        </w:rPr>
        <w:t>s</w:t>
      </w:r>
      <w:r w:rsidRPr="004B36B2">
        <w:rPr>
          <w:rFonts w:asciiTheme="majorBidi" w:hAnsiTheme="majorBidi" w:cstheme="majorBidi"/>
          <w:color w:val="000000" w:themeColor="text1"/>
          <w:szCs w:val="24"/>
        </w:rPr>
        <w:t xml:space="preserve"> which </w:t>
      </w:r>
      <w:r w:rsidR="00F91474" w:rsidRPr="004B36B2">
        <w:rPr>
          <w:rFonts w:asciiTheme="majorBidi" w:hAnsiTheme="majorBidi" w:cstheme="majorBidi"/>
          <w:color w:val="000000" w:themeColor="text1"/>
          <w:szCs w:val="24"/>
        </w:rPr>
        <w:t>is cluster</w:t>
      </w:r>
      <w:r w:rsidR="0073521E" w:rsidRPr="004B36B2">
        <w:rPr>
          <w:rFonts w:asciiTheme="majorBidi" w:hAnsiTheme="majorBidi" w:cstheme="majorBidi"/>
          <w:color w:val="000000" w:themeColor="text1"/>
          <w:szCs w:val="24"/>
        </w:rPr>
        <w:t>ed</w:t>
      </w:r>
      <w:r w:rsidR="00F91474" w:rsidRPr="004B36B2">
        <w:rPr>
          <w:rFonts w:asciiTheme="majorBidi" w:hAnsiTheme="majorBidi" w:cstheme="majorBidi"/>
          <w:color w:val="000000" w:themeColor="text1"/>
          <w:szCs w:val="24"/>
        </w:rPr>
        <w:t xml:space="preserve"> at </w:t>
      </w:r>
      <w:r w:rsidR="00B40294" w:rsidRPr="004B36B2">
        <w:rPr>
          <w:rFonts w:asciiTheme="majorBidi" w:hAnsiTheme="majorBidi" w:cstheme="majorBidi"/>
          <w:color w:val="000000" w:themeColor="text1"/>
          <w:szCs w:val="24"/>
        </w:rPr>
        <w:t xml:space="preserve">the </w:t>
      </w:r>
      <w:r w:rsidR="00F91474" w:rsidRPr="004B36B2">
        <w:rPr>
          <w:rFonts w:asciiTheme="majorBidi" w:hAnsiTheme="majorBidi" w:cstheme="majorBidi"/>
          <w:color w:val="000000" w:themeColor="text1"/>
          <w:szCs w:val="24"/>
        </w:rPr>
        <w:t>distr</w:t>
      </w:r>
      <w:r w:rsidR="00B40294" w:rsidRPr="004B36B2">
        <w:rPr>
          <w:rFonts w:asciiTheme="majorBidi" w:hAnsiTheme="majorBidi" w:cstheme="majorBidi"/>
          <w:noProof/>
          <w:color w:val="000000" w:themeColor="text1"/>
          <w:szCs w:val="24"/>
        </w:rPr>
        <w:t>ict level</w:t>
      </w:r>
      <w:r w:rsidR="001159AB" w:rsidRPr="004B36B2">
        <w:rPr>
          <w:rFonts w:asciiTheme="majorBidi" w:hAnsiTheme="majorBidi" w:cstheme="majorBidi"/>
          <w:noProof/>
          <w:color w:val="000000" w:themeColor="text1"/>
          <w:szCs w:val="24"/>
        </w:rPr>
        <w:t xml:space="preserve"> for the 71 districts in the survey</w:t>
      </w:r>
      <w:r w:rsidR="00B40294" w:rsidRPr="004B36B2">
        <w:rPr>
          <w:rFonts w:asciiTheme="majorBidi" w:hAnsiTheme="majorBidi" w:cstheme="majorBidi"/>
          <w:noProof/>
          <w:color w:val="000000" w:themeColor="text1"/>
          <w:szCs w:val="24"/>
        </w:rPr>
        <w:t>.</w:t>
      </w:r>
      <w:r w:rsidR="00CF1918" w:rsidRPr="004B36B2">
        <w:rPr>
          <w:rFonts w:asciiTheme="majorBidi" w:hAnsiTheme="majorBidi" w:cstheme="majorBidi"/>
          <w:noProof/>
          <w:color w:val="000000" w:themeColor="text1"/>
          <w:szCs w:val="24"/>
        </w:rPr>
        <w:t xml:space="preserve"> </w:t>
      </w:r>
    </w:p>
    <w:p w14:paraId="147A7C0F" w14:textId="77777777" w:rsidR="00F03BFB" w:rsidRPr="004B36B2" w:rsidRDefault="00F03BFB" w:rsidP="00283A3C">
      <w:pPr>
        <w:spacing w:line="288" w:lineRule="auto"/>
        <w:ind w:firstLine="720"/>
        <w:jc w:val="both"/>
        <w:rPr>
          <w:rFonts w:asciiTheme="majorBidi" w:hAnsiTheme="majorBidi" w:cstheme="majorBidi"/>
          <w:noProof/>
          <w:color w:val="000000" w:themeColor="text1"/>
          <w:szCs w:val="24"/>
        </w:rPr>
      </w:pPr>
    </w:p>
    <w:p w14:paraId="7242EAA4" w14:textId="10EAA9E7" w:rsidR="007E0E90" w:rsidRDefault="00B40294"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V</w:t>
      </w:r>
      <w:r w:rsidR="00AA6AAA" w:rsidRPr="004B36B2">
        <w:rPr>
          <w:rFonts w:asciiTheme="majorBidi" w:hAnsiTheme="majorBidi" w:cstheme="majorBidi"/>
          <w:color w:val="000000" w:themeColor="text1"/>
          <w:szCs w:val="24"/>
        </w:rPr>
        <w:t>illage</w:t>
      </w:r>
      <w:r w:rsidRPr="004B36B2">
        <w:rPr>
          <w:rFonts w:asciiTheme="majorBidi" w:hAnsiTheme="majorBidi" w:cstheme="majorBidi"/>
          <w:color w:val="000000" w:themeColor="text1"/>
          <w:szCs w:val="24"/>
        </w:rPr>
        <w:t>s</w:t>
      </w:r>
      <w:r w:rsidR="00E57ED7" w:rsidRPr="004B36B2">
        <w:rPr>
          <w:rFonts w:asciiTheme="majorBidi" w:hAnsiTheme="majorBidi" w:cstheme="majorBidi"/>
          <w:color w:val="000000" w:themeColor="text1"/>
          <w:szCs w:val="24"/>
        </w:rPr>
        <w:t xml:space="preserve"> may </w:t>
      </w:r>
      <w:r w:rsidRPr="004B36B2">
        <w:rPr>
          <w:rFonts w:asciiTheme="majorBidi" w:hAnsiTheme="majorBidi" w:cstheme="majorBidi"/>
          <w:color w:val="000000" w:themeColor="text1"/>
          <w:szCs w:val="24"/>
        </w:rPr>
        <w:t xml:space="preserve">differ in terms of </w:t>
      </w:r>
      <w:r w:rsidR="00963048" w:rsidRPr="004B36B2">
        <w:rPr>
          <w:rFonts w:asciiTheme="majorBidi" w:hAnsiTheme="majorBidi" w:cstheme="majorBidi"/>
          <w:color w:val="000000" w:themeColor="text1"/>
          <w:szCs w:val="24"/>
        </w:rPr>
        <w:t xml:space="preserve">their </w:t>
      </w:r>
      <w:r w:rsidR="003B39A8" w:rsidRPr="004B36B2">
        <w:rPr>
          <w:rFonts w:asciiTheme="majorBidi" w:hAnsiTheme="majorBidi" w:cstheme="majorBidi"/>
          <w:color w:val="000000" w:themeColor="text1"/>
          <w:szCs w:val="24"/>
        </w:rPr>
        <w:t>population com</w:t>
      </w:r>
      <w:r w:rsidR="003B39A8" w:rsidRPr="004B36B2">
        <w:rPr>
          <w:rFonts w:asciiTheme="majorBidi" w:hAnsiTheme="majorBidi" w:cstheme="majorBidi"/>
          <w:noProof/>
          <w:color w:val="000000" w:themeColor="text1"/>
          <w:szCs w:val="24"/>
        </w:rPr>
        <w:t>posi</w:t>
      </w:r>
      <w:r w:rsidR="003B39A8" w:rsidRPr="004B36B2">
        <w:rPr>
          <w:rFonts w:asciiTheme="majorBidi" w:hAnsiTheme="majorBidi" w:cstheme="majorBidi"/>
          <w:color w:val="000000" w:themeColor="text1"/>
          <w:szCs w:val="24"/>
        </w:rPr>
        <w:t xml:space="preserve">tion, </w:t>
      </w:r>
      <w:r w:rsidR="00E823D6" w:rsidRPr="004B36B2">
        <w:rPr>
          <w:rFonts w:asciiTheme="majorBidi" w:hAnsiTheme="majorBidi" w:cstheme="majorBidi"/>
          <w:color w:val="000000" w:themeColor="text1"/>
          <w:szCs w:val="24"/>
        </w:rPr>
        <w:t>school</w:t>
      </w:r>
      <w:r w:rsidR="00963048" w:rsidRPr="004B36B2">
        <w:rPr>
          <w:rFonts w:asciiTheme="majorBidi" w:hAnsiTheme="majorBidi" w:cstheme="majorBidi"/>
          <w:color w:val="000000" w:themeColor="text1"/>
          <w:szCs w:val="24"/>
        </w:rPr>
        <w:t xml:space="preserve"> access and quality</w:t>
      </w:r>
      <w:r w:rsidR="0085218A" w:rsidRPr="004B36B2">
        <w:rPr>
          <w:rFonts w:asciiTheme="majorBidi" w:hAnsiTheme="majorBidi" w:cstheme="majorBidi"/>
          <w:color w:val="000000" w:themeColor="text1"/>
          <w:szCs w:val="24"/>
        </w:rPr>
        <w:t xml:space="preserve">, </w:t>
      </w:r>
      <w:r w:rsidR="00963048" w:rsidRPr="004B36B2">
        <w:rPr>
          <w:rFonts w:asciiTheme="majorBidi" w:hAnsiTheme="majorBidi" w:cstheme="majorBidi"/>
          <w:color w:val="000000" w:themeColor="text1"/>
          <w:szCs w:val="24"/>
        </w:rPr>
        <w:t xml:space="preserve">market </w:t>
      </w:r>
      <w:r w:rsidR="0085218A" w:rsidRPr="004B36B2">
        <w:rPr>
          <w:rFonts w:asciiTheme="majorBidi" w:hAnsiTheme="majorBidi" w:cstheme="majorBidi"/>
          <w:color w:val="000000" w:themeColor="text1"/>
          <w:szCs w:val="24"/>
        </w:rPr>
        <w:t>access, l</w:t>
      </w:r>
      <w:r w:rsidR="0085218A" w:rsidRPr="004B36B2">
        <w:rPr>
          <w:rFonts w:asciiTheme="majorBidi" w:hAnsiTheme="majorBidi" w:cstheme="majorBidi"/>
          <w:noProof/>
          <w:color w:val="000000" w:themeColor="text1"/>
          <w:szCs w:val="24"/>
        </w:rPr>
        <w:t>abour mar</w:t>
      </w:r>
      <w:r w:rsidR="0085218A" w:rsidRPr="004B36B2">
        <w:rPr>
          <w:rFonts w:asciiTheme="majorBidi" w:hAnsiTheme="majorBidi" w:cstheme="majorBidi"/>
          <w:color w:val="000000" w:themeColor="text1"/>
          <w:szCs w:val="24"/>
        </w:rPr>
        <w:t>ket condition</w:t>
      </w:r>
      <w:r w:rsidR="00963048" w:rsidRPr="004B36B2">
        <w:rPr>
          <w:rFonts w:asciiTheme="majorBidi" w:hAnsiTheme="majorBidi" w:cstheme="majorBidi"/>
          <w:color w:val="000000" w:themeColor="text1"/>
          <w:szCs w:val="24"/>
        </w:rPr>
        <w:t>s</w:t>
      </w:r>
      <w:r w:rsidR="008B202F" w:rsidRPr="004B36B2">
        <w:rPr>
          <w:rFonts w:asciiTheme="majorBidi" w:hAnsiTheme="majorBidi" w:cstheme="majorBidi"/>
          <w:color w:val="000000" w:themeColor="text1"/>
          <w:szCs w:val="24"/>
        </w:rPr>
        <w:t xml:space="preserve"> and so </w:t>
      </w:r>
      <w:r w:rsidR="00E823D6" w:rsidRPr="004B36B2">
        <w:rPr>
          <w:rFonts w:asciiTheme="majorBidi" w:hAnsiTheme="majorBidi" w:cstheme="majorBidi"/>
          <w:color w:val="000000" w:themeColor="text1"/>
          <w:szCs w:val="24"/>
        </w:rPr>
        <w:t>on</w:t>
      </w:r>
      <w:r w:rsidR="0085218A" w:rsidRPr="004B36B2">
        <w:rPr>
          <w:rFonts w:asciiTheme="majorBidi" w:hAnsiTheme="majorBidi" w:cstheme="majorBidi"/>
          <w:color w:val="000000" w:themeColor="text1"/>
          <w:szCs w:val="24"/>
        </w:rPr>
        <w:t xml:space="preserve">. The </w:t>
      </w:r>
      <w:r w:rsidR="00AA6AAA" w:rsidRPr="004B36B2">
        <w:rPr>
          <w:rFonts w:asciiTheme="majorBidi" w:hAnsiTheme="majorBidi" w:cstheme="majorBidi"/>
          <w:color w:val="000000" w:themeColor="text1"/>
          <w:szCs w:val="24"/>
        </w:rPr>
        <w:t xml:space="preserve">village and time </w:t>
      </w:r>
      <w:r w:rsidR="0085218A" w:rsidRPr="004B36B2">
        <w:rPr>
          <w:rFonts w:asciiTheme="majorBidi" w:hAnsiTheme="majorBidi" w:cstheme="majorBidi"/>
          <w:color w:val="000000" w:themeColor="text1"/>
          <w:szCs w:val="24"/>
        </w:rPr>
        <w:t>fixed ef</w:t>
      </w:r>
      <w:r w:rsidR="00AA6AAA" w:rsidRPr="004B36B2">
        <w:rPr>
          <w:rFonts w:asciiTheme="majorBidi" w:hAnsiTheme="majorBidi" w:cstheme="majorBidi"/>
          <w:color w:val="000000" w:themeColor="text1"/>
          <w:szCs w:val="24"/>
        </w:rPr>
        <w:t>fect</w:t>
      </w:r>
      <w:r w:rsidRPr="004B36B2">
        <w:rPr>
          <w:rFonts w:asciiTheme="majorBidi" w:hAnsiTheme="majorBidi" w:cstheme="majorBidi"/>
          <w:color w:val="000000" w:themeColor="text1"/>
          <w:szCs w:val="24"/>
        </w:rPr>
        <w:t>s</w:t>
      </w:r>
      <w:r w:rsidR="00AA6AAA" w:rsidRPr="004B36B2">
        <w:rPr>
          <w:rFonts w:asciiTheme="majorBidi" w:hAnsiTheme="majorBidi" w:cstheme="majorBidi"/>
          <w:color w:val="000000" w:themeColor="text1"/>
          <w:szCs w:val="24"/>
        </w:rPr>
        <w:t xml:space="preserve"> allow us to control for time</w:t>
      </w:r>
      <w:r w:rsidR="00121258"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invariant village effects, and </w:t>
      </w:r>
      <w:r w:rsidR="00963048" w:rsidRPr="004B36B2">
        <w:rPr>
          <w:rFonts w:asciiTheme="majorBidi" w:hAnsiTheme="majorBidi" w:cstheme="majorBidi"/>
          <w:color w:val="000000" w:themeColor="text1"/>
          <w:szCs w:val="24"/>
        </w:rPr>
        <w:t xml:space="preserve">for </w:t>
      </w:r>
      <w:r w:rsidRPr="004B36B2">
        <w:rPr>
          <w:rFonts w:asciiTheme="majorBidi" w:hAnsiTheme="majorBidi" w:cstheme="majorBidi"/>
          <w:color w:val="000000" w:themeColor="text1"/>
          <w:szCs w:val="24"/>
        </w:rPr>
        <w:t xml:space="preserve">space-invariant time effects but </w:t>
      </w:r>
      <w:r w:rsidR="00C178E6" w:rsidRPr="004B36B2">
        <w:rPr>
          <w:rFonts w:asciiTheme="majorBidi" w:hAnsiTheme="majorBidi" w:cstheme="majorBidi"/>
          <w:color w:val="000000" w:themeColor="text1"/>
          <w:szCs w:val="24"/>
        </w:rPr>
        <w:t xml:space="preserve">time-variant unobserved characteristics that may correlate with migration and </w:t>
      </w:r>
      <w:r w:rsidRPr="004B36B2">
        <w:rPr>
          <w:rFonts w:asciiTheme="majorBidi" w:hAnsiTheme="majorBidi" w:cstheme="majorBidi"/>
          <w:color w:val="000000" w:themeColor="text1"/>
          <w:szCs w:val="24"/>
        </w:rPr>
        <w:t>schooling still pose a problem</w:t>
      </w:r>
      <w:r w:rsidR="00C178E6"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Specifically, </w:t>
      </w:r>
      <w:r w:rsidR="00706DF1" w:rsidRPr="004B36B2">
        <w:rPr>
          <w:rFonts w:asciiTheme="majorBidi" w:hAnsiTheme="majorBidi" w:cstheme="majorBidi"/>
          <w:color w:val="000000" w:themeColor="text1"/>
          <w:szCs w:val="24"/>
        </w:rPr>
        <w:t xml:space="preserve">the </w:t>
      </w:r>
      <w:r w:rsidR="005D76CB" w:rsidRPr="004B36B2">
        <w:rPr>
          <w:rFonts w:asciiTheme="majorBidi" w:hAnsiTheme="majorBidi" w:cstheme="majorBidi"/>
          <w:color w:val="000000" w:themeColor="text1"/>
          <w:szCs w:val="24"/>
        </w:rPr>
        <w:t>endogeneity of migration and remittance</w:t>
      </w:r>
      <w:r w:rsidRPr="004B36B2">
        <w:rPr>
          <w:rFonts w:asciiTheme="majorBidi" w:hAnsiTheme="majorBidi" w:cstheme="majorBidi"/>
          <w:color w:val="000000" w:themeColor="text1"/>
          <w:szCs w:val="24"/>
        </w:rPr>
        <w:t>s</w:t>
      </w:r>
      <w:r w:rsidR="005D76CB" w:rsidRPr="004B36B2">
        <w:rPr>
          <w:rFonts w:asciiTheme="majorBidi" w:hAnsiTheme="majorBidi" w:cstheme="majorBidi"/>
          <w:color w:val="000000" w:themeColor="text1"/>
          <w:szCs w:val="24"/>
        </w:rPr>
        <w:t xml:space="preserve"> may bias the estimate of </w:t>
      </w:r>
      <m:oMath>
        <m:r>
          <w:rPr>
            <w:rFonts w:ascii="Cambria Math" w:hAnsi="Cambria Math" w:cstheme="majorBidi"/>
            <w:color w:val="000000" w:themeColor="text1"/>
            <w:szCs w:val="24"/>
          </w:rPr>
          <m:t>β</m:t>
        </m:r>
      </m:oMath>
      <w:r w:rsidRPr="004B36B2">
        <w:rPr>
          <w:rFonts w:asciiTheme="majorBidi" w:hAnsiTheme="majorBidi" w:cstheme="majorBidi"/>
          <w:color w:val="000000" w:themeColor="text1"/>
          <w:szCs w:val="24"/>
        </w:rPr>
        <w:t xml:space="preserve"> because i</w:t>
      </w:r>
      <w:r w:rsidR="00713849" w:rsidRPr="004B36B2">
        <w:rPr>
          <w:rFonts w:asciiTheme="majorBidi" w:hAnsiTheme="majorBidi" w:cstheme="majorBidi"/>
          <w:color w:val="000000" w:themeColor="text1"/>
          <w:szCs w:val="24"/>
        </w:rPr>
        <w:t>t is likely that households are not randomly participat</w:t>
      </w:r>
      <w:r w:rsidR="00E42159" w:rsidRPr="004B36B2">
        <w:rPr>
          <w:rFonts w:asciiTheme="majorBidi" w:hAnsiTheme="majorBidi" w:cstheme="majorBidi"/>
          <w:color w:val="000000" w:themeColor="text1"/>
          <w:szCs w:val="24"/>
        </w:rPr>
        <w:t xml:space="preserve">ing </w:t>
      </w:r>
      <w:r w:rsidR="00713849" w:rsidRPr="004B36B2">
        <w:rPr>
          <w:rFonts w:asciiTheme="majorBidi" w:hAnsiTheme="majorBidi" w:cstheme="majorBidi"/>
          <w:color w:val="000000" w:themeColor="text1"/>
          <w:szCs w:val="24"/>
        </w:rPr>
        <w:t xml:space="preserve">in migration </w:t>
      </w:r>
      <w:r w:rsidRPr="004B36B2">
        <w:rPr>
          <w:rFonts w:asciiTheme="majorBidi" w:hAnsiTheme="majorBidi" w:cstheme="majorBidi"/>
          <w:color w:val="000000" w:themeColor="text1"/>
          <w:szCs w:val="24"/>
        </w:rPr>
        <w:t xml:space="preserve">and instead there may be a </w:t>
      </w:r>
      <w:r w:rsidR="00713849" w:rsidRPr="004B36B2">
        <w:rPr>
          <w:rFonts w:asciiTheme="majorBidi" w:hAnsiTheme="majorBidi" w:cstheme="majorBidi"/>
          <w:color w:val="000000" w:themeColor="text1"/>
          <w:szCs w:val="24"/>
        </w:rPr>
        <w:t xml:space="preserve">simultaneity of </w:t>
      </w:r>
      <w:r w:rsidR="00000448" w:rsidRPr="004B36B2">
        <w:rPr>
          <w:rFonts w:asciiTheme="majorBidi" w:hAnsiTheme="majorBidi" w:cstheme="majorBidi"/>
          <w:color w:val="000000" w:themeColor="text1"/>
          <w:szCs w:val="24"/>
        </w:rPr>
        <w:t xml:space="preserve">migration </w:t>
      </w:r>
      <w:r w:rsidR="00713849" w:rsidRPr="004B36B2">
        <w:rPr>
          <w:rFonts w:asciiTheme="majorBidi" w:hAnsiTheme="majorBidi" w:cstheme="majorBidi"/>
          <w:color w:val="000000" w:themeColor="text1"/>
          <w:szCs w:val="24"/>
        </w:rPr>
        <w:t>decision</w:t>
      </w:r>
      <w:r w:rsidR="001159AB" w:rsidRPr="004B36B2">
        <w:rPr>
          <w:rFonts w:asciiTheme="majorBidi" w:hAnsiTheme="majorBidi" w:cstheme="majorBidi"/>
          <w:color w:val="000000" w:themeColor="text1"/>
          <w:szCs w:val="24"/>
        </w:rPr>
        <w:t>s</w:t>
      </w:r>
      <w:r w:rsidR="00000448" w:rsidRPr="004B36B2">
        <w:rPr>
          <w:rFonts w:asciiTheme="majorBidi" w:hAnsiTheme="majorBidi" w:cstheme="majorBidi"/>
          <w:color w:val="000000" w:themeColor="text1"/>
          <w:szCs w:val="24"/>
        </w:rPr>
        <w:t xml:space="preserve"> and human capital</w:t>
      </w:r>
      <w:r w:rsidRPr="004B36B2">
        <w:rPr>
          <w:rFonts w:asciiTheme="majorBidi" w:hAnsiTheme="majorBidi" w:cstheme="majorBidi"/>
          <w:color w:val="000000" w:themeColor="text1"/>
          <w:szCs w:val="24"/>
        </w:rPr>
        <w:t xml:space="preserve"> decisions</w:t>
      </w:r>
      <w:r w:rsidR="00713849"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 xml:space="preserve">so </w:t>
      </w:r>
      <w:r w:rsidR="00713849" w:rsidRPr="004B36B2">
        <w:rPr>
          <w:rFonts w:asciiTheme="majorBidi" w:hAnsiTheme="majorBidi" w:cstheme="majorBidi"/>
          <w:color w:val="000000" w:themeColor="text1"/>
          <w:szCs w:val="24"/>
        </w:rPr>
        <w:t xml:space="preserve">there </w:t>
      </w:r>
      <w:r w:rsidR="00A2799A" w:rsidRPr="004B36B2">
        <w:rPr>
          <w:rFonts w:asciiTheme="majorBidi" w:hAnsiTheme="majorBidi" w:cstheme="majorBidi"/>
          <w:color w:val="000000" w:themeColor="text1"/>
          <w:szCs w:val="24"/>
        </w:rPr>
        <w:t xml:space="preserve">is </w:t>
      </w:r>
      <w:r w:rsidR="00713849" w:rsidRPr="004B36B2">
        <w:rPr>
          <w:rFonts w:asciiTheme="majorBidi" w:hAnsiTheme="majorBidi" w:cstheme="majorBidi"/>
          <w:color w:val="000000" w:themeColor="text1"/>
          <w:szCs w:val="24"/>
        </w:rPr>
        <w:t>t</w:t>
      </w:r>
      <w:r w:rsidR="006B6F43" w:rsidRPr="004B36B2">
        <w:rPr>
          <w:rFonts w:asciiTheme="majorBidi" w:hAnsiTheme="majorBidi" w:cstheme="majorBidi"/>
          <w:color w:val="000000" w:themeColor="text1"/>
          <w:szCs w:val="24"/>
        </w:rPr>
        <w:t>h</w:t>
      </w:r>
      <w:r w:rsidR="00713849" w:rsidRPr="004B36B2">
        <w:rPr>
          <w:rFonts w:asciiTheme="majorBidi" w:hAnsiTheme="majorBidi" w:cstheme="majorBidi"/>
          <w:color w:val="000000" w:themeColor="text1"/>
          <w:szCs w:val="24"/>
        </w:rPr>
        <w:t xml:space="preserve">reat </w:t>
      </w:r>
      <w:r w:rsidR="006B6F43" w:rsidRPr="004B36B2">
        <w:rPr>
          <w:rFonts w:asciiTheme="majorBidi" w:hAnsiTheme="majorBidi" w:cstheme="majorBidi"/>
          <w:color w:val="000000" w:themeColor="text1"/>
          <w:szCs w:val="24"/>
        </w:rPr>
        <w:t xml:space="preserve">of </w:t>
      </w:r>
      <w:r w:rsidR="00713849" w:rsidRPr="004B36B2">
        <w:rPr>
          <w:rFonts w:asciiTheme="majorBidi" w:hAnsiTheme="majorBidi" w:cstheme="majorBidi"/>
          <w:color w:val="000000" w:themeColor="text1"/>
          <w:szCs w:val="24"/>
        </w:rPr>
        <w:t>reverse causality</w:t>
      </w:r>
      <w:r w:rsidRPr="004B36B2">
        <w:rPr>
          <w:rFonts w:asciiTheme="majorBidi" w:hAnsiTheme="majorBidi" w:cstheme="majorBidi"/>
          <w:color w:val="000000" w:themeColor="text1"/>
          <w:szCs w:val="24"/>
        </w:rPr>
        <w:t xml:space="preserve">. For example, a </w:t>
      </w:r>
      <w:r w:rsidR="00A15538" w:rsidRPr="004B36B2">
        <w:rPr>
          <w:rFonts w:asciiTheme="majorBidi" w:hAnsiTheme="majorBidi" w:cstheme="majorBidi"/>
          <w:noProof/>
          <w:color w:val="000000" w:themeColor="text1"/>
          <w:szCs w:val="24"/>
        </w:rPr>
        <w:t>village</w:t>
      </w:r>
      <w:r w:rsidR="00A15538" w:rsidRPr="004B36B2">
        <w:rPr>
          <w:rFonts w:asciiTheme="majorBidi" w:hAnsiTheme="majorBidi" w:cstheme="majorBidi"/>
          <w:color w:val="000000" w:themeColor="text1"/>
          <w:szCs w:val="24"/>
        </w:rPr>
        <w:t xml:space="preserve"> with high illite</w:t>
      </w:r>
      <w:r w:rsidR="00DB243B" w:rsidRPr="004B36B2">
        <w:rPr>
          <w:rFonts w:asciiTheme="majorBidi" w:hAnsiTheme="majorBidi" w:cstheme="majorBidi"/>
          <w:color w:val="000000" w:themeColor="text1"/>
          <w:szCs w:val="24"/>
        </w:rPr>
        <w:t>racy and poverty, low education</w:t>
      </w:r>
      <w:r w:rsidR="00A15538" w:rsidRPr="004B36B2">
        <w:rPr>
          <w:rFonts w:asciiTheme="majorBidi" w:hAnsiTheme="majorBidi" w:cstheme="majorBidi"/>
          <w:color w:val="000000" w:themeColor="text1"/>
          <w:szCs w:val="24"/>
        </w:rPr>
        <w:t xml:space="preserve"> and </w:t>
      </w:r>
      <w:r w:rsidR="00963048" w:rsidRPr="004B36B2">
        <w:rPr>
          <w:rFonts w:asciiTheme="majorBidi" w:hAnsiTheme="majorBidi" w:cstheme="majorBidi"/>
          <w:color w:val="000000" w:themeColor="text1"/>
          <w:szCs w:val="24"/>
        </w:rPr>
        <w:t xml:space="preserve">high </w:t>
      </w:r>
      <w:r w:rsidRPr="004B36B2">
        <w:rPr>
          <w:rFonts w:asciiTheme="majorBidi" w:hAnsiTheme="majorBidi" w:cstheme="majorBidi"/>
          <w:color w:val="000000" w:themeColor="text1"/>
          <w:szCs w:val="24"/>
        </w:rPr>
        <w:t xml:space="preserve">rates of </w:t>
      </w:r>
      <w:r w:rsidR="00A15538" w:rsidRPr="004B36B2">
        <w:rPr>
          <w:rFonts w:asciiTheme="majorBidi" w:hAnsiTheme="majorBidi" w:cstheme="majorBidi"/>
          <w:color w:val="000000" w:themeColor="text1"/>
          <w:szCs w:val="24"/>
        </w:rPr>
        <w:t xml:space="preserve">child </w:t>
      </w:r>
      <w:r w:rsidRPr="004B36B2">
        <w:rPr>
          <w:rFonts w:asciiTheme="majorBidi" w:hAnsiTheme="majorBidi" w:cstheme="majorBidi"/>
          <w:color w:val="000000" w:themeColor="text1"/>
          <w:szCs w:val="24"/>
        </w:rPr>
        <w:t xml:space="preserve">labour may </w:t>
      </w:r>
      <w:r w:rsidR="00E367C8" w:rsidRPr="004B36B2">
        <w:rPr>
          <w:rFonts w:asciiTheme="majorBidi" w:hAnsiTheme="majorBidi" w:cstheme="majorBidi"/>
          <w:color w:val="000000" w:themeColor="text1"/>
          <w:szCs w:val="24"/>
        </w:rPr>
        <w:t xml:space="preserve">only be able to </w:t>
      </w:r>
      <w:r w:rsidRPr="004B36B2">
        <w:rPr>
          <w:rFonts w:asciiTheme="majorBidi" w:hAnsiTheme="majorBidi" w:cstheme="majorBidi"/>
          <w:color w:val="000000" w:themeColor="text1"/>
          <w:szCs w:val="24"/>
        </w:rPr>
        <w:t>send</w:t>
      </w:r>
      <w:r w:rsidR="00A15538" w:rsidRPr="004B36B2">
        <w:rPr>
          <w:rFonts w:asciiTheme="majorBidi" w:hAnsiTheme="majorBidi" w:cstheme="majorBidi"/>
          <w:color w:val="000000" w:themeColor="text1"/>
          <w:szCs w:val="24"/>
        </w:rPr>
        <w:t xml:space="preserve"> migrants to </w:t>
      </w:r>
      <w:r w:rsidR="00F06935" w:rsidRPr="004B36B2">
        <w:rPr>
          <w:rFonts w:asciiTheme="majorBidi" w:hAnsiTheme="majorBidi" w:cstheme="majorBidi"/>
          <w:color w:val="000000" w:themeColor="text1"/>
          <w:szCs w:val="24"/>
        </w:rPr>
        <w:t xml:space="preserve">a </w:t>
      </w:r>
      <w:r w:rsidR="00384854" w:rsidRPr="004B36B2">
        <w:rPr>
          <w:rFonts w:asciiTheme="majorBidi" w:hAnsiTheme="majorBidi" w:cstheme="majorBidi"/>
          <w:color w:val="000000" w:themeColor="text1"/>
          <w:szCs w:val="24"/>
        </w:rPr>
        <w:t>low</w:t>
      </w:r>
      <w:r w:rsidR="00121258" w:rsidRPr="004B36B2">
        <w:rPr>
          <w:rFonts w:asciiTheme="majorBidi" w:hAnsiTheme="majorBidi" w:cstheme="majorBidi"/>
          <w:color w:val="000000" w:themeColor="text1"/>
          <w:szCs w:val="24"/>
        </w:rPr>
        <w:t>-</w:t>
      </w:r>
      <w:r w:rsidR="00384854" w:rsidRPr="004B36B2">
        <w:rPr>
          <w:rFonts w:asciiTheme="majorBidi" w:hAnsiTheme="majorBidi" w:cstheme="majorBidi"/>
          <w:color w:val="000000" w:themeColor="text1"/>
          <w:szCs w:val="24"/>
        </w:rPr>
        <w:t xml:space="preserve">cost </w:t>
      </w:r>
      <w:r w:rsidR="00805621" w:rsidRPr="004B36B2">
        <w:rPr>
          <w:rFonts w:asciiTheme="majorBidi" w:hAnsiTheme="majorBidi" w:cstheme="majorBidi"/>
          <w:color w:val="000000" w:themeColor="text1"/>
          <w:szCs w:val="24"/>
        </w:rPr>
        <w:t xml:space="preserve">destination like India. </w:t>
      </w:r>
      <w:r w:rsidR="00963048" w:rsidRPr="004B36B2">
        <w:rPr>
          <w:rFonts w:asciiTheme="majorBidi" w:hAnsiTheme="majorBidi" w:cstheme="majorBidi"/>
          <w:color w:val="000000" w:themeColor="text1"/>
          <w:szCs w:val="24"/>
        </w:rPr>
        <w:t>So</w:t>
      </w:r>
      <w:r w:rsidR="00E367C8" w:rsidRPr="004B36B2">
        <w:rPr>
          <w:rFonts w:asciiTheme="majorBidi" w:hAnsiTheme="majorBidi" w:cstheme="majorBidi"/>
          <w:color w:val="000000" w:themeColor="text1"/>
          <w:szCs w:val="24"/>
        </w:rPr>
        <w:t xml:space="preserve"> schooling</w:t>
      </w:r>
      <w:r w:rsidR="00963048" w:rsidRPr="004B36B2">
        <w:rPr>
          <w:rFonts w:asciiTheme="majorBidi" w:hAnsiTheme="majorBidi" w:cstheme="majorBidi"/>
          <w:color w:val="000000" w:themeColor="text1"/>
          <w:szCs w:val="24"/>
        </w:rPr>
        <w:t>,</w:t>
      </w:r>
      <w:r w:rsidR="00E367C8" w:rsidRPr="004B36B2">
        <w:rPr>
          <w:rFonts w:asciiTheme="majorBidi" w:hAnsiTheme="majorBidi" w:cstheme="majorBidi"/>
          <w:color w:val="000000" w:themeColor="text1"/>
          <w:szCs w:val="24"/>
        </w:rPr>
        <w:t xml:space="preserve"> migration</w:t>
      </w:r>
      <w:r w:rsidR="001159AB" w:rsidRPr="004B36B2">
        <w:rPr>
          <w:rFonts w:asciiTheme="majorBidi" w:hAnsiTheme="majorBidi" w:cstheme="majorBidi"/>
          <w:color w:val="000000" w:themeColor="text1"/>
          <w:szCs w:val="24"/>
        </w:rPr>
        <w:t>, and subsequent remittances</w:t>
      </w:r>
      <w:r w:rsidR="00963048" w:rsidRPr="004B36B2">
        <w:rPr>
          <w:rFonts w:asciiTheme="majorBidi" w:hAnsiTheme="majorBidi" w:cstheme="majorBidi"/>
          <w:color w:val="000000" w:themeColor="text1"/>
          <w:szCs w:val="24"/>
        </w:rPr>
        <w:t xml:space="preserve"> may be </w:t>
      </w:r>
      <w:r w:rsidR="001159AB" w:rsidRPr="004B36B2">
        <w:rPr>
          <w:rFonts w:asciiTheme="majorBidi" w:hAnsiTheme="majorBidi" w:cstheme="majorBidi"/>
          <w:color w:val="000000" w:themeColor="text1"/>
          <w:szCs w:val="24"/>
        </w:rPr>
        <w:t xml:space="preserve">affected by factors that are unobservable, but </w:t>
      </w:r>
      <w:r w:rsidR="00E367C8" w:rsidRPr="004B36B2">
        <w:rPr>
          <w:rFonts w:asciiTheme="majorBidi" w:hAnsiTheme="majorBidi" w:cstheme="majorBidi"/>
          <w:color w:val="000000" w:themeColor="text1"/>
          <w:szCs w:val="24"/>
        </w:rPr>
        <w:t>correlated</w:t>
      </w:r>
      <w:r w:rsidR="001159AB" w:rsidRPr="004B36B2">
        <w:rPr>
          <w:rFonts w:asciiTheme="majorBidi" w:hAnsiTheme="majorBidi" w:cstheme="majorBidi"/>
          <w:color w:val="000000" w:themeColor="text1"/>
          <w:szCs w:val="24"/>
        </w:rPr>
        <w:t xml:space="preserve"> with outcomes and with the treatment variables.</w:t>
      </w:r>
      <w:r w:rsidR="00E367C8" w:rsidRPr="004B36B2">
        <w:rPr>
          <w:rFonts w:asciiTheme="majorBidi" w:hAnsiTheme="majorBidi" w:cstheme="majorBidi"/>
          <w:color w:val="000000" w:themeColor="text1"/>
          <w:szCs w:val="24"/>
        </w:rPr>
        <w:t xml:space="preserve"> </w:t>
      </w:r>
    </w:p>
    <w:p w14:paraId="1584BDE4" w14:textId="77777777" w:rsidR="00F03BFB" w:rsidRPr="004B36B2" w:rsidRDefault="00F03BFB" w:rsidP="00283A3C">
      <w:pPr>
        <w:spacing w:line="288" w:lineRule="auto"/>
        <w:ind w:firstLine="720"/>
        <w:jc w:val="both"/>
        <w:rPr>
          <w:rFonts w:asciiTheme="majorBidi" w:hAnsiTheme="majorBidi" w:cstheme="majorBidi"/>
          <w:color w:val="000000" w:themeColor="text1"/>
          <w:szCs w:val="24"/>
        </w:rPr>
      </w:pPr>
    </w:p>
    <w:p w14:paraId="0C3089B8" w14:textId="6EC79B7B" w:rsidR="00DE131D" w:rsidRDefault="00CA5D4E" w:rsidP="00283A3C">
      <w:pPr>
        <w:spacing w:line="288" w:lineRule="auto"/>
        <w:ind w:firstLine="720"/>
        <w:jc w:val="both"/>
        <w:rPr>
          <w:rFonts w:asciiTheme="majorBidi" w:hAnsiTheme="majorBidi" w:cstheme="majorBidi"/>
          <w:color w:val="000000" w:themeColor="text1"/>
          <w:szCs w:val="24"/>
          <w:shd w:val="clear" w:color="auto" w:fill="FFFFFF"/>
        </w:rPr>
      </w:pPr>
      <w:r w:rsidRPr="004B36B2">
        <w:rPr>
          <w:rFonts w:asciiTheme="majorBidi" w:hAnsiTheme="majorBidi" w:cstheme="majorBidi"/>
          <w:color w:val="000000" w:themeColor="text1"/>
          <w:szCs w:val="24"/>
        </w:rPr>
        <w:t xml:space="preserve">To address </w:t>
      </w:r>
      <w:r w:rsidR="00857166" w:rsidRPr="004B36B2">
        <w:rPr>
          <w:rFonts w:asciiTheme="majorBidi" w:hAnsiTheme="majorBidi" w:cstheme="majorBidi"/>
          <w:color w:val="000000" w:themeColor="text1"/>
          <w:szCs w:val="24"/>
        </w:rPr>
        <w:t xml:space="preserve">potential </w:t>
      </w:r>
      <w:r w:rsidR="00522B9A" w:rsidRPr="004B36B2">
        <w:rPr>
          <w:rFonts w:asciiTheme="majorBidi" w:hAnsiTheme="majorBidi" w:cstheme="majorBidi"/>
          <w:color w:val="000000" w:themeColor="text1"/>
          <w:szCs w:val="24"/>
        </w:rPr>
        <w:t xml:space="preserve">endogeneity </w:t>
      </w:r>
      <w:r w:rsidR="00857166" w:rsidRPr="004B36B2">
        <w:rPr>
          <w:rFonts w:asciiTheme="majorBidi" w:hAnsiTheme="majorBidi" w:cstheme="majorBidi"/>
          <w:color w:val="000000" w:themeColor="text1"/>
          <w:szCs w:val="24"/>
        </w:rPr>
        <w:t xml:space="preserve">from migrant </w:t>
      </w:r>
      <w:r w:rsidR="002240C2" w:rsidRPr="004B36B2">
        <w:rPr>
          <w:rFonts w:asciiTheme="majorBidi" w:hAnsiTheme="majorBidi" w:cstheme="majorBidi"/>
          <w:color w:val="000000" w:themeColor="text1"/>
          <w:szCs w:val="24"/>
        </w:rPr>
        <w:t>self-selectio</w:t>
      </w:r>
      <w:r w:rsidR="006D2F20" w:rsidRPr="004B36B2">
        <w:rPr>
          <w:rFonts w:asciiTheme="majorBidi" w:hAnsiTheme="majorBidi" w:cstheme="majorBidi"/>
          <w:color w:val="000000" w:themeColor="text1"/>
          <w:szCs w:val="24"/>
        </w:rPr>
        <w:t>n</w:t>
      </w:r>
      <w:r w:rsidR="002240C2" w:rsidRPr="004B36B2">
        <w:rPr>
          <w:rFonts w:asciiTheme="majorBidi" w:hAnsiTheme="majorBidi" w:cstheme="majorBidi"/>
          <w:color w:val="000000" w:themeColor="text1"/>
          <w:szCs w:val="24"/>
        </w:rPr>
        <w:t>,</w:t>
      </w:r>
      <w:r w:rsidR="00522B9A" w:rsidRPr="004B36B2">
        <w:rPr>
          <w:rFonts w:asciiTheme="majorBidi" w:hAnsiTheme="majorBidi" w:cstheme="majorBidi"/>
          <w:color w:val="000000" w:themeColor="text1"/>
          <w:szCs w:val="24"/>
        </w:rPr>
        <w:t xml:space="preserve"> </w:t>
      </w:r>
      <w:r w:rsidR="00857166" w:rsidRPr="004B36B2">
        <w:rPr>
          <w:rFonts w:asciiTheme="majorBidi" w:hAnsiTheme="majorBidi" w:cstheme="majorBidi"/>
          <w:color w:val="000000" w:themeColor="text1"/>
          <w:szCs w:val="24"/>
        </w:rPr>
        <w:t xml:space="preserve">a </w:t>
      </w:r>
      <w:r w:rsidR="00B460C3" w:rsidRPr="004B36B2">
        <w:rPr>
          <w:rFonts w:asciiTheme="majorBidi" w:hAnsiTheme="majorBidi" w:cstheme="majorBidi"/>
          <w:color w:val="000000" w:themeColor="text1"/>
          <w:szCs w:val="24"/>
        </w:rPr>
        <w:t xml:space="preserve">shift-share </w:t>
      </w:r>
      <w:r w:rsidR="00522B9A" w:rsidRPr="004B36B2">
        <w:rPr>
          <w:rFonts w:asciiTheme="majorBidi" w:hAnsiTheme="majorBidi" w:cstheme="majorBidi"/>
          <w:color w:val="000000" w:themeColor="text1"/>
          <w:szCs w:val="24"/>
        </w:rPr>
        <w:t>instrumental variable</w:t>
      </w:r>
      <w:r w:rsidR="00857166" w:rsidRPr="004B36B2">
        <w:rPr>
          <w:rFonts w:asciiTheme="majorBidi" w:hAnsiTheme="majorBidi" w:cstheme="majorBidi"/>
          <w:color w:val="000000" w:themeColor="text1"/>
          <w:szCs w:val="24"/>
        </w:rPr>
        <w:t>s (IV)</w:t>
      </w:r>
      <w:r w:rsidR="00522B9A" w:rsidRPr="004B36B2">
        <w:rPr>
          <w:rFonts w:asciiTheme="majorBidi" w:hAnsiTheme="majorBidi" w:cstheme="majorBidi"/>
          <w:color w:val="000000" w:themeColor="text1"/>
          <w:szCs w:val="24"/>
        </w:rPr>
        <w:t xml:space="preserve"> </w:t>
      </w:r>
      <w:r w:rsidR="00857166" w:rsidRPr="004B36B2">
        <w:rPr>
          <w:rFonts w:asciiTheme="majorBidi" w:hAnsiTheme="majorBidi" w:cstheme="majorBidi"/>
          <w:color w:val="000000" w:themeColor="text1"/>
          <w:szCs w:val="24"/>
        </w:rPr>
        <w:t>strategy is</w:t>
      </w:r>
      <w:r w:rsidR="00522B9A" w:rsidRPr="004B36B2">
        <w:rPr>
          <w:rFonts w:asciiTheme="majorBidi" w:hAnsiTheme="majorBidi" w:cstheme="majorBidi"/>
          <w:color w:val="000000" w:themeColor="text1"/>
          <w:szCs w:val="24"/>
        </w:rPr>
        <w:t xml:space="preserve"> </w:t>
      </w:r>
      <w:r w:rsidR="000D6984" w:rsidRPr="004B36B2">
        <w:rPr>
          <w:rFonts w:asciiTheme="majorBidi" w:hAnsiTheme="majorBidi" w:cstheme="majorBidi"/>
          <w:color w:val="000000" w:themeColor="text1"/>
          <w:szCs w:val="24"/>
        </w:rPr>
        <w:t xml:space="preserve">often </w:t>
      </w:r>
      <w:r w:rsidR="00857166" w:rsidRPr="004B36B2">
        <w:rPr>
          <w:rFonts w:asciiTheme="majorBidi" w:hAnsiTheme="majorBidi" w:cstheme="majorBidi"/>
          <w:color w:val="000000" w:themeColor="text1"/>
          <w:szCs w:val="24"/>
        </w:rPr>
        <w:t xml:space="preserve">used </w:t>
      </w:r>
      <w:r w:rsidR="00180D60" w:rsidRPr="004B36B2">
        <w:rPr>
          <w:rFonts w:asciiTheme="majorBidi" w:hAnsiTheme="majorBidi" w:cstheme="majorBidi"/>
          <w:color w:val="000000" w:themeColor="text1"/>
          <w:szCs w:val="24"/>
        </w:rPr>
        <w:t>(</w:t>
      </w:r>
      <w:r w:rsidR="00B73EEF" w:rsidRPr="004B36B2">
        <w:rPr>
          <w:rFonts w:asciiTheme="majorBidi" w:hAnsiTheme="majorBidi" w:cstheme="majorBidi"/>
          <w:color w:val="000000" w:themeColor="text1"/>
          <w:szCs w:val="24"/>
        </w:rPr>
        <w:t xml:space="preserve">Acharya </w:t>
      </w:r>
      <w:r w:rsidR="00DB0036" w:rsidRPr="00DB0036">
        <w:rPr>
          <w:rFonts w:asciiTheme="majorBidi" w:hAnsiTheme="majorBidi" w:cstheme="majorBidi"/>
          <w:color w:val="000000" w:themeColor="text1"/>
          <w:szCs w:val="24"/>
        </w:rPr>
        <w:t>and</w:t>
      </w:r>
      <w:r w:rsidR="00B73EEF" w:rsidRPr="004B36B2">
        <w:rPr>
          <w:rFonts w:asciiTheme="majorBidi" w:hAnsiTheme="majorBidi" w:cstheme="majorBidi"/>
          <w:color w:val="000000" w:themeColor="text1"/>
          <w:szCs w:val="24"/>
        </w:rPr>
        <w:t xml:space="preserve"> </w:t>
      </w:r>
      <w:r w:rsidR="00B73EEF" w:rsidRPr="004B36B2">
        <w:rPr>
          <w:rFonts w:asciiTheme="majorBidi" w:hAnsiTheme="majorBidi" w:cstheme="majorBidi"/>
          <w:color w:val="000000" w:themeColor="text1"/>
          <w:szCs w:val="24"/>
          <w:shd w:val="clear" w:color="auto" w:fill="FFFFFF"/>
        </w:rPr>
        <w:t>Leon-Gonzalez</w:t>
      </w:r>
      <w:r w:rsidR="00B73EEF" w:rsidRPr="004B36B2">
        <w:rPr>
          <w:rFonts w:asciiTheme="majorBidi" w:hAnsiTheme="majorBidi" w:cstheme="majorBidi"/>
          <w:color w:val="000000" w:themeColor="text1"/>
          <w:szCs w:val="24"/>
        </w:rPr>
        <w:t xml:space="preserve"> 2013</w:t>
      </w:r>
      <w:r w:rsidR="00DB0036">
        <w:rPr>
          <w:rFonts w:asciiTheme="majorBidi" w:hAnsiTheme="majorBidi" w:cstheme="majorBidi"/>
          <w:color w:val="000000" w:themeColor="text1"/>
          <w:szCs w:val="24"/>
        </w:rPr>
        <w:t>,</w:t>
      </w:r>
      <w:r w:rsidR="00B73EEF" w:rsidRPr="004B36B2">
        <w:rPr>
          <w:rFonts w:asciiTheme="majorBidi" w:hAnsiTheme="majorBidi" w:cstheme="majorBidi"/>
          <w:color w:val="000000" w:themeColor="text1"/>
          <w:szCs w:val="24"/>
        </w:rPr>
        <w:t xml:space="preserve"> </w:t>
      </w:r>
      <w:r w:rsidR="00B73EEF" w:rsidRPr="004B36B2">
        <w:rPr>
          <w:rFonts w:asciiTheme="majorBidi" w:hAnsiTheme="majorBidi" w:cstheme="majorBidi"/>
          <w:color w:val="000000" w:themeColor="text1"/>
          <w:szCs w:val="24"/>
          <w:shd w:val="clear" w:color="auto" w:fill="FFFFFF"/>
        </w:rPr>
        <w:t>Acosta 2011</w:t>
      </w:r>
      <w:r w:rsidR="00DB0036">
        <w:rPr>
          <w:rFonts w:asciiTheme="majorBidi" w:hAnsiTheme="majorBidi" w:cstheme="majorBidi"/>
          <w:color w:val="000000" w:themeColor="text1"/>
          <w:szCs w:val="24"/>
          <w:shd w:val="clear" w:color="auto" w:fill="FFFFFF"/>
        </w:rPr>
        <w:t>,</w:t>
      </w:r>
      <w:r w:rsidR="00B73EEF" w:rsidRPr="004B36B2">
        <w:rPr>
          <w:rFonts w:asciiTheme="majorBidi" w:hAnsiTheme="majorBidi" w:cstheme="majorBidi"/>
          <w:color w:val="000000" w:themeColor="text1"/>
          <w:szCs w:val="24"/>
        </w:rPr>
        <w:t xml:space="preserve"> </w:t>
      </w:r>
      <w:r w:rsidR="00857166" w:rsidRPr="004B36B2">
        <w:rPr>
          <w:rFonts w:asciiTheme="majorBidi" w:hAnsiTheme="majorBidi" w:cstheme="majorBidi"/>
          <w:color w:val="000000" w:themeColor="text1"/>
          <w:szCs w:val="24"/>
          <w:shd w:val="clear" w:color="auto" w:fill="FFFFFF"/>
        </w:rPr>
        <w:t>Adams</w:t>
      </w:r>
      <w:r w:rsidR="00A15538" w:rsidRPr="004B36B2">
        <w:rPr>
          <w:rFonts w:asciiTheme="majorBidi" w:hAnsiTheme="majorBidi" w:cstheme="majorBidi"/>
          <w:color w:val="000000" w:themeColor="text1"/>
          <w:szCs w:val="24"/>
          <w:shd w:val="clear" w:color="auto" w:fill="FFFFFF"/>
        </w:rPr>
        <w:t xml:space="preserve"> 2011</w:t>
      </w:r>
      <w:r w:rsidR="00DB0036">
        <w:rPr>
          <w:rFonts w:asciiTheme="majorBidi" w:hAnsiTheme="majorBidi" w:cstheme="majorBidi"/>
          <w:color w:val="000000" w:themeColor="text1"/>
          <w:szCs w:val="24"/>
          <w:shd w:val="clear" w:color="auto" w:fill="FFFFFF"/>
        </w:rPr>
        <w:t>,</w:t>
      </w:r>
      <w:r w:rsidR="00A15538" w:rsidRPr="004B36B2">
        <w:rPr>
          <w:rFonts w:asciiTheme="majorBidi" w:hAnsiTheme="majorBidi" w:cstheme="majorBidi"/>
          <w:color w:val="000000" w:themeColor="text1"/>
          <w:szCs w:val="24"/>
          <w:shd w:val="clear" w:color="auto" w:fill="FFFFFF"/>
        </w:rPr>
        <w:t xml:space="preserve"> </w:t>
      </w:r>
      <w:r w:rsidR="007F757F" w:rsidRPr="004B36B2">
        <w:rPr>
          <w:rFonts w:asciiTheme="majorBidi" w:hAnsiTheme="majorBidi" w:cstheme="majorBidi"/>
          <w:color w:val="000000" w:themeColor="text1"/>
          <w:szCs w:val="24"/>
        </w:rPr>
        <w:t xml:space="preserve">Calero </w:t>
      </w:r>
      <w:r w:rsidR="00DB0036" w:rsidRPr="00DB0036">
        <w:rPr>
          <w:rFonts w:asciiTheme="majorBidi" w:hAnsiTheme="majorBidi" w:cstheme="majorBidi"/>
          <w:i/>
          <w:iCs/>
          <w:color w:val="000000" w:themeColor="text1"/>
          <w:szCs w:val="24"/>
        </w:rPr>
        <w:t>et al.</w:t>
      </w:r>
      <w:r w:rsidR="007F757F" w:rsidRPr="004B36B2">
        <w:rPr>
          <w:rFonts w:asciiTheme="majorBidi" w:hAnsiTheme="majorBidi" w:cstheme="majorBidi"/>
          <w:color w:val="000000" w:themeColor="text1"/>
          <w:szCs w:val="24"/>
        </w:rPr>
        <w:t xml:space="preserve"> 2009</w:t>
      </w:r>
      <w:r w:rsidR="00DB0036">
        <w:rPr>
          <w:rFonts w:asciiTheme="majorBidi" w:hAnsiTheme="majorBidi" w:cstheme="majorBidi"/>
          <w:color w:val="000000" w:themeColor="text1"/>
          <w:szCs w:val="24"/>
        </w:rPr>
        <w:t>,</w:t>
      </w:r>
      <w:r w:rsidR="00857166" w:rsidRPr="004B36B2">
        <w:rPr>
          <w:rFonts w:asciiTheme="majorBidi" w:hAnsiTheme="majorBidi" w:cstheme="majorBidi"/>
          <w:color w:val="000000" w:themeColor="text1"/>
          <w:szCs w:val="24"/>
        </w:rPr>
        <w:t xml:space="preserve"> </w:t>
      </w:r>
      <w:r w:rsidR="00BE328A" w:rsidRPr="004B36B2">
        <w:rPr>
          <w:rFonts w:asciiTheme="majorBidi" w:hAnsiTheme="majorBidi" w:cstheme="majorBidi"/>
          <w:color w:val="000000" w:themeColor="text1"/>
          <w:szCs w:val="24"/>
          <w:shd w:val="clear" w:color="auto" w:fill="FFFFFF"/>
        </w:rPr>
        <w:t xml:space="preserve">Datt </w:t>
      </w:r>
      <w:r w:rsidR="00DB0036" w:rsidRPr="00DB0036">
        <w:rPr>
          <w:rFonts w:asciiTheme="majorBidi" w:hAnsiTheme="majorBidi" w:cstheme="majorBidi"/>
          <w:color w:val="000000" w:themeColor="text1"/>
          <w:szCs w:val="24"/>
          <w:shd w:val="clear" w:color="auto" w:fill="FFFFFF"/>
        </w:rPr>
        <w:t>and</w:t>
      </w:r>
      <w:r w:rsidR="00BE328A" w:rsidRPr="004B36B2">
        <w:rPr>
          <w:rFonts w:asciiTheme="majorBidi" w:hAnsiTheme="majorBidi" w:cstheme="majorBidi"/>
          <w:color w:val="000000" w:themeColor="text1"/>
          <w:szCs w:val="24"/>
          <w:shd w:val="clear" w:color="auto" w:fill="FFFFFF"/>
        </w:rPr>
        <w:t xml:space="preserve"> Wang </w:t>
      </w:r>
      <w:r w:rsidR="00857166" w:rsidRPr="004B36B2">
        <w:rPr>
          <w:rFonts w:asciiTheme="majorBidi" w:hAnsiTheme="majorBidi" w:cstheme="majorBidi"/>
          <w:color w:val="000000" w:themeColor="text1"/>
          <w:szCs w:val="24"/>
        </w:rPr>
        <w:t>2012</w:t>
      </w:r>
      <w:r w:rsidR="00DB0036">
        <w:rPr>
          <w:rFonts w:asciiTheme="majorBidi" w:hAnsiTheme="majorBidi" w:cstheme="majorBidi"/>
          <w:color w:val="000000" w:themeColor="text1"/>
          <w:szCs w:val="24"/>
        </w:rPr>
        <w:t>,</w:t>
      </w:r>
      <w:r w:rsidR="0051254E" w:rsidRPr="004B36B2">
        <w:rPr>
          <w:rFonts w:asciiTheme="majorBidi" w:hAnsiTheme="majorBidi" w:cstheme="majorBidi"/>
          <w:color w:val="000000" w:themeColor="text1"/>
          <w:szCs w:val="24"/>
        </w:rPr>
        <w:t xml:space="preserve"> </w:t>
      </w:r>
      <w:r w:rsidR="00843659" w:rsidRPr="004B36B2">
        <w:rPr>
          <w:rFonts w:asciiTheme="majorBidi" w:hAnsiTheme="majorBidi" w:cstheme="majorBidi"/>
          <w:color w:val="000000" w:themeColor="text1"/>
          <w:szCs w:val="24"/>
        </w:rPr>
        <w:t xml:space="preserve">Koska </w:t>
      </w:r>
      <w:r w:rsidR="00DB0036" w:rsidRPr="00DB0036">
        <w:rPr>
          <w:rFonts w:asciiTheme="majorBidi" w:hAnsiTheme="majorBidi" w:cstheme="majorBidi"/>
          <w:i/>
          <w:iCs/>
          <w:color w:val="000000" w:themeColor="text1"/>
          <w:szCs w:val="24"/>
        </w:rPr>
        <w:t>et al.</w:t>
      </w:r>
      <w:r w:rsidR="004200FC" w:rsidRPr="004B36B2">
        <w:rPr>
          <w:rFonts w:asciiTheme="majorBidi" w:hAnsiTheme="majorBidi" w:cstheme="majorBidi"/>
          <w:color w:val="000000" w:themeColor="text1"/>
          <w:szCs w:val="24"/>
        </w:rPr>
        <w:t xml:space="preserve"> 2013</w:t>
      </w:r>
      <w:r w:rsidR="00180D60" w:rsidRPr="004B36B2">
        <w:rPr>
          <w:rFonts w:asciiTheme="majorBidi" w:hAnsiTheme="majorBidi" w:cstheme="majorBidi"/>
          <w:color w:val="000000" w:themeColor="text1"/>
          <w:szCs w:val="24"/>
        </w:rPr>
        <w:t>)</w:t>
      </w:r>
      <w:r w:rsidR="001C55F2" w:rsidRPr="004B36B2">
        <w:rPr>
          <w:rFonts w:asciiTheme="majorBidi" w:hAnsiTheme="majorBidi" w:cstheme="majorBidi"/>
          <w:color w:val="000000" w:themeColor="text1"/>
          <w:szCs w:val="24"/>
        </w:rPr>
        <w:t>.</w:t>
      </w:r>
      <w:r w:rsidR="005950B9" w:rsidRPr="004B36B2">
        <w:rPr>
          <w:rFonts w:asciiTheme="majorBidi" w:hAnsiTheme="majorBidi" w:cstheme="majorBidi"/>
          <w:color w:val="000000" w:themeColor="text1"/>
          <w:szCs w:val="24"/>
        </w:rPr>
        <w:t xml:space="preserve"> </w:t>
      </w:r>
      <w:r w:rsidR="00963048" w:rsidRPr="004B36B2">
        <w:rPr>
          <w:rFonts w:asciiTheme="majorBidi" w:hAnsiTheme="majorBidi" w:cstheme="majorBidi"/>
          <w:color w:val="000000" w:themeColor="text1"/>
          <w:szCs w:val="24"/>
        </w:rPr>
        <w:t xml:space="preserve">However, there are </w:t>
      </w:r>
      <w:r w:rsidR="00857166" w:rsidRPr="004B36B2">
        <w:rPr>
          <w:rFonts w:asciiTheme="majorBidi" w:hAnsiTheme="majorBidi" w:cstheme="majorBidi"/>
          <w:color w:val="000000" w:themeColor="text1"/>
          <w:szCs w:val="24"/>
        </w:rPr>
        <w:t>doubt</w:t>
      </w:r>
      <w:r w:rsidR="00963048" w:rsidRPr="004B36B2">
        <w:rPr>
          <w:rFonts w:asciiTheme="majorBidi" w:hAnsiTheme="majorBidi" w:cstheme="majorBidi"/>
          <w:color w:val="000000" w:themeColor="text1"/>
          <w:szCs w:val="24"/>
        </w:rPr>
        <w:t>s</w:t>
      </w:r>
      <w:r w:rsidR="00857166" w:rsidRPr="004B36B2">
        <w:rPr>
          <w:rFonts w:asciiTheme="majorBidi" w:hAnsiTheme="majorBidi" w:cstheme="majorBidi"/>
          <w:color w:val="000000" w:themeColor="text1"/>
          <w:szCs w:val="24"/>
        </w:rPr>
        <w:t xml:space="preserve"> about shift-share variables as instruments (Christian </w:t>
      </w:r>
      <w:r w:rsidR="00DB0036" w:rsidRPr="00DB0036">
        <w:rPr>
          <w:rFonts w:asciiTheme="majorBidi" w:hAnsiTheme="majorBidi" w:cstheme="majorBidi"/>
          <w:color w:val="000000" w:themeColor="text1"/>
          <w:szCs w:val="24"/>
        </w:rPr>
        <w:t>and</w:t>
      </w:r>
      <w:r w:rsidR="00857166" w:rsidRPr="004B36B2">
        <w:rPr>
          <w:rFonts w:asciiTheme="majorBidi" w:hAnsiTheme="majorBidi" w:cstheme="majorBidi"/>
          <w:color w:val="000000" w:themeColor="text1"/>
          <w:szCs w:val="24"/>
        </w:rPr>
        <w:t xml:space="preserve"> Barrett 2017). So </w:t>
      </w:r>
      <w:r w:rsidR="001D2965" w:rsidRPr="004B36B2">
        <w:rPr>
          <w:rFonts w:asciiTheme="majorBidi" w:hAnsiTheme="majorBidi" w:cstheme="majorBidi"/>
          <w:color w:val="000000" w:themeColor="text1"/>
          <w:szCs w:val="24"/>
          <w:shd w:val="clear" w:color="auto" w:fill="FFFFFF"/>
        </w:rPr>
        <w:t>we</w:t>
      </w:r>
      <w:r w:rsidR="00857166" w:rsidRPr="004B36B2">
        <w:rPr>
          <w:rFonts w:asciiTheme="majorBidi" w:hAnsiTheme="majorBidi" w:cstheme="majorBidi"/>
          <w:color w:val="000000" w:themeColor="text1"/>
          <w:szCs w:val="24"/>
          <w:shd w:val="clear" w:color="auto" w:fill="FFFFFF"/>
        </w:rPr>
        <w:t>, instead,</w:t>
      </w:r>
      <w:r w:rsidR="001D2965" w:rsidRPr="004B36B2">
        <w:rPr>
          <w:rFonts w:asciiTheme="majorBidi" w:hAnsiTheme="majorBidi" w:cstheme="majorBidi"/>
          <w:color w:val="000000" w:themeColor="text1"/>
          <w:szCs w:val="24"/>
          <w:shd w:val="clear" w:color="auto" w:fill="FFFFFF"/>
        </w:rPr>
        <w:t xml:space="preserve"> follow</w:t>
      </w:r>
      <w:r w:rsidR="00C06C20"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Theoharides</w:t>
      </w:r>
      <w:r w:rsidR="003423B3" w:rsidRPr="004B36B2">
        <w:rPr>
          <w:rFonts w:asciiTheme="majorBidi" w:hAnsiTheme="majorBidi" w:cstheme="majorBidi"/>
          <w:color w:val="000000" w:themeColor="text1"/>
          <w:szCs w:val="24"/>
          <w:shd w:val="clear" w:color="auto" w:fill="FFFFFF"/>
        </w:rPr>
        <w:t xml:space="preserve"> (2018) </w:t>
      </w:r>
      <w:r w:rsidR="00857166" w:rsidRPr="004B36B2">
        <w:rPr>
          <w:rFonts w:asciiTheme="majorBidi" w:hAnsiTheme="majorBidi" w:cstheme="majorBidi"/>
          <w:color w:val="000000" w:themeColor="text1"/>
          <w:szCs w:val="24"/>
          <w:shd w:val="clear" w:color="auto" w:fill="FFFFFF"/>
        </w:rPr>
        <w:t xml:space="preserve">and </w:t>
      </w:r>
      <w:r w:rsidR="00B95DA9" w:rsidRPr="004B36B2">
        <w:rPr>
          <w:rFonts w:asciiTheme="majorBidi" w:hAnsiTheme="majorBidi" w:cstheme="majorBidi"/>
          <w:color w:val="000000" w:themeColor="text1"/>
          <w:szCs w:val="24"/>
          <w:shd w:val="clear" w:color="auto" w:fill="FFFFFF"/>
        </w:rPr>
        <w:t>u</w:t>
      </w:r>
      <w:r w:rsidR="001C23E0" w:rsidRPr="004B36B2">
        <w:rPr>
          <w:rFonts w:asciiTheme="majorBidi" w:hAnsiTheme="majorBidi" w:cstheme="majorBidi"/>
          <w:color w:val="000000" w:themeColor="text1"/>
          <w:szCs w:val="24"/>
          <w:shd w:val="clear" w:color="auto" w:fill="FFFFFF"/>
        </w:rPr>
        <w:t>s</w:t>
      </w:r>
      <w:r w:rsidR="0042590C" w:rsidRPr="004B36B2">
        <w:rPr>
          <w:rFonts w:asciiTheme="majorBidi" w:hAnsiTheme="majorBidi" w:cstheme="majorBidi"/>
          <w:color w:val="000000" w:themeColor="text1"/>
          <w:szCs w:val="24"/>
          <w:shd w:val="clear" w:color="auto" w:fill="FFFFFF"/>
        </w:rPr>
        <w:t xml:space="preserve">e </w:t>
      </w:r>
      <w:r w:rsidR="00857166" w:rsidRPr="004B36B2">
        <w:rPr>
          <w:rFonts w:asciiTheme="majorBidi" w:hAnsiTheme="majorBidi" w:cstheme="majorBidi"/>
          <w:color w:val="000000" w:themeColor="text1"/>
          <w:szCs w:val="24"/>
          <w:shd w:val="clear" w:color="auto" w:fill="FFFFFF"/>
        </w:rPr>
        <w:t xml:space="preserve">historical </w:t>
      </w:r>
      <w:r w:rsidR="0042590C" w:rsidRPr="004B36B2">
        <w:rPr>
          <w:rFonts w:asciiTheme="majorBidi" w:hAnsiTheme="majorBidi" w:cstheme="majorBidi"/>
          <w:color w:val="000000" w:themeColor="text1"/>
          <w:szCs w:val="24"/>
          <w:shd w:val="clear" w:color="auto" w:fill="FFFFFF"/>
        </w:rPr>
        <w:t xml:space="preserve">census </w:t>
      </w:r>
      <w:r w:rsidR="00857166" w:rsidRPr="004B36B2">
        <w:rPr>
          <w:rFonts w:asciiTheme="majorBidi" w:hAnsiTheme="majorBidi" w:cstheme="majorBidi"/>
          <w:color w:val="000000" w:themeColor="text1"/>
          <w:szCs w:val="24"/>
          <w:shd w:val="clear" w:color="auto" w:fill="FFFFFF"/>
        </w:rPr>
        <w:t xml:space="preserve">data (from </w:t>
      </w:r>
      <w:r w:rsidR="0042590C" w:rsidRPr="004B36B2">
        <w:rPr>
          <w:rFonts w:asciiTheme="majorBidi" w:hAnsiTheme="majorBidi" w:cstheme="majorBidi"/>
          <w:color w:val="000000" w:themeColor="text1"/>
          <w:szCs w:val="24"/>
          <w:shd w:val="clear" w:color="auto" w:fill="FFFFFF"/>
        </w:rPr>
        <w:t>2001</w:t>
      </w:r>
      <w:r w:rsidR="00857166" w:rsidRPr="004B36B2">
        <w:rPr>
          <w:rFonts w:asciiTheme="majorBidi" w:hAnsiTheme="majorBidi" w:cstheme="majorBidi"/>
          <w:color w:val="000000" w:themeColor="text1"/>
          <w:szCs w:val="24"/>
          <w:shd w:val="clear" w:color="auto" w:fill="FFFFFF"/>
        </w:rPr>
        <w:t>)</w:t>
      </w:r>
      <w:r w:rsidR="0042590C" w:rsidRPr="004B36B2">
        <w:rPr>
          <w:rFonts w:asciiTheme="majorBidi" w:hAnsiTheme="majorBidi" w:cstheme="majorBidi"/>
          <w:color w:val="000000" w:themeColor="text1"/>
          <w:szCs w:val="24"/>
          <w:shd w:val="clear" w:color="auto" w:fill="FFFFFF"/>
        </w:rPr>
        <w:t xml:space="preserve"> to construct </w:t>
      </w:r>
      <w:r w:rsidR="00857166" w:rsidRPr="004B36B2">
        <w:rPr>
          <w:rFonts w:asciiTheme="majorBidi" w:hAnsiTheme="majorBidi" w:cstheme="majorBidi"/>
          <w:color w:val="000000" w:themeColor="text1"/>
          <w:szCs w:val="24"/>
          <w:shd w:val="clear" w:color="auto" w:fill="FFFFFF"/>
        </w:rPr>
        <w:t xml:space="preserve">the </w:t>
      </w:r>
      <w:r w:rsidR="0042590C" w:rsidRPr="004B36B2">
        <w:rPr>
          <w:rFonts w:asciiTheme="majorBidi" w:hAnsiTheme="majorBidi" w:cstheme="majorBidi"/>
          <w:color w:val="000000" w:themeColor="text1"/>
          <w:szCs w:val="24"/>
          <w:shd w:val="clear" w:color="auto" w:fill="FFFFFF"/>
        </w:rPr>
        <w:t xml:space="preserve">IV. </w:t>
      </w:r>
      <w:r w:rsidR="00857166" w:rsidRPr="004B36B2">
        <w:rPr>
          <w:rFonts w:asciiTheme="majorBidi" w:hAnsiTheme="majorBidi" w:cstheme="majorBidi"/>
          <w:color w:val="000000" w:themeColor="text1"/>
          <w:szCs w:val="24"/>
          <w:shd w:val="clear" w:color="auto" w:fill="FFFFFF"/>
        </w:rPr>
        <w:t xml:space="preserve">The reason is that previous migration to a destination is a good predictor of subsequent migration, due to network effects. This is shown in Figure 2, for migration from Nepal to either India or MEOA. Consider the </w:t>
      </w:r>
      <w:r w:rsidR="001C2D5B" w:rsidRPr="004B36B2">
        <w:rPr>
          <w:rFonts w:asciiTheme="majorBidi" w:hAnsiTheme="majorBidi" w:cstheme="majorBidi"/>
          <w:noProof/>
          <w:color w:val="000000" w:themeColor="text1"/>
          <w:szCs w:val="24"/>
          <w:shd w:val="clear" w:color="auto" w:fill="FFFFFF"/>
        </w:rPr>
        <w:t>migration</w:t>
      </w:r>
      <w:r w:rsidR="009C407D" w:rsidRPr="004B36B2">
        <w:rPr>
          <w:rFonts w:asciiTheme="majorBidi" w:hAnsiTheme="majorBidi" w:cstheme="majorBidi"/>
          <w:color w:val="000000" w:themeColor="text1"/>
          <w:szCs w:val="24"/>
          <w:shd w:val="clear" w:color="auto" w:fill="FFFFFF"/>
        </w:rPr>
        <w:t xml:space="preserve"> network</w:t>
      </w:r>
      <w:r w:rsidR="00963048" w:rsidRPr="004B36B2">
        <w:rPr>
          <w:rFonts w:asciiTheme="majorBidi" w:hAnsiTheme="majorBidi" w:cstheme="majorBidi"/>
          <w:color w:val="000000" w:themeColor="text1"/>
          <w:szCs w:val="24"/>
          <w:shd w:val="clear" w:color="auto" w:fill="FFFFFF"/>
        </w:rPr>
        <w:t xml:space="preserve"> in terms of </w:t>
      </w:r>
      <w:r w:rsidR="00857166" w:rsidRPr="004B36B2">
        <w:rPr>
          <w:rFonts w:asciiTheme="majorBidi" w:hAnsiTheme="majorBidi" w:cstheme="majorBidi"/>
          <w:color w:val="000000" w:themeColor="text1"/>
          <w:szCs w:val="24"/>
          <w:shd w:val="clear" w:color="auto" w:fill="FFFFFF"/>
        </w:rPr>
        <w:t xml:space="preserve">the </w:t>
      </w:r>
      <w:r w:rsidR="009C407D" w:rsidRPr="004B36B2">
        <w:rPr>
          <w:rFonts w:asciiTheme="majorBidi" w:hAnsiTheme="majorBidi" w:cstheme="majorBidi"/>
          <w:color w:val="000000" w:themeColor="text1"/>
          <w:szCs w:val="24"/>
          <w:shd w:val="clear" w:color="auto" w:fill="FFFFFF"/>
        </w:rPr>
        <w:t xml:space="preserve">share of </w:t>
      </w:r>
      <w:r w:rsidR="009C407D" w:rsidRPr="004B36B2">
        <w:rPr>
          <w:rFonts w:asciiTheme="majorBidi" w:hAnsiTheme="majorBidi" w:cstheme="majorBidi"/>
          <w:noProof/>
          <w:color w:val="000000" w:themeColor="text1"/>
          <w:szCs w:val="24"/>
          <w:shd w:val="clear" w:color="auto" w:fill="FFFFFF"/>
        </w:rPr>
        <w:t>labour</w:t>
      </w:r>
      <w:r w:rsidR="009C407D"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 xml:space="preserve">that </w:t>
      </w:r>
      <w:r w:rsidR="009C407D" w:rsidRPr="004B36B2">
        <w:rPr>
          <w:rFonts w:asciiTheme="majorBidi" w:hAnsiTheme="majorBidi" w:cstheme="majorBidi"/>
          <w:color w:val="000000" w:themeColor="text1"/>
          <w:szCs w:val="24"/>
          <w:shd w:val="clear" w:color="auto" w:fill="FFFFFF"/>
        </w:rPr>
        <w:t>migrated from village</w:t>
      </w:r>
      <w:r w:rsidR="001E423A" w:rsidRPr="004B36B2">
        <w:rPr>
          <w:rFonts w:asciiTheme="majorBidi" w:hAnsiTheme="majorBidi" w:cstheme="majorBidi"/>
          <w:color w:val="000000" w:themeColor="text1"/>
          <w:szCs w:val="24"/>
          <w:shd w:val="clear" w:color="auto" w:fill="FFFFFF"/>
        </w:rPr>
        <w:t xml:space="preserve"> </w:t>
      </w:r>
      <m:oMath>
        <m:r>
          <w:rPr>
            <w:rFonts w:ascii="Cambria Math" w:hAnsi="Cambria Math" w:cstheme="majorBidi"/>
            <w:color w:val="000000" w:themeColor="text1"/>
            <w:szCs w:val="24"/>
            <w:shd w:val="clear" w:color="auto" w:fill="FFFFFF"/>
          </w:rPr>
          <m:t>i</m:t>
        </m:r>
      </m:oMath>
      <w:r w:rsidR="001E423A" w:rsidRPr="004B36B2">
        <w:rPr>
          <w:rFonts w:asciiTheme="majorBidi" w:hAnsiTheme="majorBidi" w:cstheme="majorBidi"/>
          <w:color w:val="000000" w:themeColor="text1"/>
          <w:szCs w:val="24"/>
          <w:shd w:val="clear" w:color="auto" w:fill="FFFFFF"/>
        </w:rPr>
        <w:t xml:space="preserve"> </w:t>
      </w:r>
      <w:r w:rsidR="009C407D" w:rsidRPr="004B36B2">
        <w:rPr>
          <w:rFonts w:asciiTheme="majorBidi" w:hAnsiTheme="majorBidi" w:cstheme="majorBidi"/>
          <w:color w:val="000000" w:themeColor="text1"/>
          <w:szCs w:val="24"/>
          <w:shd w:val="clear" w:color="auto" w:fill="FFFFFF"/>
        </w:rPr>
        <w:t xml:space="preserve">to destination country </w:t>
      </w:r>
      <m:oMath>
        <m:r>
          <w:rPr>
            <w:rFonts w:ascii="Cambria Math" w:hAnsi="Cambria Math" w:cstheme="majorBidi"/>
            <w:color w:val="000000" w:themeColor="text1"/>
            <w:szCs w:val="24"/>
            <w:shd w:val="clear" w:color="auto" w:fill="FFFFFF"/>
          </w:rPr>
          <m:t>k</m:t>
        </m:r>
      </m:oMath>
      <w:r w:rsidR="001E423A" w:rsidRPr="004B36B2">
        <w:rPr>
          <w:rFonts w:asciiTheme="majorBidi" w:hAnsiTheme="majorBidi" w:cstheme="majorBidi"/>
          <w:color w:val="000000" w:themeColor="text1"/>
          <w:szCs w:val="24"/>
          <w:shd w:val="clear" w:color="auto" w:fill="FFFFFF"/>
        </w:rPr>
        <w:t xml:space="preserve"> </w:t>
      </w:r>
      <w:r w:rsidR="009C407D" w:rsidRPr="004B36B2">
        <w:rPr>
          <w:rFonts w:asciiTheme="majorBidi" w:hAnsiTheme="majorBidi" w:cstheme="majorBidi"/>
          <w:color w:val="000000" w:themeColor="text1"/>
          <w:szCs w:val="24"/>
          <w:shd w:val="clear" w:color="auto" w:fill="FFFFFF"/>
        </w:rPr>
        <w:t xml:space="preserve">in </w:t>
      </w:r>
      <w:r w:rsidR="009C407D" w:rsidRPr="004B36B2">
        <w:rPr>
          <w:rFonts w:asciiTheme="majorBidi" w:hAnsiTheme="majorBidi" w:cstheme="majorBidi"/>
          <w:noProof/>
          <w:color w:val="000000" w:themeColor="text1"/>
          <w:szCs w:val="24"/>
          <w:shd w:val="clear" w:color="auto" w:fill="FFFFFF"/>
        </w:rPr>
        <w:t>year</w:t>
      </w:r>
      <w:r w:rsidR="009C407D" w:rsidRPr="004B36B2">
        <w:rPr>
          <w:rFonts w:asciiTheme="majorBidi" w:hAnsiTheme="majorBidi" w:cstheme="majorBidi"/>
          <w:color w:val="000000" w:themeColor="text1"/>
          <w:szCs w:val="24"/>
          <w:shd w:val="clear" w:color="auto" w:fill="FFFFFF"/>
        </w:rPr>
        <w:t xml:space="preserve"> 2001 </w:t>
      </w:r>
      <w:r w:rsidR="00857166" w:rsidRPr="004B36B2">
        <w:rPr>
          <w:rFonts w:asciiTheme="majorBidi" w:hAnsiTheme="majorBidi" w:cstheme="majorBidi"/>
          <w:color w:val="000000" w:themeColor="text1"/>
          <w:szCs w:val="24"/>
          <w:shd w:val="clear" w:color="auto" w:fill="FFFFFF"/>
        </w:rPr>
        <w:t>(</w:t>
      </w:r>
      <w:r w:rsidR="009C407D" w:rsidRPr="004B36B2">
        <w:rPr>
          <w:rFonts w:asciiTheme="majorBidi" w:hAnsiTheme="majorBidi" w:cstheme="majorBidi"/>
          <w:color w:val="000000" w:themeColor="text1"/>
          <w:szCs w:val="24"/>
          <w:shd w:val="clear" w:color="auto" w:fill="FFFFFF"/>
        </w:rPr>
        <w:t xml:space="preserve">out of </w:t>
      </w:r>
      <w:r w:rsidR="00857166" w:rsidRPr="004B36B2">
        <w:rPr>
          <w:rFonts w:asciiTheme="majorBidi" w:hAnsiTheme="majorBidi" w:cstheme="majorBidi"/>
          <w:color w:val="000000" w:themeColor="text1"/>
          <w:szCs w:val="24"/>
          <w:shd w:val="clear" w:color="auto" w:fill="FFFFFF"/>
        </w:rPr>
        <w:t xml:space="preserve">the </w:t>
      </w:r>
      <w:r w:rsidR="009C407D" w:rsidRPr="004B36B2">
        <w:rPr>
          <w:rFonts w:asciiTheme="majorBidi" w:hAnsiTheme="majorBidi" w:cstheme="majorBidi"/>
          <w:color w:val="000000" w:themeColor="text1"/>
          <w:szCs w:val="24"/>
          <w:shd w:val="clear" w:color="auto" w:fill="FFFFFF"/>
        </w:rPr>
        <w:t xml:space="preserve">total </w:t>
      </w:r>
      <w:r w:rsidR="00857166" w:rsidRPr="004B36B2">
        <w:rPr>
          <w:rFonts w:asciiTheme="majorBidi" w:hAnsiTheme="majorBidi" w:cstheme="majorBidi"/>
          <w:color w:val="000000" w:themeColor="text1"/>
          <w:szCs w:val="24"/>
          <w:shd w:val="clear" w:color="auto" w:fill="FFFFFF"/>
        </w:rPr>
        <w:t xml:space="preserve">number of </w:t>
      </w:r>
      <w:r w:rsidR="009C407D" w:rsidRPr="004B36B2">
        <w:rPr>
          <w:rFonts w:asciiTheme="majorBidi" w:hAnsiTheme="majorBidi" w:cstheme="majorBidi"/>
          <w:color w:val="000000" w:themeColor="text1"/>
          <w:szCs w:val="24"/>
          <w:shd w:val="clear" w:color="auto" w:fill="FFFFFF"/>
        </w:rPr>
        <w:t xml:space="preserve">people </w:t>
      </w:r>
      <w:r w:rsidR="00857166" w:rsidRPr="004B36B2">
        <w:rPr>
          <w:rFonts w:asciiTheme="majorBidi" w:hAnsiTheme="majorBidi" w:cstheme="majorBidi"/>
          <w:color w:val="000000" w:themeColor="text1"/>
          <w:szCs w:val="24"/>
          <w:shd w:val="clear" w:color="auto" w:fill="FFFFFF"/>
        </w:rPr>
        <w:t xml:space="preserve">who </w:t>
      </w:r>
      <w:r w:rsidR="009C407D" w:rsidRPr="004B36B2">
        <w:rPr>
          <w:rFonts w:asciiTheme="majorBidi" w:hAnsiTheme="majorBidi" w:cstheme="majorBidi"/>
          <w:color w:val="000000" w:themeColor="text1"/>
          <w:szCs w:val="24"/>
          <w:shd w:val="clear" w:color="auto" w:fill="FFFFFF"/>
        </w:rPr>
        <w:t>migrated</w:t>
      </w:r>
      <w:r w:rsidR="008712B6" w:rsidRPr="004B36B2">
        <w:rPr>
          <w:rFonts w:asciiTheme="majorBidi" w:hAnsiTheme="majorBidi" w:cstheme="majorBidi"/>
          <w:color w:val="000000" w:themeColor="text1"/>
          <w:szCs w:val="24"/>
          <w:shd w:val="clear" w:color="auto" w:fill="FFFFFF"/>
        </w:rPr>
        <w:t xml:space="preserve"> to </w:t>
      </w:r>
      <m:oMath>
        <m:r>
          <w:rPr>
            <w:rFonts w:ascii="Cambria Math" w:hAnsi="Cambria Math" w:cstheme="majorBidi"/>
            <w:color w:val="000000" w:themeColor="text1"/>
            <w:szCs w:val="24"/>
            <w:shd w:val="clear" w:color="auto" w:fill="FFFFFF"/>
          </w:rPr>
          <m:t>k</m:t>
        </m:r>
      </m:oMath>
      <w:r w:rsidR="001D2965" w:rsidRPr="004B36B2">
        <w:rPr>
          <w:rFonts w:asciiTheme="majorBidi" w:hAnsiTheme="majorBidi" w:cstheme="majorBidi"/>
          <w:color w:val="000000" w:themeColor="text1"/>
          <w:szCs w:val="24"/>
          <w:shd w:val="clear" w:color="auto" w:fill="FFFFFF"/>
        </w:rPr>
        <w:t xml:space="preserve"> from </w:t>
      </w:r>
      <w:r w:rsidR="00857166" w:rsidRPr="004B36B2">
        <w:rPr>
          <w:rFonts w:asciiTheme="majorBidi" w:hAnsiTheme="majorBidi" w:cstheme="majorBidi"/>
          <w:color w:val="000000" w:themeColor="text1"/>
          <w:szCs w:val="24"/>
          <w:shd w:val="clear" w:color="auto" w:fill="FFFFFF"/>
        </w:rPr>
        <w:t>Nepal).</w:t>
      </w:r>
      <w:r w:rsidR="009C407D" w:rsidRPr="004B36B2">
        <w:rPr>
          <w:rFonts w:asciiTheme="majorBidi" w:hAnsiTheme="majorBidi" w:cstheme="majorBidi"/>
          <w:color w:val="000000" w:themeColor="text1"/>
          <w:szCs w:val="24"/>
          <w:shd w:val="clear" w:color="auto" w:fill="FFFFFF"/>
        </w:rPr>
        <w:t xml:space="preserve"> </w:t>
      </w:r>
      <w:r w:rsidR="00651F6E" w:rsidRPr="004B36B2">
        <w:rPr>
          <w:rFonts w:asciiTheme="majorBidi" w:hAnsiTheme="majorBidi" w:cstheme="majorBidi"/>
          <w:color w:val="000000" w:themeColor="text1"/>
          <w:szCs w:val="24"/>
          <w:shd w:val="clear" w:color="auto" w:fill="FFFFFF"/>
        </w:rPr>
        <w:t xml:space="preserve">We </w:t>
      </w:r>
      <w:r w:rsidR="00857166" w:rsidRPr="004B36B2">
        <w:rPr>
          <w:rFonts w:asciiTheme="majorBidi" w:hAnsiTheme="majorBidi" w:cstheme="majorBidi"/>
          <w:color w:val="000000" w:themeColor="text1"/>
          <w:szCs w:val="24"/>
          <w:shd w:val="clear" w:color="auto" w:fill="FFFFFF"/>
        </w:rPr>
        <w:t xml:space="preserve">then </w:t>
      </w:r>
      <w:r w:rsidR="00651F6E" w:rsidRPr="004B36B2">
        <w:rPr>
          <w:rFonts w:asciiTheme="majorBidi" w:hAnsiTheme="majorBidi" w:cstheme="majorBidi"/>
          <w:color w:val="000000" w:themeColor="text1"/>
          <w:szCs w:val="24"/>
          <w:shd w:val="clear" w:color="auto" w:fill="FFFFFF"/>
        </w:rPr>
        <w:t>sum</w:t>
      </w:r>
      <w:r w:rsidR="006B666D"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 xml:space="preserve">the </w:t>
      </w:r>
      <w:r w:rsidR="00651F6E" w:rsidRPr="004B36B2">
        <w:rPr>
          <w:rFonts w:asciiTheme="majorBidi" w:hAnsiTheme="majorBidi" w:cstheme="majorBidi"/>
          <w:color w:val="000000" w:themeColor="text1"/>
          <w:szCs w:val="24"/>
          <w:shd w:val="clear" w:color="auto" w:fill="FFFFFF"/>
        </w:rPr>
        <w:t xml:space="preserve">total </w:t>
      </w:r>
      <w:r w:rsidR="00857166" w:rsidRPr="004B36B2">
        <w:rPr>
          <w:rFonts w:asciiTheme="majorBidi" w:hAnsiTheme="majorBidi" w:cstheme="majorBidi"/>
          <w:color w:val="000000" w:themeColor="text1"/>
          <w:szCs w:val="24"/>
          <w:shd w:val="clear" w:color="auto" w:fill="FFFFFF"/>
        </w:rPr>
        <w:t xml:space="preserve">number who </w:t>
      </w:r>
      <w:r w:rsidR="00651F6E" w:rsidRPr="004B36B2">
        <w:rPr>
          <w:rFonts w:asciiTheme="majorBidi" w:hAnsiTheme="majorBidi" w:cstheme="majorBidi"/>
          <w:color w:val="000000" w:themeColor="text1"/>
          <w:szCs w:val="24"/>
          <w:shd w:val="clear" w:color="auto" w:fill="FFFFFF"/>
        </w:rPr>
        <w:t xml:space="preserve">migrated </w:t>
      </w:r>
      <w:r w:rsidR="00DE4FD3" w:rsidRPr="004B36B2">
        <w:rPr>
          <w:rFonts w:asciiTheme="majorBidi" w:hAnsiTheme="majorBidi" w:cstheme="majorBidi"/>
          <w:color w:val="000000" w:themeColor="text1"/>
          <w:szCs w:val="24"/>
          <w:shd w:val="clear" w:color="auto" w:fill="FFFFFF"/>
        </w:rPr>
        <w:t xml:space="preserve">to destination </w:t>
      </w:r>
      <m:oMath>
        <m:r>
          <w:rPr>
            <w:rFonts w:ascii="Cambria Math" w:hAnsi="Cambria Math" w:cstheme="majorBidi"/>
            <w:color w:val="000000" w:themeColor="text1"/>
            <w:szCs w:val="24"/>
            <w:shd w:val="clear" w:color="auto" w:fill="FFFFFF"/>
          </w:rPr>
          <m:t>k</m:t>
        </m:r>
      </m:oMath>
      <w:r w:rsidR="00DE4FD3" w:rsidRPr="004B36B2">
        <w:rPr>
          <w:rFonts w:asciiTheme="majorBidi" w:hAnsiTheme="majorBidi" w:cstheme="majorBidi"/>
          <w:color w:val="000000" w:themeColor="text1"/>
          <w:szCs w:val="24"/>
          <w:shd w:val="clear" w:color="auto" w:fill="FFFFFF"/>
        </w:rPr>
        <w:t xml:space="preserve"> </w:t>
      </w:r>
      <w:r w:rsidR="00651F6E" w:rsidRPr="004B36B2">
        <w:rPr>
          <w:rFonts w:asciiTheme="majorBidi" w:hAnsiTheme="majorBidi" w:cstheme="majorBidi"/>
          <w:color w:val="000000" w:themeColor="text1"/>
          <w:szCs w:val="24"/>
          <w:shd w:val="clear" w:color="auto" w:fill="FFFFFF"/>
        </w:rPr>
        <w:t xml:space="preserve">in each year </w:t>
      </w:r>
      <m:oMath>
        <m:r>
          <w:rPr>
            <w:rFonts w:ascii="Cambria Math" w:hAnsi="Cambria Math" w:cstheme="majorBidi"/>
            <w:color w:val="000000" w:themeColor="text1"/>
            <w:szCs w:val="24"/>
            <w:shd w:val="clear" w:color="auto" w:fill="FFFFFF"/>
          </w:rPr>
          <m:t>t</m:t>
        </m:r>
      </m:oMath>
      <w:r w:rsidR="00925F76"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w:t>
      </w:r>
      <w:r w:rsidR="00651F6E" w:rsidRPr="004B36B2">
        <w:rPr>
          <w:rFonts w:asciiTheme="majorBidi" w:hAnsiTheme="majorBidi" w:cstheme="majorBidi"/>
          <w:color w:val="000000" w:themeColor="text1"/>
          <w:szCs w:val="24"/>
          <w:shd w:val="clear" w:color="auto" w:fill="FFFFFF"/>
        </w:rPr>
        <w:t>2008 and 2010</w:t>
      </w:r>
      <w:r w:rsidR="00857166" w:rsidRPr="004B36B2">
        <w:rPr>
          <w:rFonts w:asciiTheme="majorBidi" w:hAnsiTheme="majorBidi" w:cstheme="majorBidi"/>
          <w:color w:val="000000" w:themeColor="text1"/>
          <w:szCs w:val="24"/>
          <w:shd w:val="clear" w:color="auto" w:fill="FFFFFF"/>
        </w:rPr>
        <w:t xml:space="preserve"> given the timing of our panel)</w:t>
      </w:r>
      <w:r w:rsidR="00DE4FD3" w:rsidRPr="004B36B2">
        <w:rPr>
          <w:rFonts w:asciiTheme="majorBidi" w:hAnsiTheme="majorBidi" w:cstheme="majorBidi"/>
          <w:color w:val="000000" w:themeColor="text1"/>
          <w:szCs w:val="24"/>
          <w:shd w:val="clear" w:color="auto" w:fill="FFFFFF"/>
        </w:rPr>
        <w:t xml:space="preserve">. </w:t>
      </w:r>
      <w:r w:rsidR="00A7107B" w:rsidRPr="004B36B2">
        <w:rPr>
          <w:rFonts w:asciiTheme="majorBidi" w:hAnsiTheme="majorBidi" w:cstheme="majorBidi"/>
          <w:color w:val="000000" w:themeColor="text1"/>
          <w:szCs w:val="24"/>
          <w:shd w:val="clear" w:color="auto" w:fill="FFFFFF"/>
        </w:rPr>
        <w:t xml:space="preserve">To predict the total </w:t>
      </w:r>
      <w:r w:rsidR="00963048" w:rsidRPr="004B36B2">
        <w:rPr>
          <w:rFonts w:asciiTheme="majorBidi" w:hAnsiTheme="majorBidi" w:cstheme="majorBidi"/>
          <w:color w:val="000000" w:themeColor="text1"/>
          <w:szCs w:val="24"/>
          <w:shd w:val="clear" w:color="auto" w:fill="FFFFFF"/>
        </w:rPr>
        <w:t xml:space="preserve">number of </w:t>
      </w:r>
      <w:r w:rsidR="006230D8" w:rsidRPr="004B36B2">
        <w:rPr>
          <w:rFonts w:asciiTheme="majorBidi" w:hAnsiTheme="majorBidi" w:cstheme="majorBidi"/>
          <w:color w:val="000000" w:themeColor="text1"/>
          <w:szCs w:val="24"/>
          <w:shd w:val="clear" w:color="auto" w:fill="FFFFFF"/>
        </w:rPr>
        <w:t>migrant</w:t>
      </w:r>
      <w:r w:rsidR="00963048" w:rsidRPr="004B36B2">
        <w:rPr>
          <w:rFonts w:asciiTheme="majorBidi" w:hAnsiTheme="majorBidi" w:cstheme="majorBidi"/>
          <w:color w:val="000000" w:themeColor="text1"/>
          <w:szCs w:val="24"/>
          <w:shd w:val="clear" w:color="auto" w:fill="FFFFFF"/>
        </w:rPr>
        <w:t>s</w:t>
      </w:r>
      <w:r w:rsidR="006230D8" w:rsidRPr="004B36B2">
        <w:rPr>
          <w:rFonts w:asciiTheme="majorBidi" w:hAnsiTheme="majorBidi" w:cstheme="majorBidi"/>
          <w:color w:val="000000" w:themeColor="text1"/>
          <w:szCs w:val="24"/>
          <w:shd w:val="clear" w:color="auto" w:fill="FFFFFF"/>
        </w:rPr>
        <w:t xml:space="preserve"> </w:t>
      </w:r>
      <w:r w:rsidR="006E7035" w:rsidRPr="004B36B2">
        <w:rPr>
          <w:rFonts w:asciiTheme="majorBidi" w:hAnsiTheme="majorBidi" w:cstheme="majorBidi"/>
          <w:color w:val="000000" w:themeColor="text1"/>
          <w:szCs w:val="24"/>
          <w:shd w:val="clear" w:color="auto" w:fill="FFFFFF"/>
        </w:rPr>
        <w:t xml:space="preserve">from </w:t>
      </w:r>
      <w:r w:rsidR="00857166" w:rsidRPr="004B36B2">
        <w:rPr>
          <w:rFonts w:asciiTheme="majorBidi" w:hAnsiTheme="majorBidi" w:cstheme="majorBidi"/>
          <w:color w:val="000000" w:themeColor="text1"/>
          <w:szCs w:val="24"/>
          <w:shd w:val="clear" w:color="auto" w:fill="FFFFFF"/>
        </w:rPr>
        <w:t xml:space="preserve">the </w:t>
      </w:r>
      <w:r w:rsidR="00AA6AAA" w:rsidRPr="004B36B2">
        <w:rPr>
          <w:rFonts w:asciiTheme="majorBidi" w:hAnsiTheme="majorBidi" w:cstheme="majorBidi"/>
          <w:color w:val="000000" w:themeColor="text1"/>
          <w:szCs w:val="24"/>
          <w:shd w:val="clear" w:color="auto" w:fill="FFFFFF"/>
        </w:rPr>
        <w:t>village</w:t>
      </w:r>
      <w:r w:rsidR="00987F53"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 xml:space="preserve">in </w:t>
      </w:r>
      <w:r w:rsidR="00987F53" w:rsidRPr="004B36B2">
        <w:rPr>
          <w:rFonts w:asciiTheme="majorBidi" w:hAnsiTheme="majorBidi" w:cstheme="majorBidi"/>
          <w:color w:val="000000" w:themeColor="text1"/>
          <w:szCs w:val="24"/>
          <w:shd w:val="clear" w:color="auto" w:fill="FFFFFF"/>
        </w:rPr>
        <w:t xml:space="preserve">each </w:t>
      </w:r>
      <w:r w:rsidR="00963048" w:rsidRPr="004B36B2">
        <w:rPr>
          <w:rFonts w:asciiTheme="majorBidi" w:hAnsiTheme="majorBidi" w:cstheme="majorBidi"/>
          <w:color w:val="000000" w:themeColor="text1"/>
          <w:szCs w:val="24"/>
          <w:shd w:val="clear" w:color="auto" w:fill="FFFFFF"/>
        </w:rPr>
        <w:t xml:space="preserve">survey </w:t>
      </w:r>
      <w:r w:rsidR="00987F53" w:rsidRPr="004B36B2">
        <w:rPr>
          <w:rFonts w:asciiTheme="majorBidi" w:hAnsiTheme="majorBidi" w:cstheme="majorBidi"/>
          <w:color w:val="000000" w:themeColor="text1"/>
          <w:szCs w:val="24"/>
          <w:shd w:val="clear" w:color="auto" w:fill="FFFFFF"/>
        </w:rPr>
        <w:t>year</w:t>
      </w:r>
      <w:r w:rsidR="00857166" w:rsidRPr="004B36B2">
        <w:rPr>
          <w:rFonts w:asciiTheme="majorBidi" w:hAnsiTheme="majorBidi" w:cstheme="majorBidi"/>
          <w:color w:val="000000" w:themeColor="text1"/>
          <w:szCs w:val="24"/>
          <w:shd w:val="clear" w:color="auto" w:fill="FFFFFF"/>
        </w:rPr>
        <w:t xml:space="preserve"> (that is, in 2008 and 2010)</w:t>
      </w:r>
      <w:r w:rsidR="00987F53" w:rsidRPr="004B36B2">
        <w:rPr>
          <w:rFonts w:asciiTheme="majorBidi" w:hAnsiTheme="majorBidi" w:cstheme="majorBidi"/>
          <w:color w:val="000000" w:themeColor="text1"/>
          <w:szCs w:val="24"/>
          <w:shd w:val="clear" w:color="auto" w:fill="FFFFFF"/>
        </w:rPr>
        <w:t xml:space="preserve"> </w:t>
      </w:r>
      <w:r w:rsidR="00EE12FC" w:rsidRPr="004B36B2">
        <w:rPr>
          <w:rFonts w:asciiTheme="majorBidi" w:hAnsiTheme="majorBidi" w:cstheme="majorBidi"/>
          <w:color w:val="000000" w:themeColor="text1"/>
          <w:szCs w:val="24"/>
          <w:shd w:val="clear" w:color="auto" w:fill="FFFFFF"/>
        </w:rPr>
        <w:t xml:space="preserve">we </w:t>
      </w:r>
      <w:r w:rsidR="00DE131D" w:rsidRPr="004B36B2">
        <w:rPr>
          <w:rFonts w:asciiTheme="majorBidi" w:hAnsiTheme="majorBidi" w:cstheme="majorBidi"/>
          <w:color w:val="000000" w:themeColor="text1"/>
          <w:szCs w:val="24"/>
          <w:shd w:val="clear" w:color="auto" w:fill="FFFFFF"/>
        </w:rPr>
        <w:t>weight the</w:t>
      </w:r>
      <w:r w:rsidR="00A7107B" w:rsidRPr="004B36B2">
        <w:rPr>
          <w:rFonts w:asciiTheme="majorBidi" w:hAnsiTheme="majorBidi" w:cstheme="majorBidi"/>
          <w:color w:val="000000" w:themeColor="text1"/>
          <w:szCs w:val="24"/>
          <w:shd w:val="clear" w:color="auto" w:fill="FFFFFF"/>
        </w:rPr>
        <w:t xml:space="preserve"> total</w:t>
      </w:r>
      <w:r w:rsidR="00EE12FC" w:rsidRPr="004B36B2">
        <w:rPr>
          <w:rFonts w:asciiTheme="majorBidi" w:hAnsiTheme="majorBidi" w:cstheme="majorBidi"/>
          <w:color w:val="000000" w:themeColor="text1"/>
          <w:szCs w:val="24"/>
          <w:shd w:val="clear" w:color="auto" w:fill="FFFFFF"/>
        </w:rPr>
        <w:t xml:space="preserve"> migrant</w:t>
      </w:r>
      <w:r w:rsidR="00857166" w:rsidRPr="004B36B2">
        <w:rPr>
          <w:rFonts w:asciiTheme="majorBidi" w:hAnsiTheme="majorBidi" w:cstheme="majorBidi"/>
          <w:color w:val="000000" w:themeColor="text1"/>
          <w:szCs w:val="24"/>
          <w:shd w:val="clear" w:color="auto" w:fill="FFFFFF"/>
        </w:rPr>
        <w:t>s</w:t>
      </w:r>
      <w:r w:rsidR="00EE12FC" w:rsidRPr="004B36B2">
        <w:rPr>
          <w:rFonts w:asciiTheme="majorBidi" w:hAnsiTheme="majorBidi" w:cstheme="majorBidi"/>
          <w:color w:val="000000" w:themeColor="text1"/>
          <w:szCs w:val="24"/>
          <w:shd w:val="clear" w:color="auto" w:fill="FFFFFF"/>
        </w:rPr>
        <w:t xml:space="preserve"> </w:t>
      </w:r>
      <w:r w:rsidR="00DE131D" w:rsidRPr="004B36B2">
        <w:rPr>
          <w:rFonts w:asciiTheme="majorBidi" w:hAnsiTheme="majorBidi" w:cstheme="majorBidi"/>
          <w:color w:val="000000" w:themeColor="text1"/>
          <w:szCs w:val="24"/>
          <w:shd w:val="clear" w:color="auto" w:fill="FFFFFF"/>
        </w:rPr>
        <w:t xml:space="preserve">to destination </w:t>
      </w:r>
      <m:oMath>
        <m:r>
          <w:rPr>
            <w:rFonts w:ascii="Cambria Math" w:hAnsi="Cambria Math" w:cstheme="majorBidi"/>
            <w:color w:val="000000" w:themeColor="text1"/>
            <w:szCs w:val="24"/>
            <w:shd w:val="clear" w:color="auto" w:fill="FFFFFF"/>
          </w:rPr>
          <m:t>k</m:t>
        </m:r>
      </m:oMath>
      <w:r w:rsidR="00DE131D"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 xml:space="preserve">by </w:t>
      </w:r>
      <w:r w:rsidR="00EE12FC" w:rsidRPr="004B36B2">
        <w:rPr>
          <w:rFonts w:asciiTheme="majorBidi" w:hAnsiTheme="majorBidi" w:cstheme="majorBidi"/>
          <w:color w:val="000000" w:themeColor="text1"/>
          <w:szCs w:val="24"/>
          <w:shd w:val="clear" w:color="auto" w:fill="FFFFFF"/>
        </w:rPr>
        <w:t xml:space="preserve">the </w:t>
      </w:r>
      <w:r w:rsidR="00DE131D" w:rsidRPr="004B36B2">
        <w:rPr>
          <w:rFonts w:asciiTheme="majorBidi" w:hAnsiTheme="majorBidi" w:cstheme="majorBidi"/>
          <w:color w:val="000000" w:themeColor="text1"/>
          <w:szCs w:val="24"/>
          <w:shd w:val="clear" w:color="auto" w:fill="FFFFFF"/>
        </w:rPr>
        <w:t>2001 village</w:t>
      </w:r>
      <w:r w:rsidR="00401533" w:rsidRPr="004B36B2">
        <w:rPr>
          <w:rFonts w:asciiTheme="majorBidi" w:hAnsiTheme="majorBidi" w:cstheme="majorBidi"/>
          <w:color w:val="000000" w:themeColor="text1"/>
          <w:szCs w:val="24"/>
          <w:shd w:val="clear" w:color="auto" w:fill="FFFFFF"/>
        </w:rPr>
        <w:t xml:space="preserve"> </w:t>
      </w:r>
      <m:oMath>
        <m:r>
          <w:rPr>
            <w:rFonts w:ascii="Cambria Math" w:hAnsi="Cambria Math" w:cstheme="majorBidi"/>
            <w:color w:val="000000" w:themeColor="text1"/>
            <w:szCs w:val="24"/>
            <w:shd w:val="clear" w:color="auto" w:fill="FFFFFF"/>
          </w:rPr>
          <m:t>i</m:t>
        </m:r>
      </m:oMath>
      <w:r w:rsidR="00DE131D" w:rsidRPr="004B36B2">
        <w:rPr>
          <w:rFonts w:asciiTheme="majorBidi" w:hAnsiTheme="majorBidi" w:cstheme="majorBidi"/>
          <w:color w:val="000000" w:themeColor="text1"/>
          <w:szCs w:val="24"/>
          <w:shd w:val="clear" w:color="auto" w:fill="FFFFFF"/>
        </w:rPr>
        <w:t xml:space="preserve"> migrant</w:t>
      </w:r>
      <w:r w:rsidR="000525F2" w:rsidRPr="004B36B2">
        <w:rPr>
          <w:rFonts w:asciiTheme="majorBidi" w:hAnsiTheme="majorBidi" w:cstheme="majorBidi"/>
          <w:color w:val="000000" w:themeColor="text1"/>
          <w:szCs w:val="24"/>
          <w:shd w:val="clear" w:color="auto" w:fill="FFFFFF"/>
        </w:rPr>
        <w:t>s</w:t>
      </w:r>
      <w:r w:rsidR="00DE131D" w:rsidRPr="004B36B2">
        <w:rPr>
          <w:rFonts w:asciiTheme="majorBidi" w:hAnsiTheme="majorBidi" w:cstheme="majorBidi"/>
          <w:color w:val="000000" w:themeColor="text1"/>
          <w:szCs w:val="24"/>
          <w:shd w:val="clear" w:color="auto" w:fill="FFFFFF"/>
        </w:rPr>
        <w:t xml:space="preserve"> share to </w:t>
      </w:r>
      <w:r w:rsidR="00DE131D" w:rsidRPr="004B36B2">
        <w:rPr>
          <w:rFonts w:asciiTheme="majorBidi" w:hAnsiTheme="majorBidi" w:cstheme="majorBidi"/>
          <w:noProof/>
          <w:color w:val="000000" w:themeColor="text1"/>
          <w:szCs w:val="24"/>
          <w:shd w:val="clear" w:color="auto" w:fill="FFFFFF"/>
        </w:rPr>
        <w:t>destination</w:t>
      </w:r>
      <w:r w:rsidR="00401533" w:rsidRPr="004B36B2">
        <w:rPr>
          <w:rFonts w:asciiTheme="majorBidi" w:hAnsiTheme="majorBidi" w:cstheme="majorBidi"/>
          <w:noProof/>
          <w:color w:val="000000" w:themeColor="text1"/>
          <w:szCs w:val="24"/>
          <w:shd w:val="clear" w:color="auto" w:fill="FFFFFF"/>
        </w:rPr>
        <w:t xml:space="preserve"> </w:t>
      </w:r>
      <m:oMath>
        <m:r>
          <w:rPr>
            <w:rFonts w:ascii="Cambria Math" w:hAnsi="Cambria Math" w:cstheme="majorBidi"/>
            <w:color w:val="000000" w:themeColor="text1"/>
            <w:szCs w:val="24"/>
            <w:shd w:val="clear" w:color="auto" w:fill="FFFFFF"/>
          </w:rPr>
          <m:t>k</m:t>
        </m:r>
      </m:oMath>
      <w:r w:rsidR="00DE131D" w:rsidRPr="004B36B2">
        <w:rPr>
          <w:rFonts w:asciiTheme="majorBidi" w:hAnsiTheme="majorBidi" w:cstheme="majorBidi"/>
          <w:color w:val="000000" w:themeColor="text1"/>
          <w:szCs w:val="24"/>
          <w:shd w:val="clear" w:color="auto" w:fill="FFFFFF"/>
        </w:rPr>
        <w:t>. Our predicted migrant</w:t>
      </w:r>
      <w:r w:rsidR="000525F2" w:rsidRPr="004B36B2">
        <w:rPr>
          <w:rFonts w:asciiTheme="majorBidi" w:hAnsiTheme="majorBidi" w:cstheme="majorBidi"/>
          <w:color w:val="000000" w:themeColor="text1"/>
          <w:szCs w:val="24"/>
          <w:shd w:val="clear" w:color="auto" w:fill="FFFFFF"/>
        </w:rPr>
        <w:t xml:space="preserve"> </w:t>
      </w:r>
      <w:r w:rsidR="00F931EE" w:rsidRPr="004B36B2">
        <w:rPr>
          <w:rFonts w:asciiTheme="majorBidi" w:hAnsiTheme="majorBidi" w:cstheme="majorBidi"/>
          <w:color w:val="000000" w:themeColor="text1"/>
          <w:szCs w:val="24"/>
          <w:shd w:val="clear" w:color="auto" w:fill="FFFFFF"/>
        </w:rPr>
        <w:t>flows, which reflect destination-drive demand migrants,</w:t>
      </w:r>
      <w:r w:rsidR="00857166" w:rsidRPr="004B36B2">
        <w:rPr>
          <w:rFonts w:asciiTheme="majorBidi" w:hAnsiTheme="majorBidi" w:cstheme="majorBidi"/>
          <w:color w:val="000000" w:themeColor="text1"/>
          <w:szCs w:val="24"/>
          <w:shd w:val="clear" w:color="auto" w:fill="FFFFFF"/>
        </w:rPr>
        <w:t xml:space="preserve"> </w:t>
      </w:r>
      <w:r w:rsidR="00F931EE" w:rsidRPr="004B36B2">
        <w:rPr>
          <w:rFonts w:asciiTheme="majorBidi" w:hAnsiTheme="majorBidi" w:cstheme="majorBidi"/>
          <w:color w:val="000000" w:themeColor="text1"/>
          <w:szCs w:val="24"/>
          <w:shd w:val="clear" w:color="auto" w:fill="FFFFFF"/>
        </w:rPr>
        <w:t xml:space="preserve">for </w:t>
      </w:r>
      <w:r w:rsidR="00DE131D" w:rsidRPr="004B36B2">
        <w:rPr>
          <w:rFonts w:asciiTheme="majorBidi" w:hAnsiTheme="majorBidi" w:cstheme="majorBidi"/>
          <w:color w:val="000000" w:themeColor="text1"/>
          <w:szCs w:val="24"/>
          <w:shd w:val="clear" w:color="auto" w:fill="FFFFFF"/>
        </w:rPr>
        <w:t>each village</w:t>
      </w:r>
      <w:r w:rsidR="00F931EE" w:rsidRPr="004B36B2">
        <w:rPr>
          <w:rFonts w:asciiTheme="majorBidi" w:hAnsiTheme="majorBidi" w:cstheme="majorBidi"/>
          <w:color w:val="000000" w:themeColor="text1"/>
          <w:szCs w:val="24"/>
          <w:shd w:val="clear" w:color="auto" w:fill="FFFFFF"/>
        </w:rPr>
        <w:t xml:space="preserve"> are</w:t>
      </w:r>
      <w:r w:rsidR="00963048" w:rsidRPr="004B36B2">
        <w:rPr>
          <w:rFonts w:asciiTheme="majorBidi" w:hAnsiTheme="majorBidi" w:cstheme="majorBidi"/>
          <w:color w:val="000000" w:themeColor="text1"/>
          <w:szCs w:val="24"/>
          <w:shd w:val="clear" w:color="auto" w:fill="FFFFFF"/>
        </w:rPr>
        <w:t>:</w:t>
      </w:r>
    </w:p>
    <w:p w14:paraId="1CB8683D" w14:textId="77777777" w:rsidR="00101417" w:rsidRPr="004B36B2" w:rsidRDefault="00101417" w:rsidP="00283A3C">
      <w:pPr>
        <w:spacing w:line="288" w:lineRule="auto"/>
        <w:ind w:firstLine="720"/>
        <w:jc w:val="both"/>
        <w:rPr>
          <w:rFonts w:asciiTheme="majorBidi" w:hAnsiTheme="majorBidi" w:cstheme="majorBidi"/>
          <w:color w:val="000000" w:themeColor="text1"/>
          <w:szCs w:val="24"/>
          <w:shd w:val="clear" w:color="auto" w:fill="FFFFFF"/>
        </w:rPr>
      </w:pPr>
    </w:p>
    <w:p w14:paraId="3D20204D" w14:textId="77777777" w:rsidR="00DE131D" w:rsidRPr="00510A97" w:rsidRDefault="00F33F30" w:rsidP="00283A3C">
      <w:pPr>
        <w:spacing w:line="288" w:lineRule="auto"/>
        <w:jc w:val="both"/>
        <w:rPr>
          <w:rFonts w:asciiTheme="majorBidi" w:hAnsiTheme="majorBidi" w:cstheme="majorBidi"/>
          <w:color w:val="000000" w:themeColor="text1"/>
          <w:sz w:val="22"/>
          <w:shd w:val="clear" w:color="auto" w:fill="FFFFFF"/>
        </w:rPr>
      </w:pPr>
      <m:oMathPara>
        <m:oMathParaPr>
          <m:jc m:val="right"/>
        </m:oMathParaPr>
        <m:oMath>
          <m:sSubSup>
            <m:sSubSupPr>
              <m:ctrlPr>
                <w:rPr>
                  <w:rFonts w:ascii="Cambria Math" w:hAnsi="Cambria Math" w:cstheme="majorBidi"/>
                  <w:i/>
                  <w:color w:val="000000" w:themeColor="text1"/>
                  <w:sz w:val="22"/>
                  <w:shd w:val="clear" w:color="auto" w:fill="FFFFFF"/>
                </w:rPr>
              </m:ctrlPr>
            </m:sSubSupPr>
            <m:e>
              <m:r>
                <w:rPr>
                  <w:rFonts w:ascii="Cambria Math" w:hAnsi="Cambria Math" w:cstheme="majorBidi"/>
                  <w:color w:val="000000" w:themeColor="text1"/>
                  <w:sz w:val="22"/>
                  <w:shd w:val="clear" w:color="auto" w:fill="FFFFFF"/>
                </w:rPr>
                <m:t>M</m:t>
              </m:r>
            </m:e>
            <m:sub>
              <m:r>
                <w:rPr>
                  <w:rFonts w:ascii="Cambria Math" w:hAnsi="Cambria Math" w:cstheme="majorBidi"/>
                  <w:color w:val="000000" w:themeColor="text1"/>
                  <w:sz w:val="22"/>
                  <w:shd w:val="clear" w:color="auto" w:fill="FFFFFF"/>
                </w:rPr>
                <m:t>ikt</m:t>
              </m:r>
            </m:sub>
            <m:sup>
              <m:r>
                <w:rPr>
                  <w:rFonts w:ascii="Cambria Math" w:hAnsi="Cambria Math" w:cstheme="majorBidi"/>
                  <w:color w:val="000000" w:themeColor="text1"/>
                  <w:sz w:val="22"/>
                  <w:shd w:val="clear" w:color="auto" w:fill="FFFFFF"/>
                </w:rPr>
                <m:t>p</m:t>
              </m:r>
            </m:sup>
          </m:sSubSup>
          <m:r>
            <w:rPr>
              <w:rFonts w:ascii="Cambria Math" w:hAnsi="Cambria Math" w:cstheme="majorBidi"/>
              <w:color w:val="000000" w:themeColor="text1"/>
              <w:sz w:val="22"/>
              <w:shd w:val="clear" w:color="auto" w:fill="FFFFFF"/>
            </w:rPr>
            <m:t xml:space="preserve">= </m:t>
          </m:r>
          <m:nary>
            <m:naryPr>
              <m:chr m:val="∑"/>
              <m:limLoc m:val="undOvr"/>
              <m:ctrlPr>
                <w:rPr>
                  <w:rFonts w:ascii="Cambria Math" w:hAnsi="Cambria Math" w:cstheme="majorBidi"/>
                  <w:i/>
                  <w:color w:val="000000" w:themeColor="text1"/>
                  <w:sz w:val="22"/>
                  <w:shd w:val="clear" w:color="auto" w:fill="FFFFFF"/>
                </w:rPr>
              </m:ctrlPr>
            </m:naryPr>
            <m:sub>
              <m:r>
                <w:rPr>
                  <w:rFonts w:ascii="Cambria Math" w:hAnsi="Cambria Math" w:cstheme="majorBidi"/>
                  <w:color w:val="000000" w:themeColor="text1"/>
                  <w:sz w:val="22"/>
                  <w:shd w:val="clear" w:color="auto" w:fill="FFFFFF"/>
                </w:rPr>
                <m:t>i</m:t>
              </m:r>
            </m:sub>
            <m:sup>
              <m:r>
                <w:rPr>
                  <w:rFonts w:ascii="Cambria Math" w:hAnsi="Cambria Math" w:cstheme="majorBidi"/>
                  <w:color w:val="000000" w:themeColor="text1"/>
                  <w:sz w:val="22"/>
                  <w:shd w:val="clear" w:color="auto" w:fill="FFFFFF"/>
                </w:rPr>
                <m:t>n</m:t>
              </m:r>
            </m:sup>
            <m:e>
              <m:sSub>
                <m:sSubPr>
                  <m:ctrlPr>
                    <w:rPr>
                      <w:rFonts w:ascii="Cambria Math" w:hAnsi="Cambria Math" w:cstheme="majorBidi"/>
                      <w:i/>
                      <w:color w:val="000000" w:themeColor="text1"/>
                      <w:sz w:val="22"/>
                      <w:shd w:val="clear" w:color="auto" w:fill="FFFFFF"/>
                    </w:rPr>
                  </m:ctrlPr>
                </m:sSubPr>
                <m:e>
                  <m:r>
                    <w:rPr>
                      <w:rFonts w:ascii="Cambria Math" w:hAnsi="Cambria Math" w:cstheme="majorBidi"/>
                      <w:color w:val="000000" w:themeColor="text1"/>
                      <w:sz w:val="22"/>
                      <w:shd w:val="clear" w:color="auto" w:fill="FFFFFF"/>
                    </w:rPr>
                    <m:t>M</m:t>
                  </m:r>
                </m:e>
                <m:sub>
                  <m:r>
                    <w:rPr>
                      <w:rFonts w:ascii="Cambria Math" w:hAnsi="Cambria Math" w:cstheme="majorBidi"/>
                      <w:color w:val="000000" w:themeColor="text1"/>
                      <w:sz w:val="22"/>
                      <w:shd w:val="clear" w:color="auto" w:fill="FFFFFF"/>
                    </w:rPr>
                    <m:t>kt</m:t>
                  </m:r>
                </m:sub>
              </m:sSub>
            </m:e>
          </m:nary>
          <m:r>
            <w:rPr>
              <w:rFonts w:ascii="Cambria Math" w:hAnsi="Cambria Math" w:cstheme="majorBidi"/>
              <w:color w:val="000000" w:themeColor="text1"/>
              <w:sz w:val="22"/>
              <w:shd w:val="clear" w:color="auto" w:fill="FFFFFF"/>
            </w:rPr>
            <m:t xml:space="preserve"> </m:t>
          </m:r>
          <m:f>
            <m:fPr>
              <m:ctrlPr>
                <w:rPr>
                  <w:rFonts w:ascii="Cambria Math" w:hAnsi="Cambria Math" w:cstheme="majorBidi"/>
                  <w:i/>
                  <w:color w:val="000000" w:themeColor="text1"/>
                  <w:sz w:val="22"/>
                  <w:shd w:val="clear" w:color="auto" w:fill="FFFFFF"/>
                </w:rPr>
              </m:ctrlPr>
            </m:fPr>
            <m:num>
              <m:sSubSup>
                <m:sSubSupPr>
                  <m:ctrlPr>
                    <w:rPr>
                      <w:rFonts w:ascii="Cambria Math" w:hAnsi="Cambria Math" w:cstheme="majorBidi"/>
                      <w:i/>
                      <w:color w:val="000000" w:themeColor="text1"/>
                      <w:sz w:val="22"/>
                      <w:shd w:val="clear" w:color="auto" w:fill="FFFFFF"/>
                    </w:rPr>
                  </m:ctrlPr>
                </m:sSubSupPr>
                <m:e>
                  <m:r>
                    <w:rPr>
                      <w:rFonts w:ascii="Cambria Math" w:hAnsi="Cambria Math" w:cstheme="majorBidi"/>
                      <w:color w:val="000000" w:themeColor="text1"/>
                      <w:sz w:val="22"/>
                      <w:shd w:val="clear" w:color="auto" w:fill="FFFFFF"/>
                    </w:rPr>
                    <m:t>M</m:t>
                  </m:r>
                </m:e>
                <m:sub>
                  <m:r>
                    <w:rPr>
                      <w:rFonts w:ascii="Cambria Math" w:hAnsi="Cambria Math" w:cstheme="majorBidi"/>
                      <w:color w:val="000000" w:themeColor="text1"/>
                      <w:sz w:val="22"/>
                      <w:shd w:val="clear" w:color="auto" w:fill="FFFFFF"/>
                    </w:rPr>
                    <m:t>ik</m:t>
                  </m:r>
                </m:sub>
                <m:sup>
                  <m:r>
                    <w:rPr>
                      <w:rFonts w:ascii="Cambria Math" w:hAnsi="Cambria Math" w:cstheme="majorBidi"/>
                      <w:color w:val="000000" w:themeColor="text1"/>
                      <w:sz w:val="22"/>
                      <w:shd w:val="clear" w:color="auto" w:fill="FFFFFF"/>
                    </w:rPr>
                    <m:t>2001</m:t>
                  </m:r>
                </m:sup>
              </m:sSubSup>
            </m:num>
            <m:den>
              <m:sSubSup>
                <m:sSubSupPr>
                  <m:ctrlPr>
                    <w:rPr>
                      <w:rFonts w:ascii="Cambria Math" w:hAnsi="Cambria Math" w:cstheme="majorBidi"/>
                      <w:i/>
                      <w:color w:val="000000" w:themeColor="text1"/>
                      <w:sz w:val="22"/>
                      <w:shd w:val="clear" w:color="auto" w:fill="FFFFFF"/>
                    </w:rPr>
                  </m:ctrlPr>
                </m:sSubSupPr>
                <m:e>
                  <m:r>
                    <w:rPr>
                      <w:rFonts w:ascii="Cambria Math" w:hAnsi="Cambria Math" w:cstheme="majorBidi"/>
                      <w:color w:val="000000" w:themeColor="text1"/>
                      <w:sz w:val="22"/>
                      <w:shd w:val="clear" w:color="auto" w:fill="FFFFFF"/>
                    </w:rPr>
                    <m:t>M</m:t>
                  </m:r>
                </m:e>
                <m:sub>
                  <m:r>
                    <w:rPr>
                      <w:rFonts w:ascii="Cambria Math" w:hAnsi="Cambria Math" w:cstheme="majorBidi"/>
                      <w:color w:val="000000" w:themeColor="text1"/>
                      <w:sz w:val="22"/>
                      <w:shd w:val="clear" w:color="auto" w:fill="FFFFFF"/>
                    </w:rPr>
                    <m:t>k</m:t>
                  </m:r>
                </m:sub>
                <m:sup>
                  <m:r>
                    <w:rPr>
                      <w:rFonts w:ascii="Cambria Math" w:hAnsi="Cambria Math" w:cstheme="majorBidi"/>
                      <w:color w:val="000000" w:themeColor="text1"/>
                      <w:sz w:val="22"/>
                      <w:shd w:val="clear" w:color="auto" w:fill="FFFFFF"/>
                    </w:rPr>
                    <m:t>2001</m:t>
                  </m:r>
                </m:sup>
              </m:sSubSup>
            </m:den>
          </m:f>
          <m:r>
            <w:rPr>
              <w:rFonts w:ascii="Cambria Math" w:hAnsi="Cambria Math" w:cstheme="majorBidi"/>
              <w:color w:val="000000" w:themeColor="text1"/>
              <w:sz w:val="22"/>
              <w:shd w:val="clear" w:color="auto" w:fill="FFFFFF"/>
            </w:rPr>
            <m:t xml:space="preserve">                                                                                                                        (3</m:t>
          </m:r>
          <m:r>
            <w:rPr>
              <w:rFonts w:ascii="Cambria Math" w:hAnsi="Cambria Math" w:cstheme="majorBidi"/>
              <w:color w:val="000000" w:themeColor="text1"/>
              <w:sz w:val="22"/>
              <w:shd w:val="clear" w:color="auto" w:fill="FFFFFF"/>
            </w:rPr>
            <m:t>)</m:t>
          </m:r>
        </m:oMath>
      </m:oMathPara>
    </w:p>
    <w:p w14:paraId="2E6DC553" w14:textId="77777777" w:rsidR="00101417" w:rsidRDefault="00101417" w:rsidP="00101417">
      <w:pPr>
        <w:spacing w:line="288" w:lineRule="auto"/>
        <w:jc w:val="both"/>
        <w:rPr>
          <w:rFonts w:asciiTheme="majorBidi" w:hAnsiTheme="majorBidi" w:cstheme="majorBidi"/>
          <w:color w:val="000000" w:themeColor="text1"/>
          <w:szCs w:val="24"/>
          <w:shd w:val="clear" w:color="auto" w:fill="FFFFFF"/>
        </w:rPr>
      </w:pPr>
    </w:p>
    <w:p w14:paraId="763D2182" w14:textId="724D1894" w:rsidR="00B729F9" w:rsidRDefault="00101417" w:rsidP="00D10D8B">
      <w:pPr>
        <w:spacing w:line="288" w:lineRule="auto"/>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w</w:t>
      </w:r>
      <w:r w:rsidR="00E26DCD" w:rsidRPr="004B36B2">
        <w:rPr>
          <w:rFonts w:asciiTheme="majorBidi" w:hAnsiTheme="majorBidi" w:cstheme="majorBidi"/>
          <w:color w:val="000000" w:themeColor="text1"/>
          <w:szCs w:val="24"/>
          <w:shd w:val="clear" w:color="auto" w:fill="FFFFFF"/>
        </w:rPr>
        <w:t xml:space="preserve">here </w:t>
      </w:r>
      <m:oMath>
        <m:sSubSup>
          <m:sSubSupPr>
            <m:ctrlPr>
              <w:rPr>
                <w:rFonts w:ascii="Cambria Math" w:hAnsi="Cambria Math" w:cstheme="majorBidi"/>
                <w:i/>
                <w:color w:val="000000" w:themeColor="text1"/>
                <w:szCs w:val="24"/>
                <w:shd w:val="clear" w:color="auto" w:fill="FFFFFF"/>
              </w:rPr>
            </m:ctrlPr>
          </m:sSubSupPr>
          <m:e>
            <m:r>
              <w:rPr>
                <w:rFonts w:ascii="Cambria Math" w:hAnsi="Cambria Math" w:cstheme="majorBidi"/>
                <w:color w:val="000000" w:themeColor="text1"/>
                <w:szCs w:val="24"/>
                <w:shd w:val="clear" w:color="auto" w:fill="FFFFFF"/>
              </w:rPr>
              <m:t>M</m:t>
            </m:r>
          </m:e>
          <m:sub>
            <m:r>
              <w:rPr>
                <w:rFonts w:ascii="Cambria Math" w:hAnsi="Cambria Math" w:cstheme="majorBidi"/>
                <w:color w:val="000000" w:themeColor="text1"/>
                <w:szCs w:val="24"/>
                <w:shd w:val="clear" w:color="auto" w:fill="FFFFFF"/>
              </w:rPr>
              <m:t>ikt</m:t>
            </m:r>
          </m:sub>
          <m:sup>
            <m:r>
              <w:rPr>
                <w:rFonts w:ascii="Cambria Math" w:hAnsi="Cambria Math" w:cstheme="majorBidi"/>
                <w:color w:val="000000" w:themeColor="text1"/>
                <w:szCs w:val="24"/>
                <w:shd w:val="clear" w:color="auto" w:fill="FFFFFF"/>
              </w:rPr>
              <m:t>p</m:t>
            </m:r>
          </m:sup>
        </m:sSubSup>
      </m:oMath>
      <w:r w:rsidR="00857166" w:rsidRPr="004B36B2">
        <w:rPr>
          <w:rFonts w:asciiTheme="majorBidi" w:hAnsiTheme="majorBidi" w:cstheme="majorBidi"/>
          <w:color w:val="000000" w:themeColor="text1"/>
          <w:szCs w:val="24"/>
          <w:shd w:val="clear" w:color="auto" w:fill="FFFFFF"/>
        </w:rPr>
        <w:t xml:space="preserve"> is the predicted number of people migrating</w:t>
      </w:r>
      <w:r w:rsidR="00E26DCD" w:rsidRPr="004B36B2">
        <w:rPr>
          <w:rFonts w:asciiTheme="majorBidi" w:hAnsiTheme="majorBidi" w:cstheme="majorBidi"/>
          <w:color w:val="000000" w:themeColor="text1"/>
          <w:szCs w:val="24"/>
          <w:shd w:val="clear" w:color="auto" w:fill="FFFFFF"/>
        </w:rPr>
        <w:t xml:space="preserve"> to destination </w:t>
      </w:r>
      <m:oMath>
        <m:r>
          <w:rPr>
            <w:rFonts w:ascii="Cambria Math" w:hAnsi="Cambria Math" w:cstheme="majorBidi"/>
            <w:color w:val="000000" w:themeColor="text1"/>
            <w:szCs w:val="24"/>
            <w:shd w:val="clear" w:color="auto" w:fill="FFFFFF"/>
          </w:rPr>
          <m:t>k</m:t>
        </m:r>
      </m:oMath>
      <w:r w:rsidR="00E26DCD" w:rsidRPr="004B36B2">
        <w:rPr>
          <w:rFonts w:asciiTheme="majorBidi" w:hAnsiTheme="majorBidi" w:cstheme="majorBidi"/>
          <w:color w:val="000000" w:themeColor="text1"/>
          <w:szCs w:val="24"/>
          <w:shd w:val="clear" w:color="auto" w:fill="FFFFFF"/>
        </w:rPr>
        <w:t xml:space="preserve"> from village</w:t>
      </w:r>
      <w:r w:rsidR="00BC5A8D" w:rsidRPr="004B36B2">
        <w:rPr>
          <w:rFonts w:asciiTheme="majorBidi" w:hAnsiTheme="majorBidi" w:cstheme="majorBidi"/>
          <w:color w:val="000000" w:themeColor="text1"/>
          <w:szCs w:val="24"/>
          <w:shd w:val="clear" w:color="auto" w:fill="FFFFFF"/>
        </w:rPr>
        <w:t xml:space="preserve"> </w:t>
      </w:r>
      <m:oMath>
        <m:r>
          <w:rPr>
            <w:rFonts w:ascii="Cambria Math" w:hAnsi="Cambria Math" w:cstheme="majorBidi"/>
            <w:color w:val="000000" w:themeColor="text1"/>
            <w:szCs w:val="24"/>
            <w:shd w:val="clear" w:color="auto" w:fill="FFFFFF"/>
          </w:rPr>
          <m:t>i</m:t>
        </m:r>
      </m:oMath>
      <w:r w:rsidR="00BC5A8D" w:rsidRPr="004B36B2">
        <w:rPr>
          <w:rFonts w:asciiTheme="majorBidi" w:hAnsiTheme="majorBidi" w:cstheme="majorBidi"/>
          <w:color w:val="000000" w:themeColor="text1"/>
          <w:szCs w:val="24"/>
          <w:shd w:val="clear" w:color="auto" w:fill="FFFFFF"/>
        </w:rPr>
        <w:t xml:space="preserve"> in year </w:t>
      </w:r>
      <m:oMath>
        <m:r>
          <w:rPr>
            <w:rFonts w:ascii="Cambria Math" w:hAnsi="Cambria Math" w:cstheme="majorBidi"/>
            <w:color w:val="000000" w:themeColor="text1"/>
            <w:szCs w:val="24"/>
            <w:shd w:val="clear" w:color="auto" w:fill="FFFFFF"/>
          </w:rPr>
          <m:t>t</m:t>
        </m:r>
      </m:oMath>
      <w:r w:rsidR="00BC5A8D" w:rsidRPr="004B36B2">
        <w:rPr>
          <w:rFonts w:asciiTheme="majorBidi" w:hAnsiTheme="majorBidi" w:cstheme="majorBidi"/>
          <w:color w:val="000000" w:themeColor="text1"/>
          <w:szCs w:val="24"/>
          <w:shd w:val="clear" w:color="auto" w:fill="FFFFFF"/>
        </w:rPr>
        <w:t xml:space="preserve">, </w:t>
      </w:r>
      <m:oMath>
        <m:sSub>
          <m:sSubPr>
            <m:ctrlPr>
              <w:rPr>
                <w:rFonts w:ascii="Cambria Math" w:hAnsi="Cambria Math" w:cstheme="majorBidi"/>
                <w:i/>
                <w:color w:val="000000" w:themeColor="text1"/>
                <w:szCs w:val="24"/>
                <w:shd w:val="clear" w:color="auto" w:fill="FFFFFF"/>
              </w:rPr>
            </m:ctrlPr>
          </m:sSubPr>
          <m:e>
            <m:r>
              <w:rPr>
                <w:rFonts w:ascii="Cambria Math" w:hAnsi="Cambria Math" w:cstheme="majorBidi"/>
                <w:color w:val="000000" w:themeColor="text1"/>
                <w:szCs w:val="24"/>
                <w:shd w:val="clear" w:color="auto" w:fill="FFFFFF"/>
              </w:rPr>
              <m:t>M</m:t>
            </m:r>
          </m:e>
          <m:sub>
            <m:r>
              <w:rPr>
                <w:rFonts w:ascii="Cambria Math" w:hAnsi="Cambria Math" w:cstheme="majorBidi"/>
                <w:color w:val="000000" w:themeColor="text1"/>
                <w:szCs w:val="24"/>
                <w:shd w:val="clear" w:color="auto" w:fill="FFFFFF"/>
              </w:rPr>
              <m:t>kt</m:t>
            </m:r>
          </m:sub>
        </m:sSub>
      </m:oMath>
      <w:r w:rsidR="00857166" w:rsidRPr="004B36B2">
        <w:rPr>
          <w:rFonts w:asciiTheme="majorBidi" w:hAnsiTheme="majorBidi" w:cstheme="majorBidi"/>
          <w:color w:val="000000" w:themeColor="text1"/>
          <w:szCs w:val="24"/>
          <w:shd w:val="clear" w:color="auto" w:fill="FFFFFF"/>
        </w:rPr>
        <w:t xml:space="preserve"> is the total number</w:t>
      </w:r>
      <w:r w:rsidR="008936B8" w:rsidRPr="004B36B2">
        <w:rPr>
          <w:rFonts w:asciiTheme="majorBidi" w:hAnsiTheme="majorBidi" w:cstheme="majorBidi"/>
          <w:color w:val="000000" w:themeColor="text1"/>
          <w:szCs w:val="24"/>
          <w:shd w:val="clear" w:color="auto" w:fill="FFFFFF"/>
        </w:rPr>
        <w:t xml:space="preserve"> </w:t>
      </w:r>
      <w:r w:rsidR="002E3D05" w:rsidRPr="004B36B2">
        <w:rPr>
          <w:rFonts w:asciiTheme="majorBidi" w:hAnsiTheme="majorBidi" w:cstheme="majorBidi"/>
          <w:color w:val="000000" w:themeColor="text1"/>
          <w:szCs w:val="24"/>
          <w:shd w:val="clear" w:color="auto" w:fill="FFFFFF"/>
        </w:rPr>
        <w:t xml:space="preserve">of </w:t>
      </w:r>
      <w:r w:rsidR="00857166" w:rsidRPr="004B36B2">
        <w:rPr>
          <w:rFonts w:asciiTheme="majorBidi" w:hAnsiTheme="majorBidi" w:cstheme="majorBidi"/>
          <w:color w:val="000000" w:themeColor="text1"/>
          <w:szCs w:val="24"/>
          <w:shd w:val="clear" w:color="auto" w:fill="FFFFFF"/>
        </w:rPr>
        <w:t xml:space="preserve">people who </w:t>
      </w:r>
      <w:r w:rsidR="008936B8" w:rsidRPr="004B36B2">
        <w:rPr>
          <w:rFonts w:asciiTheme="majorBidi" w:hAnsiTheme="majorBidi" w:cstheme="majorBidi"/>
          <w:color w:val="000000" w:themeColor="text1"/>
          <w:szCs w:val="24"/>
          <w:shd w:val="clear" w:color="auto" w:fill="FFFFFF"/>
        </w:rPr>
        <w:t xml:space="preserve">migrated </w:t>
      </w:r>
      <w:r w:rsidR="00FE7EFF" w:rsidRPr="004B36B2">
        <w:rPr>
          <w:rFonts w:asciiTheme="majorBidi" w:hAnsiTheme="majorBidi" w:cstheme="majorBidi"/>
          <w:color w:val="000000" w:themeColor="text1"/>
          <w:szCs w:val="24"/>
          <w:shd w:val="clear" w:color="auto" w:fill="FFFFFF"/>
        </w:rPr>
        <w:t xml:space="preserve">from Nepal </w:t>
      </w:r>
      <w:r w:rsidR="008936B8" w:rsidRPr="004B36B2">
        <w:rPr>
          <w:rFonts w:asciiTheme="majorBidi" w:hAnsiTheme="majorBidi" w:cstheme="majorBidi"/>
          <w:color w:val="000000" w:themeColor="text1"/>
          <w:szCs w:val="24"/>
          <w:shd w:val="clear" w:color="auto" w:fill="FFFFFF"/>
        </w:rPr>
        <w:t xml:space="preserve">to destination </w:t>
      </w:r>
      <m:oMath>
        <m:r>
          <w:rPr>
            <w:rFonts w:ascii="Cambria Math" w:hAnsi="Cambria Math" w:cstheme="majorBidi"/>
            <w:color w:val="000000" w:themeColor="text1"/>
            <w:szCs w:val="24"/>
            <w:shd w:val="clear" w:color="auto" w:fill="FFFFFF"/>
          </w:rPr>
          <m:t>k</m:t>
        </m:r>
      </m:oMath>
      <w:r w:rsidR="008936B8" w:rsidRPr="004B36B2">
        <w:rPr>
          <w:rFonts w:asciiTheme="majorBidi" w:hAnsiTheme="majorBidi" w:cstheme="majorBidi"/>
          <w:color w:val="000000" w:themeColor="text1"/>
          <w:szCs w:val="24"/>
          <w:shd w:val="clear" w:color="auto" w:fill="FFFFFF"/>
        </w:rPr>
        <w:t xml:space="preserve"> in year </w:t>
      </w:r>
      <m:oMath>
        <m:r>
          <w:rPr>
            <w:rFonts w:ascii="Cambria Math" w:hAnsi="Cambria Math" w:cstheme="majorBidi"/>
            <w:color w:val="000000" w:themeColor="text1"/>
            <w:szCs w:val="24"/>
            <w:shd w:val="clear" w:color="auto" w:fill="FFFFFF"/>
          </w:rPr>
          <m:t>t</m:t>
        </m:r>
      </m:oMath>
      <w:r w:rsidR="00090BC2" w:rsidRPr="004B36B2">
        <w:rPr>
          <w:rFonts w:asciiTheme="majorBidi" w:hAnsiTheme="majorBidi" w:cstheme="majorBidi"/>
          <w:color w:val="000000" w:themeColor="text1"/>
          <w:szCs w:val="24"/>
          <w:shd w:val="clear" w:color="auto" w:fill="FFFFFF"/>
        </w:rPr>
        <w:t xml:space="preserve"> (2008 or 2010)</w:t>
      </w:r>
      <w:r w:rsidR="008936B8" w:rsidRPr="004B36B2">
        <w:rPr>
          <w:rFonts w:asciiTheme="majorBidi" w:hAnsiTheme="majorBidi" w:cstheme="majorBidi"/>
          <w:color w:val="000000" w:themeColor="text1"/>
          <w:szCs w:val="24"/>
          <w:shd w:val="clear" w:color="auto" w:fill="FFFFFF"/>
        </w:rPr>
        <w:t xml:space="preserve">, </w:t>
      </w:r>
      <w:r w:rsidR="00BC5A8D" w:rsidRPr="004B36B2">
        <w:rPr>
          <w:rFonts w:asciiTheme="majorBidi" w:hAnsiTheme="majorBidi" w:cstheme="majorBidi"/>
          <w:color w:val="000000" w:themeColor="text1"/>
          <w:szCs w:val="24"/>
          <w:shd w:val="clear" w:color="auto" w:fill="FFFFFF"/>
        </w:rPr>
        <w:t xml:space="preserve">and </w:t>
      </w:r>
      <m:oMath>
        <m:f>
          <m:fPr>
            <m:ctrlPr>
              <w:rPr>
                <w:rFonts w:ascii="Cambria Math" w:hAnsi="Cambria Math" w:cstheme="majorBidi"/>
                <w:i/>
                <w:color w:val="000000" w:themeColor="text1"/>
                <w:szCs w:val="24"/>
                <w:shd w:val="clear" w:color="auto" w:fill="FFFFFF"/>
              </w:rPr>
            </m:ctrlPr>
          </m:fPr>
          <m:num>
            <m:sSubSup>
              <m:sSubSupPr>
                <m:ctrlPr>
                  <w:rPr>
                    <w:rFonts w:ascii="Cambria Math" w:hAnsi="Cambria Math" w:cstheme="majorBidi"/>
                    <w:i/>
                    <w:color w:val="000000" w:themeColor="text1"/>
                    <w:szCs w:val="24"/>
                    <w:shd w:val="clear" w:color="auto" w:fill="FFFFFF"/>
                  </w:rPr>
                </m:ctrlPr>
              </m:sSubSupPr>
              <m:e>
                <m:r>
                  <w:rPr>
                    <w:rFonts w:ascii="Cambria Math" w:hAnsi="Cambria Math" w:cstheme="majorBidi"/>
                    <w:color w:val="000000" w:themeColor="text1"/>
                    <w:szCs w:val="24"/>
                    <w:shd w:val="clear" w:color="auto" w:fill="FFFFFF"/>
                  </w:rPr>
                  <m:t>M</m:t>
                </m:r>
              </m:e>
              <m:sub>
                <m:r>
                  <w:rPr>
                    <w:rFonts w:ascii="Cambria Math" w:hAnsi="Cambria Math" w:cstheme="majorBidi"/>
                    <w:color w:val="000000" w:themeColor="text1"/>
                    <w:szCs w:val="24"/>
                    <w:shd w:val="clear" w:color="auto" w:fill="FFFFFF"/>
                  </w:rPr>
                  <m:t>ik</m:t>
                </m:r>
              </m:sub>
              <m:sup>
                <m:r>
                  <w:rPr>
                    <w:rFonts w:ascii="Cambria Math" w:hAnsi="Cambria Math" w:cstheme="majorBidi"/>
                    <w:color w:val="000000" w:themeColor="text1"/>
                    <w:szCs w:val="24"/>
                    <w:shd w:val="clear" w:color="auto" w:fill="FFFFFF"/>
                  </w:rPr>
                  <m:t>2001</m:t>
                </m:r>
              </m:sup>
            </m:sSubSup>
          </m:num>
          <m:den>
            <m:sSubSup>
              <m:sSubSupPr>
                <m:ctrlPr>
                  <w:rPr>
                    <w:rFonts w:ascii="Cambria Math" w:hAnsi="Cambria Math" w:cstheme="majorBidi"/>
                    <w:i/>
                    <w:color w:val="000000" w:themeColor="text1"/>
                    <w:szCs w:val="24"/>
                    <w:shd w:val="clear" w:color="auto" w:fill="FFFFFF"/>
                  </w:rPr>
                </m:ctrlPr>
              </m:sSubSupPr>
              <m:e>
                <m:r>
                  <w:rPr>
                    <w:rFonts w:ascii="Cambria Math" w:hAnsi="Cambria Math" w:cstheme="majorBidi"/>
                    <w:color w:val="000000" w:themeColor="text1"/>
                    <w:szCs w:val="24"/>
                    <w:shd w:val="clear" w:color="auto" w:fill="FFFFFF"/>
                  </w:rPr>
                  <m:t>M</m:t>
                </m:r>
              </m:e>
              <m:sub>
                <m:r>
                  <w:rPr>
                    <w:rFonts w:ascii="Cambria Math" w:hAnsi="Cambria Math" w:cstheme="majorBidi"/>
                    <w:color w:val="000000" w:themeColor="text1"/>
                    <w:szCs w:val="24"/>
                    <w:shd w:val="clear" w:color="auto" w:fill="FFFFFF"/>
                  </w:rPr>
                  <m:t>k</m:t>
                </m:r>
              </m:sub>
              <m:sup>
                <m:r>
                  <w:rPr>
                    <w:rFonts w:ascii="Cambria Math" w:hAnsi="Cambria Math" w:cstheme="majorBidi"/>
                    <w:color w:val="000000" w:themeColor="text1"/>
                    <w:szCs w:val="24"/>
                    <w:shd w:val="clear" w:color="auto" w:fill="FFFFFF"/>
                  </w:rPr>
                  <m:t>2001</m:t>
                </m:r>
              </m:sup>
            </m:sSubSup>
          </m:den>
        </m:f>
      </m:oMath>
      <w:r w:rsidR="00E26DCD" w:rsidRPr="004B36B2">
        <w:rPr>
          <w:rFonts w:asciiTheme="majorBidi" w:hAnsiTheme="majorBidi" w:cstheme="majorBidi"/>
          <w:color w:val="000000" w:themeColor="text1"/>
          <w:szCs w:val="24"/>
          <w:shd w:val="clear" w:color="auto" w:fill="FFFFFF"/>
        </w:rPr>
        <w:t xml:space="preserve"> </w:t>
      </w:r>
      <w:r w:rsidR="000525F2" w:rsidRPr="004B36B2">
        <w:rPr>
          <w:rFonts w:asciiTheme="majorBidi" w:hAnsiTheme="majorBidi" w:cstheme="majorBidi"/>
          <w:color w:val="000000" w:themeColor="text1"/>
          <w:szCs w:val="24"/>
          <w:shd w:val="clear" w:color="auto" w:fill="FFFFFF"/>
        </w:rPr>
        <w:t xml:space="preserve">is the village </w:t>
      </w:r>
      <m:oMath>
        <m:r>
          <w:rPr>
            <w:rFonts w:ascii="Cambria Math" w:hAnsi="Cambria Math" w:cstheme="majorBidi"/>
            <w:noProof/>
            <w:color w:val="000000" w:themeColor="text1"/>
            <w:szCs w:val="24"/>
            <w:shd w:val="clear" w:color="auto" w:fill="FFFFFF"/>
          </w:rPr>
          <m:t>i</m:t>
        </m:r>
      </m:oMath>
      <w:r w:rsidR="000525F2" w:rsidRPr="004B36B2">
        <w:rPr>
          <w:rFonts w:asciiTheme="majorBidi" w:hAnsiTheme="majorBidi" w:cstheme="majorBidi"/>
          <w:noProof/>
          <w:color w:val="000000" w:themeColor="text1"/>
          <w:szCs w:val="24"/>
          <w:shd w:val="clear" w:color="auto" w:fill="FFFFFF"/>
        </w:rPr>
        <w:t xml:space="preserve"> </w:t>
      </w:r>
      <w:r w:rsidR="00090BC2" w:rsidRPr="004B36B2">
        <w:rPr>
          <w:rFonts w:asciiTheme="majorBidi" w:hAnsiTheme="majorBidi" w:cstheme="majorBidi"/>
          <w:noProof/>
          <w:color w:val="000000" w:themeColor="text1"/>
          <w:szCs w:val="24"/>
          <w:shd w:val="clear" w:color="auto" w:fill="FFFFFF"/>
        </w:rPr>
        <w:t xml:space="preserve">migrants </w:t>
      </w:r>
      <w:r w:rsidR="000525F2" w:rsidRPr="004B36B2">
        <w:rPr>
          <w:rFonts w:asciiTheme="majorBidi" w:hAnsiTheme="majorBidi" w:cstheme="majorBidi"/>
          <w:color w:val="000000" w:themeColor="text1"/>
          <w:szCs w:val="24"/>
          <w:shd w:val="clear" w:color="auto" w:fill="FFFFFF"/>
        </w:rPr>
        <w:t xml:space="preserve">share in total national migrants </w:t>
      </w:r>
      <w:r w:rsidR="000525F2" w:rsidRPr="004B36B2">
        <w:rPr>
          <w:rFonts w:asciiTheme="majorBidi" w:hAnsiTheme="majorBidi" w:cstheme="majorBidi"/>
          <w:noProof/>
          <w:color w:val="000000" w:themeColor="text1"/>
          <w:szCs w:val="24"/>
          <w:shd w:val="clear" w:color="auto" w:fill="FFFFFF"/>
        </w:rPr>
        <w:t>to</w:t>
      </w:r>
      <w:r w:rsidR="000525F2" w:rsidRPr="004B36B2">
        <w:rPr>
          <w:rFonts w:asciiTheme="majorBidi" w:hAnsiTheme="majorBidi" w:cstheme="majorBidi"/>
          <w:color w:val="000000" w:themeColor="text1"/>
          <w:szCs w:val="24"/>
          <w:shd w:val="clear" w:color="auto" w:fill="FFFFFF"/>
        </w:rPr>
        <w:t xml:space="preserve"> destination </w:t>
      </w:r>
      <m:oMath>
        <m:r>
          <w:rPr>
            <w:rFonts w:ascii="Cambria Math" w:hAnsi="Cambria Math" w:cstheme="majorBidi"/>
            <w:color w:val="000000" w:themeColor="text1"/>
            <w:szCs w:val="24"/>
            <w:shd w:val="clear" w:color="auto" w:fill="FFFFFF"/>
          </w:rPr>
          <m:t>k</m:t>
        </m:r>
      </m:oMath>
      <w:r w:rsidR="000525F2" w:rsidRPr="004B36B2">
        <w:rPr>
          <w:rFonts w:asciiTheme="majorBidi" w:hAnsiTheme="majorBidi" w:cstheme="majorBidi"/>
          <w:color w:val="000000" w:themeColor="text1"/>
          <w:szCs w:val="24"/>
          <w:shd w:val="clear" w:color="auto" w:fill="FFFFFF"/>
        </w:rPr>
        <w:t xml:space="preserve"> in </w:t>
      </w:r>
      <w:r w:rsidR="00857166" w:rsidRPr="004B36B2">
        <w:rPr>
          <w:rFonts w:asciiTheme="majorBidi" w:hAnsiTheme="majorBidi" w:cstheme="majorBidi"/>
          <w:color w:val="000000" w:themeColor="text1"/>
          <w:szCs w:val="24"/>
          <w:shd w:val="clear" w:color="auto" w:fill="FFFFFF"/>
        </w:rPr>
        <w:t xml:space="preserve">the past (in </w:t>
      </w:r>
      <m:oMath>
        <m:r>
          <w:rPr>
            <w:rFonts w:ascii="Cambria Math" w:hAnsi="Cambria Math" w:cstheme="majorBidi"/>
            <w:color w:val="000000" w:themeColor="text1"/>
            <w:szCs w:val="24"/>
            <w:shd w:val="clear" w:color="auto" w:fill="FFFFFF"/>
          </w:rPr>
          <m:t>2001</m:t>
        </m:r>
      </m:oMath>
      <w:r w:rsidR="00857166" w:rsidRPr="004B36B2">
        <w:rPr>
          <w:rFonts w:asciiTheme="majorBidi" w:hAnsiTheme="majorBidi" w:cstheme="majorBidi"/>
          <w:color w:val="000000" w:themeColor="text1"/>
          <w:szCs w:val="24"/>
          <w:shd w:val="clear" w:color="auto" w:fill="FFFFFF"/>
        </w:rPr>
        <w:t xml:space="preserve"> in our case)</w:t>
      </w:r>
      <w:r w:rsidR="000525F2" w:rsidRPr="004B36B2">
        <w:rPr>
          <w:rFonts w:asciiTheme="majorBidi" w:hAnsiTheme="majorBidi" w:cstheme="majorBidi"/>
          <w:color w:val="000000" w:themeColor="text1"/>
          <w:szCs w:val="24"/>
          <w:shd w:val="clear" w:color="auto" w:fill="FFFFFF"/>
        </w:rPr>
        <w:t>.</w:t>
      </w:r>
      <w:r w:rsidR="00BC5A8D"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W</w:t>
      </w:r>
      <w:r w:rsidR="008947CC" w:rsidRPr="004B36B2">
        <w:rPr>
          <w:rFonts w:asciiTheme="majorBidi" w:hAnsiTheme="majorBidi" w:cstheme="majorBidi"/>
          <w:color w:val="000000" w:themeColor="text1"/>
          <w:szCs w:val="24"/>
          <w:shd w:val="clear" w:color="auto" w:fill="FFFFFF"/>
        </w:rPr>
        <w:t xml:space="preserve">e </w:t>
      </w:r>
      <w:r w:rsidR="008947CC" w:rsidRPr="004B36B2">
        <w:rPr>
          <w:rFonts w:asciiTheme="majorBidi" w:hAnsiTheme="majorBidi" w:cstheme="majorBidi"/>
          <w:noProof/>
          <w:color w:val="000000" w:themeColor="text1"/>
          <w:szCs w:val="24"/>
          <w:shd w:val="clear" w:color="auto" w:fill="FFFFFF"/>
        </w:rPr>
        <w:t>norm</w:t>
      </w:r>
      <w:r w:rsidR="008947CC" w:rsidRPr="004B36B2">
        <w:rPr>
          <w:rFonts w:asciiTheme="majorBidi" w:hAnsiTheme="majorBidi" w:cstheme="majorBidi"/>
          <w:color w:val="000000" w:themeColor="text1"/>
          <w:szCs w:val="24"/>
          <w:shd w:val="clear" w:color="auto" w:fill="FFFFFF"/>
        </w:rPr>
        <w:t xml:space="preserve">alize the </w:t>
      </w:r>
      <w:r w:rsidR="00335917" w:rsidRPr="004B36B2">
        <w:rPr>
          <w:rFonts w:asciiTheme="majorBidi" w:hAnsiTheme="majorBidi" w:cstheme="majorBidi"/>
          <w:color w:val="000000" w:themeColor="text1"/>
          <w:szCs w:val="24"/>
          <w:shd w:val="clear" w:color="auto" w:fill="FFFFFF"/>
        </w:rPr>
        <w:t xml:space="preserve">predicted </w:t>
      </w:r>
      <w:r w:rsidR="00857166" w:rsidRPr="004B36B2">
        <w:rPr>
          <w:rFonts w:asciiTheme="majorBidi" w:hAnsiTheme="majorBidi" w:cstheme="majorBidi"/>
          <w:color w:val="000000" w:themeColor="text1"/>
          <w:szCs w:val="24"/>
          <w:shd w:val="clear" w:color="auto" w:fill="FFFFFF"/>
        </w:rPr>
        <w:t xml:space="preserve">number of </w:t>
      </w:r>
      <w:r w:rsidR="00335917" w:rsidRPr="004B36B2">
        <w:rPr>
          <w:rFonts w:asciiTheme="majorBidi" w:hAnsiTheme="majorBidi" w:cstheme="majorBidi"/>
          <w:color w:val="000000" w:themeColor="text1"/>
          <w:szCs w:val="24"/>
          <w:shd w:val="clear" w:color="auto" w:fill="FFFFFF"/>
        </w:rPr>
        <w:t>migrant</w:t>
      </w:r>
      <w:r w:rsidR="00210529" w:rsidRPr="004B36B2">
        <w:rPr>
          <w:rFonts w:asciiTheme="majorBidi" w:hAnsiTheme="majorBidi" w:cstheme="majorBidi"/>
          <w:color w:val="000000" w:themeColor="text1"/>
          <w:szCs w:val="24"/>
          <w:shd w:val="clear" w:color="auto" w:fill="FFFFFF"/>
        </w:rPr>
        <w:t>s</w:t>
      </w:r>
      <w:r w:rsidR="00335917" w:rsidRPr="004B36B2">
        <w:rPr>
          <w:rFonts w:asciiTheme="majorBidi" w:hAnsiTheme="majorBidi" w:cstheme="majorBidi"/>
          <w:color w:val="000000" w:themeColor="text1"/>
          <w:szCs w:val="24"/>
          <w:shd w:val="clear" w:color="auto" w:fill="FFFFFF"/>
        </w:rPr>
        <w:t xml:space="preserve"> by dividing </w:t>
      </w:r>
      <m:oMath>
        <m:sSubSup>
          <m:sSubSupPr>
            <m:ctrlPr>
              <w:rPr>
                <w:rFonts w:ascii="Cambria Math" w:hAnsi="Cambria Math" w:cstheme="majorBidi"/>
                <w:i/>
                <w:color w:val="000000" w:themeColor="text1"/>
                <w:szCs w:val="24"/>
                <w:shd w:val="clear" w:color="auto" w:fill="FFFFFF"/>
              </w:rPr>
            </m:ctrlPr>
          </m:sSubSupPr>
          <m:e>
            <m:r>
              <w:rPr>
                <w:rFonts w:ascii="Cambria Math" w:hAnsi="Cambria Math" w:cstheme="majorBidi"/>
                <w:color w:val="000000" w:themeColor="text1"/>
                <w:szCs w:val="24"/>
                <w:shd w:val="clear" w:color="auto" w:fill="FFFFFF"/>
              </w:rPr>
              <m:t>M</m:t>
            </m:r>
          </m:e>
          <m:sub>
            <m:r>
              <w:rPr>
                <w:rFonts w:ascii="Cambria Math" w:hAnsi="Cambria Math" w:cstheme="majorBidi"/>
                <w:color w:val="000000" w:themeColor="text1"/>
                <w:szCs w:val="24"/>
                <w:shd w:val="clear" w:color="auto" w:fill="FFFFFF"/>
              </w:rPr>
              <m:t>ikt</m:t>
            </m:r>
          </m:sub>
          <m:sup>
            <m:r>
              <w:rPr>
                <w:rFonts w:ascii="Cambria Math" w:hAnsi="Cambria Math" w:cstheme="majorBidi"/>
                <w:color w:val="000000" w:themeColor="text1"/>
                <w:szCs w:val="24"/>
                <w:shd w:val="clear" w:color="auto" w:fill="FFFFFF"/>
              </w:rPr>
              <m:t>p</m:t>
            </m:r>
          </m:sup>
        </m:sSubSup>
      </m:oMath>
      <w:r w:rsidR="00DE4FD3" w:rsidRPr="004B36B2">
        <w:rPr>
          <w:rFonts w:asciiTheme="majorBidi" w:hAnsiTheme="majorBidi" w:cstheme="majorBidi"/>
          <w:color w:val="000000" w:themeColor="text1"/>
          <w:szCs w:val="24"/>
          <w:shd w:val="clear" w:color="auto" w:fill="FFFFFF"/>
        </w:rPr>
        <w:t xml:space="preserve"> by </w:t>
      </w:r>
      <w:r w:rsidR="00857166" w:rsidRPr="004B36B2">
        <w:rPr>
          <w:rFonts w:asciiTheme="majorBidi" w:hAnsiTheme="majorBidi" w:cstheme="majorBidi"/>
          <w:color w:val="000000" w:themeColor="text1"/>
          <w:szCs w:val="24"/>
          <w:shd w:val="clear" w:color="auto" w:fill="FFFFFF"/>
        </w:rPr>
        <w:t xml:space="preserve">the </w:t>
      </w:r>
      <w:r w:rsidR="00C7330D" w:rsidRPr="004B36B2">
        <w:rPr>
          <w:rFonts w:asciiTheme="majorBidi" w:hAnsiTheme="majorBidi" w:cstheme="majorBidi"/>
          <w:color w:val="000000" w:themeColor="text1"/>
          <w:szCs w:val="24"/>
          <w:shd w:val="clear" w:color="auto" w:fill="FFFFFF"/>
        </w:rPr>
        <w:t xml:space="preserve">total </w:t>
      </w:r>
      <w:r w:rsidR="0077754F" w:rsidRPr="004B36B2">
        <w:rPr>
          <w:rFonts w:asciiTheme="majorBidi" w:hAnsiTheme="majorBidi" w:cstheme="majorBidi"/>
          <w:color w:val="000000" w:themeColor="text1"/>
          <w:szCs w:val="24"/>
          <w:shd w:val="clear" w:color="auto" w:fill="FFFFFF"/>
        </w:rPr>
        <w:t xml:space="preserve">village </w:t>
      </w:r>
      <w:r w:rsidR="00C7330D" w:rsidRPr="004B36B2">
        <w:rPr>
          <w:rFonts w:asciiTheme="majorBidi" w:hAnsiTheme="majorBidi" w:cstheme="majorBidi"/>
          <w:color w:val="000000" w:themeColor="text1"/>
          <w:szCs w:val="24"/>
          <w:shd w:val="clear" w:color="auto" w:fill="FFFFFF"/>
        </w:rPr>
        <w:t>population</w:t>
      </w:r>
      <w:r w:rsidR="0077754F" w:rsidRPr="004B36B2">
        <w:rPr>
          <w:rFonts w:asciiTheme="majorBidi" w:hAnsiTheme="majorBidi" w:cstheme="majorBidi"/>
          <w:color w:val="000000" w:themeColor="text1"/>
          <w:szCs w:val="24"/>
          <w:shd w:val="clear" w:color="auto" w:fill="FFFFFF"/>
        </w:rPr>
        <w:t xml:space="preserve"> each year</w:t>
      </w:r>
      <w:r w:rsidR="006E6E83" w:rsidRPr="004B36B2">
        <w:rPr>
          <w:rFonts w:asciiTheme="majorBidi" w:hAnsiTheme="majorBidi" w:cstheme="majorBidi"/>
          <w:color w:val="000000" w:themeColor="text1"/>
          <w:szCs w:val="24"/>
          <w:shd w:val="clear" w:color="auto" w:fill="FFFFFF"/>
        </w:rPr>
        <w:t>.</w:t>
      </w:r>
      <w:r w:rsidR="00C7330D" w:rsidRPr="004B36B2">
        <w:rPr>
          <w:rFonts w:asciiTheme="majorBidi" w:hAnsiTheme="majorBidi" w:cstheme="majorBidi"/>
          <w:color w:val="000000" w:themeColor="text1"/>
          <w:szCs w:val="24"/>
          <w:shd w:val="clear" w:color="auto" w:fill="FFFFFF"/>
        </w:rPr>
        <w:t xml:space="preserve"> </w:t>
      </w:r>
      <w:r w:rsidR="008E2433" w:rsidRPr="004B36B2">
        <w:rPr>
          <w:rFonts w:asciiTheme="majorBidi" w:hAnsiTheme="majorBidi" w:cstheme="majorBidi"/>
          <w:color w:val="000000" w:themeColor="text1"/>
          <w:szCs w:val="24"/>
          <w:shd w:val="clear" w:color="auto" w:fill="FFFFFF"/>
        </w:rPr>
        <w:t>The performance of</w:t>
      </w:r>
      <w:r w:rsidR="00A505A0"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 xml:space="preserve">this IV </w:t>
      </w:r>
      <w:r w:rsidR="008E2433" w:rsidRPr="004B36B2">
        <w:rPr>
          <w:rFonts w:asciiTheme="majorBidi" w:hAnsiTheme="majorBidi" w:cstheme="majorBidi"/>
          <w:color w:val="000000" w:themeColor="text1"/>
          <w:szCs w:val="24"/>
          <w:shd w:val="clear" w:color="auto" w:fill="FFFFFF"/>
        </w:rPr>
        <w:t>d</w:t>
      </w:r>
      <w:r w:rsidR="00857166" w:rsidRPr="004B36B2">
        <w:rPr>
          <w:rFonts w:asciiTheme="majorBidi" w:hAnsiTheme="majorBidi" w:cstheme="majorBidi"/>
          <w:color w:val="000000" w:themeColor="text1"/>
          <w:szCs w:val="24"/>
          <w:shd w:val="clear" w:color="auto" w:fill="FFFFFF"/>
        </w:rPr>
        <w:t>epends</w:t>
      </w:r>
      <w:r w:rsidR="008E2433" w:rsidRPr="004B36B2">
        <w:rPr>
          <w:rFonts w:asciiTheme="majorBidi" w:hAnsiTheme="majorBidi" w:cstheme="majorBidi"/>
          <w:color w:val="000000" w:themeColor="text1"/>
          <w:szCs w:val="24"/>
          <w:shd w:val="clear" w:color="auto" w:fill="FFFFFF"/>
        </w:rPr>
        <w:t xml:space="preserve"> on the </w:t>
      </w:r>
      <w:r w:rsidR="004A50FC" w:rsidRPr="004B36B2">
        <w:rPr>
          <w:rFonts w:asciiTheme="majorBidi" w:hAnsiTheme="majorBidi" w:cstheme="majorBidi"/>
          <w:color w:val="000000" w:themeColor="text1"/>
          <w:szCs w:val="24"/>
          <w:shd w:val="clear" w:color="auto" w:fill="FFFFFF"/>
        </w:rPr>
        <w:t xml:space="preserve">stability of the </w:t>
      </w:r>
      <w:r w:rsidR="008E2433" w:rsidRPr="004B36B2">
        <w:rPr>
          <w:rFonts w:asciiTheme="majorBidi" w:hAnsiTheme="majorBidi" w:cstheme="majorBidi"/>
          <w:color w:val="000000" w:themeColor="text1"/>
          <w:szCs w:val="24"/>
          <w:shd w:val="clear" w:color="auto" w:fill="FFFFFF"/>
        </w:rPr>
        <w:t>distrib</w:t>
      </w:r>
      <w:r w:rsidR="008E2433" w:rsidRPr="004B36B2">
        <w:rPr>
          <w:rFonts w:asciiTheme="majorBidi" w:hAnsiTheme="majorBidi" w:cstheme="majorBidi"/>
          <w:noProof/>
          <w:color w:val="000000" w:themeColor="text1"/>
          <w:szCs w:val="24"/>
          <w:shd w:val="clear" w:color="auto" w:fill="FFFFFF"/>
        </w:rPr>
        <w:t>ution</w:t>
      </w:r>
      <w:r w:rsidR="008E2433" w:rsidRPr="004B36B2">
        <w:rPr>
          <w:rFonts w:asciiTheme="majorBidi" w:hAnsiTheme="majorBidi" w:cstheme="majorBidi"/>
          <w:color w:val="000000" w:themeColor="text1"/>
          <w:szCs w:val="24"/>
          <w:shd w:val="clear" w:color="auto" w:fill="FFFFFF"/>
        </w:rPr>
        <w:t xml:space="preserve"> </w:t>
      </w:r>
      <w:r w:rsidR="008E2433" w:rsidRPr="004B36B2">
        <w:rPr>
          <w:rFonts w:asciiTheme="majorBidi" w:hAnsiTheme="majorBidi" w:cstheme="majorBidi"/>
          <w:noProof/>
          <w:color w:val="000000" w:themeColor="text1"/>
          <w:szCs w:val="24"/>
          <w:shd w:val="clear" w:color="auto" w:fill="FFFFFF"/>
        </w:rPr>
        <w:t>of mig</w:t>
      </w:r>
      <w:r w:rsidR="00857166" w:rsidRPr="004B36B2">
        <w:rPr>
          <w:rFonts w:asciiTheme="majorBidi" w:hAnsiTheme="majorBidi" w:cstheme="majorBidi"/>
          <w:color w:val="000000" w:themeColor="text1"/>
          <w:szCs w:val="24"/>
          <w:shd w:val="clear" w:color="auto" w:fill="FFFFFF"/>
        </w:rPr>
        <w:t xml:space="preserve">rants across </w:t>
      </w:r>
      <w:r w:rsidR="008E2433" w:rsidRPr="004B36B2">
        <w:rPr>
          <w:rFonts w:asciiTheme="majorBidi" w:hAnsiTheme="majorBidi" w:cstheme="majorBidi"/>
          <w:color w:val="000000" w:themeColor="text1"/>
          <w:szCs w:val="24"/>
          <w:shd w:val="clear" w:color="auto" w:fill="FFFFFF"/>
        </w:rPr>
        <w:t>destination</w:t>
      </w:r>
      <w:r w:rsidR="00857166" w:rsidRPr="004B36B2">
        <w:rPr>
          <w:rFonts w:asciiTheme="majorBidi" w:hAnsiTheme="majorBidi" w:cstheme="majorBidi"/>
          <w:color w:val="000000" w:themeColor="text1"/>
          <w:szCs w:val="24"/>
          <w:shd w:val="clear" w:color="auto" w:fill="FFFFFF"/>
        </w:rPr>
        <w:t>s</w:t>
      </w:r>
      <w:r w:rsidR="008E2433" w:rsidRPr="004B36B2">
        <w:rPr>
          <w:rFonts w:asciiTheme="majorBidi" w:hAnsiTheme="majorBidi" w:cstheme="majorBidi"/>
          <w:color w:val="000000" w:themeColor="text1"/>
          <w:szCs w:val="24"/>
          <w:shd w:val="clear" w:color="auto" w:fill="FFFFFF"/>
        </w:rPr>
        <w:t xml:space="preserve"> over time</w:t>
      </w:r>
      <w:r w:rsidR="00857166" w:rsidRPr="004B36B2">
        <w:rPr>
          <w:rFonts w:asciiTheme="majorBidi" w:hAnsiTheme="majorBidi" w:cstheme="majorBidi"/>
          <w:color w:val="000000" w:themeColor="text1"/>
          <w:szCs w:val="24"/>
          <w:shd w:val="clear" w:color="auto" w:fill="FFFFFF"/>
        </w:rPr>
        <w:t xml:space="preserve"> </w:t>
      </w:r>
      <w:r w:rsidR="00623140" w:rsidRPr="004B36B2">
        <w:rPr>
          <w:rFonts w:asciiTheme="majorBidi" w:hAnsiTheme="majorBidi" w:cstheme="majorBidi"/>
          <w:color w:val="000000" w:themeColor="text1"/>
          <w:szCs w:val="24"/>
          <w:shd w:val="clear" w:color="auto" w:fill="FFFFFF"/>
        </w:rPr>
        <w:t>(Theoharides, 2018)</w:t>
      </w:r>
      <w:r w:rsidR="004A50FC"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 xml:space="preserve">For </w:t>
      </w:r>
      <w:r w:rsidR="00857166" w:rsidRPr="004B36B2">
        <w:rPr>
          <w:rFonts w:asciiTheme="majorBidi" w:hAnsiTheme="majorBidi" w:cstheme="majorBidi"/>
          <w:color w:val="000000" w:themeColor="text1"/>
          <w:szCs w:val="24"/>
          <w:shd w:val="clear" w:color="auto" w:fill="FFFFFF"/>
        </w:rPr>
        <w:lastRenderedPageBreak/>
        <w:t>Nepal’s</w:t>
      </w:r>
      <w:r w:rsidR="00300521" w:rsidRPr="004B36B2">
        <w:rPr>
          <w:rFonts w:asciiTheme="majorBidi" w:hAnsiTheme="majorBidi" w:cstheme="majorBidi"/>
          <w:color w:val="000000" w:themeColor="text1"/>
          <w:szCs w:val="24"/>
          <w:shd w:val="clear" w:color="auto" w:fill="FFFFFF"/>
        </w:rPr>
        <w:t xml:space="preserve"> five development regions</w:t>
      </w:r>
      <w:r w:rsidR="00857166" w:rsidRPr="004B36B2">
        <w:rPr>
          <w:rFonts w:asciiTheme="majorBidi" w:hAnsiTheme="majorBidi" w:cstheme="majorBidi"/>
          <w:color w:val="000000" w:themeColor="text1"/>
          <w:szCs w:val="24"/>
          <w:shd w:val="clear" w:color="auto" w:fill="FFFFFF"/>
        </w:rPr>
        <w:t>,</w:t>
      </w:r>
      <w:r w:rsidR="00300521" w:rsidRPr="004B36B2">
        <w:rPr>
          <w:rFonts w:asciiTheme="majorBidi" w:hAnsiTheme="majorBidi" w:cstheme="majorBidi"/>
          <w:color w:val="000000" w:themeColor="text1"/>
          <w:szCs w:val="24"/>
          <w:shd w:val="clear" w:color="auto" w:fill="FFFFFF"/>
        </w:rPr>
        <w:t xml:space="preserve"> </w:t>
      </w:r>
      <w:r w:rsidR="004A50FC" w:rsidRPr="004B36B2">
        <w:rPr>
          <w:rFonts w:asciiTheme="majorBidi" w:hAnsiTheme="majorBidi" w:cstheme="majorBidi"/>
          <w:color w:val="000000" w:themeColor="text1"/>
          <w:szCs w:val="24"/>
          <w:shd w:val="clear" w:color="auto" w:fill="FFFFFF"/>
        </w:rPr>
        <w:t xml:space="preserve">the migrants’ distribution </w:t>
      </w:r>
      <w:r w:rsidR="00857166" w:rsidRPr="004B36B2">
        <w:rPr>
          <w:rFonts w:asciiTheme="majorBidi" w:hAnsiTheme="majorBidi" w:cstheme="majorBidi"/>
          <w:color w:val="000000" w:themeColor="text1"/>
          <w:szCs w:val="24"/>
          <w:shd w:val="clear" w:color="auto" w:fill="FFFFFF"/>
        </w:rPr>
        <w:t xml:space="preserve">across destinations </w:t>
      </w:r>
      <w:r w:rsidR="004A50FC" w:rsidRPr="004B36B2">
        <w:rPr>
          <w:rFonts w:asciiTheme="majorBidi" w:hAnsiTheme="majorBidi" w:cstheme="majorBidi"/>
          <w:color w:val="000000" w:themeColor="text1"/>
          <w:szCs w:val="24"/>
          <w:shd w:val="clear" w:color="auto" w:fill="FFFFFF"/>
        </w:rPr>
        <w:t xml:space="preserve">is </w:t>
      </w:r>
      <w:r w:rsidR="004F7B2C" w:rsidRPr="004B36B2">
        <w:rPr>
          <w:rFonts w:asciiTheme="majorBidi" w:hAnsiTheme="majorBidi" w:cstheme="majorBidi"/>
          <w:color w:val="000000" w:themeColor="text1"/>
          <w:szCs w:val="24"/>
          <w:shd w:val="clear" w:color="auto" w:fill="FFFFFF"/>
        </w:rPr>
        <w:t>quite stable</w:t>
      </w:r>
      <w:r w:rsidR="00DC29E8" w:rsidRPr="004B36B2">
        <w:rPr>
          <w:rFonts w:asciiTheme="majorBidi" w:hAnsiTheme="majorBidi" w:cstheme="majorBidi"/>
          <w:color w:val="000000" w:themeColor="text1"/>
          <w:szCs w:val="24"/>
          <w:shd w:val="clear" w:color="auto" w:fill="FFFFFF"/>
        </w:rPr>
        <w:t xml:space="preserve">, </w:t>
      </w:r>
      <w:r w:rsidR="001676E8" w:rsidRPr="004B36B2">
        <w:rPr>
          <w:rFonts w:asciiTheme="majorBidi" w:hAnsiTheme="majorBidi" w:cstheme="majorBidi"/>
          <w:color w:val="000000" w:themeColor="text1"/>
          <w:szCs w:val="24"/>
          <w:shd w:val="clear" w:color="auto" w:fill="FFFFFF"/>
        </w:rPr>
        <w:t>for example</w:t>
      </w:r>
      <w:r w:rsidR="00121258" w:rsidRPr="004B36B2">
        <w:rPr>
          <w:rFonts w:asciiTheme="majorBidi" w:hAnsiTheme="majorBidi" w:cstheme="majorBidi"/>
          <w:color w:val="000000" w:themeColor="text1"/>
          <w:szCs w:val="24"/>
          <w:shd w:val="clear" w:color="auto" w:fill="FFFFFF"/>
        </w:rPr>
        <w:t>,</w:t>
      </w:r>
      <w:r w:rsidR="001676E8" w:rsidRPr="004B36B2">
        <w:rPr>
          <w:rFonts w:asciiTheme="majorBidi" w:hAnsiTheme="majorBidi" w:cstheme="majorBidi"/>
          <w:color w:val="000000" w:themeColor="text1"/>
          <w:szCs w:val="24"/>
          <w:shd w:val="clear" w:color="auto" w:fill="FFFFFF"/>
        </w:rPr>
        <w:t xml:space="preserve"> </w:t>
      </w:r>
      <w:r w:rsidR="005033C3" w:rsidRPr="004B36B2">
        <w:rPr>
          <w:rFonts w:asciiTheme="majorBidi" w:hAnsiTheme="majorBidi" w:cstheme="majorBidi"/>
          <w:color w:val="000000" w:themeColor="text1"/>
          <w:szCs w:val="24"/>
          <w:shd w:val="clear" w:color="auto" w:fill="FFFFFF"/>
        </w:rPr>
        <w:t xml:space="preserve">India is still a </w:t>
      </w:r>
      <w:r w:rsidR="00B9461E" w:rsidRPr="004B36B2">
        <w:rPr>
          <w:rFonts w:asciiTheme="majorBidi" w:hAnsiTheme="majorBidi" w:cstheme="majorBidi"/>
          <w:color w:val="000000" w:themeColor="text1"/>
          <w:szCs w:val="24"/>
          <w:shd w:val="clear" w:color="auto" w:fill="FFFFFF"/>
        </w:rPr>
        <w:t xml:space="preserve">favourite </w:t>
      </w:r>
      <w:r w:rsidR="005033C3" w:rsidRPr="004B36B2">
        <w:rPr>
          <w:rFonts w:asciiTheme="majorBidi" w:hAnsiTheme="majorBidi" w:cstheme="majorBidi"/>
          <w:color w:val="000000" w:themeColor="text1"/>
          <w:szCs w:val="24"/>
          <w:shd w:val="clear" w:color="auto" w:fill="FFFFFF"/>
        </w:rPr>
        <w:t xml:space="preserve">destination for </w:t>
      </w:r>
      <w:r w:rsidR="001676E8" w:rsidRPr="004B36B2">
        <w:rPr>
          <w:rFonts w:asciiTheme="majorBidi" w:hAnsiTheme="majorBidi" w:cstheme="majorBidi"/>
          <w:color w:val="000000" w:themeColor="text1"/>
          <w:szCs w:val="24"/>
          <w:shd w:val="clear" w:color="auto" w:fill="FFFFFF"/>
        </w:rPr>
        <w:t>people from mid-west and f</w:t>
      </w:r>
      <w:r w:rsidR="005033C3" w:rsidRPr="004B36B2">
        <w:rPr>
          <w:rFonts w:asciiTheme="majorBidi" w:hAnsiTheme="majorBidi" w:cstheme="majorBidi"/>
          <w:color w:val="000000" w:themeColor="text1"/>
          <w:szCs w:val="24"/>
          <w:shd w:val="clear" w:color="auto" w:fill="FFFFFF"/>
        </w:rPr>
        <w:t>ar-w</w:t>
      </w:r>
      <w:r w:rsidR="001676E8" w:rsidRPr="004B36B2">
        <w:rPr>
          <w:rFonts w:asciiTheme="majorBidi" w:hAnsiTheme="majorBidi" w:cstheme="majorBidi"/>
          <w:color w:val="000000" w:themeColor="text1"/>
          <w:szCs w:val="24"/>
          <w:shd w:val="clear" w:color="auto" w:fill="FFFFFF"/>
        </w:rPr>
        <w:t>est region</w:t>
      </w:r>
      <w:r w:rsidR="00905CCD" w:rsidRPr="004B36B2">
        <w:rPr>
          <w:rFonts w:asciiTheme="majorBidi" w:hAnsiTheme="majorBidi" w:cstheme="majorBidi"/>
          <w:color w:val="000000" w:themeColor="text1"/>
          <w:szCs w:val="24"/>
          <w:shd w:val="clear" w:color="auto" w:fill="FFFFFF"/>
        </w:rPr>
        <w:t>s</w:t>
      </w:r>
      <w:r w:rsidR="001676E8" w:rsidRPr="004B36B2">
        <w:rPr>
          <w:rFonts w:asciiTheme="majorBidi" w:hAnsiTheme="majorBidi" w:cstheme="majorBidi"/>
          <w:color w:val="000000" w:themeColor="text1"/>
          <w:szCs w:val="24"/>
          <w:shd w:val="clear" w:color="auto" w:fill="FFFFFF"/>
        </w:rPr>
        <w:t xml:space="preserve"> while relatively develope</w:t>
      </w:r>
      <w:r w:rsidR="00B9461E" w:rsidRPr="004B36B2">
        <w:rPr>
          <w:rFonts w:asciiTheme="majorBidi" w:hAnsiTheme="majorBidi" w:cstheme="majorBidi"/>
          <w:color w:val="000000" w:themeColor="text1"/>
          <w:szCs w:val="24"/>
          <w:shd w:val="clear" w:color="auto" w:fill="FFFFFF"/>
        </w:rPr>
        <w:t xml:space="preserve">d </w:t>
      </w:r>
      <w:r w:rsidR="001676E8" w:rsidRPr="004B36B2">
        <w:rPr>
          <w:rFonts w:asciiTheme="majorBidi" w:hAnsiTheme="majorBidi" w:cstheme="majorBidi"/>
          <w:color w:val="000000" w:themeColor="text1"/>
          <w:szCs w:val="24"/>
          <w:shd w:val="clear" w:color="auto" w:fill="FFFFFF"/>
        </w:rPr>
        <w:t>region</w:t>
      </w:r>
      <w:r w:rsidR="00121258" w:rsidRPr="004B36B2">
        <w:rPr>
          <w:rFonts w:asciiTheme="majorBidi" w:hAnsiTheme="majorBidi" w:cstheme="majorBidi"/>
          <w:color w:val="000000" w:themeColor="text1"/>
          <w:szCs w:val="24"/>
          <w:shd w:val="clear" w:color="auto" w:fill="FFFFFF"/>
        </w:rPr>
        <w:t>s</w:t>
      </w:r>
      <w:r w:rsidR="001676E8" w:rsidRPr="004B36B2">
        <w:rPr>
          <w:rFonts w:asciiTheme="majorBidi" w:hAnsiTheme="majorBidi" w:cstheme="majorBidi"/>
          <w:color w:val="000000" w:themeColor="text1"/>
          <w:szCs w:val="24"/>
          <w:shd w:val="clear" w:color="auto" w:fill="FFFFFF"/>
        </w:rPr>
        <w:t xml:space="preserve"> like central and eastern region</w:t>
      </w:r>
      <w:r w:rsidR="00121258" w:rsidRPr="004B36B2">
        <w:rPr>
          <w:rFonts w:asciiTheme="majorBidi" w:hAnsiTheme="majorBidi" w:cstheme="majorBidi"/>
          <w:color w:val="000000" w:themeColor="text1"/>
          <w:szCs w:val="24"/>
          <w:shd w:val="clear" w:color="auto" w:fill="FFFFFF"/>
        </w:rPr>
        <w:t>s</w:t>
      </w:r>
      <w:r w:rsidR="001676E8" w:rsidRPr="004B36B2">
        <w:rPr>
          <w:rFonts w:asciiTheme="majorBidi" w:hAnsiTheme="majorBidi" w:cstheme="majorBidi"/>
          <w:color w:val="000000" w:themeColor="text1"/>
          <w:szCs w:val="24"/>
          <w:shd w:val="clear" w:color="auto" w:fill="FFFFFF"/>
        </w:rPr>
        <w:t xml:space="preserve"> </w:t>
      </w:r>
      <w:r w:rsidR="00B9461E" w:rsidRPr="004B36B2">
        <w:rPr>
          <w:rFonts w:asciiTheme="majorBidi" w:hAnsiTheme="majorBidi" w:cstheme="majorBidi"/>
          <w:color w:val="000000" w:themeColor="text1"/>
          <w:szCs w:val="24"/>
          <w:shd w:val="clear" w:color="auto" w:fill="FFFFFF"/>
        </w:rPr>
        <w:t xml:space="preserve">prefer </w:t>
      </w:r>
      <w:r w:rsidR="001676E8" w:rsidRPr="004B36B2">
        <w:rPr>
          <w:rFonts w:asciiTheme="majorBidi" w:hAnsiTheme="majorBidi" w:cstheme="majorBidi"/>
          <w:color w:val="000000" w:themeColor="text1"/>
          <w:szCs w:val="24"/>
          <w:shd w:val="clear" w:color="auto" w:fill="FFFFFF"/>
        </w:rPr>
        <w:t>sending migrants to MEOA. T</w:t>
      </w:r>
      <w:r w:rsidR="006C1E55" w:rsidRPr="004B36B2">
        <w:rPr>
          <w:rFonts w:asciiTheme="majorBidi" w:hAnsiTheme="majorBidi" w:cstheme="majorBidi"/>
          <w:color w:val="000000" w:themeColor="text1"/>
          <w:szCs w:val="24"/>
          <w:shd w:val="clear" w:color="auto" w:fill="FFFFFF"/>
        </w:rPr>
        <w:t xml:space="preserve">he </w:t>
      </w:r>
      <w:r w:rsidR="00DC29E8" w:rsidRPr="004B36B2">
        <w:rPr>
          <w:rFonts w:asciiTheme="majorBidi" w:hAnsiTheme="majorBidi" w:cstheme="majorBidi"/>
          <w:color w:val="000000" w:themeColor="text1"/>
          <w:szCs w:val="24"/>
          <w:shd w:val="clear" w:color="auto" w:fill="FFFFFF"/>
        </w:rPr>
        <w:t xml:space="preserve">relationship </w:t>
      </w:r>
      <w:r w:rsidR="005033C3" w:rsidRPr="004B36B2">
        <w:rPr>
          <w:rFonts w:asciiTheme="majorBidi" w:hAnsiTheme="majorBidi" w:cstheme="majorBidi"/>
          <w:color w:val="000000" w:themeColor="text1"/>
          <w:szCs w:val="24"/>
          <w:shd w:val="clear" w:color="auto" w:fill="FFFFFF"/>
        </w:rPr>
        <w:t xml:space="preserve">between </w:t>
      </w:r>
      <w:r w:rsidR="00DC29E8" w:rsidRPr="004B36B2">
        <w:rPr>
          <w:rFonts w:asciiTheme="majorBidi" w:hAnsiTheme="majorBidi" w:cstheme="majorBidi"/>
          <w:color w:val="000000" w:themeColor="text1"/>
          <w:szCs w:val="24"/>
          <w:shd w:val="clear" w:color="auto" w:fill="FFFFFF"/>
        </w:rPr>
        <w:t xml:space="preserve">2001 and 2011 migrants share </w:t>
      </w:r>
      <w:r w:rsidR="004E46AE" w:rsidRPr="004B36B2">
        <w:rPr>
          <w:rFonts w:asciiTheme="majorBidi" w:hAnsiTheme="majorBidi" w:cstheme="majorBidi"/>
          <w:color w:val="000000" w:themeColor="text1"/>
          <w:szCs w:val="24"/>
          <w:shd w:val="clear" w:color="auto" w:fill="FFFFFF"/>
        </w:rPr>
        <w:t>(</w:t>
      </w:r>
      <w:r w:rsidR="00DC5A44" w:rsidRPr="004B36B2">
        <w:rPr>
          <w:rFonts w:asciiTheme="majorBidi" w:hAnsiTheme="majorBidi" w:cstheme="majorBidi"/>
          <w:color w:val="000000" w:themeColor="text1"/>
          <w:szCs w:val="24"/>
          <w:shd w:val="clear" w:color="auto" w:fill="FFFFFF"/>
        </w:rPr>
        <w:t>refer to</w:t>
      </w:r>
      <w:r w:rsidR="00B9461E"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F</w:t>
      </w:r>
      <w:r w:rsidR="00DC29E8" w:rsidRPr="004B36B2">
        <w:rPr>
          <w:rFonts w:asciiTheme="majorBidi" w:hAnsiTheme="majorBidi" w:cstheme="majorBidi"/>
          <w:color w:val="000000" w:themeColor="text1"/>
          <w:szCs w:val="24"/>
          <w:shd w:val="clear" w:color="auto" w:fill="FFFFFF"/>
        </w:rPr>
        <w:t>igure</w:t>
      </w:r>
      <w:r w:rsidR="00BB33AC">
        <w:rPr>
          <w:rFonts w:asciiTheme="majorBidi" w:hAnsiTheme="majorBidi" w:cstheme="majorBidi"/>
          <w:color w:val="000000" w:themeColor="text1"/>
          <w:szCs w:val="24"/>
          <w:shd w:val="clear" w:color="auto" w:fill="FFFFFF"/>
        </w:rPr>
        <w:t>s</w:t>
      </w:r>
      <w:r w:rsidR="00BC759A" w:rsidRPr="004B36B2">
        <w:rPr>
          <w:rFonts w:asciiTheme="majorBidi" w:hAnsiTheme="majorBidi" w:cstheme="majorBidi"/>
          <w:color w:val="000000" w:themeColor="text1"/>
          <w:szCs w:val="24"/>
          <w:shd w:val="clear" w:color="auto" w:fill="FFFFFF"/>
        </w:rPr>
        <w:t xml:space="preserve"> 1 and</w:t>
      </w:r>
      <w:r w:rsidR="00DC29E8" w:rsidRPr="004B36B2">
        <w:rPr>
          <w:rFonts w:asciiTheme="majorBidi" w:hAnsiTheme="majorBidi" w:cstheme="majorBidi"/>
          <w:color w:val="000000" w:themeColor="text1"/>
          <w:szCs w:val="24"/>
          <w:shd w:val="clear" w:color="auto" w:fill="FFFFFF"/>
        </w:rPr>
        <w:t xml:space="preserve"> </w:t>
      </w:r>
      <w:r w:rsidR="00857166" w:rsidRPr="004B36B2">
        <w:rPr>
          <w:rFonts w:asciiTheme="majorBidi" w:hAnsiTheme="majorBidi" w:cstheme="majorBidi"/>
          <w:color w:val="000000" w:themeColor="text1"/>
          <w:szCs w:val="24"/>
          <w:shd w:val="clear" w:color="auto" w:fill="FFFFFF"/>
        </w:rPr>
        <w:t>2)</w:t>
      </w:r>
      <w:r w:rsidR="00DC29E8" w:rsidRPr="004B36B2">
        <w:rPr>
          <w:rFonts w:asciiTheme="majorBidi" w:hAnsiTheme="majorBidi" w:cstheme="majorBidi"/>
          <w:color w:val="000000" w:themeColor="text1"/>
          <w:szCs w:val="24"/>
          <w:shd w:val="clear" w:color="auto" w:fill="FFFFFF"/>
        </w:rPr>
        <w:t xml:space="preserve"> is </w:t>
      </w:r>
      <w:r w:rsidR="00DE55C6" w:rsidRPr="004B36B2">
        <w:rPr>
          <w:rFonts w:asciiTheme="majorBidi" w:hAnsiTheme="majorBidi" w:cstheme="majorBidi"/>
          <w:color w:val="000000" w:themeColor="text1"/>
          <w:szCs w:val="24"/>
          <w:shd w:val="clear" w:color="auto" w:fill="FFFFFF"/>
        </w:rPr>
        <w:t xml:space="preserve">quite </w:t>
      </w:r>
      <w:r w:rsidR="00DC29E8" w:rsidRPr="004B36B2">
        <w:rPr>
          <w:rFonts w:asciiTheme="majorBidi" w:hAnsiTheme="majorBidi" w:cstheme="majorBidi"/>
          <w:color w:val="000000" w:themeColor="text1"/>
          <w:szCs w:val="24"/>
          <w:shd w:val="clear" w:color="auto" w:fill="FFFFFF"/>
        </w:rPr>
        <w:t>strong</w:t>
      </w:r>
      <w:r w:rsidR="00DE55C6" w:rsidRPr="004B36B2">
        <w:rPr>
          <w:rFonts w:asciiTheme="majorBidi" w:hAnsiTheme="majorBidi" w:cstheme="majorBidi"/>
          <w:color w:val="000000" w:themeColor="text1"/>
          <w:szCs w:val="24"/>
          <w:shd w:val="clear" w:color="auto" w:fill="FFFFFF"/>
        </w:rPr>
        <w:t>, as</w:t>
      </w:r>
      <w:r w:rsidR="001676E8" w:rsidRPr="004B36B2">
        <w:rPr>
          <w:rFonts w:asciiTheme="majorBidi" w:hAnsiTheme="majorBidi" w:cstheme="majorBidi"/>
          <w:color w:val="000000" w:themeColor="text1"/>
          <w:szCs w:val="24"/>
          <w:shd w:val="clear" w:color="auto" w:fill="FFFFFF"/>
        </w:rPr>
        <w:t xml:space="preserve"> village</w:t>
      </w:r>
      <w:r w:rsidR="00DE55C6" w:rsidRPr="004B36B2">
        <w:rPr>
          <w:rFonts w:asciiTheme="majorBidi" w:hAnsiTheme="majorBidi" w:cstheme="majorBidi"/>
          <w:color w:val="000000" w:themeColor="text1"/>
          <w:szCs w:val="24"/>
          <w:shd w:val="clear" w:color="auto" w:fill="FFFFFF"/>
        </w:rPr>
        <w:t>s</w:t>
      </w:r>
      <w:r w:rsidR="001676E8" w:rsidRPr="004B36B2">
        <w:rPr>
          <w:rFonts w:asciiTheme="majorBidi" w:hAnsiTheme="majorBidi" w:cstheme="majorBidi"/>
          <w:color w:val="000000" w:themeColor="text1"/>
          <w:szCs w:val="24"/>
          <w:shd w:val="clear" w:color="auto" w:fill="FFFFFF"/>
        </w:rPr>
        <w:t xml:space="preserve"> </w:t>
      </w:r>
      <w:r w:rsidR="005033C3" w:rsidRPr="004B36B2">
        <w:rPr>
          <w:rFonts w:asciiTheme="majorBidi" w:hAnsiTheme="majorBidi" w:cstheme="majorBidi"/>
          <w:color w:val="000000" w:themeColor="text1"/>
          <w:szCs w:val="24"/>
          <w:shd w:val="clear" w:color="auto" w:fill="FFFFFF"/>
        </w:rPr>
        <w:t>continue to send migrants to destination countr</w:t>
      </w:r>
      <w:r w:rsidR="00121258" w:rsidRPr="004B36B2">
        <w:rPr>
          <w:rFonts w:asciiTheme="majorBidi" w:hAnsiTheme="majorBidi" w:cstheme="majorBidi"/>
          <w:color w:val="000000" w:themeColor="text1"/>
          <w:szCs w:val="24"/>
          <w:shd w:val="clear" w:color="auto" w:fill="FFFFFF"/>
        </w:rPr>
        <w:t>ies</w:t>
      </w:r>
      <w:r w:rsidR="005033C3" w:rsidRPr="004B36B2">
        <w:rPr>
          <w:rFonts w:asciiTheme="majorBidi" w:hAnsiTheme="majorBidi" w:cstheme="majorBidi"/>
          <w:color w:val="000000" w:themeColor="text1"/>
          <w:szCs w:val="24"/>
          <w:shd w:val="clear" w:color="auto" w:fill="FFFFFF"/>
        </w:rPr>
        <w:t xml:space="preserve"> at s</w:t>
      </w:r>
      <w:r w:rsidR="00DE55C6" w:rsidRPr="004B36B2">
        <w:rPr>
          <w:rFonts w:asciiTheme="majorBidi" w:hAnsiTheme="majorBidi" w:cstheme="majorBidi"/>
          <w:color w:val="000000" w:themeColor="text1"/>
          <w:szCs w:val="24"/>
          <w:shd w:val="clear" w:color="auto" w:fill="FFFFFF"/>
        </w:rPr>
        <w:t>imilar rate</w:t>
      </w:r>
      <w:r w:rsidR="00963048" w:rsidRPr="004B36B2">
        <w:rPr>
          <w:rFonts w:asciiTheme="majorBidi" w:hAnsiTheme="majorBidi" w:cstheme="majorBidi"/>
          <w:color w:val="000000" w:themeColor="text1"/>
          <w:szCs w:val="24"/>
          <w:shd w:val="clear" w:color="auto" w:fill="FFFFFF"/>
        </w:rPr>
        <w:t>,</w:t>
      </w:r>
      <w:r w:rsidR="00DE55C6" w:rsidRPr="004B36B2">
        <w:rPr>
          <w:rFonts w:asciiTheme="majorBidi" w:hAnsiTheme="majorBidi" w:cstheme="majorBidi"/>
          <w:color w:val="000000" w:themeColor="text1"/>
          <w:szCs w:val="24"/>
          <w:shd w:val="clear" w:color="auto" w:fill="FFFFFF"/>
        </w:rPr>
        <w:t xml:space="preserve"> </w:t>
      </w:r>
      <w:r w:rsidR="003163CA" w:rsidRPr="004B36B2">
        <w:rPr>
          <w:rFonts w:asciiTheme="majorBidi" w:hAnsiTheme="majorBidi" w:cstheme="majorBidi"/>
          <w:color w:val="000000" w:themeColor="text1"/>
          <w:szCs w:val="24"/>
          <w:shd w:val="clear" w:color="auto" w:fill="FFFFFF"/>
        </w:rPr>
        <w:t xml:space="preserve">with </w:t>
      </w:r>
      <w:r w:rsidR="00963048" w:rsidRPr="004B36B2">
        <w:rPr>
          <w:rFonts w:asciiTheme="majorBidi" w:hAnsiTheme="majorBidi" w:cstheme="majorBidi"/>
          <w:color w:val="000000" w:themeColor="text1"/>
          <w:szCs w:val="24"/>
          <w:shd w:val="clear" w:color="auto" w:fill="FFFFFF"/>
        </w:rPr>
        <w:t>just a small fall for I</w:t>
      </w:r>
      <w:r w:rsidR="003163CA" w:rsidRPr="004B36B2">
        <w:rPr>
          <w:rFonts w:asciiTheme="majorBidi" w:hAnsiTheme="majorBidi" w:cstheme="majorBidi"/>
          <w:color w:val="000000" w:themeColor="text1"/>
          <w:szCs w:val="24"/>
          <w:shd w:val="clear" w:color="auto" w:fill="FFFFFF"/>
        </w:rPr>
        <w:t xml:space="preserve">ndia and </w:t>
      </w:r>
      <w:r w:rsidR="00963048" w:rsidRPr="004B36B2">
        <w:rPr>
          <w:rFonts w:asciiTheme="majorBidi" w:hAnsiTheme="majorBidi" w:cstheme="majorBidi"/>
          <w:color w:val="000000" w:themeColor="text1"/>
          <w:szCs w:val="24"/>
          <w:shd w:val="clear" w:color="auto" w:fill="FFFFFF"/>
        </w:rPr>
        <w:t xml:space="preserve">a </w:t>
      </w:r>
      <w:r w:rsidR="003163CA" w:rsidRPr="004B36B2">
        <w:rPr>
          <w:rFonts w:asciiTheme="majorBidi" w:hAnsiTheme="majorBidi" w:cstheme="majorBidi"/>
          <w:color w:val="000000" w:themeColor="text1"/>
          <w:szCs w:val="24"/>
          <w:shd w:val="clear" w:color="auto" w:fill="FFFFFF"/>
        </w:rPr>
        <w:t>rise for MEOA</w:t>
      </w:r>
      <w:r w:rsidR="005033C3" w:rsidRPr="004B36B2">
        <w:rPr>
          <w:rFonts w:asciiTheme="majorBidi" w:hAnsiTheme="majorBidi" w:cstheme="majorBidi"/>
          <w:color w:val="000000" w:themeColor="text1"/>
          <w:szCs w:val="24"/>
          <w:shd w:val="clear" w:color="auto" w:fill="FFFFFF"/>
        </w:rPr>
        <w:t xml:space="preserve">. </w:t>
      </w:r>
      <w:r w:rsidR="00DF68C3" w:rsidRPr="004B36B2">
        <w:rPr>
          <w:rFonts w:asciiTheme="majorBidi" w:hAnsiTheme="majorBidi" w:cstheme="majorBidi"/>
          <w:color w:val="000000" w:themeColor="text1"/>
          <w:szCs w:val="24"/>
          <w:shd w:val="clear" w:color="auto" w:fill="FFFFFF"/>
        </w:rPr>
        <w:t xml:space="preserve">Therefore, we believe that </w:t>
      </w:r>
      <w:r w:rsidR="00B9461E" w:rsidRPr="004B36B2">
        <w:rPr>
          <w:rFonts w:asciiTheme="majorBidi" w:hAnsiTheme="majorBidi" w:cstheme="majorBidi"/>
          <w:color w:val="000000" w:themeColor="text1"/>
          <w:szCs w:val="24"/>
          <w:shd w:val="clear" w:color="auto" w:fill="FFFFFF"/>
        </w:rPr>
        <w:t>our instrument</w:t>
      </w:r>
      <w:r w:rsidR="00121258" w:rsidRPr="004B36B2">
        <w:rPr>
          <w:rFonts w:asciiTheme="majorBidi" w:hAnsiTheme="majorBidi" w:cstheme="majorBidi"/>
          <w:color w:val="000000" w:themeColor="text1"/>
          <w:szCs w:val="24"/>
          <w:shd w:val="clear" w:color="auto" w:fill="FFFFFF"/>
        </w:rPr>
        <w:t>s</w:t>
      </w:r>
      <w:r w:rsidR="00B9461E" w:rsidRPr="004B36B2">
        <w:rPr>
          <w:rFonts w:asciiTheme="majorBidi" w:hAnsiTheme="majorBidi" w:cstheme="majorBidi"/>
          <w:color w:val="000000" w:themeColor="text1"/>
          <w:szCs w:val="24"/>
          <w:shd w:val="clear" w:color="auto" w:fill="FFFFFF"/>
        </w:rPr>
        <w:t xml:space="preserve"> are</w:t>
      </w:r>
      <w:r w:rsidR="004B6F64" w:rsidRPr="004B36B2">
        <w:rPr>
          <w:rFonts w:asciiTheme="majorBidi" w:hAnsiTheme="majorBidi" w:cstheme="majorBidi"/>
          <w:color w:val="000000" w:themeColor="text1"/>
          <w:szCs w:val="24"/>
          <w:shd w:val="clear" w:color="auto" w:fill="FFFFFF"/>
        </w:rPr>
        <w:t xml:space="preserve"> </w:t>
      </w:r>
      <w:r w:rsidR="006E6E83" w:rsidRPr="004B36B2">
        <w:rPr>
          <w:rFonts w:asciiTheme="majorBidi" w:hAnsiTheme="majorBidi" w:cstheme="majorBidi"/>
          <w:color w:val="000000" w:themeColor="text1"/>
          <w:szCs w:val="24"/>
          <w:shd w:val="clear" w:color="auto" w:fill="FFFFFF"/>
        </w:rPr>
        <w:t xml:space="preserve">reasonably </w:t>
      </w:r>
      <w:r w:rsidR="004B6F64" w:rsidRPr="004B36B2">
        <w:rPr>
          <w:rFonts w:asciiTheme="majorBidi" w:hAnsiTheme="majorBidi" w:cstheme="majorBidi"/>
          <w:color w:val="000000" w:themeColor="text1"/>
          <w:szCs w:val="24"/>
          <w:shd w:val="clear" w:color="auto" w:fill="FFFFFF"/>
        </w:rPr>
        <w:t>good pred</w:t>
      </w:r>
      <w:r w:rsidR="004B6F64" w:rsidRPr="004B36B2">
        <w:rPr>
          <w:rFonts w:asciiTheme="majorBidi" w:hAnsiTheme="majorBidi" w:cstheme="majorBidi"/>
          <w:noProof/>
          <w:color w:val="000000" w:themeColor="text1"/>
          <w:szCs w:val="24"/>
          <w:shd w:val="clear" w:color="auto" w:fill="FFFFFF"/>
        </w:rPr>
        <w:t>ictor</w:t>
      </w:r>
      <w:r w:rsidR="00DE55C6" w:rsidRPr="004B36B2">
        <w:rPr>
          <w:rFonts w:asciiTheme="majorBidi" w:hAnsiTheme="majorBidi" w:cstheme="majorBidi"/>
          <w:noProof/>
          <w:color w:val="000000" w:themeColor="text1"/>
          <w:szCs w:val="24"/>
          <w:shd w:val="clear" w:color="auto" w:fill="FFFFFF"/>
        </w:rPr>
        <w:t>s</w:t>
      </w:r>
      <w:r w:rsidR="004B6F64" w:rsidRPr="004B36B2">
        <w:rPr>
          <w:rFonts w:asciiTheme="majorBidi" w:hAnsiTheme="majorBidi" w:cstheme="majorBidi"/>
          <w:noProof/>
          <w:color w:val="000000" w:themeColor="text1"/>
          <w:szCs w:val="24"/>
          <w:shd w:val="clear" w:color="auto" w:fill="FFFFFF"/>
        </w:rPr>
        <w:t xml:space="preserve"> of </w:t>
      </w:r>
      <w:r w:rsidR="00DE55C6" w:rsidRPr="004B36B2">
        <w:rPr>
          <w:rFonts w:asciiTheme="majorBidi" w:hAnsiTheme="majorBidi" w:cstheme="majorBidi"/>
          <w:noProof/>
          <w:color w:val="000000" w:themeColor="text1"/>
          <w:szCs w:val="24"/>
          <w:shd w:val="clear" w:color="auto" w:fill="FFFFFF"/>
        </w:rPr>
        <w:t xml:space="preserve">the </w:t>
      </w:r>
      <w:r w:rsidR="004B6F64" w:rsidRPr="004B36B2">
        <w:rPr>
          <w:rFonts w:asciiTheme="majorBidi" w:hAnsiTheme="majorBidi" w:cstheme="majorBidi"/>
          <w:color w:val="000000" w:themeColor="text1"/>
          <w:szCs w:val="24"/>
          <w:shd w:val="clear" w:color="auto" w:fill="FFFFFF"/>
        </w:rPr>
        <w:t xml:space="preserve">actual migration rate. </w:t>
      </w:r>
      <w:r w:rsidR="00FA71FC" w:rsidRPr="004B36B2">
        <w:rPr>
          <w:rFonts w:asciiTheme="majorBidi" w:hAnsiTheme="majorBidi" w:cstheme="majorBidi"/>
          <w:color w:val="000000" w:themeColor="text1"/>
          <w:szCs w:val="24"/>
          <w:shd w:val="clear" w:color="auto" w:fill="FFFFFF"/>
        </w:rPr>
        <w:t xml:space="preserve">We distinguish </w:t>
      </w:r>
      <w:r w:rsidR="00DE55C6" w:rsidRPr="004B36B2">
        <w:rPr>
          <w:rFonts w:asciiTheme="majorBidi" w:hAnsiTheme="majorBidi" w:cstheme="majorBidi"/>
          <w:color w:val="000000" w:themeColor="text1"/>
          <w:szCs w:val="24"/>
          <w:shd w:val="clear" w:color="auto" w:fill="FFFFFF"/>
        </w:rPr>
        <w:t xml:space="preserve">between the </w:t>
      </w:r>
      <w:r w:rsidR="00FA71FC" w:rsidRPr="004B36B2">
        <w:rPr>
          <w:rFonts w:asciiTheme="majorBidi" w:hAnsiTheme="majorBidi" w:cstheme="majorBidi"/>
          <w:color w:val="000000" w:themeColor="text1"/>
          <w:szCs w:val="24"/>
          <w:shd w:val="clear" w:color="auto" w:fill="FFFFFF"/>
        </w:rPr>
        <w:t xml:space="preserve">predicted </w:t>
      </w:r>
      <w:r w:rsidR="007D636A" w:rsidRPr="004B36B2">
        <w:rPr>
          <w:rFonts w:asciiTheme="majorBidi" w:hAnsiTheme="majorBidi" w:cstheme="majorBidi"/>
          <w:color w:val="000000" w:themeColor="text1"/>
          <w:szCs w:val="24"/>
          <w:shd w:val="clear" w:color="auto" w:fill="FFFFFF"/>
        </w:rPr>
        <w:t>migration</w:t>
      </w:r>
      <w:r w:rsidR="00FA71FC" w:rsidRPr="004B36B2">
        <w:rPr>
          <w:rFonts w:asciiTheme="majorBidi" w:hAnsiTheme="majorBidi" w:cstheme="majorBidi"/>
          <w:color w:val="000000" w:themeColor="text1"/>
          <w:szCs w:val="24"/>
          <w:shd w:val="clear" w:color="auto" w:fill="FFFFFF"/>
        </w:rPr>
        <w:t xml:space="preserve"> rate to India a</w:t>
      </w:r>
      <w:r w:rsidR="00ED7193" w:rsidRPr="004B36B2">
        <w:rPr>
          <w:rFonts w:asciiTheme="majorBidi" w:hAnsiTheme="majorBidi" w:cstheme="majorBidi"/>
          <w:color w:val="000000" w:themeColor="text1"/>
          <w:szCs w:val="24"/>
          <w:shd w:val="clear" w:color="auto" w:fill="FFFFFF"/>
        </w:rPr>
        <w:t xml:space="preserve">nd </w:t>
      </w:r>
      <w:r w:rsidR="00963048" w:rsidRPr="004B36B2">
        <w:rPr>
          <w:rFonts w:asciiTheme="majorBidi" w:hAnsiTheme="majorBidi" w:cstheme="majorBidi"/>
          <w:color w:val="000000" w:themeColor="text1"/>
          <w:szCs w:val="24"/>
          <w:shd w:val="clear" w:color="auto" w:fill="FFFFFF"/>
        </w:rPr>
        <w:t xml:space="preserve">the predicted migration rate </w:t>
      </w:r>
      <w:r w:rsidR="00DE55C6" w:rsidRPr="004B36B2">
        <w:rPr>
          <w:rFonts w:asciiTheme="majorBidi" w:hAnsiTheme="majorBidi" w:cstheme="majorBidi"/>
          <w:color w:val="000000" w:themeColor="text1"/>
          <w:szCs w:val="24"/>
          <w:shd w:val="clear" w:color="auto" w:fill="FFFFFF"/>
        </w:rPr>
        <w:t xml:space="preserve">to </w:t>
      </w:r>
      <w:r w:rsidR="000525F2" w:rsidRPr="004B36B2">
        <w:rPr>
          <w:rFonts w:asciiTheme="majorBidi" w:hAnsiTheme="majorBidi" w:cstheme="majorBidi"/>
          <w:color w:val="000000" w:themeColor="text1"/>
          <w:szCs w:val="24"/>
          <w:shd w:val="clear" w:color="auto" w:fill="FFFFFF"/>
        </w:rPr>
        <w:t>MEOA</w:t>
      </w:r>
      <w:r w:rsidR="00963048" w:rsidRPr="004B36B2">
        <w:rPr>
          <w:rFonts w:asciiTheme="majorBidi" w:hAnsiTheme="majorBidi" w:cstheme="majorBidi"/>
          <w:color w:val="000000" w:themeColor="text1"/>
          <w:szCs w:val="24"/>
          <w:shd w:val="clear" w:color="auto" w:fill="FFFFFF"/>
        </w:rPr>
        <w:t>,</w:t>
      </w:r>
      <w:r w:rsidR="000525F2" w:rsidRPr="004B36B2">
        <w:rPr>
          <w:rFonts w:asciiTheme="majorBidi" w:hAnsiTheme="majorBidi" w:cstheme="majorBidi"/>
          <w:color w:val="000000" w:themeColor="text1"/>
          <w:szCs w:val="24"/>
          <w:shd w:val="clear" w:color="auto" w:fill="FFFFFF"/>
        </w:rPr>
        <w:t xml:space="preserve"> </w:t>
      </w:r>
      <w:r w:rsidR="006E6E83" w:rsidRPr="004B36B2">
        <w:rPr>
          <w:rFonts w:asciiTheme="majorBidi" w:hAnsiTheme="majorBidi" w:cstheme="majorBidi"/>
          <w:color w:val="000000" w:themeColor="text1"/>
          <w:szCs w:val="24"/>
          <w:shd w:val="clear" w:color="auto" w:fill="FFFFFF"/>
        </w:rPr>
        <w:t xml:space="preserve">considering that </w:t>
      </w:r>
      <w:r w:rsidR="00ED7193" w:rsidRPr="004B36B2">
        <w:rPr>
          <w:rFonts w:asciiTheme="majorBidi" w:hAnsiTheme="majorBidi" w:cstheme="majorBidi"/>
          <w:color w:val="000000" w:themeColor="text1"/>
          <w:szCs w:val="24"/>
          <w:shd w:val="clear" w:color="auto" w:fill="FFFFFF"/>
        </w:rPr>
        <w:t xml:space="preserve">these two are the </w:t>
      </w:r>
      <w:r w:rsidR="00306D1B" w:rsidRPr="004B36B2">
        <w:rPr>
          <w:rFonts w:asciiTheme="majorBidi" w:hAnsiTheme="majorBidi" w:cstheme="majorBidi"/>
          <w:color w:val="000000" w:themeColor="text1"/>
          <w:szCs w:val="24"/>
          <w:shd w:val="clear" w:color="auto" w:fill="FFFFFF"/>
        </w:rPr>
        <w:t xml:space="preserve">major </w:t>
      </w:r>
      <w:r w:rsidR="00440ACC" w:rsidRPr="004B36B2">
        <w:rPr>
          <w:rFonts w:asciiTheme="majorBidi" w:hAnsiTheme="majorBidi" w:cstheme="majorBidi"/>
          <w:color w:val="000000" w:themeColor="text1"/>
          <w:szCs w:val="24"/>
          <w:shd w:val="clear" w:color="auto" w:fill="FFFFFF"/>
        </w:rPr>
        <w:t xml:space="preserve">migrants’ </w:t>
      </w:r>
      <w:r w:rsidR="00306D1B" w:rsidRPr="004B36B2">
        <w:rPr>
          <w:rFonts w:asciiTheme="majorBidi" w:hAnsiTheme="majorBidi" w:cstheme="majorBidi"/>
          <w:color w:val="000000" w:themeColor="text1"/>
          <w:szCs w:val="24"/>
          <w:shd w:val="clear" w:color="auto" w:fill="FFFFFF"/>
        </w:rPr>
        <w:t>destination</w:t>
      </w:r>
      <w:r w:rsidR="00121258" w:rsidRPr="004B36B2">
        <w:rPr>
          <w:rFonts w:asciiTheme="majorBidi" w:hAnsiTheme="majorBidi" w:cstheme="majorBidi"/>
          <w:color w:val="000000" w:themeColor="text1"/>
          <w:szCs w:val="24"/>
          <w:shd w:val="clear" w:color="auto" w:fill="FFFFFF"/>
        </w:rPr>
        <w:t>s</w:t>
      </w:r>
      <w:r w:rsidR="00306D1B" w:rsidRPr="004B36B2">
        <w:rPr>
          <w:rFonts w:asciiTheme="majorBidi" w:hAnsiTheme="majorBidi" w:cstheme="majorBidi"/>
          <w:color w:val="000000" w:themeColor="text1"/>
          <w:szCs w:val="24"/>
          <w:shd w:val="clear" w:color="auto" w:fill="FFFFFF"/>
        </w:rPr>
        <w:t xml:space="preserve"> </w:t>
      </w:r>
      <w:r w:rsidR="00DE55C6" w:rsidRPr="004B36B2">
        <w:rPr>
          <w:rFonts w:asciiTheme="majorBidi" w:hAnsiTheme="majorBidi" w:cstheme="majorBidi"/>
          <w:color w:val="000000" w:themeColor="text1"/>
          <w:szCs w:val="24"/>
          <w:shd w:val="clear" w:color="auto" w:fill="FFFFFF"/>
        </w:rPr>
        <w:t xml:space="preserve">for </w:t>
      </w:r>
      <w:r w:rsidR="00306D1B" w:rsidRPr="004B36B2">
        <w:rPr>
          <w:rFonts w:asciiTheme="majorBidi" w:hAnsiTheme="majorBidi" w:cstheme="majorBidi"/>
          <w:color w:val="000000" w:themeColor="text1"/>
          <w:szCs w:val="24"/>
          <w:shd w:val="clear" w:color="auto" w:fill="FFFFFF"/>
        </w:rPr>
        <w:t>Nepal</w:t>
      </w:r>
      <w:r w:rsidR="00ED7193" w:rsidRPr="004B36B2">
        <w:rPr>
          <w:rFonts w:asciiTheme="majorBidi" w:hAnsiTheme="majorBidi" w:cstheme="majorBidi"/>
          <w:color w:val="000000" w:themeColor="text1"/>
          <w:szCs w:val="24"/>
          <w:shd w:val="clear" w:color="auto" w:fill="FFFFFF"/>
        </w:rPr>
        <w:t>.</w:t>
      </w:r>
      <w:r w:rsidR="00A45108" w:rsidRPr="004B36B2">
        <w:rPr>
          <w:rFonts w:asciiTheme="majorBidi" w:hAnsiTheme="majorBidi" w:cstheme="majorBidi"/>
          <w:color w:val="000000" w:themeColor="text1"/>
          <w:szCs w:val="24"/>
          <w:shd w:val="clear" w:color="auto" w:fill="FFFFFF"/>
        </w:rPr>
        <w:t xml:space="preserve"> </w:t>
      </w:r>
    </w:p>
    <w:p w14:paraId="12B4DFE7" w14:textId="77777777" w:rsidR="00D10D8B" w:rsidRDefault="00D10D8B" w:rsidP="00D10D8B">
      <w:pPr>
        <w:spacing w:line="288" w:lineRule="auto"/>
        <w:jc w:val="both"/>
        <w:rPr>
          <w:rFonts w:asciiTheme="majorBidi" w:hAnsiTheme="majorBidi" w:cstheme="majorBidi"/>
          <w:color w:val="000000" w:themeColor="text1"/>
          <w:szCs w:val="24"/>
          <w:shd w:val="clear" w:color="auto" w:fill="FFFFFF"/>
        </w:rPr>
      </w:pPr>
    </w:p>
    <w:p w14:paraId="7238E029" w14:textId="05D414EC" w:rsidR="00101417" w:rsidRPr="00206B37" w:rsidRDefault="00B15C4B" w:rsidP="00B15C4B">
      <w:pPr>
        <w:spacing w:line="288" w:lineRule="auto"/>
        <w:jc w:val="center"/>
        <w:rPr>
          <w:rFonts w:asciiTheme="majorBidi" w:hAnsiTheme="majorBidi" w:cstheme="majorBidi"/>
          <w:color w:val="000000" w:themeColor="text1"/>
          <w:sz w:val="22"/>
          <w:shd w:val="clear" w:color="auto" w:fill="FFFFFF"/>
        </w:rPr>
      </w:pPr>
      <w:r w:rsidRPr="00206B37">
        <w:rPr>
          <w:rFonts w:asciiTheme="majorBidi" w:eastAsia="Times New Roman" w:hAnsiTheme="majorBidi" w:cstheme="majorBidi"/>
          <w:b/>
          <w:color w:val="000000" w:themeColor="text1"/>
          <w:sz w:val="22"/>
          <w:lang w:val="en-AU"/>
        </w:rPr>
        <w:t xml:space="preserve">Figure 1: (a) </w:t>
      </w:r>
      <w:r w:rsidRPr="00206B37">
        <w:rPr>
          <w:rFonts w:asciiTheme="majorBidi" w:hAnsiTheme="majorBidi" w:cstheme="majorBidi"/>
          <w:b/>
          <w:color w:val="000000" w:themeColor="text1"/>
          <w:sz w:val="22"/>
        </w:rPr>
        <w:t>Migrants Share in India and MEOA</w:t>
      </w:r>
    </w:p>
    <w:p w14:paraId="06309BF8" w14:textId="11DC25C1" w:rsidR="00B15C4B" w:rsidRDefault="002B123D" w:rsidP="00B15C4B">
      <w:pPr>
        <w:spacing w:line="288" w:lineRule="auto"/>
        <w:jc w:val="center"/>
        <w:rPr>
          <w:rFonts w:asciiTheme="majorBidi" w:hAnsiTheme="majorBidi" w:cstheme="majorBidi"/>
          <w:color w:val="000000" w:themeColor="text1"/>
          <w:szCs w:val="24"/>
          <w:shd w:val="clear" w:color="auto" w:fill="FFFFFF"/>
        </w:rPr>
      </w:pPr>
      <w:r w:rsidRPr="004B36B2">
        <w:rPr>
          <w:rFonts w:asciiTheme="majorBidi" w:eastAsia="Times New Roman" w:hAnsiTheme="majorBidi" w:cstheme="majorBidi"/>
          <w:bCs/>
          <w:noProof/>
          <w:color w:val="000000" w:themeColor="text1"/>
        </w:rPr>
        <w:drawing>
          <wp:inline distT="0" distB="0" distL="0" distR="0" wp14:anchorId="18BA9738" wp14:editId="0807CA20">
            <wp:extent cx="5334000" cy="2914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sh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1300" cy="3050067"/>
                    </a:xfrm>
                    <a:prstGeom prst="rect">
                      <a:avLst/>
                    </a:prstGeom>
                  </pic:spPr>
                </pic:pic>
              </a:graphicData>
            </a:graphic>
          </wp:inline>
        </w:drawing>
      </w:r>
    </w:p>
    <w:p w14:paraId="45A11A7B" w14:textId="05EDC8BB" w:rsidR="00B15C4B" w:rsidRPr="00206B37" w:rsidRDefault="00BB31E2" w:rsidP="00D10D8B">
      <w:pPr>
        <w:spacing w:line="288" w:lineRule="auto"/>
        <w:jc w:val="center"/>
        <w:rPr>
          <w:rFonts w:asciiTheme="majorBidi" w:hAnsiTheme="majorBidi" w:cstheme="majorBidi"/>
          <w:color w:val="000000" w:themeColor="text1"/>
          <w:sz w:val="22"/>
          <w:shd w:val="clear" w:color="auto" w:fill="FFFFFF"/>
        </w:rPr>
      </w:pPr>
      <w:r w:rsidRPr="00206B37">
        <w:rPr>
          <w:rFonts w:asciiTheme="majorBidi" w:eastAsia="Times New Roman" w:hAnsiTheme="majorBidi" w:cstheme="majorBidi"/>
          <w:b/>
          <w:color w:val="000000" w:themeColor="text1"/>
          <w:sz w:val="22"/>
          <w:lang w:val="en-AU"/>
        </w:rPr>
        <w:t>(b)</w:t>
      </w:r>
      <w:r w:rsidRPr="00206B37">
        <w:rPr>
          <w:rFonts w:asciiTheme="majorBidi" w:hAnsiTheme="majorBidi" w:cstheme="majorBidi"/>
          <w:b/>
          <w:color w:val="000000" w:themeColor="text1"/>
          <w:sz w:val="22"/>
        </w:rPr>
        <w:t xml:space="preserve"> Mean of Migration Rate</w:t>
      </w:r>
    </w:p>
    <w:p w14:paraId="258ACBA5" w14:textId="5EE1596D" w:rsidR="000D6BF4" w:rsidRPr="004B36B2" w:rsidRDefault="003D66F8" w:rsidP="00D10D8B">
      <w:pPr>
        <w:spacing w:line="288" w:lineRule="auto"/>
        <w:jc w:val="center"/>
        <w:rPr>
          <w:rFonts w:asciiTheme="majorBidi" w:hAnsiTheme="majorBidi" w:cstheme="majorBidi"/>
          <w:color w:val="000000" w:themeColor="text1"/>
          <w:szCs w:val="24"/>
          <w:shd w:val="clear" w:color="auto" w:fill="FFFFFF"/>
        </w:rPr>
      </w:pPr>
      <w:r w:rsidRPr="004B36B2">
        <w:rPr>
          <w:rFonts w:asciiTheme="majorBidi" w:eastAsia="Times New Roman" w:hAnsiTheme="majorBidi" w:cstheme="majorBidi"/>
          <w:bCs/>
          <w:noProof/>
          <w:color w:val="000000" w:themeColor="text1"/>
        </w:rPr>
        <w:drawing>
          <wp:inline distT="0" distB="0" distL="0" distR="0" wp14:anchorId="51FB8C3F" wp14:editId="7D03B462">
            <wp:extent cx="5305425" cy="3086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g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4898" cy="3248666"/>
                    </a:xfrm>
                    <a:prstGeom prst="rect">
                      <a:avLst/>
                    </a:prstGeom>
                  </pic:spPr>
                </pic:pic>
              </a:graphicData>
            </a:graphic>
          </wp:inline>
        </w:drawing>
      </w:r>
    </w:p>
    <w:p w14:paraId="31AC1A0F" w14:textId="636B2A41" w:rsidR="00B15C4B" w:rsidRDefault="00BB31E2" w:rsidP="002C0736">
      <w:pPr>
        <w:tabs>
          <w:tab w:val="left" w:pos="1276"/>
        </w:tabs>
        <w:spacing w:line="288" w:lineRule="auto"/>
        <w:ind w:firstLine="720"/>
        <w:jc w:val="both"/>
        <w:rPr>
          <w:rFonts w:asciiTheme="majorBidi" w:hAnsiTheme="majorBidi" w:cstheme="majorBidi"/>
          <w:color w:val="000000" w:themeColor="text1"/>
          <w:szCs w:val="24"/>
          <w:shd w:val="clear" w:color="auto" w:fill="FFFFFF"/>
        </w:rPr>
      </w:pPr>
      <w:r w:rsidRPr="004B36B2">
        <w:rPr>
          <w:rFonts w:asciiTheme="majorBidi" w:hAnsiTheme="majorBidi" w:cstheme="majorBidi"/>
          <w:color w:val="000000" w:themeColor="text1"/>
          <w:sz w:val="20"/>
          <w:szCs w:val="20"/>
        </w:rPr>
        <w:t xml:space="preserve">  </w:t>
      </w:r>
      <w:r w:rsidR="002C0736">
        <w:rPr>
          <w:rFonts w:asciiTheme="majorBidi" w:hAnsiTheme="majorBidi" w:cstheme="majorBidi"/>
          <w:color w:val="000000" w:themeColor="text1"/>
          <w:sz w:val="20"/>
          <w:szCs w:val="20"/>
        </w:rPr>
        <w:tab/>
      </w:r>
      <w:r w:rsidRPr="00A54C7D">
        <w:rPr>
          <w:rFonts w:asciiTheme="majorBidi" w:hAnsiTheme="majorBidi" w:cstheme="majorBidi"/>
          <w:i/>
          <w:iCs/>
          <w:color w:val="000000" w:themeColor="text1"/>
          <w:sz w:val="20"/>
          <w:szCs w:val="20"/>
        </w:rPr>
        <w:t>Source:</w:t>
      </w:r>
      <w:r w:rsidRPr="004B36B2">
        <w:rPr>
          <w:rFonts w:asciiTheme="majorBidi" w:hAnsiTheme="majorBidi" w:cstheme="majorBidi"/>
          <w:color w:val="000000" w:themeColor="text1"/>
          <w:sz w:val="20"/>
          <w:szCs w:val="20"/>
        </w:rPr>
        <w:t xml:space="preserve"> CBS (2001), (2011). </w:t>
      </w:r>
      <w:r w:rsidRPr="004B36B2">
        <w:rPr>
          <w:rFonts w:asciiTheme="majorBidi" w:hAnsiTheme="majorBidi" w:cstheme="majorBidi"/>
          <w:i/>
          <w:color w:val="000000" w:themeColor="text1"/>
          <w:sz w:val="20"/>
          <w:szCs w:val="20"/>
        </w:rPr>
        <w:t>Note</w:t>
      </w:r>
      <w:r w:rsidRPr="004B36B2">
        <w:rPr>
          <w:rFonts w:asciiTheme="majorBidi" w:hAnsiTheme="majorBidi" w:cstheme="majorBidi"/>
          <w:color w:val="000000" w:themeColor="text1"/>
          <w:sz w:val="20"/>
          <w:szCs w:val="20"/>
        </w:rPr>
        <w:t>: MEOA is Middle-East and Other Asia</w:t>
      </w:r>
    </w:p>
    <w:p w14:paraId="58B33CFA" w14:textId="56FCF591" w:rsidR="00D45C15" w:rsidRDefault="00615655" w:rsidP="00B729F9">
      <w:pPr>
        <w:spacing w:line="288" w:lineRule="auto"/>
        <w:ind w:firstLine="567"/>
        <w:jc w:val="both"/>
        <w:rPr>
          <w:rFonts w:asciiTheme="majorBidi" w:hAnsiTheme="majorBidi" w:cstheme="majorBidi"/>
          <w:color w:val="000000" w:themeColor="text1"/>
          <w:szCs w:val="24"/>
          <w:shd w:val="clear" w:color="auto" w:fill="FFFFFF"/>
        </w:rPr>
      </w:pPr>
      <w:r w:rsidRPr="004B36B2">
        <w:rPr>
          <w:rFonts w:asciiTheme="majorBidi" w:hAnsiTheme="majorBidi" w:cstheme="majorBidi"/>
          <w:color w:val="000000" w:themeColor="text1"/>
          <w:szCs w:val="24"/>
          <w:shd w:val="clear" w:color="auto" w:fill="FFFFFF"/>
        </w:rPr>
        <w:lastRenderedPageBreak/>
        <w:t>We</w:t>
      </w:r>
      <w:r w:rsidR="00CF33B5" w:rsidRPr="004B36B2">
        <w:rPr>
          <w:rFonts w:asciiTheme="majorBidi" w:hAnsiTheme="majorBidi" w:cstheme="majorBidi"/>
          <w:color w:val="000000" w:themeColor="text1"/>
          <w:szCs w:val="24"/>
          <w:shd w:val="clear" w:color="auto" w:fill="FFFFFF"/>
        </w:rPr>
        <w:t xml:space="preserve"> </w:t>
      </w:r>
      <w:r w:rsidR="009120CC" w:rsidRPr="004B36B2">
        <w:rPr>
          <w:rFonts w:asciiTheme="majorBidi" w:hAnsiTheme="majorBidi" w:cstheme="majorBidi"/>
          <w:color w:val="000000" w:themeColor="text1"/>
          <w:szCs w:val="24"/>
          <w:shd w:val="clear" w:color="auto" w:fill="FFFFFF"/>
        </w:rPr>
        <w:t>estimate</w:t>
      </w:r>
      <w:r w:rsidR="00D529E8" w:rsidRPr="004B36B2">
        <w:rPr>
          <w:rFonts w:asciiTheme="majorBidi" w:hAnsiTheme="majorBidi" w:cstheme="majorBidi"/>
          <w:color w:val="000000" w:themeColor="text1"/>
          <w:szCs w:val="24"/>
          <w:shd w:val="clear" w:color="auto" w:fill="FFFFFF"/>
        </w:rPr>
        <w:t xml:space="preserve"> equation (1) using </w:t>
      </w:r>
      <w:r w:rsidR="00525FBD" w:rsidRPr="004B36B2">
        <w:rPr>
          <w:rFonts w:asciiTheme="majorBidi" w:hAnsiTheme="majorBidi" w:cstheme="majorBidi"/>
          <w:color w:val="000000" w:themeColor="text1"/>
          <w:szCs w:val="24"/>
          <w:shd w:val="clear" w:color="auto" w:fill="FFFFFF"/>
        </w:rPr>
        <w:t xml:space="preserve">our </w:t>
      </w:r>
      <w:r w:rsidR="00A57AC1" w:rsidRPr="004B36B2">
        <w:rPr>
          <w:rFonts w:asciiTheme="majorBidi" w:hAnsiTheme="majorBidi" w:cstheme="majorBidi"/>
          <w:color w:val="000000" w:themeColor="text1"/>
          <w:szCs w:val="24"/>
          <w:shd w:val="clear" w:color="auto" w:fill="FFFFFF"/>
        </w:rPr>
        <w:t xml:space="preserve">two </w:t>
      </w:r>
      <w:r w:rsidR="00525FBD" w:rsidRPr="004B36B2">
        <w:rPr>
          <w:rFonts w:asciiTheme="majorBidi" w:hAnsiTheme="majorBidi" w:cstheme="majorBidi"/>
          <w:color w:val="000000" w:themeColor="text1"/>
          <w:szCs w:val="24"/>
          <w:shd w:val="clear" w:color="auto" w:fill="FFFFFF"/>
        </w:rPr>
        <w:t xml:space="preserve">predicted migration </w:t>
      </w:r>
      <w:r w:rsidR="00963048" w:rsidRPr="004B36B2">
        <w:rPr>
          <w:rFonts w:asciiTheme="majorBidi" w:hAnsiTheme="majorBidi" w:cstheme="majorBidi"/>
          <w:color w:val="000000" w:themeColor="text1"/>
          <w:szCs w:val="24"/>
          <w:shd w:val="clear" w:color="auto" w:fill="FFFFFF"/>
        </w:rPr>
        <w:t xml:space="preserve">variables </w:t>
      </w:r>
      <w:r w:rsidR="00525FBD" w:rsidRPr="004B36B2">
        <w:rPr>
          <w:rFonts w:asciiTheme="majorBidi" w:hAnsiTheme="majorBidi" w:cstheme="majorBidi"/>
          <w:color w:val="000000" w:themeColor="text1"/>
          <w:szCs w:val="24"/>
          <w:shd w:val="clear" w:color="auto" w:fill="FFFFFF"/>
        </w:rPr>
        <w:t>(</w:t>
      </w:r>
      <w:r w:rsidR="00963048" w:rsidRPr="004B36B2">
        <w:rPr>
          <w:rFonts w:asciiTheme="majorBidi" w:hAnsiTheme="majorBidi" w:cstheme="majorBidi"/>
          <w:color w:val="000000" w:themeColor="text1"/>
          <w:szCs w:val="24"/>
          <w:shd w:val="clear" w:color="auto" w:fill="FFFFFF"/>
        </w:rPr>
        <w:t xml:space="preserve">as derived </w:t>
      </w:r>
      <w:r w:rsidR="00525FBD" w:rsidRPr="004B36B2">
        <w:rPr>
          <w:rFonts w:asciiTheme="majorBidi" w:hAnsiTheme="majorBidi" w:cstheme="majorBidi"/>
          <w:color w:val="000000" w:themeColor="text1"/>
          <w:szCs w:val="24"/>
          <w:shd w:val="clear" w:color="auto" w:fill="FFFFFF"/>
        </w:rPr>
        <w:t xml:space="preserve">from equation (3)) </w:t>
      </w:r>
      <w:r w:rsidR="00A57AC1" w:rsidRPr="004B36B2">
        <w:rPr>
          <w:rFonts w:asciiTheme="majorBidi" w:hAnsiTheme="majorBidi" w:cstheme="majorBidi"/>
          <w:color w:val="000000" w:themeColor="text1"/>
          <w:szCs w:val="24"/>
          <w:shd w:val="clear" w:color="auto" w:fill="FFFFFF"/>
        </w:rPr>
        <w:t xml:space="preserve">as </w:t>
      </w:r>
      <w:r w:rsidR="00CF33B5" w:rsidRPr="004B36B2">
        <w:rPr>
          <w:rFonts w:asciiTheme="majorBidi" w:hAnsiTheme="majorBidi" w:cstheme="majorBidi"/>
          <w:noProof/>
          <w:color w:val="000000" w:themeColor="text1"/>
          <w:szCs w:val="24"/>
          <w:shd w:val="clear" w:color="auto" w:fill="FFFFFF"/>
        </w:rPr>
        <w:t>instrument</w:t>
      </w:r>
      <w:r w:rsidR="00963048" w:rsidRPr="004B36B2">
        <w:rPr>
          <w:rFonts w:asciiTheme="majorBidi" w:hAnsiTheme="majorBidi" w:cstheme="majorBidi"/>
          <w:color w:val="000000" w:themeColor="text1"/>
          <w:szCs w:val="24"/>
          <w:shd w:val="clear" w:color="auto" w:fill="FFFFFF"/>
        </w:rPr>
        <w:t xml:space="preserve">al variables </w:t>
      </w:r>
      <w:r w:rsidR="00D55E37" w:rsidRPr="004B36B2">
        <w:rPr>
          <w:rFonts w:asciiTheme="majorBidi" w:hAnsiTheme="majorBidi" w:cstheme="majorBidi"/>
          <w:color w:val="000000" w:themeColor="text1"/>
          <w:szCs w:val="24"/>
          <w:shd w:val="clear" w:color="auto" w:fill="FFFFFF"/>
        </w:rPr>
        <w:t xml:space="preserve">for the </w:t>
      </w:r>
      <w:r w:rsidR="00525FBD" w:rsidRPr="004B36B2">
        <w:rPr>
          <w:rFonts w:asciiTheme="majorBidi" w:hAnsiTheme="majorBidi" w:cstheme="majorBidi"/>
          <w:color w:val="000000" w:themeColor="text1"/>
          <w:szCs w:val="24"/>
          <w:shd w:val="clear" w:color="auto" w:fill="FFFFFF"/>
        </w:rPr>
        <w:t xml:space="preserve">actual </w:t>
      </w:r>
      <w:r w:rsidR="00D55E37" w:rsidRPr="004B36B2">
        <w:rPr>
          <w:rFonts w:asciiTheme="majorBidi" w:hAnsiTheme="majorBidi" w:cstheme="majorBidi"/>
          <w:color w:val="000000" w:themeColor="text1"/>
          <w:szCs w:val="24"/>
          <w:shd w:val="clear" w:color="auto" w:fill="FFFFFF"/>
        </w:rPr>
        <w:t>village</w:t>
      </w:r>
      <w:r w:rsidR="00CF33B5" w:rsidRPr="004B36B2">
        <w:rPr>
          <w:rFonts w:asciiTheme="majorBidi" w:hAnsiTheme="majorBidi" w:cstheme="majorBidi"/>
          <w:color w:val="000000" w:themeColor="text1"/>
          <w:szCs w:val="24"/>
          <w:shd w:val="clear" w:color="auto" w:fill="FFFFFF"/>
        </w:rPr>
        <w:t xml:space="preserve"> migration rate.</w:t>
      </w:r>
      <w:r w:rsidR="009120CC" w:rsidRPr="004B36B2">
        <w:rPr>
          <w:rFonts w:asciiTheme="majorBidi" w:hAnsiTheme="majorBidi" w:cstheme="majorBidi"/>
          <w:color w:val="000000" w:themeColor="text1"/>
          <w:szCs w:val="24"/>
          <w:shd w:val="clear" w:color="auto" w:fill="FFFFFF"/>
        </w:rPr>
        <w:t xml:space="preserve"> The </w:t>
      </w:r>
      <w:r w:rsidR="00443336" w:rsidRPr="004B36B2">
        <w:rPr>
          <w:rFonts w:asciiTheme="majorBidi" w:hAnsiTheme="majorBidi" w:cstheme="majorBidi"/>
          <w:color w:val="000000" w:themeColor="text1"/>
          <w:szCs w:val="24"/>
          <w:shd w:val="clear" w:color="auto" w:fill="FFFFFF"/>
        </w:rPr>
        <w:t xml:space="preserve">resulting </w:t>
      </w:r>
      <w:r w:rsidR="009120CC" w:rsidRPr="004B36B2">
        <w:rPr>
          <w:rFonts w:asciiTheme="majorBidi" w:hAnsiTheme="majorBidi" w:cstheme="majorBidi"/>
          <w:color w:val="000000" w:themeColor="text1"/>
          <w:szCs w:val="24"/>
          <w:shd w:val="clear" w:color="auto" w:fill="FFFFFF"/>
        </w:rPr>
        <w:t>estimate</w:t>
      </w:r>
      <w:r w:rsidR="00BD6A6E" w:rsidRPr="004B36B2">
        <w:rPr>
          <w:rFonts w:asciiTheme="majorBidi" w:hAnsiTheme="majorBidi" w:cstheme="majorBidi"/>
          <w:color w:val="000000" w:themeColor="text1"/>
          <w:szCs w:val="24"/>
          <w:shd w:val="clear" w:color="auto" w:fill="FFFFFF"/>
        </w:rPr>
        <w:t>s</w:t>
      </w:r>
      <w:r w:rsidR="009120CC" w:rsidRPr="004B36B2">
        <w:rPr>
          <w:rFonts w:asciiTheme="majorBidi" w:hAnsiTheme="majorBidi" w:cstheme="majorBidi"/>
          <w:color w:val="000000" w:themeColor="text1"/>
          <w:szCs w:val="24"/>
          <w:shd w:val="clear" w:color="auto" w:fill="FFFFFF"/>
        </w:rPr>
        <w:t xml:space="preserve"> </w:t>
      </w:r>
      <w:r w:rsidR="00443336" w:rsidRPr="004B36B2">
        <w:rPr>
          <w:rFonts w:asciiTheme="majorBidi" w:hAnsiTheme="majorBidi" w:cstheme="majorBidi"/>
          <w:color w:val="000000" w:themeColor="text1"/>
          <w:szCs w:val="24"/>
          <w:shd w:val="clear" w:color="auto" w:fill="FFFFFF"/>
        </w:rPr>
        <w:t>should show the effect of migration and remittances on</w:t>
      </w:r>
      <w:r w:rsidR="00AB28A5" w:rsidRPr="004B36B2">
        <w:rPr>
          <w:rFonts w:asciiTheme="majorBidi" w:hAnsiTheme="majorBidi" w:cstheme="majorBidi"/>
          <w:color w:val="000000" w:themeColor="text1"/>
          <w:szCs w:val="24"/>
          <w:shd w:val="clear" w:color="auto" w:fill="FFFFFF"/>
        </w:rPr>
        <w:t xml:space="preserve"> </w:t>
      </w:r>
      <w:r w:rsidR="0039244D" w:rsidRPr="004B36B2">
        <w:rPr>
          <w:rFonts w:asciiTheme="majorBidi" w:hAnsiTheme="majorBidi" w:cstheme="majorBidi"/>
          <w:color w:val="000000" w:themeColor="text1"/>
          <w:szCs w:val="24"/>
          <w:shd w:val="clear" w:color="auto" w:fill="FFFFFF"/>
        </w:rPr>
        <w:t xml:space="preserve">schooling and child </w:t>
      </w:r>
      <w:r w:rsidR="0039244D" w:rsidRPr="004B36B2">
        <w:rPr>
          <w:rFonts w:asciiTheme="majorBidi" w:hAnsiTheme="majorBidi" w:cstheme="majorBidi"/>
          <w:noProof/>
          <w:color w:val="000000" w:themeColor="text1"/>
          <w:szCs w:val="24"/>
          <w:shd w:val="clear" w:color="auto" w:fill="FFFFFF"/>
        </w:rPr>
        <w:t>labour</w:t>
      </w:r>
      <w:r w:rsidR="0039244D" w:rsidRPr="004B36B2">
        <w:rPr>
          <w:rFonts w:asciiTheme="majorBidi" w:hAnsiTheme="majorBidi" w:cstheme="majorBidi"/>
          <w:color w:val="000000" w:themeColor="text1"/>
          <w:szCs w:val="24"/>
          <w:shd w:val="clear" w:color="auto" w:fill="FFFFFF"/>
        </w:rPr>
        <w:t xml:space="preserve"> </w:t>
      </w:r>
      <w:r w:rsidR="00443336" w:rsidRPr="004B36B2">
        <w:rPr>
          <w:rFonts w:asciiTheme="majorBidi" w:hAnsiTheme="majorBidi" w:cstheme="majorBidi"/>
          <w:color w:val="000000" w:themeColor="text1"/>
          <w:szCs w:val="24"/>
          <w:shd w:val="clear" w:color="auto" w:fill="FFFFFF"/>
        </w:rPr>
        <w:t xml:space="preserve">and we can rule out reverse causation </w:t>
      </w:r>
      <w:r w:rsidR="00963048" w:rsidRPr="004B36B2">
        <w:rPr>
          <w:rFonts w:asciiTheme="majorBidi" w:hAnsiTheme="majorBidi" w:cstheme="majorBidi"/>
          <w:color w:val="000000" w:themeColor="text1"/>
          <w:szCs w:val="24"/>
          <w:shd w:val="clear" w:color="auto" w:fill="FFFFFF"/>
        </w:rPr>
        <w:t xml:space="preserve">that would occur if </w:t>
      </w:r>
      <w:r w:rsidR="00443336" w:rsidRPr="004B36B2">
        <w:rPr>
          <w:rFonts w:asciiTheme="majorBidi" w:hAnsiTheme="majorBidi" w:cstheme="majorBidi"/>
          <w:color w:val="000000" w:themeColor="text1"/>
          <w:szCs w:val="24"/>
          <w:shd w:val="clear" w:color="auto" w:fill="FFFFFF"/>
        </w:rPr>
        <w:t xml:space="preserve">the current schooling conditions and child labour </w:t>
      </w:r>
      <w:r w:rsidR="00963048" w:rsidRPr="004B36B2">
        <w:rPr>
          <w:rFonts w:asciiTheme="majorBidi" w:hAnsiTheme="majorBidi" w:cstheme="majorBidi"/>
          <w:color w:val="000000" w:themeColor="text1"/>
          <w:szCs w:val="24"/>
          <w:shd w:val="clear" w:color="auto" w:fill="FFFFFF"/>
        </w:rPr>
        <w:t xml:space="preserve">rates </w:t>
      </w:r>
      <w:r w:rsidR="00443336" w:rsidRPr="004B36B2">
        <w:rPr>
          <w:rFonts w:asciiTheme="majorBidi" w:hAnsiTheme="majorBidi" w:cstheme="majorBidi"/>
          <w:color w:val="000000" w:themeColor="text1"/>
          <w:szCs w:val="24"/>
          <w:shd w:val="clear" w:color="auto" w:fill="FFFFFF"/>
        </w:rPr>
        <w:t xml:space="preserve">affect migration. The reason we can rule out this channel is that our </w:t>
      </w:r>
      <w:r w:rsidR="00F931EE" w:rsidRPr="004B36B2">
        <w:rPr>
          <w:rFonts w:asciiTheme="majorBidi" w:hAnsiTheme="majorBidi" w:cstheme="majorBidi"/>
          <w:color w:val="000000" w:themeColor="text1"/>
          <w:szCs w:val="24"/>
          <w:shd w:val="clear" w:color="auto" w:fill="FFFFFF"/>
        </w:rPr>
        <w:t xml:space="preserve">predicted </w:t>
      </w:r>
      <w:r w:rsidR="00443336" w:rsidRPr="004B36B2">
        <w:rPr>
          <w:rFonts w:asciiTheme="majorBidi" w:hAnsiTheme="majorBidi" w:cstheme="majorBidi"/>
          <w:color w:val="000000" w:themeColor="text1"/>
          <w:szCs w:val="24"/>
          <w:shd w:val="clear" w:color="auto" w:fill="FFFFFF"/>
        </w:rPr>
        <w:t>migration variable depends on the migration netwo</w:t>
      </w:r>
      <w:r w:rsidR="00F931EE" w:rsidRPr="004B36B2">
        <w:rPr>
          <w:rFonts w:asciiTheme="majorBidi" w:hAnsiTheme="majorBidi" w:cstheme="majorBidi"/>
          <w:color w:val="000000" w:themeColor="text1"/>
          <w:szCs w:val="24"/>
          <w:shd w:val="clear" w:color="auto" w:fill="FFFFFF"/>
        </w:rPr>
        <w:t xml:space="preserve">rk from a decade before, yet </w:t>
      </w:r>
      <w:r w:rsidR="00443336" w:rsidRPr="004B36B2">
        <w:rPr>
          <w:rFonts w:asciiTheme="majorBidi" w:hAnsiTheme="majorBidi" w:cstheme="majorBidi"/>
          <w:color w:val="000000" w:themeColor="text1"/>
          <w:szCs w:val="24"/>
          <w:shd w:val="clear" w:color="auto" w:fill="FFFFFF"/>
        </w:rPr>
        <w:t xml:space="preserve">current </w:t>
      </w:r>
      <w:r w:rsidR="0000619C" w:rsidRPr="004B36B2">
        <w:rPr>
          <w:rFonts w:asciiTheme="majorBidi" w:hAnsiTheme="majorBidi" w:cstheme="majorBidi"/>
          <w:color w:val="000000" w:themeColor="text1"/>
          <w:szCs w:val="24"/>
          <w:shd w:val="clear" w:color="auto" w:fill="FFFFFF"/>
        </w:rPr>
        <w:t xml:space="preserve">school enrolment and child </w:t>
      </w:r>
      <w:r w:rsidR="00443336" w:rsidRPr="004B36B2">
        <w:rPr>
          <w:rFonts w:asciiTheme="majorBidi" w:hAnsiTheme="majorBidi" w:cstheme="majorBidi"/>
          <w:color w:val="000000" w:themeColor="text1"/>
          <w:szCs w:val="24"/>
          <w:shd w:val="clear" w:color="auto" w:fill="FFFFFF"/>
        </w:rPr>
        <w:t xml:space="preserve">labour rates should not matter to historical migration. </w:t>
      </w:r>
    </w:p>
    <w:p w14:paraId="4B888048" w14:textId="77777777" w:rsidR="00B729F9" w:rsidRDefault="00B729F9" w:rsidP="00283A3C">
      <w:pPr>
        <w:spacing w:line="288" w:lineRule="auto"/>
        <w:ind w:firstLine="720"/>
        <w:jc w:val="both"/>
        <w:rPr>
          <w:rFonts w:asciiTheme="majorBidi" w:hAnsiTheme="majorBidi" w:cstheme="majorBidi"/>
          <w:color w:val="000000" w:themeColor="text1"/>
          <w:szCs w:val="24"/>
          <w:shd w:val="clear" w:color="auto" w:fill="FFFFFF"/>
        </w:rPr>
      </w:pPr>
    </w:p>
    <w:p w14:paraId="59CB4D2D" w14:textId="5778A58D" w:rsidR="005E4A2C" w:rsidRPr="00206B37" w:rsidRDefault="005E4A2C" w:rsidP="005E4A2C">
      <w:pPr>
        <w:spacing w:line="288" w:lineRule="auto"/>
        <w:jc w:val="center"/>
        <w:rPr>
          <w:rFonts w:asciiTheme="majorBidi" w:hAnsiTheme="majorBidi" w:cstheme="majorBidi"/>
          <w:b/>
          <w:color w:val="000000" w:themeColor="text1"/>
          <w:sz w:val="22"/>
        </w:rPr>
      </w:pPr>
      <w:r w:rsidRPr="00206B37">
        <w:rPr>
          <w:rFonts w:asciiTheme="majorBidi" w:eastAsia="Times New Roman" w:hAnsiTheme="majorBidi" w:cstheme="majorBidi"/>
          <w:b/>
          <w:color w:val="000000" w:themeColor="text1"/>
          <w:sz w:val="22"/>
          <w:lang w:val="en-AU"/>
        </w:rPr>
        <w:t xml:space="preserve">Figure 2: The </w:t>
      </w:r>
      <w:r w:rsidRPr="00206B37">
        <w:rPr>
          <w:rFonts w:asciiTheme="majorBidi" w:hAnsiTheme="majorBidi" w:cstheme="majorBidi"/>
          <w:b/>
          <w:color w:val="000000" w:themeColor="text1"/>
          <w:sz w:val="22"/>
        </w:rPr>
        <w:t>Migrants Share and Migration Rate in 2001 and 2011</w:t>
      </w:r>
    </w:p>
    <w:p w14:paraId="4A73EADD" w14:textId="77777777" w:rsidR="007E184E" w:rsidRPr="007E184E" w:rsidRDefault="007E184E" w:rsidP="005E4A2C">
      <w:pPr>
        <w:spacing w:line="288" w:lineRule="auto"/>
        <w:jc w:val="center"/>
        <w:rPr>
          <w:rFonts w:asciiTheme="majorBidi" w:hAnsiTheme="majorBidi" w:cstheme="majorBidi"/>
          <w:color w:val="000000" w:themeColor="text1"/>
          <w:sz w:val="6"/>
          <w:szCs w:val="6"/>
          <w:shd w:val="clear" w:color="auto" w:fill="FFFFFF"/>
        </w:rPr>
      </w:pPr>
    </w:p>
    <w:p w14:paraId="785F24D3" w14:textId="54427D47" w:rsidR="00BB31E2" w:rsidRDefault="00D44993" w:rsidP="00341356">
      <w:pPr>
        <w:spacing w:line="288" w:lineRule="auto"/>
        <w:ind w:left="-567" w:right="237" w:hanging="142"/>
        <w:jc w:val="both"/>
        <w:rPr>
          <w:rFonts w:asciiTheme="majorBidi" w:hAnsiTheme="majorBidi" w:cstheme="majorBidi"/>
          <w:color w:val="000000" w:themeColor="text1"/>
          <w:szCs w:val="24"/>
          <w:shd w:val="clear" w:color="auto" w:fill="FFFFFF"/>
        </w:rPr>
      </w:pPr>
      <w:r w:rsidRPr="004B36B2">
        <w:rPr>
          <w:rFonts w:asciiTheme="majorBidi" w:eastAsia="Times New Roman" w:hAnsiTheme="majorBidi" w:cstheme="majorBidi"/>
          <w:bCs/>
          <w:noProof/>
          <w:color w:val="000000" w:themeColor="text1"/>
        </w:rPr>
        <w:drawing>
          <wp:inline distT="0" distB="0" distL="0" distR="0" wp14:anchorId="15CD0282" wp14:editId="71C41CF7">
            <wp:extent cx="6658610" cy="4028661"/>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_graph.png"/>
                    <pic:cNvPicPr/>
                  </pic:nvPicPr>
                  <pic:blipFill>
                    <a:blip r:embed="rId11">
                      <a:extLst>
                        <a:ext uri="{28A0092B-C50C-407E-A947-70E740481C1C}">
                          <a14:useLocalDpi xmlns:a14="http://schemas.microsoft.com/office/drawing/2010/main" val="0"/>
                        </a:ext>
                      </a:extLst>
                    </a:blip>
                    <a:stretch>
                      <a:fillRect/>
                    </a:stretch>
                  </pic:blipFill>
                  <pic:spPr>
                    <a:xfrm>
                      <a:off x="0" y="0"/>
                      <a:ext cx="6731898" cy="4073002"/>
                    </a:xfrm>
                    <a:prstGeom prst="rect">
                      <a:avLst/>
                    </a:prstGeom>
                  </pic:spPr>
                </pic:pic>
              </a:graphicData>
            </a:graphic>
          </wp:inline>
        </w:drawing>
      </w:r>
    </w:p>
    <w:p w14:paraId="383789BE" w14:textId="1EC8898A" w:rsidR="0039064F" w:rsidRPr="004B36B2" w:rsidRDefault="0039064F" w:rsidP="004E5628">
      <w:pPr>
        <w:spacing w:after="240" w:line="360" w:lineRule="auto"/>
        <w:ind w:left="-709"/>
        <w:jc w:val="both"/>
        <w:rPr>
          <w:rFonts w:asciiTheme="majorBidi" w:hAnsiTheme="majorBidi" w:cstheme="majorBidi"/>
          <w:color w:val="000000" w:themeColor="text1"/>
        </w:rPr>
      </w:pPr>
      <w:r w:rsidRPr="002C0736">
        <w:rPr>
          <w:rFonts w:asciiTheme="majorBidi" w:hAnsiTheme="majorBidi" w:cstheme="majorBidi"/>
          <w:i/>
          <w:iCs/>
          <w:color w:val="000000" w:themeColor="text1"/>
          <w:sz w:val="20"/>
          <w:szCs w:val="20"/>
        </w:rPr>
        <w:t>Source:</w:t>
      </w:r>
      <w:r w:rsidRPr="004B36B2">
        <w:rPr>
          <w:rFonts w:asciiTheme="majorBidi" w:hAnsiTheme="majorBidi" w:cstheme="majorBidi"/>
          <w:color w:val="000000" w:themeColor="text1"/>
          <w:sz w:val="20"/>
          <w:szCs w:val="20"/>
        </w:rPr>
        <w:t xml:space="preserve"> CBS (2001</w:t>
      </w:r>
      <w:r w:rsidR="00510A97">
        <w:rPr>
          <w:rFonts w:asciiTheme="majorBidi" w:hAnsiTheme="majorBidi" w:cstheme="majorBidi"/>
          <w:color w:val="000000" w:themeColor="text1"/>
          <w:sz w:val="20"/>
          <w:szCs w:val="20"/>
        </w:rPr>
        <w:t xml:space="preserve">, </w:t>
      </w:r>
      <w:r w:rsidRPr="004B36B2">
        <w:rPr>
          <w:rFonts w:asciiTheme="majorBidi" w:hAnsiTheme="majorBidi" w:cstheme="majorBidi"/>
          <w:color w:val="000000" w:themeColor="text1"/>
          <w:sz w:val="20"/>
          <w:szCs w:val="20"/>
        </w:rPr>
        <w:t>2011)</w:t>
      </w:r>
    </w:p>
    <w:p w14:paraId="6F3719F6" w14:textId="68C16147" w:rsidR="00114D7B" w:rsidRPr="004B36B2" w:rsidRDefault="006663C5" w:rsidP="00283A3C">
      <w:pPr>
        <w:spacing w:line="288" w:lineRule="auto"/>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4</w:t>
      </w:r>
      <w:r w:rsidR="00114D7B" w:rsidRPr="004B36B2">
        <w:rPr>
          <w:rFonts w:asciiTheme="majorBidi" w:hAnsiTheme="majorBidi" w:cstheme="majorBidi"/>
          <w:b/>
          <w:color w:val="000000" w:themeColor="text1"/>
          <w:szCs w:val="24"/>
        </w:rPr>
        <w:t xml:space="preserve">. </w:t>
      </w:r>
      <w:r>
        <w:rPr>
          <w:rFonts w:asciiTheme="majorBidi" w:hAnsiTheme="majorBidi" w:cstheme="majorBidi"/>
          <w:b/>
          <w:color w:val="000000" w:themeColor="text1"/>
          <w:szCs w:val="24"/>
        </w:rPr>
        <w:t xml:space="preserve"> </w:t>
      </w:r>
      <w:r w:rsidR="00114D7B" w:rsidRPr="004B36B2">
        <w:rPr>
          <w:rFonts w:asciiTheme="majorBidi" w:hAnsiTheme="majorBidi" w:cstheme="majorBidi"/>
          <w:b/>
          <w:color w:val="000000" w:themeColor="text1"/>
          <w:szCs w:val="24"/>
        </w:rPr>
        <w:t>Results and Discussion</w:t>
      </w:r>
    </w:p>
    <w:p w14:paraId="49E7028D" w14:textId="77777777" w:rsidR="006663C5" w:rsidRPr="006663C5" w:rsidRDefault="006663C5" w:rsidP="00283A3C">
      <w:pPr>
        <w:spacing w:line="288" w:lineRule="auto"/>
        <w:jc w:val="both"/>
        <w:rPr>
          <w:rFonts w:asciiTheme="majorBidi" w:hAnsiTheme="majorBidi" w:cstheme="majorBidi"/>
          <w:color w:val="000000" w:themeColor="text1"/>
          <w:sz w:val="6"/>
          <w:szCs w:val="6"/>
        </w:rPr>
      </w:pPr>
    </w:p>
    <w:p w14:paraId="2FEBD5B9" w14:textId="18EC7C76" w:rsidR="00114D7B" w:rsidRDefault="00114D7B" w:rsidP="00FF7B74">
      <w:pPr>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 results of the first stage equations, for the migration rate and the value of remittances received, are reported in Table 2. The instrumental variables</w:t>
      </w:r>
      <w:r w:rsidR="0060335A" w:rsidRPr="004B36B2">
        <w:rPr>
          <w:rStyle w:val="FootnoteReference"/>
          <w:rFonts w:asciiTheme="majorBidi" w:hAnsiTheme="majorBidi" w:cstheme="majorBidi"/>
          <w:color w:val="000000" w:themeColor="text1"/>
          <w:szCs w:val="24"/>
        </w:rPr>
        <w:footnoteReference w:id="7"/>
      </w:r>
      <w:r w:rsidRPr="004B36B2">
        <w:rPr>
          <w:rFonts w:asciiTheme="majorBidi" w:hAnsiTheme="majorBidi" w:cstheme="majorBidi"/>
          <w:color w:val="000000" w:themeColor="text1"/>
          <w:szCs w:val="24"/>
        </w:rPr>
        <w:t xml:space="preserve"> that are derived from equation (3) have a strong first-stage effect on the migration rate (the </w:t>
      </w:r>
      <w:r w:rsidRPr="004B36B2">
        <w:rPr>
          <w:rFonts w:asciiTheme="majorBidi" w:hAnsiTheme="majorBidi" w:cstheme="majorBidi"/>
          <w:i/>
          <w:iCs/>
          <w:color w:val="000000" w:themeColor="text1"/>
          <w:szCs w:val="24"/>
        </w:rPr>
        <w:t>F</w:t>
      </w:r>
      <w:r w:rsidRPr="004B36B2">
        <w:rPr>
          <w:rFonts w:asciiTheme="majorBidi" w:hAnsiTheme="majorBidi" w:cstheme="majorBidi"/>
          <w:color w:val="000000" w:themeColor="text1"/>
          <w:szCs w:val="24"/>
        </w:rPr>
        <w:t xml:space="preserve">-test for excluding the instruments is </w:t>
      </w:r>
      <w:r w:rsidR="009B4BAB" w:rsidRPr="004B36B2">
        <w:rPr>
          <w:rFonts w:asciiTheme="majorBidi" w:eastAsia="Times New Roman" w:hAnsiTheme="majorBidi" w:cstheme="majorBidi"/>
          <w:color w:val="000000" w:themeColor="text1"/>
          <w:szCs w:val="24"/>
        </w:rPr>
        <w:t>71.53</w:t>
      </w:r>
      <w:r w:rsidRPr="004B36B2">
        <w:rPr>
          <w:rFonts w:asciiTheme="majorBidi" w:eastAsia="Times New Roman" w:hAnsiTheme="majorBidi" w:cstheme="majorBidi"/>
          <w:color w:val="000000" w:themeColor="text1"/>
          <w:szCs w:val="24"/>
          <w:lang w:eastAsia="en-NZ"/>
        </w:rPr>
        <w:t xml:space="preserve"> and so it easily exceeds the usual threshold of 10 for not having weak instruments</w:t>
      </w:r>
      <w:r w:rsidRPr="004B36B2">
        <w:rPr>
          <w:rFonts w:asciiTheme="majorBidi" w:hAnsiTheme="majorBidi" w:cstheme="majorBidi"/>
          <w:color w:val="000000" w:themeColor="text1"/>
          <w:szCs w:val="24"/>
        </w:rPr>
        <w:t xml:space="preserve">) after controlling for village and time fixed effects. The first stage equations </w:t>
      </w:r>
      <w:r w:rsidRPr="004B36B2">
        <w:rPr>
          <w:rFonts w:asciiTheme="majorBidi" w:hAnsiTheme="majorBidi" w:cstheme="majorBidi"/>
          <w:color w:val="000000" w:themeColor="text1"/>
          <w:szCs w:val="24"/>
          <w:shd w:val="clear" w:color="auto" w:fill="FFFFFF"/>
        </w:rPr>
        <w:t xml:space="preserve">closely </w:t>
      </w:r>
      <w:r w:rsidRPr="004B36B2">
        <w:rPr>
          <w:rFonts w:asciiTheme="majorBidi" w:hAnsiTheme="majorBidi" w:cstheme="majorBidi"/>
          <w:noProof/>
          <w:color w:val="000000" w:themeColor="text1"/>
          <w:szCs w:val="24"/>
          <w:shd w:val="clear" w:color="auto" w:fill="FFFFFF"/>
        </w:rPr>
        <w:t>reflect</w:t>
      </w:r>
      <w:r w:rsidRPr="004B36B2">
        <w:rPr>
          <w:rFonts w:asciiTheme="majorBidi" w:hAnsiTheme="majorBidi" w:cstheme="majorBidi"/>
          <w:color w:val="000000" w:themeColor="text1"/>
          <w:szCs w:val="24"/>
          <w:shd w:val="clear" w:color="auto" w:fill="FFFFFF"/>
        </w:rPr>
        <w:t xml:space="preserve"> recent migration trends for Nepal (these trends are seen in Figure 1). For example, while the </w:t>
      </w:r>
      <w:r w:rsidRPr="004B36B2">
        <w:rPr>
          <w:rFonts w:asciiTheme="majorBidi" w:hAnsiTheme="majorBidi" w:cstheme="majorBidi"/>
          <w:color w:val="000000" w:themeColor="text1"/>
          <w:szCs w:val="24"/>
          <w:shd w:val="clear" w:color="auto" w:fill="FFFFFF"/>
        </w:rPr>
        <w:lastRenderedPageBreak/>
        <w:t>share of migrants in India has decreased to 37% in 2011 (from 75% in 2001), the share in MEOA has increased to 56% in 2011 (from 20% in 2001) (CBS, 2001, 2011). This large shift in destinations is also evident from the sign of the coefficients for the instrumental variables in Table 2.</w:t>
      </w:r>
      <w:r w:rsidRPr="004B36B2">
        <w:rPr>
          <w:rFonts w:asciiTheme="majorBidi" w:hAnsiTheme="majorBidi" w:cstheme="majorBidi"/>
          <w:color w:val="000000" w:themeColor="text1"/>
          <w:szCs w:val="24"/>
        </w:rPr>
        <w:t xml:space="preserve"> </w:t>
      </w:r>
    </w:p>
    <w:p w14:paraId="436F8220" w14:textId="77777777" w:rsidR="00DC7903" w:rsidRPr="00DC7903" w:rsidRDefault="00DC7903" w:rsidP="00283A3C">
      <w:pPr>
        <w:spacing w:line="288" w:lineRule="auto"/>
        <w:jc w:val="both"/>
        <w:rPr>
          <w:rFonts w:asciiTheme="majorBidi" w:hAnsiTheme="majorBidi" w:cstheme="majorBidi"/>
          <w:color w:val="000000" w:themeColor="text1"/>
          <w:sz w:val="20"/>
          <w:szCs w:val="20"/>
        </w:rPr>
      </w:pPr>
    </w:p>
    <w:p w14:paraId="34F34CD5" w14:textId="40B0EEBE" w:rsidR="00D049DD" w:rsidRDefault="005E4A2C" w:rsidP="00FF7B74">
      <w:pPr>
        <w:spacing w:line="288" w:lineRule="auto"/>
        <w:jc w:val="both"/>
        <w:rPr>
          <w:rFonts w:asciiTheme="majorBidi" w:hAnsiTheme="majorBidi" w:cstheme="majorBidi"/>
          <w:color w:val="000000" w:themeColor="text1"/>
          <w:szCs w:val="24"/>
        </w:rPr>
      </w:pPr>
      <w:r>
        <w:rPr>
          <w:rFonts w:asciiTheme="majorBidi" w:hAnsiTheme="majorBidi" w:cstheme="majorBidi"/>
          <w:color w:val="000000" w:themeColor="text1"/>
          <w:szCs w:val="24"/>
        </w:rPr>
        <w:tab/>
      </w:r>
      <w:r w:rsidRPr="004B36B2">
        <w:rPr>
          <w:rFonts w:asciiTheme="majorBidi" w:hAnsiTheme="majorBidi" w:cstheme="majorBidi"/>
          <w:color w:val="000000" w:themeColor="text1"/>
          <w:szCs w:val="24"/>
        </w:rPr>
        <w:t>Given the validity of the instrumental variables, we proceed with the main analyses, which are laid out as follows (with fuller details given below). Table 3 contains results for the impacts of migration and remittances on Basic and Secondary education net enrolment rates. Table 4 has the results for the effects of migration and remittances on child labour force participation, in terms of the extensive margin (whether working or not) and the intensive margin (how many hours worked). Finally, the impacts of migration and remittances on the more typically studied indicators, of school attendance and the dropout rate, are reported in Table 5, where the purpose of these additional results is to contrast with the more nuanced results shown in Tables 3 and 4</w:t>
      </w:r>
      <w:r w:rsidR="005E09E8">
        <w:rPr>
          <w:rFonts w:asciiTheme="majorBidi" w:hAnsiTheme="majorBidi" w:cstheme="majorBidi"/>
          <w:color w:val="000000" w:themeColor="text1"/>
          <w:szCs w:val="24"/>
        </w:rPr>
        <w:t>.</w:t>
      </w:r>
    </w:p>
    <w:p w14:paraId="5EC3D4ED" w14:textId="77777777" w:rsidR="00206B37" w:rsidRDefault="00206B37" w:rsidP="00FF7B74">
      <w:pPr>
        <w:spacing w:line="288" w:lineRule="auto"/>
        <w:jc w:val="both"/>
        <w:rPr>
          <w:rFonts w:asciiTheme="majorBidi" w:hAnsiTheme="majorBidi" w:cstheme="majorBidi"/>
          <w:color w:val="000000" w:themeColor="text1"/>
          <w:szCs w:val="24"/>
        </w:rPr>
      </w:pPr>
    </w:p>
    <w:tbl>
      <w:tblPr>
        <w:tblW w:w="10405" w:type="dxa"/>
        <w:jc w:val="center"/>
        <w:tblLook w:val="04A0" w:firstRow="1" w:lastRow="0" w:firstColumn="1" w:lastColumn="0" w:noHBand="0" w:noVBand="1"/>
      </w:tblPr>
      <w:tblGrid>
        <w:gridCol w:w="6273"/>
        <w:gridCol w:w="2324"/>
        <w:gridCol w:w="1808"/>
      </w:tblGrid>
      <w:tr w:rsidR="0010167B" w:rsidRPr="004B36B2" w14:paraId="69962D2C" w14:textId="77777777" w:rsidTr="00E35897">
        <w:trPr>
          <w:trHeight w:val="206"/>
          <w:jc w:val="center"/>
        </w:trPr>
        <w:tc>
          <w:tcPr>
            <w:tcW w:w="10405" w:type="dxa"/>
            <w:gridSpan w:val="3"/>
            <w:tcBorders>
              <w:top w:val="nil"/>
              <w:left w:val="nil"/>
              <w:bottom w:val="single" w:sz="8" w:space="0" w:color="auto"/>
              <w:right w:val="nil"/>
            </w:tcBorders>
            <w:shd w:val="clear" w:color="000000" w:fill="FFFFFF"/>
            <w:noWrap/>
            <w:vAlign w:val="center"/>
            <w:hideMark/>
          </w:tcPr>
          <w:p w14:paraId="7D02A58E" w14:textId="0EDB9818" w:rsidR="0010167B" w:rsidRPr="00735EAE" w:rsidRDefault="0010167B" w:rsidP="00510A97">
            <w:pPr>
              <w:spacing w:after="60"/>
              <w:jc w:val="center"/>
              <w:rPr>
                <w:rFonts w:eastAsia="Times New Roman" w:cs="Times New Roman"/>
                <w:b/>
                <w:bCs/>
                <w:color w:val="000000" w:themeColor="text1"/>
                <w:sz w:val="22"/>
                <w:u w:val="single"/>
              </w:rPr>
            </w:pPr>
            <w:r w:rsidRPr="00735EAE">
              <w:rPr>
                <w:rFonts w:eastAsia="Times New Roman" w:cs="Times New Roman"/>
                <w:b/>
                <w:bCs/>
                <w:color w:val="000000" w:themeColor="text1"/>
                <w:sz w:val="22"/>
                <w:lang w:eastAsia="en-NZ"/>
              </w:rPr>
              <w:t xml:space="preserve">Table 2: The </w:t>
            </w:r>
            <w:r w:rsidR="002C0736" w:rsidRPr="00735EAE">
              <w:rPr>
                <w:rFonts w:eastAsia="Times New Roman" w:cs="Times New Roman"/>
                <w:b/>
                <w:bCs/>
                <w:color w:val="000000" w:themeColor="text1"/>
                <w:sz w:val="22"/>
                <w:lang w:eastAsia="en-NZ"/>
              </w:rPr>
              <w:t>First Stage Migration and Remittance Model Estimating the Effect of Instrument</w:t>
            </w:r>
          </w:p>
        </w:tc>
      </w:tr>
      <w:tr w:rsidR="0010167B" w:rsidRPr="004B36B2" w14:paraId="2FAF8B6B" w14:textId="77777777" w:rsidTr="00E35897">
        <w:trPr>
          <w:trHeight w:val="279"/>
          <w:jc w:val="center"/>
        </w:trPr>
        <w:tc>
          <w:tcPr>
            <w:tcW w:w="6273" w:type="dxa"/>
            <w:tcBorders>
              <w:top w:val="nil"/>
              <w:left w:val="nil"/>
              <w:bottom w:val="single" w:sz="8" w:space="0" w:color="auto"/>
              <w:right w:val="nil"/>
            </w:tcBorders>
            <w:shd w:val="clear" w:color="000000" w:fill="FFFFFF"/>
            <w:noWrap/>
            <w:vAlign w:val="center"/>
            <w:hideMark/>
          </w:tcPr>
          <w:p w14:paraId="414FE31A" w14:textId="77777777" w:rsidR="0010167B" w:rsidRPr="00735EAE" w:rsidRDefault="0010167B" w:rsidP="00510A97">
            <w:pPr>
              <w:spacing w:before="60" w:after="6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single" w:sz="8" w:space="0" w:color="auto"/>
              <w:right w:val="nil"/>
            </w:tcBorders>
            <w:shd w:val="clear" w:color="000000" w:fill="FFFFFF"/>
            <w:noWrap/>
            <w:vAlign w:val="center"/>
            <w:hideMark/>
          </w:tcPr>
          <w:p w14:paraId="30C8286D" w14:textId="77777777" w:rsidR="0010167B" w:rsidRPr="00735EAE" w:rsidRDefault="0010167B" w:rsidP="00510A97">
            <w:pPr>
              <w:spacing w:before="60" w:after="60"/>
              <w:jc w:val="both"/>
              <w:rPr>
                <w:rFonts w:eastAsia="Times New Roman" w:cs="Times New Roman"/>
                <w:color w:val="000000" w:themeColor="text1"/>
                <w:sz w:val="22"/>
              </w:rPr>
            </w:pPr>
            <w:r w:rsidRPr="00735EAE">
              <w:rPr>
                <w:rFonts w:eastAsia="Times New Roman" w:cs="Times New Roman"/>
                <w:color w:val="000000" w:themeColor="text1"/>
                <w:sz w:val="22"/>
              </w:rPr>
              <w:t>Migration</w:t>
            </w:r>
          </w:p>
        </w:tc>
        <w:tc>
          <w:tcPr>
            <w:tcW w:w="1807" w:type="dxa"/>
            <w:tcBorders>
              <w:top w:val="nil"/>
              <w:left w:val="nil"/>
              <w:bottom w:val="single" w:sz="8" w:space="0" w:color="auto"/>
              <w:right w:val="nil"/>
            </w:tcBorders>
            <w:shd w:val="clear" w:color="000000" w:fill="FFFFFF"/>
            <w:noWrap/>
            <w:vAlign w:val="center"/>
            <w:hideMark/>
          </w:tcPr>
          <w:p w14:paraId="09C3981F" w14:textId="77777777" w:rsidR="0010167B" w:rsidRPr="00735EAE" w:rsidRDefault="0010167B" w:rsidP="00510A97">
            <w:pPr>
              <w:spacing w:before="60" w:after="60"/>
              <w:jc w:val="both"/>
              <w:rPr>
                <w:rFonts w:eastAsia="Times New Roman" w:cs="Times New Roman"/>
                <w:color w:val="000000" w:themeColor="text1"/>
                <w:sz w:val="22"/>
              </w:rPr>
            </w:pPr>
            <w:r w:rsidRPr="00735EAE">
              <w:rPr>
                <w:rFonts w:eastAsia="Times New Roman" w:cs="Times New Roman"/>
                <w:color w:val="000000" w:themeColor="text1"/>
                <w:sz w:val="22"/>
              </w:rPr>
              <w:t>Remittance</w:t>
            </w:r>
          </w:p>
        </w:tc>
      </w:tr>
      <w:tr w:rsidR="0010167B" w:rsidRPr="004B36B2" w14:paraId="096F889F" w14:textId="77777777" w:rsidTr="00E35897">
        <w:trPr>
          <w:trHeight w:val="200"/>
          <w:jc w:val="center"/>
        </w:trPr>
        <w:tc>
          <w:tcPr>
            <w:tcW w:w="6273" w:type="dxa"/>
            <w:tcBorders>
              <w:top w:val="nil"/>
              <w:left w:val="nil"/>
              <w:bottom w:val="nil"/>
              <w:right w:val="nil"/>
            </w:tcBorders>
            <w:shd w:val="clear" w:color="000000" w:fill="FFFFFF"/>
            <w:noWrap/>
            <w:vAlign w:val="center"/>
            <w:hideMark/>
          </w:tcPr>
          <w:p w14:paraId="7C845D83"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 xml:space="preserve">Predicted migration to India </w:t>
            </w:r>
          </w:p>
        </w:tc>
        <w:tc>
          <w:tcPr>
            <w:tcW w:w="2324" w:type="dxa"/>
            <w:tcBorders>
              <w:top w:val="nil"/>
              <w:left w:val="nil"/>
              <w:bottom w:val="nil"/>
              <w:right w:val="nil"/>
            </w:tcBorders>
            <w:shd w:val="clear" w:color="000000" w:fill="FFFFFF"/>
            <w:noWrap/>
            <w:vAlign w:val="center"/>
            <w:hideMark/>
          </w:tcPr>
          <w:p w14:paraId="7D045C07"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-1.157</w:t>
            </w:r>
          </w:p>
        </w:tc>
        <w:tc>
          <w:tcPr>
            <w:tcW w:w="1807" w:type="dxa"/>
            <w:tcBorders>
              <w:top w:val="nil"/>
              <w:left w:val="nil"/>
              <w:bottom w:val="nil"/>
              <w:right w:val="nil"/>
            </w:tcBorders>
            <w:shd w:val="clear" w:color="000000" w:fill="FFFFFF"/>
            <w:noWrap/>
            <w:vAlign w:val="bottom"/>
            <w:hideMark/>
          </w:tcPr>
          <w:p w14:paraId="2B4B790C"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-0.502</w:t>
            </w:r>
          </w:p>
        </w:tc>
      </w:tr>
      <w:tr w:rsidR="0010167B" w:rsidRPr="004B36B2" w14:paraId="17F2E4D4" w14:textId="77777777" w:rsidTr="00E35897">
        <w:trPr>
          <w:trHeight w:val="80"/>
          <w:jc w:val="center"/>
        </w:trPr>
        <w:tc>
          <w:tcPr>
            <w:tcW w:w="6273" w:type="dxa"/>
            <w:tcBorders>
              <w:top w:val="nil"/>
              <w:left w:val="nil"/>
              <w:bottom w:val="nil"/>
              <w:right w:val="nil"/>
            </w:tcBorders>
            <w:shd w:val="clear" w:color="000000" w:fill="FFFFFF"/>
            <w:noWrap/>
            <w:vAlign w:val="center"/>
            <w:hideMark/>
          </w:tcPr>
          <w:p w14:paraId="16D8E546"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vAlign w:val="center"/>
            <w:hideMark/>
          </w:tcPr>
          <w:p w14:paraId="19E07A09"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6.367)*</w:t>
            </w:r>
            <w:proofErr w:type="gramEnd"/>
            <w:r w:rsidRPr="00735EAE">
              <w:rPr>
                <w:rFonts w:eastAsia="Times New Roman" w:cs="Times New Roman"/>
                <w:color w:val="000000" w:themeColor="text1"/>
                <w:sz w:val="22"/>
              </w:rPr>
              <w:t>**</w:t>
            </w:r>
          </w:p>
        </w:tc>
        <w:tc>
          <w:tcPr>
            <w:tcW w:w="1807" w:type="dxa"/>
            <w:tcBorders>
              <w:top w:val="nil"/>
              <w:left w:val="nil"/>
              <w:bottom w:val="nil"/>
              <w:right w:val="nil"/>
            </w:tcBorders>
            <w:shd w:val="clear" w:color="000000" w:fill="FFFFFF"/>
            <w:noWrap/>
            <w:hideMark/>
          </w:tcPr>
          <w:p w14:paraId="53B6694F"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3.236)*</w:t>
            </w:r>
            <w:proofErr w:type="gramEnd"/>
            <w:r w:rsidRPr="00735EAE">
              <w:rPr>
                <w:rFonts w:eastAsia="Times New Roman" w:cs="Times New Roman"/>
                <w:color w:val="000000" w:themeColor="text1"/>
                <w:sz w:val="22"/>
              </w:rPr>
              <w:t>**</w:t>
            </w:r>
          </w:p>
        </w:tc>
      </w:tr>
      <w:tr w:rsidR="0010167B" w:rsidRPr="004B36B2" w14:paraId="0FEAC9A4" w14:textId="77777777" w:rsidTr="00E35897">
        <w:trPr>
          <w:trHeight w:val="144"/>
          <w:jc w:val="center"/>
        </w:trPr>
        <w:tc>
          <w:tcPr>
            <w:tcW w:w="6273" w:type="dxa"/>
            <w:tcBorders>
              <w:top w:val="nil"/>
              <w:left w:val="nil"/>
              <w:bottom w:val="nil"/>
              <w:right w:val="nil"/>
            </w:tcBorders>
            <w:shd w:val="clear" w:color="000000" w:fill="FFFFFF"/>
            <w:noWrap/>
            <w:vAlign w:val="bottom"/>
            <w:hideMark/>
          </w:tcPr>
          <w:p w14:paraId="5C41466C"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Predicted migration to MEOA</w:t>
            </w:r>
          </w:p>
        </w:tc>
        <w:tc>
          <w:tcPr>
            <w:tcW w:w="2324" w:type="dxa"/>
            <w:tcBorders>
              <w:top w:val="nil"/>
              <w:left w:val="nil"/>
              <w:bottom w:val="nil"/>
              <w:right w:val="nil"/>
            </w:tcBorders>
            <w:shd w:val="clear" w:color="000000" w:fill="FFFFFF"/>
            <w:noWrap/>
            <w:vAlign w:val="bottom"/>
            <w:hideMark/>
          </w:tcPr>
          <w:p w14:paraId="4F3779EC"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0.823</w:t>
            </w:r>
          </w:p>
        </w:tc>
        <w:tc>
          <w:tcPr>
            <w:tcW w:w="1807" w:type="dxa"/>
            <w:tcBorders>
              <w:top w:val="nil"/>
              <w:left w:val="nil"/>
              <w:bottom w:val="nil"/>
              <w:right w:val="nil"/>
            </w:tcBorders>
            <w:shd w:val="clear" w:color="000000" w:fill="FFFFFF"/>
            <w:noWrap/>
            <w:vAlign w:val="bottom"/>
            <w:hideMark/>
          </w:tcPr>
          <w:p w14:paraId="1E4D20AA"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0.518</w:t>
            </w:r>
          </w:p>
        </w:tc>
      </w:tr>
      <w:tr w:rsidR="0010167B" w:rsidRPr="004B36B2" w14:paraId="3EF09EF9" w14:textId="77777777" w:rsidTr="00E35897">
        <w:trPr>
          <w:trHeight w:val="131"/>
          <w:jc w:val="center"/>
        </w:trPr>
        <w:tc>
          <w:tcPr>
            <w:tcW w:w="6273" w:type="dxa"/>
            <w:tcBorders>
              <w:top w:val="nil"/>
              <w:left w:val="nil"/>
              <w:bottom w:val="nil"/>
              <w:right w:val="nil"/>
            </w:tcBorders>
            <w:shd w:val="clear" w:color="000000" w:fill="FFFFFF"/>
            <w:noWrap/>
            <w:hideMark/>
          </w:tcPr>
          <w:p w14:paraId="3D464EAD"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4D45223B"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9.565)*</w:t>
            </w:r>
            <w:proofErr w:type="gramEnd"/>
            <w:r w:rsidRPr="00735EAE">
              <w:rPr>
                <w:rFonts w:eastAsia="Times New Roman" w:cs="Times New Roman"/>
                <w:color w:val="000000" w:themeColor="text1"/>
                <w:sz w:val="22"/>
              </w:rPr>
              <w:t>**</w:t>
            </w:r>
          </w:p>
        </w:tc>
        <w:tc>
          <w:tcPr>
            <w:tcW w:w="1807" w:type="dxa"/>
            <w:tcBorders>
              <w:top w:val="nil"/>
              <w:left w:val="nil"/>
              <w:bottom w:val="nil"/>
              <w:right w:val="nil"/>
            </w:tcBorders>
            <w:shd w:val="clear" w:color="000000" w:fill="FFFFFF"/>
            <w:noWrap/>
            <w:hideMark/>
          </w:tcPr>
          <w:p w14:paraId="703F1409"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4.824)*</w:t>
            </w:r>
            <w:proofErr w:type="gramEnd"/>
            <w:r w:rsidRPr="00735EAE">
              <w:rPr>
                <w:rFonts w:eastAsia="Times New Roman" w:cs="Times New Roman"/>
                <w:color w:val="000000" w:themeColor="text1"/>
                <w:sz w:val="22"/>
              </w:rPr>
              <w:t>**</w:t>
            </w:r>
          </w:p>
        </w:tc>
      </w:tr>
      <w:tr w:rsidR="0010167B" w:rsidRPr="004B36B2" w14:paraId="1D9DB111" w14:textId="77777777" w:rsidTr="00E35897">
        <w:trPr>
          <w:trHeight w:val="194"/>
          <w:jc w:val="center"/>
        </w:trPr>
        <w:tc>
          <w:tcPr>
            <w:tcW w:w="6273" w:type="dxa"/>
            <w:tcBorders>
              <w:top w:val="nil"/>
              <w:left w:val="nil"/>
              <w:bottom w:val="nil"/>
              <w:right w:val="nil"/>
            </w:tcBorders>
            <w:shd w:val="clear" w:color="000000" w:fill="FFFFFF"/>
            <w:noWrap/>
            <w:vAlign w:val="bottom"/>
            <w:hideMark/>
          </w:tcPr>
          <w:p w14:paraId="300F7A1E"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Agriculture land owned</w:t>
            </w:r>
          </w:p>
        </w:tc>
        <w:tc>
          <w:tcPr>
            <w:tcW w:w="2324" w:type="dxa"/>
            <w:tcBorders>
              <w:top w:val="nil"/>
              <w:left w:val="nil"/>
              <w:bottom w:val="nil"/>
              <w:right w:val="nil"/>
            </w:tcBorders>
            <w:shd w:val="clear" w:color="000000" w:fill="FFFFFF"/>
            <w:noWrap/>
            <w:vAlign w:val="bottom"/>
            <w:hideMark/>
          </w:tcPr>
          <w:p w14:paraId="5CCCAB8F"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1.367</w:t>
            </w:r>
          </w:p>
        </w:tc>
        <w:tc>
          <w:tcPr>
            <w:tcW w:w="1807" w:type="dxa"/>
            <w:tcBorders>
              <w:top w:val="nil"/>
              <w:left w:val="nil"/>
              <w:bottom w:val="nil"/>
              <w:right w:val="nil"/>
            </w:tcBorders>
            <w:shd w:val="clear" w:color="000000" w:fill="FFFFFF"/>
            <w:noWrap/>
            <w:vAlign w:val="bottom"/>
            <w:hideMark/>
          </w:tcPr>
          <w:p w14:paraId="32DE84E9"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-4.327</w:t>
            </w:r>
          </w:p>
        </w:tc>
      </w:tr>
      <w:tr w:rsidR="0010167B" w:rsidRPr="004B36B2" w14:paraId="209E867B" w14:textId="77777777" w:rsidTr="00E35897">
        <w:trPr>
          <w:trHeight w:val="147"/>
          <w:jc w:val="center"/>
        </w:trPr>
        <w:tc>
          <w:tcPr>
            <w:tcW w:w="6273" w:type="dxa"/>
            <w:tcBorders>
              <w:top w:val="nil"/>
              <w:left w:val="nil"/>
              <w:bottom w:val="nil"/>
              <w:right w:val="nil"/>
            </w:tcBorders>
            <w:shd w:val="clear" w:color="000000" w:fill="FFFFFF"/>
            <w:noWrap/>
            <w:hideMark/>
          </w:tcPr>
          <w:p w14:paraId="459EAB86"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7326FF0E"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(0.662)</w:t>
            </w:r>
          </w:p>
        </w:tc>
        <w:tc>
          <w:tcPr>
            <w:tcW w:w="1807" w:type="dxa"/>
            <w:tcBorders>
              <w:top w:val="nil"/>
              <w:left w:val="nil"/>
              <w:bottom w:val="nil"/>
              <w:right w:val="nil"/>
            </w:tcBorders>
            <w:shd w:val="clear" w:color="000000" w:fill="FFFFFF"/>
            <w:noWrap/>
            <w:hideMark/>
          </w:tcPr>
          <w:p w14:paraId="3A13B1F3"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(1.573)</w:t>
            </w:r>
          </w:p>
        </w:tc>
      </w:tr>
      <w:tr w:rsidR="0010167B" w:rsidRPr="004B36B2" w14:paraId="63B743A9" w14:textId="77777777" w:rsidTr="00E35897">
        <w:trPr>
          <w:trHeight w:val="194"/>
          <w:jc w:val="center"/>
        </w:trPr>
        <w:tc>
          <w:tcPr>
            <w:tcW w:w="6273" w:type="dxa"/>
            <w:tcBorders>
              <w:top w:val="nil"/>
              <w:left w:val="nil"/>
              <w:bottom w:val="nil"/>
              <w:right w:val="nil"/>
            </w:tcBorders>
            <w:shd w:val="clear" w:color="000000" w:fill="FFFFFF"/>
            <w:noWrap/>
            <w:vAlign w:val="bottom"/>
            <w:hideMark/>
          </w:tcPr>
          <w:p w14:paraId="7C99CFEE" w14:textId="64B2955B"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N</w:t>
            </w:r>
            <w:r w:rsidR="00AE6AFD" w:rsidRPr="00735EAE">
              <w:rPr>
                <w:rFonts w:eastAsia="Times New Roman" w:cs="Times New Roman"/>
                <w:color w:val="000000" w:themeColor="text1"/>
                <w:sz w:val="22"/>
              </w:rPr>
              <w:t xml:space="preserve">umber </w:t>
            </w:r>
            <w:r w:rsidRPr="00735EAE">
              <w:rPr>
                <w:rFonts w:eastAsia="Times New Roman" w:cs="Times New Roman"/>
                <w:color w:val="000000" w:themeColor="text1"/>
                <w:sz w:val="22"/>
              </w:rPr>
              <w:t>of Household member</w:t>
            </w:r>
            <w:r w:rsidR="00AE6AFD" w:rsidRPr="00735EAE">
              <w:rPr>
                <w:rFonts w:eastAsia="Times New Roman" w:cs="Times New Roman"/>
                <w:color w:val="000000" w:themeColor="text1"/>
                <w:sz w:val="22"/>
              </w:rPr>
              <w:t>s</w:t>
            </w:r>
          </w:p>
        </w:tc>
        <w:tc>
          <w:tcPr>
            <w:tcW w:w="2324" w:type="dxa"/>
            <w:tcBorders>
              <w:top w:val="nil"/>
              <w:left w:val="nil"/>
              <w:bottom w:val="nil"/>
              <w:right w:val="nil"/>
            </w:tcBorders>
            <w:shd w:val="clear" w:color="000000" w:fill="FFFFFF"/>
            <w:noWrap/>
            <w:vAlign w:val="bottom"/>
            <w:hideMark/>
          </w:tcPr>
          <w:p w14:paraId="33CAE6F5"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0.53</w:t>
            </w:r>
          </w:p>
        </w:tc>
        <w:tc>
          <w:tcPr>
            <w:tcW w:w="1807" w:type="dxa"/>
            <w:tcBorders>
              <w:top w:val="nil"/>
              <w:left w:val="nil"/>
              <w:bottom w:val="nil"/>
              <w:right w:val="nil"/>
            </w:tcBorders>
            <w:shd w:val="clear" w:color="000000" w:fill="FFFFFF"/>
            <w:noWrap/>
            <w:vAlign w:val="bottom"/>
            <w:hideMark/>
          </w:tcPr>
          <w:p w14:paraId="0A0B0479"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1.036</w:t>
            </w:r>
          </w:p>
        </w:tc>
      </w:tr>
      <w:tr w:rsidR="0010167B" w:rsidRPr="004B36B2" w14:paraId="168223E9" w14:textId="77777777" w:rsidTr="00E35897">
        <w:trPr>
          <w:trHeight w:val="164"/>
          <w:jc w:val="center"/>
        </w:trPr>
        <w:tc>
          <w:tcPr>
            <w:tcW w:w="6273" w:type="dxa"/>
            <w:tcBorders>
              <w:top w:val="nil"/>
              <w:left w:val="nil"/>
              <w:bottom w:val="nil"/>
              <w:right w:val="nil"/>
            </w:tcBorders>
            <w:shd w:val="clear" w:color="000000" w:fill="FFFFFF"/>
            <w:noWrap/>
            <w:hideMark/>
          </w:tcPr>
          <w:p w14:paraId="08ABA2F5"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3B974E72"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(0.258)</w:t>
            </w:r>
          </w:p>
        </w:tc>
        <w:tc>
          <w:tcPr>
            <w:tcW w:w="1807" w:type="dxa"/>
            <w:tcBorders>
              <w:top w:val="nil"/>
              <w:left w:val="nil"/>
              <w:bottom w:val="nil"/>
              <w:right w:val="nil"/>
            </w:tcBorders>
            <w:shd w:val="clear" w:color="000000" w:fill="FFFFFF"/>
            <w:noWrap/>
            <w:hideMark/>
          </w:tcPr>
          <w:p w14:paraId="36A94328"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(0.641)</w:t>
            </w:r>
          </w:p>
        </w:tc>
      </w:tr>
      <w:tr w:rsidR="0010167B" w:rsidRPr="004B36B2" w14:paraId="6EEB7CCC" w14:textId="77777777" w:rsidTr="00E35897">
        <w:trPr>
          <w:trHeight w:val="194"/>
          <w:jc w:val="center"/>
        </w:trPr>
        <w:tc>
          <w:tcPr>
            <w:tcW w:w="6273" w:type="dxa"/>
            <w:tcBorders>
              <w:top w:val="nil"/>
              <w:left w:val="nil"/>
              <w:bottom w:val="nil"/>
              <w:right w:val="nil"/>
            </w:tcBorders>
            <w:shd w:val="clear" w:color="000000" w:fill="FFFFFF"/>
            <w:noWrap/>
            <w:vAlign w:val="bottom"/>
            <w:hideMark/>
          </w:tcPr>
          <w:p w14:paraId="19A854F9" w14:textId="406BBA43"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Parents</w:t>
            </w:r>
            <w:r w:rsidR="00AE6AFD" w:rsidRPr="00735EAE">
              <w:rPr>
                <w:rFonts w:eastAsia="Times New Roman" w:cs="Times New Roman"/>
                <w:color w:val="000000" w:themeColor="text1"/>
                <w:sz w:val="22"/>
              </w:rPr>
              <w:t xml:space="preserve">’ </w:t>
            </w:r>
            <w:r w:rsidRPr="00735EAE">
              <w:rPr>
                <w:rFonts w:eastAsia="Times New Roman" w:cs="Times New Roman"/>
                <w:color w:val="000000" w:themeColor="text1"/>
                <w:sz w:val="22"/>
              </w:rPr>
              <w:t>education (with high school or above)</w:t>
            </w:r>
          </w:p>
        </w:tc>
        <w:tc>
          <w:tcPr>
            <w:tcW w:w="2324" w:type="dxa"/>
            <w:tcBorders>
              <w:top w:val="nil"/>
              <w:left w:val="nil"/>
              <w:bottom w:val="nil"/>
              <w:right w:val="nil"/>
            </w:tcBorders>
            <w:shd w:val="clear" w:color="000000" w:fill="FFFFFF"/>
            <w:noWrap/>
            <w:vAlign w:val="bottom"/>
            <w:hideMark/>
          </w:tcPr>
          <w:p w14:paraId="69D09831"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62.274</w:t>
            </w:r>
          </w:p>
        </w:tc>
        <w:tc>
          <w:tcPr>
            <w:tcW w:w="1807" w:type="dxa"/>
            <w:tcBorders>
              <w:top w:val="nil"/>
              <w:left w:val="nil"/>
              <w:bottom w:val="nil"/>
              <w:right w:val="nil"/>
            </w:tcBorders>
            <w:shd w:val="clear" w:color="000000" w:fill="FFFFFF"/>
            <w:noWrap/>
            <w:vAlign w:val="bottom"/>
            <w:hideMark/>
          </w:tcPr>
          <w:p w14:paraId="026B7170"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68.003</w:t>
            </w:r>
          </w:p>
        </w:tc>
      </w:tr>
      <w:tr w:rsidR="0010167B" w:rsidRPr="004B36B2" w14:paraId="15D55C8A" w14:textId="77777777" w:rsidTr="00E35897">
        <w:trPr>
          <w:trHeight w:val="136"/>
          <w:jc w:val="center"/>
        </w:trPr>
        <w:tc>
          <w:tcPr>
            <w:tcW w:w="6273" w:type="dxa"/>
            <w:tcBorders>
              <w:top w:val="nil"/>
              <w:left w:val="nil"/>
              <w:bottom w:val="nil"/>
              <w:right w:val="nil"/>
            </w:tcBorders>
            <w:shd w:val="clear" w:color="000000" w:fill="FFFFFF"/>
            <w:noWrap/>
            <w:hideMark/>
          </w:tcPr>
          <w:p w14:paraId="5B1F9745"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65FB17E4"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1.962)*</w:t>
            </w:r>
            <w:proofErr w:type="gramEnd"/>
          </w:p>
        </w:tc>
        <w:tc>
          <w:tcPr>
            <w:tcW w:w="1807" w:type="dxa"/>
            <w:tcBorders>
              <w:top w:val="nil"/>
              <w:left w:val="nil"/>
              <w:bottom w:val="nil"/>
              <w:right w:val="nil"/>
            </w:tcBorders>
            <w:shd w:val="clear" w:color="000000" w:fill="FFFFFF"/>
            <w:noWrap/>
            <w:hideMark/>
          </w:tcPr>
          <w:p w14:paraId="6CD08042"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(0.92)</w:t>
            </w:r>
          </w:p>
        </w:tc>
      </w:tr>
      <w:tr w:rsidR="0010167B" w:rsidRPr="004B36B2" w14:paraId="1AD01AD2" w14:textId="77777777" w:rsidTr="00E35897">
        <w:trPr>
          <w:trHeight w:val="194"/>
          <w:jc w:val="center"/>
        </w:trPr>
        <w:tc>
          <w:tcPr>
            <w:tcW w:w="6273" w:type="dxa"/>
            <w:tcBorders>
              <w:top w:val="nil"/>
              <w:left w:val="nil"/>
              <w:bottom w:val="nil"/>
              <w:right w:val="nil"/>
            </w:tcBorders>
            <w:shd w:val="clear" w:color="000000" w:fill="FFFFFF"/>
            <w:noWrap/>
            <w:vAlign w:val="bottom"/>
            <w:hideMark/>
          </w:tcPr>
          <w:p w14:paraId="354BD7A6"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Share of working age (15-60)</w:t>
            </w:r>
          </w:p>
        </w:tc>
        <w:tc>
          <w:tcPr>
            <w:tcW w:w="2324" w:type="dxa"/>
            <w:tcBorders>
              <w:top w:val="nil"/>
              <w:left w:val="nil"/>
              <w:bottom w:val="nil"/>
              <w:right w:val="nil"/>
            </w:tcBorders>
            <w:shd w:val="clear" w:color="000000" w:fill="FFFFFF"/>
            <w:noWrap/>
            <w:vAlign w:val="bottom"/>
            <w:hideMark/>
          </w:tcPr>
          <w:p w14:paraId="399CDA04"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-189.123</w:t>
            </w:r>
          </w:p>
        </w:tc>
        <w:tc>
          <w:tcPr>
            <w:tcW w:w="1807" w:type="dxa"/>
            <w:tcBorders>
              <w:top w:val="nil"/>
              <w:left w:val="nil"/>
              <w:bottom w:val="nil"/>
              <w:right w:val="nil"/>
            </w:tcBorders>
            <w:shd w:val="clear" w:color="000000" w:fill="FFFFFF"/>
            <w:noWrap/>
            <w:vAlign w:val="bottom"/>
            <w:hideMark/>
          </w:tcPr>
          <w:p w14:paraId="516495B5"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-23.054</w:t>
            </w:r>
          </w:p>
        </w:tc>
      </w:tr>
      <w:tr w:rsidR="0010167B" w:rsidRPr="004B36B2" w14:paraId="31CFB2E6" w14:textId="77777777" w:rsidTr="00E35897">
        <w:trPr>
          <w:trHeight w:val="158"/>
          <w:jc w:val="center"/>
        </w:trPr>
        <w:tc>
          <w:tcPr>
            <w:tcW w:w="6273" w:type="dxa"/>
            <w:tcBorders>
              <w:top w:val="nil"/>
              <w:left w:val="nil"/>
              <w:bottom w:val="nil"/>
              <w:right w:val="nil"/>
            </w:tcBorders>
            <w:shd w:val="clear" w:color="000000" w:fill="FFFFFF"/>
            <w:noWrap/>
            <w:hideMark/>
          </w:tcPr>
          <w:p w14:paraId="3CA1AA81"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2116E3E4"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6.046)*</w:t>
            </w:r>
            <w:proofErr w:type="gramEnd"/>
            <w:r w:rsidRPr="00735EAE">
              <w:rPr>
                <w:rFonts w:eastAsia="Times New Roman" w:cs="Times New Roman"/>
                <w:color w:val="000000" w:themeColor="text1"/>
                <w:sz w:val="22"/>
              </w:rPr>
              <w:t>**</w:t>
            </w:r>
          </w:p>
        </w:tc>
        <w:tc>
          <w:tcPr>
            <w:tcW w:w="1807" w:type="dxa"/>
            <w:tcBorders>
              <w:top w:val="nil"/>
              <w:left w:val="nil"/>
              <w:bottom w:val="nil"/>
              <w:right w:val="nil"/>
            </w:tcBorders>
            <w:shd w:val="clear" w:color="000000" w:fill="FFFFFF"/>
            <w:noWrap/>
            <w:hideMark/>
          </w:tcPr>
          <w:p w14:paraId="0631712E"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(0.742)</w:t>
            </w:r>
          </w:p>
        </w:tc>
      </w:tr>
      <w:tr w:rsidR="0010167B" w:rsidRPr="004B36B2" w14:paraId="514A6F69" w14:textId="77777777" w:rsidTr="00E35897">
        <w:trPr>
          <w:trHeight w:val="194"/>
          <w:jc w:val="center"/>
        </w:trPr>
        <w:tc>
          <w:tcPr>
            <w:tcW w:w="6273" w:type="dxa"/>
            <w:tcBorders>
              <w:top w:val="nil"/>
              <w:left w:val="nil"/>
              <w:bottom w:val="nil"/>
              <w:right w:val="nil"/>
            </w:tcBorders>
            <w:shd w:val="clear" w:color="000000" w:fill="FFFFFF"/>
            <w:noWrap/>
            <w:vAlign w:val="bottom"/>
            <w:hideMark/>
          </w:tcPr>
          <w:p w14:paraId="080EFC72"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Share of Migrants with grade ≥ 8</w:t>
            </w:r>
          </w:p>
        </w:tc>
        <w:tc>
          <w:tcPr>
            <w:tcW w:w="2324" w:type="dxa"/>
            <w:tcBorders>
              <w:top w:val="nil"/>
              <w:left w:val="nil"/>
              <w:bottom w:val="nil"/>
              <w:right w:val="nil"/>
            </w:tcBorders>
            <w:shd w:val="clear" w:color="000000" w:fill="FFFFFF"/>
            <w:noWrap/>
            <w:vAlign w:val="bottom"/>
            <w:hideMark/>
          </w:tcPr>
          <w:p w14:paraId="41F7618E"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5.569</w:t>
            </w:r>
          </w:p>
        </w:tc>
        <w:tc>
          <w:tcPr>
            <w:tcW w:w="1807" w:type="dxa"/>
            <w:tcBorders>
              <w:top w:val="nil"/>
              <w:left w:val="nil"/>
              <w:bottom w:val="nil"/>
              <w:right w:val="nil"/>
            </w:tcBorders>
            <w:shd w:val="clear" w:color="000000" w:fill="FFFFFF"/>
            <w:noWrap/>
            <w:vAlign w:val="bottom"/>
            <w:hideMark/>
          </w:tcPr>
          <w:p w14:paraId="4A664AA5"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14.258</w:t>
            </w:r>
          </w:p>
        </w:tc>
      </w:tr>
      <w:tr w:rsidR="0010167B" w:rsidRPr="004B36B2" w14:paraId="1D1A6C9E" w14:textId="77777777" w:rsidTr="00E35897">
        <w:trPr>
          <w:trHeight w:val="194"/>
          <w:jc w:val="center"/>
        </w:trPr>
        <w:tc>
          <w:tcPr>
            <w:tcW w:w="6273" w:type="dxa"/>
            <w:tcBorders>
              <w:top w:val="nil"/>
              <w:left w:val="nil"/>
              <w:bottom w:val="nil"/>
              <w:right w:val="nil"/>
            </w:tcBorders>
            <w:shd w:val="clear" w:color="000000" w:fill="FFFFFF"/>
            <w:noWrap/>
            <w:hideMark/>
          </w:tcPr>
          <w:p w14:paraId="2FA0F652"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4D168633"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(1.28)</w:t>
            </w:r>
          </w:p>
        </w:tc>
        <w:tc>
          <w:tcPr>
            <w:tcW w:w="1807" w:type="dxa"/>
            <w:tcBorders>
              <w:top w:val="nil"/>
              <w:left w:val="nil"/>
              <w:bottom w:val="nil"/>
              <w:right w:val="nil"/>
            </w:tcBorders>
            <w:shd w:val="clear" w:color="000000" w:fill="FFFFFF"/>
            <w:noWrap/>
            <w:hideMark/>
          </w:tcPr>
          <w:p w14:paraId="74272745"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(1.35)</w:t>
            </w:r>
          </w:p>
        </w:tc>
      </w:tr>
      <w:tr w:rsidR="0010167B" w:rsidRPr="004B36B2" w14:paraId="7B87EACB" w14:textId="77777777" w:rsidTr="00E35897">
        <w:trPr>
          <w:trHeight w:val="203"/>
          <w:jc w:val="center"/>
        </w:trPr>
        <w:tc>
          <w:tcPr>
            <w:tcW w:w="6273" w:type="dxa"/>
            <w:tcBorders>
              <w:top w:val="nil"/>
              <w:left w:val="nil"/>
              <w:bottom w:val="nil"/>
              <w:right w:val="nil"/>
            </w:tcBorders>
            <w:shd w:val="clear" w:color="000000" w:fill="FFFFFF"/>
            <w:noWrap/>
            <w:vAlign w:val="bottom"/>
            <w:hideMark/>
          </w:tcPr>
          <w:p w14:paraId="19C5A844"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Share of 15-60 with grade ≥ 8</w:t>
            </w:r>
          </w:p>
        </w:tc>
        <w:tc>
          <w:tcPr>
            <w:tcW w:w="2324" w:type="dxa"/>
            <w:tcBorders>
              <w:top w:val="nil"/>
              <w:left w:val="nil"/>
              <w:bottom w:val="nil"/>
              <w:right w:val="nil"/>
            </w:tcBorders>
            <w:shd w:val="clear" w:color="000000" w:fill="FFFFFF"/>
            <w:noWrap/>
            <w:vAlign w:val="bottom"/>
            <w:hideMark/>
          </w:tcPr>
          <w:p w14:paraId="4ED4FB64"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2.485</w:t>
            </w:r>
          </w:p>
        </w:tc>
        <w:tc>
          <w:tcPr>
            <w:tcW w:w="1807" w:type="dxa"/>
            <w:tcBorders>
              <w:top w:val="nil"/>
              <w:left w:val="nil"/>
              <w:bottom w:val="nil"/>
              <w:right w:val="nil"/>
            </w:tcBorders>
            <w:shd w:val="clear" w:color="000000" w:fill="FFFFFF"/>
            <w:noWrap/>
            <w:vAlign w:val="bottom"/>
            <w:hideMark/>
          </w:tcPr>
          <w:p w14:paraId="5BBCF821"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-0.329</w:t>
            </w:r>
          </w:p>
        </w:tc>
      </w:tr>
      <w:tr w:rsidR="0010167B" w:rsidRPr="004B36B2" w14:paraId="422441FC" w14:textId="77777777" w:rsidTr="00E35897">
        <w:trPr>
          <w:trHeight w:val="220"/>
          <w:jc w:val="center"/>
        </w:trPr>
        <w:tc>
          <w:tcPr>
            <w:tcW w:w="6273" w:type="dxa"/>
            <w:tcBorders>
              <w:top w:val="nil"/>
              <w:left w:val="nil"/>
              <w:bottom w:val="nil"/>
              <w:right w:val="nil"/>
            </w:tcBorders>
            <w:shd w:val="clear" w:color="000000" w:fill="FFFFFF"/>
            <w:noWrap/>
            <w:hideMark/>
          </w:tcPr>
          <w:p w14:paraId="284761A9"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557A6A3C"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(0.102)</w:t>
            </w:r>
          </w:p>
        </w:tc>
        <w:tc>
          <w:tcPr>
            <w:tcW w:w="1807" w:type="dxa"/>
            <w:tcBorders>
              <w:top w:val="nil"/>
              <w:left w:val="nil"/>
              <w:bottom w:val="nil"/>
              <w:right w:val="nil"/>
            </w:tcBorders>
            <w:shd w:val="clear" w:color="000000" w:fill="FFFFFF"/>
            <w:noWrap/>
            <w:hideMark/>
          </w:tcPr>
          <w:p w14:paraId="544A5178"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(0.024)</w:t>
            </w:r>
          </w:p>
        </w:tc>
      </w:tr>
      <w:tr w:rsidR="0010167B" w:rsidRPr="004B36B2" w14:paraId="7C44281A" w14:textId="77777777" w:rsidTr="00E35897">
        <w:trPr>
          <w:trHeight w:val="164"/>
          <w:jc w:val="center"/>
        </w:trPr>
        <w:tc>
          <w:tcPr>
            <w:tcW w:w="6273" w:type="dxa"/>
            <w:tcBorders>
              <w:top w:val="nil"/>
              <w:left w:val="nil"/>
              <w:bottom w:val="nil"/>
              <w:right w:val="nil"/>
            </w:tcBorders>
            <w:shd w:val="clear" w:color="000000" w:fill="FFFFFF"/>
            <w:noWrap/>
            <w:vAlign w:val="bottom"/>
            <w:hideMark/>
          </w:tcPr>
          <w:p w14:paraId="04042EC7"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Literacy rate aged ≥ 17</w:t>
            </w:r>
          </w:p>
        </w:tc>
        <w:tc>
          <w:tcPr>
            <w:tcW w:w="2324" w:type="dxa"/>
            <w:tcBorders>
              <w:top w:val="nil"/>
              <w:left w:val="nil"/>
              <w:bottom w:val="nil"/>
              <w:right w:val="nil"/>
            </w:tcBorders>
            <w:shd w:val="clear" w:color="000000" w:fill="FFFFFF"/>
            <w:noWrap/>
            <w:vAlign w:val="bottom"/>
            <w:hideMark/>
          </w:tcPr>
          <w:p w14:paraId="2F832DAF"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-5.855</w:t>
            </w:r>
          </w:p>
        </w:tc>
        <w:tc>
          <w:tcPr>
            <w:tcW w:w="1807" w:type="dxa"/>
            <w:tcBorders>
              <w:top w:val="nil"/>
              <w:left w:val="nil"/>
              <w:bottom w:val="nil"/>
              <w:right w:val="nil"/>
            </w:tcBorders>
            <w:shd w:val="clear" w:color="000000" w:fill="FFFFFF"/>
            <w:noWrap/>
            <w:vAlign w:val="bottom"/>
            <w:hideMark/>
          </w:tcPr>
          <w:p w14:paraId="567C5E8D"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15.195</w:t>
            </w:r>
          </w:p>
        </w:tc>
      </w:tr>
      <w:tr w:rsidR="0010167B" w:rsidRPr="004B36B2" w14:paraId="164FD173" w14:textId="77777777" w:rsidTr="00E35897">
        <w:trPr>
          <w:trHeight w:val="215"/>
          <w:jc w:val="center"/>
        </w:trPr>
        <w:tc>
          <w:tcPr>
            <w:tcW w:w="6273" w:type="dxa"/>
            <w:tcBorders>
              <w:top w:val="nil"/>
              <w:left w:val="nil"/>
              <w:bottom w:val="nil"/>
              <w:right w:val="nil"/>
            </w:tcBorders>
            <w:shd w:val="clear" w:color="000000" w:fill="FFFFFF"/>
            <w:noWrap/>
            <w:hideMark/>
          </w:tcPr>
          <w:p w14:paraId="5DC36854"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2C863429"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(0.225)</w:t>
            </w:r>
          </w:p>
        </w:tc>
        <w:tc>
          <w:tcPr>
            <w:tcW w:w="1807" w:type="dxa"/>
            <w:tcBorders>
              <w:top w:val="nil"/>
              <w:left w:val="nil"/>
              <w:bottom w:val="nil"/>
              <w:right w:val="nil"/>
            </w:tcBorders>
            <w:shd w:val="clear" w:color="000000" w:fill="FFFFFF"/>
            <w:noWrap/>
            <w:hideMark/>
          </w:tcPr>
          <w:p w14:paraId="338BD3F9"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(0.726)</w:t>
            </w:r>
          </w:p>
        </w:tc>
      </w:tr>
      <w:tr w:rsidR="0010167B" w:rsidRPr="004B36B2" w14:paraId="7175707B" w14:textId="77777777" w:rsidTr="00E35897">
        <w:trPr>
          <w:trHeight w:val="131"/>
          <w:jc w:val="center"/>
        </w:trPr>
        <w:tc>
          <w:tcPr>
            <w:tcW w:w="6273" w:type="dxa"/>
            <w:tcBorders>
              <w:top w:val="nil"/>
              <w:left w:val="nil"/>
              <w:bottom w:val="nil"/>
              <w:right w:val="nil"/>
            </w:tcBorders>
            <w:shd w:val="clear" w:color="000000" w:fill="FFFFFF"/>
            <w:noWrap/>
            <w:vAlign w:val="bottom"/>
            <w:hideMark/>
          </w:tcPr>
          <w:p w14:paraId="0F22E207"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Unemployment rate</w:t>
            </w:r>
          </w:p>
        </w:tc>
        <w:tc>
          <w:tcPr>
            <w:tcW w:w="2324" w:type="dxa"/>
            <w:tcBorders>
              <w:top w:val="nil"/>
              <w:left w:val="nil"/>
              <w:bottom w:val="nil"/>
              <w:right w:val="nil"/>
            </w:tcBorders>
            <w:shd w:val="clear" w:color="000000" w:fill="FFFFFF"/>
            <w:noWrap/>
            <w:vAlign w:val="bottom"/>
            <w:hideMark/>
          </w:tcPr>
          <w:p w14:paraId="4845D154"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76.954</w:t>
            </w:r>
          </w:p>
        </w:tc>
        <w:tc>
          <w:tcPr>
            <w:tcW w:w="1807" w:type="dxa"/>
            <w:tcBorders>
              <w:top w:val="nil"/>
              <w:left w:val="nil"/>
              <w:bottom w:val="nil"/>
              <w:right w:val="nil"/>
            </w:tcBorders>
            <w:shd w:val="clear" w:color="000000" w:fill="FFFFFF"/>
            <w:noWrap/>
            <w:vAlign w:val="bottom"/>
            <w:hideMark/>
          </w:tcPr>
          <w:p w14:paraId="397C527E"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95.925</w:t>
            </w:r>
          </w:p>
        </w:tc>
      </w:tr>
      <w:tr w:rsidR="0010167B" w:rsidRPr="004B36B2" w14:paraId="76FB50F7" w14:textId="77777777" w:rsidTr="00E35897">
        <w:trPr>
          <w:trHeight w:val="161"/>
          <w:jc w:val="center"/>
        </w:trPr>
        <w:tc>
          <w:tcPr>
            <w:tcW w:w="6273" w:type="dxa"/>
            <w:tcBorders>
              <w:top w:val="nil"/>
              <w:left w:val="nil"/>
              <w:bottom w:val="nil"/>
              <w:right w:val="nil"/>
            </w:tcBorders>
            <w:shd w:val="clear" w:color="000000" w:fill="FFFFFF"/>
            <w:noWrap/>
            <w:hideMark/>
          </w:tcPr>
          <w:p w14:paraId="41690E2D" w14:textId="77777777" w:rsidR="0010167B" w:rsidRPr="00735EAE" w:rsidRDefault="0010167B" w:rsidP="004E5628">
            <w:pPr>
              <w:spacing w:after="40"/>
              <w:jc w:val="both"/>
              <w:rPr>
                <w:rFonts w:eastAsia="Times New Roman" w:cs="Times New Roman"/>
                <w:color w:val="000000" w:themeColor="text1"/>
                <w:sz w:val="22"/>
              </w:rPr>
            </w:pPr>
            <w:r w:rsidRPr="00735EAE">
              <w:rPr>
                <w:rFonts w:eastAsia="Times New Roman" w:cs="Times New Roman"/>
                <w:color w:val="000000" w:themeColor="text1"/>
                <w:sz w:val="22"/>
              </w:rPr>
              <w:t> </w:t>
            </w:r>
          </w:p>
        </w:tc>
        <w:tc>
          <w:tcPr>
            <w:tcW w:w="2324" w:type="dxa"/>
            <w:tcBorders>
              <w:top w:val="nil"/>
              <w:left w:val="nil"/>
              <w:bottom w:val="nil"/>
              <w:right w:val="nil"/>
            </w:tcBorders>
            <w:shd w:val="clear" w:color="000000" w:fill="FFFFFF"/>
            <w:noWrap/>
            <w:hideMark/>
          </w:tcPr>
          <w:p w14:paraId="7651B8F9" w14:textId="77777777" w:rsidR="0010167B" w:rsidRPr="00735EAE" w:rsidRDefault="0010167B" w:rsidP="004E5628">
            <w:pPr>
              <w:tabs>
                <w:tab w:val="decimal" w:pos="242"/>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w:t>
            </w:r>
            <w:proofErr w:type="gramStart"/>
            <w:r w:rsidRPr="00735EAE">
              <w:rPr>
                <w:rFonts w:eastAsia="Times New Roman" w:cs="Times New Roman"/>
                <w:color w:val="000000" w:themeColor="text1"/>
                <w:sz w:val="22"/>
              </w:rPr>
              <w:t>2.082)*</w:t>
            </w:r>
            <w:proofErr w:type="gramEnd"/>
            <w:r w:rsidRPr="00735EAE">
              <w:rPr>
                <w:rFonts w:eastAsia="Times New Roman" w:cs="Times New Roman"/>
                <w:color w:val="000000" w:themeColor="text1"/>
                <w:sz w:val="22"/>
              </w:rPr>
              <w:t>*</w:t>
            </w:r>
          </w:p>
        </w:tc>
        <w:tc>
          <w:tcPr>
            <w:tcW w:w="1807" w:type="dxa"/>
            <w:tcBorders>
              <w:top w:val="nil"/>
              <w:left w:val="nil"/>
              <w:bottom w:val="nil"/>
              <w:right w:val="nil"/>
            </w:tcBorders>
            <w:shd w:val="clear" w:color="000000" w:fill="FFFFFF"/>
            <w:noWrap/>
            <w:hideMark/>
          </w:tcPr>
          <w:p w14:paraId="3832267D" w14:textId="77777777" w:rsidR="0010167B" w:rsidRPr="00735EAE" w:rsidRDefault="0010167B" w:rsidP="004E5628">
            <w:pPr>
              <w:tabs>
                <w:tab w:val="decimal" w:pos="273"/>
              </w:tabs>
              <w:spacing w:after="40"/>
              <w:jc w:val="both"/>
              <w:rPr>
                <w:rFonts w:eastAsia="Times New Roman" w:cs="Times New Roman"/>
                <w:color w:val="000000" w:themeColor="text1"/>
                <w:sz w:val="22"/>
              </w:rPr>
            </w:pPr>
            <w:r w:rsidRPr="00735EAE">
              <w:rPr>
                <w:rFonts w:eastAsia="Times New Roman" w:cs="Times New Roman"/>
                <w:color w:val="000000" w:themeColor="text1"/>
                <w:sz w:val="22"/>
              </w:rPr>
              <w:t>(0.983)</w:t>
            </w:r>
          </w:p>
        </w:tc>
      </w:tr>
      <w:tr w:rsidR="0010167B" w:rsidRPr="004B36B2" w14:paraId="7BBEA3B1" w14:textId="77777777" w:rsidTr="00E35897">
        <w:trPr>
          <w:trHeight w:val="142"/>
          <w:jc w:val="center"/>
        </w:trPr>
        <w:tc>
          <w:tcPr>
            <w:tcW w:w="6273" w:type="dxa"/>
            <w:tcBorders>
              <w:top w:val="nil"/>
              <w:left w:val="nil"/>
              <w:bottom w:val="nil"/>
              <w:right w:val="nil"/>
            </w:tcBorders>
            <w:shd w:val="clear" w:color="000000" w:fill="FFFFFF"/>
            <w:noWrap/>
            <w:vAlign w:val="center"/>
            <w:hideMark/>
          </w:tcPr>
          <w:p w14:paraId="225DFF7B"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R-Squared</w:t>
            </w:r>
          </w:p>
        </w:tc>
        <w:tc>
          <w:tcPr>
            <w:tcW w:w="2324" w:type="dxa"/>
            <w:tcBorders>
              <w:top w:val="nil"/>
              <w:left w:val="nil"/>
              <w:bottom w:val="nil"/>
              <w:right w:val="nil"/>
            </w:tcBorders>
            <w:shd w:val="clear" w:color="000000" w:fill="FFFFFF"/>
            <w:noWrap/>
            <w:vAlign w:val="center"/>
            <w:hideMark/>
          </w:tcPr>
          <w:p w14:paraId="0B1ECCF5"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0.216</w:t>
            </w:r>
          </w:p>
        </w:tc>
        <w:tc>
          <w:tcPr>
            <w:tcW w:w="1807" w:type="dxa"/>
            <w:tcBorders>
              <w:top w:val="nil"/>
              <w:left w:val="nil"/>
              <w:bottom w:val="nil"/>
              <w:right w:val="nil"/>
            </w:tcBorders>
            <w:shd w:val="clear" w:color="000000" w:fill="FFFFFF"/>
            <w:noWrap/>
            <w:vAlign w:val="center"/>
            <w:hideMark/>
          </w:tcPr>
          <w:p w14:paraId="37A97A1E"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0.166</w:t>
            </w:r>
          </w:p>
        </w:tc>
      </w:tr>
      <w:tr w:rsidR="0010167B" w:rsidRPr="004B36B2" w14:paraId="5CC0A950" w14:textId="77777777" w:rsidTr="00E35897">
        <w:trPr>
          <w:trHeight w:val="80"/>
          <w:jc w:val="center"/>
        </w:trPr>
        <w:tc>
          <w:tcPr>
            <w:tcW w:w="6273" w:type="dxa"/>
            <w:tcBorders>
              <w:top w:val="nil"/>
              <w:left w:val="nil"/>
              <w:bottom w:val="nil"/>
              <w:right w:val="nil"/>
            </w:tcBorders>
            <w:shd w:val="clear" w:color="000000" w:fill="FFFFFF"/>
            <w:noWrap/>
            <w:vAlign w:val="center"/>
            <w:hideMark/>
          </w:tcPr>
          <w:p w14:paraId="5B9AB27D" w14:textId="77777777"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 xml:space="preserve">F-Statistics </w:t>
            </w:r>
          </w:p>
        </w:tc>
        <w:tc>
          <w:tcPr>
            <w:tcW w:w="2324" w:type="dxa"/>
            <w:tcBorders>
              <w:top w:val="nil"/>
              <w:left w:val="nil"/>
              <w:bottom w:val="nil"/>
              <w:right w:val="nil"/>
            </w:tcBorders>
            <w:shd w:val="clear" w:color="000000" w:fill="FFFFFF"/>
            <w:noWrap/>
            <w:vAlign w:val="center"/>
            <w:hideMark/>
          </w:tcPr>
          <w:p w14:paraId="58BE428B" w14:textId="77777777" w:rsidR="0010167B" w:rsidRPr="00735EAE" w:rsidRDefault="0010167B" w:rsidP="00D049DD">
            <w:pPr>
              <w:tabs>
                <w:tab w:val="decimal" w:pos="242"/>
              </w:tabs>
              <w:jc w:val="both"/>
              <w:rPr>
                <w:rFonts w:eastAsia="Times New Roman" w:cs="Times New Roman"/>
                <w:color w:val="000000" w:themeColor="text1"/>
                <w:sz w:val="22"/>
              </w:rPr>
            </w:pPr>
            <w:r w:rsidRPr="00735EAE">
              <w:rPr>
                <w:rFonts w:eastAsia="Times New Roman" w:cs="Times New Roman"/>
                <w:color w:val="000000" w:themeColor="text1"/>
                <w:sz w:val="22"/>
              </w:rPr>
              <w:t>71.53</w:t>
            </w:r>
          </w:p>
        </w:tc>
        <w:tc>
          <w:tcPr>
            <w:tcW w:w="1807" w:type="dxa"/>
            <w:tcBorders>
              <w:top w:val="nil"/>
              <w:left w:val="nil"/>
              <w:bottom w:val="nil"/>
              <w:right w:val="nil"/>
            </w:tcBorders>
            <w:shd w:val="clear" w:color="000000" w:fill="FFFFFF"/>
            <w:noWrap/>
            <w:vAlign w:val="center"/>
            <w:hideMark/>
          </w:tcPr>
          <w:p w14:paraId="160BC63C" w14:textId="77777777" w:rsidR="0010167B" w:rsidRPr="00735EAE" w:rsidRDefault="0010167B" w:rsidP="00D049DD">
            <w:pPr>
              <w:tabs>
                <w:tab w:val="decimal" w:pos="273"/>
              </w:tabs>
              <w:jc w:val="both"/>
              <w:rPr>
                <w:rFonts w:eastAsia="Times New Roman" w:cs="Times New Roman"/>
                <w:color w:val="000000" w:themeColor="text1"/>
                <w:sz w:val="22"/>
              </w:rPr>
            </w:pPr>
            <w:r w:rsidRPr="00735EAE">
              <w:rPr>
                <w:rFonts w:eastAsia="Times New Roman" w:cs="Times New Roman"/>
                <w:color w:val="000000" w:themeColor="text1"/>
                <w:sz w:val="22"/>
              </w:rPr>
              <w:t>53.7</w:t>
            </w:r>
          </w:p>
        </w:tc>
      </w:tr>
      <w:tr w:rsidR="0010167B" w:rsidRPr="004B36B2" w14:paraId="6D9C3C4A" w14:textId="77777777" w:rsidTr="00E35897">
        <w:trPr>
          <w:trHeight w:val="165"/>
          <w:jc w:val="center"/>
        </w:trPr>
        <w:tc>
          <w:tcPr>
            <w:tcW w:w="6273" w:type="dxa"/>
            <w:tcBorders>
              <w:top w:val="nil"/>
              <w:left w:val="nil"/>
              <w:bottom w:val="single" w:sz="8" w:space="0" w:color="auto"/>
              <w:right w:val="nil"/>
            </w:tcBorders>
            <w:shd w:val="clear" w:color="000000" w:fill="FFFFFF"/>
            <w:noWrap/>
            <w:vAlign w:val="center"/>
            <w:hideMark/>
          </w:tcPr>
          <w:p w14:paraId="662C40C5" w14:textId="2A4C92DC" w:rsidR="0010167B" w:rsidRPr="00735EAE" w:rsidRDefault="0010167B" w:rsidP="00D049DD">
            <w:pPr>
              <w:jc w:val="both"/>
              <w:rPr>
                <w:rFonts w:eastAsia="Times New Roman" w:cs="Times New Roman"/>
                <w:color w:val="000000" w:themeColor="text1"/>
                <w:sz w:val="22"/>
              </w:rPr>
            </w:pPr>
            <w:r w:rsidRPr="00735EAE">
              <w:rPr>
                <w:rFonts w:eastAsia="Times New Roman" w:cs="Times New Roman"/>
                <w:color w:val="000000" w:themeColor="text1"/>
                <w:sz w:val="22"/>
              </w:rPr>
              <w:t>Observation</w:t>
            </w:r>
            <w:r w:rsidR="00AE1CFE" w:rsidRPr="00735EAE">
              <w:rPr>
                <w:rFonts w:eastAsia="Times New Roman" w:cs="Times New Roman"/>
                <w:color w:val="000000" w:themeColor="text1"/>
                <w:sz w:val="22"/>
              </w:rPr>
              <w:t>s</w:t>
            </w:r>
          </w:p>
        </w:tc>
        <w:tc>
          <w:tcPr>
            <w:tcW w:w="2324" w:type="dxa"/>
            <w:tcBorders>
              <w:top w:val="nil"/>
              <w:left w:val="nil"/>
              <w:bottom w:val="single" w:sz="8" w:space="0" w:color="auto"/>
              <w:right w:val="nil"/>
            </w:tcBorders>
            <w:shd w:val="clear" w:color="000000" w:fill="FFFFFF"/>
            <w:noWrap/>
            <w:vAlign w:val="center"/>
            <w:hideMark/>
          </w:tcPr>
          <w:p w14:paraId="4ABDB62F" w14:textId="543C8665" w:rsidR="0010167B" w:rsidRPr="00735EAE" w:rsidRDefault="00AE1CFE" w:rsidP="00D049DD">
            <w:pPr>
              <w:rPr>
                <w:rFonts w:eastAsia="Times New Roman" w:cs="Times New Roman"/>
                <w:color w:val="000000" w:themeColor="text1"/>
                <w:sz w:val="22"/>
              </w:rPr>
            </w:pPr>
            <w:r w:rsidRPr="00735EAE">
              <w:rPr>
                <w:rFonts w:eastAsia="Times New Roman" w:cs="Times New Roman"/>
                <w:color w:val="000000" w:themeColor="text1"/>
                <w:sz w:val="22"/>
              </w:rPr>
              <w:t xml:space="preserve">     </w:t>
            </w:r>
            <w:r w:rsidR="0010167B" w:rsidRPr="00735EAE">
              <w:rPr>
                <w:rFonts w:eastAsia="Times New Roman" w:cs="Times New Roman"/>
                <w:color w:val="000000" w:themeColor="text1"/>
                <w:sz w:val="22"/>
              </w:rPr>
              <w:t>998</w:t>
            </w:r>
          </w:p>
        </w:tc>
        <w:tc>
          <w:tcPr>
            <w:tcW w:w="1807" w:type="dxa"/>
            <w:tcBorders>
              <w:top w:val="nil"/>
              <w:left w:val="nil"/>
              <w:bottom w:val="single" w:sz="8" w:space="0" w:color="auto"/>
              <w:right w:val="nil"/>
            </w:tcBorders>
            <w:shd w:val="clear" w:color="000000" w:fill="FFFFFF"/>
            <w:noWrap/>
            <w:vAlign w:val="center"/>
            <w:hideMark/>
          </w:tcPr>
          <w:p w14:paraId="6B030323" w14:textId="519CF26F" w:rsidR="0010167B" w:rsidRPr="00735EAE" w:rsidRDefault="00AE1CFE" w:rsidP="00D049DD">
            <w:pPr>
              <w:jc w:val="both"/>
              <w:rPr>
                <w:rFonts w:eastAsia="Times New Roman" w:cs="Times New Roman"/>
                <w:color w:val="000000" w:themeColor="text1"/>
                <w:sz w:val="22"/>
              </w:rPr>
            </w:pPr>
            <w:r w:rsidRPr="00735EAE">
              <w:rPr>
                <w:rFonts w:eastAsia="Times New Roman" w:cs="Times New Roman"/>
                <w:color w:val="000000" w:themeColor="text1"/>
                <w:sz w:val="22"/>
              </w:rPr>
              <w:t xml:space="preserve">    </w:t>
            </w:r>
            <w:r w:rsidR="0010167B" w:rsidRPr="00735EAE">
              <w:rPr>
                <w:rFonts w:eastAsia="Times New Roman" w:cs="Times New Roman"/>
                <w:color w:val="000000" w:themeColor="text1"/>
                <w:sz w:val="22"/>
              </w:rPr>
              <w:t>998</w:t>
            </w:r>
          </w:p>
        </w:tc>
      </w:tr>
      <w:tr w:rsidR="0010167B" w:rsidRPr="004B36B2" w14:paraId="3048EABA" w14:textId="77777777" w:rsidTr="00E35897">
        <w:trPr>
          <w:trHeight w:val="45"/>
          <w:jc w:val="center"/>
        </w:trPr>
        <w:tc>
          <w:tcPr>
            <w:tcW w:w="10405" w:type="dxa"/>
            <w:gridSpan w:val="3"/>
            <w:tcBorders>
              <w:top w:val="single" w:sz="8" w:space="0" w:color="auto"/>
              <w:left w:val="nil"/>
              <w:bottom w:val="nil"/>
              <w:right w:val="nil"/>
            </w:tcBorders>
            <w:shd w:val="clear" w:color="auto" w:fill="auto"/>
            <w:noWrap/>
            <w:vAlign w:val="center"/>
            <w:hideMark/>
          </w:tcPr>
          <w:p w14:paraId="7A0FD404" w14:textId="77777777" w:rsidR="00510A97" w:rsidRPr="00510A97" w:rsidRDefault="00510A97" w:rsidP="00D049DD">
            <w:pPr>
              <w:jc w:val="both"/>
              <w:rPr>
                <w:rFonts w:asciiTheme="majorBidi" w:eastAsia="Times New Roman" w:hAnsiTheme="majorBidi" w:cstheme="majorBidi"/>
                <w:i/>
                <w:iCs/>
                <w:color w:val="000000" w:themeColor="text1"/>
                <w:sz w:val="6"/>
                <w:szCs w:val="6"/>
              </w:rPr>
            </w:pPr>
          </w:p>
          <w:p w14:paraId="1DC1D65A" w14:textId="70AEB983" w:rsidR="0010167B" w:rsidRPr="0010167B" w:rsidRDefault="007E184E" w:rsidP="00D049DD">
            <w:pPr>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i/>
                <w:iCs/>
                <w:color w:val="000000" w:themeColor="text1"/>
                <w:sz w:val="20"/>
                <w:szCs w:val="20"/>
              </w:rPr>
              <w:t>Notes</w:t>
            </w:r>
            <w:r w:rsidR="00D049DD">
              <w:rPr>
                <w:rFonts w:asciiTheme="majorBidi" w:eastAsia="Times New Roman" w:hAnsiTheme="majorBidi" w:cstheme="majorBidi"/>
                <w:i/>
                <w:iCs/>
                <w:color w:val="000000" w:themeColor="text1"/>
                <w:sz w:val="20"/>
                <w:szCs w:val="20"/>
              </w:rPr>
              <w:t xml:space="preserve"> </w:t>
            </w:r>
            <w:r w:rsidR="0010167B" w:rsidRPr="0010167B">
              <w:rPr>
                <w:rFonts w:asciiTheme="majorBidi" w:eastAsia="Times New Roman" w:hAnsiTheme="majorBidi" w:cstheme="majorBidi"/>
                <w:color w:val="000000" w:themeColor="text1"/>
                <w:sz w:val="20"/>
                <w:szCs w:val="20"/>
              </w:rPr>
              <w:t xml:space="preserve">This table shows ﬁrst-stage results for migration rate instrumented with predicted migration to India and MEOA </w:t>
            </w:r>
            <w:r w:rsidR="0010167B" w:rsidRPr="0010167B">
              <w:rPr>
                <w:rFonts w:asciiTheme="majorBidi" w:hAnsiTheme="majorBidi" w:cstheme="majorBidi"/>
                <w:color w:val="000000" w:themeColor="text1"/>
                <w:sz w:val="20"/>
                <w:szCs w:val="20"/>
              </w:rPr>
              <w:t xml:space="preserve">also including unreported time and village </w:t>
            </w:r>
            <w:r w:rsidR="0010167B" w:rsidRPr="0010167B">
              <w:rPr>
                <w:rFonts w:asciiTheme="majorBidi" w:eastAsia="Times New Roman" w:hAnsiTheme="majorBidi" w:cstheme="majorBidi"/>
                <w:color w:val="000000" w:themeColor="text1"/>
                <w:sz w:val="20"/>
                <w:szCs w:val="20"/>
              </w:rPr>
              <w:t>ﬁxed eﬀects. Both columns show the results from both IVs. The t-statistics in ( ) are derived from cluster-robust standard errors (clustered at 71 Districts)</w:t>
            </w:r>
            <w:r>
              <w:rPr>
                <w:rFonts w:asciiTheme="majorBidi" w:eastAsia="Times New Roman" w:hAnsiTheme="majorBidi" w:cstheme="majorBidi"/>
                <w:color w:val="000000" w:themeColor="text1"/>
                <w:sz w:val="20"/>
                <w:szCs w:val="20"/>
              </w:rPr>
              <w:t>.</w:t>
            </w:r>
            <w:r w:rsidR="00163BEF">
              <w:rPr>
                <w:rFonts w:asciiTheme="majorBidi" w:eastAsia="Times New Roman" w:hAnsiTheme="majorBidi" w:cstheme="majorBidi"/>
                <w:color w:val="000000" w:themeColor="text1"/>
                <w:sz w:val="20"/>
                <w:szCs w:val="20"/>
              </w:rPr>
              <w:t xml:space="preserve">  </w:t>
            </w:r>
            <w:r w:rsidR="0010167B" w:rsidRPr="0010167B">
              <w:rPr>
                <w:rFonts w:asciiTheme="majorBidi" w:eastAsia="Times New Roman" w:hAnsiTheme="majorBidi" w:cstheme="majorBidi"/>
                <w:color w:val="000000" w:themeColor="text1"/>
                <w:sz w:val="20"/>
                <w:szCs w:val="20"/>
              </w:rPr>
              <w:t>***, **, * denote 1%, 5%, 10% statistically significance.</w:t>
            </w:r>
          </w:p>
        </w:tc>
      </w:tr>
    </w:tbl>
    <w:p w14:paraId="17A8A23E" w14:textId="790F551E" w:rsidR="00B729F9" w:rsidRDefault="00B729F9" w:rsidP="00101417">
      <w:pPr>
        <w:spacing w:line="288" w:lineRule="auto"/>
        <w:jc w:val="both"/>
        <w:rPr>
          <w:rFonts w:asciiTheme="majorBidi" w:hAnsiTheme="majorBidi" w:cstheme="majorBidi"/>
          <w:color w:val="000000" w:themeColor="text1"/>
          <w:szCs w:val="24"/>
        </w:rPr>
        <w:sectPr w:rsidR="00B729F9" w:rsidSect="003A462A">
          <w:pgSz w:w="11906" w:h="16838"/>
          <w:pgMar w:top="1440" w:right="1440" w:bottom="1440" w:left="1440" w:header="709" w:footer="709" w:gutter="0"/>
          <w:cols w:space="708"/>
          <w:docGrid w:linePitch="360"/>
        </w:sectPr>
      </w:pPr>
    </w:p>
    <w:tbl>
      <w:tblPr>
        <w:tblpPr w:leftFromText="180" w:rightFromText="180" w:vertAnchor="page" w:horzAnchor="margin" w:tblpY="2489"/>
        <w:tblW w:w="14313" w:type="dxa"/>
        <w:tblLook w:val="04A0" w:firstRow="1" w:lastRow="0" w:firstColumn="1" w:lastColumn="0" w:noHBand="0" w:noVBand="1"/>
      </w:tblPr>
      <w:tblGrid>
        <w:gridCol w:w="4362"/>
        <w:gridCol w:w="953"/>
        <w:gridCol w:w="1362"/>
        <w:gridCol w:w="806"/>
        <w:gridCol w:w="986"/>
        <w:gridCol w:w="1072"/>
        <w:gridCol w:w="880"/>
        <w:gridCol w:w="1564"/>
        <w:gridCol w:w="834"/>
        <w:gridCol w:w="1494"/>
      </w:tblGrid>
      <w:tr w:rsidR="00B729F9" w:rsidRPr="00865E04" w14:paraId="66DB7659" w14:textId="77777777" w:rsidTr="00D40E6A">
        <w:trPr>
          <w:trHeight w:val="87"/>
        </w:trPr>
        <w:tc>
          <w:tcPr>
            <w:tcW w:w="14313" w:type="dxa"/>
            <w:gridSpan w:val="10"/>
            <w:tcBorders>
              <w:top w:val="nil"/>
              <w:left w:val="nil"/>
              <w:bottom w:val="single" w:sz="4" w:space="0" w:color="auto"/>
              <w:right w:val="nil"/>
            </w:tcBorders>
            <w:shd w:val="clear" w:color="000000" w:fill="FFFFFF"/>
          </w:tcPr>
          <w:p w14:paraId="1C32E081" w14:textId="7F5F505C" w:rsidR="009C6A5A" w:rsidRPr="00735EAE" w:rsidRDefault="00B729F9" w:rsidP="00510A97">
            <w:pPr>
              <w:spacing w:before="100" w:beforeAutospacing="1" w:after="60"/>
              <w:jc w:val="center"/>
              <w:rPr>
                <w:rFonts w:asciiTheme="majorBidi" w:hAnsiTheme="majorBidi" w:cstheme="majorBidi"/>
                <w:b/>
                <w:bCs/>
                <w:color w:val="000000" w:themeColor="text1"/>
                <w:sz w:val="22"/>
              </w:rPr>
            </w:pPr>
            <w:r w:rsidRPr="00735EAE">
              <w:rPr>
                <w:rFonts w:asciiTheme="majorBidi" w:hAnsiTheme="majorBidi" w:cstheme="majorBidi"/>
                <w:b/>
                <w:bCs/>
                <w:color w:val="000000" w:themeColor="text1"/>
                <w:sz w:val="22"/>
              </w:rPr>
              <w:lastRenderedPageBreak/>
              <w:t xml:space="preserve">Table 3: The </w:t>
            </w:r>
            <w:r w:rsidR="009C6A5A" w:rsidRPr="00735EAE">
              <w:rPr>
                <w:rFonts w:asciiTheme="majorBidi" w:hAnsiTheme="majorBidi" w:cstheme="majorBidi"/>
                <w:b/>
                <w:bCs/>
                <w:color w:val="000000" w:themeColor="text1"/>
                <w:sz w:val="22"/>
              </w:rPr>
              <w:t>E</w:t>
            </w:r>
            <w:r w:rsidRPr="00735EAE">
              <w:rPr>
                <w:rFonts w:asciiTheme="majorBidi" w:hAnsiTheme="majorBidi" w:cstheme="majorBidi"/>
                <w:b/>
                <w:bCs/>
                <w:color w:val="000000" w:themeColor="text1"/>
                <w:sz w:val="22"/>
              </w:rPr>
              <w:t xml:space="preserve">ffect of </w:t>
            </w:r>
            <w:r w:rsidR="009C6A5A" w:rsidRPr="00735EAE">
              <w:rPr>
                <w:rFonts w:asciiTheme="majorBidi" w:hAnsiTheme="majorBidi" w:cstheme="majorBidi"/>
                <w:b/>
                <w:bCs/>
                <w:color w:val="000000" w:themeColor="text1"/>
                <w:sz w:val="22"/>
              </w:rPr>
              <w:t>M</w:t>
            </w:r>
            <w:r w:rsidRPr="00735EAE">
              <w:rPr>
                <w:rFonts w:asciiTheme="majorBidi" w:hAnsiTheme="majorBidi" w:cstheme="majorBidi"/>
                <w:b/>
                <w:bCs/>
                <w:color w:val="000000" w:themeColor="text1"/>
                <w:sz w:val="22"/>
              </w:rPr>
              <w:t xml:space="preserve">igration on Net </w:t>
            </w:r>
            <w:r w:rsidR="009C6A5A" w:rsidRPr="00735EAE">
              <w:rPr>
                <w:rFonts w:asciiTheme="majorBidi" w:hAnsiTheme="majorBidi" w:cstheme="majorBidi"/>
                <w:b/>
                <w:bCs/>
                <w:color w:val="000000" w:themeColor="text1"/>
                <w:sz w:val="22"/>
              </w:rPr>
              <w:t>E</w:t>
            </w:r>
            <w:r w:rsidRPr="00735EAE">
              <w:rPr>
                <w:rFonts w:asciiTheme="majorBidi" w:hAnsiTheme="majorBidi" w:cstheme="majorBidi"/>
                <w:b/>
                <w:bCs/>
                <w:color w:val="000000" w:themeColor="text1"/>
                <w:sz w:val="22"/>
              </w:rPr>
              <w:t xml:space="preserve">nrolment </w:t>
            </w:r>
            <w:r w:rsidR="009C6A5A" w:rsidRPr="00735EAE">
              <w:rPr>
                <w:rFonts w:asciiTheme="majorBidi" w:hAnsiTheme="majorBidi" w:cstheme="majorBidi"/>
                <w:b/>
                <w:bCs/>
                <w:color w:val="000000" w:themeColor="text1"/>
                <w:sz w:val="22"/>
              </w:rPr>
              <w:t>R</w:t>
            </w:r>
            <w:r w:rsidRPr="00735EAE">
              <w:rPr>
                <w:rFonts w:asciiTheme="majorBidi" w:hAnsiTheme="majorBidi" w:cstheme="majorBidi"/>
                <w:b/>
                <w:bCs/>
                <w:color w:val="000000" w:themeColor="text1"/>
                <w:sz w:val="22"/>
              </w:rPr>
              <w:t xml:space="preserve">ate at Basic and Secondary </w:t>
            </w:r>
            <w:r w:rsidR="009C6A5A" w:rsidRPr="00735EAE">
              <w:rPr>
                <w:rFonts w:asciiTheme="majorBidi" w:hAnsiTheme="majorBidi" w:cstheme="majorBidi"/>
                <w:b/>
                <w:bCs/>
                <w:color w:val="000000" w:themeColor="text1"/>
                <w:sz w:val="22"/>
              </w:rPr>
              <w:t>E</w:t>
            </w:r>
            <w:r w:rsidRPr="00735EAE">
              <w:rPr>
                <w:rFonts w:asciiTheme="majorBidi" w:hAnsiTheme="majorBidi" w:cstheme="majorBidi"/>
                <w:b/>
                <w:bCs/>
                <w:color w:val="000000" w:themeColor="text1"/>
                <w:sz w:val="22"/>
              </w:rPr>
              <w:t xml:space="preserve">ducation for </w:t>
            </w:r>
            <w:r w:rsidR="009C6A5A" w:rsidRPr="00735EAE">
              <w:rPr>
                <w:rFonts w:asciiTheme="majorBidi" w:hAnsiTheme="majorBidi" w:cstheme="majorBidi"/>
                <w:b/>
                <w:bCs/>
                <w:color w:val="000000" w:themeColor="text1"/>
                <w:sz w:val="22"/>
              </w:rPr>
              <w:t>C</w:t>
            </w:r>
            <w:r w:rsidRPr="00735EAE">
              <w:rPr>
                <w:rFonts w:asciiTheme="majorBidi" w:hAnsiTheme="majorBidi" w:cstheme="majorBidi"/>
                <w:b/>
                <w:bCs/>
                <w:color w:val="000000" w:themeColor="text1"/>
                <w:sz w:val="22"/>
              </w:rPr>
              <w:t xml:space="preserve">hildren </w:t>
            </w:r>
            <w:r w:rsidR="009C6A5A" w:rsidRPr="00735EAE">
              <w:rPr>
                <w:rFonts w:asciiTheme="majorBidi" w:hAnsiTheme="majorBidi" w:cstheme="majorBidi"/>
                <w:b/>
                <w:bCs/>
                <w:color w:val="000000" w:themeColor="text1"/>
                <w:sz w:val="22"/>
              </w:rPr>
              <w:t>A</w:t>
            </w:r>
            <w:r w:rsidRPr="00735EAE">
              <w:rPr>
                <w:rFonts w:asciiTheme="majorBidi" w:hAnsiTheme="majorBidi" w:cstheme="majorBidi"/>
                <w:b/>
                <w:bCs/>
                <w:color w:val="000000" w:themeColor="text1"/>
                <w:sz w:val="22"/>
              </w:rPr>
              <w:t>ged 5</w:t>
            </w:r>
            <w:r w:rsidR="009C6A5A" w:rsidRPr="00735EAE">
              <w:rPr>
                <w:rFonts w:asciiTheme="majorBidi" w:hAnsiTheme="majorBidi" w:cstheme="majorBidi"/>
                <w:b/>
                <w:bCs/>
                <w:color w:val="000000" w:themeColor="text1"/>
                <w:sz w:val="22"/>
              </w:rPr>
              <w:t xml:space="preserve"> to </w:t>
            </w:r>
            <w:r w:rsidRPr="00735EAE">
              <w:rPr>
                <w:rFonts w:asciiTheme="majorBidi" w:hAnsiTheme="majorBidi" w:cstheme="majorBidi"/>
                <w:b/>
                <w:bCs/>
                <w:color w:val="000000" w:themeColor="text1"/>
                <w:sz w:val="22"/>
              </w:rPr>
              <w:t>12 and 13</w:t>
            </w:r>
            <w:r w:rsidR="009C6A5A" w:rsidRPr="00735EAE">
              <w:rPr>
                <w:rFonts w:asciiTheme="majorBidi" w:hAnsiTheme="majorBidi" w:cstheme="majorBidi"/>
                <w:b/>
                <w:bCs/>
                <w:color w:val="000000" w:themeColor="text1"/>
                <w:sz w:val="22"/>
              </w:rPr>
              <w:t xml:space="preserve"> to </w:t>
            </w:r>
            <w:r w:rsidRPr="00735EAE">
              <w:rPr>
                <w:rFonts w:asciiTheme="majorBidi" w:hAnsiTheme="majorBidi" w:cstheme="majorBidi"/>
                <w:b/>
                <w:bCs/>
                <w:color w:val="000000" w:themeColor="text1"/>
                <w:sz w:val="22"/>
              </w:rPr>
              <w:t>16</w:t>
            </w:r>
          </w:p>
        </w:tc>
      </w:tr>
      <w:tr w:rsidR="00B729F9" w:rsidRPr="00865E04" w14:paraId="1BF0510E" w14:textId="77777777" w:rsidTr="00D40E6A">
        <w:trPr>
          <w:trHeight w:val="226"/>
        </w:trPr>
        <w:tc>
          <w:tcPr>
            <w:tcW w:w="4362" w:type="dxa"/>
            <w:tcBorders>
              <w:top w:val="nil"/>
              <w:left w:val="nil"/>
              <w:bottom w:val="nil"/>
              <w:right w:val="nil"/>
            </w:tcBorders>
            <w:shd w:val="clear" w:color="000000" w:fill="FFFFFF"/>
            <w:noWrap/>
            <w:vAlign w:val="bottom"/>
            <w:hideMark/>
          </w:tcPr>
          <w:p w14:paraId="0C582B19" w14:textId="77777777" w:rsidR="00B729F9" w:rsidRPr="00735EAE" w:rsidRDefault="00B729F9" w:rsidP="005C6F41">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4088" w:type="dxa"/>
            <w:gridSpan w:val="4"/>
            <w:tcBorders>
              <w:top w:val="single" w:sz="4" w:space="0" w:color="auto"/>
              <w:left w:val="nil"/>
              <w:bottom w:val="single" w:sz="4" w:space="0" w:color="auto"/>
              <w:right w:val="nil"/>
            </w:tcBorders>
            <w:shd w:val="clear" w:color="000000" w:fill="FFFFFF"/>
          </w:tcPr>
          <w:p w14:paraId="2D7A0DBD" w14:textId="7938045B" w:rsidR="00B729F9" w:rsidRPr="00735EAE" w:rsidRDefault="00B729F9" w:rsidP="005C6F41">
            <w:pPr>
              <w:spacing w:after="4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 xml:space="preserve">Basic </w:t>
            </w:r>
            <w:r w:rsidR="009C6A5A" w:rsidRPr="00735EAE">
              <w:rPr>
                <w:rFonts w:asciiTheme="majorBidi" w:hAnsiTheme="majorBidi" w:cstheme="majorBidi"/>
                <w:color w:val="000000" w:themeColor="text1"/>
                <w:sz w:val="22"/>
              </w:rPr>
              <w:t>E</w:t>
            </w:r>
            <w:r w:rsidRPr="00735EAE">
              <w:rPr>
                <w:rFonts w:asciiTheme="majorBidi" w:hAnsiTheme="majorBidi" w:cstheme="majorBidi"/>
                <w:color w:val="000000" w:themeColor="text1"/>
                <w:sz w:val="22"/>
              </w:rPr>
              <w:t>ducation (aged 5-12)</w:t>
            </w:r>
          </w:p>
        </w:tc>
        <w:tc>
          <w:tcPr>
            <w:tcW w:w="1072" w:type="dxa"/>
            <w:tcBorders>
              <w:top w:val="nil"/>
              <w:left w:val="nil"/>
              <w:bottom w:val="nil"/>
              <w:right w:val="nil"/>
            </w:tcBorders>
            <w:shd w:val="clear" w:color="000000" w:fill="FFFFFF"/>
            <w:noWrap/>
            <w:vAlign w:val="bottom"/>
            <w:hideMark/>
          </w:tcPr>
          <w:p w14:paraId="3E6DD338" w14:textId="77777777" w:rsidR="00B729F9" w:rsidRPr="00735EAE" w:rsidRDefault="00B729F9" w:rsidP="005C6F41">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4790" w:type="dxa"/>
            <w:gridSpan w:val="4"/>
            <w:tcBorders>
              <w:top w:val="single" w:sz="4" w:space="0" w:color="auto"/>
              <w:left w:val="nil"/>
              <w:bottom w:val="single" w:sz="4" w:space="0" w:color="auto"/>
              <w:right w:val="nil"/>
            </w:tcBorders>
            <w:shd w:val="clear" w:color="000000" w:fill="FFFFFF"/>
          </w:tcPr>
          <w:p w14:paraId="164CD0BB" w14:textId="697B32D1" w:rsidR="00B729F9" w:rsidRPr="00735EAE" w:rsidRDefault="00B729F9" w:rsidP="005C6F41">
            <w:pPr>
              <w:spacing w:after="4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 xml:space="preserve">Secondary </w:t>
            </w:r>
            <w:r w:rsidR="009C6A5A" w:rsidRPr="00735EAE">
              <w:rPr>
                <w:rFonts w:asciiTheme="majorBidi" w:hAnsiTheme="majorBidi" w:cstheme="majorBidi"/>
                <w:color w:val="000000" w:themeColor="text1"/>
                <w:sz w:val="22"/>
              </w:rPr>
              <w:t>E</w:t>
            </w:r>
            <w:r w:rsidRPr="00735EAE">
              <w:rPr>
                <w:rFonts w:asciiTheme="majorBidi" w:hAnsiTheme="majorBidi" w:cstheme="majorBidi"/>
                <w:color w:val="000000" w:themeColor="text1"/>
                <w:sz w:val="22"/>
              </w:rPr>
              <w:t>ducation (aged13-16)</w:t>
            </w:r>
          </w:p>
        </w:tc>
      </w:tr>
      <w:tr w:rsidR="00B729F9" w:rsidRPr="00865E04" w14:paraId="362D49D4" w14:textId="77777777" w:rsidTr="00D40E6A">
        <w:trPr>
          <w:trHeight w:val="192"/>
        </w:trPr>
        <w:tc>
          <w:tcPr>
            <w:tcW w:w="4362" w:type="dxa"/>
            <w:tcBorders>
              <w:left w:val="nil"/>
              <w:bottom w:val="single" w:sz="4" w:space="0" w:color="auto"/>
              <w:right w:val="nil"/>
            </w:tcBorders>
            <w:shd w:val="clear" w:color="000000" w:fill="FFFFFF"/>
            <w:noWrap/>
            <w:vAlign w:val="bottom"/>
            <w:hideMark/>
          </w:tcPr>
          <w:p w14:paraId="6D62459F"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53" w:type="dxa"/>
            <w:tcBorders>
              <w:top w:val="single" w:sz="4" w:space="0" w:color="auto"/>
              <w:left w:val="nil"/>
              <w:bottom w:val="single" w:sz="4" w:space="0" w:color="auto"/>
              <w:right w:val="nil"/>
            </w:tcBorders>
            <w:shd w:val="clear" w:color="000000" w:fill="FFFFFF"/>
            <w:noWrap/>
            <w:vAlign w:val="bottom"/>
            <w:hideMark/>
          </w:tcPr>
          <w:p w14:paraId="6E15E629"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362" w:type="dxa"/>
            <w:tcBorders>
              <w:top w:val="single" w:sz="4" w:space="0" w:color="auto"/>
              <w:left w:val="nil"/>
              <w:bottom w:val="single" w:sz="4" w:space="0" w:color="auto"/>
              <w:right w:val="nil"/>
            </w:tcBorders>
            <w:shd w:val="clear" w:color="000000" w:fill="FFFFFF"/>
            <w:noWrap/>
            <w:vAlign w:val="bottom"/>
            <w:hideMark/>
          </w:tcPr>
          <w:p w14:paraId="592BA768"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818" w:type="dxa"/>
            <w:tcBorders>
              <w:top w:val="single" w:sz="4" w:space="0" w:color="auto"/>
              <w:left w:val="nil"/>
              <w:bottom w:val="single" w:sz="4" w:space="0" w:color="auto"/>
              <w:right w:val="nil"/>
            </w:tcBorders>
            <w:shd w:val="clear" w:color="000000" w:fill="FFFFFF"/>
          </w:tcPr>
          <w:p w14:paraId="7AC22C00"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953" w:type="dxa"/>
            <w:tcBorders>
              <w:top w:val="single" w:sz="4" w:space="0" w:color="auto"/>
              <w:left w:val="nil"/>
              <w:bottom w:val="single" w:sz="4" w:space="0" w:color="auto"/>
              <w:right w:val="nil"/>
            </w:tcBorders>
            <w:shd w:val="clear" w:color="000000" w:fill="FFFFFF"/>
            <w:noWrap/>
            <w:vAlign w:val="bottom"/>
            <w:hideMark/>
          </w:tcPr>
          <w:p w14:paraId="061EF96F"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1072" w:type="dxa"/>
            <w:tcBorders>
              <w:top w:val="nil"/>
              <w:left w:val="nil"/>
              <w:bottom w:val="single" w:sz="4" w:space="0" w:color="auto"/>
              <w:right w:val="nil"/>
            </w:tcBorders>
            <w:shd w:val="clear" w:color="000000" w:fill="FFFFFF"/>
            <w:noWrap/>
            <w:vAlign w:val="bottom"/>
            <w:hideMark/>
          </w:tcPr>
          <w:p w14:paraId="6D53CD7F"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80" w:type="dxa"/>
            <w:tcBorders>
              <w:top w:val="single" w:sz="4" w:space="0" w:color="auto"/>
              <w:left w:val="nil"/>
              <w:bottom w:val="single" w:sz="4" w:space="0" w:color="auto"/>
              <w:right w:val="nil"/>
            </w:tcBorders>
            <w:shd w:val="clear" w:color="000000" w:fill="FFFFFF"/>
            <w:noWrap/>
            <w:vAlign w:val="bottom"/>
            <w:hideMark/>
          </w:tcPr>
          <w:p w14:paraId="42FF677D"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564" w:type="dxa"/>
            <w:tcBorders>
              <w:top w:val="single" w:sz="4" w:space="0" w:color="auto"/>
              <w:left w:val="nil"/>
              <w:bottom w:val="single" w:sz="4" w:space="0" w:color="auto"/>
              <w:right w:val="nil"/>
            </w:tcBorders>
            <w:shd w:val="clear" w:color="000000" w:fill="FFFFFF"/>
            <w:noWrap/>
            <w:vAlign w:val="bottom"/>
            <w:hideMark/>
          </w:tcPr>
          <w:p w14:paraId="5B32050B"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852" w:type="dxa"/>
            <w:tcBorders>
              <w:top w:val="single" w:sz="4" w:space="0" w:color="auto"/>
              <w:left w:val="nil"/>
              <w:bottom w:val="single" w:sz="4" w:space="0" w:color="auto"/>
              <w:right w:val="nil"/>
            </w:tcBorders>
            <w:shd w:val="clear" w:color="000000" w:fill="FFFFFF"/>
          </w:tcPr>
          <w:p w14:paraId="28F860A6"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492" w:type="dxa"/>
            <w:tcBorders>
              <w:top w:val="single" w:sz="4" w:space="0" w:color="auto"/>
              <w:left w:val="nil"/>
              <w:bottom w:val="single" w:sz="4" w:space="0" w:color="auto"/>
              <w:right w:val="nil"/>
            </w:tcBorders>
            <w:shd w:val="clear" w:color="000000" w:fill="FFFFFF"/>
            <w:noWrap/>
            <w:vAlign w:val="bottom"/>
            <w:hideMark/>
          </w:tcPr>
          <w:p w14:paraId="5BA07820" w14:textId="77777777" w:rsidR="00B729F9" w:rsidRPr="00735EAE" w:rsidRDefault="00B729F9" w:rsidP="005C6F4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r>
      <w:tr w:rsidR="00B729F9" w:rsidRPr="00865E04" w14:paraId="41592F40" w14:textId="77777777" w:rsidTr="00D40E6A">
        <w:trPr>
          <w:trHeight w:val="43"/>
        </w:trPr>
        <w:tc>
          <w:tcPr>
            <w:tcW w:w="4362" w:type="dxa"/>
            <w:tcBorders>
              <w:top w:val="nil"/>
              <w:left w:val="nil"/>
              <w:bottom w:val="nil"/>
              <w:right w:val="nil"/>
            </w:tcBorders>
            <w:shd w:val="clear" w:color="000000" w:fill="FFFFFF"/>
            <w:noWrap/>
            <w:vAlign w:val="bottom"/>
            <w:hideMark/>
          </w:tcPr>
          <w:p w14:paraId="02761A91" w14:textId="77777777" w:rsidR="00B729F9" w:rsidRPr="00735EAE" w:rsidRDefault="00B729F9" w:rsidP="00D40E6A">
            <w:pPr>
              <w:jc w:val="both"/>
              <w:rPr>
                <w:rFonts w:asciiTheme="majorBidi" w:hAnsiTheme="majorBidi" w:cstheme="majorBidi"/>
                <w:i/>
                <w:iCs/>
                <w:color w:val="000000" w:themeColor="text1"/>
                <w:sz w:val="22"/>
              </w:rPr>
            </w:pPr>
            <w:r w:rsidRPr="00735EAE">
              <w:rPr>
                <w:rFonts w:asciiTheme="majorBidi" w:hAnsiTheme="majorBidi" w:cstheme="majorBidi"/>
                <w:i/>
                <w:iCs/>
                <w:color w:val="000000" w:themeColor="text1"/>
                <w:sz w:val="22"/>
              </w:rPr>
              <w:t>Migration Model</w:t>
            </w:r>
          </w:p>
        </w:tc>
        <w:tc>
          <w:tcPr>
            <w:tcW w:w="953" w:type="dxa"/>
            <w:tcBorders>
              <w:top w:val="nil"/>
              <w:left w:val="nil"/>
              <w:bottom w:val="nil"/>
              <w:right w:val="nil"/>
            </w:tcBorders>
            <w:shd w:val="clear" w:color="000000" w:fill="FFFFFF"/>
            <w:noWrap/>
            <w:vAlign w:val="bottom"/>
            <w:hideMark/>
          </w:tcPr>
          <w:p w14:paraId="07E5EA45"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-0.016</w:t>
            </w:r>
          </w:p>
        </w:tc>
        <w:tc>
          <w:tcPr>
            <w:tcW w:w="1362" w:type="dxa"/>
            <w:tcBorders>
              <w:top w:val="nil"/>
              <w:left w:val="nil"/>
              <w:bottom w:val="nil"/>
              <w:right w:val="nil"/>
            </w:tcBorders>
            <w:shd w:val="clear" w:color="000000" w:fill="FFFFFF"/>
            <w:noWrap/>
            <w:vAlign w:val="bottom"/>
            <w:hideMark/>
          </w:tcPr>
          <w:p w14:paraId="1A591863"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0.010</w:t>
            </w:r>
          </w:p>
        </w:tc>
        <w:tc>
          <w:tcPr>
            <w:tcW w:w="818" w:type="dxa"/>
            <w:tcBorders>
              <w:top w:val="nil"/>
              <w:left w:val="nil"/>
              <w:bottom w:val="nil"/>
              <w:right w:val="nil"/>
            </w:tcBorders>
            <w:shd w:val="clear" w:color="000000" w:fill="FFFFFF"/>
          </w:tcPr>
          <w:p w14:paraId="670944BA" w14:textId="77777777" w:rsidR="00B729F9" w:rsidRPr="00735EAE" w:rsidRDefault="00B729F9" w:rsidP="00D40E6A">
            <w:pPr>
              <w:jc w:val="both"/>
              <w:rPr>
                <w:rFonts w:asciiTheme="majorBidi" w:hAnsiTheme="majorBidi" w:cstheme="majorBidi"/>
                <w:color w:val="000000" w:themeColor="text1"/>
                <w:sz w:val="22"/>
              </w:rPr>
            </w:pPr>
          </w:p>
        </w:tc>
        <w:tc>
          <w:tcPr>
            <w:tcW w:w="953" w:type="dxa"/>
            <w:tcBorders>
              <w:top w:val="nil"/>
              <w:left w:val="nil"/>
              <w:bottom w:val="nil"/>
              <w:right w:val="nil"/>
            </w:tcBorders>
            <w:shd w:val="clear" w:color="000000" w:fill="FFFFFF"/>
            <w:noWrap/>
            <w:vAlign w:val="bottom"/>
            <w:hideMark/>
          </w:tcPr>
          <w:p w14:paraId="699E7C0E"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72" w:type="dxa"/>
            <w:tcBorders>
              <w:top w:val="nil"/>
              <w:left w:val="nil"/>
              <w:bottom w:val="nil"/>
              <w:right w:val="nil"/>
            </w:tcBorders>
            <w:shd w:val="clear" w:color="000000" w:fill="FFFFFF"/>
            <w:noWrap/>
            <w:vAlign w:val="bottom"/>
            <w:hideMark/>
          </w:tcPr>
          <w:p w14:paraId="000A1D93"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80" w:type="dxa"/>
            <w:tcBorders>
              <w:top w:val="nil"/>
              <w:left w:val="nil"/>
              <w:bottom w:val="nil"/>
              <w:right w:val="nil"/>
            </w:tcBorders>
            <w:shd w:val="clear" w:color="000000" w:fill="FFFFFF"/>
            <w:noWrap/>
            <w:vAlign w:val="bottom"/>
            <w:hideMark/>
          </w:tcPr>
          <w:p w14:paraId="1F1D46E1"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0.023</w:t>
            </w:r>
          </w:p>
        </w:tc>
        <w:tc>
          <w:tcPr>
            <w:tcW w:w="1564" w:type="dxa"/>
            <w:tcBorders>
              <w:top w:val="nil"/>
              <w:left w:val="nil"/>
              <w:bottom w:val="nil"/>
              <w:right w:val="nil"/>
            </w:tcBorders>
            <w:shd w:val="clear" w:color="000000" w:fill="FFFFFF"/>
            <w:noWrap/>
            <w:vAlign w:val="bottom"/>
            <w:hideMark/>
          </w:tcPr>
          <w:p w14:paraId="4134DB3D"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0.201</w:t>
            </w:r>
          </w:p>
        </w:tc>
        <w:tc>
          <w:tcPr>
            <w:tcW w:w="852" w:type="dxa"/>
            <w:tcBorders>
              <w:top w:val="nil"/>
              <w:left w:val="nil"/>
              <w:bottom w:val="nil"/>
              <w:right w:val="nil"/>
            </w:tcBorders>
            <w:shd w:val="clear" w:color="000000" w:fill="FFFFFF"/>
          </w:tcPr>
          <w:p w14:paraId="23CB8ECD" w14:textId="77777777" w:rsidR="00B729F9" w:rsidRPr="00735EAE" w:rsidRDefault="00B729F9" w:rsidP="00D40E6A">
            <w:pPr>
              <w:jc w:val="both"/>
              <w:rPr>
                <w:rFonts w:asciiTheme="majorBidi" w:hAnsiTheme="majorBidi" w:cstheme="majorBidi"/>
                <w:color w:val="000000" w:themeColor="text1"/>
                <w:sz w:val="22"/>
              </w:rPr>
            </w:pPr>
          </w:p>
        </w:tc>
        <w:tc>
          <w:tcPr>
            <w:tcW w:w="1492" w:type="dxa"/>
            <w:tcBorders>
              <w:top w:val="nil"/>
              <w:left w:val="nil"/>
              <w:bottom w:val="nil"/>
              <w:right w:val="nil"/>
            </w:tcBorders>
            <w:shd w:val="clear" w:color="000000" w:fill="FFFFFF"/>
            <w:noWrap/>
            <w:vAlign w:val="bottom"/>
            <w:hideMark/>
          </w:tcPr>
          <w:p w14:paraId="53320791"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B729F9" w:rsidRPr="00865E04" w14:paraId="42637BE7" w14:textId="77777777" w:rsidTr="00D40E6A">
        <w:trPr>
          <w:trHeight w:val="50"/>
        </w:trPr>
        <w:tc>
          <w:tcPr>
            <w:tcW w:w="4362" w:type="dxa"/>
            <w:tcBorders>
              <w:top w:val="nil"/>
              <w:left w:val="nil"/>
              <w:bottom w:val="nil"/>
              <w:right w:val="nil"/>
            </w:tcBorders>
            <w:shd w:val="clear" w:color="000000" w:fill="FFFFFF"/>
            <w:noWrap/>
            <w:hideMark/>
          </w:tcPr>
          <w:p w14:paraId="15768178"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53" w:type="dxa"/>
            <w:tcBorders>
              <w:top w:val="nil"/>
              <w:left w:val="nil"/>
              <w:bottom w:val="nil"/>
              <w:right w:val="nil"/>
            </w:tcBorders>
            <w:shd w:val="clear" w:color="000000" w:fill="FFFFFF"/>
            <w:noWrap/>
            <w:hideMark/>
          </w:tcPr>
          <w:p w14:paraId="7E519C8D"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(0.853)</w:t>
            </w:r>
          </w:p>
        </w:tc>
        <w:tc>
          <w:tcPr>
            <w:tcW w:w="1362" w:type="dxa"/>
            <w:tcBorders>
              <w:top w:val="nil"/>
              <w:left w:val="nil"/>
              <w:bottom w:val="nil"/>
              <w:right w:val="nil"/>
            </w:tcBorders>
            <w:shd w:val="clear" w:color="000000" w:fill="FFFFFF"/>
            <w:noWrap/>
            <w:hideMark/>
          </w:tcPr>
          <w:p w14:paraId="1BEFC3C3"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(0.141)</w:t>
            </w:r>
          </w:p>
        </w:tc>
        <w:tc>
          <w:tcPr>
            <w:tcW w:w="818" w:type="dxa"/>
            <w:tcBorders>
              <w:top w:val="nil"/>
              <w:left w:val="nil"/>
              <w:bottom w:val="nil"/>
              <w:right w:val="nil"/>
            </w:tcBorders>
            <w:shd w:val="clear" w:color="000000" w:fill="FFFFFF"/>
          </w:tcPr>
          <w:p w14:paraId="5835D11A" w14:textId="77777777" w:rsidR="00B729F9" w:rsidRPr="00735EAE" w:rsidRDefault="00B729F9" w:rsidP="00B729F9">
            <w:pPr>
              <w:spacing w:after="60"/>
              <w:jc w:val="both"/>
              <w:rPr>
                <w:rFonts w:asciiTheme="majorBidi" w:hAnsiTheme="majorBidi" w:cstheme="majorBidi"/>
                <w:color w:val="000000" w:themeColor="text1"/>
                <w:sz w:val="22"/>
              </w:rPr>
            </w:pPr>
          </w:p>
        </w:tc>
        <w:tc>
          <w:tcPr>
            <w:tcW w:w="953" w:type="dxa"/>
            <w:tcBorders>
              <w:top w:val="nil"/>
              <w:left w:val="nil"/>
              <w:bottom w:val="nil"/>
              <w:right w:val="nil"/>
            </w:tcBorders>
            <w:shd w:val="clear" w:color="000000" w:fill="FFFFFF"/>
            <w:noWrap/>
            <w:hideMark/>
          </w:tcPr>
          <w:p w14:paraId="23A3B44E"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72" w:type="dxa"/>
            <w:tcBorders>
              <w:top w:val="nil"/>
              <w:left w:val="nil"/>
              <w:bottom w:val="nil"/>
              <w:right w:val="nil"/>
            </w:tcBorders>
            <w:shd w:val="clear" w:color="000000" w:fill="FFFFFF"/>
            <w:noWrap/>
            <w:hideMark/>
          </w:tcPr>
          <w:p w14:paraId="5A48D05A"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80" w:type="dxa"/>
            <w:tcBorders>
              <w:top w:val="nil"/>
              <w:left w:val="nil"/>
              <w:bottom w:val="nil"/>
              <w:right w:val="nil"/>
            </w:tcBorders>
            <w:shd w:val="clear" w:color="000000" w:fill="FFFFFF"/>
            <w:noWrap/>
            <w:hideMark/>
          </w:tcPr>
          <w:p w14:paraId="366DF97E"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(1.141)</w:t>
            </w:r>
          </w:p>
        </w:tc>
        <w:tc>
          <w:tcPr>
            <w:tcW w:w="1564" w:type="dxa"/>
            <w:tcBorders>
              <w:top w:val="nil"/>
              <w:left w:val="nil"/>
              <w:bottom w:val="nil"/>
              <w:right w:val="nil"/>
            </w:tcBorders>
            <w:shd w:val="clear" w:color="000000" w:fill="FFFFFF"/>
            <w:noWrap/>
            <w:hideMark/>
          </w:tcPr>
          <w:p w14:paraId="340926B9"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2.504)*</w:t>
            </w:r>
            <w:proofErr w:type="gramEnd"/>
            <w:r w:rsidRPr="00735EAE">
              <w:rPr>
                <w:rFonts w:asciiTheme="majorBidi" w:hAnsiTheme="majorBidi" w:cstheme="majorBidi"/>
                <w:color w:val="000000" w:themeColor="text1"/>
                <w:sz w:val="22"/>
              </w:rPr>
              <w:t>*</w:t>
            </w:r>
          </w:p>
        </w:tc>
        <w:tc>
          <w:tcPr>
            <w:tcW w:w="852" w:type="dxa"/>
            <w:tcBorders>
              <w:top w:val="nil"/>
              <w:left w:val="nil"/>
              <w:bottom w:val="nil"/>
              <w:right w:val="nil"/>
            </w:tcBorders>
            <w:shd w:val="clear" w:color="000000" w:fill="FFFFFF"/>
          </w:tcPr>
          <w:p w14:paraId="5E1F59C7" w14:textId="77777777" w:rsidR="00B729F9" w:rsidRPr="00735EAE" w:rsidRDefault="00B729F9" w:rsidP="00B729F9">
            <w:pPr>
              <w:jc w:val="both"/>
              <w:rPr>
                <w:rFonts w:asciiTheme="majorBidi" w:hAnsiTheme="majorBidi" w:cstheme="majorBidi"/>
                <w:color w:val="000000" w:themeColor="text1"/>
                <w:sz w:val="22"/>
              </w:rPr>
            </w:pPr>
          </w:p>
        </w:tc>
        <w:tc>
          <w:tcPr>
            <w:tcW w:w="1492" w:type="dxa"/>
            <w:tcBorders>
              <w:top w:val="nil"/>
              <w:left w:val="nil"/>
              <w:bottom w:val="nil"/>
              <w:right w:val="nil"/>
            </w:tcBorders>
            <w:shd w:val="clear" w:color="000000" w:fill="FFFFFF"/>
            <w:noWrap/>
            <w:hideMark/>
          </w:tcPr>
          <w:p w14:paraId="73C40793"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B729F9" w:rsidRPr="00865E04" w14:paraId="3AD7A138" w14:textId="77777777" w:rsidTr="00D40E6A">
        <w:trPr>
          <w:trHeight w:val="108"/>
        </w:trPr>
        <w:tc>
          <w:tcPr>
            <w:tcW w:w="4362" w:type="dxa"/>
            <w:tcBorders>
              <w:top w:val="nil"/>
              <w:left w:val="nil"/>
              <w:bottom w:val="nil"/>
              <w:right w:val="nil"/>
            </w:tcBorders>
            <w:shd w:val="clear" w:color="000000" w:fill="FFFFFF"/>
            <w:noWrap/>
            <w:vAlign w:val="bottom"/>
            <w:hideMark/>
          </w:tcPr>
          <w:p w14:paraId="7D951D2A" w14:textId="77777777" w:rsidR="00B729F9" w:rsidRPr="00735EAE" w:rsidRDefault="00B729F9" w:rsidP="00D40E6A">
            <w:pPr>
              <w:jc w:val="both"/>
              <w:rPr>
                <w:rFonts w:asciiTheme="majorBidi" w:hAnsiTheme="majorBidi" w:cstheme="majorBidi"/>
                <w:i/>
                <w:iCs/>
                <w:color w:val="000000" w:themeColor="text1"/>
                <w:sz w:val="22"/>
              </w:rPr>
            </w:pPr>
            <w:r w:rsidRPr="00735EAE">
              <w:rPr>
                <w:rFonts w:asciiTheme="majorBidi" w:hAnsiTheme="majorBidi" w:cstheme="majorBidi"/>
                <w:i/>
                <w:iCs/>
                <w:color w:val="000000" w:themeColor="text1"/>
                <w:sz w:val="22"/>
              </w:rPr>
              <w:t>Remittance Model</w:t>
            </w:r>
          </w:p>
        </w:tc>
        <w:tc>
          <w:tcPr>
            <w:tcW w:w="953" w:type="dxa"/>
            <w:tcBorders>
              <w:top w:val="nil"/>
              <w:left w:val="nil"/>
              <w:bottom w:val="nil"/>
              <w:right w:val="nil"/>
            </w:tcBorders>
            <w:shd w:val="clear" w:color="000000" w:fill="FFFFFF"/>
            <w:noWrap/>
            <w:vAlign w:val="bottom"/>
            <w:hideMark/>
          </w:tcPr>
          <w:p w14:paraId="5C8CC2B3"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362" w:type="dxa"/>
            <w:tcBorders>
              <w:top w:val="nil"/>
              <w:left w:val="nil"/>
              <w:bottom w:val="nil"/>
              <w:right w:val="nil"/>
            </w:tcBorders>
            <w:shd w:val="clear" w:color="000000" w:fill="FFFFFF"/>
            <w:noWrap/>
            <w:vAlign w:val="bottom"/>
            <w:hideMark/>
          </w:tcPr>
          <w:p w14:paraId="1F164357"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18" w:type="dxa"/>
            <w:tcBorders>
              <w:top w:val="nil"/>
              <w:left w:val="nil"/>
              <w:bottom w:val="nil"/>
              <w:right w:val="nil"/>
            </w:tcBorders>
            <w:shd w:val="clear" w:color="000000" w:fill="FFFFFF"/>
            <w:vAlign w:val="bottom"/>
          </w:tcPr>
          <w:p w14:paraId="3422332D"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-0.006</w:t>
            </w:r>
          </w:p>
        </w:tc>
        <w:tc>
          <w:tcPr>
            <w:tcW w:w="953" w:type="dxa"/>
            <w:tcBorders>
              <w:top w:val="nil"/>
              <w:left w:val="nil"/>
              <w:bottom w:val="nil"/>
              <w:right w:val="nil"/>
            </w:tcBorders>
            <w:shd w:val="clear" w:color="000000" w:fill="FFFFFF"/>
            <w:noWrap/>
            <w:vAlign w:val="bottom"/>
            <w:hideMark/>
          </w:tcPr>
          <w:p w14:paraId="1F1225A2"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-0.045</w:t>
            </w:r>
          </w:p>
        </w:tc>
        <w:tc>
          <w:tcPr>
            <w:tcW w:w="1072" w:type="dxa"/>
            <w:tcBorders>
              <w:top w:val="nil"/>
              <w:left w:val="nil"/>
              <w:bottom w:val="nil"/>
              <w:right w:val="nil"/>
            </w:tcBorders>
            <w:shd w:val="clear" w:color="000000" w:fill="FFFFFF"/>
            <w:noWrap/>
            <w:vAlign w:val="bottom"/>
            <w:hideMark/>
          </w:tcPr>
          <w:p w14:paraId="163A7AFD"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80" w:type="dxa"/>
            <w:tcBorders>
              <w:top w:val="nil"/>
              <w:left w:val="nil"/>
              <w:bottom w:val="nil"/>
              <w:right w:val="nil"/>
            </w:tcBorders>
            <w:shd w:val="clear" w:color="000000" w:fill="FFFFFF"/>
            <w:noWrap/>
            <w:vAlign w:val="bottom"/>
            <w:hideMark/>
          </w:tcPr>
          <w:p w14:paraId="5C8D0C28"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564" w:type="dxa"/>
            <w:tcBorders>
              <w:top w:val="nil"/>
              <w:left w:val="nil"/>
              <w:bottom w:val="nil"/>
              <w:right w:val="nil"/>
            </w:tcBorders>
            <w:shd w:val="clear" w:color="000000" w:fill="FFFFFF"/>
            <w:noWrap/>
            <w:vAlign w:val="bottom"/>
            <w:hideMark/>
          </w:tcPr>
          <w:p w14:paraId="2A1848FA"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52" w:type="dxa"/>
            <w:tcBorders>
              <w:top w:val="nil"/>
              <w:left w:val="nil"/>
              <w:bottom w:val="nil"/>
              <w:right w:val="nil"/>
            </w:tcBorders>
            <w:shd w:val="clear" w:color="000000" w:fill="FFFFFF"/>
            <w:vAlign w:val="bottom"/>
          </w:tcPr>
          <w:p w14:paraId="00B46EA0"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0.041</w:t>
            </w:r>
          </w:p>
        </w:tc>
        <w:tc>
          <w:tcPr>
            <w:tcW w:w="1492" w:type="dxa"/>
            <w:tcBorders>
              <w:top w:val="nil"/>
              <w:left w:val="nil"/>
              <w:bottom w:val="nil"/>
              <w:right w:val="nil"/>
            </w:tcBorders>
            <w:shd w:val="clear" w:color="000000" w:fill="FFFFFF"/>
            <w:noWrap/>
            <w:vAlign w:val="bottom"/>
            <w:hideMark/>
          </w:tcPr>
          <w:p w14:paraId="25048E66" w14:textId="77777777" w:rsidR="00B729F9" w:rsidRPr="00735EAE" w:rsidRDefault="00B729F9" w:rsidP="00D40E6A">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0.361</w:t>
            </w:r>
          </w:p>
        </w:tc>
      </w:tr>
      <w:tr w:rsidR="00B729F9" w:rsidRPr="00865E04" w14:paraId="62E9D365" w14:textId="77777777" w:rsidTr="00D40E6A">
        <w:trPr>
          <w:trHeight w:val="50"/>
        </w:trPr>
        <w:tc>
          <w:tcPr>
            <w:tcW w:w="4362" w:type="dxa"/>
            <w:tcBorders>
              <w:top w:val="nil"/>
              <w:left w:val="nil"/>
              <w:bottom w:val="nil"/>
              <w:right w:val="nil"/>
            </w:tcBorders>
            <w:shd w:val="clear" w:color="000000" w:fill="FFFFFF"/>
            <w:noWrap/>
            <w:hideMark/>
          </w:tcPr>
          <w:p w14:paraId="7D50AF3A"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53" w:type="dxa"/>
            <w:tcBorders>
              <w:top w:val="nil"/>
              <w:left w:val="nil"/>
              <w:bottom w:val="nil"/>
              <w:right w:val="nil"/>
            </w:tcBorders>
            <w:shd w:val="clear" w:color="000000" w:fill="FFFFFF"/>
            <w:noWrap/>
            <w:hideMark/>
          </w:tcPr>
          <w:p w14:paraId="1B5F5057"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362" w:type="dxa"/>
            <w:tcBorders>
              <w:top w:val="nil"/>
              <w:left w:val="nil"/>
              <w:bottom w:val="nil"/>
              <w:right w:val="nil"/>
            </w:tcBorders>
            <w:shd w:val="clear" w:color="000000" w:fill="FFFFFF"/>
            <w:noWrap/>
            <w:hideMark/>
          </w:tcPr>
          <w:p w14:paraId="3299CE48"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18" w:type="dxa"/>
            <w:tcBorders>
              <w:top w:val="nil"/>
              <w:left w:val="nil"/>
              <w:bottom w:val="nil"/>
              <w:right w:val="nil"/>
            </w:tcBorders>
            <w:shd w:val="clear" w:color="000000" w:fill="FFFFFF"/>
          </w:tcPr>
          <w:p w14:paraId="518B6E3B"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(0.41)</w:t>
            </w:r>
          </w:p>
        </w:tc>
        <w:tc>
          <w:tcPr>
            <w:tcW w:w="953" w:type="dxa"/>
            <w:tcBorders>
              <w:top w:val="nil"/>
              <w:left w:val="nil"/>
              <w:bottom w:val="nil"/>
              <w:right w:val="nil"/>
            </w:tcBorders>
            <w:shd w:val="clear" w:color="000000" w:fill="FFFFFF"/>
            <w:noWrap/>
            <w:hideMark/>
          </w:tcPr>
          <w:p w14:paraId="6D10B19C"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(0.415)</w:t>
            </w:r>
          </w:p>
        </w:tc>
        <w:tc>
          <w:tcPr>
            <w:tcW w:w="1072" w:type="dxa"/>
            <w:tcBorders>
              <w:top w:val="nil"/>
              <w:left w:val="nil"/>
              <w:bottom w:val="nil"/>
              <w:right w:val="nil"/>
            </w:tcBorders>
            <w:shd w:val="clear" w:color="000000" w:fill="FFFFFF"/>
            <w:noWrap/>
            <w:hideMark/>
          </w:tcPr>
          <w:p w14:paraId="347AA841"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80" w:type="dxa"/>
            <w:tcBorders>
              <w:top w:val="nil"/>
              <w:left w:val="nil"/>
              <w:bottom w:val="nil"/>
              <w:right w:val="nil"/>
            </w:tcBorders>
            <w:shd w:val="clear" w:color="000000" w:fill="FFFFFF"/>
            <w:noWrap/>
            <w:hideMark/>
          </w:tcPr>
          <w:p w14:paraId="6095A5BF"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564" w:type="dxa"/>
            <w:tcBorders>
              <w:top w:val="nil"/>
              <w:left w:val="nil"/>
              <w:bottom w:val="nil"/>
              <w:right w:val="nil"/>
            </w:tcBorders>
            <w:shd w:val="clear" w:color="000000" w:fill="FFFFFF"/>
            <w:noWrap/>
            <w:hideMark/>
          </w:tcPr>
          <w:p w14:paraId="68046BF2"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52" w:type="dxa"/>
            <w:tcBorders>
              <w:top w:val="nil"/>
              <w:left w:val="nil"/>
              <w:bottom w:val="nil"/>
              <w:right w:val="nil"/>
            </w:tcBorders>
            <w:shd w:val="clear" w:color="000000" w:fill="FFFFFF"/>
          </w:tcPr>
          <w:p w14:paraId="0CAE21C5"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(1.62)</w:t>
            </w:r>
          </w:p>
        </w:tc>
        <w:tc>
          <w:tcPr>
            <w:tcW w:w="1492" w:type="dxa"/>
            <w:tcBorders>
              <w:top w:val="nil"/>
              <w:left w:val="nil"/>
              <w:bottom w:val="nil"/>
              <w:right w:val="nil"/>
            </w:tcBorders>
            <w:shd w:val="clear" w:color="000000" w:fill="FFFFFF"/>
            <w:noWrap/>
            <w:hideMark/>
          </w:tcPr>
          <w:p w14:paraId="0F5249E7" w14:textId="77777777" w:rsidR="00B729F9" w:rsidRPr="00735EAE" w:rsidRDefault="00B729F9" w:rsidP="00B729F9">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3.018)*</w:t>
            </w:r>
            <w:proofErr w:type="gramEnd"/>
            <w:r w:rsidRPr="00735EAE">
              <w:rPr>
                <w:rFonts w:asciiTheme="majorBidi" w:hAnsiTheme="majorBidi" w:cstheme="majorBidi"/>
                <w:color w:val="000000" w:themeColor="text1"/>
                <w:sz w:val="22"/>
              </w:rPr>
              <w:t>**</w:t>
            </w:r>
          </w:p>
        </w:tc>
      </w:tr>
      <w:tr w:rsidR="00B729F9" w:rsidRPr="00865E04" w14:paraId="56654A42" w14:textId="77777777" w:rsidTr="00D40E6A">
        <w:trPr>
          <w:trHeight w:val="147"/>
        </w:trPr>
        <w:tc>
          <w:tcPr>
            <w:tcW w:w="4362" w:type="dxa"/>
            <w:tcBorders>
              <w:top w:val="nil"/>
              <w:left w:val="nil"/>
              <w:right w:val="nil"/>
            </w:tcBorders>
            <w:shd w:val="clear" w:color="000000" w:fill="FFFFFF"/>
            <w:noWrap/>
          </w:tcPr>
          <w:p w14:paraId="3F5FB789"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xml:space="preserve">Control Variables </w:t>
            </w:r>
          </w:p>
        </w:tc>
        <w:tc>
          <w:tcPr>
            <w:tcW w:w="953" w:type="dxa"/>
            <w:tcBorders>
              <w:top w:val="nil"/>
              <w:left w:val="nil"/>
              <w:bottom w:val="nil"/>
              <w:right w:val="nil"/>
            </w:tcBorders>
            <w:shd w:val="clear" w:color="000000" w:fill="FFFFFF"/>
            <w:noWrap/>
          </w:tcPr>
          <w:p w14:paraId="5610E78C"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362" w:type="dxa"/>
            <w:tcBorders>
              <w:top w:val="nil"/>
              <w:left w:val="nil"/>
              <w:bottom w:val="nil"/>
              <w:right w:val="nil"/>
            </w:tcBorders>
            <w:shd w:val="clear" w:color="000000" w:fill="FFFFFF"/>
            <w:noWrap/>
          </w:tcPr>
          <w:p w14:paraId="618FCB76"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818" w:type="dxa"/>
            <w:tcBorders>
              <w:top w:val="nil"/>
              <w:left w:val="nil"/>
              <w:bottom w:val="nil"/>
              <w:right w:val="nil"/>
            </w:tcBorders>
            <w:shd w:val="clear" w:color="000000" w:fill="FFFFFF"/>
            <w:vAlign w:val="center"/>
          </w:tcPr>
          <w:p w14:paraId="647D5365"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Yes</w:t>
            </w:r>
          </w:p>
        </w:tc>
        <w:tc>
          <w:tcPr>
            <w:tcW w:w="953" w:type="dxa"/>
            <w:tcBorders>
              <w:top w:val="nil"/>
              <w:left w:val="nil"/>
              <w:bottom w:val="nil"/>
              <w:right w:val="nil"/>
            </w:tcBorders>
            <w:shd w:val="clear" w:color="000000" w:fill="FFFFFF"/>
            <w:noWrap/>
          </w:tcPr>
          <w:p w14:paraId="36F52840"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072" w:type="dxa"/>
            <w:tcBorders>
              <w:top w:val="nil"/>
              <w:left w:val="nil"/>
              <w:bottom w:val="nil"/>
              <w:right w:val="nil"/>
            </w:tcBorders>
            <w:shd w:val="clear" w:color="000000" w:fill="FFFFFF"/>
            <w:noWrap/>
          </w:tcPr>
          <w:p w14:paraId="761601ED" w14:textId="77777777" w:rsidR="00B729F9" w:rsidRPr="00735EAE" w:rsidRDefault="00B729F9" w:rsidP="00B729F9">
            <w:pPr>
              <w:jc w:val="both"/>
              <w:rPr>
                <w:rFonts w:asciiTheme="majorBidi" w:hAnsiTheme="majorBidi" w:cstheme="majorBidi"/>
                <w:color w:val="000000" w:themeColor="text1"/>
                <w:sz w:val="22"/>
              </w:rPr>
            </w:pPr>
          </w:p>
        </w:tc>
        <w:tc>
          <w:tcPr>
            <w:tcW w:w="880" w:type="dxa"/>
            <w:tcBorders>
              <w:top w:val="nil"/>
              <w:left w:val="nil"/>
              <w:bottom w:val="nil"/>
              <w:right w:val="nil"/>
            </w:tcBorders>
            <w:shd w:val="clear" w:color="000000" w:fill="FFFFFF"/>
            <w:noWrap/>
          </w:tcPr>
          <w:p w14:paraId="4554E9C4"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564" w:type="dxa"/>
            <w:tcBorders>
              <w:top w:val="nil"/>
              <w:left w:val="nil"/>
              <w:bottom w:val="nil"/>
              <w:right w:val="nil"/>
            </w:tcBorders>
            <w:shd w:val="clear" w:color="000000" w:fill="FFFFFF"/>
            <w:noWrap/>
          </w:tcPr>
          <w:p w14:paraId="6598EA07"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852" w:type="dxa"/>
            <w:tcBorders>
              <w:top w:val="nil"/>
              <w:left w:val="nil"/>
              <w:bottom w:val="nil"/>
              <w:right w:val="nil"/>
            </w:tcBorders>
            <w:shd w:val="clear" w:color="000000" w:fill="FFFFFF"/>
            <w:vAlign w:val="center"/>
          </w:tcPr>
          <w:p w14:paraId="365708FA"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Yes</w:t>
            </w:r>
          </w:p>
        </w:tc>
        <w:tc>
          <w:tcPr>
            <w:tcW w:w="1492" w:type="dxa"/>
            <w:tcBorders>
              <w:top w:val="nil"/>
              <w:left w:val="nil"/>
              <w:bottom w:val="nil"/>
              <w:right w:val="nil"/>
            </w:tcBorders>
            <w:shd w:val="clear" w:color="000000" w:fill="FFFFFF"/>
            <w:noWrap/>
          </w:tcPr>
          <w:p w14:paraId="44003104"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r>
      <w:tr w:rsidR="00B729F9" w:rsidRPr="00865E04" w14:paraId="046CCE98" w14:textId="77777777" w:rsidTr="00D40E6A">
        <w:trPr>
          <w:trHeight w:val="142"/>
        </w:trPr>
        <w:tc>
          <w:tcPr>
            <w:tcW w:w="4362" w:type="dxa"/>
            <w:tcBorders>
              <w:top w:val="nil"/>
              <w:left w:val="nil"/>
              <w:right w:val="nil"/>
            </w:tcBorders>
            <w:shd w:val="clear" w:color="000000" w:fill="FFFFFF"/>
            <w:noWrap/>
          </w:tcPr>
          <w:p w14:paraId="06DE9DB9"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Time and Village Fixed Effects</w:t>
            </w:r>
          </w:p>
        </w:tc>
        <w:tc>
          <w:tcPr>
            <w:tcW w:w="953" w:type="dxa"/>
            <w:tcBorders>
              <w:top w:val="nil"/>
              <w:left w:val="nil"/>
              <w:bottom w:val="nil"/>
              <w:right w:val="nil"/>
            </w:tcBorders>
            <w:shd w:val="clear" w:color="000000" w:fill="FFFFFF"/>
            <w:noWrap/>
          </w:tcPr>
          <w:p w14:paraId="25556A38"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362" w:type="dxa"/>
            <w:tcBorders>
              <w:top w:val="nil"/>
              <w:left w:val="nil"/>
              <w:bottom w:val="nil"/>
              <w:right w:val="nil"/>
            </w:tcBorders>
            <w:shd w:val="clear" w:color="000000" w:fill="FFFFFF"/>
            <w:noWrap/>
          </w:tcPr>
          <w:p w14:paraId="58D8C008"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818" w:type="dxa"/>
            <w:tcBorders>
              <w:top w:val="nil"/>
              <w:left w:val="nil"/>
              <w:bottom w:val="nil"/>
              <w:right w:val="nil"/>
            </w:tcBorders>
            <w:shd w:val="clear" w:color="000000" w:fill="FFFFFF"/>
            <w:vAlign w:val="center"/>
          </w:tcPr>
          <w:p w14:paraId="0E4BDD02"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Yes</w:t>
            </w:r>
          </w:p>
        </w:tc>
        <w:tc>
          <w:tcPr>
            <w:tcW w:w="953" w:type="dxa"/>
            <w:tcBorders>
              <w:top w:val="nil"/>
              <w:left w:val="nil"/>
              <w:bottom w:val="nil"/>
              <w:right w:val="nil"/>
            </w:tcBorders>
            <w:shd w:val="clear" w:color="000000" w:fill="FFFFFF"/>
            <w:noWrap/>
          </w:tcPr>
          <w:p w14:paraId="0F6A5100"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072" w:type="dxa"/>
            <w:tcBorders>
              <w:top w:val="nil"/>
              <w:left w:val="nil"/>
              <w:bottom w:val="nil"/>
              <w:right w:val="nil"/>
            </w:tcBorders>
            <w:shd w:val="clear" w:color="000000" w:fill="FFFFFF"/>
            <w:noWrap/>
          </w:tcPr>
          <w:p w14:paraId="7CB2141C" w14:textId="77777777" w:rsidR="00B729F9" w:rsidRPr="00735EAE" w:rsidRDefault="00B729F9" w:rsidP="00B729F9">
            <w:pPr>
              <w:jc w:val="both"/>
              <w:rPr>
                <w:rFonts w:asciiTheme="majorBidi" w:hAnsiTheme="majorBidi" w:cstheme="majorBidi"/>
                <w:color w:val="000000" w:themeColor="text1"/>
                <w:sz w:val="22"/>
              </w:rPr>
            </w:pPr>
          </w:p>
        </w:tc>
        <w:tc>
          <w:tcPr>
            <w:tcW w:w="880" w:type="dxa"/>
            <w:tcBorders>
              <w:top w:val="nil"/>
              <w:left w:val="nil"/>
              <w:bottom w:val="nil"/>
              <w:right w:val="nil"/>
            </w:tcBorders>
            <w:shd w:val="clear" w:color="000000" w:fill="FFFFFF"/>
            <w:noWrap/>
          </w:tcPr>
          <w:p w14:paraId="56BA6F54"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564" w:type="dxa"/>
            <w:tcBorders>
              <w:top w:val="nil"/>
              <w:left w:val="nil"/>
              <w:bottom w:val="nil"/>
              <w:right w:val="nil"/>
            </w:tcBorders>
            <w:shd w:val="clear" w:color="000000" w:fill="FFFFFF"/>
            <w:noWrap/>
          </w:tcPr>
          <w:p w14:paraId="494DDEC7"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852" w:type="dxa"/>
            <w:tcBorders>
              <w:top w:val="nil"/>
              <w:left w:val="nil"/>
              <w:bottom w:val="nil"/>
              <w:right w:val="nil"/>
            </w:tcBorders>
            <w:shd w:val="clear" w:color="000000" w:fill="FFFFFF"/>
            <w:vAlign w:val="center"/>
          </w:tcPr>
          <w:p w14:paraId="4B685C66"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Yes</w:t>
            </w:r>
          </w:p>
        </w:tc>
        <w:tc>
          <w:tcPr>
            <w:tcW w:w="1492" w:type="dxa"/>
            <w:tcBorders>
              <w:top w:val="nil"/>
              <w:left w:val="nil"/>
              <w:bottom w:val="nil"/>
              <w:right w:val="nil"/>
            </w:tcBorders>
            <w:shd w:val="clear" w:color="000000" w:fill="FFFFFF"/>
            <w:noWrap/>
          </w:tcPr>
          <w:p w14:paraId="7DAD824D"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r>
      <w:tr w:rsidR="00B729F9" w:rsidRPr="00865E04" w14:paraId="4885683E" w14:textId="77777777" w:rsidTr="00D40E6A">
        <w:trPr>
          <w:trHeight w:val="131"/>
        </w:trPr>
        <w:tc>
          <w:tcPr>
            <w:tcW w:w="4362" w:type="dxa"/>
            <w:tcBorders>
              <w:top w:val="nil"/>
              <w:left w:val="nil"/>
              <w:right w:val="nil"/>
            </w:tcBorders>
            <w:shd w:val="clear" w:color="000000" w:fill="FFFFFF"/>
            <w:noWrap/>
            <w:vAlign w:val="center"/>
          </w:tcPr>
          <w:p w14:paraId="5D3E5231"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R-Squared (within)</w:t>
            </w:r>
          </w:p>
        </w:tc>
        <w:tc>
          <w:tcPr>
            <w:tcW w:w="953" w:type="dxa"/>
            <w:tcBorders>
              <w:top w:val="nil"/>
              <w:left w:val="nil"/>
              <w:bottom w:val="nil"/>
              <w:right w:val="nil"/>
            </w:tcBorders>
            <w:shd w:val="clear" w:color="000000" w:fill="FFFFFF"/>
            <w:noWrap/>
            <w:vAlign w:val="center"/>
          </w:tcPr>
          <w:p w14:paraId="3AE40BC0"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0.26</w:t>
            </w:r>
          </w:p>
        </w:tc>
        <w:tc>
          <w:tcPr>
            <w:tcW w:w="1362" w:type="dxa"/>
            <w:tcBorders>
              <w:top w:val="nil"/>
              <w:left w:val="nil"/>
              <w:bottom w:val="nil"/>
              <w:right w:val="nil"/>
            </w:tcBorders>
            <w:shd w:val="clear" w:color="000000" w:fill="FFFFFF"/>
            <w:noWrap/>
            <w:vAlign w:val="center"/>
          </w:tcPr>
          <w:p w14:paraId="59A39872"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0.26</w:t>
            </w:r>
          </w:p>
        </w:tc>
        <w:tc>
          <w:tcPr>
            <w:tcW w:w="818" w:type="dxa"/>
            <w:tcBorders>
              <w:top w:val="nil"/>
              <w:left w:val="nil"/>
              <w:bottom w:val="nil"/>
              <w:right w:val="nil"/>
            </w:tcBorders>
            <w:shd w:val="clear" w:color="000000" w:fill="FFFFFF"/>
            <w:vAlign w:val="center"/>
          </w:tcPr>
          <w:p w14:paraId="741C2321"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0.26</w:t>
            </w:r>
          </w:p>
        </w:tc>
        <w:tc>
          <w:tcPr>
            <w:tcW w:w="953" w:type="dxa"/>
            <w:tcBorders>
              <w:top w:val="nil"/>
              <w:left w:val="nil"/>
              <w:bottom w:val="nil"/>
              <w:right w:val="nil"/>
            </w:tcBorders>
            <w:shd w:val="clear" w:color="000000" w:fill="FFFFFF"/>
            <w:noWrap/>
            <w:vAlign w:val="center"/>
          </w:tcPr>
          <w:p w14:paraId="767CA165"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0.25</w:t>
            </w:r>
          </w:p>
        </w:tc>
        <w:tc>
          <w:tcPr>
            <w:tcW w:w="1072" w:type="dxa"/>
            <w:tcBorders>
              <w:top w:val="nil"/>
              <w:left w:val="nil"/>
              <w:bottom w:val="nil"/>
              <w:right w:val="nil"/>
            </w:tcBorders>
            <w:shd w:val="clear" w:color="000000" w:fill="FFFFFF"/>
            <w:noWrap/>
            <w:vAlign w:val="center"/>
          </w:tcPr>
          <w:p w14:paraId="26489C00"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w:t>
            </w:r>
          </w:p>
        </w:tc>
        <w:tc>
          <w:tcPr>
            <w:tcW w:w="880" w:type="dxa"/>
            <w:tcBorders>
              <w:top w:val="nil"/>
              <w:left w:val="nil"/>
              <w:bottom w:val="nil"/>
              <w:right w:val="nil"/>
            </w:tcBorders>
            <w:shd w:val="clear" w:color="000000" w:fill="FFFFFF"/>
            <w:noWrap/>
            <w:vAlign w:val="center"/>
          </w:tcPr>
          <w:p w14:paraId="4A956CAA"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0.35</w:t>
            </w:r>
          </w:p>
        </w:tc>
        <w:tc>
          <w:tcPr>
            <w:tcW w:w="1564" w:type="dxa"/>
            <w:tcBorders>
              <w:top w:val="nil"/>
              <w:left w:val="nil"/>
              <w:bottom w:val="nil"/>
              <w:right w:val="nil"/>
            </w:tcBorders>
            <w:shd w:val="clear" w:color="000000" w:fill="FFFFFF"/>
            <w:noWrap/>
            <w:vAlign w:val="center"/>
          </w:tcPr>
          <w:p w14:paraId="6176863B"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0.30</w:t>
            </w:r>
          </w:p>
        </w:tc>
        <w:tc>
          <w:tcPr>
            <w:tcW w:w="852" w:type="dxa"/>
            <w:tcBorders>
              <w:top w:val="nil"/>
              <w:left w:val="nil"/>
              <w:bottom w:val="nil"/>
              <w:right w:val="nil"/>
            </w:tcBorders>
            <w:shd w:val="clear" w:color="000000" w:fill="FFFFFF"/>
            <w:vAlign w:val="center"/>
          </w:tcPr>
          <w:p w14:paraId="1B08626C"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0.357</w:t>
            </w:r>
          </w:p>
        </w:tc>
        <w:tc>
          <w:tcPr>
            <w:tcW w:w="1492" w:type="dxa"/>
            <w:tcBorders>
              <w:top w:val="nil"/>
              <w:left w:val="nil"/>
              <w:bottom w:val="nil"/>
              <w:right w:val="nil"/>
            </w:tcBorders>
            <w:shd w:val="clear" w:color="000000" w:fill="FFFFFF"/>
            <w:noWrap/>
            <w:vAlign w:val="center"/>
          </w:tcPr>
          <w:p w14:paraId="2BB48CAC"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0.11</w:t>
            </w:r>
          </w:p>
        </w:tc>
      </w:tr>
      <w:tr w:rsidR="00B729F9" w:rsidRPr="00865E04" w14:paraId="52144358" w14:textId="77777777" w:rsidTr="00D40E6A">
        <w:trPr>
          <w:trHeight w:val="142"/>
        </w:trPr>
        <w:tc>
          <w:tcPr>
            <w:tcW w:w="4362" w:type="dxa"/>
            <w:tcBorders>
              <w:top w:val="nil"/>
              <w:left w:val="nil"/>
              <w:right w:val="nil"/>
            </w:tcBorders>
            <w:shd w:val="clear" w:color="000000" w:fill="FFFFFF"/>
            <w:noWrap/>
            <w:vAlign w:val="center"/>
          </w:tcPr>
          <w:p w14:paraId="40FCF07C"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Wald test (Chi-squared)</w:t>
            </w:r>
          </w:p>
        </w:tc>
        <w:tc>
          <w:tcPr>
            <w:tcW w:w="953" w:type="dxa"/>
            <w:tcBorders>
              <w:top w:val="nil"/>
              <w:left w:val="nil"/>
              <w:bottom w:val="nil"/>
              <w:right w:val="nil"/>
            </w:tcBorders>
            <w:shd w:val="clear" w:color="000000" w:fill="FFFFFF"/>
            <w:noWrap/>
            <w:vAlign w:val="center"/>
          </w:tcPr>
          <w:p w14:paraId="42A29658" w14:textId="77777777" w:rsidR="00B729F9" w:rsidRPr="00735EAE" w:rsidRDefault="00B729F9" w:rsidP="00B729F9">
            <w:pPr>
              <w:jc w:val="both"/>
              <w:rPr>
                <w:rFonts w:asciiTheme="majorBidi" w:eastAsia="Times New Roman" w:hAnsiTheme="majorBidi" w:cstheme="majorBidi"/>
                <w:color w:val="000000" w:themeColor="text1"/>
                <w:sz w:val="22"/>
              </w:rPr>
            </w:pPr>
          </w:p>
        </w:tc>
        <w:tc>
          <w:tcPr>
            <w:tcW w:w="1362" w:type="dxa"/>
            <w:tcBorders>
              <w:top w:val="nil"/>
              <w:left w:val="nil"/>
              <w:bottom w:val="nil"/>
              <w:right w:val="nil"/>
            </w:tcBorders>
            <w:shd w:val="clear" w:color="000000" w:fill="FFFFFF"/>
            <w:noWrap/>
            <w:vAlign w:val="center"/>
          </w:tcPr>
          <w:p w14:paraId="726E8AE1"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1109.45</w:t>
            </w:r>
          </w:p>
        </w:tc>
        <w:tc>
          <w:tcPr>
            <w:tcW w:w="818" w:type="dxa"/>
            <w:tcBorders>
              <w:top w:val="nil"/>
              <w:left w:val="nil"/>
              <w:bottom w:val="nil"/>
              <w:right w:val="nil"/>
            </w:tcBorders>
            <w:shd w:val="clear" w:color="000000" w:fill="FFFFFF"/>
            <w:vAlign w:val="center"/>
          </w:tcPr>
          <w:p w14:paraId="15D2BC92" w14:textId="77777777" w:rsidR="00B729F9" w:rsidRPr="00735EAE" w:rsidRDefault="00B729F9" w:rsidP="00B729F9">
            <w:pPr>
              <w:jc w:val="both"/>
              <w:rPr>
                <w:rFonts w:asciiTheme="majorBidi" w:eastAsia="Times New Roman" w:hAnsiTheme="majorBidi" w:cstheme="majorBidi"/>
                <w:color w:val="000000" w:themeColor="text1"/>
                <w:sz w:val="22"/>
              </w:rPr>
            </w:pPr>
          </w:p>
        </w:tc>
        <w:tc>
          <w:tcPr>
            <w:tcW w:w="953" w:type="dxa"/>
            <w:tcBorders>
              <w:top w:val="nil"/>
              <w:left w:val="nil"/>
              <w:bottom w:val="nil"/>
              <w:right w:val="nil"/>
            </w:tcBorders>
            <w:shd w:val="clear" w:color="000000" w:fill="FFFFFF"/>
            <w:noWrap/>
            <w:vAlign w:val="center"/>
          </w:tcPr>
          <w:p w14:paraId="5098F6FE"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3542.42</w:t>
            </w:r>
          </w:p>
        </w:tc>
        <w:tc>
          <w:tcPr>
            <w:tcW w:w="1072" w:type="dxa"/>
            <w:tcBorders>
              <w:top w:val="nil"/>
              <w:left w:val="nil"/>
              <w:bottom w:val="nil"/>
              <w:right w:val="nil"/>
            </w:tcBorders>
            <w:shd w:val="clear" w:color="000000" w:fill="FFFFFF"/>
            <w:noWrap/>
            <w:vAlign w:val="center"/>
          </w:tcPr>
          <w:p w14:paraId="174852D4"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w:t>
            </w:r>
          </w:p>
        </w:tc>
        <w:tc>
          <w:tcPr>
            <w:tcW w:w="880" w:type="dxa"/>
            <w:tcBorders>
              <w:top w:val="nil"/>
              <w:left w:val="nil"/>
              <w:bottom w:val="nil"/>
              <w:right w:val="nil"/>
            </w:tcBorders>
            <w:shd w:val="clear" w:color="000000" w:fill="FFFFFF"/>
            <w:noWrap/>
            <w:vAlign w:val="center"/>
          </w:tcPr>
          <w:p w14:paraId="4C9E5FB7" w14:textId="77777777" w:rsidR="00B729F9" w:rsidRPr="00735EAE" w:rsidRDefault="00B729F9" w:rsidP="00B729F9">
            <w:pPr>
              <w:jc w:val="both"/>
              <w:rPr>
                <w:rFonts w:asciiTheme="majorBidi" w:eastAsia="Times New Roman" w:hAnsiTheme="majorBidi" w:cstheme="majorBidi"/>
                <w:color w:val="000000" w:themeColor="text1"/>
                <w:sz w:val="22"/>
              </w:rPr>
            </w:pPr>
          </w:p>
        </w:tc>
        <w:tc>
          <w:tcPr>
            <w:tcW w:w="1564" w:type="dxa"/>
            <w:tcBorders>
              <w:top w:val="nil"/>
              <w:left w:val="nil"/>
              <w:bottom w:val="nil"/>
              <w:right w:val="nil"/>
            </w:tcBorders>
            <w:shd w:val="clear" w:color="000000" w:fill="FFFFFF"/>
            <w:noWrap/>
            <w:vAlign w:val="center"/>
          </w:tcPr>
          <w:p w14:paraId="72CABB01" w14:textId="77777777" w:rsidR="00B729F9" w:rsidRPr="00735EAE" w:rsidRDefault="00B729F9" w:rsidP="00B729F9">
            <w:pPr>
              <w:jc w:val="both"/>
              <w:rPr>
                <w:rFonts w:asciiTheme="majorBidi" w:eastAsia="Times New Roman" w:hAnsiTheme="majorBidi" w:cstheme="majorBidi"/>
                <w:color w:val="000000" w:themeColor="text1"/>
                <w:sz w:val="22"/>
              </w:rPr>
            </w:pPr>
            <w:r w:rsidRPr="00735EAE">
              <w:rPr>
                <w:rFonts w:asciiTheme="majorBidi" w:eastAsia="Times New Roman" w:hAnsiTheme="majorBidi" w:cstheme="majorBidi"/>
                <w:color w:val="000000" w:themeColor="text1"/>
                <w:sz w:val="22"/>
              </w:rPr>
              <w:t> 539.27</w:t>
            </w:r>
          </w:p>
        </w:tc>
        <w:tc>
          <w:tcPr>
            <w:tcW w:w="852" w:type="dxa"/>
            <w:tcBorders>
              <w:top w:val="nil"/>
              <w:left w:val="nil"/>
              <w:bottom w:val="nil"/>
              <w:right w:val="nil"/>
            </w:tcBorders>
            <w:shd w:val="clear" w:color="000000" w:fill="FFFFFF"/>
            <w:vAlign w:val="center"/>
          </w:tcPr>
          <w:p w14:paraId="66751929" w14:textId="77777777" w:rsidR="00B729F9" w:rsidRPr="00735EAE" w:rsidRDefault="00B729F9" w:rsidP="00B729F9">
            <w:pPr>
              <w:jc w:val="both"/>
              <w:rPr>
                <w:rFonts w:asciiTheme="majorBidi" w:eastAsia="Times New Roman" w:hAnsiTheme="majorBidi" w:cstheme="majorBidi"/>
                <w:color w:val="000000" w:themeColor="text1"/>
                <w:sz w:val="22"/>
              </w:rPr>
            </w:pPr>
          </w:p>
        </w:tc>
        <w:tc>
          <w:tcPr>
            <w:tcW w:w="1492" w:type="dxa"/>
            <w:tcBorders>
              <w:top w:val="nil"/>
              <w:left w:val="nil"/>
              <w:bottom w:val="nil"/>
              <w:right w:val="nil"/>
            </w:tcBorders>
            <w:shd w:val="clear" w:color="000000" w:fill="FFFFFF"/>
            <w:noWrap/>
          </w:tcPr>
          <w:p w14:paraId="35532737"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2136.94</w:t>
            </w:r>
          </w:p>
        </w:tc>
      </w:tr>
      <w:tr w:rsidR="00B729F9" w:rsidRPr="00865E04" w14:paraId="144B055A" w14:textId="77777777" w:rsidTr="00D40E6A">
        <w:trPr>
          <w:trHeight w:val="48"/>
        </w:trPr>
        <w:tc>
          <w:tcPr>
            <w:tcW w:w="4362" w:type="dxa"/>
            <w:tcBorders>
              <w:top w:val="nil"/>
              <w:left w:val="nil"/>
              <w:bottom w:val="single" w:sz="4" w:space="0" w:color="auto"/>
              <w:right w:val="nil"/>
            </w:tcBorders>
            <w:shd w:val="clear" w:color="000000" w:fill="FFFFFF"/>
            <w:noWrap/>
            <w:vAlign w:val="bottom"/>
            <w:hideMark/>
          </w:tcPr>
          <w:p w14:paraId="6E68630E"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Observation</w:t>
            </w:r>
          </w:p>
        </w:tc>
        <w:tc>
          <w:tcPr>
            <w:tcW w:w="953" w:type="dxa"/>
            <w:tcBorders>
              <w:top w:val="nil"/>
              <w:left w:val="nil"/>
              <w:bottom w:val="single" w:sz="4" w:space="0" w:color="auto"/>
              <w:right w:val="nil"/>
            </w:tcBorders>
            <w:shd w:val="clear" w:color="000000" w:fill="FFFFFF"/>
            <w:noWrap/>
            <w:hideMark/>
          </w:tcPr>
          <w:p w14:paraId="35ACF2FE"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977</w:t>
            </w:r>
          </w:p>
        </w:tc>
        <w:tc>
          <w:tcPr>
            <w:tcW w:w="1362" w:type="dxa"/>
            <w:tcBorders>
              <w:top w:val="nil"/>
              <w:left w:val="nil"/>
              <w:bottom w:val="single" w:sz="4" w:space="0" w:color="auto"/>
              <w:right w:val="nil"/>
            </w:tcBorders>
            <w:shd w:val="clear" w:color="000000" w:fill="FFFFFF"/>
            <w:noWrap/>
            <w:hideMark/>
          </w:tcPr>
          <w:p w14:paraId="46F2CB1F"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977</w:t>
            </w:r>
          </w:p>
        </w:tc>
        <w:tc>
          <w:tcPr>
            <w:tcW w:w="818" w:type="dxa"/>
            <w:tcBorders>
              <w:top w:val="nil"/>
              <w:left w:val="nil"/>
              <w:bottom w:val="single" w:sz="4" w:space="0" w:color="auto"/>
              <w:right w:val="nil"/>
            </w:tcBorders>
            <w:shd w:val="clear" w:color="000000" w:fill="FFFFFF"/>
          </w:tcPr>
          <w:p w14:paraId="6B673DB9" w14:textId="77777777" w:rsidR="00B729F9" w:rsidRPr="00735EAE" w:rsidRDefault="00B729F9" w:rsidP="00B729F9">
            <w:pPr>
              <w:jc w:val="both"/>
              <w:rPr>
                <w:rFonts w:asciiTheme="majorBidi" w:hAnsiTheme="majorBidi" w:cstheme="majorBidi"/>
                <w:color w:val="000000" w:themeColor="text1"/>
                <w:sz w:val="22"/>
              </w:rPr>
            </w:pPr>
          </w:p>
        </w:tc>
        <w:tc>
          <w:tcPr>
            <w:tcW w:w="953" w:type="dxa"/>
            <w:tcBorders>
              <w:top w:val="nil"/>
              <w:left w:val="nil"/>
              <w:bottom w:val="single" w:sz="4" w:space="0" w:color="auto"/>
              <w:right w:val="nil"/>
            </w:tcBorders>
            <w:shd w:val="clear" w:color="000000" w:fill="FFFFFF"/>
            <w:noWrap/>
            <w:hideMark/>
          </w:tcPr>
          <w:p w14:paraId="72B7DDC3"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977</w:t>
            </w:r>
          </w:p>
        </w:tc>
        <w:tc>
          <w:tcPr>
            <w:tcW w:w="1072" w:type="dxa"/>
            <w:tcBorders>
              <w:top w:val="nil"/>
              <w:left w:val="nil"/>
              <w:bottom w:val="single" w:sz="4" w:space="0" w:color="auto"/>
              <w:right w:val="nil"/>
            </w:tcBorders>
            <w:shd w:val="clear" w:color="000000" w:fill="FFFFFF"/>
            <w:noWrap/>
            <w:hideMark/>
          </w:tcPr>
          <w:p w14:paraId="12C36FEA" w14:textId="77777777" w:rsidR="00B729F9" w:rsidRPr="00735EAE" w:rsidRDefault="00B729F9" w:rsidP="00B729F9">
            <w:pPr>
              <w:jc w:val="both"/>
              <w:rPr>
                <w:rFonts w:asciiTheme="majorBidi" w:hAnsiTheme="majorBidi" w:cstheme="majorBidi"/>
                <w:color w:val="000000" w:themeColor="text1"/>
                <w:sz w:val="22"/>
              </w:rPr>
            </w:pPr>
          </w:p>
        </w:tc>
        <w:tc>
          <w:tcPr>
            <w:tcW w:w="880" w:type="dxa"/>
            <w:tcBorders>
              <w:top w:val="nil"/>
              <w:left w:val="nil"/>
              <w:bottom w:val="single" w:sz="4" w:space="0" w:color="auto"/>
              <w:right w:val="nil"/>
            </w:tcBorders>
            <w:shd w:val="clear" w:color="000000" w:fill="FFFFFF"/>
            <w:noWrap/>
            <w:hideMark/>
          </w:tcPr>
          <w:p w14:paraId="6EA9110A"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992</w:t>
            </w:r>
          </w:p>
        </w:tc>
        <w:tc>
          <w:tcPr>
            <w:tcW w:w="1564" w:type="dxa"/>
            <w:tcBorders>
              <w:top w:val="nil"/>
              <w:left w:val="nil"/>
              <w:bottom w:val="single" w:sz="4" w:space="0" w:color="auto"/>
              <w:right w:val="nil"/>
            </w:tcBorders>
            <w:shd w:val="clear" w:color="000000" w:fill="FFFFFF"/>
            <w:noWrap/>
            <w:hideMark/>
          </w:tcPr>
          <w:p w14:paraId="66FF8CD7"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992</w:t>
            </w:r>
          </w:p>
        </w:tc>
        <w:tc>
          <w:tcPr>
            <w:tcW w:w="852" w:type="dxa"/>
            <w:tcBorders>
              <w:top w:val="nil"/>
              <w:left w:val="nil"/>
              <w:bottom w:val="single" w:sz="4" w:space="0" w:color="auto"/>
              <w:right w:val="nil"/>
            </w:tcBorders>
            <w:shd w:val="clear" w:color="000000" w:fill="FFFFFF"/>
          </w:tcPr>
          <w:p w14:paraId="74CAF6A2" w14:textId="77777777" w:rsidR="00B729F9" w:rsidRPr="00735EAE" w:rsidRDefault="00B729F9" w:rsidP="00B729F9">
            <w:pPr>
              <w:jc w:val="both"/>
              <w:rPr>
                <w:rFonts w:asciiTheme="majorBidi" w:hAnsiTheme="majorBidi" w:cstheme="majorBidi"/>
                <w:color w:val="000000" w:themeColor="text1"/>
                <w:sz w:val="22"/>
              </w:rPr>
            </w:pPr>
          </w:p>
        </w:tc>
        <w:tc>
          <w:tcPr>
            <w:tcW w:w="1492" w:type="dxa"/>
            <w:tcBorders>
              <w:top w:val="nil"/>
              <w:left w:val="nil"/>
              <w:bottom w:val="single" w:sz="4" w:space="0" w:color="auto"/>
              <w:right w:val="nil"/>
            </w:tcBorders>
            <w:shd w:val="clear" w:color="000000" w:fill="FFFFFF"/>
            <w:noWrap/>
            <w:hideMark/>
          </w:tcPr>
          <w:p w14:paraId="29649F96" w14:textId="77777777" w:rsidR="00B729F9" w:rsidRPr="00735EAE" w:rsidRDefault="00B729F9" w:rsidP="00B729F9">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992</w:t>
            </w:r>
          </w:p>
        </w:tc>
      </w:tr>
      <w:tr w:rsidR="00B729F9" w:rsidRPr="00865E04" w14:paraId="3E5BA589" w14:textId="77777777" w:rsidTr="00D40E6A">
        <w:trPr>
          <w:trHeight w:val="164"/>
        </w:trPr>
        <w:tc>
          <w:tcPr>
            <w:tcW w:w="14313" w:type="dxa"/>
            <w:gridSpan w:val="10"/>
            <w:tcBorders>
              <w:top w:val="nil"/>
              <w:left w:val="nil"/>
              <w:bottom w:val="nil"/>
              <w:right w:val="nil"/>
            </w:tcBorders>
            <w:shd w:val="clear" w:color="000000" w:fill="FFFFFF"/>
          </w:tcPr>
          <w:p w14:paraId="0260A8BB" w14:textId="77777777" w:rsidR="00510A97" w:rsidRPr="00510A97" w:rsidRDefault="00510A97" w:rsidP="0098627D">
            <w:pPr>
              <w:jc w:val="both"/>
              <w:rPr>
                <w:rFonts w:asciiTheme="majorBidi" w:eastAsia="Times New Roman" w:hAnsiTheme="majorBidi" w:cstheme="majorBidi"/>
                <w:i/>
                <w:iCs/>
                <w:color w:val="000000" w:themeColor="text1"/>
                <w:sz w:val="6"/>
                <w:szCs w:val="6"/>
              </w:rPr>
            </w:pPr>
          </w:p>
          <w:p w14:paraId="1D190897" w14:textId="5C960592" w:rsidR="00B729F9" w:rsidRPr="00865E04" w:rsidRDefault="009C6A5A" w:rsidP="0098627D">
            <w:pPr>
              <w:jc w:val="both"/>
              <w:rPr>
                <w:rFonts w:asciiTheme="majorBidi" w:hAnsiTheme="majorBidi" w:cstheme="majorBidi"/>
                <w:color w:val="000000" w:themeColor="text1"/>
                <w:sz w:val="18"/>
                <w:szCs w:val="18"/>
              </w:rPr>
            </w:pPr>
            <w:r>
              <w:rPr>
                <w:rFonts w:asciiTheme="majorBidi" w:eastAsia="Times New Roman" w:hAnsiTheme="majorBidi" w:cstheme="majorBidi"/>
                <w:i/>
                <w:iCs/>
                <w:color w:val="000000" w:themeColor="text1"/>
                <w:sz w:val="18"/>
                <w:szCs w:val="18"/>
              </w:rPr>
              <w:t>Notes</w:t>
            </w:r>
            <w:r w:rsidR="0098627D">
              <w:rPr>
                <w:rFonts w:asciiTheme="majorBidi" w:eastAsia="Times New Roman" w:hAnsiTheme="majorBidi" w:cstheme="majorBidi"/>
                <w:i/>
                <w:iCs/>
                <w:color w:val="000000" w:themeColor="text1"/>
                <w:sz w:val="18"/>
                <w:szCs w:val="18"/>
              </w:rPr>
              <w:t xml:space="preserve"> </w:t>
            </w:r>
            <w:r w:rsidR="00B729F9" w:rsidRPr="00865E04">
              <w:rPr>
                <w:rFonts w:asciiTheme="majorBidi" w:eastAsia="Times New Roman" w:hAnsiTheme="majorBidi" w:cstheme="majorBidi"/>
                <w:color w:val="000000" w:themeColor="text1"/>
                <w:sz w:val="18"/>
                <w:szCs w:val="18"/>
              </w:rPr>
              <w:t>This table shows the second-stage results for educational outcome for children aged 5-12 and 13-16. Table presents both migration and remittance models. The OLS FE and FE-IV are also presented in the table to show the difference in the coefficients if migration is not instrumented. In FE-IV we have instrumented migration with predicted migration to India and MEOA. The t-statistics in ( ) are derived from cluster-robust standard errors (clustered at 71 Districts), ***, **, * denote</w:t>
            </w:r>
            <w:r w:rsidR="00B729F9" w:rsidRPr="00865E04">
              <w:rPr>
                <w:rFonts w:asciiTheme="majorBidi" w:hAnsiTheme="majorBidi" w:cstheme="majorBidi"/>
                <w:color w:val="000000" w:themeColor="text1"/>
                <w:sz w:val="18"/>
                <w:szCs w:val="18"/>
              </w:rPr>
              <w:t xml:space="preserve"> 1%, 5%, 10% statistically significance. Basic education aged 5-12 indicates the enrolment of child aged 5 to 12 in primary and lower secondary level. Secondary education aged 13-16 indicates the enrolment of child aged 13 to 16 in secondary and higher secondary level. Migration and remittance estimates are in percentage. Full results are available from authors.    </w:t>
            </w:r>
          </w:p>
          <w:p w14:paraId="646B59DA" w14:textId="2F35580D" w:rsidR="00B729F9" w:rsidRDefault="00B729F9" w:rsidP="00B729F9">
            <w:pPr>
              <w:jc w:val="both"/>
              <w:rPr>
                <w:rFonts w:asciiTheme="majorBidi" w:hAnsiTheme="majorBidi" w:cstheme="majorBidi"/>
                <w:color w:val="000000" w:themeColor="text1"/>
                <w:sz w:val="18"/>
                <w:szCs w:val="18"/>
              </w:rPr>
            </w:pPr>
          </w:p>
          <w:p w14:paraId="2C7FAC96" w14:textId="77777777" w:rsidR="00A76533" w:rsidRPr="00865E04" w:rsidRDefault="00A76533" w:rsidP="00B729F9">
            <w:pPr>
              <w:jc w:val="both"/>
              <w:rPr>
                <w:rFonts w:asciiTheme="majorBidi" w:hAnsiTheme="majorBidi" w:cstheme="majorBidi"/>
                <w:color w:val="000000" w:themeColor="text1"/>
                <w:sz w:val="18"/>
                <w:szCs w:val="18"/>
              </w:rPr>
            </w:pPr>
          </w:p>
          <w:p w14:paraId="0562E79A" w14:textId="77777777" w:rsidR="00B729F9" w:rsidRPr="00865E04" w:rsidRDefault="00B729F9" w:rsidP="00B729F9">
            <w:pPr>
              <w:jc w:val="both"/>
              <w:rPr>
                <w:rFonts w:asciiTheme="majorBidi" w:hAnsiTheme="majorBidi" w:cstheme="majorBidi"/>
                <w:color w:val="000000" w:themeColor="text1"/>
                <w:sz w:val="18"/>
                <w:szCs w:val="18"/>
              </w:rPr>
            </w:pPr>
          </w:p>
        </w:tc>
      </w:tr>
    </w:tbl>
    <w:p w14:paraId="2A657FA4" w14:textId="12DE9358" w:rsidR="00B729F9" w:rsidRDefault="00B729F9" w:rsidP="00510A97">
      <w:pPr>
        <w:jc w:val="center"/>
        <w:rPr>
          <w:rFonts w:asciiTheme="majorBidi" w:hAnsiTheme="majorBidi" w:cstheme="majorBidi"/>
          <w:color w:val="000000" w:themeColor="text1"/>
          <w:szCs w:val="24"/>
        </w:rPr>
        <w:sectPr w:rsidR="00B729F9" w:rsidSect="003A462A">
          <w:pgSz w:w="16838" w:h="11906" w:orient="landscape"/>
          <w:pgMar w:top="1440" w:right="1440" w:bottom="1440" w:left="1440" w:header="709" w:footer="709" w:gutter="0"/>
          <w:cols w:space="708"/>
          <w:docGrid w:linePitch="360"/>
        </w:sectPr>
      </w:pPr>
    </w:p>
    <w:tbl>
      <w:tblPr>
        <w:tblpPr w:leftFromText="180" w:rightFromText="180" w:vertAnchor="text" w:horzAnchor="margin" w:tblpY="-679"/>
        <w:tblW w:w="14580" w:type="dxa"/>
        <w:tblLayout w:type="fixed"/>
        <w:tblLook w:val="04A0" w:firstRow="1" w:lastRow="0" w:firstColumn="1" w:lastColumn="0" w:noHBand="0" w:noVBand="1"/>
      </w:tblPr>
      <w:tblGrid>
        <w:gridCol w:w="3966"/>
        <w:gridCol w:w="991"/>
        <w:gridCol w:w="901"/>
        <w:gridCol w:w="361"/>
        <w:gridCol w:w="1081"/>
        <w:gridCol w:w="1340"/>
        <w:gridCol w:w="270"/>
        <w:gridCol w:w="645"/>
        <w:gridCol w:w="1171"/>
        <w:gridCol w:w="1262"/>
        <w:gridCol w:w="1242"/>
        <w:gridCol w:w="1350"/>
      </w:tblGrid>
      <w:tr w:rsidR="0092595F" w:rsidRPr="004B36B2" w14:paraId="73057278" w14:textId="77777777" w:rsidTr="0092595F">
        <w:trPr>
          <w:trHeight w:val="206"/>
        </w:trPr>
        <w:tc>
          <w:tcPr>
            <w:tcW w:w="14580" w:type="dxa"/>
            <w:gridSpan w:val="12"/>
            <w:tcBorders>
              <w:top w:val="nil"/>
              <w:left w:val="nil"/>
              <w:bottom w:val="single" w:sz="4" w:space="0" w:color="auto"/>
              <w:right w:val="nil"/>
            </w:tcBorders>
            <w:shd w:val="clear" w:color="000000" w:fill="FFFFFF"/>
          </w:tcPr>
          <w:p w14:paraId="2D3F4063" w14:textId="77777777" w:rsidR="00933348" w:rsidRPr="00735EAE" w:rsidRDefault="00933348" w:rsidP="0092595F">
            <w:pPr>
              <w:spacing w:after="40"/>
              <w:jc w:val="center"/>
              <w:rPr>
                <w:rFonts w:asciiTheme="majorBidi" w:hAnsiTheme="majorBidi" w:cstheme="majorBidi"/>
                <w:b/>
                <w:bCs/>
                <w:color w:val="000000" w:themeColor="text1"/>
                <w:sz w:val="22"/>
              </w:rPr>
            </w:pPr>
          </w:p>
          <w:p w14:paraId="056BCE0F" w14:textId="77777777" w:rsidR="00933348" w:rsidRPr="00735EAE" w:rsidRDefault="00933348" w:rsidP="0092595F">
            <w:pPr>
              <w:spacing w:after="40"/>
              <w:jc w:val="center"/>
              <w:rPr>
                <w:rFonts w:asciiTheme="majorBidi" w:hAnsiTheme="majorBidi" w:cstheme="majorBidi"/>
                <w:b/>
                <w:bCs/>
                <w:color w:val="000000" w:themeColor="text1"/>
                <w:sz w:val="22"/>
              </w:rPr>
            </w:pPr>
          </w:p>
          <w:p w14:paraId="3178669D" w14:textId="151F050A" w:rsidR="0092595F" w:rsidRPr="00735EAE" w:rsidRDefault="0092595F" w:rsidP="00373ACA">
            <w:pPr>
              <w:spacing w:after="60"/>
              <w:jc w:val="center"/>
              <w:rPr>
                <w:rFonts w:asciiTheme="majorBidi" w:hAnsiTheme="majorBidi" w:cstheme="majorBidi"/>
                <w:b/>
                <w:bCs/>
                <w:color w:val="000000" w:themeColor="text1"/>
                <w:sz w:val="22"/>
              </w:rPr>
            </w:pPr>
            <w:r w:rsidRPr="00735EAE">
              <w:rPr>
                <w:rFonts w:asciiTheme="majorBidi" w:hAnsiTheme="majorBidi" w:cstheme="majorBidi"/>
                <w:b/>
                <w:bCs/>
                <w:color w:val="000000" w:themeColor="text1"/>
                <w:sz w:val="22"/>
              </w:rPr>
              <w:t xml:space="preserve">Table 4: The Effect of Migration on Child Labour Force Participation and Number of Hours Worked </w:t>
            </w:r>
            <w:proofErr w:type="gramStart"/>
            <w:r w:rsidRPr="00735EAE">
              <w:rPr>
                <w:rFonts w:asciiTheme="majorBidi" w:hAnsiTheme="majorBidi" w:cstheme="majorBidi"/>
                <w:b/>
                <w:bCs/>
                <w:color w:val="000000" w:themeColor="text1"/>
                <w:sz w:val="22"/>
              </w:rPr>
              <w:t>In</w:t>
            </w:r>
            <w:proofErr w:type="gramEnd"/>
            <w:r w:rsidRPr="00735EAE">
              <w:rPr>
                <w:rFonts w:asciiTheme="majorBidi" w:hAnsiTheme="majorBidi" w:cstheme="majorBidi"/>
                <w:b/>
                <w:bCs/>
                <w:color w:val="000000" w:themeColor="text1"/>
                <w:sz w:val="22"/>
              </w:rPr>
              <w:t xml:space="preserve"> Labour Market</w:t>
            </w:r>
          </w:p>
        </w:tc>
      </w:tr>
      <w:tr w:rsidR="0092595F" w:rsidRPr="004B36B2" w14:paraId="2CDB060A" w14:textId="77777777" w:rsidTr="004A46A6">
        <w:trPr>
          <w:trHeight w:val="319"/>
        </w:trPr>
        <w:tc>
          <w:tcPr>
            <w:tcW w:w="3966" w:type="dxa"/>
            <w:tcBorders>
              <w:top w:val="nil"/>
              <w:left w:val="nil"/>
              <w:bottom w:val="nil"/>
              <w:right w:val="nil"/>
            </w:tcBorders>
            <w:shd w:val="clear" w:color="000000" w:fill="FFFFFF"/>
            <w:noWrap/>
            <w:vAlign w:val="bottom"/>
            <w:hideMark/>
          </w:tcPr>
          <w:p w14:paraId="330552D7" w14:textId="77777777" w:rsidR="0092595F" w:rsidRPr="00735EAE" w:rsidRDefault="0092595F" w:rsidP="00373ACA">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4674" w:type="dxa"/>
            <w:gridSpan w:val="5"/>
            <w:tcBorders>
              <w:top w:val="single" w:sz="4" w:space="0" w:color="auto"/>
              <w:left w:val="nil"/>
              <w:bottom w:val="single" w:sz="4" w:space="0" w:color="auto"/>
              <w:right w:val="nil"/>
            </w:tcBorders>
            <w:shd w:val="clear" w:color="000000" w:fill="FFFFFF"/>
          </w:tcPr>
          <w:p w14:paraId="6E47D5A6" w14:textId="7CD47E4D" w:rsidR="0092595F" w:rsidRPr="00735EAE" w:rsidRDefault="0092595F" w:rsidP="00373ACA">
            <w:pPr>
              <w:spacing w:before="4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Labour Force Participation Rate</w:t>
            </w:r>
          </w:p>
        </w:tc>
        <w:tc>
          <w:tcPr>
            <w:tcW w:w="915" w:type="dxa"/>
            <w:gridSpan w:val="2"/>
            <w:tcBorders>
              <w:top w:val="nil"/>
              <w:left w:val="nil"/>
              <w:bottom w:val="nil"/>
              <w:right w:val="nil"/>
            </w:tcBorders>
            <w:shd w:val="clear" w:color="000000" w:fill="FFFFFF"/>
            <w:noWrap/>
            <w:vAlign w:val="bottom"/>
            <w:hideMark/>
          </w:tcPr>
          <w:p w14:paraId="54DC2F73" w14:textId="765F7183" w:rsidR="0092595F" w:rsidRPr="00735EAE" w:rsidRDefault="0092595F" w:rsidP="00373ACA">
            <w:pPr>
              <w:spacing w:before="40" w:after="60"/>
              <w:jc w:val="center"/>
              <w:rPr>
                <w:rFonts w:asciiTheme="majorBidi" w:hAnsiTheme="majorBidi" w:cstheme="majorBidi"/>
                <w:color w:val="000000" w:themeColor="text1"/>
                <w:sz w:val="22"/>
              </w:rPr>
            </w:pPr>
          </w:p>
        </w:tc>
        <w:tc>
          <w:tcPr>
            <w:tcW w:w="5025" w:type="dxa"/>
            <w:gridSpan w:val="4"/>
            <w:tcBorders>
              <w:top w:val="single" w:sz="4" w:space="0" w:color="auto"/>
              <w:left w:val="nil"/>
              <w:bottom w:val="single" w:sz="4" w:space="0" w:color="auto"/>
            </w:tcBorders>
            <w:shd w:val="clear" w:color="000000" w:fill="FFFFFF"/>
          </w:tcPr>
          <w:p w14:paraId="1E152938" w14:textId="6EE7FC39" w:rsidR="0092595F" w:rsidRPr="00735EAE" w:rsidRDefault="0092595F" w:rsidP="00373ACA">
            <w:pPr>
              <w:spacing w:before="4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Number of Hours Worked</w:t>
            </w:r>
          </w:p>
        </w:tc>
      </w:tr>
      <w:tr w:rsidR="0092595F" w:rsidRPr="004B36B2" w14:paraId="6BA61263" w14:textId="77777777" w:rsidTr="0092595F">
        <w:trPr>
          <w:trHeight w:val="199"/>
        </w:trPr>
        <w:tc>
          <w:tcPr>
            <w:tcW w:w="3966" w:type="dxa"/>
            <w:tcBorders>
              <w:top w:val="nil"/>
              <w:left w:val="nil"/>
              <w:bottom w:val="single" w:sz="4" w:space="0" w:color="auto"/>
              <w:right w:val="nil"/>
            </w:tcBorders>
            <w:shd w:val="clear" w:color="000000" w:fill="FFFFFF"/>
            <w:noWrap/>
            <w:vAlign w:val="bottom"/>
            <w:hideMark/>
          </w:tcPr>
          <w:p w14:paraId="6983660D" w14:textId="77777777" w:rsidR="0092595F" w:rsidRPr="00735EAE" w:rsidRDefault="0092595F" w:rsidP="00373ACA">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1" w:type="dxa"/>
            <w:tcBorders>
              <w:top w:val="nil"/>
              <w:left w:val="nil"/>
              <w:bottom w:val="single" w:sz="4" w:space="0" w:color="auto"/>
              <w:right w:val="nil"/>
            </w:tcBorders>
            <w:shd w:val="clear" w:color="000000" w:fill="FFFFFF"/>
            <w:noWrap/>
            <w:vAlign w:val="bottom"/>
            <w:hideMark/>
          </w:tcPr>
          <w:p w14:paraId="70EEF84E"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901" w:type="dxa"/>
            <w:tcBorders>
              <w:top w:val="nil"/>
              <w:left w:val="nil"/>
              <w:bottom w:val="single" w:sz="4" w:space="0" w:color="auto"/>
              <w:right w:val="nil"/>
            </w:tcBorders>
            <w:shd w:val="clear" w:color="000000" w:fill="FFFFFF"/>
            <w:noWrap/>
            <w:vAlign w:val="bottom"/>
            <w:hideMark/>
          </w:tcPr>
          <w:p w14:paraId="1AB8C4A5"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1442" w:type="dxa"/>
            <w:gridSpan w:val="2"/>
            <w:tcBorders>
              <w:top w:val="nil"/>
              <w:left w:val="nil"/>
              <w:bottom w:val="single" w:sz="4" w:space="0" w:color="auto"/>
              <w:right w:val="nil"/>
            </w:tcBorders>
            <w:shd w:val="clear" w:color="000000" w:fill="FFFFFF"/>
          </w:tcPr>
          <w:p w14:paraId="3D5CAE9B"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340" w:type="dxa"/>
            <w:tcBorders>
              <w:top w:val="nil"/>
              <w:left w:val="nil"/>
              <w:bottom w:val="single" w:sz="4" w:space="0" w:color="auto"/>
              <w:right w:val="nil"/>
            </w:tcBorders>
            <w:shd w:val="clear" w:color="000000" w:fill="FFFFFF"/>
            <w:noWrap/>
            <w:vAlign w:val="bottom"/>
            <w:hideMark/>
          </w:tcPr>
          <w:p w14:paraId="27A340C9"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915" w:type="dxa"/>
            <w:gridSpan w:val="2"/>
            <w:tcBorders>
              <w:top w:val="nil"/>
              <w:left w:val="nil"/>
              <w:bottom w:val="single" w:sz="4" w:space="0" w:color="auto"/>
              <w:right w:val="nil"/>
            </w:tcBorders>
            <w:shd w:val="clear" w:color="000000" w:fill="FFFFFF"/>
            <w:noWrap/>
            <w:vAlign w:val="bottom"/>
            <w:hideMark/>
          </w:tcPr>
          <w:p w14:paraId="3CF915A5" w14:textId="4289E4F0" w:rsidR="0092595F" w:rsidRPr="00735EAE" w:rsidRDefault="0092595F" w:rsidP="00373ACA">
            <w:pPr>
              <w:spacing w:before="60" w:after="60"/>
              <w:jc w:val="center"/>
              <w:rPr>
                <w:rFonts w:asciiTheme="majorBidi" w:hAnsiTheme="majorBidi" w:cstheme="majorBidi"/>
                <w:color w:val="000000" w:themeColor="text1"/>
                <w:sz w:val="22"/>
              </w:rPr>
            </w:pPr>
          </w:p>
        </w:tc>
        <w:tc>
          <w:tcPr>
            <w:tcW w:w="1171" w:type="dxa"/>
            <w:tcBorders>
              <w:top w:val="nil"/>
              <w:left w:val="nil"/>
              <w:bottom w:val="single" w:sz="4" w:space="0" w:color="auto"/>
              <w:right w:val="nil"/>
            </w:tcBorders>
            <w:shd w:val="clear" w:color="000000" w:fill="FFFFFF"/>
            <w:noWrap/>
            <w:vAlign w:val="bottom"/>
            <w:hideMark/>
          </w:tcPr>
          <w:p w14:paraId="3AC01E61"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262" w:type="dxa"/>
            <w:tcBorders>
              <w:top w:val="nil"/>
              <w:left w:val="nil"/>
              <w:bottom w:val="single" w:sz="4" w:space="0" w:color="auto"/>
              <w:right w:val="nil"/>
            </w:tcBorders>
            <w:shd w:val="clear" w:color="000000" w:fill="FFFFFF"/>
            <w:noWrap/>
            <w:vAlign w:val="bottom"/>
            <w:hideMark/>
          </w:tcPr>
          <w:p w14:paraId="775A34FE"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1242" w:type="dxa"/>
            <w:tcBorders>
              <w:top w:val="nil"/>
              <w:left w:val="nil"/>
              <w:bottom w:val="single" w:sz="4" w:space="0" w:color="auto"/>
              <w:right w:val="nil"/>
            </w:tcBorders>
            <w:shd w:val="clear" w:color="000000" w:fill="FFFFFF"/>
          </w:tcPr>
          <w:p w14:paraId="5AAFF898"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350" w:type="dxa"/>
            <w:tcBorders>
              <w:top w:val="nil"/>
              <w:left w:val="nil"/>
              <w:bottom w:val="single" w:sz="4" w:space="0" w:color="auto"/>
              <w:right w:val="nil"/>
            </w:tcBorders>
            <w:shd w:val="clear" w:color="000000" w:fill="FFFFFF"/>
            <w:noWrap/>
            <w:vAlign w:val="bottom"/>
            <w:hideMark/>
          </w:tcPr>
          <w:p w14:paraId="2BE0D708" w14:textId="77777777" w:rsidR="0092595F" w:rsidRPr="00735EAE" w:rsidRDefault="0092595F" w:rsidP="00373ACA">
            <w:pPr>
              <w:spacing w:before="60"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r>
      <w:tr w:rsidR="0092595F" w:rsidRPr="004B36B2" w14:paraId="24BEE214" w14:textId="77777777" w:rsidTr="0092595F">
        <w:trPr>
          <w:trHeight w:val="206"/>
        </w:trPr>
        <w:tc>
          <w:tcPr>
            <w:tcW w:w="14580" w:type="dxa"/>
            <w:gridSpan w:val="12"/>
            <w:tcBorders>
              <w:top w:val="nil"/>
              <w:left w:val="nil"/>
              <w:bottom w:val="nil"/>
              <w:right w:val="nil"/>
            </w:tcBorders>
            <w:shd w:val="clear" w:color="000000" w:fill="FFFFFF"/>
          </w:tcPr>
          <w:p w14:paraId="5D1C60EA" w14:textId="77777777" w:rsidR="0092595F" w:rsidRPr="00735EAE" w:rsidRDefault="0092595F" w:rsidP="0092595F">
            <w:pPr>
              <w:jc w:val="both"/>
              <w:rPr>
                <w:rFonts w:asciiTheme="majorBidi" w:hAnsiTheme="majorBidi" w:cstheme="majorBidi"/>
                <w:i/>
                <w:color w:val="000000" w:themeColor="text1"/>
                <w:sz w:val="22"/>
              </w:rPr>
            </w:pPr>
            <w:r w:rsidRPr="00735EAE">
              <w:rPr>
                <w:rFonts w:asciiTheme="majorBidi" w:hAnsiTheme="majorBidi" w:cstheme="majorBidi"/>
                <w:i/>
                <w:color w:val="000000" w:themeColor="text1"/>
                <w:sz w:val="22"/>
              </w:rPr>
              <w:t>Panel A: For children aged 8 to 10</w:t>
            </w:r>
          </w:p>
        </w:tc>
      </w:tr>
      <w:tr w:rsidR="0092595F" w:rsidRPr="004B36B2" w14:paraId="7BB36838" w14:textId="77777777" w:rsidTr="0092595F">
        <w:trPr>
          <w:trHeight w:val="87"/>
        </w:trPr>
        <w:tc>
          <w:tcPr>
            <w:tcW w:w="3966" w:type="dxa"/>
            <w:tcBorders>
              <w:top w:val="nil"/>
              <w:left w:val="nil"/>
              <w:bottom w:val="nil"/>
              <w:right w:val="nil"/>
            </w:tcBorders>
            <w:shd w:val="clear" w:color="000000" w:fill="FFFFFF"/>
            <w:noWrap/>
            <w:vAlign w:val="bottom"/>
            <w:hideMark/>
          </w:tcPr>
          <w:p w14:paraId="49F3D06A"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Migration Model</w:t>
            </w:r>
          </w:p>
        </w:tc>
        <w:tc>
          <w:tcPr>
            <w:tcW w:w="991" w:type="dxa"/>
            <w:tcBorders>
              <w:top w:val="nil"/>
              <w:left w:val="nil"/>
              <w:bottom w:val="nil"/>
              <w:right w:val="nil"/>
            </w:tcBorders>
            <w:shd w:val="clear" w:color="000000" w:fill="FFFFFF"/>
            <w:noWrap/>
            <w:vAlign w:val="bottom"/>
            <w:hideMark/>
          </w:tcPr>
          <w:p w14:paraId="298F405C"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0.007</w:t>
            </w:r>
          </w:p>
        </w:tc>
        <w:tc>
          <w:tcPr>
            <w:tcW w:w="1262" w:type="dxa"/>
            <w:gridSpan w:val="2"/>
            <w:tcBorders>
              <w:top w:val="nil"/>
              <w:left w:val="nil"/>
              <w:bottom w:val="nil"/>
              <w:right w:val="nil"/>
            </w:tcBorders>
            <w:shd w:val="clear" w:color="000000" w:fill="FFFFFF"/>
            <w:noWrap/>
            <w:vAlign w:val="bottom"/>
            <w:hideMark/>
          </w:tcPr>
          <w:p w14:paraId="77A4D8B1"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-0.378</w:t>
            </w:r>
          </w:p>
        </w:tc>
        <w:tc>
          <w:tcPr>
            <w:tcW w:w="1081" w:type="dxa"/>
            <w:tcBorders>
              <w:top w:val="nil"/>
              <w:left w:val="nil"/>
              <w:bottom w:val="nil"/>
              <w:right w:val="nil"/>
            </w:tcBorders>
            <w:shd w:val="clear" w:color="000000" w:fill="FFFFFF"/>
          </w:tcPr>
          <w:p w14:paraId="0A1A0540" w14:textId="77777777" w:rsidR="0092595F" w:rsidRPr="00735EAE" w:rsidRDefault="0092595F" w:rsidP="00393BC7">
            <w:pPr>
              <w:jc w:val="both"/>
              <w:rPr>
                <w:rFonts w:asciiTheme="majorBidi" w:hAnsiTheme="majorBidi" w:cstheme="majorBidi"/>
                <w:color w:val="000000" w:themeColor="text1"/>
                <w:sz w:val="22"/>
              </w:rPr>
            </w:pPr>
          </w:p>
        </w:tc>
        <w:tc>
          <w:tcPr>
            <w:tcW w:w="1340" w:type="dxa"/>
            <w:tcBorders>
              <w:top w:val="nil"/>
              <w:left w:val="nil"/>
              <w:bottom w:val="nil"/>
              <w:right w:val="nil"/>
            </w:tcBorders>
            <w:shd w:val="clear" w:color="000000" w:fill="FFFFFF"/>
            <w:noWrap/>
            <w:vAlign w:val="bottom"/>
            <w:hideMark/>
          </w:tcPr>
          <w:p w14:paraId="234820F9"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15" w:type="dxa"/>
            <w:gridSpan w:val="2"/>
            <w:tcBorders>
              <w:top w:val="nil"/>
              <w:left w:val="nil"/>
              <w:bottom w:val="nil"/>
              <w:right w:val="nil"/>
            </w:tcBorders>
            <w:shd w:val="clear" w:color="000000" w:fill="FFFFFF"/>
            <w:noWrap/>
            <w:vAlign w:val="bottom"/>
            <w:hideMark/>
          </w:tcPr>
          <w:p w14:paraId="2125B731"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vAlign w:val="bottom"/>
            <w:hideMark/>
          </w:tcPr>
          <w:p w14:paraId="3EF19842"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0.003</w:t>
            </w:r>
          </w:p>
        </w:tc>
        <w:tc>
          <w:tcPr>
            <w:tcW w:w="1262" w:type="dxa"/>
            <w:tcBorders>
              <w:top w:val="nil"/>
              <w:left w:val="nil"/>
              <w:bottom w:val="nil"/>
              <w:right w:val="nil"/>
            </w:tcBorders>
            <w:shd w:val="clear" w:color="000000" w:fill="FFFFFF"/>
            <w:noWrap/>
            <w:vAlign w:val="bottom"/>
            <w:hideMark/>
          </w:tcPr>
          <w:p w14:paraId="556B046D"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0.046</w:t>
            </w:r>
          </w:p>
        </w:tc>
        <w:tc>
          <w:tcPr>
            <w:tcW w:w="1242" w:type="dxa"/>
            <w:tcBorders>
              <w:top w:val="nil"/>
              <w:left w:val="nil"/>
              <w:bottom w:val="nil"/>
              <w:right w:val="nil"/>
            </w:tcBorders>
            <w:shd w:val="clear" w:color="000000" w:fill="FFFFFF"/>
          </w:tcPr>
          <w:p w14:paraId="0595AB62" w14:textId="77777777" w:rsidR="0092595F" w:rsidRPr="00735EAE" w:rsidRDefault="0092595F" w:rsidP="00393BC7">
            <w:pPr>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vAlign w:val="bottom"/>
            <w:hideMark/>
          </w:tcPr>
          <w:p w14:paraId="59DC83A6"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92595F" w:rsidRPr="004B36B2" w14:paraId="63641F62" w14:textId="77777777" w:rsidTr="0092595F">
        <w:trPr>
          <w:trHeight w:val="80"/>
        </w:trPr>
        <w:tc>
          <w:tcPr>
            <w:tcW w:w="3966" w:type="dxa"/>
            <w:tcBorders>
              <w:top w:val="nil"/>
              <w:left w:val="nil"/>
              <w:bottom w:val="nil"/>
              <w:right w:val="nil"/>
            </w:tcBorders>
            <w:shd w:val="clear" w:color="000000" w:fill="FFFFFF"/>
            <w:noWrap/>
            <w:hideMark/>
          </w:tcPr>
          <w:p w14:paraId="2CB22248"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1" w:type="dxa"/>
            <w:tcBorders>
              <w:top w:val="nil"/>
              <w:left w:val="nil"/>
              <w:bottom w:val="nil"/>
              <w:right w:val="nil"/>
            </w:tcBorders>
            <w:shd w:val="clear" w:color="000000" w:fill="FFFFFF"/>
            <w:noWrap/>
            <w:hideMark/>
          </w:tcPr>
          <w:p w14:paraId="48D9FA66"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(0.210)</w:t>
            </w:r>
          </w:p>
        </w:tc>
        <w:tc>
          <w:tcPr>
            <w:tcW w:w="3683" w:type="dxa"/>
            <w:gridSpan w:val="4"/>
            <w:tcBorders>
              <w:top w:val="nil"/>
              <w:left w:val="nil"/>
              <w:bottom w:val="nil"/>
              <w:right w:val="nil"/>
            </w:tcBorders>
            <w:shd w:val="clear" w:color="000000" w:fill="FFFFFF"/>
          </w:tcPr>
          <w:p w14:paraId="6D67F784"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3.606)*</w:t>
            </w:r>
            <w:proofErr w:type="gramEnd"/>
            <w:r w:rsidRPr="00735EAE">
              <w:rPr>
                <w:rFonts w:asciiTheme="majorBidi" w:hAnsiTheme="majorBidi" w:cstheme="majorBidi"/>
                <w:color w:val="000000" w:themeColor="text1"/>
                <w:sz w:val="22"/>
              </w:rPr>
              <w:t>**</w:t>
            </w:r>
          </w:p>
        </w:tc>
        <w:tc>
          <w:tcPr>
            <w:tcW w:w="915" w:type="dxa"/>
            <w:gridSpan w:val="2"/>
            <w:tcBorders>
              <w:top w:val="nil"/>
              <w:left w:val="nil"/>
              <w:bottom w:val="nil"/>
              <w:right w:val="nil"/>
            </w:tcBorders>
            <w:shd w:val="clear" w:color="000000" w:fill="FFFFFF"/>
            <w:noWrap/>
            <w:hideMark/>
          </w:tcPr>
          <w:p w14:paraId="488F6256"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hideMark/>
          </w:tcPr>
          <w:p w14:paraId="3FBC5FEC"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(0.303)</w:t>
            </w:r>
          </w:p>
        </w:tc>
        <w:tc>
          <w:tcPr>
            <w:tcW w:w="1262" w:type="dxa"/>
            <w:tcBorders>
              <w:top w:val="nil"/>
              <w:left w:val="nil"/>
              <w:bottom w:val="nil"/>
              <w:right w:val="nil"/>
            </w:tcBorders>
            <w:shd w:val="clear" w:color="000000" w:fill="FFFFFF"/>
            <w:noWrap/>
            <w:hideMark/>
          </w:tcPr>
          <w:p w14:paraId="38B8C30B"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1.671)*</w:t>
            </w:r>
            <w:proofErr w:type="gramEnd"/>
          </w:p>
        </w:tc>
        <w:tc>
          <w:tcPr>
            <w:tcW w:w="1242" w:type="dxa"/>
            <w:tcBorders>
              <w:top w:val="nil"/>
              <w:left w:val="nil"/>
              <w:bottom w:val="nil"/>
              <w:right w:val="nil"/>
            </w:tcBorders>
            <w:shd w:val="clear" w:color="000000" w:fill="FFFFFF"/>
          </w:tcPr>
          <w:p w14:paraId="231F3C76" w14:textId="77777777" w:rsidR="0092595F" w:rsidRPr="00735EAE" w:rsidRDefault="0092595F" w:rsidP="0092595F">
            <w:pPr>
              <w:spacing w:after="60"/>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hideMark/>
          </w:tcPr>
          <w:p w14:paraId="005F4EF1"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92595F" w:rsidRPr="004B36B2" w14:paraId="49224B0A" w14:textId="77777777" w:rsidTr="0092595F">
        <w:trPr>
          <w:trHeight w:val="206"/>
        </w:trPr>
        <w:tc>
          <w:tcPr>
            <w:tcW w:w="3966" w:type="dxa"/>
            <w:tcBorders>
              <w:top w:val="nil"/>
              <w:left w:val="nil"/>
              <w:bottom w:val="nil"/>
              <w:right w:val="nil"/>
            </w:tcBorders>
            <w:shd w:val="clear" w:color="000000" w:fill="FFFFFF"/>
            <w:noWrap/>
            <w:vAlign w:val="bottom"/>
            <w:hideMark/>
          </w:tcPr>
          <w:p w14:paraId="1314D669"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Remittance Model</w:t>
            </w:r>
          </w:p>
        </w:tc>
        <w:tc>
          <w:tcPr>
            <w:tcW w:w="991" w:type="dxa"/>
            <w:tcBorders>
              <w:top w:val="nil"/>
              <w:left w:val="nil"/>
              <w:bottom w:val="nil"/>
              <w:right w:val="nil"/>
            </w:tcBorders>
            <w:shd w:val="clear" w:color="000000" w:fill="FFFFFF"/>
            <w:noWrap/>
            <w:vAlign w:val="bottom"/>
            <w:hideMark/>
          </w:tcPr>
          <w:p w14:paraId="217239E9"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gridSpan w:val="2"/>
            <w:tcBorders>
              <w:top w:val="nil"/>
              <w:left w:val="nil"/>
              <w:bottom w:val="nil"/>
              <w:right w:val="nil"/>
            </w:tcBorders>
            <w:shd w:val="clear" w:color="000000" w:fill="FFFFFF"/>
            <w:noWrap/>
            <w:vAlign w:val="bottom"/>
            <w:hideMark/>
          </w:tcPr>
          <w:p w14:paraId="3624693A"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81" w:type="dxa"/>
            <w:tcBorders>
              <w:top w:val="nil"/>
              <w:left w:val="nil"/>
              <w:bottom w:val="nil"/>
              <w:right w:val="nil"/>
            </w:tcBorders>
            <w:shd w:val="clear" w:color="000000" w:fill="FFFFFF"/>
          </w:tcPr>
          <w:p w14:paraId="2DE597C9"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-0.019</w:t>
            </w:r>
          </w:p>
        </w:tc>
        <w:tc>
          <w:tcPr>
            <w:tcW w:w="1340" w:type="dxa"/>
            <w:tcBorders>
              <w:top w:val="nil"/>
              <w:left w:val="nil"/>
              <w:bottom w:val="nil"/>
              <w:right w:val="nil"/>
            </w:tcBorders>
            <w:shd w:val="clear" w:color="000000" w:fill="FFFFFF"/>
            <w:noWrap/>
            <w:vAlign w:val="bottom"/>
            <w:hideMark/>
          </w:tcPr>
          <w:p w14:paraId="5BFCB8F5"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-0.657</w:t>
            </w:r>
          </w:p>
        </w:tc>
        <w:tc>
          <w:tcPr>
            <w:tcW w:w="915" w:type="dxa"/>
            <w:gridSpan w:val="2"/>
            <w:tcBorders>
              <w:top w:val="nil"/>
              <w:left w:val="nil"/>
              <w:bottom w:val="nil"/>
              <w:right w:val="nil"/>
            </w:tcBorders>
            <w:shd w:val="clear" w:color="000000" w:fill="FFFFFF"/>
            <w:noWrap/>
            <w:vAlign w:val="bottom"/>
            <w:hideMark/>
          </w:tcPr>
          <w:p w14:paraId="09507F06"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vAlign w:val="bottom"/>
            <w:hideMark/>
          </w:tcPr>
          <w:p w14:paraId="7025D1DC"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tcBorders>
              <w:top w:val="nil"/>
              <w:left w:val="nil"/>
              <w:bottom w:val="nil"/>
              <w:right w:val="nil"/>
            </w:tcBorders>
            <w:shd w:val="clear" w:color="000000" w:fill="FFFFFF"/>
            <w:noWrap/>
            <w:vAlign w:val="bottom"/>
            <w:hideMark/>
          </w:tcPr>
          <w:p w14:paraId="75F0C61A"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42" w:type="dxa"/>
            <w:tcBorders>
              <w:top w:val="nil"/>
              <w:left w:val="nil"/>
              <w:bottom w:val="nil"/>
              <w:right w:val="nil"/>
            </w:tcBorders>
            <w:shd w:val="clear" w:color="000000" w:fill="FFFFFF"/>
          </w:tcPr>
          <w:p w14:paraId="30ECC3EA"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-0.002</w:t>
            </w:r>
          </w:p>
        </w:tc>
        <w:tc>
          <w:tcPr>
            <w:tcW w:w="1350" w:type="dxa"/>
            <w:tcBorders>
              <w:top w:val="nil"/>
              <w:left w:val="nil"/>
              <w:bottom w:val="nil"/>
              <w:right w:val="nil"/>
            </w:tcBorders>
            <w:shd w:val="clear" w:color="000000" w:fill="FFFFFF"/>
            <w:noWrap/>
            <w:vAlign w:val="bottom"/>
            <w:hideMark/>
          </w:tcPr>
          <w:p w14:paraId="0624B437"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0.043</w:t>
            </w:r>
          </w:p>
        </w:tc>
      </w:tr>
      <w:tr w:rsidR="0092595F" w:rsidRPr="004B36B2" w14:paraId="148062B7" w14:textId="77777777" w:rsidTr="0092595F">
        <w:trPr>
          <w:trHeight w:val="80"/>
        </w:trPr>
        <w:tc>
          <w:tcPr>
            <w:tcW w:w="3966" w:type="dxa"/>
            <w:tcBorders>
              <w:top w:val="nil"/>
              <w:left w:val="nil"/>
              <w:bottom w:val="nil"/>
              <w:right w:val="nil"/>
            </w:tcBorders>
            <w:shd w:val="clear" w:color="000000" w:fill="FFFFFF"/>
            <w:noWrap/>
            <w:hideMark/>
          </w:tcPr>
          <w:p w14:paraId="43A5AD27"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1" w:type="dxa"/>
            <w:tcBorders>
              <w:top w:val="nil"/>
              <w:left w:val="nil"/>
              <w:bottom w:val="nil"/>
              <w:right w:val="nil"/>
            </w:tcBorders>
            <w:shd w:val="clear" w:color="000000" w:fill="FFFFFF"/>
            <w:noWrap/>
            <w:hideMark/>
          </w:tcPr>
          <w:p w14:paraId="45F087EF"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gridSpan w:val="2"/>
            <w:tcBorders>
              <w:top w:val="nil"/>
              <w:left w:val="nil"/>
              <w:bottom w:val="nil"/>
              <w:right w:val="nil"/>
            </w:tcBorders>
            <w:shd w:val="clear" w:color="000000" w:fill="FFFFFF"/>
            <w:noWrap/>
            <w:hideMark/>
          </w:tcPr>
          <w:p w14:paraId="379BC2B4"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81" w:type="dxa"/>
            <w:tcBorders>
              <w:top w:val="nil"/>
              <w:left w:val="nil"/>
              <w:bottom w:val="nil"/>
              <w:right w:val="nil"/>
            </w:tcBorders>
            <w:shd w:val="clear" w:color="000000" w:fill="FFFFFF"/>
          </w:tcPr>
          <w:p w14:paraId="6D8935ED"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(1.03)</w:t>
            </w:r>
          </w:p>
        </w:tc>
        <w:tc>
          <w:tcPr>
            <w:tcW w:w="2255" w:type="dxa"/>
            <w:gridSpan w:val="3"/>
            <w:tcBorders>
              <w:top w:val="nil"/>
              <w:left w:val="nil"/>
              <w:bottom w:val="nil"/>
              <w:right w:val="nil"/>
            </w:tcBorders>
            <w:shd w:val="clear" w:color="000000" w:fill="FFFFFF"/>
            <w:noWrap/>
            <w:hideMark/>
          </w:tcPr>
          <w:p w14:paraId="43E6AA53"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3.409)*</w:t>
            </w:r>
            <w:proofErr w:type="gramEnd"/>
            <w:r w:rsidRPr="00735EAE">
              <w:rPr>
                <w:rFonts w:asciiTheme="majorBidi" w:hAnsiTheme="majorBidi" w:cstheme="majorBidi"/>
                <w:color w:val="000000" w:themeColor="text1"/>
                <w:sz w:val="22"/>
              </w:rPr>
              <w:t>**</w:t>
            </w:r>
          </w:p>
        </w:tc>
        <w:tc>
          <w:tcPr>
            <w:tcW w:w="1171" w:type="dxa"/>
            <w:tcBorders>
              <w:top w:val="nil"/>
              <w:left w:val="nil"/>
              <w:bottom w:val="nil"/>
              <w:right w:val="nil"/>
            </w:tcBorders>
            <w:shd w:val="clear" w:color="000000" w:fill="FFFFFF"/>
            <w:noWrap/>
            <w:hideMark/>
          </w:tcPr>
          <w:p w14:paraId="03211B48"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xml:space="preserve">  </w:t>
            </w:r>
          </w:p>
        </w:tc>
        <w:tc>
          <w:tcPr>
            <w:tcW w:w="1262" w:type="dxa"/>
            <w:tcBorders>
              <w:top w:val="nil"/>
              <w:left w:val="nil"/>
              <w:bottom w:val="nil"/>
              <w:right w:val="nil"/>
            </w:tcBorders>
            <w:shd w:val="clear" w:color="000000" w:fill="FFFFFF"/>
            <w:noWrap/>
            <w:hideMark/>
          </w:tcPr>
          <w:p w14:paraId="28204691"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42" w:type="dxa"/>
            <w:tcBorders>
              <w:top w:val="nil"/>
              <w:left w:val="nil"/>
              <w:bottom w:val="nil"/>
              <w:right w:val="nil"/>
            </w:tcBorders>
            <w:shd w:val="clear" w:color="000000" w:fill="FFFFFF"/>
          </w:tcPr>
          <w:p w14:paraId="793FDEFF"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(0.46)</w:t>
            </w:r>
          </w:p>
        </w:tc>
        <w:tc>
          <w:tcPr>
            <w:tcW w:w="1350" w:type="dxa"/>
            <w:tcBorders>
              <w:top w:val="nil"/>
              <w:left w:val="nil"/>
              <w:bottom w:val="nil"/>
              <w:right w:val="nil"/>
            </w:tcBorders>
            <w:shd w:val="clear" w:color="000000" w:fill="FFFFFF"/>
            <w:noWrap/>
            <w:hideMark/>
          </w:tcPr>
          <w:p w14:paraId="225AE7EE"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(1.027)</w:t>
            </w:r>
          </w:p>
        </w:tc>
      </w:tr>
      <w:tr w:rsidR="0092595F" w:rsidRPr="004B36B2" w14:paraId="7FCB21E7" w14:textId="77777777" w:rsidTr="0092595F">
        <w:trPr>
          <w:trHeight w:val="194"/>
        </w:trPr>
        <w:tc>
          <w:tcPr>
            <w:tcW w:w="3966" w:type="dxa"/>
            <w:tcBorders>
              <w:top w:val="nil"/>
              <w:left w:val="nil"/>
              <w:bottom w:val="nil"/>
              <w:right w:val="nil"/>
            </w:tcBorders>
            <w:shd w:val="clear" w:color="000000" w:fill="FFFFFF"/>
            <w:noWrap/>
          </w:tcPr>
          <w:p w14:paraId="1C57C460" w14:textId="77777777" w:rsidR="0092595F" w:rsidRPr="00735EAE" w:rsidRDefault="0092595F" w:rsidP="0092595F">
            <w:pPr>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R-Squared (within)</w:t>
            </w:r>
          </w:p>
        </w:tc>
        <w:tc>
          <w:tcPr>
            <w:tcW w:w="991" w:type="dxa"/>
            <w:tcBorders>
              <w:top w:val="nil"/>
              <w:left w:val="nil"/>
              <w:bottom w:val="nil"/>
              <w:right w:val="nil"/>
            </w:tcBorders>
            <w:shd w:val="clear" w:color="000000" w:fill="FFFFFF"/>
            <w:noWrap/>
          </w:tcPr>
          <w:p w14:paraId="6E154BB2" w14:textId="77777777" w:rsidR="0092595F" w:rsidRPr="00735EAE" w:rsidRDefault="0092595F" w:rsidP="0092595F">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0.099</w:t>
            </w:r>
          </w:p>
        </w:tc>
        <w:tc>
          <w:tcPr>
            <w:tcW w:w="1262" w:type="dxa"/>
            <w:gridSpan w:val="2"/>
            <w:tcBorders>
              <w:top w:val="nil"/>
              <w:left w:val="nil"/>
              <w:bottom w:val="nil"/>
              <w:right w:val="nil"/>
            </w:tcBorders>
            <w:shd w:val="clear" w:color="000000" w:fill="FFFFFF"/>
            <w:noWrap/>
          </w:tcPr>
          <w:p w14:paraId="4205EE0A" w14:textId="77777777" w:rsidR="0092595F" w:rsidRPr="00735EAE" w:rsidRDefault="0092595F" w:rsidP="0092595F">
            <w:pPr>
              <w:jc w:val="both"/>
              <w:rPr>
                <w:rFonts w:asciiTheme="majorBidi" w:hAnsiTheme="majorBidi" w:cstheme="majorBidi"/>
                <w:color w:val="000000" w:themeColor="text1"/>
                <w:sz w:val="22"/>
              </w:rPr>
            </w:pPr>
          </w:p>
        </w:tc>
        <w:tc>
          <w:tcPr>
            <w:tcW w:w="1081" w:type="dxa"/>
            <w:tcBorders>
              <w:top w:val="nil"/>
              <w:left w:val="nil"/>
              <w:bottom w:val="nil"/>
              <w:right w:val="nil"/>
            </w:tcBorders>
            <w:shd w:val="clear" w:color="000000" w:fill="FFFFFF"/>
          </w:tcPr>
          <w:p w14:paraId="7889D191" w14:textId="77777777" w:rsidR="0092595F" w:rsidRPr="00735EAE" w:rsidRDefault="0092595F" w:rsidP="0092595F">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0.100</w:t>
            </w:r>
          </w:p>
        </w:tc>
        <w:tc>
          <w:tcPr>
            <w:tcW w:w="2255" w:type="dxa"/>
            <w:gridSpan w:val="3"/>
            <w:tcBorders>
              <w:top w:val="nil"/>
              <w:left w:val="nil"/>
              <w:bottom w:val="nil"/>
              <w:right w:val="nil"/>
            </w:tcBorders>
            <w:shd w:val="clear" w:color="000000" w:fill="FFFFFF"/>
            <w:noWrap/>
          </w:tcPr>
          <w:p w14:paraId="5A39A302" w14:textId="77777777" w:rsidR="0092595F" w:rsidRPr="00735EAE" w:rsidRDefault="0092595F" w:rsidP="0092595F">
            <w:pPr>
              <w:jc w:val="both"/>
              <w:rPr>
                <w:rFonts w:asciiTheme="majorBidi" w:hAnsiTheme="majorBidi" w:cstheme="majorBidi"/>
                <w:color w:val="000000" w:themeColor="text1"/>
                <w:sz w:val="22"/>
              </w:rPr>
            </w:pPr>
          </w:p>
        </w:tc>
        <w:tc>
          <w:tcPr>
            <w:tcW w:w="1171" w:type="dxa"/>
            <w:tcBorders>
              <w:top w:val="nil"/>
              <w:left w:val="nil"/>
              <w:bottom w:val="nil"/>
              <w:right w:val="nil"/>
            </w:tcBorders>
            <w:shd w:val="clear" w:color="000000" w:fill="FFFFFF"/>
            <w:noWrap/>
          </w:tcPr>
          <w:p w14:paraId="702F5CF7" w14:textId="77777777" w:rsidR="0092595F" w:rsidRPr="00735EAE" w:rsidRDefault="0092595F" w:rsidP="0092595F">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0.080</w:t>
            </w:r>
          </w:p>
        </w:tc>
        <w:tc>
          <w:tcPr>
            <w:tcW w:w="1262" w:type="dxa"/>
            <w:tcBorders>
              <w:top w:val="nil"/>
              <w:left w:val="nil"/>
              <w:bottom w:val="nil"/>
              <w:right w:val="nil"/>
            </w:tcBorders>
            <w:shd w:val="clear" w:color="000000" w:fill="FFFFFF"/>
            <w:noWrap/>
          </w:tcPr>
          <w:p w14:paraId="640E5661" w14:textId="77777777" w:rsidR="0092595F" w:rsidRPr="00735EAE" w:rsidRDefault="0092595F" w:rsidP="0092595F">
            <w:pPr>
              <w:jc w:val="both"/>
              <w:rPr>
                <w:rFonts w:asciiTheme="majorBidi" w:hAnsiTheme="majorBidi" w:cstheme="majorBidi"/>
                <w:color w:val="000000" w:themeColor="text1"/>
                <w:sz w:val="22"/>
              </w:rPr>
            </w:pPr>
          </w:p>
        </w:tc>
        <w:tc>
          <w:tcPr>
            <w:tcW w:w="1242" w:type="dxa"/>
            <w:tcBorders>
              <w:top w:val="nil"/>
              <w:left w:val="nil"/>
              <w:bottom w:val="nil"/>
              <w:right w:val="nil"/>
            </w:tcBorders>
            <w:shd w:val="clear" w:color="000000" w:fill="FFFFFF"/>
          </w:tcPr>
          <w:p w14:paraId="1514C1C0" w14:textId="77777777" w:rsidR="0092595F" w:rsidRPr="00735EAE" w:rsidRDefault="0092595F" w:rsidP="0092595F">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0.080</w:t>
            </w:r>
          </w:p>
        </w:tc>
        <w:tc>
          <w:tcPr>
            <w:tcW w:w="1350" w:type="dxa"/>
            <w:tcBorders>
              <w:top w:val="nil"/>
              <w:left w:val="nil"/>
              <w:bottom w:val="nil"/>
              <w:right w:val="nil"/>
            </w:tcBorders>
            <w:shd w:val="clear" w:color="000000" w:fill="FFFFFF"/>
            <w:noWrap/>
          </w:tcPr>
          <w:p w14:paraId="5859958D" w14:textId="77777777" w:rsidR="0092595F" w:rsidRPr="00735EAE" w:rsidRDefault="0092595F" w:rsidP="0092595F">
            <w:pPr>
              <w:jc w:val="both"/>
              <w:rPr>
                <w:rFonts w:asciiTheme="majorBidi" w:hAnsiTheme="majorBidi" w:cstheme="majorBidi"/>
                <w:color w:val="000000" w:themeColor="text1"/>
                <w:sz w:val="22"/>
              </w:rPr>
            </w:pPr>
          </w:p>
        </w:tc>
      </w:tr>
      <w:tr w:rsidR="0092595F" w:rsidRPr="004B36B2" w14:paraId="1FA37E9F" w14:textId="77777777" w:rsidTr="0092595F">
        <w:trPr>
          <w:trHeight w:val="80"/>
        </w:trPr>
        <w:tc>
          <w:tcPr>
            <w:tcW w:w="3966" w:type="dxa"/>
            <w:tcBorders>
              <w:top w:val="nil"/>
              <w:left w:val="nil"/>
              <w:bottom w:val="nil"/>
              <w:right w:val="nil"/>
            </w:tcBorders>
            <w:shd w:val="clear" w:color="000000" w:fill="FFFFFF"/>
            <w:noWrap/>
          </w:tcPr>
          <w:p w14:paraId="2EE09966"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Walt test (Chi-squared)</w:t>
            </w:r>
          </w:p>
        </w:tc>
        <w:tc>
          <w:tcPr>
            <w:tcW w:w="991" w:type="dxa"/>
            <w:tcBorders>
              <w:top w:val="nil"/>
              <w:left w:val="nil"/>
              <w:bottom w:val="nil"/>
              <w:right w:val="nil"/>
            </w:tcBorders>
            <w:shd w:val="clear" w:color="000000" w:fill="FFFFFF"/>
            <w:noWrap/>
          </w:tcPr>
          <w:p w14:paraId="7969A8E8" w14:textId="77777777" w:rsidR="0092595F" w:rsidRPr="00735EAE" w:rsidRDefault="0092595F" w:rsidP="0092595F">
            <w:pPr>
              <w:spacing w:after="100"/>
              <w:jc w:val="both"/>
              <w:rPr>
                <w:rFonts w:asciiTheme="majorBidi" w:hAnsiTheme="majorBidi" w:cstheme="majorBidi"/>
                <w:color w:val="000000" w:themeColor="text1"/>
                <w:sz w:val="22"/>
              </w:rPr>
            </w:pPr>
          </w:p>
        </w:tc>
        <w:tc>
          <w:tcPr>
            <w:tcW w:w="1262" w:type="dxa"/>
            <w:gridSpan w:val="2"/>
            <w:tcBorders>
              <w:top w:val="nil"/>
              <w:left w:val="nil"/>
              <w:bottom w:val="nil"/>
              <w:right w:val="nil"/>
            </w:tcBorders>
            <w:shd w:val="clear" w:color="000000" w:fill="FFFFFF"/>
            <w:noWrap/>
          </w:tcPr>
          <w:p w14:paraId="6581B7BA"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78.08</w:t>
            </w:r>
          </w:p>
        </w:tc>
        <w:tc>
          <w:tcPr>
            <w:tcW w:w="1081" w:type="dxa"/>
            <w:tcBorders>
              <w:top w:val="nil"/>
              <w:left w:val="nil"/>
              <w:bottom w:val="nil"/>
              <w:right w:val="nil"/>
            </w:tcBorders>
            <w:shd w:val="clear" w:color="000000" w:fill="FFFFFF"/>
          </w:tcPr>
          <w:p w14:paraId="3C7246B1" w14:textId="77777777" w:rsidR="0092595F" w:rsidRPr="00735EAE" w:rsidRDefault="0092595F" w:rsidP="0092595F">
            <w:pPr>
              <w:spacing w:after="100"/>
              <w:jc w:val="both"/>
              <w:rPr>
                <w:rFonts w:asciiTheme="majorBidi" w:hAnsiTheme="majorBidi" w:cstheme="majorBidi"/>
                <w:color w:val="000000" w:themeColor="text1"/>
                <w:sz w:val="22"/>
              </w:rPr>
            </w:pPr>
          </w:p>
        </w:tc>
        <w:tc>
          <w:tcPr>
            <w:tcW w:w="1610" w:type="dxa"/>
            <w:gridSpan w:val="2"/>
            <w:tcBorders>
              <w:top w:val="nil"/>
              <w:left w:val="nil"/>
              <w:bottom w:val="nil"/>
              <w:right w:val="nil"/>
            </w:tcBorders>
            <w:shd w:val="clear" w:color="000000" w:fill="FFFFFF"/>
            <w:noWrap/>
          </w:tcPr>
          <w:p w14:paraId="070ED244"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286.88</w:t>
            </w:r>
          </w:p>
        </w:tc>
        <w:tc>
          <w:tcPr>
            <w:tcW w:w="645" w:type="dxa"/>
            <w:tcBorders>
              <w:top w:val="nil"/>
              <w:left w:val="nil"/>
              <w:bottom w:val="nil"/>
              <w:right w:val="nil"/>
            </w:tcBorders>
            <w:shd w:val="clear" w:color="000000" w:fill="FFFFFF"/>
          </w:tcPr>
          <w:p w14:paraId="5EA525A3" w14:textId="77777777" w:rsidR="0092595F" w:rsidRPr="00735EAE" w:rsidRDefault="0092595F" w:rsidP="0092595F">
            <w:pPr>
              <w:spacing w:after="100"/>
              <w:jc w:val="both"/>
              <w:rPr>
                <w:rFonts w:asciiTheme="majorBidi" w:hAnsiTheme="majorBidi" w:cstheme="majorBidi"/>
                <w:color w:val="000000" w:themeColor="text1"/>
                <w:sz w:val="22"/>
              </w:rPr>
            </w:pPr>
          </w:p>
        </w:tc>
        <w:tc>
          <w:tcPr>
            <w:tcW w:w="1171" w:type="dxa"/>
            <w:tcBorders>
              <w:top w:val="nil"/>
              <w:left w:val="nil"/>
              <w:bottom w:val="nil"/>
              <w:right w:val="nil"/>
            </w:tcBorders>
            <w:shd w:val="clear" w:color="000000" w:fill="FFFFFF"/>
            <w:noWrap/>
          </w:tcPr>
          <w:p w14:paraId="00A1BB21" w14:textId="77777777" w:rsidR="0092595F" w:rsidRPr="00735EAE" w:rsidRDefault="0092595F" w:rsidP="0092595F">
            <w:pPr>
              <w:spacing w:after="100"/>
              <w:jc w:val="both"/>
              <w:rPr>
                <w:rFonts w:asciiTheme="majorBidi" w:hAnsiTheme="majorBidi" w:cstheme="majorBidi"/>
                <w:color w:val="000000" w:themeColor="text1"/>
                <w:sz w:val="22"/>
              </w:rPr>
            </w:pPr>
          </w:p>
        </w:tc>
        <w:tc>
          <w:tcPr>
            <w:tcW w:w="1262" w:type="dxa"/>
            <w:tcBorders>
              <w:top w:val="nil"/>
              <w:left w:val="nil"/>
              <w:bottom w:val="nil"/>
              <w:right w:val="nil"/>
            </w:tcBorders>
            <w:shd w:val="clear" w:color="000000" w:fill="FFFFFF"/>
            <w:noWrap/>
          </w:tcPr>
          <w:p w14:paraId="57949D74"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254.88</w:t>
            </w:r>
          </w:p>
        </w:tc>
        <w:tc>
          <w:tcPr>
            <w:tcW w:w="1242" w:type="dxa"/>
            <w:tcBorders>
              <w:top w:val="nil"/>
              <w:left w:val="nil"/>
              <w:bottom w:val="nil"/>
              <w:right w:val="nil"/>
            </w:tcBorders>
            <w:shd w:val="clear" w:color="000000" w:fill="FFFFFF"/>
          </w:tcPr>
          <w:p w14:paraId="7B695B62" w14:textId="77777777" w:rsidR="0092595F" w:rsidRPr="00735EAE" w:rsidRDefault="0092595F" w:rsidP="0092595F">
            <w:pPr>
              <w:spacing w:after="100"/>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tcPr>
          <w:p w14:paraId="13E3A7A7"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94.20</w:t>
            </w:r>
          </w:p>
        </w:tc>
      </w:tr>
      <w:tr w:rsidR="0092595F" w:rsidRPr="004B36B2" w14:paraId="73EAEABF" w14:textId="77777777" w:rsidTr="0092595F">
        <w:trPr>
          <w:trHeight w:val="206"/>
        </w:trPr>
        <w:tc>
          <w:tcPr>
            <w:tcW w:w="14580" w:type="dxa"/>
            <w:gridSpan w:val="12"/>
            <w:tcBorders>
              <w:top w:val="nil"/>
              <w:left w:val="nil"/>
              <w:bottom w:val="nil"/>
              <w:right w:val="nil"/>
            </w:tcBorders>
            <w:shd w:val="clear" w:color="000000" w:fill="FFFFFF"/>
          </w:tcPr>
          <w:p w14:paraId="5E3D6224" w14:textId="77777777" w:rsidR="0092595F" w:rsidRPr="00735EAE" w:rsidRDefault="0092595F" w:rsidP="0092595F">
            <w:pPr>
              <w:jc w:val="both"/>
              <w:rPr>
                <w:rFonts w:asciiTheme="majorBidi" w:hAnsiTheme="majorBidi" w:cstheme="majorBidi"/>
                <w:color w:val="000000" w:themeColor="text1"/>
                <w:sz w:val="22"/>
              </w:rPr>
            </w:pPr>
            <w:r w:rsidRPr="00735EAE">
              <w:rPr>
                <w:rFonts w:asciiTheme="majorBidi" w:hAnsiTheme="majorBidi" w:cstheme="majorBidi"/>
                <w:i/>
                <w:color w:val="000000" w:themeColor="text1"/>
                <w:sz w:val="22"/>
              </w:rPr>
              <w:t>Panel B: For children aged 11 to 16</w:t>
            </w:r>
          </w:p>
        </w:tc>
      </w:tr>
      <w:tr w:rsidR="0092595F" w:rsidRPr="004B36B2" w14:paraId="476EC7FB" w14:textId="77777777" w:rsidTr="0092595F">
        <w:trPr>
          <w:trHeight w:val="194"/>
        </w:trPr>
        <w:tc>
          <w:tcPr>
            <w:tcW w:w="3966" w:type="dxa"/>
            <w:tcBorders>
              <w:top w:val="nil"/>
              <w:left w:val="nil"/>
              <w:bottom w:val="nil"/>
              <w:right w:val="nil"/>
            </w:tcBorders>
            <w:shd w:val="clear" w:color="000000" w:fill="FFFFFF"/>
            <w:noWrap/>
            <w:vAlign w:val="bottom"/>
          </w:tcPr>
          <w:p w14:paraId="163CA244"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Migration Model</w:t>
            </w:r>
          </w:p>
        </w:tc>
        <w:tc>
          <w:tcPr>
            <w:tcW w:w="991" w:type="dxa"/>
            <w:tcBorders>
              <w:top w:val="nil"/>
              <w:left w:val="nil"/>
              <w:bottom w:val="nil"/>
              <w:right w:val="nil"/>
            </w:tcBorders>
            <w:shd w:val="clear" w:color="000000" w:fill="FFFFFF"/>
            <w:noWrap/>
            <w:vAlign w:val="bottom"/>
          </w:tcPr>
          <w:p w14:paraId="2F29CE5D"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0.019</w:t>
            </w:r>
          </w:p>
        </w:tc>
        <w:tc>
          <w:tcPr>
            <w:tcW w:w="1262" w:type="dxa"/>
            <w:gridSpan w:val="2"/>
            <w:tcBorders>
              <w:top w:val="nil"/>
              <w:left w:val="nil"/>
              <w:bottom w:val="nil"/>
              <w:right w:val="nil"/>
            </w:tcBorders>
            <w:shd w:val="clear" w:color="000000" w:fill="FFFFFF"/>
            <w:noWrap/>
            <w:vAlign w:val="bottom"/>
          </w:tcPr>
          <w:p w14:paraId="71DEA072"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-0.184</w:t>
            </w:r>
          </w:p>
        </w:tc>
        <w:tc>
          <w:tcPr>
            <w:tcW w:w="1081" w:type="dxa"/>
            <w:tcBorders>
              <w:top w:val="nil"/>
              <w:left w:val="nil"/>
              <w:bottom w:val="nil"/>
              <w:right w:val="nil"/>
            </w:tcBorders>
            <w:shd w:val="clear" w:color="000000" w:fill="FFFFFF"/>
          </w:tcPr>
          <w:p w14:paraId="04BE2D61" w14:textId="77777777" w:rsidR="0092595F" w:rsidRPr="00735EAE" w:rsidRDefault="0092595F" w:rsidP="00393BC7">
            <w:pPr>
              <w:jc w:val="both"/>
              <w:rPr>
                <w:rFonts w:asciiTheme="majorBidi" w:hAnsiTheme="majorBidi" w:cstheme="majorBidi"/>
                <w:color w:val="000000" w:themeColor="text1"/>
                <w:sz w:val="22"/>
              </w:rPr>
            </w:pPr>
          </w:p>
        </w:tc>
        <w:tc>
          <w:tcPr>
            <w:tcW w:w="1340" w:type="dxa"/>
            <w:tcBorders>
              <w:top w:val="nil"/>
              <w:left w:val="nil"/>
              <w:bottom w:val="nil"/>
              <w:right w:val="nil"/>
            </w:tcBorders>
            <w:shd w:val="clear" w:color="000000" w:fill="FFFFFF"/>
            <w:noWrap/>
            <w:vAlign w:val="bottom"/>
          </w:tcPr>
          <w:p w14:paraId="0EDF8E60"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15" w:type="dxa"/>
            <w:gridSpan w:val="2"/>
            <w:tcBorders>
              <w:top w:val="nil"/>
              <w:left w:val="nil"/>
              <w:bottom w:val="nil"/>
              <w:right w:val="nil"/>
            </w:tcBorders>
            <w:shd w:val="clear" w:color="000000" w:fill="FFFFFF"/>
            <w:noWrap/>
            <w:vAlign w:val="bottom"/>
          </w:tcPr>
          <w:p w14:paraId="3165ABD4"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vAlign w:val="bottom"/>
          </w:tcPr>
          <w:p w14:paraId="247DAB46"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-0.031</w:t>
            </w:r>
          </w:p>
        </w:tc>
        <w:tc>
          <w:tcPr>
            <w:tcW w:w="1262" w:type="dxa"/>
            <w:tcBorders>
              <w:top w:val="nil"/>
              <w:left w:val="nil"/>
              <w:bottom w:val="nil"/>
              <w:right w:val="nil"/>
            </w:tcBorders>
            <w:shd w:val="clear" w:color="000000" w:fill="FFFFFF"/>
            <w:noWrap/>
            <w:vAlign w:val="bottom"/>
          </w:tcPr>
          <w:p w14:paraId="04206C4F"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-0.165</w:t>
            </w:r>
          </w:p>
        </w:tc>
        <w:tc>
          <w:tcPr>
            <w:tcW w:w="1242" w:type="dxa"/>
            <w:tcBorders>
              <w:top w:val="nil"/>
              <w:left w:val="nil"/>
              <w:bottom w:val="nil"/>
              <w:right w:val="nil"/>
            </w:tcBorders>
            <w:shd w:val="clear" w:color="000000" w:fill="FFFFFF"/>
          </w:tcPr>
          <w:p w14:paraId="6AE7B7F0" w14:textId="77777777" w:rsidR="0092595F" w:rsidRPr="00735EAE" w:rsidRDefault="0092595F" w:rsidP="00393BC7">
            <w:pPr>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vAlign w:val="bottom"/>
          </w:tcPr>
          <w:p w14:paraId="56885697"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92595F" w:rsidRPr="004B36B2" w14:paraId="09142E7E" w14:textId="77777777" w:rsidTr="0092595F">
        <w:trPr>
          <w:trHeight w:val="80"/>
        </w:trPr>
        <w:tc>
          <w:tcPr>
            <w:tcW w:w="3966" w:type="dxa"/>
            <w:tcBorders>
              <w:top w:val="nil"/>
              <w:left w:val="nil"/>
              <w:bottom w:val="nil"/>
              <w:right w:val="nil"/>
            </w:tcBorders>
            <w:shd w:val="clear" w:color="000000" w:fill="FFFFFF"/>
            <w:noWrap/>
          </w:tcPr>
          <w:p w14:paraId="7FFABBF3"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1" w:type="dxa"/>
            <w:tcBorders>
              <w:top w:val="nil"/>
              <w:left w:val="nil"/>
              <w:bottom w:val="nil"/>
              <w:right w:val="nil"/>
            </w:tcBorders>
            <w:shd w:val="clear" w:color="000000" w:fill="FFFFFF"/>
            <w:noWrap/>
          </w:tcPr>
          <w:p w14:paraId="51095C54"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(0.963)</w:t>
            </w:r>
          </w:p>
        </w:tc>
        <w:tc>
          <w:tcPr>
            <w:tcW w:w="1262" w:type="dxa"/>
            <w:gridSpan w:val="2"/>
            <w:tcBorders>
              <w:top w:val="nil"/>
              <w:left w:val="nil"/>
              <w:bottom w:val="nil"/>
              <w:right w:val="nil"/>
            </w:tcBorders>
            <w:shd w:val="clear" w:color="000000" w:fill="FFFFFF"/>
            <w:noWrap/>
          </w:tcPr>
          <w:p w14:paraId="6F27D083"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2.218)*</w:t>
            </w:r>
            <w:proofErr w:type="gramEnd"/>
            <w:r w:rsidRPr="00735EAE">
              <w:rPr>
                <w:rFonts w:asciiTheme="majorBidi" w:hAnsiTheme="majorBidi" w:cstheme="majorBidi"/>
                <w:color w:val="000000" w:themeColor="text1"/>
                <w:sz w:val="22"/>
              </w:rPr>
              <w:t>*</w:t>
            </w:r>
          </w:p>
        </w:tc>
        <w:tc>
          <w:tcPr>
            <w:tcW w:w="1081" w:type="dxa"/>
            <w:tcBorders>
              <w:top w:val="nil"/>
              <w:left w:val="nil"/>
              <w:bottom w:val="nil"/>
              <w:right w:val="nil"/>
            </w:tcBorders>
            <w:shd w:val="clear" w:color="000000" w:fill="FFFFFF"/>
          </w:tcPr>
          <w:p w14:paraId="65773529" w14:textId="77777777" w:rsidR="0092595F" w:rsidRPr="00735EAE" w:rsidRDefault="0092595F" w:rsidP="0092595F">
            <w:pPr>
              <w:spacing w:after="60"/>
              <w:jc w:val="both"/>
              <w:rPr>
                <w:rFonts w:asciiTheme="majorBidi" w:hAnsiTheme="majorBidi" w:cstheme="majorBidi"/>
                <w:color w:val="000000" w:themeColor="text1"/>
                <w:sz w:val="22"/>
              </w:rPr>
            </w:pPr>
          </w:p>
        </w:tc>
        <w:tc>
          <w:tcPr>
            <w:tcW w:w="1340" w:type="dxa"/>
            <w:tcBorders>
              <w:top w:val="nil"/>
              <w:left w:val="nil"/>
              <w:bottom w:val="nil"/>
              <w:right w:val="nil"/>
            </w:tcBorders>
            <w:shd w:val="clear" w:color="000000" w:fill="FFFFFF"/>
            <w:noWrap/>
          </w:tcPr>
          <w:p w14:paraId="293F649A"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15" w:type="dxa"/>
            <w:gridSpan w:val="2"/>
            <w:tcBorders>
              <w:top w:val="nil"/>
              <w:left w:val="nil"/>
              <w:bottom w:val="nil"/>
              <w:right w:val="nil"/>
            </w:tcBorders>
            <w:shd w:val="clear" w:color="000000" w:fill="FFFFFF"/>
            <w:noWrap/>
          </w:tcPr>
          <w:p w14:paraId="00032158"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tcPr>
          <w:p w14:paraId="1322E5B1"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(1.647)</w:t>
            </w:r>
          </w:p>
        </w:tc>
        <w:tc>
          <w:tcPr>
            <w:tcW w:w="1262" w:type="dxa"/>
            <w:tcBorders>
              <w:top w:val="nil"/>
              <w:left w:val="nil"/>
              <w:bottom w:val="nil"/>
              <w:right w:val="nil"/>
            </w:tcBorders>
            <w:shd w:val="clear" w:color="000000" w:fill="FFFFFF"/>
            <w:noWrap/>
          </w:tcPr>
          <w:p w14:paraId="3CD27E09"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2.265)*</w:t>
            </w:r>
            <w:proofErr w:type="gramEnd"/>
            <w:r w:rsidRPr="00735EAE">
              <w:rPr>
                <w:rFonts w:asciiTheme="majorBidi" w:hAnsiTheme="majorBidi" w:cstheme="majorBidi"/>
                <w:color w:val="000000" w:themeColor="text1"/>
                <w:sz w:val="22"/>
              </w:rPr>
              <w:t>*</w:t>
            </w:r>
          </w:p>
        </w:tc>
        <w:tc>
          <w:tcPr>
            <w:tcW w:w="1242" w:type="dxa"/>
            <w:tcBorders>
              <w:top w:val="nil"/>
              <w:left w:val="nil"/>
              <w:bottom w:val="nil"/>
              <w:right w:val="nil"/>
            </w:tcBorders>
            <w:shd w:val="clear" w:color="000000" w:fill="FFFFFF"/>
          </w:tcPr>
          <w:p w14:paraId="7239F28D" w14:textId="77777777" w:rsidR="0092595F" w:rsidRPr="00735EAE" w:rsidRDefault="0092595F" w:rsidP="0092595F">
            <w:pPr>
              <w:spacing w:after="60"/>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tcPr>
          <w:p w14:paraId="341AF420" w14:textId="77777777" w:rsidR="0092595F" w:rsidRPr="00735EAE" w:rsidRDefault="0092595F" w:rsidP="0092595F">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92595F" w:rsidRPr="004B36B2" w14:paraId="356B4024" w14:textId="77777777" w:rsidTr="0092595F">
        <w:trPr>
          <w:trHeight w:val="96"/>
        </w:trPr>
        <w:tc>
          <w:tcPr>
            <w:tcW w:w="3966" w:type="dxa"/>
            <w:tcBorders>
              <w:top w:val="nil"/>
              <w:left w:val="nil"/>
              <w:bottom w:val="nil"/>
              <w:right w:val="nil"/>
            </w:tcBorders>
            <w:shd w:val="clear" w:color="000000" w:fill="FFFFFF"/>
            <w:noWrap/>
            <w:vAlign w:val="bottom"/>
          </w:tcPr>
          <w:p w14:paraId="66485A75"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Remittance Model</w:t>
            </w:r>
          </w:p>
        </w:tc>
        <w:tc>
          <w:tcPr>
            <w:tcW w:w="991" w:type="dxa"/>
            <w:tcBorders>
              <w:top w:val="nil"/>
              <w:left w:val="nil"/>
              <w:bottom w:val="nil"/>
              <w:right w:val="nil"/>
            </w:tcBorders>
            <w:shd w:val="clear" w:color="000000" w:fill="FFFFFF"/>
            <w:noWrap/>
            <w:vAlign w:val="bottom"/>
          </w:tcPr>
          <w:p w14:paraId="00C32DAC"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gridSpan w:val="2"/>
            <w:tcBorders>
              <w:top w:val="nil"/>
              <w:left w:val="nil"/>
              <w:bottom w:val="nil"/>
              <w:right w:val="nil"/>
            </w:tcBorders>
            <w:shd w:val="clear" w:color="000000" w:fill="FFFFFF"/>
            <w:noWrap/>
            <w:vAlign w:val="bottom"/>
          </w:tcPr>
          <w:p w14:paraId="5ABBD9ED"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81" w:type="dxa"/>
            <w:tcBorders>
              <w:top w:val="nil"/>
              <w:left w:val="nil"/>
              <w:bottom w:val="nil"/>
              <w:right w:val="nil"/>
            </w:tcBorders>
            <w:shd w:val="clear" w:color="000000" w:fill="FFFFFF"/>
          </w:tcPr>
          <w:p w14:paraId="73A44D03"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-0.003</w:t>
            </w:r>
          </w:p>
        </w:tc>
        <w:tc>
          <w:tcPr>
            <w:tcW w:w="1340" w:type="dxa"/>
            <w:tcBorders>
              <w:top w:val="nil"/>
              <w:left w:val="nil"/>
              <w:bottom w:val="nil"/>
              <w:right w:val="nil"/>
            </w:tcBorders>
            <w:shd w:val="clear" w:color="000000" w:fill="FFFFFF"/>
            <w:noWrap/>
            <w:vAlign w:val="bottom"/>
          </w:tcPr>
          <w:p w14:paraId="012B5152"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-0.355</w:t>
            </w:r>
          </w:p>
        </w:tc>
        <w:tc>
          <w:tcPr>
            <w:tcW w:w="915" w:type="dxa"/>
            <w:gridSpan w:val="2"/>
            <w:tcBorders>
              <w:top w:val="nil"/>
              <w:left w:val="nil"/>
              <w:bottom w:val="nil"/>
              <w:right w:val="nil"/>
            </w:tcBorders>
            <w:shd w:val="clear" w:color="000000" w:fill="FFFFFF"/>
            <w:noWrap/>
            <w:vAlign w:val="bottom"/>
          </w:tcPr>
          <w:p w14:paraId="75DB798C"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vAlign w:val="bottom"/>
          </w:tcPr>
          <w:p w14:paraId="7FD2E9FD"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tcBorders>
              <w:top w:val="nil"/>
              <w:left w:val="nil"/>
              <w:bottom w:val="nil"/>
              <w:right w:val="nil"/>
            </w:tcBorders>
            <w:shd w:val="clear" w:color="000000" w:fill="FFFFFF"/>
            <w:noWrap/>
            <w:vAlign w:val="bottom"/>
          </w:tcPr>
          <w:p w14:paraId="59679D7F"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42" w:type="dxa"/>
            <w:tcBorders>
              <w:top w:val="nil"/>
              <w:left w:val="nil"/>
              <w:bottom w:val="nil"/>
              <w:right w:val="nil"/>
            </w:tcBorders>
            <w:shd w:val="clear" w:color="000000" w:fill="FFFFFF"/>
          </w:tcPr>
          <w:p w14:paraId="77120473"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-0.063</w:t>
            </w:r>
          </w:p>
        </w:tc>
        <w:tc>
          <w:tcPr>
            <w:tcW w:w="1350" w:type="dxa"/>
            <w:tcBorders>
              <w:top w:val="nil"/>
              <w:left w:val="nil"/>
              <w:bottom w:val="nil"/>
              <w:right w:val="nil"/>
            </w:tcBorders>
            <w:shd w:val="clear" w:color="000000" w:fill="FFFFFF"/>
            <w:noWrap/>
            <w:vAlign w:val="bottom"/>
          </w:tcPr>
          <w:p w14:paraId="09419E86" w14:textId="77777777" w:rsidR="0092595F" w:rsidRPr="00735EAE" w:rsidRDefault="0092595F" w:rsidP="00393BC7">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-0.397</w:t>
            </w:r>
          </w:p>
        </w:tc>
      </w:tr>
      <w:tr w:rsidR="0092595F" w:rsidRPr="004B36B2" w14:paraId="3193D254" w14:textId="77777777" w:rsidTr="0092595F">
        <w:trPr>
          <w:trHeight w:val="80"/>
        </w:trPr>
        <w:tc>
          <w:tcPr>
            <w:tcW w:w="3966" w:type="dxa"/>
            <w:tcBorders>
              <w:top w:val="nil"/>
              <w:left w:val="nil"/>
              <w:bottom w:val="nil"/>
              <w:right w:val="nil"/>
            </w:tcBorders>
            <w:shd w:val="clear" w:color="000000" w:fill="FFFFFF"/>
            <w:noWrap/>
          </w:tcPr>
          <w:p w14:paraId="6E88672A"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1" w:type="dxa"/>
            <w:tcBorders>
              <w:top w:val="nil"/>
              <w:left w:val="nil"/>
              <w:bottom w:val="nil"/>
              <w:right w:val="nil"/>
            </w:tcBorders>
            <w:shd w:val="clear" w:color="000000" w:fill="FFFFFF"/>
            <w:noWrap/>
          </w:tcPr>
          <w:p w14:paraId="01EA980B"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gridSpan w:val="2"/>
            <w:tcBorders>
              <w:top w:val="nil"/>
              <w:left w:val="nil"/>
              <w:bottom w:val="nil"/>
              <w:right w:val="nil"/>
            </w:tcBorders>
            <w:shd w:val="clear" w:color="000000" w:fill="FFFFFF"/>
            <w:noWrap/>
          </w:tcPr>
          <w:p w14:paraId="1FD7931F"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81" w:type="dxa"/>
            <w:tcBorders>
              <w:top w:val="nil"/>
              <w:left w:val="nil"/>
              <w:bottom w:val="nil"/>
              <w:right w:val="nil"/>
            </w:tcBorders>
            <w:shd w:val="clear" w:color="000000" w:fill="FFFFFF"/>
          </w:tcPr>
          <w:p w14:paraId="2C33DDCA"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(0.16)</w:t>
            </w:r>
          </w:p>
        </w:tc>
        <w:tc>
          <w:tcPr>
            <w:tcW w:w="1340" w:type="dxa"/>
            <w:tcBorders>
              <w:top w:val="nil"/>
              <w:left w:val="nil"/>
              <w:bottom w:val="nil"/>
              <w:right w:val="nil"/>
            </w:tcBorders>
            <w:shd w:val="clear" w:color="000000" w:fill="FFFFFF"/>
            <w:noWrap/>
          </w:tcPr>
          <w:p w14:paraId="5CD04A79"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2.869)*</w:t>
            </w:r>
            <w:proofErr w:type="gramEnd"/>
            <w:r w:rsidRPr="00735EAE">
              <w:rPr>
                <w:rFonts w:asciiTheme="majorBidi" w:hAnsiTheme="majorBidi" w:cstheme="majorBidi"/>
                <w:color w:val="000000" w:themeColor="text1"/>
                <w:sz w:val="22"/>
              </w:rPr>
              <w:t>**</w:t>
            </w:r>
          </w:p>
        </w:tc>
        <w:tc>
          <w:tcPr>
            <w:tcW w:w="915" w:type="dxa"/>
            <w:gridSpan w:val="2"/>
            <w:tcBorders>
              <w:top w:val="nil"/>
              <w:left w:val="nil"/>
              <w:bottom w:val="nil"/>
              <w:right w:val="nil"/>
            </w:tcBorders>
            <w:shd w:val="clear" w:color="000000" w:fill="FFFFFF"/>
            <w:noWrap/>
          </w:tcPr>
          <w:p w14:paraId="3DC5F7B9"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nil"/>
              <w:right w:val="nil"/>
            </w:tcBorders>
            <w:shd w:val="clear" w:color="000000" w:fill="FFFFFF"/>
            <w:noWrap/>
          </w:tcPr>
          <w:p w14:paraId="6EBD4008"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2" w:type="dxa"/>
            <w:tcBorders>
              <w:top w:val="nil"/>
              <w:left w:val="nil"/>
              <w:bottom w:val="nil"/>
              <w:right w:val="nil"/>
            </w:tcBorders>
            <w:shd w:val="clear" w:color="000000" w:fill="FFFFFF"/>
            <w:noWrap/>
          </w:tcPr>
          <w:p w14:paraId="6D4E6C36"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42" w:type="dxa"/>
            <w:tcBorders>
              <w:top w:val="nil"/>
              <w:left w:val="nil"/>
              <w:bottom w:val="nil"/>
              <w:right w:val="nil"/>
            </w:tcBorders>
            <w:shd w:val="clear" w:color="000000" w:fill="FFFFFF"/>
          </w:tcPr>
          <w:p w14:paraId="749A56D0"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4.88)*</w:t>
            </w:r>
            <w:proofErr w:type="gramEnd"/>
            <w:r w:rsidRPr="00735EAE">
              <w:rPr>
                <w:rFonts w:asciiTheme="majorBidi" w:hAnsiTheme="majorBidi" w:cstheme="majorBidi"/>
                <w:color w:val="000000" w:themeColor="text1"/>
                <w:sz w:val="22"/>
              </w:rPr>
              <w:t>**</w:t>
            </w:r>
          </w:p>
        </w:tc>
        <w:tc>
          <w:tcPr>
            <w:tcW w:w="1350" w:type="dxa"/>
            <w:tcBorders>
              <w:top w:val="nil"/>
              <w:left w:val="nil"/>
              <w:bottom w:val="nil"/>
              <w:right w:val="nil"/>
            </w:tcBorders>
            <w:shd w:val="clear" w:color="000000" w:fill="FFFFFF"/>
            <w:noWrap/>
          </w:tcPr>
          <w:p w14:paraId="60016BDC" w14:textId="77777777" w:rsidR="0092595F" w:rsidRPr="00735EAE" w:rsidRDefault="0092595F" w:rsidP="0092595F">
            <w:pPr>
              <w:spacing w:after="10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3.889)*</w:t>
            </w:r>
            <w:proofErr w:type="gramEnd"/>
            <w:r w:rsidRPr="00735EAE">
              <w:rPr>
                <w:rFonts w:asciiTheme="majorBidi" w:hAnsiTheme="majorBidi" w:cstheme="majorBidi"/>
                <w:color w:val="000000" w:themeColor="text1"/>
                <w:sz w:val="22"/>
              </w:rPr>
              <w:t>**</w:t>
            </w:r>
          </w:p>
        </w:tc>
      </w:tr>
      <w:tr w:rsidR="0092595F" w:rsidRPr="004B36B2" w14:paraId="7083406E" w14:textId="77777777" w:rsidTr="0092595F">
        <w:trPr>
          <w:trHeight w:val="80"/>
        </w:trPr>
        <w:tc>
          <w:tcPr>
            <w:tcW w:w="3966" w:type="dxa"/>
            <w:tcBorders>
              <w:top w:val="nil"/>
              <w:left w:val="nil"/>
              <w:bottom w:val="nil"/>
              <w:right w:val="nil"/>
            </w:tcBorders>
            <w:shd w:val="clear" w:color="000000" w:fill="FFFFFF"/>
            <w:noWrap/>
          </w:tcPr>
          <w:p w14:paraId="0EF8C094"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R-Squared (within)</w:t>
            </w:r>
          </w:p>
        </w:tc>
        <w:tc>
          <w:tcPr>
            <w:tcW w:w="991" w:type="dxa"/>
            <w:tcBorders>
              <w:top w:val="nil"/>
              <w:left w:val="nil"/>
              <w:bottom w:val="nil"/>
              <w:right w:val="nil"/>
            </w:tcBorders>
            <w:shd w:val="clear" w:color="000000" w:fill="FFFFFF"/>
            <w:noWrap/>
          </w:tcPr>
          <w:p w14:paraId="78009BFE"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0.237</w:t>
            </w:r>
          </w:p>
        </w:tc>
        <w:tc>
          <w:tcPr>
            <w:tcW w:w="1262" w:type="dxa"/>
            <w:gridSpan w:val="2"/>
            <w:tcBorders>
              <w:top w:val="nil"/>
              <w:left w:val="nil"/>
              <w:bottom w:val="nil"/>
              <w:right w:val="nil"/>
            </w:tcBorders>
            <w:shd w:val="clear" w:color="000000" w:fill="FFFFFF"/>
            <w:noWrap/>
          </w:tcPr>
          <w:p w14:paraId="4A6D623F" w14:textId="77777777" w:rsidR="0092595F" w:rsidRPr="00735EAE" w:rsidRDefault="0092595F" w:rsidP="003E5F98">
            <w:pPr>
              <w:spacing w:after="40"/>
              <w:jc w:val="both"/>
              <w:rPr>
                <w:rFonts w:asciiTheme="majorBidi" w:hAnsiTheme="majorBidi" w:cstheme="majorBidi"/>
                <w:color w:val="000000" w:themeColor="text1"/>
                <w:sz w:val="22"/>
              </w:rPr>
            </w:pPr>
          </w:p>
        </w:tc>
        <w:tc>
          <w:tcPr>
            <w:tcW w:w="1081" w:type="dxa"/>
            <w:tcBorders>
              <w:top w:val="nil"/>
              <w:left w:val="nil"/>
              <w:bottom w:val="nil"/>
              <w:right w:val="nil"/>
            </w:tcBorders>
            <w:shd w:val="clear" w:color="000000" w:fill="FFFFFF"/>
          </w:tcPr>
          <w:p w14:paraId="615EF835"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0.236</w:t>
            </w:r>
          </w:p>
        </w:tc>
        <w:tc>
          <w:tcPr>
            <w:tcW w:w="1340" w:type="dxa"/>
            <w:tcBorders>
              <w:top w:val="nil"/>
              <w:left w:val="nil"/>
              <w:bottom w:val="nil"/>
              <w:right w:val="nil"/>
            </w:tcBorders>
            <w:shd w:val="clear" w:color="000000" w:fill="FFFFFF"/>
            <w:noWrap/>
          </w:tcPr>
          <w:p w14:paraId="1364E39F" w14:textId="77777777" w:rsidR="0092595F" w:rsidRPr="00735EAE" w:rsidRDefault="0092595F" w:rsidP="003E5F98">
            <w:pPr>
              <w:spacing w:after="40"/>
              <w:jc w:val="both"/>
              <w:rPr>
                <w:rFonts w:asciiTheme="majorBidi" w:hAnsiTheme="majorBidi" w:cstheme="majorBidi"/>
                <w:color w:val="000000" w:themeColor="text1"/>
                <w:sz w:val="22"/>
              </w:rPr>
            </w:pPr>
          </w:p>
        </w:tc>
        <w:tc>
          <w:tcPr>
            <w:tcW w:w="915" w:type="dxa"/>
            <w:gridSpan w:val="2"/>
            <w:tcBorders>
              <w:top w:val="nil"/>
              <w:left w:val="nil"/>
              <w:bottom w:val="nil"/>
              <w:right w:val="nil"/>
            </w:tcBorders>
            <w:shd w:val="clear" w:color="000000" w:fill="FFFFFF"/>
            <w:noWrap/>
          </w:tcPr>
          <w:p w14:paraId="207D007D" w14:textId="77777777" w:rsidR="0092595F" w:rsidRPr="00735EAE" w:rsidRDefault="0092595F" w:rsidP="003E5F98">
            <w:pPr>
              <w:spacing w:after="40"/>
              <w:jc w:val="both"/>
              <w:rPr>
                <w:rFonts w:asciiTheme="majorBidi" w:hAnsiTheme="majorBidi" w:cstheme="majorBidi"/>
                <w:color w:val="000000" w:themeColor="text1"/>
                <w:sz w:val="22"/>
              </w:rPr>
            </w:pPr>
          </w:p>
        </w:tc>
        <w:tc>
          <w:tcPr>
            <w:tcW w:w="1171" w:type="dxa"/>
            <w:tcBorders>
              <w:top w:val="nil"/>
              <w:left w:val="nil"/>
              <w:bottom w:val="nil"/>
              <w:right w:val="nil"/>
            </w:tcBorders>
            <w:shd w:val="clear" w:color="000000" w:fill="FFFFFF"/>
            <w:noWrap/>
          </w:tcPr>
          <w:p w14:paraId="768877F3"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0.099</w:t>
            </w:r>
          </w:p>
        </w:tc>
        <w:tc>
          <w:tcPr>
            <w:tcW w:w="1262" w:type="dxa"/>
            <w:tcBorders>
              <w:top w:val="nil"/>
              <w:left w:val="nil"/>
              <w:bottom w:val="nil"/>
              <w:right w:val="nil"/>
            </w:tcBorders>
            <w:shd w:val="clear" w:color="000000" w:fill="FFFFFF"/>
            <w:noWrap/>
          </w:tcPr>
          <w:p w14:paraId="6C6E9C7C" w14:textId="77777777" w:rsidR="0092595F" w:rsidRPr="00735EAE" w:rsidRDefault="0092595F" w:rsidP="003E5F98">
            <w:pPr>
              <w:spacing w:after="40"/>
              <w:jc w:val="both"/>
              <w:rPr>
                <w:rFonts w:asciiTheme="majorBidi" w:hAnsiTheme="majorBidi" w:cstheme="majorBidi"/>
                <w:color w:val="000000" w:themeColor="text1"/>
                <w:sz w:val="22"/>
              </w:rPr>
            </w:pPr>
          </w:p>
        </w:tc>
        <w:tc>
          <w:tcPr>
            <w:tcW w:w="1242" w:type="dxa"/>
            <w:tcBorders>
              <w:top w:val="nil"/>
              <w:left w:val="nil"/>
              <w:bottom w:val="nil"/>
              <w:right w:val="nil"/>
            </w:tcBorders>
            <w:shd w:val="clear" w:color="000000" w:fill="FFFFFF"/>
          </w:tcPr>
          <w:p w14:paraId="6A7640F2"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0.122</w:t>
            </w:r>
          </w:p>
        </w:tc>
        <w:tc>
          <w:tcPr>
            <w:tcW w:w="1350" w:type="dxa"/>
            <w:tcBorders>
              <w:top w:val="nil"/>
              <w:left w:val="nil"/>
              <w:bottom w:val="nil"/>
              <w:right w:val="nil"/>
            </w:tcBorders>
            <w:shd w:val="clear" w:color="000000" w:fill="FFFFFF"/>
            <w:noWrap/>
          </w:tcPr>
          <w:p w14:paraId="55A68683" w14:textId="77777777" w:rsidR="0092595F" w:rsidRPr="00735EAE" w:rsidRDefault="0092595F" w:rsidP="003E5F98">
            <w:pPr>
              <w:spacing w:after="40"/>
              <w:jc w:val="both"/>
              <w:rPr>
                <w:rFonts w:asciiTheme="majorBidi" w:hAnsiTheme="majorBidi" w:cstheme="majorBidi"/>
                <w:color w:val="000000" w:themeColor="text1"/>
                <w:sz w:val="22"/>
              </w:rPr>
            </w:pPr>
          </w:p>
        </w:tc>
      </w:tr>
      <w:tr w:rsidR="0092595F" w:rsidRPr="004B36B2" w14:paraId="085610ED" w14:textId="77777777" w:rsidTr="0092595F">
        <w:trPr>
          <w:trHeight w:val="206"/>
        </w:trPr>
        <w:tc>
          <w:tcPr>
            <w:tcW w:w="3966" w:type="dxa"/>
            <w:tcBorders>
              <w:top w:val="nil"/>
              <w:left w:val="nil"/>
              <w:bottom w:val="nil"/>
              <w:right w:val="nil"/>
            </w:tcBorders>
            <w:shd w:val="clear" w:color="000000" w:fill="FFFFFF"/>
            <w:noWrap/>
          </w:tcPr>
          <w:p w14:paraId="764BAAED"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Walt test (Chi-squared)</w:t>
            </w:r>
          </w:p>
        </w:tc>
        <w:tc>
          <w:tcPr>
            <w:tcW w:w="991" w:type="dxa"/>
            <w:tcBorders>
              <w:top w:val="nil"/>
              <w:left w:val="nil"/>
              <w:bottom w:val="nil"/>
              <w:right w:val="nil"/>
            </w:tcBorders>
            <w:shd w:val="clear" w:color="000000" w:fill="FFFFFF"/>
            <w:noWrap/>
          </w:tcPr>
          <w:p w14:paraId="4FE946C0" w14:textId="77777777" w:rsidR="0092595F" w:rsidRPr="00735EAE" w:rsidRDefault="0092595F" w:rsidP="003E5F98">
            <w:pPr>
              <w:spacing w:after="40"/>
              <w:jc w:val="both"/>
              <w:rPr>
                <w:rFonts w:asciiTheme="majorBidi" w:hAnsiTheme="majorBidi" w:cstheme="majorBidi"/>
                <w:color w:val="000000" w:themeColor="text1"/>
                <w:sz w:val="22"/>
              </w:rPr>
            </w:pPr>
          </w:p>
        </w:tc>
        <w:tc>
          <w:tcPr>
            <w:tcW w:w="1262" w:type="dxa"/>
            <w:gridSpan w:val="2"/>
            <w:tcBorders>
              <w:top w:val="nil"/>
              <w:left w:val="nil"/>
              <w:bottom w:val="nil"/>
              <w:right w:val="nil"/>
            </w:tcBorders>
            <w:shd w:val="clear" w:color="000000" w:fill="FFFFFF"/>
            <w:noWrap/>
          </w:tcPr>
          <w:p w14:paraId="434C08F2"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482.91</w:t>
            </w:r>
          </w:p>
        </w:tc>
        <w:tc>
          <w:tcPr>
            <w:tcW w:w="1081" w:type="dxa"/>
            <w:tcBorders>
              <w:top w:val="nil"/>
              <w:left w:val="nil"/>
              <w:bottom w:val="nil"/>
              <w:right w:val="nil"/>
            </w:tcBorders>
            <w:shd w:val="clear" w:color="000000" w:fill="FFFFFF"/>
          </w:tcPr>
          <w:p w14:paraId="56FFF38B" w14:textId="77777777" w:rsidR="0092595F" w:rsidRPr="00735EAE" w:rsidRDefault="0092595F" w:rsidP="003E5F98">
            <w:pPr>
              <w:spacing w:after="40"/>
              <w:jc w:val="both"/>
              <w:rPr>
                <w:rFonts w:asciiTheme="majorBidi" w:hAnsiTheme="majorBidi" w:cstheme="majorBidi"/>
                <w:color w:val="000000" w:themeColor="text1"/>
                <w:sz w:val="22"/>
              </w:rPr>
            </w:pPr>
          </w:p>
        </w:tc>
        <w:tc>
          <w:tcPr>
            <w:tcW w:w="1340" w:type="dxa"/>
            <w:tcBorders>
              <w:top w:val="nil"/>
              <w:left w:val="nil"/>
              <w:bottom w:val="nil"/>
              <w:right w:val="nil"/>
            </w:tcBorders>
            <w:shd w:val="clear" w:color="000000" w:fill="FFFFFF"/>
            <w:noWrap/>
          </w:tcPr>
          <w:p w14:paraId="342F0E36"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2654.05</w:t>
            </w:r>
          </w:p>
        </w:tc>
        <w:tc>
          <w:tcPr>
            <w:tcW w:w="915" w:type="dxa"/>
            <w:gridSpan w:val="2"/>
            <w:tcBorders>
              <w:top w:val="nil"/>
              <w:left w:val="nil"/>
              <w:bottom w:val="nil"/>
              <w:right w:val="nil"/>
            </w:tcBorders>
            <w:shd w:val="clear" w:color="000000" w:fill="FFFFFF"/>
            <w:noWrap/>
          </w:tcPr>
          <w:p w14:paraId="0C410AFB" w14:textId="77777777" w:rsidR="0092595F" w:rsidRPr="00735EAE" w:rsidRDefault="0092595F" w:rsidP="003E5F98">
            <w:pPr>
              <w:spacing w:after="40"/>
              <w:jc w:val="both"/>
              <w:rPr>
                <w:rFonts w:asciiTheme="majorBidi" w:hAnsiTheme="majorBidi" w:cstheme="majorBidi"/>
                <w:color w:val="000000" w:themeColor="text1"/>
                <w:sz w:val="22"/>
              </w:rPr>
            </w:pPr>
          </w:p>
        </w:tc>
        <w:tc>
          <w:tcPr>
            <w:tcW w:w="1171" w:type="dxa"/>
            <w:tcBorders>
              <w:top w:val="nil"/>
              <w:left w:val="nil"/>
              <w:bottom w:val="nil"/>
              <w:right w:val="nil"/>
            </w:tcBorders>
            <w:shd w:val="clear" w:color="000000" w:fill="FFFFFF"/>
            <w:noWrap/>
          </w:tcPr>
          <w:p w14:paraId="364EFF19" w14:textId="77777777" w:rsidR="0092595F" w:rsidRPr="00735EAE" w:rsidRDefault="0092595F" w:rsidP="003E5F98">
            <w:pPr>
              <w:spacing w:after="40"/>
              <w:jc w:val="both"/>
              <w:rPr>
                <w:rFonts w:asciiTheme="majorBidi" w:hAnsiTheme="majorBidi" w:cstheme="majorBidi"/>
                <w:color w:val="000000" w:themeColor="text1"/>
                <w:sz w:val="22"/>
              </w:rPr>
            </w:pPr>
          </w:p>
        </w:tc>
        <w:tc>
          <w:tcPr>
            <w:tcW w:w="1262" w:type="dxa"/>
            <w:tcBorders>
              <w:top w:val="nil"/>
              <w:left w:val="nil"/>
              <w:bottom w:val="nil"/>
              <w:right w:val="nil"/>
            </w:tcBorders>
            <w:shd w:val="clear" w:color="000000" w:fill="FFFFFF"/>
            <w:noWrap/>
          </w:tcPr>
          <w:p w14:paraId="0F9D399A"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265.86</w:t>
            </w:r>
          </w:p>
        </w:tc>
        <w:tc>
          <w:tcPr>
            <w:tcW w:w="1242" w:type="dxa"/>
            <w:tcBorders>
              <w:top w:val="nil"/>
              <w:left w:val="nil"/>
              <w:bottom w:val="nil"/>
              <w:right w:val="nil"/>
            </w:tcBorders>
            <w:shd w:val="clear" w:color="000000" w:fill="FFFFFF"/>
          </w:tcPr>
          <w:p w14:paraId="1DB7826B" w14:textId="77777777" w:rsidR="0092595F" w:rsidRPr="00735EAE" w:rsidRDefault="0092595F" w:rsidP="003E5F98">
            <w:pPr>
              <w:spacing w:after="40"/>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tcPr>
          <w:p w14:paraId="24130290"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91.58</w:t>
            </w:r>
          </w:p>
        </w:tc>
      </w:tr>
      <w:tr w:rsidR="0092595F" w:rsidRPr="004B36B2" w14:paraId="5010FFEE" w14:textId="77777777" w:rsidTr="0092595F">
        <w:trPr>
          <w:trHeight w:val="206"/>
        </w:trPr>
        <w:tc>
          <w:tcPr>
            <w:tcW w:w="3966" w:type="dxa"/>
            <w:tcBorders>
              <w:top w:val="nil"/>
              <w:left w:val="nil"/>
              <w:bottom w:val="nil"/>
              <w:right w:val="nil"/>
            </w:tcBorders>
            <w:shd w:val="clear" w:color="000000" w:fill="FFFFFF"/>
            <w:noWrap/>
          </w:tcPr>
          <w:p w14:paraId="68D419EE"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Control Variables</w:t>
            </w:r>
          </w:p>
        </w:tc>
        <w:tc>
          <w:tcPr>
            <w:tcW w:w="991" w:type="dxa"/>
            <w:tcBorders>
              <w:top w:val="nil"/>
              <w:left w:val="nil"/>
              <w:bottom w:val="nil"/>
              <w:right w:val="nil"/>
            </w:tcBorders>
            <w:shd w:val="clear" w:color="000000" w:fill="FFFFFF"/>
            <w:noWrap/>
          </w:tcPr>
          <w:p w14:paraId="2BF3A464"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62" w:type="dxa"/>
            <w:gridSpan w:val="2"/>
            <w:tcBorders>
              <w:top w:val="nil"/>
              <w:left w:val="nil"/>
              <w:bottom w:val="nil"/>
              <w:right w:val="nil"/>
            </w:tcBorders>
            <w:shd w:val="clear" w:color="000000" w:fill="FFFFFF"/>
            <w:noWrap/>
          </w:tcPr>
          <w:p w14:paraId="3CF65D81"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081" w:type="dxa"/>
            <w:tcBorders>
              <w:top w:val="nil"/>
              <w:left w:val="nil"/>
              <w:bottom w:val="nil"/>
              <w:right w:val="nil"/>
            </w:tcBorders>
            <w:shd w:val="clear" w:color="000000" w:fill="FFFFFF"/>
          </w:tcPr>
          <w:p w14:paraId="526DFB26" w14:textId="77777777" w:rsidR="0092595F" w:rsidRPr="00735EAE" w:rsidRDefault="0092595F" w:rsidP="003E5F98">
            <w:pPr>
              <w:spacing w:after="40"/>
              <w:jc w:val="both"/>
              <w:rPr>
                <w:rFonts w:asciiTheme="majorBidi" w:hAnsiTheme="majorBidi" w:cstheme="majorBidi"/>
                <w:color w:val="000000" w:themeColor="text1"/>
                <w:sz w:val="22"/>
              </w:rPr>
            </w:pPr>
          </w:p>
        </w:tc>
        <w:tc>
          <w:tcPr>
            <w:tcW w:w="2255" w:type="dxa"/>
            <w:gridSpan w:val="3"/>
            <w:tcBorders>
              <w:top w:val="nil"/>
              <w:left w:val="nil"/>
              <w:bottom w:val="nil"/>
              <w:right w:val="nil"/>
            </w:tcBorders>
            <w:shd w:val="clear" w:color="000000" w:fill="FFFFFF"/>
            <w:noWrap/>
          </w:tcPr>
          <w:p w14:paraId="6048C01D"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171" w:type="dxa"/>
            <w:tcBorders>
              <w:top w:val="nil"/>
              <w:left w:val="nil"/>
              <w:bottom w:val="nil"/>
              <w:right w:val="nil"/>
            </w:tcBorders>
            <w:shd w:val="clear" w:color="000000" w:fill="FFFFFF"/>
            <w:noWrap/>
          </w:tcPr>
          <w:p w14:paraId="61FEF42C"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62" w:type="dxa"/>
            <w:tcBorders>
              <w:top w:val="nil"/>
              <w:left w:val="nil"/>
              <w:bottom w:val="nil"/>
              <w:right w:val="nil"/>
            </w:tcBorders>
            <w:shd w:val="clear" w:color="000000" w:fill="FFFFFF"/>
            <w:noWrap/>
          </w:tcPr>
          <w:p w14:paraId="0CEA1B72"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42" w:type="dxa"/>
            <w:tcBorders>
              <w:top w:val="nil"/>
              <w:left w:val="nil"/>
              <w:bottom w:val="nil"/>
              <w:right w:val="nil"/>
            </w:tcBorders>
            <w:shd w:val="clear" w:color="000000" w:fill="FFFFFF"/>
          </w:tcPr>
          <w:p w14:paraId="0C2BA7A1" w14:textId="77777777" w:rsidR="0092595F" w:rsidRPr="00735EAE" w:rsidRDefault="0092595F" w:rsidP="003E5F98">
            <w:pPr>
              <w:spacing w:after="40"/>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tcPr>
          <w:p w14:paraId="01CA7C58"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r>
      <w:tr w:rsidR="0092595F" w:rsidRPr="004B36B2" w14:paraId="581C879E" w14:textId="77777777" w:rsidTr="0092595F">
        <w:trPr>
          <w:trHeight w:val="206"/>
        </w:trPr>
        <w:tc>
          <w:tcPr>
            <w:tcW w:w="3966" w:type="dxa"/>
            <w:tcBorders>
              <w:top w:val="nil"/>
              <w:left w:val="nil"/>
              <w:bottom w:val="nil"/>
              <w:right w:val="nil"/>
            </w:tcBorders>
            <w:shd w:val="clear" w:color="000000" w:fill="FFFFFF"/>
            <w:noWrap/>
          </w:tcPr>
          <w:p w14:paraId="37371DA3"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Time and Village Fixed Effects</w:t>
            </w:r>
          </w:p>
        </w:tc>
        <w:tc>
          <w:tcPr>
            <w:tcW w:w="991" w:type="dxa"/>
            <w:tcBorders>
              <w:top w:val="nil"/>
              <w:left w:val="nil"/>
              <w:bottom w:val="nil"/>
              <w:right w:val="nil"/>
            </w:tcBorders>
            <w:shd w:val="clear" w:color="000000" w:fill="FFFFFF"/>
            <w:noWrap/>
          </w:tcPr>
          <w:p w14:paraId="5878CE54"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62" w:type="dxa"/>
            <w:gridSpan w:val="2"/>
            <w:tcBorders>
              <w:top w:val="nil"/>
              <w:left w:val="nil"/>
              <w:bottom w:val="nil"/>
              <w:right w:val="nil"/>
            </w:tcBorders>
            <w:shd w:val="clear" w:color="000000" w:fill="FFFFFF"/>
            <w:noWrap/>
          </w:tcPr>
          <w:p w14:paraId="2D905DBC"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081" w:type="dxa"/>
            <w:tcBorders>
              <w:top w:val="nil"/>
              <w:left w:val="nil"/>
              <w:bottom w:val="nil"/>
              <w:right w:val="nil"/>
            </w:tcBorders>
            <w:shd w:val="clear" w:color="000000" w:fill="FFFFFF"/>
          </w:tcPr>
          <w:p w14:paraId="1668BA62" w14:textId="77777777" w:rsidR="0092595F" w:rsidRPr="00735EAE" w:rsidRDefault="0092595F" w:rsidP="003E5F98">
            <w:pPr>
              <w:spacing w:after="40"/>
              <w:jc w:val="both"/>
              <w:rPr>
                <w:rFonts w:asciiTheme="majorBidi" w:hAnsiTheme="majorBidi" w:cstheme="majorBidi"/>
                <w:color w:val="000000" w:themeColor="text1"/>
                <w:sz w:val="22"/>
              </w:rPr>
            </w:pPr>
          </w:p>
        </w:tc>
        <w:tc>
          <w:tcPr>
            <w:tcW w:w="2255" w:type="dxa"/>
            <w:gridSpan w:val="3"/>
            <w:tcBorders>
              <w:top w:val="nil"/>
              <w:left w:val="nil"/>
              <w:bottom w:val="nil"/>
              <w:right w:val="nil"/>
            </w:tcBorders>
            <w:shd w:val="clear" w:color="000000" w:fill="FFFFFF"/>
            <w:noWrap/>
          </w:tcPr>
          <w:p w14:paraId="4AC30736"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171" w:type="dxa"/>
            <w:tcBorders>
              <w:top w:val="nil"/>
              <w:left w:val="nil"/>
              <w:bottom w:val="nil"/>
              <w:right w:val="nil"/>
            </w:tcBorders>
            <w:shd w:val="clear" w:color="000000" w:fill="FFFFFF"/>
            <w:noWrap/>
          </w:tcPr>
          <w:p w14:paraId="36F872A4"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62" w:type="dxa"/>
            <w:tcBorders>
              <w:top w:val="nil"/>
              <w:left w:val="nil"/>
              <w:bottom w:val="nil"/>
              <w:right w:val="nil"/>
            </w:tcBorders>
            <w:shd w:val="clear" w:color="000000" w:fill="FFFFFF"/>
            <w:noWrap/>
          </w:tcPr>
          <w:p w14:paraId="7452D71D"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42" w:type="dxa"/>
            <w:tcBorders>
              <w:top w:val="nil"/>
              <w:left w:val="nil"/>
              <w:bottom w:val="nil"/>
              <w:right w:val="nil"/>
            </w:tcBorders>
            <w:shd w:val="clear" w:color="000000" w:fill="FFFFFF"/>
          </w:tcPr>
          <w:p w14:paraId="29137610" w14:textId="77777777" w:rsidR="0092595F" w:rsidRPr="00735EAE" w:rsidRDefault="0092595F" w:rsidP="003E5F98">
            <w:pPr>
              <w:spacing w:after="40"/>
              <w:jc w:val="both"/>
              <w:rPr>
                <w:rFonts w:asciiTheme="majorBidi" w:hAnsiTheme="majorBidi" w:cstheme="majorBidi"/>
                <w:color w:val="000000" w:themeColor="text1"/>
                <w:sz w:val="22"/>
              </w:rPr>
            </w:pPr>
          </w:p>
        </w:tc>
        <w:tc>
          <w:tcPr>
            <w:tcW w:w="1350" w:type="dxa"/>
            <w:tcBorders>
              <w:top w:val="nil"/>
              <w:left w:val="nil"/>
              <w:bottom w:val="nil"/>
              <w:right w:val="nil"/>
            </w:tcBorders>
            <w:shd w:val="clear" w:color="000000" w:fill="FFFFFF"/>
            <w:noWrap/>
          </w:tcPr>
          <w:p w14:paraId="6AA50778"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r>
      <w:tr w:rsidR="0092595F" w:rsidRPr="004B36B2" w14:paraId="108BF154" w14:textId="77777777" w:rsidTr="0092595F">
        <w:trPr>
          <w:trHeight w:val="128"/>
        </w:trPr>
        <w:tc>
          <w:tcPr>
            <w:tcW w:w="3966" w:type="dxa"/>
            <w:tcBorders>
              <w:top w:val="nil"/>
              <w:left w:val="nil"/>
              <w:bottom w:val="single" w:sz="4" w:space="0" w:color="auto"/>
              <w:right w:val="nil"/>
            </w:tcBorders>
            <w:shd w:val="clear" w:color="000000" w:fill="FFFFFF"/>
            <w:noWrap/>
            <w:vAlign w:val="bottom"/>
            <w:hideMark/>
          </w:tcPr>
          <w:p w14:paraId="598BB05B"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Observation</w:t>
            </w:r>
          </w:p>
        </w:tc>
        <w:tc>
          <w:tcPr>
            <w:tcW w:w="991" w:type="dxa"/>
            <w:tcBorders>
              <w:top w:val="nil"/>
              <w:left w:val="nil"/>
              <w:bottom w:val="single" w:sz="4" w:space="0" w:color="auto"/>
              <w:right w:val="nil"/>
            </w:tcBorders>
            <w:shd w:val="clear" w:color="000000" w:fill="FFFFFF"/>
            <w:noWrap/>
            <w:vAlign w:val="bottom"/>
            <w:hideMark/>
          </w:tcPr>
          <w:p w14:paraId="5EF98BD7"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1262" w:type="dxa"/>
            <w:gridSpan w:val="2"/>
            <w:tcBorders>
              <w:top w:val="nil"/>
              <w:left w:val="nil"/>
              <w:bottom w:val="single" w:sz="4" w:space="0" w:color="auto"/>
              <w:right w:val="nil"/>
            </w:tcBorders>
            <w:shd w:val="clear" w:color="000000" w:fill="FFFFFF"/>
            <w:noWrap/>
            <w:vAlign w:val="bottom"/>
            <w:hideMark/>
          </w:tcPr>
          <w:p w14:paraId="2676AFD1"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1081" w:type="dxa"/>
            <w:tcBorders>
              <w:top w:val="nil"/>
              <w:left w:val="nil"/>
              <w:bottom w:val="single" w:sz="4" w:space="0" w:color="auto"/>
              <w:right w:val="nil"/>
            </w:tcBorders>
            <w:shd w:val="clear" w:color="000000" w:fill="FFFFFF"/>
          </w:tcPr>
          <w:p w14:paraId="3243B04E" w14:textId="77777777" w:rsidR="0092595F" w:rsidRPr="00735EAE" w:rsidRDefault="0092595F" w:rsidP="003E5F98">
            <w:pPr>
              <w:spacing w:after="40"/>
              <w:jc w:val="both"/>
              <w:rPr>
                <w:rFonts w:asciiTheme="majorBidi" w:hAnsiTheme="majorBidi" w:cstheme="majorBidi"/>
                <w:color w:val="000000" w:themeColor="text1"/>
                <w:sz w:val="22"/>
              </w:rPr>
            </w:pPr>
          </w:p>
        </w:tc>
        <w:tc>
          <w:tcPr>
            <w:tcW w:w="1340" w:type="dxa"/>
            <w:tcBorders>
              <w:top w:val="nil"/>
              <w:left w:val="nil"/>
              <w:bottom w:val="single" w:sz="4" w:space="0" w:color="auto"/>
              <w:right w:val="nil"/>
            </w:tcBorders>
            <w:shd w:val="clear" w:color="000000" w:fill="FFFFFF"/>
            <w:noWrap/>
            <w:vAlign w:val="bottom"/>
            <w:hideMark/>
          </w:tcPr>
          <w:p w14:paraId="69CF6FD5"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915" w:type="dxa"/>
            <w:gridSpan w:val="2"/>
            <w:tcBorders>
              <w:top w:val="nil"/>
              <w:left w:val="nil"/>
              <w:bottom w:val="single" w:sz="4" w:space="0" w:color="auto"/>
              <w:right w:val="nil"/>
            </w:tcBorders>
            <w:shd w:val="clear" w:color="000000" w:fill="FFFFFF"/>
            <w:noWrap/>
            <w:vAlign w:val="bottom"/>
            <w:hideMark/>
          </w:tcPr>
          <w:p w14:paraId="560233DE"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71" w:type="dxa"/>
            <w:tcBorders>
              <w:top w:val="nil"/>
              <w:left w:val="nil"/>
              <w:bottom w:val="single" w:sz="4" w:space="0" w:color="auto"/>
              <w:right w:val="nil"/>
            </w:tcBorders>
            <w:shd w:val="clear" w:color="000000" w:fill="FFFFFF"/>
            <w:noWrap/>
            <w:vAlign w:val="bottom"/>
            <w:hideMark/>
          </w:tcPr>
          <w:p w14:paraId="2D8C9E4C"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1262" w:type="dxa"/>
            <w:tcBorders>
              <w:top w:val="nil"/>
              <w:left w:val="nil"/>
              <w:bottom w:val="single" w:sz="4" w:space="0" w:color="auto"/>
              <w:right w:val="nil"/>
            </w:tcBorders>
            <w:shd w:val="clear" w:color="000000" w:fill="FFFFFF"/>
            <w:noWrap/>
            <w:vAlign w:val="bottom"/>
            <w:hideMark/>
          </w:tcPr>
          <w:p w14:paraId="06A18A80"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1242" w:type="dxa"/>
            <w:tcBorders>
              <w:top w:val="nil"/>
              <w:left w:val="nil"/>
              <w:bottom w:val="single" w:sz="4" w:space="0" w:color="auto"/>
              <w:right w:val="nil"/>
            </w:tcBorders>
            <w:shd w:val="clear" w:color="000000" w:fill="FFFFFF"/>
          </w:tcPr>
          <w:p w14:paraId="7E4B0F83" w14:textId="77777777" w:rsidR="0092595F" w:rsidRPr="00735EAE" w:rsidRDefault="0092595F" w:rsidP="003E5F98">
            <w:pPr>
              <w:spacing w:after="40"/>
              <w:jc w:val="both"/>
              <w:rPr>
                <w:rFonts w:asciiTheme="majorBidi" w:hAnsiTheme="majorBidi" w:cstheme="majorBidi"/>
                <w:color w:val="000000" w:themeColor="text1"/>
                <w:sz w:val="22"/>
              </w:rPr>
            </w:pPr>
          </w:p>
        </w:tc>
        <w:tc>
          <w:tcPr>
            <w:tcW w:w="1350" w:type="dxa"/>
            <w:tcBorders>
              <w:top w:val="nil"/>
              <w:left w:val="nil"/>
              <w:bottom w:val="single" w:sz="4" w:space="0" w:color="auto"/>
              <w:right w:val="nil"/>
            </w:tcBorders>
            <w:shd w:val="clear" w:color="000000" w:fill="FFFFFF"/>
            <w:noWrap/>
            <w:vAlign w:val="bottom"/>
            <w:hideMark/>
          </w:tcPr>
          <w:p w14:paraId="209F0B94" w14:textId="77777777" w:rsidR="0092595F" w:rsidRPr="00735EAE" w:rsidRDefault="0092595F" w:rsidP="003E5F98">
            <w:pPr>
              <w:spacing w:after="4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r>
      <w:tr w:rsidR="0092595F" w:rsidRPr="004B36B2" w14:paraId="1B2A7B0B" w14:textId="77777777" w:rsidTr="0092595F">
        <w:trPr>
          <w:trHeight w:val="32"/>
        </w:trPr>
        <w:tc>
          <w:tcPr>
            <w:tcW w:w="14580" w:type="dxa"/>
            <w:gridSpan w:val="12"/>
            <w:tcBorders>
              <w:top w:val="single" w:sz="4" w:space="0" w:color="auto"/>
              <w:left w:val="nil"/>
              <w:bottom w:val="nil"/>
              <w:right w:val="nil"/>
            </w:tcBorders>
            <w:shd w:val="clear" w:color="000000" w:fill="FFFFFF"/>
          </w:tcPr>
          <w:p w14:paraId="14ABBD72" w14:textId="77777777" w:rsidR="00510A97" w:rsidRPr="00510A97" w:rsidRDefault="00510A97" w:rsidP="00393BC7">
            <w:pPr>
              <w:jc w:val="both"/>
              <w:rPr>
                <w:rFonts w:asciiTheme="majorBidi" w:eastAsia="Times New Roman" w:hAnsiTheme="majorBidi" w:cstheme="majorBidi"/>
                <w:i/>
                <w:iCs/>
                <w:color w:val="000000" w:themeColor="text1"/>
                <w:sz w:val="6"/>
                <w:szCs w:val="6"/>
              </w:rPr>
            </w:pPr>
          </w:p>
          <w:p w14:paraId="63B5DEB5" w14:textId="5135B69E" w:rsidR="0092595F" w:rsidRDefault="00AE1CFE" w:rsidP="00393BC7">
            <w:pPr>
              <w:jc w:val="both"/>
              <w:rPr>
                <w:rFonts w:asciiTheme="majorBidi" w:hAnsiTheme="majorBidi" w:cstheme="majorBidi"/>
                <w:color w:val="000000" w:themeColor="text1"/>
                <w:sz w:val="18"/>
                <w:szCs w:val="18"/>
              </w:rPr>
            </w:pPr>
            <w:r>
              <w:rPr>
                <w:rFonts w:asciiTheme="majorBidi" w:eastAsia="Times New Roman" w:hAnsiTheme="majorBidi" w:cstheme="majorBidi"/>
                <w:i/>
                <w:iCs/>
                <w:color w:val="000000" w:themeColor="text1"/>
                <w:sz w:val="18"/>
                <w:szCs w:val="18"/>
              </w:rPr>
              <w:t>Notes</w:t>
            </w:r>
            <w:r w:rsidR="00393BC7">
              <w:rPr>
                <w:rFonts w:asciiTheme="majorBidi" w:eastAsia="Times New Roman" w:hAnsiTheme="majorBidi" w:cstheme="majorBidi"/>
                <w:i/>
                <w:iCs/>
                <w:color w:val="000000" w:themeColor="text1"/>
                <w:sz w:val="18"/>
                <w:szCs w:val="18"/>
              </w:rPr>
              <w:t xml:space="preserve">: </w:t>
            </w:r>
            <w:r w:rsidR="0092595F" w:rsidRPr="004B36B2">
              <w:rPr>
                <w:rFonts w:asciiTheme="majorBidi" w:eastAsia="Times New Roman" w:hAnsiTheme="majorBidi" w:cstheme="majorBidi"/>
                <w:color w:val="000000" w:themeColor="text1"/>
                <w:sz w:val="18"/>
                <w:szCs w:val="18"/>
              </w:rPr>
              <w:t xml:space="preserve">This table shows the second-stage results for </w:t>
            </w:r>
            <w:r>
              <w:rPr>
                <w:rFonts w:asciiTheme="majorBidi" w:eastAsia="Times New Roman" w:hAnsiTheme="majorBidi" w:cstheme="majorBidi"/>
                <w:color w:val="000000" w:themeColor="text1"/>
                <w:sz w:val="18"/>
                <w:szCs w:val="18"/>
              </w:rPr>
              <w:t>c</w:t>
            </w:r>
            <w:r w:rsidR="0092595F" w:rsidRPr="004B36B2">
              <w:rPr>
                <w:rFonts w:asciiTheme="majorBidi" w:eastAsia="Times New Roman" w:hAnsiTheme="majorBidi" w:cstheme="majorBidi"/>
                <w:color w:val="000000" w:themeColor="text1"/>
                <w:sz w:val="18"/>
                <w:szCs w:val="18"/>
              </w:rPr>
              <w:t xml:space="preserve">hild labour force participation for children aged 8-10 and 11-16 at extensive and intensve margin. </w:t>
            </w:r>
            <w:r>
              <w:rPr>
                <w:rFonts w:asciiTheme="majorBidi" w:eastAsia="Times New Roman" w:hAnsiTheme="majorBidi" w:cstheme="majorBidi"/>
                <w:color w:val="000000" w:themeColor="text1"/>
                <w:sz w:val="18"/>
                <w:szCs w:val="18"/>
              </w:rPr>
              <w:t>The t</w:t>
            </w:r>
            <w:r w:rsidR="0092595F" w:rsidRPr="004B36B2">
              <w:rPr>
                <w:rFonts w:asciiTheme="majorBidi" w:eastAsia="Times New Roman" w:hAnsiTheme="majorBidi" w:cstheme="majorBidi"/>
                <w:color w:val="000000" w:themeColor="text1"/>
                <w:sz w:val="18"/>
                <w:szCs w:val="18"/>
              </w:rPr>
              <w:t>able has two different panel (A and B) for two different age group of children. Table presents both migration and remittance models. The OLS FE and FE-IV are also presented in the table to show the difference in the coefficients if migration is not instrumented. In FE-IV we have instrumented migration with predicted migration to India and MEOA. The t-statistics in ( ) are derived from cluster-robust standard errors (clustered at 71 Districts)</w:t>
            </w:r>
            <w:r>
              <w:rPr>
                <w:rFonts w:asciiTheme="majorBidi" w:eastAsia="Times New Roman" w:hAnsiTheme="majorBidi" w:cstheme="majorBidi"/>
                <w:color w:val="000000" w:themeColor="text1"/>
                <w:sz w:val="18"/>
                <w:szCs w:val="18"/>
              </w:rPr>
              <w:t>.</w:t>
            </w:r>
            <w:r w:rsidR="00393BC7">
              <w:rPr>
                <w:rFonts w:asciiTheme="majorBidi" w:eastAsia="Times New Roman" w:hAnsiTheme="majorBidi" w:cstheme="majorBidi"/>
                <w:color w:val="000000" w:themeColor="text1"/>
                <w:sz w:val="18"/>
                <w:szCs w:val="18"/>
              </w:rPr>
              <w:t xml:space="preserve"> </w:t>
            </w:r>
            <w:r w:rsidR="0092595F" w:rsidRPr="004B36B2">
              <w:rPr>
                <w:rFonts w:asciiTheme="majorBidi" w:eastAsia="Times New Roman" w:hAnsiTheme="majorBidi" w:cstheme="majorBidi"/>
                <w:color w:val="000000" w:themeColor="text1"/>
                <w:sz w:val="18"/>
                <w:szCs w:val="18"/>
              </w:rPr>
              <w:t>***, **, * denote</w:t>
            </w:r>
            <w:r w:rsidR="0092595F" w:rsidRPr="004B36B2">
              <w:rPr>
                <w:rFonts w:asciiTheme="majorBidi" w:hAnsiTheme="majorBidi" w:cstheme="majorBidi"/>
                <w:color w:val="000000" w:themeColor="text1"/>
                <w:sz w:val="18"/>
                <w:szCs w:val="18"/>
              </w:rPr>
              <w:t xml:space="preserve"> 1%, 5%, 10% statistically significance. </w:t>
            </w:r>
            <w:r w:rsidR="0092595F" w:rsidRPr="004B36B2">
              <w:rPr>
                <w:rFonts w:asciiTheme="majorBidi" w:hAnsiTheme="majorBidi" w:cstheme="majorBidi"/>
                <w:i/>
                <w:color w:val="000000" w:themeColor="text1"/>
                <w:sz w:val="18"/>
                <w:szCs w:val="18"/>
              </w:rPr>
              <w:t>Note:</w:t>
            </w:r>
            <w:r w:rsidR="0092595F" w:rsidRPr="004B36B2">
              <w:rPr>
                <w:rFonts w:asciiTheme="majorBidi" w:hAnsiTheme="majorBidi" w:cstheme="majorBidi"/>
                <w:color w:val="000000" w:themeColor="text1"/>
                <w:sz w:val="18"/>
                <w:szCs w:val="18"/>
              </w:rPr>
              <w:t xml:space="preserve"> Migration and remittance estimates are in percentage. Full results are available from authors</w:t>
            </w:r>
          </w:p>
          <w:p w14:paraId="532DB2A0" w14:textId="77777777" w:rsidR="0092595F" w:rsidRPr="004B36B2" w:rsidRDefault="0092595F" w:rsidP="0092595F">
            <w:pPr>
              <w:jc w:val="both"/>
              <w:rPr>
                <w:rFonts w:asciiTheme="majorBidi" w:hAnsiTheme="majorBidi" w:cstheme="majorBidi"/>
                <w:color w:val="000000" w:themeColor="text1"/>
                <w:sz w:val="18"/>
                <w:szCs w:val="18"/>
              </w:rPr>
            </w:pPr>
            <w:r w:rsidRPr="004B36B2">
              <w:rPr>
                <w:rFonts w:asciiTheme="majorBidi" w:hAnsiTheme="majorBidi" w:cstheme="majorBidi"/>
                <w:color w:val="000000" w:themeColor="text1"/>
                <w:sz w:val="18"/>
                <w:szCs w:val="18"/>
              </w:rPr>
              <w:t>.  </w:t>
            </w:r>
          </w:p>
        </w:tc>
      </w:tr>
    </w:tbl>
    <w:p w14:paraId="39A21D21" w14:textId="77777777" w:rsidR="00EC3110" w:rsidRDefault="00EC3110">
      <w:pPr>
        <w:rPr>
          <w:rFonts w:asciiTheme="majorBidi" w:hAnsiTheme="majorBidi" w:cstheme="majorBidi"/>
          <w:b/>
          <w:bCs/>
          <w:iCs/>
          <w:color w:val="000000" w:themeColor="text1"/>
          <w:szCs w:val="24"/>
        </w:rPr>
        <w:sectPr w:rsidR="00EC3110" w:rsidSect="00EC3110">
          <w:pgSz w:w="16838" w:h="11906" w:orient="landscape"/>
          <w:pgMar w:top="1440" w:right="1440" w:bottom="1440" w:left="1440" w:header="709" w:footer="709" w:gutter="0"/>
          <w:cols w:space="708"/>
          <w:docGrid w:linePitch="360"/>
        </w:sectPr>
      </w:pPr>
    </w:p>
    <w:p w14:paraId="1AEBDC91" w14:textId="4FF79BB5" w:rsidR="00CD016D" w:rsidRPr="00101417" w:rsidRDefault="00CD016D" w:rsidP="00C845C2">
      <w:pPr>
        <w:rPr>
          <w:rFonts w:asciiTheme="majorBidi" w:hAnsiTheme="majorBidi" w:cstheme="majorBidi"/>
          <w:b/>
          <w:bCs/>
          <w:iCs/>
          <w:color w:val="000000" w:themeColor="text1"/>
          <w:szCs w:val="24"/>
        </w:rPr>
      </w:pPr>
      <w:r w:rsidRPr="00101417">
        <w:rPr>
          <w:rFonts w:asciiTheme="majorBidi" w:hAnsiTheme="majorBidi" w:cstheme="majorBidi"/>
          <w:b/>
          <w:bCs/>
          <w:iCs/>
          <w:color w:val="000000" w:themeColor="text1"/>
          <w:szCs w:val="24"/>
        </w:rPr>
        <w:lastRenderedPageBreak/>
        <w:t xml:space="preserve">Effect of </w:t>
      </w:r>
      <w:r>
        <w:rPr>
          <w:rFonts w:asciiTheme="majorBidi" w:hAnsiTheme="majorBidi" w:cstheme="majorBidi"/>
          <w:b/>
          <w:bCs/>
          <w:iCs/>
          <w:color w:val="000000" w:themeColor="text1"/>
          <w:szCs w:val="24"/>
        </w:rPr>
        <w:t>M</w:t>
      </w:r>
      <w:r w:rsidRPr="00101417">
        <w:rPr>
          <w:rFonts w:asciiTheme="majorBidi" w:hAnsiTheme="majorBidi" w:cstheme="majorBidi"/>
          <w:b/>
          <w:bCs/>
          <w:iCs/>
          <w:color w:val="000000" w:themeColor="text1"/>
          <w:szCs w:val="24"/>
        </w:rPr>
        <w:t xml:space="preserve">igration on </w:t>
      </w:r>
      <w:r>
        <w:rPr>
          <w:rFonts w:asciiTheme="majorBidi" w:hAnsiTheme="majorBidi" w:cstheme="majorBidi"/>
          <w:b/>
          <w:bCs/>
          <w:iCs/>
          <w:color w:val="000000" w:themeColor="text1"/>
          <w:szCs w:val="24"/>
        </w:rPr>
        <w:t>S</w:t>
      </w:r>
      <w:r w:rsidRPr="00101417">
        <w:rPr>
          <w:rFonts w:asciiTheme="majorBidi" w:hAnsiTheme="majorBidi" w:cstheme="majorBidi"/>
          <w:b/>
          <w:bCs/>
          <w:iCs/>
          <w:color w:val="000000" w:themeColor="text1"/>
          <w:szCs w:val="24"/>
        </w:rPr>
        <w:t xml:space="preserve">chool </w:t>
      </w:r>
      <w:r>
        <w:rPr>
          <w:rFonts w:asciiTheme="majorBidi" w:hAnsiTheme="majorBidi" w:cstheme="majorBidi"/>
          <w:b/>
          <w:bCs/>
          <w:iCs/>
          <w:color w:val="000000" w:themeColor="text1"/>
          <w:szCs w:val="24"/>
        </w:rPr>
        <w:t>P</w:t>
      </w:r>
      <w:r w:rsidRPr="00101417">
        <w:rPr>
          <w:rFonts w:asciiTheme="majorBidi" w:hAnsiTheme="majorBidi" w:cstheme="majorBidi"/>
          <w:b/>
          <w:bCs/>
          <w:iCs/>
          <w:color w:val="000000" w:themeColor="text1"/>
          <w:szCs w:val="24"/>
        </w:rPr>
        <w:t>erformance</w:t>
      </w:r>
    </w:p>
    <w:p w14:paraId="65797067" w14:textId="77777777" w:rsidR="00CD016D" w:rsidRPr="007E184E" w:rsidRDefault="00CD016D" w:rsidP="00CD016D">
      <w:pPr>
        <w:spacing w:line="288" w:lineRule="auto"/>
        <w:jc w:val="both"/>
        <w:rPr>
          <w:rFonts w:asciiTheme="majorBidi" w:hAnsiTheme="majorBidi" w:cstheme="majorBidi"/>
          <w:color w:val="000000" w:themeColor="text1"/>
          <w:sz w:val="6"/>
          <w:szCs w:val="6"/>
        </w:rPr>
      </w:pPr>
    </w:p>
    <w:p w14:paraId="7949CE79" w14:textId="77777777" w:rsidR="00206B37" w:rsidRPr="00206B37" w:rsidRDefault="00206B37" w:rsidP="00C845C2">
      <w:pPr>
        <w:spacing w:line="288" w:lineRule="auto"/>
        <w:jc w:val="both"/>
        <w:rPr>
          <w:rFonts w:asciiTheme="majorBidi" w:hAnsiTheme="majorBidi" w:cstheme="majorBidi"/>
          <w:color w:val="000000" w:themeColor="text1"/>
          <w:sz w:val="8"/>
          <w:szCs w:val="8"/>
        </w:rPr>
      </w:pPr>
    </w:p>
    <w:p w14:paraId="3F37AED8" w14:textId="58CE3165" w:rsidR="00865E04" w:rsidRDefault="00CD016D" w:rsidP="00C845C2">
      <w:pPr>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 effect of migration on child schooling depends, in part, on how the remittances that migration enables help households to overcome liquidity constraints. To the extent that extra income from remittances reduces the need for child labour, and provides more funds for schooling related expenses, it can be expected to improve indicators of school performance, such as the net enrolment rate. There will also be other changes due to migration, to the extent that migration opportunities change the decision-making of parents and children about the optimal investment in their human capital.</w:t>
      </w:r>
    </w:p>
    <w:p w14:paraId="09E46B0F" w14:textId="77777777" w:rsidR="00CD016D" w:rsidRDefault="00CD016D" w:rsidP="007E184E">
      <w:pPr>
        <w:spacing w:line="288" w:lineRule="auto"/>
        <w:ind w:firstLine="720"/>
        <w:jc w:val="both"/>
        <w:rPr>
          <w:rFonts w:asciiTheme="majorBidi" w:hAnsiTheme="majorBidi" w:cstheme="majorBidi"/>
          <w:color w:val="000000" w:themeColor="text1"/>
          <w:szCs w:val="24"/>
        </w:rPr>
      </w:pPr>
    </w:p>
    <w:p w14:paraId="48693E2B" w14:textId="1D20AEF3" w:rsidR="00114D7B" w:rsidRDefault="00114D7B" w:rsidP="007E184E">
      <w:pPr>
        <w:spacing w:line="288" w:lineRule="auto"/>
        <w:ind w:firstLine="720"/>
        <w:jc w:val="both"/>
        <w:rPr>
          <w:rFonts w:asciiTheme="majorBidi" w:eastAsia="Times New Roman" w:hAnsiTheme="majorBidi" w:cstheme="majorBidi"/>
          <w:color w:val="000000" w:themeColor="text1"/>
          <w:szCs w:val="24"/>
        </w:rPr>
      </w:pPr>
      <w:r w:rsidRPr="004B36B2">
        <w:rPr>
          <w:rFonts w:asciiTheme="majorBidi" w:hAnsiTheme="majorBidi" w:cstheme="majorBidi"/>
          <w:color w:val="000000" w:themeColor="text1"/>
          <w:szCs w:val="24"/>
        </w:rPr>
        <w:t>The results in Table 3 shows that both migration and remittances have positive and significant effects on the net enrolment rate in secondary education for children aged from 13 to 16. Specifically, a rise in the migration rate by one person per thousand of population would raise the mean net enrolment rate at secondary school by 0.20% (</w:t>
      </w:r>
      <w:r w:rsidRPr="004B36B2">
        <w:rPr>
          <w:rFonts w:asciiTheme="majorBidi" w:hAnsiTheme="majorBidi" w:cstheme="majorBidi"/>
          <w:i/>
          <w:iCs/>
          <w:color w:val="000000" w:themeColor="text1"/>
          <w:szCs w:val="24"/>
        </w:rPr>
        <w:t>p</w:t>
      </w:r>
      <w:r w:rsidRPr="004B36B2">
        <w:rPr>
          <w:rFonts w:asciiTheme="majorBidi" w:hAnsiTheme="majorBidi" w:cstheme="majorBidi"/>
          <w:color w:val="000000" w:themeColor="text1"/>
          <w:szCs w:val="24"/>
        </w:rPr>
        <w:t xml:space="preserve"> &lt; 0.01). </w:t>
      </w:r>
      <w:r w:rsidRPr="004B36B2">
        <w:rPr>
          <w:rFonts w:asciiTheme="majorBidi" w:eastAsia="Times New Roman" w:hAnsiTheme="majorBidi" w:cstheme="majorBidi"/>
          <w:color w:val="000000" w:themeColor="text1"/>
          <w:szCs w:val="24"/>
        </w:rPr>
        <w:t>Similarly, the remittance model shows an impact on secondary school mean net enrolment of around 0.36% (</w:t>
      </w:r>
      <w:r w:rsidRPr="004B36B2">
        <w:rPr>
          <w:rFonts w:asciiTheme="majorBidi" w:hAnsiTheme="majorBidi" w:cstheme="majorBidi"/>
          <w:i/>
          <w:iCs/>
          <w:color w:val="000000" w:themeColor="text1"/>
          <w:szCs w:val="24"/>
        </w:rPr>
        <w:t>p</w:t>
      </w:r>
      <w:r w:rsidRPr="004B36B2">
        <w:rPr>
          <w:rFonts w:asciiTheme="majorBidi" w:hAnsiTheme="majorBidi" w:cstheme="majorBidi"/>
          <w:color w:val="000000" w:themeColor="text1"/>
          <w:szCs w:val="24"/>
        </w:rPr>
        <w:t xml:space="preserve"> &lt; 0.01</w:t>
      </w:r>
      <w:r w:rsidRPr="004B36B2">
        <w:rPr>
          <w:rFonts w:asciiTheme="majorBidi" w:eastAsia="Times New Roman" w:hAnsiTheme="majorBidi" w:cstheme="majorBidi"/>
          <w:color w:val="000000" w:themeColor="text1"/>
          <w:szCs w:val="24"/>
        </w:rPr>
        <w:t xml:space="preserve">) for an increase of NPR 1,000 in the average value of remittances received. Another way to see the magnitude of these effects is in terms of standard deviation changes, where a one standard deviation increase in the migration rate and in the value of remittances received would result in 0.62 and 0.96 standard deviation increases in the secondary school net enrolment rate. </w:t>
      </w:r>
    </w:p>
    <w:p w14:paraId="578E4B32" w14:textId="77777777" w:rsidR="001A3ED8" w:rsidRPr="004B36B2" w:rsidRDefault="001A3ED8" w:rsidP="00101417">
      <w:pPr>
        <w:spacing w:line="288" w:lineRule="auto"/>
        <w:jc w:val="both"/>
        <w:rPr>
          <w:rFonts w:asciiTheme="majorBidi" w:eastAsia="Times New Roman" w:hAnsiTheme="majorBidi" w:cstheme="majorBidi"/>
          <w:color w:val="000000" w:themeColor="text1"/>
          <w:szCs w:val="24"/>
          <w:highlight w:val="yellow"/>
        </w:rPr>
      </w:pPr>
    </w:p>
    <w:p w14:paraId="0882D13D" w14:textId="2C636DA4" w:rsidR="00114D7B" w:rsidRDefault="00114D7B"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There are two other notable features about the results in Table 3. First, the effects on net enrolment at the Basic education level, for children aged 5-12, are imprecisely estimated, for both migration and remittances. There are two possible reasons for this pattern</w:t>
      </w:r>
      <w:r w:rsidR="00DB0036">
        <w:rPr>
          <w:rFonts w:asciiTheme="majorBidi" w:hAnsiTheme="majorBidi" w:cstheme="majorBidi"/>
          <w:color w:val="000000" w:themeColor="text1"/>
          <w:szCs w:val="24"/>
        </w:rPr>
        <w:t>.  F</w:t>
      </w:r>
      <w:r w:rsidRPr="004B36B2">
        <w:rPr>
          <w:rFonts w:asciiTheme="majorBidi" w:hAnsiTheme="majorBidi" w:cstheme="majorBidi"/>
          <w:color w:val="000000" w:themeColor="text1"/>
          <w:szCs w:val="24"/>
        </w:rPr>
        <w:t>irst, the Basic education level is far cheaper (see Table A.1 for details) and so borrowing constraints may be less binding on enrolment decisions at this level. In that case, migration and the resulting receipt of remittances are less needed to overcome these less binding constraints. Second</w:t>
      </w:r>
      <w:r w:rsidR="00DB0036">
        <w:rPr>
          <w:rFonts w:asciiTheme="majorBidi" w:hAnsiTheme="majorBidi" w:cstheme="majorBidi"/>
          <w:color w:val="000000" w:themeColor="text1"/>
          <w:szCs w:val="24"/>
        </w:rPr>
        <w:t>ly</w:t>
      </w:r>
      <w:r w:rsidRPr="004B36B2">
        <w:rPr>
          <w:rFonts w:asciiTheme="majorBidi" w:hAnsiTheme="majorBidi" w:cstheme="majorBidi"/>
          <w:color w:val="000000" w:themeColor="text1"/>
          <w:szCs w:val="24"/>
        </w:rPr>
        <w:t xml:space="preserve">, the enrolment rates at the Basic level are universally much higher, and so there is less scope for between-village variation than is possible at the secondary school level. </w:t>
      </w:r>
    </w:p>
    <w:p w14:paraId="3867C9B9" w14:textId="77777777" w:rsidR="001A3ED8" w:rsidRPr="004B36B2" w:rsidRDefault="001A3ED8" w:rsidP="00283A3C">
      <w:pPr>
        <w:spacing w:line="288" w:lineRule="auto"/>
        <w:ind w:firstLine="720"/>
        <w:jc w:val="both"/>
        <w:rPr>
          <w:rFonts w:asciiTheme="majorBidi" w:hAnsiTheme="majorBidi" w:cstheme="majorBidi"/>
          <w:color w:val="000000" w:themeColor="text1"/>
          <w:szCs w:val="24"/>
        </w:rPr>
      </w:pPr>
    </w:p>
    <w:p w14:paraId="1DA1CDEE" w14:textId="00B2A1CA" w:rsidR="00114D7B" w:rsidRDefault="00114D7B" w:rsidP="00C845C2">
      <w:pPr>
        <w:spacing w:line="288" w:lineRule="auto"/>
        <w:ind w:firstLine="567"/>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The second feature of Table 3 is that coefficient estimates are larger (and consequently more statistically significant) when the instrumental variables approach is used. For the fixed effects models without instrumental variables, even with control variables and time and village fixed effects, there is still the threat of reverse causality that would bias the coefficient estimates. The difference between the FE and FE-IV specifications reinforces the importance of having plausibly exogenous sources of variation when studying the impacts of migration and remittances.</w:t>
      </w:r>
    </w:p>
    <w:p w14:paraId="54C11F1C" w14:textId="77777777" w:rsidR="00C845C2" w:rsidRDefault="00C845C2" w:rsidP="00283A3C">
      <w:pPr>
        <w:spacing w:line="288" w:lineRule="auto"/>
        <w:ind w:firstLine="720"/>
        <w:jc w:val="both"/>
        <w:rPr>
          <w:rFonts w:asciiTheme="majorBidi" w:eastAsia="Times New Roman" w:hAnsiTheme="majorBidi" w:cstheme="majorBidi"/>
          <w:color w:val="000000" w:themeColor="text1"/>
          <w:szCs w:val="24"/>
        </w:rPr>
      </w:pPr>
    </w:p>
    <w:p w14:paraId="56BC924C" w14:textId="0BAF078B" w:rsidR="00114D7B" w:rsidRDefault="00114D7B" w:rsidP="00C845C2">
      <w:pPr>
        <w:spacing w:line="288" w:lineRule="auto"/>
        <w:ind w:firstLine="567"/>
        <w:jc w:val="both"/>
        <w:rPr>
          <w:rFonts w:asciiTheme="majorBidi" w:eastAsia="Times New Roman" w:hAnsiTheme="majorBidi" w:cstheme="majorBidi"/>
          <w:color w:val="000000" w:themeColor="text1"/>
          <w:szCs w:val="24"/>
        </w:rPr>
      </w:pPr>
      <w:r w:rsidRPr="004B36B2">
        <w:rPr>
          <w:rFonts w:asciiTheme="majorBidi" w:eastAsia="Times New Roman" w:hAnsiTheme="majorBidi" w:cstheme="majorBidi"/>
          <w:color w:val="000000" w:themeColor="text1"/>
          <w:szCs w:val="24"/>
        </w:rPr>
        <w:t xml:space="preserve">An important feature of the Table 3 results is that the positive impact of migration only comes into play for the children aged 13 and above in secondary school. This age-specificity is likely due to several factors. First, the secondary school cost is much higher for households, with the figures in Appendix A1 showing costs are up to four times as high as the cost of school </w:t>
      </w:r>
      <w:r w:rsidRPr="004B36B2">
        <w:rPr>
          <w:rFonts w:asciiTheme="majorBidi" w:eastAsia="Times New Roman" w:hAnsiTheme="majorBidi" w:cstheme="majorBidi"/>
          <w:color w:val="000000" w:themeColor="text1"/>
          <w:szCs w:val="24"/>
        </w:rPr>
        <w:lastRenderedPageBreak/>
        <w:t xml:space="preserve">at the Basic level. Second, in addition to the out of pocket cost of secondary education, parents also have to consider the opportunity cost of sending children in this age group to school. For instance, child labour force participation rates (for ages 10-14) in rual and urban areas are 37% and 15%, respectively and, around 55% of children aged 10-14 attend school while also working in the labour market (CBS, 2008). Thus, if remittances help households to overcome liquidity constraints, which lessens the need for children to be the labour market, then this effect should show up especially for older children at the secondary school level. Third, at the secondary level there are more private school options, and enrolment in these schools can be thought of as a quality response rather than a quantity response. This response on the quality margin may be another pathway through which migration and remittances help in achieving a timely completion of secondary education </w:t>
      </w:r>
      <w:r w:rsidRPr="004B36B2">
        <w:rPr>
          <w:rFonts w:asciiTheme="majorBidi" w:hAnsiTheme="majorBidi" w:cstheme="majorBidi"/>
          <w:color w:val="000000" w:themeColor="text1"/>
          <w:szCs w:val="24"/>
        </w:rPr>
        <w:t>(</w:t>
      </w:r>
      <w:r w:rsidR="001C33E0" w:rsidRPr="004B36B2">
        <w:rPr>
          <w:rFonts w:asciiTheme="majorBidi" w:hAnsiTheme="majorBidi" w:cstheme="majorBidi"/>
          <w:color w:val="000000" w:themeColor="text1"/>
          <w:szCs w:val="24"/>
          <w:shd w:val="clear" w:color="auto" w:fill="FFFFFF"/>
        </w:rPr>
        <w:t xml:space="preserve">Acharya </w:t>
      </w:r>
      <w:r w:rsidR="00DB0036" w:rsidRPr="00DB0036">
        <w:rPr>
          <w:rFonts w:asciiTheme="majorBidi" w:hAnsiTheme="majorBidi" w:cstheme="majorBidi"/>
          <w:color w:val="000000" w:themeColor="text1"/>
          <w:szCs w:val="24"/>
          <w:shd w:val="clear" w:color="auto" w:fill="FFFFFF"/>
        </w:rPr>
        <w:t>and</w:t>
      </w:r>
      <w:r w:rsidR="00CF68FD" w:rsidRPr="004B36B2">
        <w:rPr>
          <w:rFonts w:asciiTheme="majorBidi" w:hAnsiTheme="majorBidi" w:cstheme="majorBidi"/>
          <w:color w:val="000000" w:themeColor="text1"/>
          <w:szCs w:val="24"/>
          <w:shd w:val="clear" w:color="auto" w:fill="FFFFFF"/>
        </w:rPr>
        <w:t xml:space="preserve"> </w:t>
      </w:r>
      <w:r w:rsidR="001C33E0" w:rsidRPr="004B36B2">
        <w:rPr>
          <w:rFonts w:asciiTheme="majorBidi" w:hAnsiTheme="majorBidi" w:cstheme="majorBidi"/>
          <w:color w:val="000000" w:themeColor="text1"/>
          <w:szCs w:val="24"/>
          <w:shd w:val="clear" w:color="auto" w:fill="FFFFFF"/>
        </w:rPr>
        <w:t>Leon-Gonzalez, 2013</w:t>
      </w:r>
      <w:r w:rsidRPr="004B36B2">
        <w:rPr>
          <w:rFonts w:asciiTheme="majorBidi" w:hAnsiTheme="majorBidi" w:cstheme="majorBidi"/>
          <w:color w:val="000000" w:themeColor="text1"/>
          <w:szCs w:val="24"/>
        </w:rPr>
        <w:t>)</w:t>
      </w:r>
      <w:r w:rsidRPr="004B36B2">
        <w:rPr>
          <w:rFonts w:asciiTheme="majorBidi" w:eastAsia="Times New Roman" w:hAnsiTheme="majorBidi" w:cstheme="majorBidi"/>
          <w:color w:val="000000" w:themeColor="text1"/>
          <w:szCs w:val="24"/>
        </w:rPr>
        <w:t>.</w:t>
      </w:r>
    </w:p>
    <w:p w14:paraId="6F1859A8" w14:textId="77777777" w:rsidR="001A3ED8" w:rsidRPr="004B36B2" w:rsidRDefault="001A3ED8" w:rsidP="00283A3C">
      <w:pPr>
        <w:spacing w:line="288" w:lineRule="auto"/>
        <w:ind w:firstLine="720"/>
        <w:jc w:val="both"/>
        <w:rPr>
          <w:rFonts w:asciiTheme="majorBidi" w:hAnsiTheme="majorBidi" w:cstheme="majorBidi"/>
          <w:color w:val="000000" w:themeColor="text1"/>
          <w:szCs w:val="24"/>
        </w:rPr>
      </w:pPr>
    </w:p>
    <w:p w14:paraId="1B4543EE" w14:textId="58A71F47" w:rsidR="00114D7B" w:rsidRPr="001A3ED8" w:rsidRDefault="00114D7B" w:rsidP="00283A3C">
      <w:pPr>
        <w:spacing w:line="288" w:lineRule="auto"/>
        <w:jc w:val="both"/>
        <w:rPr>
          <w:rFonts w:asciiTheme="majorBidi" w:eastAsia="Times New Roman" w:hAnsiTheme="majorBidi" w:cstheme="majorBidi"/>
          <w:b/>
          <w:bCs/>
          <w:iCs/>
          <w:color w:val="000000" w:themeColor="text1"/>
          <w:szCs w:val="24"/>
        </w:rPr>
      </w:pPr>
      <w:r w:rsidRPr="001A3ED8">
        <w:rPr>
          <w:rFonts w:asciiTheme="majorBidi" w:hAnsiTheme="majorBidi" w:cstheme="majorBidi"/>
          <w:b/>
          <w:bCs/>
          <w:iCs/>
          <w:color w:val="000000" w:themeColor="text1"/>
          <w:szCs w:val="24"/>
        </w:rPr>
        <w:t xml:space="preserve">Effect of </w:t>
      </w:r>
      <w:r w:rsidR="00AE1CFE" w:rsidRPr="001A3ED8">
        <w:rPr>
          <w:rFonts w:asciiTheme="majorBidi" w:hAnsiTheme="majorBidi" w:cstheme="majorBidi"/>
          <w:b/>
          <w:bCs/>
          <w:iCs/>
          <w:color w:val="000000" w:themeColor="text1"/>
          <w:szCs w:val="24"/>
        </w:rPr>
        <w:t xml:space="preserve">Migration </w:t>
      </w:r>
      <w:r w:rsidR="00AE1CFE">
        <w:rPr>
          <w:rFonts w:asciiTheme="majorBidi" w:hAnsiTheme="majorBidi" w:cstheme="majorBidi"/>
          <w:b/>
          <w:bCs/>
          <w:iCs/>
          <w:color w:val="000000" w:themeColor="text1"/>
          <w:szCs w:val="24"/>
        </w:rPr>
        <w:t>o</w:t>
      </w:r>
      <w:r w:rsidR="00AE1CFE" w:rsidRPr="001A3ED8">
        <w:rPr>
          <w:rFonts w:asciiTheme="majorBidi" w:hAnsiTheme="majorBidi" w:cstheme="majorBidi"/>
          <w:b/>
          <w:bCs/>
          <w:iCs/>
          <w:color w:val="000000" w:themeColor="text1"/>
          <w:szCs w:val="24"/>
        </w:rPr>
        <w:t xml:space="preserve">n Child </w:t>
      </w:r>
      <w:r w:rsidR="00AE1CFE" w:rsidRPr="001A3ED8">
        <w:rPr>
          <w:rFonts w:asciiTheme="majorBidi" w:hAnsiTheme="majorBidi" w:cstheme="majorBidi"/>
          <w:b/>
          <w:bCs/>
          <w:iCs/>
          <w:noProof/>
          <w:color w:val="000000" w:themeColor="text1"/>
          <w:szCs w:val="24"/>
        </w:rPr>
        <w:t xml:space="preserve">Labour Force </w:t>
      </w:r>
      <w:r w:rsidR="00AE1CFE" w:rsidRPr="001A3ED8">
        <w:rPr>
          <w:rFonts w:asciiTheme="majorBidi" w:hAnsiTheme="majorBidi" w:cstheme="majorBidi"/>
          <w:b/>
          <w:bCs/>
          <w:iCs/>
          <w:color w:val="000000" w:themeColor="text1"/>
          <w:szCs w:val="24"/>
        </w:rPr>
        <w:t>Participation</w:t>
      </w:r>
    </w:p>
    <w:p w14:paraId="3325994B" w14:textId="77777777" w:rsidR="00C845C2" w:rsidRPr="00C845C2" w:rsidRDefault="00C845C2" w:rsidP="00C845C2">
      <w:pPr>
        <w:spacing w:line="288" w:lineRule="auto"/>
        <w:jc w:val="both"/>
        <w:rPr>
          <w:rFonts w:asciiTheme="majorBidi" w:hAnsiTheme="majorBidi" w:cstheme="majorBidi"/>
          <w:color w:val="000000" w:themeColor="text1"/>
          <w:sz w:val="8"/>
          <w:szCs w:val="8"/>
        </w:rPr>
      </w:pPr>
    </w:p>
    <w:p w14:paraId="4B4BBE87" w14:textId="41429A48" w:rsidR="00114D7B" w:rsidRDefault="00114D7B" w:rsidP="00C845C2">
      <w:pPr>
        <w:spacing w:line="288" w:lineRule="auto"/>
        <w:jc w:val="both"/>
        <w:rPr>
          <w:rFonts w:asciiTheme="majorBidi" w:hAnsiTheme="majorBidi" w:cstheme="majorBidi"/>
          <w:color w:val="000000" w:themeColor="text1"/>
          <w:szCs w:val="24"/>
          <w:shd w:val="clear" w:color="auto" w:fill="FFFFFF"/>
        </w:rPr>
      </w:pPr>
      <w:r w:rsidRPr="004B36B2">
        <w:rPr>
          <w:rFonts w:asciiTheme="majorBidi" w:hAnsiTheme="majorBidi" w:cstheme="majorBidi"/>
          <w:color w:val="000000" w:themeColor="text1"/>
          <w:szCs w:val="24"/>
        </w:rPr>
        <w:t>The migration of parents or other economically productive household members may mean that left-behind children have to undertake additional household work or participate in the labour market to compensate for the foregone inputs of time and money. This may especially matter early in the duration of the migration tenure, because it takes time for migrants to become established and to save some money and send it back home (</w:t>
      </w:r>
      <w:r w:rsidRPr="004B36B2">
        <w:rPr>
          <w:rFonts w:asciiTheme="majorBidi" w:hAnsiTheme="majorBidi" w:cstheme="majorBidi"/>
          <w:color w:val="000000" w:themeColor="text1"/>
          <w:szCs w:val="24"/>
          <w:shd w:val="clear" w:color="auto" w:fill="FFFFFF"/>
        </w:rPr>
        <w:t xml:space="preserve">McKenzie </w:t>
      </w:r>
      <w:r w:rsidR="00DB0036" w:rsidRPr="00DB0036">
        <w:rPr>
          <w:rFonts w:asciiTheme="majorBidi" w:hAnsiTheme="majorBidi" w:cstheme="majorBidi"/>
          <w:color w:val="000000" w:themeColor="text1"/>
          <w:szCs w:val="24"/>
          <w:shd w:val="clear" w:color="auto" w:fill="FFFFFF"/>
        </w:rPr>
        <w:t>and</w:t>
      </w:r>
      <w:r w:rsidRPr="004B36B2">
        <w:rPr>
          <w:rFonts w:asciiTheme="majorBidi" w:hAnsiTheme="majorBidi" w:cstheme="majorBidi"/>
          <w:color w:val="000000" w:themeColor="text1"/>
          <w:szCs w:val="24"/>
          <w:shd w:val="clear" w:color="auto" w:fill="FFFFFF"/>
        </w:rPr>
        <w:t xml:space="preserve"> Rapoport, 2011</w:t>
      </w:r>
      <w:r w:rsidRPr="004B36B2">
        <w:rPr>
          <w:rFonts w:asciiTheme="majorBidi" w:hAnsiTheme="majorBidi" w:cstheme="majorBidi"/>
          <w:color w:val="000000" w:themeColor="text1"/>
          <w:szCs w:val="24"/>
        </w:rPr>
        <w:t>). Eventually, remittances may rise to compensate for the income loss and the household may rearrange activities to require less labour or use some remittance income to hire in labour, and so when that stage is reached the time demands on children may fall. Consequently, at the household level there is a duration-dependent heterogeneity in the impact of emigration and remittances on the left-behind (</w:t>
      </w:r>
      <w:r w:rsidRPr="004B36B2">
        <w:rPr>
          <w:rFonts w:asciiTheme="majorBidi" w:hAnsiTheme="majorBidi" w:cstheme="majorBidi"/>
          <w:color w:val="000000" w:themeColor="text1"/>
          <w:szCs w:val="24"/>
          <w:shd w:val="clear" w:color="auto" w:fill="FFFFFF"/>
        </w:rPr>
        <w:t xml:space="preserve">Gibson </w:t>
      </w:r>
      <w:r w:rsidR="00DB0036" w:rsidRPr="00DB0036">
        <w:rPr>
          <w:rFonts w:asciiTheme="majorBidi" w:hAnsiTheme="majorBidi" w:cstheme="majorBidi"/>
          <w:i/>
          <w:iCs/>
          <w:color w:val="000000" w:themeColor="text1"/>
          <w:szCs w:val="24"/>
          <w:shd w:val="clear" w:color="auto" w:fill="FFFFFF"/>
        </w:rPr>
        <w:t>et al.</w:t>
      </w:r>
      <w:r w:rsidRPr="004B36B2">
        <w:rPr>
          <w:rFonts w:asciiTheme="majorBidi" w:hAnsiTheme="majorBidi" w:cstheme="majorBidi"/>
          <w:color w:val="000000" w:themeColor="text1"/>
          <w:szCs w:val="24"/>
          <w:shd w:val="clear" w:color="auto" w:fill="FFFFFF"/>
        </w:rPr>
        <w:t xml:space="preserve"> 2013) and averaging across households in a village will yield a net effect of the offsetting positive and negative impacts on the demand for child labour.</w:t>
      </w:r>
    </w:p>
    <w:p w14:paraId="3A86CB60" w14:textId="77777777" w:rsidR="001A3ED8" w:rsidRPr="004B36B2" w:rsidRDefault="001A3ED8" w:rsidP="00283A3C">
      <w:pPr>
        <w:spacing w:line="288" w:lineRule="auto"/>
        <w:ind w:firstLine="720"/>
        <w:jc w:val="both"/>
        <w:rPr>
          <w:rFonts w:asciiTheme="majorBidi" w:hAnsiTheme="majorBidi" w:cstheme="majorBidi"/>
          <w:color w:val="000000" w:themeColor="text1"/>
          <w:szCs w:val="24"/>
        </w:rPr>
      </w:pPr>
    </w:p>
    <w:p w14:paraId="33D91C4F" w14:textId="2CC72C5B" w:rsidR="00114D7B" w:rsidRDefault="00114D7B"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It appears that for Nepal in the 2008-10 period that we study the net effect of migration and remittances is to reduce the risk of child labour (Table 4). This result is in line with previous studies like Calero at al. (2009), Gyimah-Brempong et al. (2015), and Koska et al. (2013). The reduction in the child labour force participation rate as migration rises and as remittances increase is apparent both for younger children (age 8-10) and for older children (age 11-16). Specifically, the impact for the younger children is that a one percentage point increase in the migration rate would result in a 0.38% (</w:t>
      </w:r>
      <w:r w:rsidRPr="004B36B2">
        <w:rPr>
          <w:rFonts w:asciiTheme="majorBidi" w:hAnsiTheme="majorBidi" w:cstheme="majorBidi"/>
          <w:i/>
          <w:iCs/>
          <w:color w:val="000000" w:themeColor="text1"/>
          <w:szCs w:val="24"/>
        </w:rPr>
        <w:t>p</w:t>
      </w:r>
      <w:r w:rsidRPr="004B36B2">
        <w:rPr>
          <w:rFonts w:asciiTheme="majorBidi" w:hAnsiTheme="majorBidi" w:cstheme="majorBidi"/>
          <w:color w:val="000000" w:themeColor="text1"/>
          <w:szCs w:val="24"/>
        </w:rPr>
        <w:t>&lt;0.01) fall in the labour force participation rate while for older children the impact is a 0.20% fall (</w:t>
      </w:r>
      <w:r w:rsidRPr="004B36B2">
        <w:rPr>
          <w:rFonts w:asciiTheme="majorBidi" w:hAnsiTheme="majorBidi" w:cstheme="majorBidi"/>
          <w:i/>
          <w:iCs/>
          <w:color w:val="000000" w:themeColor="text1"/>
          <w:szCs w:val="24"/>
        </w:rPr>
        <w:t>p</w:t>
      </w:r>
      <w:r w:rsidRPr="004B36B2">
        <w:rPr>
          <w:rFonts w:asciiTheme="majorBidi" w:hAnsiTheme="majorBidi" w:cstheme="majorBidi"/>
          <w:color w:val="000000" w:themeColor="text1"/>
          <w:szCs w:val="24"/>
        </w:rPr>
        <w:t>&lt;0.05). We also observe a similar pattern in results from the remittance model</w:t>
      </w:r>
      <w:r w:rsidR="00DB0036">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w:t>
      </w:r>
      <w:r w:rsidR="00DB0036">
        <w:rPr>
          <w:rFonts w:asciiTheme="majorBidi" w:hAnsiTheme="majorBidi" w:cstheme="majorBidi"/>
          <w:color w:val="000000" w:themeColor="text1"/>
          <w:szCs w:val="24"/>
        </w:rPr>
        <w:t>I</w:t>
      </w:r>
      <w:r w:rsidRPr="004B36B2">
        <w:rPr>
          <w:rFonts w:asciiTheme="majorBidi" w:hAnsiTheme="majorBidi" w:cstheme="majorBidi"/>
          <w:color w:val="000000" w:themeColor="text1"/>
          <w:szCs w:val="24"/>
        </w:rPr>
        <w:t xml:space="preserve">f the village average of remittance receipts rises by NPR 1000 then it would reduce the probability of child labour force participation by 0.66% for the younger children and by 0.36% for the older children (both effects are statistically significant at the </w:t>
      </w:r>
      <w:r w:rsidRPr="004B36B2">
        <w:rPr>
          <w:rFonts w:asciiTheme="majorBidi" w:hAnsiTheme="majorBidi" w:cstheme="majorBidi"/>
          <w:i/>
          <w:iCs/>
          <w:color w:val="000000" w:themeColor="text1"/>
          <w:szCs w:val="24"/>
        </w:rPr>
        <w:t>p</w:t>
      </w:r>
      <w:r w:rsidRPr="004B36B2">
        <w:rPr>
          <w:rFonts w:asciiTheme="majorBidi" w:hAnsiTheme="majorBidi" w:cstheme="majorBidi"/>
          <w:color w:val="000000" w:themeColor="text1"/>
          <w:szCs w:val="24"/>
        </w:rPr>
        <w:t xml:space="preserve">&lt;0.01 level). </w:t>
      </w:r>
    </w:p>
    <w:p w14:paraId="6825B5A1" w14:textId="77777777" w:rsidR="001A3ED8" w:rsidRPr="004B36B2" w:rsidRDefault="001A3ED8" w:rsidP="00283A3C">
      <w:pPr>
        <w:spacing w:line="288" w:lineRule="auto"/>
        <w:ind w:firstLine="720"/>
        <w:jc w:val="both"/>
        <w:rPr>
          <w:rFonts w:asciiTheme="majorBidi" w:hAnsiTheme="majorBidi" w:cstheme="majorBidi"/>
          <w:color w:val="000000" w:themeColor="text1"/>
          <w:szCs w:val="24"/>
        </w:rPr>
      </w:pPr>
    </w:p>
    <w:p w14:paraId="41DD44F8" w14:textId="77777777" w:rsidR="00E54F60" w:rsidRDefault="00114D7B" w:rsidP="00283A3C">
      <w:pPr>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ab/>
      </w:r>
    </w:p>
    <w:p w14:paraId="7BFB5E3D" w14:textId="2ED87A6C" w:rsidR="00114D7B" w:rsidRDefault="00114D7B" w:rsidP="00E54F60">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lastRenderedPageBreak/>
        <w:t>In addition to the effects of migration and remittances on the probability that a child is in the labour force, there is also an effect on the number of hours that they work. These effects are predominantly negative, and especially for the older children. For example</w:t>
      </w:r>
      <w:r w:rsidR="00790590" w:rsidRPr="004B36B2">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if the village average remittance receipts rise by NPR 1000 then average hours worked</w:t>
      </w:r>
      <w:r w:rsidR="00781C8C"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by 11-16 year olds would decline by 0.4 hours, according to the IV results. There is a very small and imprecisely estimated positive effect of migration on hours worked by 8-10 year old children (an average rise of three minutes per week) while there is a much larger negative effect on the hours worked by older children.</w:t>
      </w:r>
    </w:p>
    <w:p w14:paraId="5F9D93B4" w14:textId="77777777" w:rsidR="001A3ED8" w:rsidRPr="004B36B2" w:rsidRDefault="001A3ED8" w:rsidP="00283A3C">
      <w:pPr>
        <w:spacing w:line="288" w:lineRule="auto"/>
        <w:jc w:val="both"/>
        <w:rPr>
          <w:rFonts w:asciiTheme="majorBidi" w:hAnsiTheme="majorBidi" w:cstheme="majorBidi"/>
          <w:color w:val="000000" w:themeColor="text1"/>
          <w:szCs w:val="24"/>
        </w:rPr>
      </w:pPr>
    </w:p>
    <w:p w14:paraId="755B45DD" w14:textId="5CC0C715" w:rsidR="00114D7B" w:rsidRPr="00C845C2" w:rsidRDefault="00114D7B" w:rsidP="00283A3C">
      <w:pPr>
        <w:spacing w:line="288" w:lineRule="auto"/>
        <w:jc w:val="both"/>
        <w:rPr>
          <w:rFonts w:asciiTheme="majorBidi" w:hAnsiTheme="majorBidi" w:cstheme="majorBidi"/>
          <w:b/>
          <w:bCs/>
          <w:iCs/>
          <w:color w:val="000000" w:themeColor="text1"/>
          <w:szCs w:val="24"/>
        </w:rPr>
      </w:pPr>
      <w:r w:rsidRPr="00C845C2">
        <w:rPr>
          <w:rFonts w:asciiTheme="majorBidi" w:hAnsiTheme="majorBidi" w:cstheme="majorBidi"/>
          <w:b/>
          <w:bCs/>
          <w:iCs/>
          <w:color w:val="000000" w:themeColor="text1"/>
          <w:szCs w:val="24"/>
        </w:rPr>
        <w:t xml:space="preserve">Effect of </w:t>
      </w:r>
      <w:r w:rsidR="00AE1CFE" w:rsidRPr="00AE1CFE">
        <w:t xml:space="preserve">Migration </w:t>
      </w:r>
      <w:r w:rsidR="00AE1CFE">
        <w:t>o</w:t>
      </w:r>
      <w:r w:rsidR="00AE1CFE" w:rsidRPr="00AE1CFE">
        <w:t xml:space="preserve">n School Attendance </w:t>
      </w:r>
      <w:r w:rsidR="00AE1CFE">
        <w:t>a</w:t>
      </w:r>
      <w:r w:rsidR="00AE1CFE" w:rsidRPr="00AE1CFE">
        <w:t>nd Dropout Rates</w:t>
      </w:r>
    </w:p>
    <w:p w14:paraId="14103B47" w14:textId="77777777" w:rsidR="006E7D48" w:rsidRPr="006E7D48" w:rsidRDefault="006E7D48" w:rsidP="00C845C2">
      <w:pPr>
        <w:spacing w:line="288" w:lineRule="auto"/>
        <w:jc w:val="both"/>
        <w:rPr>
          <w:rFonts w:asciiTheme="majorBidi" w:hAnsiTheme="majorBidi" w:cstheme="majorBidi"/>
          <w:color w:val="000000" w:themeColor="text1"/>
          <w:sz w:val="8"/>
          <w:szCs w:val="8"/>
        </w:rPr>
      </w:pPr>
    </w:p>
    <w:p w14:paraId="298A0518" w14:textId="77777777" w:rsidR="006E7D48" w:rsidRDefault="00114D7B" w:rsidP="00C845C2">
      <w:pPr>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In order to examine the effects of migration and remittances on commonly used schooling measures in previous studies, we also developed attendance and dropout rate estimates. These only consider whether a child is currently enrolled, irrespective of whether they are in the appropriate grade for their age. Results are shown in Table 5 (Panel A and B). From the IV estimates </w:t>
      </w:r>
      <w:proofErr w:type="gramStart"/>
      <w:r w:rsidRPr="004B36B2">
        <w:rPr>
          <w:rFonts w:asciiTheme="majorBidi" w:hAnsiTheme="majorBidi" w:cstheme="majorBidi"/>
          <w:color w:val="000000" w:themeColor="text1"/>
          <w:szCs w:val="24"/>
        </w:rPr>
        <w:t>its</w:t>
      </w:r>
      <w:proofErr w:type="gramEnd"/>
      <w:r w:rsidRPr="004B36B2">
        <w:rPr>
          <w:rFonts w:asciiTheme="majorBidi" w:hAnsiTheme="majorBidi" w:cstheme="majorBidi"/>
          <w:color w:val="000000" w:themeColor="text1"/>
          <w:szCs w:val="24"/>
        </w:rPr>
        <w:t xml:space="preserve"> seems that migration and remittances reduce the likelihood of a child being enrolled in school. For example, the results </w:t>
      </w:r>
      <w:r w:rsidRPr="004B36B2">
        <w:rPr>
          <w:rFonts w:asciiTheme="majorBidi" w:hAnsiTheme="majorBidi" w:cstheme="majorBidi"/>
          <w:noProof/>
          <w:color w:val="000000" w:themeColor="text1"/>
          <w:szCs w:val="24"/>
        </w:rPr>
        <w:t>suggest</w:t>
      </w:r>
      <w:r w:rsidRPr="004B36B2">
        <w:rPr>
          <w:rFonts w:asciiTheme="majorBidi" w:hAnsiTheme="majorBidi" w:cstheme="majorBidi"/>
          <w:color w:val="000000" w:themeColor="text1"/>
          <w:szCs w:val="24"/>
        </w:rPr>
        <w:t xml:space="preserve"> that an increase in migration rate reduces the attendance rate for a child aged 5-16 by 0.07% (p &lt; 0.01). For the sub-group of older children (aged 13-16) the estimated fall in the attendance rate is by 0.18% (p &lt; 0.01). </w:t>
      </w:r>
    </w:p>
    <w:p w14:paraId="1E953C71" w14:textId="77777777" w:rsidR="006E7D48" w:rsidRDefault="006E7D48" w:rsidP="00C845C2">
      <w:pPr>
        <w:spacing w:line="288" w:lineRule="auto"/>
        <w:jc w:val="both"/>
        <w:rPr>
          <w:rFonts w:asciiTheme="majorBidi" w:hAnsiTheme="majorBidi" w:cstheme="majorBidi"/>
          <w:color w:val="000000" w:themeColor="text1"/>
          <w:szCs w:val="24"/>
        </w:rPr>
      </w:pPr>
    </w:p>
    <w:p w14:paraId="49942B4B" w14:textId="2EF24030" w:rsidR="00114D7B" w:rsidRDefault="00114D7B" w:rsidP="006E7D48">
      <w:pPr>
        <w:spacing w:line="288" w:lineRule="auto"/>
        <w:ind w:firstLine="567"/>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We observe similar pattern in dropout rates, in that migration and remittances appear to increase the number of children out of school who have previously enrolled. For instance, effects on dropout are 0.03% and 0.14% (at p &lt; 0.01) for the children aged 5-12 and 13-16. The remittances model shows similar results. The apparently negative effect of migration on school attendance that can be inferred from the results in Table 5 (and is contrary to the results in Table 3) does align with some earlier findings for Nepal, such as Acharya </w:t>
      </w:r>
      <w:r w:rsidR="00DB0036" w:rsidRPr="00DB0036">
        <w:rPr>
          <w:rFonts w:asciiTheme="majorBidi" w:hAnsiTheme="majorBidi" w:cstheme="majorBidi"/>
          <w:color w:val="000000" w:themeColor="text1"/>
          <w:szCs w:val="24"/>
        </w:rPr>
        <w:t>and</w:t>
      </w:r>
      <w:r w:rsidRPr="004B36B2">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shd w:val="clear" w:color="auto" w:fill="FFFFFF"/>
        </w:rPr>
        <w:t>Leon-Gonzalez</w:t>
      </w:r>
      <w:r w:rsidRPr="004B36B2">
        <w:rPr>
          <w:rFonts w:asciiTheme="majorBidi" w:hAnsiTheme="majorBidi" w:cstheme="majorBidi"/>
          <w:color w:val="000000" w:themeColor="text1"/>
          <w:szCs w:val="24"/>
        </w:rPr>
        <w:t xml:space="preserve"> (2013), and also some findings from elsewhere.       </w:t>
      </w:r>
    </w:p>
    <w:p w14:paraId="7C4BDF7C" w14:textId="77777777" w:rsidR="001A3ED8" w:rsidRPr="004B36B2" w:rsidRDefault="001A3ED8" w:rsidP="00283A3C">
      <w:pPr>
        <w:spacing w:line="288" w:lineRule="auto"/>
        <w:ind w:firstLine="720"/>
        <w:jc w:val="both"/>
        <w:rPr>
          <w:rFonts w:asciiTheme="majorBidi" w:hAnsiTheme="majorBidi" w:cstheme="majorBidi"/>
          <w:color w:val="000000" w:themeColor="text1"/>
          <w:szCs w:val="24"/>
        </w:rPr>
      </w:pPr>
    </w:p>
    <w:p w14:paraId="2DF8077D" w14:textId="03643310" w:rsidR="00BD633A" w:rsidRDefault="00114D7B" w:rsidP="00BB26C8">
      <w:pPr>
        <w:spacing w:line="288" w:lineRule="auto"/>
        <w:ind w:firstLine="567"/>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It is important to emphasize the contrast between the Table 3 and Table 5 results. In Table 3, it is seen that migration and remittances improve age-appropriate enrolment rates in secondary education (for 13-16 year olds) yet in Table 5 it appears that school attendance (at any schooling level) for this age group is depressed by migration and remittances, while the dropout rate is increased. Adding interest to this contrast is the fact that the outcome variables in Table 5 – attendance rates and dropout rates – are more like the outcome variables that previous studies for Nepal have used, while an innovation of the current study is to calculate and the age-appropriate net enrolment rate as the preferred outcome measure. One motivation for doing this is that the simple attendance rate is a crude measure of schooling outcomes as it do not capture the quality dimension, such as the timely transition through the various levels of schooling. This is especially in settings such as Nepal where over 90% of school-age children are in some sort of school, albeit with considerable over-age enrolment (as seen from gross enrolment rates of almost 1.4, meaning that there are 40% more children in primary grades 1-5 than would be expected from the age structure of children). </w:t>
      </w:r>
    </w:p>
    <w:p w14:paraId="0E47A874" w14:textId="77777777" w:rsidR="00BD633A" w:rsidRDefault="00BD633A" w:rsidP="00BB26C8">
      <w:pPr>
        <w:spacing w:line="288" w:lineRule="auto"/>
        <w:ind w:firstLine="567"/>
        <w:jc w:val="both"/>
        <w:rPr>
          <w:rFonts w:asciiTheme="majorBidi" w:hAnsiTheme="majorBidi" w:cstheme="majorBidi"/>
          <w:color w:val="000000" w:themeColor="text1"/>
          <w:szCs w:val="24"/>
        </w:rPr>
        <w:sectPr w:rsidR="00BD633A" w:rsidSect="003A462A">
          <w:pgSz w:w="11906" w:h="16838"/>
          <w:pgMar w:top="1440" w:right="1440" w:bottom="1440" w:left="1440" w:header="709" w:footer="709" w:gutter="0"/>
          <w:cols w:space="708"/>
          <w:docGrid w:linePitch="360"/>
        </w:sectPr>
      </w:pPr>
    </w:p>
    <w:tbl>
      <w:tblPr>
        <w:tblpPr w:leftFromText="180" w:rightFromText="180" w:vertAnchor="page" w:horzAnchor="margin" w:tblpXSpec="center" w:tblpY="1131"/>
        <w:tblW w:w="15390" w:type="dxa"/>
        <w:tblLayout w:type="fixed"/>
        <w:tblLook w:val="04A0" w:firstRow="1" w:lastRow="0" w:firstColumn="1" w:lastColumn="0" w:noHBand="0" w:noVBand="1"/>
      </w:tblPr>
      <w:tblGrid>
        <w:gridCol w:w="880"/>
        <w:gridCol w:w="1190"/>
        <w:gridCol w:w="439"/>
        <w:gridCol w:w="626"/>
        <w:gridCol w:w="1188"/>
        <w:gridCol w:w="990"/>
        <w:gridCol w:w="1188"/>
        <w:gridCol w:w="271"/>
        <w:gridCol w:w="900"/>
        <w:gridCol w:w="1188"/>
        <w:gridCol w:w="900"/>
        <w:gridCol w:w="1188"/>
        <w:gridCol w:w="329"/>
        <w:gridCol w:w="873"/>
        <w:gridCol w:w="1260"/>
        <w:gridCol w:w="900"/>
        <w:gridCol w:w="458"/>
        <w:gridCol w:w="622"/>
      </w:tblGrid>
      <w:tr w:rsidR="00AC2200" w:rsidRPr="0010167B" w14:paraId="17E7AFC7" w14:textId="77777777" w:rsidTr="00AC2200">
        <w:trPr>
          <w:gridAfter w:val="1"/>
          <w:wAfter w:w="622" w:type="dxa"/>
          <w:trHeight w:val="199"/>
        </w:trPr>
        <w:tc>
          <w:tcPr>
            <w:tcW w:w="880" w:type="dxa"/>
            <w:tcBorders>
              <w:top w:val="nil"/>
              <w:left w:val="nil"/>
              <w:bottom w:val="single" w:sz="4" w:space="0" w:color="auto"/>
              <w:right w:val="nil"/>
            </w:tcBorders>
            <w:shd w:val="clear" w:color="000000" w:fill="FFFFFF"/>
          </w:tcPr>
          <w:p w14:paraId="1A95B9CE" w14:textId="77777777" w:rsidR="00AC2200" w:rsidRPr="004B36B2" w:rsidRDefault="00AC2200" w:rsidP="00AC2200">
            <w:pPr>
              <w:jc w:val="both"/>
              <w:rPr>
                <w:rFonts w:asciiTheme="majorBidi" w:hAnsiTheme="majorBidi" w:cstheme="majorBidi"/>
                <w:color w:val="000000" w:themeColor="text1"/>
              </w:rPr>
            </w:pPr>
          </w:p>
        </w:tc>
        <w:tc>
          <w:tcPr>
            <w:tcW w:w="1629" w:type="dxa"/>
            <w:gridSpan w:val="2"/>
            <w:tcBorders>
              <w:top w:val="nil"/>
              <w:left w:val="nil"/>
              <w:bottom w:val="single" w:sz="4" w:space="0" w:color="auto"/>
              <w:right w:val="nil"/>
            </w:tcBorders>
            <w:shd w:val="clear" w:color="000000" w:fill="FFFFFF"/>
          </w:tcPr>
          <w:p w14:paraId="7D05C968" w14:textId="77777777" w:rsidR="00AC2200" w:rsidRPr="0010167B" w:rsidRDefault="00AC2200" w:rsidP="00AC2200">
            <w:pPr>
              <w:jc w:val="both"/>
              <w:rPr>
                <w:rFonts w:asciiTheme="majorBidi" w:hAnsiTheme="majorBidi" w:cstheme="majorBidi"/>
                <w:color w:val="000000" w:themeColor="text1"/>
              </w:rPr>
            </w:pPr>
          </w:p>
        </w:tc>
        <w:tc>
          <w:tcPr>
            <w:tcW w:w="12259" w:type="dxa"/>
            <w:gridSpan w:val="14"/>
            <w:tcBorders>
              <w:top w:val="nil"/>
              <w:left w:val="nil"/>
              <w:bottom w:val="single" w:sz="4" w:space="0" w:color="auto"/>
              <w:right w:val="nil"/>
            </w:tcBorders>
            <w:shd w:val="clear" w:color="000000" w:fill="FFFFFF"/>
            <w:noWrap/>
            <w:vAlign w:val="bottom"/>
            <w:hideMark/>
          </w:tcPr>
          <w:p w14:paraId="620C961D" w14:textId="77777777" w:rsidR="00AC2200" w:rsidRPr="00206B37" w:rsidRDefault="00AC2200" w:rsidP="00AC2200">
            <w:pPr>
              <w:spacing w:after="40"/>
              <w:jc w:val="both"/>
              <w:rPr>
                <w:rFonts w:asciiTheme="majorBidi" w:hAnsiTheme="majorBidi" w:cstheme="majorBidi"/>
                <w:b/>
                <w:bCs/>
                <w:color w:val="000000" w:themeColor="text1"/>
                <w:sz w:val="22"/>
              </w:rPr>
            </w:pPr>
            <w:r w:rsidRPr="00206B37">
              <w:rPr>
                <w:rFonts w:asciiTheme="majorBidi" w:hAnsiTheme="majorBidi" w:cstheme="majorBidi"/>
                <w:b/>
                <w:bCs/>
                <w:color w:val="000000" w:themeColor="text1"/>
                <w:sz w:val="22"/>
              </w:rPr>
              <w:t>Table 5: The Effect of Migration on School Attendance and Dropout Rate of Children Aged 5-16, 5-12 and 13-16     </w:t>
            </w:r>
          </w:p>
        </w:tc>
      </w:tr>
      <w:tr w:rsidR="00AC2200" w:rsidRPr="0010167B" w14:paraId="220A826B" w14:textId="77777777" w:rsidTr="00AC2200">
        <w:trPr>
          <w:trHeight w:val="199"/>
        </w:trPr>
        <w:tc>
          <w:tcPr>
            <w:tcW w:w="2070" w:type="dxa"/>
            <w:gridSpan w:val="2"/>
            <w:tcBorders>
              <w:top w:val="nil"/>
              <w:left w:val="nil"/>
              <w:bottom w:val="nil"/>
              <w:right w:val="nil"/>
            </w:tcBorders>
            <w:shd w:val="clear" w:color="000000" w:fill="FFFFFF"/>
            <w:noWrap/>
            <w:vAlign w:val="bottom"/>
            <w:hideMark/>
          </w:tcPr>
          <w:p w14:paraId="2D619920" w14:textId="77777777" w:rsidR="00AC2200" w:rsidRPr="00735EAE" w:rsidRDefault="00AC2200" w:rsidP="00B82731">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4431" w:type="dxa"/>
            <w:gridSpan w:val="5"/>
            <w:tcBorders>
              <w:top w:val="single" w:sz="4" w:space="0" w:color="auto"/>
              <w:left w:val="nil"/>
              <w:bottom w:val="single" w:sz="4" w:space="0" w:color="auto"/>
              <w:right w:val="nil"/>
            </w:tcBorders>
            <w:shd w:val="clear" w:color="000000" w:fill="FFFFFF"/>
          </w:tcPr>
          <w:p w14:paraId="143C2BDB" w14:textId="77777777" w:rsidR="00AC2200" w:rsidRPr="00735EAE" w:rsidRDefault="00AC2200" w:rsidP="00B82731">
            <w:pPr>
              <w:spacing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Child aged 5-16</w:t>
            </w:r>
          </w:p>
        </w:tc>
        <w:tc>
          <w:tcPr>
            <w:tcW w:w="271" w:type="dxa"/>
            <w:tcBorders>
              <w:top w:val="nil"/>
              <w:left w:val="nil"/>
              <w:bottom w:val="nil"/>
              <w:right w:val="nil"/>
            </w:tcBorders>
            <w:shd w:val="clear" w:color="000000" w:fill="FFFFFF"/>
            <w:noWrap/>
            <w:vAlign w:val="bottom"/>
            <w:hideMark/>
          </w:tcPr>
          <w:p w14:paraId="636B321E" w14:textId="77777777" w:rsidR="00AC2200" w:rsidRPr="00735EAE" w:rsidRDefault="00AC2200" w:rsidP="00B82731">
            <w:pPr>
              <w:spacing w:after="60"/>
              <w:jc w:val="center"/>
              <w:rPr>
                <w:rFonts w:asciiTheme="majorBidi" w:hAnsiTheme="majorBidi" w:cstheme="majorBidi"/>
                <w:color w:val="000000" w:themeColor="text1"/>
                <w:sz w:val="22"/>
              </w:rPr>
            </w:pPr>
          </w:p>
        </w:tc>
        <w:tc>
          <w:tcPr>
            <w:tcW w:w="4176" w:type="dxa"/>
            <w:gridSpan w:val="4"/>
            <w:tcBorders>
              <w:top w:val="single" w:sz="4" w:space="0" w:color="auto"/>
              <w:left w:val="nil"/>
              <w:bottom w:val="single" w:sz="4" w:space="0" w:color="auto"/>
              <w:right w:val="nil"/>
            </w:tcBorders>
            <w:shd w:val="clear" w:color="000000" w:fill="FFFFFF"/>
          </w:tcPr>
          <w:p w14:paraId="226EA6A1" w14:textId="77777777" w:rsidR="00AC2200" w:rsidRPr="00735EAE" w:rsidRDefault="00AC2200" w:rsidP="00B82731">
            <w:pPr>
              <w:spacing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Child aged 5-12</w:t>
            </w:r>
          </w:p>
        </w:tc>
        <w:tc>
          <w:tcPr>
            <w:tcW w:w="329" w:type="dxa"/>
            <w:tcBorders>
              <w:top w:val="nil"/>
              <w:left w:val="nil"/>
              <w:bottom w:val="nil"/>
              <w:right w:val="nil"/>
            </w:tcBorders>
            <w:shd w:val="clear" w:color="000000" w:fill="FFFFFF"/>
            <w:noWrap/>
            <w:vAlign w:val="bottom"/>
            <w:hideMark/>
          </w:tcPr>
          <w:p w14:paraId="09FB4063" w14:textId="77777777" w:rsidR="00AC2200" w:rsidRPr="00735EAE" w:rsidRDefault="00AC2200" w:rsidP="00B82731">
            <w:pPr>
              <w:spacing w:after="60"/>
              <w:jc w:val="center"/>
              <w:rPr>
                <w:rFonts w:asciiTheme="majorBidi" w:hAnsiTheme="majorBidi" w:cstheme="majorBidi"/>
                <w:color w:val="000000" w:themeColor="text1"/>
                <w:sz w:val="22"/>
              </w:rPr>
            </w:pPr>
          </w:p>
        </w:tc>
        <w:tc>
          <w:tcPr>
            <w:tcW w:w="4113" w:type="dxa"/>
            <w:gridSpan w:val="5"/>
            <w:tcBorders>
              <w:top w:val="single" w:sz="4" w:space="0" w:color="auto"/>
              <w:left w:val="nil"/>
              <w:bottom w:val="single" w:sz="4" w:space="0" w:color="auto"/>
              <w:right w:val="nil"/>
            </w:tcBorders>
            <w:shd w:val="clear" w:color="000000" w:fill="FFFFFF"/>
          </w:tcPr>
          <w:p w14:paraId="06E1DDE6" w14:textId="77777777" w:rsidR="00AC2200" w:rsidRPr="00735EAE" w:rsidRDefault="00AC2200" w:rsidP="00B82731">
            <w:pPr>
              <w:spacing w:after="60"/>
              <w:jc w:val="center"/>
              <w:rPr>
                <w:rFonts w:asciiTheme="majorBidi" w:hAnsiTheme="majorBidi" w:cstheme="majorBidi"/>
                <w:color w:val="000000" w:themeColor="text1"/>
                <w:sz w:val="22"/>
              </w:rPr>
            </w:pPr>
            <w:r w:rsidRPr="00735EAE">
              <w:rPr>
                <w:rFonts w:asciiTheme="majorBidi" w:hAnsiTheme="majorBidi" w:cstheme="majorBidi"/>
                <w:color w:val="000000" w:themeColor="text1"/>
                <w:sz w:val="22"/>
              </w:rPr>
              <w:t>Child aged 13-16</w:t>
            </w:r>
          </w:p>
        </w:tc>
      </w:tr>
      <w:tr w:rsidR="00AC2200" w:rsidRPr="0010167B" w14:paraId="0C50F749" w14:textId="77777777" w:rsidTr="00AC2200">
        <w:trPr>
          <w:trHeight w:val="119"/>
        </w:trPr>
        <w:tc>
          <w:tcPr>
            <w:tcW w:w="2070" w:type="dxa"/>
            <w:gridSpan w:val="2"/>
            <w:tcBorders>
              <w:left w:val="nil"/>
              <w:bottom w:val="single" w:sz="4" w:space="0" w:color="auto"/>
              <w:right w:val="nil"/>
            </w:tcBorders>
            <w:shd w:val="clear" w:color="000000" w:fill="FFFFFF"/>
            <w:noWrap/>
            <w:vAlign w:val="bottom"/>
            <w:hideMark/>
          </w:tcPr>
          <w:p w14:paraId="367AFA2A"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65" w:type="dxa"/>
            <w:gridSpan w:val="2"/>
            <w:tcBorders>
              <w:left w:val="nil"/>
              <w:bottom w:val="single" w:sz="4" w:space="0" w:color="auto"/>
              <w:right w:val="nil"/>
            </w:tcBorders>
            <w:shd w:val="clear" w:color="000000" w:fill="FFFFFF"/>
            <w:noWrap/>
            <w:vAlign w:val="bottom"/>
            <w:hideMark/>
          </w:tcPr>
          <w:p w14:paraId="26DBE6B0"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188" w:type="dxa"/>
            <w:tcBorders>
              <w:left w:val="nil"/>
              <w:bottom w:val="single" w:sz="4" w:space="0" w:color="auto"/>
              <w:right w:val="nil"/>
            </w:tcBorders>
            <w:shd w:val="clear" w:color="000000" w:fill="FFFFFF"/>
            <w:noWrap/>
            <w:vAlign w:val="bottom"/>
            <w:hideMark/>
          </w:tcPr>
          <w:p w14:paraId="5D2DC813"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990" w:type="dxa"/>
            <w:tcBorders>
              <w:left w:val="nil"/>
              <w:bottom w:val="single" w:sz="4" w:space="0" w:color="auto"/>
              <w:right w:val="nil"/>
            </w:tcBorders>
            <w:shd w:val="clear" w:color="000000" w:fill="FFFFFF"/>
          </w:tcPr>
          <w:p w14:paraId="40616E73"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188" w:type="dxa"/>
            <w:tcBorders>
              <w:left w:val="nil"/>
              <w:bottom w:val="single" w:sz="4" w:space="0" w:color="auto"/>
              <w:right w:val="nil"/>
            </w:tcBorders>
            <w:shd w:val="clear" w:color="000000" w:fill="FFFFFF"/>
            <w:noWrap/>
            <w:vAlign w:val="bottom"/>
            <w:hideMark/>
          </w:tcPr>
          <w:p w14:paraId="74D6FAAE"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271" w:type="dxa"/>
            <w:tcBorders>
              <w:left w:val="nil"/>
              <w:bottom w:val="single" w:sz="4" w:space="0" w:color="auto"/>
              <w:right w:val="nil"/>
            </w:tcBorders>
            <w:shd w:val="clear" w:color="000000" w:fill="FFFFFF"/>
            <w:noWrap/>
            <w:vAlign w:val="bottom"/>
            <w:hideMark/>
          </w:tcPr>
          <w:p w14:paraId="765BDB4C"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left w:val="nil"/>
              <w:bottom w:val="single" w:sz="4" w:space="0" w:color="auto"/>
              <w:right w:val="nil"/>
            </w:tcBorders>
            <w:shd w:val="clear" w:color="000000" w:fill="FFFFFF"/>
            <w:noWrap/>
            <w:vAlign w:val="bottom"/>
            <w:hideMark/>
          </w:tcPr>
          <w:p w14:paraId="3CF8D6A4"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188" w:type="dxa"/>
            <w:tcBorders>
              <w:left w:val="nil"/>
              <w:bottom w:val="single" w:sz="4" w:space="0" w:color="auto"/>
              <w:right w:val="nil"/>
            </w:tcBorders>
            <w:shd w:val="clear" w:color="000000" w:fill="FFFFFF"/>
            <w:noWrap/>
            <w:vAlign w:val="bottom"/>
            <w:hideMark/>
          </w:tcPr>
          <w:p w14:paraId="314F17F0"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900" w:type="dxa"/>
            <w:tcBorders>
              <w:left w:val="nil"/>
              <w:bottom w:val="single" w:sz="4" w:space="0" w:color="auto"/>
              <w:right w:val="nil"/>
            </w:tcBorders>
            <w:shd w:val="clear" w:color="000000" w:fill="FFFFFF"/>
          </w:tcPr>
          <w:p w14:paraId="42561B2B"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xml:space="preserve"> FE</w:t>
            </w:r>
          </w:p>
        </w:tc>
        <w:tc>
          <w:tcPr>
            <w:tcW w:w="1188" w:type="dxa"/>
            <w:tcBorders>
              <w:left w:val="nil"/>
              <w:bottom w:val="single" w:sz="4" w:space="0" w:color="auto"/>
              <w:right w:val="nil"/>
            </w:tcBorders>
            <w:shd w:val="clear" w:color="000000" w:fill="FFFFFF"/>
            <w:noWrap/>
            <w:vAlign w:val="bottom"/>
            <w:hideMark/>
          </w:tcPr>
          <w:p w14:paraId="7C5D174F"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329" w:type="dxa"/>
            <w:tcBorders>
              <w:left w:val="nil"/>
              <w:bottom w:val="single" w:sz="4" w:space="0" w:color="auto"/>
              <w:right w:val="nil"/>
            </w:tcBorders>
            <w:shd w:val="clear" w:color="000000" w:fill="FFFFFF"/>
            <w:noWrap/>
            <w:vAlign w:val="bottom"/>
            <w:hideMark/>
          </w:tcPr>
          <w:p w14:paraId="1A5437F9"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left w:val="nil"/>
              <w:bottom w:val="single" w:sz="4" w:space="0" w:color="auto"/>
              <w:right w:val="nil"/>
            </w:tcBorders>
            <w:shd w:val="clear" w:color="000000" w:fill="FFFFFF"/>
            <w:noWrap/>
            <w:vAlign w:val="bottom"/>
            <w:hideMark/>
          </w:tcPr>
          <w:p w14:paraId="2BF4121E"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260" w:type="dxa"/>
            <w:tcBorders>
              <w:left w:val="nil"/>
              <w:bottom w:val="single" w:sz="4" w:space="0" w:color="auto"/>
              <w:right w:val="nil"/>
            </w:tcBorders>
            <w:shd w:val="clear" w:color="000000" w:fill="FFFFFF"/>
            <w:noWrap/>
            <w:vAlign w:val="bottom"/>
            <w:hideMark/>
          </w:tcPr>
          <w:p w14:paraId="4D67C763"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c>
          <w:tcPr>
            <w:tcW w:w="900" w:type="dxa"/>
            <w:tcBorders>
              <w:left w:val="nil"/>
              <w:bottom w:val="single" w:sz="4" w:space="0" w:color="auto"/>
              <w:right w:val="nil"/>
            </w:tcBorders>
            <w:shd w:val="clear" w:color="000000" w:fill="FFFFFF"/>
          </w:tcPr>
          <w:p w14:paraId="21590D8A"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w:t>
            </w:r>
          </w:p>
        </w:tc>
        <w:tc>
          <w:tcPr>
            <w:tcW w:w="1080" w:type="dxa"/>
            <w:gridSpan w:val="2"/>
            <w:tcBorders>
              <w:left w:val="nil"/>
              <w:bottom w:val="single" w:sz="4" w:space="0" w:color="auto"/>
              <w:right w:val="nil"/>
            </w:tcBorders>
            <w:shd w:val="clear" w:color="000000" w:fill="FFFFFF"/>
            <w:noWrap/>
            <w:vAlign w:val="bottom"/>
            <w:hideMark/>
          </w:tcPr>
          <w:p w14:paraId="7069222C" w14:textId="77777777" w:rsidR="00AC2200" w:rsidRPr="00735EAE" w:rsidRDefault="00AC2200" w:rsidP="00B82731">
            <w:pPr>
              <w:spacing w:before="60"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FE-IV</w:t>
            </w:r>
          </w:p>
        </w:tc>
      </w:tr>
      <w:tr w:rsidR="00AC2200" w:rsidRPr="0010167B" w14:paraId="7D132E37" w14:textId="77777777" w:rsidTr="00AC2200">
        <w:trPr>
          <w:trHeight w:val="65"/>
        </w:trPr>
        <w:tc>
          <w:tcPr>
            <w:tcW w:w="15390" w:type="dxa"/>
            <w:gridSpan w:val="18"/>
            <w:tcBorders>
              <w:top w:val="nil"/>
              <w:left w:val="nil"/>
              <w:bottom w:val="nil"/>
              <w:right w:val="nil"/>
            </w:tcBorders>
            <w:shd w:val="clear" w:color="000000" w:fill="FFFFFF"/>
          </w:tcPr>
          <w:p w14:paraId="30B72500" w14:textId="77777777" w:rsidR="00AC2200" w:rsidRPr="00735EAE" w:rsidRDefault="00AC2200" w:rsidP="00462A0D">
            <w:pPr>
              <w:spacing w:after="60"/>
              <w:jc w:val="both"/>
              <w:rPr>
                <w:rFonts w:asciiTheme="majorBidi" w:hAnsiTheme="majorBidi" w:cstheme="majorBidi"/>
                <w:i/>
                <w:color w:val="000000" w:themeColor="text1"/>
                <w:sz w:val="22"/>
              </w:rPr>
            </w:pPr>
            <w:r w:rsidRPr="00735EAE">
              <w:rPr>
                <w:rFonts w:asciiTheme="majorBidi" w:hAnsiTheme="majorBidi" w:cstheme="majorBidi"/>
                <w:i/>
                <w:color w:val="000000" w:themeColor="text1"/>
                <w:sz w:val="22"/>
              </w:rPr>
              <w:t>Panel A: Attendance Rate</w:t>
            </w:r>
          </w:p>
        </w:tc>
      </w:tr>
      <w:tr w:rsidR="00AC2200" w:rsidRPr="0010167B" w14:paraId="066DB7D1" w14:textId="77777777" w:rsidTr="00AC2200">
        <w:trPr>
          <w:trHeight w:val="32"/>
        </w:trPr>
        <w:tc>
          <w:tcPr>
            <w:tcW w:w="2070" w:type="dxa"/>
            <w:gridSpan w:val="2"/>
            <w:tcBorders>
              <w:top w:val="nil"/>
              <w:left w:val="nil"/>
              <w:bottom w:val="nil"/>
              <w:right w:val="nil"/>
            </w:tcBorders>
            <w:shd w:val="clear" w:color="000000" w:fill="FFFFFF"/>
            <w:noWrap/>
            <w:vAlign w:val="bottom"/>
            <w:hideMark/>
          </w:tcPr>
          <w:p w14:paraId="44920873"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xml:space="preserve">Migration Model </w:t>
            </w:r>
          </w:p>
        </w:tc>
        <w:tc>
          <w:tcPr>
            <w:tcW w:w="1065" w:type="dxa"/>
            <w:gridSpan w:val="2"/>
            <w:tcBorders>
              <w:top w:val="nil"/>
              <w:left w:val="nil"/>
              <w:bottom w:val="nil"/>
              <w:right w:val="nil"/>
            </w:tcBorders>
            <w:shd w:val="clear" w:color="000000" w:fill="FFFFFF"/>
            <w:noWrap/>
            <w:vAlign w:val="bottom"/>
            <w:hideMark/>
          </w:tcPr>
          <w:p w14:paraId="315AFC58"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-0.002</w:t>
            </w:r>
          </w:p>
        </w:tc>
        <w:tc>
          <w:tcPr>
            <w:tcW w:w="1188" w:type="dxa"/>
            <w:tcBorders>
              <w:top w:val="nil"/>
              <w:left w:val="nil"/>
              <w:bottom w:val="nil"/>
              <w:right w:val="nil"/>
            </w:tcBorders>
            <w:shd w:val="clear" w:color="000000" w:fill="FFFFFF"/>
            <w:noWrap/>
            <w:vAlign w:val="bottom"/>
            <w:hideMark/>
          </w:tcPr>
          <w:p w14:paraId="0A8F8A46"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-0.069</w:t>
            </w:r>
          </w:p>
        </w:tc>
        <w:tc>
          <w:tcPr>
            <w:tcW w:w="990" w:type="dxa"/>
            <w:tcBorders>
              <w:top w:val="nil"/>
              <w:left w:val="nil"/>
              <w:bottom w:val="nil"/>
              <w:right w:val="nil"/>
            </w:tcBorders>
            <w:shd w:val="clear" w:color="000000" w:fill="FFFFFF"/>
          </w:tcPr>
          <w:p w14:paraId="3FB84BCA" w14:textId="77777777" w:rsidR="00AC2200" w:rsidRPr="00735EAE" w:rsidRDefault="00AC2200" w:rsidP="00462A0D">
            <w:pPr>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vAlign w:val="bottom"/>
            <w:hideMark/>
          </w:tcPr>
          <w:p w14:paraId="1C404C3E"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271" w:type="dxa"/>
            <w:tcBorders>
              <w:top w:val="nil"/>
              <w:left w:val="nil"/>
              <w:bottom w:val="nil"/>
              <w:right w:val="nil"/>
            </w:tcBorders>
            <w:shd w:val="clear" w:color="000000" w:fill="FFFFFF"/>
            <w:noWrap/>
            <w:vAlign w:val="bottom"/>
            <w:hideMark/>
          </w:tcPr>
          <w:p w14:paraId="69B9A16A"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noWrap/>
            <w:vAlign w:val="bottom"/>
            <w:hideMark/>
          </w:tcPr>
          <w:p w14:paraId="117256DF"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0.005</w:t>
            </w:r>
          </w:p>
        </w:tc>
        <w:tc>
          <w:tcPr>
            <w:tcW w:w="1188" w:type="dxa"/>
            <w:tcBorders>
              <w:top w:val="nil"/>
              <w:left w:val="nil"/>
              <w:bottom w:val="nil"/>
              <w:right w:val="nil"/>
            </w:tcBorders>
            <w:shd w:val="clear" w:color="000000" w:fill="FFFFFF"/>
            <w:noWrap/>
            <w:vAlign w:val="bottom"/>
            <w:hideMark/>
          </w:tcPr>
          <w:p w14:paraId="6A7B6A0C"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0.004</w:t>
            </w:r>
          </w:p>
        </w:tc>
        <w:tc>
          <w:tcPr>
            <w:tcW w:w="900" w:type="dxa"/>
            <w:tcBorders>
              <w:top w:val="nil"/>
              <w:left w:val="nil"/>
              <w:bottom w:val="nil"/>
              <w:right w:val="nil"/>
            </w:tcBorders>
            <w:shd w:val="clear" w:color="000000" w:fill="FFFFFF"/>
          </w:tcPr>
          <w:p w14:paraId="1BA041AD" w14:textId="77777777" w:rsidR="00AC2200" w:rsidRPr="00735EAE" w:rsidRDefault="00AC2200" w:rsidP="00462A0D">
            <w:pPr>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vAlign w:val="bottom"/>
            <w:hideMark/>
          </w:tcPr>
          <w:p w14:paraId="6E04523A"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329" w:type="dxa"/>
            <w:tcBorders>
              <w:top w:val="nil"/>
              <w:left w:val="nil"/>
              <w:bottom w:val="nil"/>
              <w:right w:val="nil"/>
            </w:tcBorders>
            <w:shd w:val="clear" w:color="000000" w:fill="FFFFFF"/>
            <w:noWrap/>
            <w:vAlign w:val="bottom"/>
            <w:hideMark/>
          </w:tcPr>
          <w:p w14:paraId="36D366BE"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vAlign w:val="bottom"/>
            <w:hideMark/>
          </w:tcPr>
          <w:p w14:paraId="6719619C"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-0.007</w:t>
            </w:r>
          </w:p>
        </w:tc>
        <w:tc>
          <w:tcPr>
            <w:tcW w:w="1260" w:type="dxa"/>
            <w:tcBorders>
              <w:top w:val="nil"/>
              <w:left w:val="nil"/>
              <w:bottom w:val="nil"/>
              <w:right w:val="nil"/>
            </w:tcBorders>
            <w:shd w:val="clear" w:color="000000" w:fill="FFFFFF"/>
            <w:noWrap/>
            <w:vAlign w:val="bottom"/>
            <w:hideMark/>
          </w:tcPr>
          <w:p w14:paraId="53C28EAA"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-0.185</w:t>
            </w:r>
          </w:p>
        </w:tc>
        <w:tc>
          <w:tcPr>
            <w:tcW w:w="900" w:type="dxa"/>
            <w:tcBorders>
              <w:top w:val="nil"/>
              <w:left w:val="nil"/>
              <w:bottom w:val="nil"/>
              <w:right w:val="nil"/>
            </w:tcBorders>
            <w:shd w:val="clear" w:color="000000" w:fill="FFFFFF"/>
          </w:tcPr>
          <w:p w14:paraId="69E7E64C" w14:textId="77777777" w:rsidR="00AC2200" w:rsidRPr="00735EAE" w:rsidRDefault="00AC2200" w:rsidP="00462A0D">
            <w:pPr>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vAlign w:val="bottom"/>
            <w:hideMark/>
          </w:tcPr>
          <w:p w14:paraId="007AE9F3"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AC2200" w:rsidRPr="0010167B" w14:paraId="2033A3D0" w14:textId="77777777" w:rsidTr="00AC2200">
        <w:trPr>
          <w:trHeight w:val="80"/>
        </w:trPr>
        <w:tc>
          <w:tcPr>
            <w:tcW w:w="2070" w:type="dxa"/>
            <w:gridSpan w:val="2"/>
            <w:tcBorders>
              <w:top w:val="nil"/>
              <w:left w:val="nil"/>
              <w:bottom w:val="nil"/>
              <w:right w:val="nil"/>
            </w:tcBorders>
            <w:shd w:val="clear" w:color="000000" w:fill="FFFFFF"/>
            <w:noWrap/>
            <w:hideMark/>
          </w:tcPr>
          <w:p w14:paraId="19A19ADF"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65" w:type="dxa"/>
            <w:gridSpan w:val="2"/>
            <w:tcBorders>
              <w:top w:val="nil"/>
              <w:left w:val="nil"/>
              <w:bottom w:val="nil"/>
              <w:right w:val="nil"/>
            </w:tcBorders>
            <w:shd w:val="clear" w:color="000000" w:fill="FFFFFF"/>
            <w:noWrap/>
            <w:hideMark/>
          </w:tcPr>
          <w:p w14:paraId="67BF21F2"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(0.266)</w:t>
            </w:r>
          </w:p>
        </w:tc>
        <w:tc>
          <w:tcPr>
            <w:tcW w:w="3366" w:type="dxa"/>
            <w:gridSpan w:val="3"/>
            <w:tcBorders>
              <w:top w:val="nil"/>
              <w:left w:val="nil"/>
              <w:bottom w:val="nil"/>
              <w:right w:val="nil"/>
            </w:tcBorders>
            <w:shd w:val="clear" w:color="000000" w:fill="FFFFFF"/>
          </w:tcPr>
          <w:p w14:paraId="2A861EF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3.390)*</w:t>
            </w:r>
            <w:proofErr w:type="gramEnd"/>
            <w:r w:rsidRPr="00735EAE">
              <w:rPr>
                <w:rFonts w:asciiTheme="majorBidi" w:hAnsiTheme="majorBidi" w:cstheme="majorBidi"/>
                <w:color w:val="000000" w:themeColor="text1"/>
                <w:sz w:val="22"/>
              </w:rPr>
              <w:t>**</w:t>
            </w:r>
          </w:p>
        </w:tc>
        <w:tc>
          <w:tcPr>
            <w:tcW w:w="271" w:type="dxa"/>
            <w:tcBorders>
              <w:top w:val="nil"/>
              <w:left w:val="nil"/>
              <w:bottom w:val="nil"/>
              <w:right w:val="nil"/>
            </w:tcBorders>
            <w:shd w:val="clear" w:color="000000" w:fill="FFFFFF"/>
            <w:noWrap/>
            <w:hideMark/>
          </w:tcPr>
          <w:p w14:paraId="765E288A"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noWrap/>
            <w:hideMark/>
          </w:tcPr>
          <w:p w14:paraId="1546354A"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(0.634)</w:t>
            </w:r>
          </w:p>
        </w:tc>
        <w:tc>
          <w:tcPr>
            <w:tcW w:w="1188" w:type="dxa"/>
            <w:tcBorders>
              <w:top w:val="nil"/>
              <w:left w:val="nil"/>
              <w:bottom w:val="nil"/>
              <w:right w:val="nil"/>
            </w:tcBorders>
            <w:shd w:val="clear" w:color="000000" w:fill="FFFFFF"/>
            <w:noWrap/>
            <w:hideMark/>
          </w:tcPr>
          <w:p w14:paraId="417714CD"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(0.170)</w:t>
            </w:r>
          </w:p>
        </w:tc>
        <w:tc>
          <w:tcPr>
            <w:tcW w:w="900" w:type="dxa"/>
            <w:tcBorders>
              <w:top w:val="nil"/>
              <w:left w:val="nil"/>
              <w:bottom w:val="nil"/>
              <w:right w:val="nil"/>
            </w:tcBorders>
            <w:shd w:val="clear" w:color="000000" w:fill="FFFFFF"/>
          </w:tcPr>
          <w:p w14:paraId="1065C9CD" w14:textId="77777777" w:rsidR="00AC2200" w:rsidRPr="00735EAE" w:rsidRDefault="00AC2200" w:rsidP="00AC2200">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hideMark/>
          </w:tcPr>
          <w:p w14:paraId="2BFB8255"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329" w:type="dxa"/>
            <w:tcBorders>
              <w:top w:val="nil"/>
              <w:left w:val="nil"/>
              <w:bottom w:val="nil"/>
              <w:right w:val="nil"/>
            </w:tcBorders>
            <w:shd w:val="clear" w:color="000000" w:fill="FFFFFF"/>
            <w:noWrap/>
            <w:hideMark/>
          </w:tcPr>
          <w:p w14:paraId="6AC3CDF1"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hideMark/>
          </w:tcPr>
          <w:p w14:paraId="74C0994C"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(0.404)</w:t>
            </w:r>
          </w:p>
        </w:tc>
        <w:tc>
          <w:tcPr>
            <w:tcW w:w="1260" w:type="dxa"/>
            <w:tcBorders>
              <w:top w:val="nil"/>
              <w:left w:val="nil"/>
              <w:bottom w:val="nil"/>
              <w:right w:val="nil"/>
            </w:tcBorders>
            <w:shd w:val="clear" w:color="000000" w:fill="FFFFFF"/>
            <w:noWrap/>
            <w:hideMark/>
          </w:tcPr>
          <w:p w14:paraId="1BC5F764"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2.959)*</w:t>
            </w:r>
            <w:proofErr w:type="gramEnd"/>
            <w:r w:rsidRPr="00735EAE">
              <w:rPr>
                <w:rFonts w:asciiTheme="majorBidi" w:hAnsiTheme="majorBidi" w:cstheme="majorBidi"/>
                <w:color w:val="000000" w:themeColor="text1"/>
                <w:sz w:val="22"/>
              </w:rPr>
              <w:t>**</w:t>
            </w:r>
          </w:p>
        </w:tc>
        <w:tc>
          <w:tcPr>
            <w:tcW w:w="900" w:type="dxa"/>
            <w:tcBorders>
              <w:top w:val="nil"/>
              <w:left w:val="nil"/>
              <w:bottom w:val="nil"/>
              <w:right w:val="nil"/>
            </w:tcBorders>
            <w:shd w:val="clear" w:color="000000" w:fill="FFFFFF"/>
          </w:tcPr>
          <w:p w14:paraId="14B077B2" w14:textId="77777777" w:rsidR="00AC2200" w:rsidRPr="00735EAE" w:rsidRDefault="00AC2200" w:rsidP="00AC2200">
            <w:pPr>
              <w:spacing w:after="60"/>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hideMark/>
          </w:tcPr>
          <w:p w14:paraId="50EC9C4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AC2200" w:rsidRPr="0010167B" w14:paraId="5E7E6169" w14:textId="77777777" w:rsidTr="00AC2200">
        <w:trPr>
          <w:trHeight w:val="199"/>
        </w:trPr>
        <w:tc>
          <w:tcPr>
            <w:tcW w:w="2070" w:type="dxa"/>
            <w:gridSpan w:val="2"/>
            <w:tcBorders>
              <w:top w:val="nil"/>
              <w:left w:val="nil"/>
              <w:bottom w:val="nil"/>
              <w:right w:val="nil"/>
            </w:tcBorders>
            <w:shd w:val="clear" w:color="000000" w:fill="FFFFFF"/>
            <w:noWrap/>
            <w:vAlign w:val="bottom"/>
            <w:hideMark/>
          </w:tcPr>
          <w:p w14:paraId="04251659"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Remittance Model</w:t>
            </w:r>
          </w:p>
        </w:tc>
        <w:tc>
          <w:tcPr>
            <w:tcW w:w="1065" w:type="dxa"/>
            <w:gridSpan w:val="2"/>
            <w:tcBorders>
              <w:top w:val="nil"/>
              <w:left w:val="nil"/>
              <w:bottom w:val="nil"/>
              <w:right w:val="nil"/>
            </w:tcBorders>
            <w:shd w:val="clear" w:color="000000" w:fill="FFFFFF"/>
            <w:noWrap/>
            <w:vAlign w:val="bottom"/>
            <w:hideMark/>
          </w:tcPr>
          <w:p w14:paraId="1DD711B3"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vAlign w:val="bottom"/>
            <w:hideMark/>
          </w:tcPr>
          <w:p w14:paraId="5ECED0CC"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0" w:type="dxa"/>
            <w:tcBorders>
              <w:top w:val="nil"/>
              <w:left w:val="nil"/>
              <w:bottom w:val="nil"/>
              <w:right w:val="nil"/>
            </w:tcBorders>
            <w:shd w:val="clear" w:color="000000" w:fill="FFFFFF"/>
            <w:vAlign w:val="bottom"/>
          </w:tcPr>
          <w:p w14:paraId="3F2D1AF8"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0.013</w:t>
            </w:r>
          </w:p>
        </w:tc>
        <w:tc>
          <w:tcPr>
            <w:tcW w:w="1188" w:type="dxa"/>
            <w:tcBorders>
              <w:top w:val="nil"/>
              <w:left w:val="nil"/>
              <w:bottom w:val="nil"/>
              <w:right w:val="nil"/>
            </w:tcBorders>
            <w:shd w:val="clear" w:color="000000" w:fill="FFFFFF"/>
            <w:noWrap/>
            <w:vAlign w:val="bottom"/>
            <w:hideMark/>
          </w:tcPr>
          <w:p w14:paraId="40707569"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-0.101</w:t>
            </w:r>
          </w:p>
        </w:tc>
        <w:tc>
          <w:tcPr>
            <w:tcW w:w="271" w:type="dxa"/>
            <w:tcBorders>
              <w:top w:val="nil"/>
              <w:left w:val="nil"/>
              <w:bottom w:val="nil"/>
              <w:right w:val="nil"/>
            </w:tcBorders>
            <w:shd w:val="clear" w:color="000000" w:fill="FFFFFF"/>
            <w:noWrap/>
            <w:vAlign w:val="bottom"/>
            <w:hideMark/>
          </w:tcPr>
          <w:p w14:paraId="35550467"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noWrap/>
            <w:vAlign w:val="bottom"/>
            <w:hideMark/>
          </w:tcPr>
          <w:p w14:paraId="1996B34B"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vAlign w:val="bottom"/>
            <w:hideMark/>
          </w:tcPr>
          <w:p w14:paraId="45690FD9"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vAlign w:val="bottom"/>
          </w:tcPr>
          <w:p w14:paraId="6A91DC3C"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0.015</w:t>
            </w:r>
          </w:p>
        </w:tc>
        <w:tc>
          <w:tcPr>
            <w:tcW w:w="1188" w:type="dxa"/>
            <w:tcBorders>
              <w:top w:val="nil"/>
              <w:left w:val="nil"/>
              <w:bottom w:val="nil"/>
              <w:right w:val="nil"/>
            </w:tcBorders>
            <w:shd w:val="clear" w:color="000000" w:fill="FFFFFF"/>
            <w:noWrap/>
            <w:vAlign w:val="bottom"/>
            <w:hideMark/>
          </w:tcPr>
          <w:p w14:paraId="78BAD2EB"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0.011</w:t>
            </w:r>
          </w:p>
        </w:tc>
        <w:tc>
          <w:tcPr>
            <w:tcW w:w="329" w:type="dxa"/>
            <w:tcBorders>
              <w:top w:val="nil"/>
              <w:left w:val="nil"/>
              <w:bottom w:val="nil"/>
              <w:right w:val="nil"/>
            </w:tcBorders>
            <w:shd w:val="clear" w:color="000000" w:fill="FFFFFF"/>
            <w:noWrap/>
            <w:vAlign w:val="bottom"/>
            <w:hideMark/>
          </w:tcPr>
          <w:p w14:paraId="323A7B81"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vAlign w:val="bottom"/>
            <w:hideMark/>
          </w:tcPr>
          <w:p w14:paraId="08A0E0B4"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0" w:type="dxa"/>
            <w:tcBorders>
              <w:top w:val="nil"/>
              <w:left w:val="nil"/>
              <w:bottom w:val="nil"/>
              <w:right w:val="nil"/>
            </w:tcBorders>
            <w:shd w:val="clear" w:color="000000" w:fill="FFFFFF"/>
            <w:noWrap/>
            <w:vAlign w:val="bottom"/>
            <w:hideMark/>
          </w:tcPr>
          <w:p w14:paraId="1ED90EE4"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vAlign w:val="bottom"/>
          </w:tcPr>
          <w:p w14:paraId="081D0ED5"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0.002</w:t>
            </w:r>
          </w:p>
        </w:tc>
        <w:tc>
          <w:tcPr>
            <w:tcW w:w="1080" w:type="dxa"/>
            <w:gridSpan w:val="2"/>
            <w:tcBorders>
              <w:top w:val="nil"/>
              <w:left w:val="nil"/>
              <w:bottom w:val="nil"/>
              <w:right w:val="nil"/>
            </w:tcBorders>
            <w:shd w:val="clear" w:color="000000" w:fill="FFFFFF"/>
            <w:noWrap/>
            <w:vAlign w:val="bottom"/>
            <w:hideMark/>
          </w:tcPr>
          <w:p w14:paraId="5DCEB83A"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-0.323</w:t>
            </w:r>
          </w:p>
        </w:tc>
      </w:tr>
      <w:tr w:rsidR="00AC2200" w:rsidRPr="0010167B" w14:paraId="297A28E6" w14:textId="77777777" w:rsidTr="00AC2200">
        <w:trPr>
          <w:trHeight w:val="290"/>
        </w:trPr>
        <w:tc>
          <w:tcPr>
            <w:tcW w:w="2070" w:type="dxa"/>
            <w:gridSpan w:val="2"/>
            <w:tcBorders>
              <w:top w:val="nil"/>
              <w:left w:val="nil"/>
              <w:bottom w:val="nil"/>
              <w:right w:val="nil"/>
            </w:tcBorders>
            <w:shd w:val="clear" w:color="000000" w:fill="FFFFFF"/>
            <w:noWrap/>
            <w:hideMark/>
          </w:tcPr>
          <w:p w14:paraId="116CF501"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65" w:type="dxa"/>
            <w:gridSpan w:val="2"/>
            <w:tcBorders>
              <w:top w:val="nil"/>
              <w:left w:val="nil"/>
              <w:bottom w:val="nil"/>
              <w:right w:val="nil"/>
            </w:tcBorders>
            <w:shd w:val="clear" w:color="000000" w:fill="FFFFFF"/>
            <w:noWrap/>
            <w:hideMark/>
          </w:tcPr>
          <w:p w14:paraId="1BFFEE19"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hideMark/>
          </w:tcPr>
          <w:p w14:paraId="445DFA8A"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0" w:type="dxa"/>
            <w:tcBorders>
              <w:top w:val="nil"/>
              <w:left w:val="nil"/>
              <w:bottom w:val="nil"/>
              <w:right w:val="nil"/>
            </w:tcBorders>
            <w:shd w:val="clear" w:color="000000" w:fill="FFFFFF"/>
            <w:vAlign w:val="bottom"/>
          </w:tcPr>
          <w:p w14:paraId="64616895"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2.02)*</w:t>
            </w:r>
            <w:proofErr w:type="gramEnd"/>
            <w:r w:rsidRPr="00735EAE">
              <w:rPr>
                <w:rFonts w:asciiTheme="majorBidi" w:hAnsiTheme="majorBidi" w:cstheme="majorBidi"/>
                <w:color w:val="000000" w:themeColor="text1"/>
                <w:sz w:val="22"/>
              </w:rPr>
              <w:t>*</w:t>
            </w:r>
          </w:p>
        </w:tc>
        <w:tc>
          <w:tcPr>
            <w:tcW w:w="1459" w:type="dxa"/>
            <w:gridSpan w:val="2"/>
            <w:tcBorders>
              <w:top w:val="nil"/>
              <w:left w:val="nil"/>
              <w:bottom w:val="nil"/>
              <w:right w:val="nil"/>
            </w:tcBorders>
            <w:shd w:val="clear" w:color="000000" w:fill="FFFFFF"/>
            <w:noWrap/>
            <w:vAlign w:val="bottom"/>
            <w:hideMark/>
          </w:tcPr>
          <w:p w14:paraId="07F5FDEA"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2.414)*</w:t>
            </w:r>
            <w:proofErr w:type="gramEnd"/>
            <w:r w:rsidRPr="00735EAE">
              <w:rPr>
                <w:rFonts w:asciiTheme="majorBidi" w:hAnsiTheme="majorBidi" w:cstheme="majorBidi"/>
                <w:color w:val="000000" w:themeColor="text1"/>
                <w:sz w:val="22"/>
              </w:rPr>
              <w:t>*</w:t>
            </w:r>
          </w:p>
        </w:tc>
        <w:tc>
          <w:tcPr>
            <w:tcW w:w="900" w:type="dxa"/>
            <w:tcBorders>
              <w:top w:val="nil"/>
              <w:left w:val="nil"/>
              <w:bottom w:val="nil"/>
              <w:right w:val="nil"/>
            </w:tcBorders>
            <w:shd w:val="clear" w:color="000000" w:fill="FFFFFF"/>
            <w:noWrap/>
            <w:hideMark/>
          </w:tcPr>
          <w:p w14:paraId="031AAF10"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hideMark/>
          </w:tcPr>
          <w:p w14:paraId="31BA9D01"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tcPr>
          <w:p w14:paraId="5F25FEF0"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1.88)*</w:t>
            </w:r>
            <w:proofErr w:type="gramEnd"/>
          </w:p>
        </w:tc>
        <w:tc>
          <w:tcPr>
            <w:tcW w:w="1188" w:type="dxa"/>
            <w:tcBorders>
              <w:top w:val="nil"/>
              <w:left w:val="nil"/>
              <w:bottom w:val="nil"/>
              <w:right w:val="nil"/>
            </w:tcBorders>
            <w:shd w:val="clear" w:color="000000" w:fill="FFFFFF"/>
            <w:noWrap/>
            <w:hideMark/>
          </w:tcPr>
          <w:p w14:paraId="4FB22A48"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(0.413)</w:t>
            </w:r>
          </w:p>
        </w:tc>
        <w:tc>
          <w:tcPr>
            <w:tcW w:w="329" w:type="dxa"/>
            <w:tcBorders>
              <w:top w:val="nil"/>
              <w:left w:val="nil"/>
              <w:bottom w:val="nil"/>
              <w:right w:val="nil"/>
            </w:tcBorders>
            <w:shd w:val="clear" w:color="000000" w:fill="FFFFFF"/>
            <w:noWrap/>
            <w:hideMark/>
          </w:tcPr>
          <w:p w14:paraId="010CF7FB"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hideMark/>
          </w:tcPr>
          <w:p w14:paraId="69921A45"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0" w:type="dxa"/>
            <w:tcBorders>
              <w:top w:val="nil"/>
              <w:left w:val="nil"/>
              <w:bottom w:val="nil"/>
              <w:right w:val="nil"/>
            </w:tcBorders>
            <w:shd w:val="clear" w:color="000000" w:fill="FFFFFF"/>
            <w:noWrap/>
            <w:hideMark/>
          </w:tcPr>
          <w:p w14:paraId="2506AADA"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tcPr>
          <w:p w14:paraId="0BD52DB6"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(0.19)</w:t>
            </w:r>
          </w:p>
        </w:tc>
        <w:tc>
          <w:tcPr>
            <w:tcW w:w="1080" w:type="dxa"/>
            <w:gridSpan w:val="2"/>
            <w:tcBorders>
              <w:top w:val="nil"/>
              <w:left w:val="nil"/>
              <w:bottom w:val="nil"/>
              <w:right w:val="nil"/>
            </w:tcBorders>
            <w:shd w:val="clear" w:color="000000" w:fill="FFFFFF"/>
            <w:noWrap/>
            <w:hideMark/>
          </w:tcPr>
          <w:p w14:paraId="0C4761A8"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2.406)*</w:t>
            </w:r>
            <w:proofErr w:type="gramEnd"/>
            <w:r w:rsidRPr="00735EAE">
              <w:rPr>
                <w:rFonts w:asciiTheme="majorBidi" w:hAnsiTheme="majorBidi" w:cstheme="majorBidi"/>
                <w:color w:val="000000" w:themeColor="text1"/>
                <w:sz w:val="22"/>
              </w:rPr>
              <w:t>*</w:t>
            </w:r>
          </w:p>
        </w:tc>
      </w:tr>
      <w:tr w:rsidR="00AC2200" w:rsidRPr="0010167B" w14:paraId="0E835808" w14:textId="77777777" w:rsidTr="00AC2200">
        <w:trPr>
          <w:trHeight w:val="134"/>
        </w:trPr>
        <w:tc>
          <w:tcPr>
            <w:tcW w:w="2070" w:type="dxa"/>
            <w:gridSpan w:val="2"/>
            <w:tcBorders>
              <w:top w:val="nil"/>
              <w:left w:val="nil"/>
              <w:bottom w:val="nil"/>
              <w:right w:val="nil"/>
            </w:tcBorders>
            <w:shd w:val="clear" w:color="000000" w:fill="FFFFFF"/>
            <w:noWrap/>
          </w:tcPr>
          <w:p w14:paraId="164B9154"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R-Squared (within)</w:t>
            </w:r>
          </w:p>
        </w:tc>
        <w:tc>
          <w:tcPr>
            <w:tcW w:w="1065" w:type="dxa"/>
            <w:gridSpan w:val="2"/>
            <w:tcBorders>
              <w:top w:val="nil"/>
              <w:left w:val="nil"/>
              <w:bottom w:val="nil"/>
              <w:right w:val="nil"/>
            </w:tcBorders>
            <w:shd w:val="clear" w:color="000000" w:fill="FFFFFF"/>
            <w:noWrap/>
          </w:tcPr>
          <w:p w14:paraId="6C12FDF5"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0.056</w:t>
            </w:r>
          </w:p>
        </w:tc>
        <w:tc>
          <w:tcPr>
            <w:tcW w:w="1188" w:type="dxa"/>
            <w:tcBorders>
              <w:top w:val="nil"/>
              <w:left w:val="nil"/>
              <w:bottom w:val="nil"/>
              <w:right w:val="nil"/>
            </w:tcBorders>
            <w:shd w:val="clear" w:color="000000" w:fill="FFFFFF"/>
            <w:noWrap/>
          </w:tcPr>
          <w:p w14:paraId="2FA593EB" w14:textId="77777777" w:rsidR="00AC2200" w:rsidRPr="00735EAE" w:rsidRDefault="00AC2200" w:rsidP="00462A0D">
            <w:pPr>
              <w:spacing w:after="120"/>
              <w:jc w:val="both"/>
              <w:rPr>
                <w:rFonts w:asciiTheme="majorBidi" w:hAnsiTheme="majorBidi" w:cstheme="majorBidi"/>
                <w:color w:val="000000" w:themeColor="text1"/>
                <w:sz w:val="22"/>
              </w:rPr>
            </w:pPr>
          </w:p>
        </w:tc>
        <w:tc>
          <w:tcPr>
            <w:tcW w:w="990" w:type="dxa"/>
            <w:tcBorders>
              <w:top w:val="nil"/>
              <w:left w:val="nil"/>
              <w:bottom w:val="nil"/>
              <w:right w:val="nil"/>
            </w:tcBorders>
            <w:shd w:val="clear" w:color="000000" w:fill="FFFFFF"/>
            <w:vAlign w:val="bottom"/>
          </w:tcPr>
          <w:p w14:paraId="7E287835"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0.061</w:t>
            </w:r>
          </w:p>
        </w:tc>
        <w:tc>
          <w:tcPr>
            <w:tcW w:w="1459" w:type="dxa"/>
            <w:gridSpan w:val="2"/>
            <w:tcBorders>
              <w:top w:val="nil"/>
              <w:left w:val="nil"/>
              <w:bottom w:val="nil"/>
              <w:right w:val="nil"/>
            </w:tcBorders>
            <w:shd w:val="clear" w:color="000000" w:fill="FFFFFF"/>
            <w:noWrap/>
            <w:vAlign w:val="bottom"/>
          </w:tcPr>
          <w:p w14:paraId="71988149"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02A4CD6D"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0.041</w:t>
            </w:r>
          </w:p>
        </w:tc>
        <w:tc>
          <w:tcPr>
            <w:tcW w:w="1188" w:type="dxa"/>
            <w:tcBorders>
              <w:top w:val="nil"/>
              <w:left w:val="nil"/>
              <w:bottom w:val="nil"/>
              <w:right w:val="nil"/>
            </w:tcBorders>
            <w:shd w:val="clear" w:color="000000" w:fill="FFFFFF"/>
            <w:noWrap/>
          </w:tcPr>
          <w:p w14:paraId="0769847A"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tcPr>
          <w:p w14:paraId="760BE06F"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0.047</w:t>
            </w:r>
          </w:p>
        </w:tc>
        <w:tc>
          <w:tcPr>
            <w:tcW w:w="1188" w:type="dxa"/>
            <w:tcBorders>
              <w:top w:val="nil"/>
              <w:left w:val="nil"/>
              <w:bottom w:val="nil"/>
              <w:right w:val="nil"/>
            </w:tcBorders>
            <w:shd w:val="clear" w:color="000000" w:fill="FFFFFF"/>
            <w:noWrap/>
          </w:tcPr>
          <w:p w14:paraId="40AE0849" w14:textId="77777777" w:rsidR="00AC2200" w:rsidRPr="00735EAE" w:rsidRDefault="00AC2200" w:rsidP="00462A0D">
            <w:pPr>
              <w:spacing w:after="120"/>
              <w:jc w:val="both"/>
              <w:rPr>
                <w:rFonts w:asciiTheme="majorBidi" w:hAnsiTheme="majorBidi" w:cstheme="majorBidi"/>
                <w:color w:val="000000" w:themeColor="text1"/>
                <w:sz w:val="22"/>
              </w:rPr>
            </w:pPr>
          </w:p>
        </w:tc>
        <w:tc>
          <w:tcPr>
            <w:tcW w:w="329" w:type="dxa"/>
            <w:tcBorders>
              <w:top w:val="nil"/>
              <w:left w:val="nil"/>
              <w:bottom w:val="nil"/>
              <w:right w:val="nil"/>
            </w:tcBorders>
            <w:shd w:val="clear" w:color="000000" w:fill="FFFFFF"/>
            <w:noWrap/>
          </w:tcPr>
          <w:p w14:paraId="6F80C0E4" w14:textId="77777777" w:rsidR="00AC2200" w:rsidRPr="00735EAE" w:rsidRDefault="00AC2200" w:rsidP="00462A0D">
            <w:pPr>
              <w:spacing w:after="12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3974EC01"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0.077</w:t>
            </w:r>
          </w:p>
        </w:tc>
        <w:tc>
          <w:tcPr>
            <w:tcW w:w="1260" w:type="dxa"/>
            <w:tcBorders>
              <w:top w:val="nil"/>
              <w:left w:val="nil"/>
              <w:bottom w:val="nil"/>
              <w:right w:val="nil"/>
            </w:tcBorders>
            <w:shd w:val="clear" w:color="000000" w:fill="FFFFFF"/>
            <w:noWrap/>
          </w:tcPr>
          <w:p w14:paraId="558EC1E5"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tcPr>
          <w:p w14:paraId="60B15EBB"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0.077</w:t>
            </w:r>
          </w:p>
        </w:tc>
        <w:tc>
          <w:tcPr>
            <w:tcW w:w="1080" w:type="dxa"/>
            <w:gridSpan w:val="2"/>
            <w:tcBorders>
              <w:top w:val="nil"/>
              <w:left w:val="nil"/>
              <w:bottom w:val="nil"/>
              <w:right w:val="nil"/>
            </w:tcBorders>
            <w:shd w:val="clear" w:color="000000" w:fill="FFFFFF"/>
            <w:noWrap/>
          </w:tcPr>
          <w:p w14:paraId="0F8C2565" w14:textId="77777777" w:rsidR="00AC2200" w:rsidRPr="00735EAE" w:rsidRDefault="00AC2200" w:rsidP="00462A0D">
            <w:pPr>
              <w:spacing w:after="120"/>
              <w:jc w:val="both"/>
              <w:rPr>
                <w:rFonts w:asciiTheme="majorBidi" w:hAnsiTheme="majorBidi" w:cstheme="majorBidi"/>
                <w:color w:val="000000" w:themeColor="text1"/>
                <w:sz w:val="22"/>
              </w:rPr>
            </w:pPr>
          </w:p>
        </w:tc>
      </w:tr>
      <w:tr w:rsidR="00AC2200" w:rsidRPr="0010167B" w14:paraId="57CCEF15" w14:textId="77777777" w:rsidTr="00AC2200">
        <w:trPr>
          <w:trHeight w:val="80"/>
        </w:trPr>
        <w:tc>
          <w:tcPr>
            <w:tcW w:w="2070" w:type="dxa"/>
            <w:gridSpan w:val="2"/>
            <w:tcBorders>
              <w:top w:val="nil"/>
              <w:left w:val="nil"/>
              <w:bottom w:val="nil"/>
              <w:right w:val="nil"/>
            </w:tcBorders>
            <w:shd w:val="clear" w:color="000000" w:fill="FFFFFF"/>
            <w:noWrap/>
          </w:tcPr>
          <w:p w14:paraId="026A3E0A"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Wald test</w:t>
            </w:r>
          </w:p>
        </w:tc>
        <w:tc>
          <w:tcPr>
            <w:tcW w:w="1065" w:type="dxa"/>
            <w:gridSpan w:val="2"/>
            <w:tcBorders>
              <w:top w:val="nil"/>
              <w:left w:val="nil"/>
              <w:bottom w:val="nil"/>
              <w:right w:val="nil"/>
            </w:tcBorders>
            <w:shd w:val="clear" w:color="000000" w:fill="FFFFFF"/>
            <w:noWrap/>
          </w:tcPr>
          <w:p w14:paraId="40DAB510"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2160FFD5"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19692.02</w:t>
            </w:r>
          </w:p>
        </w:tc>
        <w:tc>
          <w:tcPr>
            <w:tcW w:w="990" w:type="dxa"/>
            <w:tcBorders>
              <w:top w:val="nil"/>
              <w:left w:val="nil"/>
              <w:bottom w:val="nil"/>
              <w:right w:val="nil"/>
            </w:tcBorders>
            <w:shd w:val="clear" w:color="000000" w:fill="FFFFFF"/>
            <w:vAlign w:val="bottom"/>
          </w:tcPr>
          <w:p w14:paraId="214350C4" w14:textId="77777777" w:rsidR="00AC2200" w:rsidRPr="00735EAE" w:rsidRDefault="00AC2200" w:rsidP="00462A0D">
            <w:pPr>
              <w:spacing w:after="120"/>
              <w:jc w:val="both"/>
              <w:rPr>
                <w:rFonts w:asciiTheme="majorBidi" w:hAnsiTheme="majorBidi" w:cstheme="majorBidi"/>
                <w:color w:val="000000" w:themeColor="text1"/>
                <w:sz w:val="22"/>
              </w:rPr>
            </w:pPr>
          </w:p>
        </w:tc>
        <w:tc>
          <w:tcPr>
            <w:tcW w:w="1459" w:type="dxa"/>
            <w:gridSpan w:val="2"/>
            <w:tcBorders>
              <w:top w:val="nil"/>
              <w:left w:val="nil"/>
              <w:bottom w:val="nil"/>
              <w:right w:val="nil"/>
            </w:tcBorders>
            <w:shd w:val="clear" w:color="000000" w:fill="FFFFFF"/>
            <w:noWrap/>
            <w:vAlign w:val="bottom"/>
          </w:tcPr>
          <w:p w14:paraId="2E7E467F"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14659.26</w:t>
            </w:r>
          </w:p>
        </w:tc>
        <w:tc>
          <w:tcPr>
            <w:tcW w:w="900" w:type="dxa"/>
            <w:tcBorders>
              <w:top w:val="nil"/>
              <w:left w:val="nil"/>
              <w:bottom w:val="nil"/>
              <w:right w:val="nil"/>
            </w:tcBorders>
            <w:shd w:val="clear" w:color="000000" w:fill="FFFFFF"/>
            <w:noWrap/>
          </w:tcPr>
          <w:p w14:paraId="3D634111"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23C3F53B"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7929.04</w:t>
            </w:r>
          </w:p>
        </w:tc>
        <w:tc>
          <w:tcPr>
            <w:tcW w:w="900" w:type="dxa"/>
            <w:tcBorders>
              <w:top w:val="nil"/>
              <w:left w:val="nil"/>
              <w:bottom w:val="nil"/>
              <w:right w:val="nil"/>
            </w:tcBorders>
            <w:shd w:val="clear" w:color="000000" w:fill="FFFFFF"/>
          </w:tcPr>
          <w:p w14:paraId="2FA399EC"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3254C322"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32157.73</w:t>
            </w:r>
          </w:p>
        </w:tc>
        <w:tc>
          <w:tcPr>
            <w:tcW w:w="329" w:type="dxa"/>
            <w:tcBorders>
              <w:top w:val="nil"/>
              <w:left w:val="nil"/>
              <w:bottom w:val="nil"/>
              <w:right w:val="nil"/>
            </w:tcBorders>
            <w:shd w:val="clear" w:color="000000" w:fill="FFFFFF"/>
            <w:noWrap/>
          </w:tcPr>
          <w:p w14:paraId="78CEC55E" w14:textId="77777777" w:rsidR="00AC2200" w:rsidRPr="00735EAE" w:rsidRDefault="00AC2200" w:rsidP="00462A0D">
            <w:pPr>
              <w:spacing w:after="12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2F769512" w14:textId="77777777" w:rsidR="00AC2200" w:rsidRPr="00735EAE" w:rsidRDefault="00AC2200" w:rsidP="00462A0D">
            <w:pPr>
              <w:spacing w:after="120"/>
              <w:jc w:val="both"/>
              <w:rPr>
                <w:rFonts w:asciiTheme="majorBidi" w:hAnsiTheme="majorBidi" w:cstheme="majorBidi"/>
                <w:color w:val="000000" w:themeColor="text1"/>
                <w:sz w:val="22"/>
              </w:rPr>
            </w:pPr>
          </w:p>
        </w:tc>
        <w:tc>
          <w:tcPr>
            <w:tcW w:w="1260" w:type="dxa"/>
            <w:tcBorders>
              <w:top w:val="nil"/>
              <w:left w:val="nil"/>
              <w:bottom w:val="nil"/>
              <w:right w:val="nil"/>
            </w:tcBorders>
            <w:shd w:val="clear" w:color="000000" w:fill="FFFFFF"/>
            <w:noWrap/>
          </w:tcPr>
          <w:p w14:paraId="734198FF"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1909.90</w:t>
            </w:r>
          </w:p>
        </w:tc>
        <w:tc>
          <w:tcPr>
            <w:tcW w:w="900" w:type="dxa"/>
            <w:tcBorders>
              <w:top w:val="nil"/>
              <w:left w:val="nil"/>
              <w:bottom w:val="nil"/>
              <w:right w:val="nil"/>
            </w:tcBorders>
            <w:shd w:val="clear" w:color="000000" w:fill="FFFFFF"/>
          </w:tcPr>
          <w:p w14:paraId="36975716" w14:textId="77777777" w:rsidR="00AC2200" w:rsidRPr="00735EAE" w:rsidRDefault="00AC2200" w:rsidP="00462A0D">
            <w:pPr>
              <w:spacing w:after="120"/>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tcPr>
          <w:p w14:paraId="66F4C8EC"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2740.86</w:t>
            </w:r>
          </w:p>
        </w:tc>
      </w:tr>
      <w:tr w:rsidR="00AC2200" w:rsidRPr="0010167B" w14:paraId="70B64B71" w14:textId="77777777" w:rsidTr="00AC2200">
        <w:trPr>
          <w:trHeight w:val="137"/>
        </w:trPr>
        <w:tc>
          <w:tcPr>
            <w:tcW w:w="15390" w:type="dxa"/>
            <w:gridSpan w:val="18"/>
            <w:tcBorders>
              <w:top w:val="nil"/>
              <w:left w:val="nil"/>
              <w:bottom w:val="nil"/>
              <w:right w:val="nil"/>
            </w:tcBorders>
            <w:shd w:val="clear" w:color="000000" w:fill="FFFFFF"/>
          </w:tcPr>
          <w:p w14:paraId="5F5C3DA8" w14:textId="77777777" w:rsidR="00AC2200" w:rsidRPr="00735EAE" w:rsidRDefault="00AC2200" w:rsidP="00462A0D">
            <w:pPr>
              <w:spacing w:after="60"/>
              <w:jc w:val="both"/>
              <w:rPr>
                <w:rFonts w:asciiTheme="majorBidi" w:hAnsiTheme="majorBidi" w:cstheme="majorBidi"/>
                <w:color w:val="000000" w:themeColor="text1"/>
                <w:sz w:val="22"/>
              </w:rPr>
            </w:pPr>
            <w:r w:rsidRPr="00735EAE">
              <w:rPr>
                <w:rFonts w:asciiTheme="majorBidi" w:hAnsiTheme="majorBidi" w:cstheme="majorBidi"/>
                <w:i/>
                <w:color w:val="000000" w:themeColor="text1"/>
                <w:sz w:val="22"/>
              </w:rPr>
              <w:t>Panel B: Dropout Rate</w:t>
            </w:r>
          </w:p>
        </w:tc>
      </w:tr>
      <w:tr w:rsidR="00AC2200" w:rsidRPr="0010167B" w14:paraId="069637AC" w14:textId="77777777" w:rsidTr="00AC2200">
        <w:trPr>
          <w:trHeight w:val="80"/>
        </w:trPr>
        <w:tc>
          <w:tcPr>
            <w:tcW w:w="2070" w:type="dxa"/>
            <w:gridSpan w:val="2"/>
            <w:tcBorders>
              <w:top w:val="nil"/>
              <w:left w:val="nil"/>
              <w:bottom w:val="nil"/>
              <w:right w:val="nil"/>
            </w:tcBorders>
            <w:shd w:val="clear" w:color="000000" w:fill="FFFFFF"/>
            <w:noWrap/>
            <w:vAlign w:val="bottom"/>
          </w:tcPr>
          <w:p w14:paraId="6DD0FDE0"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Migration Model</w:t>
            </w:r>
          </w:p>
        </w:tc>
        <w:tc>
          <w:tcPr>
            <w:tcW w:w="1065" w:type="dxa"/>
            <w:gridSpan w:val="2"/>
            <w:tcBorders>
              <w:top w:val="nil"/>
              <w:left w:val="nil"/>
              <w:bottom w:val="nil"/>
              <w:right w:val="nil"/>
            </w:tcBorders>
            <w:shd w:val="clear" w:color="000000" w:fill="FFFFFF"/>
            <w:noWrap/>
            <w:vAlign w:val="bottom"/>
          </w:tcPr>
          <w:p w14:paraId="05A86D52"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0.000</w:t>
            </w:r>
          </w:p>
        </w:tc>
        <w:tc>
          <w:tcPr>
            <w:tcW w:w="1188" w:type="dxa"/>
            <w:tcBorders>
              <w:top w:val="nil"/>
              <w:left w:val="nil"/>
              <w:bottom w:val="nil"/>
              <w:right w:val="nil"/>
            </w:tcBorders>
            <w:shd w:val="clear" w:color="000000" w:fill="FFFFFF"/>
            <w:noWrap/>
            <w:vAlign w:val="bottom"/>
          </w:tcPr>
          <w:p w14:paraId="2976887B"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0.043</w:t>
            </w:r>
          </w:p>
        </w:tc>
        <w:tc>
          <w:tcPr>
            <w:tcW w:w="990" w:type="dxa"/>
            <w:tcBorders>
              <w:top w:val="nil"/>
              <w:left w:val="nil"/>
              <w:bottom w:val="nil"/>
              <w:right w:val="nil"/>
            </w:tcBorders>
            <w:shd w:val="clear" w:color="000000" w:fill="FFFFFF"/>
          </w:tcPr>
          <w:p w14:paraId="435E982C" w14:textId="77777777" w:rsidR="00AC2200" w:rsidRPr="00735EAE" w:rsidRDefault="00AC2200" w:rsidP="00462A0D">
            <w:pPr>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vAlign w:val="bottom"/>
          </w:tcPr>
          <w:p w14:paraId="1F00A063"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271" w:type="dxa"/>
            <w:tcBorders>
              <w:top w:val="nil"/>
              <w:left w:val="nil"/>
              <w:bottom w:val="nil"/>
              <w:right w:val="nil"/>
            </w:tcBorders>
            <w:shd w:val="clear" w:color="000000" w:fill="FFFFFF"/>
            <w:noWrap/>
            <w:vAlign w:val="bottom"/>
          </w:tcPr>
          <w:p w14:paraId="7615A59E"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noWrap/>
            <w:vAlign w:val="bottom"/>
          </w:tcPr>
          <w:p w14:paraId="377F8C52"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0.002</w:t>
            </w:r>
          </w:p>
        </w:tc>
        <w:tc>
          <w:tcPr>
            <w:tcW w:w="1188" w:type="dxa"/>
            <w:tcBorders>
              <w:top w:val="nil"/>
              <w:left w:val="nil"/>
              <w:bottom w:val="nil"/>
              <w:right w:val="nil"/>
            </w:tcBorders>
            <w:shd w:val="clear" w:color="000000" w:fill="FFFFFF"/>
            <w:noWrap/>
            <w:vAlign w:val="bottom"/>
          </w:tcPr>
          <w:p w14:paraId="3336EB40"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0.032</w:t>
            </w:r>
          </w:p>
        </w:tc>
        <w:tc>
          <w:tcPr>
            <w:tcW w:w="900" w:type="dxa"/>
            <w:tcBorders>
              <w:top w:val="nil"/>
              <w:left w:val="nil"/>
              <w:bottom w:val="nil"/>
              <w:right w:val="nil"/>
            </w:tcBorders>
            <w:shd w:val="clear" w:color="000000" w:fill="FFFFFF"/>
          </w:tcPr>
          <w:p w14:paraId="5CEBB856" w14:textId="77777777" w:rsidR="00AC2200" w:rsidRPr="00735EAE" w:rsidRDefault="00AC2200" w:rsidP="00462A0D">
            <w:pPr>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vAlign w:val="bottom"/>
          </w:tcPr>
          <w:p w14:paraId="5A0B9D06"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329" w:type="dxa"/>
            <w:tcBorders>
              <w:top w:val="nil"/>
              <w:left w:val="nil"/>
              <w:bottom w:val="nil"/>
              <w:right w:val="nil"/>
            </w:tcBorders>
            <w:shd w:val="clear" w:color="000000" w:fill="FFFFFF"/>
            <w:noWrap/>
            <w:vAlign w:val="bottom"/>
          </w:tcPr>
          <w:p w14:paraId="0A93CA99"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vAlign w:val="bottom"/>
          </w:tcPr>
          <w:p w14:paraId="62CFF3C5"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-0.004</w:t>
            </w:r>
          </w:p>
        </w:tc>
        <w:tc>
          <w:tcPr>
            <w:tcW w:w="1260" w:type="dxa"/>
            <w:tcBorders>
              <w:top w:val="nil"/>
              <w:left w:val="nil"/>
              <w:bottom w:val="nil"/>
              <w:right w:val="nil"/>
            </w:tcBorders>
            <w:shd w:val="clear" w:color="000000" w:fill="FFFFFF"/>
            <w:noWrap/>
            <w:vAlign w:val="bottom"/>
          </w:tcPr>
          <w:p w14:paraId="5EC7C281"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0.140</w:t>
            </w:r>
          </w:p>
        </w:tc>
        <w:tc>
          <w:tcPr>
            <w:tcW w:w="900" w:type="dxa"/>
            <w:tcBorders>
              <w:top w:val="nil"/>
              <w:left w:val="nil"/>
              <w:bottom w:val="nil"/>
              <w:right w:val="nil"/>
            </w:tcBorders>
            <w:shd w:val="clear" w:color="000000" w:fill="FFFFFF"/>
          </w:tcPr>
          <w:p w14:paraId="307DA4F5" w14:textId="77777777" w:rsidR="00AC2200" w:rsidRPr="00735EAE" w:rsidRDefault="00AC2200" w:rsidP="00462A0D">
            <w:pPr>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vAlign w:val="bottom"/>
          </w:tcPr>
          <w:p w14:paraId="5F2E1987"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AC2200" w:rsidRPr="0010167B" w14:paraId="1AE6597A" w14:textId="77777777" w:rsidTr="00AC2200">
        <w:trPr>
          <w:trHeight w:val="80"/>
        </w:trPr>
        <w:tc>
          <w:tcPr>
            <w:tcW w:w="2070" w:type="dxa"/>
            <w:gridSpan w:val="2"/>
            <w:tcBorders>
              <w:top w:val="nil"/>
              <w:left w:val="nil"/>
              <w:bottom w:val="nil"/>
              <w:right w:val="nil"/>
            </w:tcBorders>
            <w:shd w:val="clear" w:color="000000" w:fill="FFFFFF"/>
            <w:noWrap/>
          </w:tcPr>
          <w:p w14:paraId="4AE1653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65" w:type="dxa"/>
            <w:gridSpan w:val="2"/>
            <w:tcBorders>
              <w:top w:val="nil"/>
              <w:left w:val="nil"/>
              <w:bottom w:val="nil"/>
              <w:right w:val="nil"/>
            </w:tcBorders>
            <w:shd w:val="clear" w:color="000000" w:fill="FFFFFF"/>
            <w:noWrap/>
          </w:tcPr>
          <w:p w14:paraId="43F4425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(0.026)</w:t>
            </w:r>
          </w:p>
        </w:tc>
        <w:tc>
          <w:tcPr>
            <w:tcW w:w="1188" w:type="dxa"/>
            <w:tcBorders>
              <w:top w:val="nil"/>
              <w:left w:val="nil"/>
              <w:bottom w:val="nil"/>
              <w:right w:val="nil"/>
            </w:tcBorders>
            <w:shd w:val="clear" w:color="000000" w:fill="FFFFFF"/>
            <w:noWrap/>
          </w:tcPr>
          <w:p w14:paraId="0CA13A1B"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2.981)*</w:t>
            </w:r>
            <w:proofErr w:type="gramEnd"/>
            <w:r w:rsidRPr="00735EAE">
              <w:rPr>
                <w:rFonts w:asciiTheme="majorBidi" w:hAnsiTheme="majorBidi" w:cstheme="majorBidi"/>
                <w:color w:val="000000" w:themeColor="text1"/>
                <w:sz w:val="22"/>
              </w:rPr>
              <w:t>**</w:t>
            </w:r>
          </w:p>
        </w:tc>
        <w:tc>
          <w:tcPr>
            <w:tcW w:w="990" w:type="dxa"/>
            <w:tcBorders>
              <w:top w:val="nil"/>
              <w:left w:val="nil"/>
              <w:bottom w:val="nil"/>
              <w:right w:val="nil"/>
            </w:tcBorders>
            <w:shd w:val="clear" w:color="000000" w:fill="FFFFFF"/>
          </w:tcPr>
          <w:p w14:paraId="203ECA05" w14:textId="77777777" w:rsidR="00AC2200" w:rsidRPr="00735EAE" w:rsidRDefault="00AC2200" w:rsidP="00AC2200">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23D8DBBD"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271" w:type="dxa"/>
            <w:tcBorders>
              <w:top w:val="nil"/>
              <w:left w:val="nil"/>
              <w:bottom w:val="nil"/>
              <w:right w:val="nil"/>
            </w:tcBorders>
            <w:shd w:val="clear" w:color="000000" w:fill="FFFFFF"/>
            <w:noWrap/>
            <w:vAlign w:val="bottom"/>
          </w:tcPr>
          <w:p w14:paraId="5172A4CC" w14:textId="77777777" w:rsidR="00AC2200" w:rsidRPr="00735EAE" w:rsidRDefault="00AC2200" w:rsidP="00AC2200">
            <w:pPr>
              <w:spacing w:after="6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3628F65C"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(0.347)</w:t>
            </w:r>
          </w:p>
        </w:tc>
        <w:tc>
          <w:tcPr>
            <w:tcW w:w="1188" w:type="dxa"/>
            <w:tcBorders>
              <w:top w:val="nil"/>
              <w:left w:val="nil"/>
              <w:bottom w:val="nil"/>
              <w:right w:val="nil"/>
            </w:tcBorders>
            <w:shd w:val="clear" w:color="000000" w:fill="FFFFFF"/>
            <w:noWrap/>
          </w:tcPr>
          <w:p w14:paraId="5C7FEF80"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2.987)*</w:t>
            </w:r>
            <w:proofErr w:type="gramEnd"/>
            <w:r w:rsidRPr="00735EAE">
              <w:rPr>
                <w:rFonts w:asciiTheme="majorBidi" w:hAnsiTheme="majorBidi" w:cstheme="majorBidi"/>
                <w:color w:val="000000" w:themeColor="text1"/>
                <w:sz w:val="22"/>
              </w:rPr>
              <w:t>**</w:t>
            </w:r>
          </w:p>
        </w:tc>
        <w:tc>
          <w:tcPr>
            <w:tcW w:w="900" w:type="dxa"/>
            <w:tcBorders>
              <w:top w:val="nil"/>
              <w:left w:val="nil"/>
              <w:bottom w:val="nil"/>
              <w:right w:val="nil"/>
            </w:tcBorders>
            <w:shd w:val="clear" w:color="000000" w:fill="FFFFFF"/>
          </w:tcPr>
          <w:p w14:paraId="3313F7AA" w14:textId="77777777" w:rsidR="00AC2200" w:rsidRPr="00735EAE" w:rsidRDefault="00AC2200" w:rsidP="00AC2200">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2010F965"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329" w:type="dxa"/>
            <w:tcBorders>
              <w:top w:val="nil"/>
              <w:left w:val="nil"/>
              <w:bottom w:val="nil"/>
              <w:right w:val="nil"/>
            </w:tcBorders>
            <w:shd w:val="clear" w:color="000000" w:fill="FFFFFF"/>
            <w:noWrap/>
          </w:tcPr>
          <w:p w14:paraId="463C59DA" w14:textId="77777777" w:rsidR="00AC2200" w:rsidRPr="00735EAE" w:rsidRDefault="00AC2200" w:rsidP="00AC2200">
            <w:pPr>
              <w:spacing w:after="6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144FE8F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(0.302)</w:t>
            </w:r>
          </w:p>
        </w:tc>
        <w:tc>
          <w:tcPr>
            <w:tcW w:w="1260" w:type="dxa"/>
            <w:tcBorders>
              <w:top w:val="nil"/>
              <w:left w:val="nil"/>
              <w:bottom w:val="nil"/>
              <w:right w:val="nil"/>
            </w:tcBorders>
            <w:shd w:val="clear" w:color="000000" w:fill="FFFFFF"/>
            <w:noWrap/>
          </w:tcPr>
          <w:p w14:paraId="58A86334"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1.993)*</w:t>
            </w:r>
            <w:proofErr w:type="gramEnd"/>
            <w:r w:rsidRPr="00735EAE">
              <w:rPr>
                <w:rFonts w:asciiTheme="majorBidi" w:hAnsiTheme="majorBidi" w:cstheme="majorBidi"/>
                <w:color w:val="000000" w:themeColor="text1"/>
                <w:sz w:val="22"/>
              </w:rPr>
              <w:t>*</w:t>
            </w:r>
          </w:p>
        </w:tc>
        <w:tc>
          <w:tcPr>
            <w:tcW w:w="900" w:type="dxa"/>
            <w:tcBorders>
              <w:top w:val="nil"/>
              <w:left w:val="nil"/>
              <w:bottom w:val="nil"/>
              <w:right w:val="nil"/>
            </w:tcBorders>
            <w:shd w:val="clear" w:color="000000" w:fill="FFFFFF"/>
          </w:tcPr>
          <w:p w14:paraId="4EF2B32E" w14:textId="77777777" w:rsidR="00AC2200" w:rsidRPr="00735EAE" w:rsidRDefault="00AC2200" w:rsidP="00AC2200">
            <w:pPr>
              <w:spacing w:after="60"/>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tcPr>
          <w:p w14:paraId="4FD0DE20"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r>
      <w:tr w:rsidR="00AC2200" w:rsidRPr="0010167B" w14:paraId="29B1C970" w14:textId="77777777" w:rsidTr="00AC2200">
        <w:trPr>
          <w:trHeight w:val="152"/>
        </w:trPr>
        <w:tc>
          <w:tcPr>
            <w:tcW w:w="2070" w:type="dxa"/>
            <w:gridSpan w:val="2"/>
            <w:tcBorders>
              <w:top w:val="nil"/>
              <w:left w:val="nil"/>
              <w:bottom w:val="nil"/>
              <w:right w:val="nil"/>
            </w:tcBorders>
            <w:shd w:val="clear" w:color="000000" w:fill="FFFFFF"/>
            <w:noWrap/>
            <w:vAlign w:val="bottom"/>
          </w:tcPr>
          <w:p w14:paraId="289501DD"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Remittance Model</w:t>
            </w:r>
          </w:p>
        </w:tc>
        <w:tc>
          <w:tcPr>
            <w:tcW w:w="1065" w:type="dxa"/>
            <w:gridSpan w:val="2"/>
            <w:tcBorders>
              <w:top w:val="nil"/>
              <w:left w:val="nil"/>
              <w:bottom w:val="nil"/>
              <w:right w:val="nil"/>
            </w:tcBorders>
            <w:shd w:val="clear" w:color="000000" w:fill="FFFFFF"/>
            <w:noWrap/>
            <w:vAlign w:val="bottom"/>
          </w:tcPr>
          <w:p w14:paraId="777542D7"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vAlign w:val="bottom"/>
          </w:tcPr>
          <w:p w14:paraId="68921DDA"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0" w:type="dxa"/>
            <w:tcBorders>
              <w:top w:val="nil"/>
              <w:left w:val="nil"/>
              <w:bottom w:val="nil"/>
              <w:right w:val="nil"/>
            </w:tcBorders>
            <w:shd w:val="clear" w:color="000000" w:fill="FFFFFF"/>
            <w:vAlign w:val="bottom"/>
          </w:tcPr>
          <w:p w14:paraId="489015D4"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0.001</w:t>
            </w:r>
          </w:p>
        </w:tc>
        <w:tc>
          <w:tcPr>
            <w:tcW w:w="1188" w:type="dxa"/>
            <w:tcBorders>
              <w:top w:val="nil"/>
              <w:left w:val="nil"/>
              <w:bottom w:val="nil"/>
              <w:right w:val="nil"/>
            </w:tcBorders>
            <w:shd w:val="clear" w:color="000000" w:fill="FFFFFF"/>
            <w:noWrap/>
            <w:vAlign w:val="bottom"/>
          </w:tcPr>
          <w:p w14:paraId="5AA2337D"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0.071</w:t>
            </w:r>
          </w:p>
        </w:tc>
        <w:tc>
          <w:tcPr>
            <w:tcW w:w="271" w:type="dxa"/>
            <w:tcBorders>
              <w:top w:val="nil"/>
              <w:left w:val="nil"/>
              <w:bottom w:val="nil"/>
              <w:right w:val="nil"/>
            </w:tcBorders>
            <w:shd w:val="clear" w:color="000000" w:fill="FFFFFF"/>
            <w:noWrap/>
            <w:vAlign w:val="bottom"/>
          </w:tcPr>
          <w:p w14:paraId="1B9E3B92"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noWrap/>
            <w:vAlign w:val="bottom"/>
          </w:tcPr>
          <w:p w14:paraId="20601EDE"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vAlign w:val="bottom"/>
          </w:tcPr>
          <w:p w14:paraId="228CE16C"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vAlign w:val="bottom"/>
          </w:tcPr>
          <w:p w14:paraId="11B0BD9C"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0.001</w:t>
            </w:r>
          </w:p>
        </w:tc>
        <w:tc>
          <w:tcPr>
            <w:tcW w:w="1188" w:type="dxa"/>
            <w:tcBorders>
              <w:top w:val="nil"/>
              <w:left w:val="nil"/>
              <w:bottom w:val="nil"/>
              <w:right w:val="nil"/>
            </w:tcBorders>
            <w:shd w:val="clear" w:color="000000" w:fill="FFFFFF"/>
            <w:noWrap/>
            <w:vAlign w:val="bottom"/>
          </w:tcPr>
          <w:p w14:paraId="4466C730"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0.055</w:t>
            </w:r>
          </w:p>
        </w:tc>
        <w:tc>
          <w:tcPr>
            <w:tcW w:w="329" w:type="dxa"/>
            <w:tcBorders>
              <w:top w:val="nil"/>
              <w:left w:val="nil"/>
              <w:bottom w:val="nil"/>
              <w:right w:val="nil"/>
            </w:tcBorders>
            <w:shd w:val="clear" w:color="000000" w:fill="FFFFFF"/>
            <w:noWrap/>
            <w:vAlign w:val="bottom"/>
          </w:tcPr>
          <w:p w14:paraId="35F45B26"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vAlign w:val="bottom"/>
          </w:tcPr>
          <w:p w14:paraId="7A598B0E"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0" w:type="dxa"/>
            <w:tcBorders>
              <w:top w:val="nil"/>
              <w:left w:val="nil"/>
              <w:bottom w:val="nil"/>
              <w:right w:val="nil"/>
            </w:tcBorders>
            <w:shd w:val="clear" w:color="000000" w:fill="FFFFFF"/>
            <w:noWrap/>
            <w:vAlign w:val="bottom"/>
          </w:tcPr>
          <w:p w14:paraId="58389883"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vAlign w:val="bottom"/>
          </w:tcPr>
          <w:p w14:paraId="0E3FC052"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-0.006</w:t>
            </w:r>
          </w:p>
        </w:tc>
        <w:tc>
          <w:tcPr>
            <w:tcW w:w="1080" w:type="dxa"/>
            <w:gridSpan w:val="2"/>
            <w:tcBorders>
              <w:top w:val="nil"/>
              <w:left w:val="nil"/>
              <w:bottom w:val="nil"/>
              <w:right w:val="nil"/>
            </w:tcBorders>
            <w:shd w:val="clear" w:color="000000" w:fill="FFFFFF"/>
            <w:noWrap/>
            <w:vAlign w:val="bottom"/>
          </w:tcPr>
          <w:p w14:paraId="3EC1BE64" w14:textId="77777777" w:rsidR="00AC2200" w:rsidRPr="00735EAE" w:rsidRDefault="00AC2200" w:rsidP="00462A0D">
            <w:pPr>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0.239</w:t>
            </w:r>
          </w:p>
        </w:tc>
      </w:tr>
      <w:tr w:rsidR="00AC2200" w:rsidRPr="0010167B" w14:paraId="42F1458F" w14:textId="77777777" w:rsidTr="00AC2200">
        <w:trPr>
          <w:trHeight w:val="80"/>
        </w:trPr>
        <w:tc>
          <w:tcPr>
            <w:tcW w:w="2070" w:type="dxa"/>
            <w:gridSpan w:val="2"/>
            <w:tcBorders>
              <w:top w:val="nil"/>
              <w:left w:val="nil"/>
              <w:bottom w:val="nil"/>
              <w:right w:val="nil"/>
            </w:tcBorders>
            <w:shd w:val="clear" w:color="000000" w:fill="FFFFFF"/>
            <w:noWrap/>
          </w:tcPr>
          <w:p w14:paraId="4C57C0F8"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065" w:type="dxa"/>
            <w:gridSpan w:val="2"/>
            <w:tcBorders>
              <w:top w:val="nil"/>
              <w:left w:val="nil"/>
              <w:bottom w:val="nil"/>
              <w:right w:val="nil"/>
            </w:tcBorders>
            <w:shd w:val="clear" w:color="000000" w:fill="FFFFFF"/>
            <w:noWrap/>
          </w:tcPr>
          <w:p w14:paraId="5D92CDBF"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tcPr>
          <w:p w14:paraId="63EC088D"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90" w:type="dxa"/>
            <w:tcBorders>
              <w:top w:val="nil"/>
              <w:left w:val="nil"/>
              <w:bottom w:val="nil"/>
              <w:right w:val="nil"/>
            </w:tcBorders>
            <w:shd w:val="clear" w:color="000000" w:fill="FFFFFF"/>
          </w:tcPr>
          <w:p w14:paraId="7111063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(0.87)</w:t>
            </w:r>
          </w:p>
        </w:tc>
        <w:tc>
          <w:tcPr>
            <w:tcW w:w="1188" w:type="dxa"/>
            <w:tcBorders>
              <w:top w:val="nil"/>
              <w:left w:val="nil"/>
              <w:bottom w:val="nil"/>
              <w:right w:val="nil"/>
            </w:tcBorders>
            <w:shd w:val="clear" w:color="000000" w:fill="FFFFFF"/>
            <w:noWrap/>
          </w:tcPr>
          <w:p w14:paraId="3527D1D5"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2.888)*</w:t>
            </w:r>
            <w:proofErr w:type="gramEnd"/>
            <w:r w:rsidRPr="00735EAE">
              <w:rPr>
                <w:rFonts w:asciiTheme="majorBidi" w:hAnsiTheme="majorBidi" w:cstheme="majorBidi"/>
                <w:color w:val="000000" w:themeColor="text1"/>
                <w:sz w:val="22"/>
              </w:rPr>
              <w:t>**</w:t>
            </w:r>
          </w:p>
        </w:tc>
        <w:tc>
          <w:tcPr>
            <w:tcW w:w="271" w:type="dxa"/>
            <w:tcBorders>
              <w:top w:val="nil"/>
              <w:left w:val="nil"/>
              <w:bottom w:val="nil"/>
              <w:right w:val="nil"/>
            </w:tcBorders>
            <w:shd w:val="clear" w:color="000000" w:fill="FFFFFF"/>
            <w:noWrap/>
            <w:vAlign w:val="bottom"/>
          </w:tcPr>
          <w:p w14:paraId="53A9A33B" w14:textId="77777777" w:rsidR="00AC2200" w:rsidRPr="00735EAE" w:rsidRDefault="00AC2200" w:rsidP="00AC2200">
            <w:pPr>
              <w:spacing w:after="6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2DE7F9E2"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188" w:type="dxa"/>
            <w:tcBorders>
              <w:top w:val="nil"/>
              <w:left w:val="nil"/>
              <w:bottom w:val="nil"/>
              <w:right w:val="nil"/>
            </w:tcBorders>
            <w:shd w:val="clear" w:color="000000" w:fill="FFFFFF"/>
            <w:noWrap/>
          </w:tcPr>
          <w:p w14:paraId="376A18B6"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tcPr>
          <w:p w14:paraId="7C42CE2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(0.76)</w:t>
            </w:r>
          </w:p>
        </w:tc>
        <w:tc>
          <w:tcPr>
            <w:tcW w:w="1188" w:type="dxa"/>
            <w:tcBorders>
              <w:top w:val="nil"/>
              <w:left w:val="nil"/>
              <w:bottom w:val="nil"/>
              <w:right w:val="nil"/>
            </w:tcBorders>
            <w:shd w:val="clear" w:color="000000" w:fill="FFFFFF"/>
            <w:noWrap/>
          </w:tcPr>
          <w:p w14:paraId="29EB149E"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2.841)*</w:t>
            </w:r>
            <w:proofErr w:type="gramEnd"/>
            <w:r w:rsidRPr="00735EAE">
              <w:rPr>
                <w:rFonts w:asciiTheme="majorBidi" w:hAnsiTheme="majorBidi" w:cstheme="majorBidi"/>
                <w:color w:val="000000" w:themeColor="text1"/>
                <w:sz w:val="22"/>
              </w:rPr>
              <w:t>**</w:t>
            </w:r>
          </w:p>
        </w:tc>
        <w:tc>
          <w:tcPr>
            <w:tcW w:w="329" w:type="dxa"/>
            <w:tcBorders>
              <w:top w:val="nil"/>
              <w:left w:val="nil"/>
              <w:bottom w:val="nil"/>
              <w:right w:val="nil"/>
            </w:tcBorders>
            <w:shd w:val="clear" w:color="000000" w:fill="FFFFFF"/>
            <w:noWrap/>
          </w:tcPr>
          <w:p w14:paraId="3A82CDA3"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nil"/>
              <w:right w:val="nil"/>
            </w:tcBorders>
            <w:shd w:val="clear" w:color="000000" w:fill="FFFFFF"/>
            <w:noWrap/>
          </w:tcPr>
          <w:p w14:paraId="4717B0B2"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1260" w:type="dxa"/>
            <w:tcBorders>
              <w:top w:val="nil"/>
              <w:left w:val="nil"/>
              <w:bottom w:val="nil"/>
              <w:right w:val="nil"/>
            </w:tcBorders>
            <w:shd w:val="clear" w:color="000000" w:fill="FFFFFF"/>
            <w:noWrap/>
          </w:tcPr>
          <w:p w14:paraId="72E26544"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nil"/>
              <w:right w:val="nil"/>
            </w:tcBorders>
            <w:shd w:val="clear" w:color="000000" w:fill="FFFFFF"/>
          </w:tcPr>
          <w:p w14:paraId="7253E247"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(0.642)</w:t>
            </w:r>
          </w:p>
        </w:tc>
        <w:tc>
          <w:tcPr>
            <w:tcW w:w="1080" w:type="dxa"/>
            <w:gridSpan w:val="2"/>
            <w:tcBorders>
              <w:top w:val="nil"/>
              <w:left w:val="nil"/>
              <w:bottom w:val="nil"/>
              <w:right w:val="nil"/>
            </w:tcBorders>
            <w:shd w:val="clear" w:color="000000" w:fill="FFFFFF"/>
            <w:noWrap/>
          </w:tcPr>
          <w:p w14:paraId="171CB24F" w14:textId="77777777" w:rsidR="00AC2200" w:rsidRPr="00735EAE" w:rsidRDefault="00AC2200" w:rsidP="00AC2200">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w:t>
            </w:r>
            <w:proofErr w:type="gramStart"/>
            <w:r w:rsidRPr="00735EAE">
              <w:rPr>
                <w:rFonts w:asciiTheme="majorBidi" w:hAnsiTheme="majorBidi" w:cstheme="majorBidi"/>
                <w:color w:val="000000" w:themeColor="text1"/>
                <w:sz w:val="22"/>
              </w:rPr>
              <w:t>2.026)*</w:t>
            </w:r>
            <w:proofErr w:type="gramEnd"/>
            <w:r w:rsidRPr="00735EAE">
              <w:rPr>
                <w:rFonts w:asciiTheme="majorBidi" w:hAnsiTheme="majorBidi" w:cstheme="majorBidi"/>
                <w:color w:val="000000" w:themeColor="text1"/>
                <w:sz w:val="22"/>
              </w:rPr>
              <w:t>*</w:t>
            </w:r>
          </w:p>
        </w:tc>
      </w:tr>
      <w:tr w:rsidR="00AC2200" w:rsidRPr="0010167B" w14:paraId="36A98F9B" w14:textId="77777777" w:rsidTr="00AC2200">
        <w:trPr>
          <w:trHeight w:val="199"/>
        </w:trPr>
        <w:tc>
          <w:tcPr>
            <w:tcW w:w="2070" w:type="dxa"/>
            <w:gridSpan w:val="2"/>
            <w:tcBorders>
              <w:top w:val="nil"/>
              <w:left w:val="nil"/>
              <w:bottom w:val="nil"/>
              <w:right w:val="nil"/>
            </w:tcBorders>
            <w:shd w:val="clear" w:color="000000" w:fill="FFFFFF"/>
            <w:noWrap/>
          </w:tcPr>
          <w:p w14:paraId="371EB3D7"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R-Squared (within)</w:t>
            </w:r>
          </w:p>
        </w:tc>
        <w:tc>
          <w:tcPr>
            <w:tcW w:w="1065" w:type="dxa"/>
            <w:gridSpan w:val="2"/>
            <w:tcBorders>
              <w:top w:val="nil"/>
              <w:left w:val="nil"/>
              <w:bottom w:val="nil"/>
              <w:right w:val="nil"/>
            </w:tcBorders>
            <w:shd w:val="clear" w:color="000000" w:fill="FFFFFF"/>
            <w:noWrap/>
          </w:tcPr>
          <w:p w14:paraId="2FE61786"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0.005</w:t>
            </w:r>
          </w:p>
        </w:tc>
        <w:tc>
          <w:tcPr>
            <w:tcW w:w="1188" w:type="dxa"/>
            <w:tcBorders>
              <w:top w:val="nil"/>
              <w:left w:val="nil"/>
              <w:bottom w:val="nil"/>
              <w:right w:val="nil"/>
            </w:tcBorders>
            <w:shd w:val="clear" w:color="000000" w:fill="FFFFFF"/>
            <w:noWrap/>
          </w:tcPr>
          <w:p w14:paraId="2921300B" w14:textId="77777777" w:rsidR="00AC2200" w:rsidRPr="00735EAE" w:rsidRDefault="00AC2200" w:rsidP="00462A0D">
            <w:pPr>
              <w:spacing w:after="120"/>
              <w:jc w:val="both"/>
              <w:rPr>
                <w:rFonts w:asciiTheme="majorBidi" w:hAnsiTheme="majorBidi" w:cstheme="majorBidi"/>
                <w:color w:val="000000" w:themeColor="text1"/>
                <w:sz w:val="22"/>
              </w:rPr>
            </w:pPr>
          </w:p>
        </w:tc>
        <w:tc>
          <w:tcPr>
            <w:tcW w:w="990" w:type="dxa"/>
            <w:tcBorders>
              <w:top w:val="nil"/>
              <w:left w:val="nil"/>
              <w:bottom w:val="nil"/>
              <w:right w:val="nil"/>
            </w:tcBorders>
            <w:shd w:val="clear" w:color="000000" w:fill="FFFFFF"/>
          </w:tcPr>
          <w:p w14:paraId="793CF0F5"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0.006</w:t>
            </w:r>
          </w:p>
        </w:tc>
        <w:tc>
          <w:tcPr>
            <w:tcW w:w="1188" w:type="dxa"/>
            <w:tcBorders>
              <w:top w:val="nil"/>
              <w:left w:val="nil"/>
              <w:bottom w:val="nil"/>
              <w:right w:val="nil"/>
            </w:tcBorders>
            <w:shd w:val="clear" w:color="000000" w:fill="FFFFFF"/>
            <w:noWrap/>
          </w:tcPr>
          <w:p w14:paraId="31F4D47A" w14:textId="77777777" w:rsidR="00AC2200" w:rsidRPr="00735EAE" w:rsidRDefault="00AC2200" w:rsidP="00462A0D">
            <w:pPr>
              <w:spacing w:after="120"/>
              <w:jc w:val="both"/>
              <w:rPr>
                <w:rFonts w:asciiTheme="majorBidi" w:hAnsiTheme="majorBidi" w:cstheme="majorBidi"/>
                <w:color w:val="000000" w:themeColor="text1"/>
                <w:sz w:val="22"/>
              </w:rPr>
            </w:pPr>
          </w:p>
        </w:tc>
        <w:tc>
          <w:tcPr>
            <w:tcW w:w="271" w:type="dxa"/>
            <w:tcBorders>
              <w:top w:val="nil"/>
              <w:left w:val="nil"/>
              <w:bottom w:val="nil"/>
              <w:right w:val="nil"/>
            </w:tcBorders>
            <w:shd w:val="clear" w:color="000000" w:fill="FFFFFF"/>
            <w:noWrap/>
            <w:vAlign w:val="bottom"/>
          </w:tcPr>
          <w:p w14:paraId="18880E56"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369AADB1"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0.013</w:t>
            </w:r>
          </w:p>
        </w:tc>
        <w:tc>
          <w:tcPr>
            <w:tcW w:w="1188" w:type="dxa"/>
            <w:tcBorders>
              <w:top w:val="nil"/>
              <w:left w:val="nil"/>
              <w:bottom w:val="nil"/>
              <w:right w:val="nil"/>
            </w:tcBorders>
            <w:shd w:val="clear" w:color="000000" w:fill="FFFFFF"/>
            <w:noWrap/>
          </w:tcPr>
          <w:p w14:paraId="67063ED5"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tcPr>
          <w:p w14:paraId="75A561EB"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0.013</w:t>
            </w:r>
          </w:p>
        </w:tc>
        <w:tc>
          <w:tcPr>
            <w:tcW w:w="1188" w:type="dxa"/>
            <w:tcBorders>
              <w:top w:val="nil"/>
              <w:left w:val="nil"/>
              <w:bottom w:val="nil"/>
              <w:right w:val="nil"/>
            </w:tcBorders>
            <w:shd w:val="clear" w:color="000000" w:fill="FFFFFF"/>
            <w:noWrap/>
          </w:tcPr>
          <w:p w14:paraId="64AA6DD4" w14:textId="77777777" w:rsidR="00AC2200" w:rsidRPr="00735EAE" w:rsidRDefault="00AC2200" w:rsidP="00462A0D">
            <w:pPr>
              <w:spacing w:after="120"/>
              <w:jc w:val="both"/>
              <w:rPr>
                <w:rFonts w:asciiTheme="majorBidi" w:hAnsiTheme="majorBidi" w:cstheme="majorBidi"/>
                <w:color w:val="000000" w:themeColor="text1"/>
                <w:sz w:val="22"/>
              </w:rPr>
            </w:pPr>
          </w:p>
        </w:tc>
        <w:tc>
          <w:tcPr>
            <w:tcW w:w="329" w:type="dxa"/>
            <w:tcBorders>
              <w:top w:val="nil"/>
              <w:left w:val="nil"/>
              <w:bottom w:val="nil"/>
              <w:right w:val="nil"/>
            </w:tcBorders>
            <w:shd w:val="clear" w:color="000000" w:fill="FFFFFF"/>
            <w:noWrap/>
          </w:tcPr>
          <w:p w14:paraId="794448C9" w14:textId="77777777" w:rsidR="00AC2200" w:rsidRPr="00735EAE" w:rsidRDefault="00AC2200" w:rsidP="00462A0D">
            <w:pPr>
              <w:spacing w:after="12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4BA94101"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0.043</w:t>
            </w:r>
          </w:p>
        </w:tc>
        <w:tc>
          <w:tcPr>
            <w:tcW w:w="1260" w:type="dxa"/>
            <w:tcBorders>
              <w:top w:val="nil"/>
              <w:left w:val="nil"/>
              <w:bottom w:val="nil"/>
              <w:right w:val="nil"/>
            </w:tcBorders>
            <w:shd w:val="clear" w:color="000000" w:fill="FFFFFF"/>
            <w:noWrap/>
          </w:tcPr>
          <w:p w14:paraId="372F921D"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tcPr>
          <w:p w14:paraId="370538B4"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0.043</w:t>
            </w:r>
          </w:p>
        </w:tc>
        <w:tc>
          <w:tcPr>
            <w:tcW w:w="1080" w:type="dxa"/>
            <w:gridSpan w:val="2"/>
            <w:tcBorders>
              <w:top w:val="nil"/>
              <w:left w:val="nil"/>
              <w:bottom w:val="nil"/>
              <w:right w:val="nil"/>
            </w:tcBorders>
            <w:shd w:val="clear" w:color="000000" w:fill="FFFFFF"/>
            <w:noWrap/>
          </w:tcPr>
          <w:p w14:paraId="5E5D26E2" w14:textId="77777777" w:rsidR="00AC2200" w:rsidRPr="00735EAE" w:rsidRDefault="00AC2200" w:rsidP="00462A0D">
            <w:pPr>
              <w:spacing w:after="120"/>
              <w:jc w:val="both"/>
              <w:rPr>
                <w:rFonts w:asciiTheme="majorBidi" w:hAnsiTheme="majorBidi" w:cstheme="majorBidi"/>
                <w:color w:val="000000" w:themeColor="text1"/>
                <w:sz w:val="22"/>
              </w:rPr>
            </w:pPr>
          </w:p>
        </w:tc>
      </w:tr>
      <w:tr w:rsidR="00AC2200" w:rsidRPr="0010167B" w14:paraId="7B1B4F65" w14:textId="77777777" w:rsidTr="00AC2200">
        <w:trPr>
          <w:trHeight w:val="199"/>
        </w:trPr>
        <w:tc>
          <w:tcPr>
            <w:tcW w:w="2070" w:type="dxa"/>
            <w:gridSpan w:val="2"/>
            <w:tcBorders>
              <w:top w:val="nil"/>
              <w:left w:val="nil"/>
              <w:bottom w:val="nil"/>
              <w:right w:val="nil"/>
            </w:tcBorders>
            <w:shd w:val="clear" w:color="000000" w:fill="FFFFFF"/>
            <w:noWrap/>
          </w:tcPr>
          <w:p w14:paraId="1E1BFFFF"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eastAsia="Times New Roman" w:hAnsiTheme="majorBidi" w:cstheme="majorBidi"/>
                <w:color w:val="000000" w:themeColor="text1"/>
                <w:sz w:val="22"/>
              </w:rPr>
              <w:t>Wald test</w:t>
            </w:r>
          </w:p>
        </w:tc>
        <w:tc>
          <w:tcPr>
            <w:tcW w:w="1065" w:type="dxa"/>
            <w:gridSpan w:val="2"/>
            <w:tcBorders>
              <w:top w:val="nil"/>
              <w:left w:val="nil"/>
              <w:bottom w:val="nil"/>
              <w:right w:val="nil"/>
            </w:tcBorders>
            <w:shd w:val="clear" w:color="000000" w:fill="FFFFFF"/>
            <w:noWrap/>
          </w:tcPr>
          <w:p w14:paraId="33388B77"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1B4B260E"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10.34</w:t>
            </w:r>
          </w:p>
        </w:tc>
        <w:tc>
          <w:tcPr>
            <w:tcW w:w="990" w:type="dxa"/>
            <w:tcBorders>
              <w:top w:val="nil"/>
              <w:left w:val="nil"/>
              <w:bottom w:val="nil"/>
              <w:right w:val="nil"/>
            </w:tcBorders>
            <w:shd w:val="clear" w:color="000000" w:fill="FFFFFF"/>
          </w:tcPr>
          <w:p w14:paraId="2CFFA80D"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66DEC0B4"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126.11</w:t>
            </w:r>
          </w:p>
        </w:tc>
        <w:tc>
          <w:tcPr>
            <w:tcW w:w="271" w:type="dxa"/>
            <w:tcBorders>
              <w:top w:val="nil"/>
              <w:left w:val="nil"/>
              <w:bottom w:val="nil"/>
              <w:right w:val="nil"/>
            </w:tcBorders>
            <w:shd w:val="clear" w:color="000000" w:fill="FFFFFF"/>
            <w:noWrap/>
            <w:vAlign w:val="bottom"/>
          </w:tcPr>
          <w:p w14:paraId="0A93AC42" w14:textId="77777777" w:rsidR="00AC2200" w:rsidRPr="00735EAE" w:rsidRDefault="00AC2200" w:rsidP="00462A0D">
            <w:pPr>
              <w:spacing w:after="12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5E4424E9"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7748DCAD"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13.65</w:t>
            </w:r>
          </w:p>
        </w:tc>
        <w:tc>
          <w:tcPr>
            <w:tcW w:w="900" w:type="dxa"/>
            <w:tcBorders>
              <w:top w:val="nil"/>
              <w:left w:val="nil"/>
              <w:bottom w:val="nil"/>
              <w:right w:val="nil"/>
            </w:tcBorders>
            <w:shd w:val="clear" w:color="000000" w:fill="FFFFFF"/>
          </w:tcPr>
          <w:p w14:paraId="4146D77A" w14:textId="77777777" w:rsidR="00AC2200" w:rsidRPr="00735EAE" w:rsidRDefault="00AC2200" w:rsidP="00462A0D">
            <w:pPr>
              <w:spacing w:after="12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55C53C42"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104.32</w:t>
            </w:r>
          </w:p>
        </w:tc>
        <w:tc>
          <w:tcPr>
            <w:tcW w:w="329" w:type="dxa"/>
            <w:tcBorders>
              <w:top w:val="nil"/>
              <w:left w:val="nil"/>
              <w:bottom w:val="nil"/>
              <w:right w:val="nil"/>
            </w:tcBorders>
            <w:shd w:val="clear" w:color="000000" w:fill="FFFFFF"/>
            <w:noWrap/>
          </w:tcPr>
          <w:p w14:paraId="0AA5A11F" w14:textId="77777777" w:rsidR="00AC2200" w:rsidRPr="00735EAE" w:rsidRDefault="00AC2200" w:rsidP="00462A0D">
            <w:pPr>
              <w:spacing w:after="12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0F22E061" w14:textId="77777777" w:rsidR="00AC2200" w:rsidRPr="00735EAE" w:rsidRDefault="00AC2200" w:rsidP="00462A0D">
            <w:pPr>
              <w:spacing w:after="120"/>
              <w:jc w:val="both"/>
              <w:rPr>
                <w:rFonts w:asciiTheme="majorBidi" w:hAnsiTheme="majorBidi" w:cstheme="majorBidi"/>
                <w:color w:val="000000" w:themeColor="text1"/>
                <w:sz w:val="22"/>
              </w:rPr>
            </w:pPr>
          </w:p>
        </w:tc>
        <w:tc>
          <w:tcPr>
            <w:tcW w:w="1260" w:type="dxa"/>
            <w:tcBorders>
              <w:top w:val="nil"/>
              <w:left w:val="nil"/>
              <w:bottom w:val="nil"/>
              <w:right w:val="nil"/>
            </w:tcBorders>
            <w:shd w:val="clear" w:color="000000" w:fill="FFFFFF"/>
            <w:noWrap/>
          </w:tcPr>
          <w:p w14:paraId="4806B2F8"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54.18</w:t>
            </w:r>
          </w:p>
        </w:tc>
        <w:tc>
          <w:tcPr>
            <w:tcW w:w="900" w:type="dxa"/>
            <w:tcBorders>
              <w:top w:val="nil"/>
              <w:left w:val="nil"/>
              <w:bottom w:val="nil"/>
              <w:right w:val="nil"/>
            </w:tcBorders>
            <w:shd w:val="clear" w:color="000000" w:fill="FFFFFF"/>
          </w:tcPr>
          <w:p w14:paraId="440CA3BE" w14:textId="77777777" w:rsidR="00AC2200" w:rsidRPr="00735EAE" w:rsidRDefault="00AC2200" w:rsidP="00462A0D">
            <w:pPr>
              <w:spacing w:after="120"/>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tcPr>
          <w:p w14:paraId="33F28D16" w14:textId="77777777" w:rsidR="00AC2200" w:rsidRPr="00735EAE" w:rsidRDefault="00AC2200" w:rsidP="00462A0D">
            <w:pPr>
              <w:spacing w:after="12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120.08</w:t>
            </w:r>
          </w:p>
        </w:tc>
      </w:tr>
      <w:tr w:rsidR="00AC2200" w:rsidRPr="0010167B" w14:paraId="5914D2B3" w14:textId="77777777" w:rsidTr="00AC2200">
        <w:trPr>
          <w:trHeight w:val="123"/>
        </w:trPr>
        <w:tc>
          <w:tcPr>
            <w:tcW w:w="2070" w:type="dxa"/>
            <w:gridSpan w:val="2"/>
            <w:tcBorders>
              <w:top w:val="nil"/>
              <w:left w:val="nil"/>
              <w:bottom w:val="nil"/>
              <w:right w:val="nil"/>
            </w:tcBorders>
            <w:shd w:val="clear" w:color="000000" w:fill="FFFFFF"/>
            <w:noWrap/>
          </w:tcPr>
          <w:p w14:paraId="60970DA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Control Variables</w:t>
            </w:r>
          </w:p>
        </w:tc>
        <w:tc>
          <w:tcPr>
            <w:tcW w:w="1065" w:type="dxa"/>
            <w:gridSpan w:val="2"/>
            <w:tcBorders>
              <w:top w:val="nil"/>
              <w:left w:val="nil"/>
              <w:bottom w:val="nil"/>
              <w:right w:val="nil"/>
            </w:tcBorders>
            <w:shd w:val="clear" w:color="000000" w:fill="FFFFFF"/>
            <w:noWrap/>
          </w:tcPr>
          <w:p w14:paraId="1DF2F3FE"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188" w:type="dxa"/>
            <w:tcBorders>
              <w:top w:val="nil"/>
              <w:left w:val="nil"/>
              <w:bottom w:val="nil"/>
              <w:right w:val="nil"/>
            </w:tcBorders>
            <w:shd w:val="clear" w:color="000000" w:fill="FFFFFF"/>
            <w:noWrap/>
          </w:tcPr>
          <w:p w14:paraId="0C871F95"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990" w:type="dxa"/>
            <w:tcBorders>
              <w:top w:val="nil"/>
              <w:left w:val="nil"/>
              <w:bottom w:val="nil"/>
              <w:right w:val="nil"/>
            </w:tcBorders>
            <w:shd w:val="clear" w:color="000000" w:fill="FFFFFF"/>
          </w:tcPr>
          <w:p w14:paraId="36D35578" w14:textId="77777777" w:rsidR="00AC2200" w:rsidRPr="00735EAE" w:rsidRDefault="00AC2200" w:rsidP="00BD0974">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6482BB3A"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271" w:type="dxa"/>
            <w:tcBorders>
              <w:top w:val="nil"/>
              <w:left w:val="nil"/>
              <w:bottom w:val="nil"/>
              <w:right w:val="nil"/>
            </w:tcBorders>
            <w:shd w:val="clear" w:color="000000" w:fill="FFFFFF"/>
            <w:noWrap/>
          </w:tcPr>
          <w:p w14:paraId="065589B9" w14:textId="77777777" w:rsidR="00AC2200" w:rsidRPr="00735EAE" w:rsidRDefault="00AC2200" w:rsidP="00BD0974">
            <w:pPr>
              <w:spacing w:after="6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1A913608"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188" w:type="dxa"/>
            <w:tcBorders>
              <w:top w:val="nil"/>
              <w:left w:val="nil"/>
              <w:bottom w:val="nil"/>
              <w:right w:val="nil"/>
            </w:tcBorders>
            <w:shd w:val="clear" w:color="000000" w:fill="FFFFFF"/>
            <w:noWrap/>
          </w:tcPr>
          <w:p w14:paraId="4FD290BF"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900" w:type="dxa"/>
            <w:tcBorders>
              <w:top w:val="nil"/>
              <w:left w:val="nil"/>
              <w:bottom w:val="nil"/>
              <w:right w:val="nil"/>
            </w:tcBorders>
            <w:shd w:val="clear" w:color="000000" w:fill="FFFFFF"/>
          </w:tcPr>
          <w:p w14:paraId="5C07BFEF" w14:textId="77777777" w:rsidR="00AC2200" w:rsidRPr="00735EAE" w:rsidRDefault="00AC2200" w:rsidP="00BD0974">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305B17C8"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329" w:type="dxa"/>
            <w:tcBorders>
              <w:top w:val="nil"/>
              <w:left w:val="nil"/>
              <w:bottom w:val="nil"/>
              <w:right w:val="nil"/>
            </w:tcBorders>
            <w:shd w:val="clear" w:color="000000" w:fill="FFFFFF"/>
            <w:noWrap/>
          </w:tcPr>
          <w:p w14:paraId="31AC12F9" w14:textId="77777777" w:rsidR="00AC2200" w:rsidRPr="00735EAE" w:rsidRDefault="00AC2200" w:rsidP="00BD0974">
            <w:pPr>
              <w:spacing w:after="6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3160A097"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60" w:type="dxa"/>
            <w:tcBorders>
              <w:top w:val="nil"/>
              <w:left w:val="nil"/>
              <w:bottom w:val="nil"/>
              <w:right w:val="nil"/>
            </w:tcBorders>
            <w:shd w:val="clear" w:color="000000" w:fill="FFFFFF"/>
            <w:noWrap/>
          </w:tcPr>
          <w:p w14:paraId="62FD9B4B"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900" w:type="dxa"/>
            <w:tcBorders>
              <w:top w:val="nil"/>
              <w:left w:val="nil"/>
              <w:bottom w:val="nil"/>
              <w:right w:val="nil"/>
            </w:tcBorders>
            <w:shd w:val="clear" w:color="000000" w:fill="FFFFFF"/>
          </w:tcPr>
          <w:p w14:paraId="363B6F4D" w14:textId="77777777" w:rsidR="00AC2200" w:rsidRPr="00735EAE" w:rsidRDefault="00AC2200" w:rsidP="00BD0974">
            <w:pPr>
              <w:spacing w:after="60"/>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tcPr>
          <w:p w14:paraId="2129BBC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r>
      <w:tr w:rsidR="00AC2200" w:rsidRPr="0010167B" w14:paraId="48C45515" w14:textId="77777777" w:rsidTr="00AC2200">
        <w:trPr>
          <w:trHeight w:val="123"/>
        </w:trPr>
        <w:tc>
          <w:tcPr>
            <w:tcW w:w="2070" w:type="dxa"/>
            <w:gridSpan w:val="2"/>
            <w:tcBorders>
              <w:top w:val="nil"/>
              <w:left w:val="nil"/>
              <w:bottom w:val="nil"/>
              <w:right w:val="nil"/>
            </w:tcBorders>
            <w:shd w:val="clear" w:color="000000" w:fill="FFFFFF"/>
            <w:noWrap/>
          </w:tcPr>
          <w:p w14:paraId="59ECFB0B"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Time and Village FE</w:t>
            </w:r>
          </w:p>
        </w:tc>
        <w:tc>
          <w:tcPr>
            <w:tcW w:w="1065" w:type="dxa"/>
            <w:gridSpan w:val="2"/>
            <w:tcBorders>
              <w:top w:val="nil"/>
              <w:left w:val="nil"/>
              <w:bottom w:val="nil"/>
              <w:right w:val="nil"/>
            </w:tcBorders>
            <w:shd w:val="clear" w:color="000000" w:fill="FFFFFF"/>
            <w:noWrap/>
          </w:tcPr>
          <w:p w14:paraId="7367C4DC"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188" w:type="dxa"/>
            <w:tcBorders>
              <w:top w:val="nil"/>
              <w:left w:val="nil"/>
              <w:bottom w:val="nil"/>
              <w:right w:val="nil"/>
            </w:tcBorders>
            <w:shd w:val="clear" w:color="000000" w:fill="FFFFFF"/>
            <w:noWrap/>
          </w:tcPr>
          <w:p w14:paraId="6EF83364"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990" w:type="dxa"/>
            <w:tcBorders>
              <w:top w:val="nil"/>
              <w:left w:val="nil"/>
              <w:bottom w:val="nil"/>
              <w:right w:val="nil"/>
            </w:tcBorders>
            <w:shd w:val="clear" w:color="000000" w:fill="FFFFFF"/>
          </w:tcPr>
          <w:p w14:paraId="42D86CC1" w14:textId="77777777" w:rsidR="00AC2200" w:rsidRPr="00735EAE" w:rsidRDefault="00AC2200" w:rsidP="00BD0974">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03D0F179"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271" w:type="dxa"/>
            <w:tcBorders>
              <w:top w:val="nil"/>
              <w:left w:val="nil"/>
              <w:bottom w:val="nil"/>
              <w:right w:val="nil"/>
            </w:tcBorders>
            <w:shd w:val="clear" w:color="000000" w:fill="FFFFFF"/>
            <w:noWrap/>
          </w:tcPr>
          <w:p w14:paraId="01CC5BC5" w14:textId="77777777" w:rsidR="00AC2200" w:rsidRPr="00735EAE" w:rsidRDefault="00AC2200" w:rsidP="00BD0974">
            <w:pPr>
              <w:spacing w:after="60"/>
              <w:jc w:val="both"/>
              <w:rPr>
                <w:rFonts w:asciiTheme="majorBidi" w:hAnsiTheme="majorBidi" w:cstheme="majorBidi"/>
                <w:color w:val="000000" w:themeColor="text1"/>
                <w:sz w:val="22"/>
              </w:rPr>
            </w:pPr>
          </w:p>
        </w:tc>
        <w:tc>
          <w:tcPr>
            <w:tcW w:w="900" w:type="dxa"/>
            <w:tcBorders>
              <w:top w:val="nil"/>
              <w:left w:val="nil"/>
              <w:bottom w:val="nil"/>
              <w:right w:val="nil"/>
            </w:tcBorders>
            <w:shd w:val="clear" w:color="000000" w:fill="FFFFFF"/>
            <w:noWrap/>
          </w:tcPr>
          <w:p w14:paraId="17E9398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188" w:type="dxa"/>
            <w:tcBorders>
              <w:top w:val="nil"/>
              <w:left w:val="nil"/>
              <w:bottom w:val="nil"/>
              <w:right w:val="nil"/>
            </w:tcBorders>
            <w:shd w:val="clear" w:color="000000" w:fill="FFFFFF"/>
            <w:noWrap/>
          </w:tcPr>
          <w:p w14:paraId="694FF8C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900" w:type="dxa"/>
            <w:tcBorders>
              <w:top w:val="nil"/>
              <w:left w:val="nil"/>
              <w:bottom w:val="nil"/>
              <w:right w:val="nil"/>
            </w:tcBorders>
            <w:shd w:val="clear" w:color="000000" w:fill="FFFFFF"/>
          </w:tcPr>
          <w:p w14:paraId="3C0714BA" w14:textId="77777777" w:rsidR="00AC2200" w:rsidRPr="00735EAE" w:rsidRDefault="00AC2200" w:rsidP="00BD0974">
            <w:pPr>
              <w:spacing w:after="60"/>
              <w:jc w:val="both"/>
              <w:rPr>
                <w:rFonts w:asciiTheme="majorBidi" w:hAnsiTheme="majorBidi" w:cstheme="majorBidi"/>
                <w:color w:val="000000" w:themeColor="text1"/>
                <w:sz w:val="22"/>
              </w:rPr>
            </w:pPr>
          </w:p>
        </w:tc>
        <w:tc>
          <w:tcPr>
            <w:tcW w:w="1188" w:type="dxa"/>
            <w:tcBorders>
              <w:top w:val="nil"/>
              <w:left w:val="nil"/>
              <w:bottom w:val="nil"/>
              <w:right w:val="nil"/>
            </w:tcBorders>
            <w:shd w:val="clear" w:color="000000" w:fill="FFFFFF"/>
            <w:noWrap/>
          </w:tcPr>
          <w:p w14:paraId="76B2ECC6"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329" w:type="dxa"/>
            <w:tcBorders>
              <w:top w:val="nil"/>
              <w:left w:val="nil"/>
              <w:bottom w:val="nil"/>
              <w:right w:val="nil"/>
            </w:tcBorders>
            <w:shd w:val="clear" w:color="000000" w:fill="FFFFFF"/>
            <w:noWrap/>
          </w:tcPr>
          <w:p w14:paraId="49325387" w14:textId="77777777" w:rsidR="00AC2200" w:rsidRPr="00735EAE" w:rsidRDefault="00AC2200" w:rsidP="00BD0974">
            <w:pPr>
              <w:spacing w:after="60"/>
              <w:jc w:val="both"/>
              <w:rPr>
                <w:rFonts w:asciiTheme="majorBidi" w:hAnsiTheme="majorBidi" w:cstheme="majorBidi"/>
                <w:color w:val="000000" w:themeColor="text1"/>
                <w:sz w:val="22"/>
              </w:rPr>
            </w:pPr>
          </w:p>
        </w:tc>
        <w:tc>
          <w:tcPr>
            <w:tcW w:w="873" w:type="dxa"/>
            <w:tcBorders>
              <w:top w:val="nil"/>
              <w:left w:val="nil"/>
              <w:bottom w:val="nil"/>
              <w:right w:val="nil"/>
            </w:tcBorders>
            <w:shd w:val="clear" w:color="000000" w:fill="FFFFFF"/>
            <w:noWrap/>
          </w:tcPr>
          <w:p w14:paraId="2ABB3597"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1260" w:type="dxa"/>
            <w:tcBorders>
              <w:top w:val="nil"/>
              <w:left w:val="nil"/>
              <w:bottom w:val="nil"/>
              <w:right w:val="nil"/>
            </w:tcBorders>
            <w:shd w:val="clear" w:color="000000" w:fill="FFFFFF"/>
            <w:noWrap/>
          </w:tcPr>
          <w:p w14:paraId="6B03A9A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c>
          <w:tcPr>
            <w:tcW w:w="900" w:type="dxa"/>
            <w:tcBorders>
              <w:top w:val="nil"/>
              <w:left w:val="nil"/>
              <w:bottom w:val="nil"/>
              <w:right w:val="nil"/>
            </w:tcBorders>
            <w:shd w:val="clear" w:color="000000" w:fill="FFFFFF"/>
          </w:tcPr>
          <w:p w14:paraId="068FAC82" w14:textId="77777777" w:rsidR="00AC2200" w:rsidRPr="00735EAE" w:rsidRDefault="00AC2200" w:rsidP="00BD0974">
            <w:pPr>
              <w:spacing w:after="60"/>
              <w:jc w:val="both"/>
              <w:rPr>
                <w:rFonts w:asciiTheme="majorBidi" w:hAnsiTheme="majorBidi" w:cstheme="majorBidi"/>
                <w:color w:val="000000" w:themeColor="text1"/>
                <w:sz w:val="22"/>
              </w:rPr>
            </w:pPr>
          </w:p>
        </w:tc>
        <w:tc>
          <w:tcPr>
            <w:tcW w:w="1080" w:type="dxa"/>
            <w:gridSpan w:val="2"/>
            <w:tcBorders>
              <w:top w:val="nil"/>
              <w:left w:val="nil"/>
              <w:bottom w:val="nil"/>
              <w:right w:val="nil"/>
            </w:tcBorders>
            <w:shd w:val="clear" w:color="000000" w:fill="FFFFFF"/>
            <w:noWrap/>
          </w:tcPr>
          <w:p w14:paraId="50D9A60E"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Yes</w:t>
            </w:r>
          </w:p>
        </w:tc>
      </w:tr>
      <w:tr w:rsidR="00AC2200" w:rsidRPr="0010167B" w14:paraId="58421EF2" w14:textId="77777777" w:rsidTr="00AC2200">
        <w:trPr>
          <w:trHeight w:val="121"/>
        </w:trPr>
        <w:tc>
          <w:tcPr>
            <w:tcW w:w="2070" w:type="dxa"/>
            <w:gridSpan w:val="2"/>
            <w:tcBorders>
              <w:top w:val="nil"/>
              <w:left w:val="nil"/>
              <w:bottom w:val="single" w:sz="4" w:space="0" w:color="auto"/>
              <w:right w:val="nil"/>
            </w:tcBorders>
            <w:shd w:val="clear" w:color="000000" w:fill="FFFFFF"/>
            <w:noWrap/>
            <w:vAlign w:val="bottom"/>
            <w:hideMark/>
          </w:tcPr>
          <w:p w14:paraId="4DAAC48B"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Observation</w:t>
            </w:r>
          </w:p>
        </w:tc>
        <w:tc>
          <w:tcPr>
            <w:tcW w:w="1065" w:type="dxa"/>
            <w:gridSpan w:val="2"/>
            <w:tcBorders>
              <w:top w:val="nil"/>
              <w:left w:val="nil"/>
              <w:bottom w:val="single" w:sz="4" w:space="0" w:color="auto"/>
              <w:right w:val="nil"/>
            </w:tcBorders>
            <w:shd w:val="clear" w:color="000000" w:fill="FFFFFF"/>
            <w:noWrap/>
            <w:vAlign w:val="bottom"/>
            <w:hideMark/>
          </w:tcPr>
          <w:p w14:paraId="2B42EEC6"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1188" w:type="dxa"/>
            <w:tcBorders>
              <w:top w:val="nil"/>
              <w:left w:val="nil"/>
              <w:bottom w:val="single" w:sz="4" w:space="0" w:color="auto"/>
              <w:right w:val="nil"/>
            </w:tcBorders>
            <w:shd w:val="clear" w:color="000000" w:fill="FFFFFF"/>
            <w:noWrap/>
            <w:vAlign w:val="bottom"/>
            <w:hideMark/>
          </w:tcPr>
          <w:p w14:paraId="41CEF97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990" w:type="dxa"/>
            <w:tcBorders>
              <w:top w:val="nil"/>
              <w:left w:val="nil"/>
              <w:bottom w:val="single" w:sz="4" w:space="0" w:color="auto"/>
              <w:right w:val="nil"/>
            </w:tcBorders>
            <w:shd w:val="clear" w:color="000000" w:fill="FFFFFF"/>
          </w:tcPr>
          <w:p w14:paraId="3C446A3F" w14:textId="77777777" w:rsidR="00AC2200" w:rsidRPr="00735EAE" w:rsidRDefault="00AC2200" w:rsidP="00BD0974">
            <w:pPr>
              <w:spacing w:after="60"/>
              <w:jc w:val="both"/>
              <w:rPr>
                <w:rFonts w:asciiTheme="majorBidi" w:hAnsiTheme="majorBidi" w:cstheme="majorBidi"/>
                <w:color w:val="000000" w:themeColor="text1"/>
                <w:sz w:val="22"/>
              </w:rPr>
            </w:pPr>
          </w:p>
        </w:tc>
        <w:tc>
          <w:tcPr>
            <w:tcW w:w="1188" w:type="dxa"/>
            <w:tcBorders>
              <w:top w:val="nil"/>
              <w:left w:val="nil"/>
              <w:bottom w:val="single" w:sz="4" w:space="0" w:color="auto"/>
              <w:right w:val="nil"/>
            </w:tcBorders>
            <w:shd w:val="clear" w:color="000000" w:fill="FFFFFF"/>
            <w:noWrap/>
            <w:vAlign w:val="bottom"/>
            <w:hideMark/>
          </w:tcPr>
          <w:p w14:paraId="27ACD8F1"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998</w:t>
            </w:r>
          </w:p>
        </w:tc>
        <w:tc>
          <w:tcPr>
            <w:tcW w:w="271" w:type="dxa"/>
            <w:tcBorders>
              <w:top w:val="nil"/>
              <w:left w:val="nil"/>
              <w:bottom w:val="single" w:sz="4" w:space="0" w:color="auto"/>
              <w:right w:val="nil"/>
            </w:tcBorders>
            <w:shd w:val="clear" w:color="000000" w:fill="FFFFFF"/>
            <w:noWrap/>
            <w:vAlign w:val="bottom"/>
            <w:hideMark/>
          </w:tcPr>
          <w:p w14:paraId="2D0B582A"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900" w:type="dxa"/>
            <w:tcBorders>
              <w:top w:val="nil"/>
              <w:left w:val="nil"/>
              <w:bottom w:val="single" w:sz="4" w:space="0" w:color="auto"/>
              <w:right w:val="nil"/>
            </w:tcBorders>
            <w:shd w:val="clear" w:color="000000" w:fill="FFFFFF"/>
            <w:noWrap/>
            <w:vAlign w:val="bottom"/>
            <w:hideMark/>
          </w:tcPr>
          <w:p w14:paraId="27420918"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997</w:t>
            </w:r>
          </w:p>
        </w:tc>
        <w:tc>
          <w:tcPr>
            <w:tcW w:w="1188" w:type="dxa"/>
            <w:tcBorders>
              <w:top w:val="nil"/>
              <w:left w:val="nil"/>
              <w:bottom w:val="single" w:sz="4" w:space="0" w:color="auto"/>
              <w:right w:val="nil"/>
            </w:tcBorders>
            <w:shd w:val="clear" w:color="000000" w:fill="FFFFFF"/>
            <w:noWrap/>
            <w:vAlign w:val="bottom"/>
            <w:hideMark/>
          </w:tcPr>
          <w:p w14:paraId="2B639C49"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997</w:t>
            </w:r>
          </w:p>
        </w:tc>
        <w:tc>
          <w:tcPr>
            <w:tcW w:w="900" w:type="dxa"/>
            <w:tcBorders>
              <w:top w:val="nil"/>
              <w:left w:val="nil"/>
              <w:bottom w:val="single" w:sz="4" w:space="0" w:color="auto"/>
              <w:right w:val="nil"/>
            </w:tcBorders>
            <w:shd w:val="clear" w:color="000000" w:fill="FFFFFF"/>
          </w:tcPr>
          <w:p w14:paraId="276F69B3" w14:textId="77777777" w:rsidR="00AC2200" w:rsidRPr="00735EAE" w:rsidRDefault="00AC2200" w:rsidP="00BD0974">
            <w:pPr>
              <w:spacing w:after="60"/>
              <w:jc w:val="both"/>
              <w:rPr>
                <w:rFonts w:asciiTheme="majorBidi" w:hAnsiTheme="majorBidi" w:cstheme="majorBidi"/>
                <w:color w:val="000000" w:themeColor="text1"/>
                <w:sz w:val="22"/>
              </w:rPr>
            </w:pPr>
          </w:p>
        </w:tc>
        <w:tc>
          <w:tcPr>
            <w:tcW w:w="1188" w:type="dxa"/>
            <w:tcBorders>
              <w:top w:val="nil"/>
              <w:left w:val="nil"/>
              <w:bottom w:val="single" w:sz="4" w:space="0" w:color="auto"/>
              <w:right w:val="nil"/>
            </w:tcBorders>
            <w:shd w:val="clear" w:color="000000" w:fill="FFFFFF"/>
            <w:noWrap/>
            <w:vAlign w:val="bottom"/>
            <w:hideMark/>
          </w:tcPr>
          <w:p w14:paraId="7836AEF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997</w:t>
            </w:r>
          </w:p>
        </w:tc>
        <w:tc>
          <w:tcPr>
            <w:tcW w:w="329" w:type="dxa"/>
            <w:tcBorders>
              <w:top w:val="nil"/>
              <w:left w:val="nil"/>
              <w:bottom w:val="single" w:sz="4" w:space="0" w:color="auto"/>
              <w:right w:val="nil"/>
            </w:tcBorders>
            <w:shd w:val="clear" w:color="000000" w:fill="FFFFFF"/>
            <w:noWrap/>
            <w:vAlign w:val="bottom"/>
            <w:hideMark/>
          </w:tcPr>
          <w:p w14:paraId="64E27F96"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 </w:t>
            </w:r>
          </w:p>
        </w:tc>
        <w:tc>
          <w:tcPr>
            <w:tcW w:w="873" w:type="dxa"/>
            <w:tcBorders>
              <w:top w:val="nil"/>
              <w:left w:val="nil"/>
              <w:bottom w:val="single" w:sz="4" w:space="0" w:color="auto"/>
              <w:right w:val="nil"/>
            </w:tcBorders>
            <w:shd w:val="clear" w:color="000000" w:fill="FFFFFF"/>
            <w:noWrap/>
            <w:vAlign w:val="bottom"/>
            <w:hideMark/>
          </w:tcPr>
          <w:p w14:paraId="60457921"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992</w:t>
            </w:r>
          </w:p>
        </w:tc>
        <w:tc>
          <w:tcPr>
            <w:tcW w:w="1260" w:type="dxa"/>
            <w:tcBorders>
              <w:top w:val="nil"/>
              <w:left w:val="nil"/>
              <w:bottom w:val="single" w:sz="4" w:space="0" w:color="auto"/>
              <w:right w:val="nil"/>
            </w:tcBorders>
            <w:shd w:val="clear" w:color="000000" w:fill="FFFFFF"/>
            <w:noWrap/>
            <w:vAlign w:val="bottom"/>
            <w:hideMark/>
          </w:tcPr>
          <w:p w14:paraId="6444C672"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992</w:t>
            </w:r>
          </w:p>
        </w:tc>
        <w:tc>
          <w:tcPr>
            <w:tcW w:w="900" w:type="dxa"/>
            <w:tcBorders>
              <w:top w:val="nil"/>
              <w:left w:val="nil"/>
              <w:bottom w:val="single" w:sz="4" w:space="0" w:color="auto"/>
              <w:right w:val="nil"/>
            </w:tcBorders>
            <w:shd w:val="clear" w:color="000000" w:fill="FFFFFF"/>
          </w:tcPr>
          <w:p w14:paraId="3D7DECFD" w14:textId="77777777" w:rsidR="00AC2200" w:rsidRPr="00735EAE" w:rsidRDefault="00AC2200" w:rsidP="00BD0974">
            <w:pPr>
              <w:spacing w:after="60"/>
              <w:jc w:val="both"/>
              <w:rPr>
                <w:rFonts w:asciiTheme="majorBidi" w:hAnsiTheme="majorBidi" w:cstheme="majorBidi"/>
                <w:color w:val="000000" w:themeColor="text1"/>
                <w:sz w:val="22"/>
              </w:rPr>
            </w:pPr>
          </w:p>
        </w:tc>
        <w:tc>
          <w:tcPr>
            <w:tcW w:w="1080" w:type="dxa"/>
            <w:gridSpan w:val="2"/>
            <w:tcBorders>
              <w:top w:val="nil"/>
              <w:left w:val="nil"/>
              <w:bottom w:val="single" w:sz="4" w:space="0" w:color="auto"/>
              <w:right w:val="nil"/>
            </w:tcBorders>
            <w:shd w:val="clear" w:color="000000" w:fill="FFFFFF"/>
            <w:noWrap/>
            <w:vAlign w:val="bottom"/>
            <w:hideMark/>
          </w:tcPr>
          <w:p w14:paraId="22F97D21" w14:textId="77777777" w:rsidR="00AC2200" w:rsidRPr="00735EAE" w:rsidRDefault="00AC2200" w:rsidP="00BD0974">
            <w:pPr>
              <w:spacing w:after="60"/>
              <w:jc w:val="both"/>
              <w:rPr>
                <w:rFonts w:asciiTheme="majorBidi" w:hAnsiTheme="majorBidi" w:cstheme="majorBidi"/>
                <w:color w:val="000000" w:themeColor="text1"/>
                <w:sz w:val="22"/>
              </w:rPr>
            </w:pPr>
            <w:r w:rsidRPr="00735EAE">
              <w:rPr>
                <w:rFonts w:asciiTheme="majorBidi" w:hAnsiTheme="majorBidi" w:cstheme="majorBidi"/>
                <w:color w:val="000000" w:themeColor="text1"/>
                <w:sz w:val="22"/>
              </w:rPr>
              <w:t>992</w:t>
            </w:r>
          </w:p>
        </w:tc>
      </w:tr>
      <w:tr w:rsidR="00AC2200" w:rsidRPr="004B36B2" w14:paraId="006E689D" w14:textId="77777777" w:rsidTr="00AC2200">
        <w:trPr>
          <w:trHeight w:val="39"/>
        </w:trPr>
        <w:tc>
          <w:tcPr>
            <w:tcW w:w="15390" w:type="dxa"/>
            <w:gridSpan w:val="18"/>
            <w:tcBorders>
              <w:top w:val="single" w:sz="4" w:space="0" w:color="auto"/>
              <w:left w:val="nil"/>
              <w:bottom w:val="nil"/>
            </w:tcBorders>
            <w:shd w:val="clear" w:color="000000" w:fill="FFFFFF"/>
          </w:tcPr>
          <w:p w14:paraId="696465BF" w14:textId="77777777" w:rsidR="00510A97" w:rsidRPr="00510A97" w:rsidRDefault="00510A97" w:rsidP="00AC2200">
            <w:pPr>
              <w:jc w:val="both"/>
              <w:rPr>
                <w:rFonts w:asciiTheme="majorBidi" w:eastAsia="Times New Roman" w:hAnsiTheme="majorBidi" w:cstheme="majorBidi"/>
                <w:color w:val="000000" w:themeColor="text1"/>
                <w:sz w:val="6"/>
                <w:szCs w:val="6"/>
              </w:rPr>
            </w:pPr>
          </w:p>
          <w:p w14:paraId="48ABC341" w14:textId="4223CCF4" w:rsidR="00AC2200" w:rsidRPr="004B36B2" w:rsidRDefault="00510A97" w:rsidP="00AC2200">
            <w:pPr>
              <w:jc w:val="both"/>
              <w:rPr>
                <w:rFonts w:asciiTheme="majorBidi" w:hAnsiTheme="majorBidi" w:cstheme="majorBidi"/>
                <w:color w:val="000000" w:themeColor="text1"/>
                <w:sz w:val="18"/>
                <w:szCs w:val="18"/>
              </w:rPr>
            </w:pPr>
            <w:r>
              <w:rPr>
                <w:rFonts w:asciiTheme="majorBidi" w:eastAsia="Times New Roman" w:hAnsiTheme="majorBidi" w:cstheme="majorBidi"/>
                <w:i/>
                <w:iCs/>
                <w:color w:val="000000" w:themeColor="text1"/>
                <w:sz w:val="18"/>
                <w:szCs w:val="18"/>
              </w:rPr>
              <w:t xml:space="preserve">Notes: </w:t>
            </w:r>
            <w:r w:rsidR="00AC2200" w:rsidRPr="004B36B2">
              <w:rPr>
                <w:rFonts w:asciiTheme="majorBidi" w:eastAsia="Times New Roman" w:hAnsiTheme="majorBidi" w:cstheme="majorBidi"/>
                <w:color w:val="000000" w:themeColor="text1"/>
                <w:sz w:val="18"/>
                <w:szCs w:val="18"/>
              </w:rPr>
              <w:t xml:space="preserve">This table shows the second-stage results for </w:t>
            </w:r>
            <w:r w:rsidR="00AC2200">
              <w:rPr>
                <w:rFonts w:asciiTheme="majorBidi" w:eastAsia="Times New Roman" w:hAnsiTheme="majorBidi" w:cstheme="majorBidi"/>
                <w:color w:val="000000" w:themeColor="text1"/>
                <w:sz w:val="18"/>
                <w:szCs w:val="18"/>
              </w:rPr>
              <w:t>c</w:t>
            </w:r>
            <w:r w:rsidR="00AC2200" w:rsidRPr="004B36B2">
              <w:rPr>
                <w:rFonts w:asciiTheme="majorBidi" w:eastAsia="Times New Roman" w:hAnsiTheme="majorBidi" w:cstheme="majorBidi"/>
                <w:color w:val="000000" w:themeColor="text1"/>
                <w:sz w:val="18"/>
                <w:szCs w:val="18"/>
              </w:rPr>
              <w:t>hild school attendance and dropout rate for children aged 5-16, 5-12 and 13-16. Table has two different panels (A and B) for attendance and dropout rate. Table presents both migration and remittance models. The OLS FE and FE-IV are also presented in the table to show the difference in the coefficients if migration is not instrumented. In FE-IV we have instrumented migration with predicted migration to India and MEOA. The t-statistics in ( ) are derived from cluster-robust standard errors (clustered at 71 Districts), ***, **, * denote</w:t>
            </w:r>
            <w:r w:rsidR="00AC2200" w:rsidRPr="004B36B2">
              <w:rPr>
                <w:rFonts w:asciiTheme="majorBidi" w:hAnsiTheme="majorBidi" w:cstheme="majorBidi"/>
                <w:color w:val="000000" w:themeColor="text1"/>
                <w:sz w:val="18"/>
                <w:szCs w:val="18"/>
              </w:rPr>
              <w:t xml:space="preserve"> 1%, 5%, 10% statistically significance. </w:t>
            </w:r>
            <w:r w:rsidR="00AC2200" w:rsidRPr="004B36B2">
              <w:rPr>
                <w:rFonts w:asciiTheme="majorBidi" w:hAnsiTheme="majorBidi" w:cstheme="majorBidi"/>
                <w:i/>
                <w:color w:val="000000" w:themeColor="text1"/>
                <w:sz w:val="18"/>
                <w:szCs w:val="18"/>
              </w:rPr>
              <w:t>Note:</w:t>
            </w:r>
            <w:r w:rsidR="00AC2200" w:rsidRPr="004B36B2">
              <w:rPr>
                <w:rFonts w:asciiTheme="majorBidi" w:hAnsiTheme="majorBidi" w:cstheme="majorBidi"/>
                <w:color w:val="000000" w:themeColor="text1"/>
                <w:sz w:val="18"/>
                <w:szCs w:val="18"/>
              </w:rPr>
              <w:t xml:space="preserve"> Migration and remittance estimates are in percentage. Full results are available from authors.  </w:t>
            </w:r>
          </w:p>
        </w:tc>
      </w:tr>
    </w:tbl>
    <w:p w14:paraId="4D8506D7" w14:textId="5AFF46B0" w:rsidR="00643C26" w:rsidRDefault="00643C26" w:rsidP="00BB26C8">
      <w:pPr>
        <w:spacing w:line="288" w:lineRule="auto"/>
        <w:ind w:firstLine="567"/>
        <w:jc w:val="both"/>
        <w:rPr>
          <w:rFonts w:asciiTheme="majorBidi" w:hAnsiTheme="majorBidi" w:cstheme="majorBidi"/>
          <w:color w:val="000000" w:themeColor="text1"/>
          <w:szCs w:val="24"/>
        </w:rPr>
      </w:pPr>
    </w:p>
    <w:p w14:paraId="63E7EC22" w14:textId="037E677B" w:rsidR="00BD633A" w:rsidRDefault="00BD633A">
      <w:pPr>
        <w:rPr>
          <w:rFonts w:asciiTheme="majorBidi" w:hAnsiTheme="majorBidi" w:cstheme="majorBidi"/>
          <w:color w:val="000000" w:themeColor="text1"/>
          <w:szCs w:val="24"/>
        </w:rPr>
        <w:sectPr w:rsidR="00BD633A" w:rsidSect="003A462A">
          <w:pgSz w:w="16838" w:h="11906" w:orient="landscape"/>
          <w:pgMar w:top="1440" w:right="1440" w:bottom="1440" w:left="1440" w:header="709" w:footer="709" w:gutter="0"/>
          <w:cols w:space="708"/>
          <w:docGrid w:linePitch="360"/>
        </w:sectPr>
      </w:pPr>
    </w:p>
    <w:p w14:paraId="421BD503" w14:textId="2ED518A4" w:rsidR="00114D7B" w:rsidRDefault="00114D7B" w:rsidP="00206B37">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lastRenderedPageBreak/>
        <w:t>The second implication of the contrast between the Table 3 and Table 5 results is that the effects of migration and remittances on human capital of the left behind may operate in fairly subtle ways</w:t>
      </w:r>
      <w:r w:rsidR="00DB0036">
        <w:rPr>
          <w:rFonts w:asciiTheme="majorBidi" w:hAnsiTheme="majorBidi" w:cstheme="majorBidi"/>
          <w:color w:val="000000" w:themeColor="text1"/>
          <w:szCs w:val="24"/>
        </w:rPr>
        <w:t>,</w:t>
      </w:r>
      <w:r w:rsidRPr="004B36B2">
        <w:rPr>
          <w:rFonts w:asciiTheme="majorBidi" w:hAnsiTheme="majorBidi" w:cstheme="majorBidi"/>
          <w:color w:val="000000" w:themeColor="text1"/>
          <w:szCs w:val="24"/>
        </w:rPr>
        <w:t xml:space="preserve"> for example, by improving age-specific enrolment of older children but not of younger children, with the most likely explanation for this pattern due to the differing costs of the various levels of schooling (including the opportunity cost of labour market work). Given that many previous studies have used simple enrolment and dropout indicators, like those in Table 5, we suggest that it is important to construct </w:t>
      </w:r>
      <w:r w:rsidRPr="004B36B2">
        <w:rPr>
          <w:rFonts w:asciiTheme="majorBidi" w:hAnsiTheme="majorBidi" w:cstheme="majorBidi"/>
          <w:noProof/>
          <w:color w:val="000000" w:themeColor="text1"/>
          <w:szCs w:val="24"/>
        </w:rPr>
        <w:t xml:space="preserve">other measures </w:t>
      </w:r>
      <w:r w:rsidRPr="004B36B2">
        <w:rPr>
          <w:rFonts w:asciiTheme="majorBidi" w:hAnsiTheme="majorBidi" w:cstheme="majorBidi"/>
          <w:color w:val="000000" w:themeColor="text1"/>
          <w:szCs w:val="24"/>
        </w:rPr>
        <w:t xml:space="preserve">of schooling outcomes such as </w:t>
      </w:r>
      <w:r w:rsidRPr="004B36B2">
        <w:rPr>
          <w:rFonts w:asciiTheme="majorBidi" w:hAnsiTheme="majorBidi" w:cstheme="majorBidi"/>
          <w:noProof/>
          <w:color w:val="000000" w:themeColor="text1"/>
          <w:szCs w:val="24"/>
        </w:rPr>
        <w:t>age-specific</w:t>
      </w:r>
      <w:r w:rsidRPr="004B36B2">
        <w:rPr>
          <w:rFonts w:asciiTheme="majorBidi" w:hAnsiTheme="majorBidi" w:cstheme="majorBidi"/>
          <w:color w:val="000000" w:themeColor="text1"/>
          <w:szCs w:val="24"/>
        </w:rPr>
        <w:t xml:space="preserve"> net enrolment rates, schooling deprivation indices, schooling inequality indices, and scores in national assessment of student achievement, in order to better understand the actual situation in terms of the school performance of children. This is especially because, for </w:t>
      </w:r>
      <w:r w:rsidRPr="004B36B2">
        <w:rPr>
          <w:rFonts w:asciiTheme="majorBidi" w:hAnsiTheme="majorBidi" w:cstheme="majorBidi"/>
          <w:noProof/>
          <w:color w:val="000000" w:themeColor="text1"/>
          <w:szCs w:val="24"/>
        </w:rPr>
        <w:t>policymakers,</w:t>
      </w:r>
      <w:r w:rsidRPr="004B36B2">
        <w:rPr>
          <w:rFonts w:asciiTheme="majorBidi" w:hAnsiTheme="majorBidi" w:cstheme="majorBidi"/>
          <w:color w:val="000000" w:themeColor="text1"/>
          <w:szCs w:val="24"/>
        </w:rPr>
        <w:t xml:space="preserve"> school performance may be more important than school attendance because better school performance can translate into a productive workforce and break the cycle of poverty.</w:t>
      </w:r>
    </w:p>
    <w:p w14:paraId="58841D67" w14:textId="77777777" w:rsidR="001A3ED8" w:rsidRPr="004B36B2" w:rsidRDefault="001A3ED8" w:rsidP="00283A3C">
      <w:pPr>
        <w:spacing w:line="288" w:lineRule="auto"/>
        <w:ind w:firstLine="720"/>
        <w:jc w:val="both"/>
        <w:rPr>
          <w:rFonts w:asciiTheme="majorBidi" w:hAnsiTheme="majorBidi" w:cstheme="majorBidi"/>
          <w:color w:val="000000" w:themeColor="text1"/>
          <w:szCs w:val="24"/>
        </w:rPr>
      </w:pPr>
    </w:p>
    <w:p w14:paraId="40C7AF94" w14:textId="6A6EACA3" w:rsidR="00114D7B" w:rsidRPr="004B36B2" w:rsidRDefault="001A3ED8" w:rsidP="00283A3C">
      <w:pPr>
        <w:spacing w:line="288" w:lineRule="auto"/>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5</w:t>
      </w:r>
      <w:r w:rsidR="00114D7B" w:rsidRPr="004B36B2">
        <w:rPr>
          <w:rFonts w:asciiTheme="majorBidi" w:hAnsiTheme="majorBidi" w:cstheme="majorBidi"/>
          <w:b/>
          <w:color w:val="000000" w:themeColor="text1"/>
          <w:szCs w:val="24"/>
        </w:rPr>
        <w:t>. Conclusions</w:t>
      </w:r>
    </w:p>
    <w:p w14:paraId="1CD4F272" w14:textId="77777777" w:rsidR="0010167B" w:rsidRPr="0010167B" w:rsidRDefault="0010167B" w:rsidP="00283A3C">
      <w:pPr>
        <w:spacing w:line="288" w:lineRule="auto"/>
        <w:jc w:val="both"/>
        <w:rPr>
          <w:rFonts w:asciiTheme="majorBidi" w:hAnsiTheme="majorBidi" w:cstheme="majorBidi"/>
          <w:color w:val="000000" w:themeColor="text1"/>
          <w:sz w:val="12"/>
          <w:szCs w:val="12"/>
        </w:rPr>
      </w:pPr>
    </w:p>
    <w:p w14:paraId="47A7924A" w14:textId="39DC9CB6" w:rsidR="00114D7B" w:rsidRDefault="00114D7B" w:rsidP="00283A3C">
      <w:pPr>
        <w:spacing w:line="288" w:lineRule="auto"/>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W</w:t>
      </w:r>
      <w:r w:rsidRPr="004B36B2">
        <w:rPr>
          <w:rFonts w:asciiTheme="majorBidi" w:hAnsiTheme="majorBidi" w:cstheme="majorBidi"/>
          <w:noProof/>
          <w:color w:val="000000" w:themeColor="text1"/>
          <w:szCs w:val="24"/>
        </w:rPr>
        <w:t>ork-related</w:t>
      </w:r>
      <w:r w:rsidRPr="004B36B2">
        <w:rPr>
          <w:rFonts w:asciiTheme="majorBidi" w:hAnsiTheme="majorBidi" w:cstheme="majorBidi"/>
          <w:color w:val="000000" w:themeColor="text1"/>
          <w:szCs w:val="24"/>
        </w:rPr>
        <w:t xml:space="preserve"> international migration from Nepal has become a </w:t>
      </w:r>
      <w:r w:rsidRPr="004B36B2">
        <w:rPr>
          <w:rFonts w:asciiTheme="majorBidi" w:hAnsiTheme="majorBidi" w:cstheme="majorBidi"/>
          <w:noProof/>
          <w:color w:val="000000" w:themeColor="text1"/>
          <w:szCs w:val="24"/>
        </w:rPr>
        <w:t>major</w:t>
      </w:r>
      <w:r w:rsidRPr="004B36B2">
        <w:rPr>
          <w:rFonts w:asciiTheme="majorBidi" w:hAnsiTheme="majorBidi" w:cstheme="majorBidi"/>
          <w:color w:val="000000" w:themeColor="text1"/>
          <w:szCs w:val="24"/>
        </w:rPr>
        <w:t xml:space="preserve"> income generating activity for households. From the </w:t>
      </w:r>
      <w:r w:rsidRPr="004B36B2">
        <w:rPr>
          <w:rFonts w:asciiTheme="majorBidi" w:hAnsiTheme="majorBidi" w:cstheme="majorBidi"/>
          <w:noProof/>
          <w:color w:val="000000" w:themeColor="text1"/>
          <w:szCs w:val="24"/>
        </w:rPr>
        <w:t>period</w:t>
      </w:r>
      <w:r w:rsidRPr="004B36B2">
        <w:rPr>
          <w:rFonts w:asciiTheme="majorBidi" w:hAnsiTheme="majorBidi" w:cstheme="majorBidi"/>
          <w:color w:val="000000" w:themeColor="text1"/>
          <w:szCs w:val="24"/>
        </w:rPr>
        <w:t xml:space="preserve"> 2001 to 2010, Nepal experienced a </w:t>
      </w:r>
      <w:r w:rsidRPr="004B36B2">
        <w:rPr>
          <w:rFonts w:asciiTheme="majorBidi" w:hAnsiTheme="majorBidi" w:cstheme="majorBidi"/>
          <w:noProof/>
          <w:color w:val="000000" w:themeColor="text1"/>
          <w:szCs w:val="24"/>
        </w:rPr>
        <w:t>significant</w:t>
      </w:r>
      <w:r w:rsidRPr="004B36B2">
        <w:rPr>
          <w:rFonts w:asciiTheme="majorBidi" w:hAnsiTheme="majorBidi" w:cstheme="majorBidi"/>
          <w:color w:val="000000" w:themeColor="text1"/>
          <w:szCs w:val="24"/>
        </w:rPr>
        <w:t xml:space="preserve"> rise in emigration rates and in remittance inflows, and in the same period the </w:t>
      </w:r>
      <w:r w:rsidRPr="004B36B2">
        <w:rPr>
          <w:rFonts w:asciiTheme="majorBidi" w:hAnsiTheme="majorBidi" w:cstheme="majorBidi"/>
          <w:noProof/>
          <w:color w:val="000000" w:themeColor="text1"/>
          <w:szCs w:val="24"/>
        </w:rPr>
        <w:t>country</w:t>
      </w:r>
      <w:r w:rsidRPr="004B36B2">
        <w:rPr>
          <w:rFonts w:asciiTheme="majorBidi" w:hAnsiTheme="majorBidi" w:cstheme="majorBidi"/>
          <w:color w:val="000000" w:themeColor="text1"/>
          <w:szCs w:val="24"/>
        </w:rPr>
        <w:t xml:space="preserve"> has managed to reduce the </w:t>
      </w:r>
      <w:r w:rsidRPr="004B36B2">
        <w:rPr>
          <w:rFonts w:asciiTheme="majorBidi" w:hAnsiTheme="majorBidi" w:cstheme="majorBidi"/>
          <w:noProof/>
          <w:color w:val="000000" w:themeColor="text1"/>
          <w:szCs w:val="24"/>
        </w:rPr>
        <w:t>poverty</w:t>
      </w:r>
      <w:r w:rsidRPr="004B36B2">
        <w:rPr>
          <w:rFonts w:asciiTheme="majorBidi" w:hAnsiTheme="majorBidi" w:cstheme="majorBidi"/>
          <w:color w:val="000000" w:themeColor="text1"/>
          <w:szCs w:val="24"/>
        </w:rPr>
        <w:t xml:space="preserve"> rate by half. While prior studies have linked this increase in migration and in remittances to the p</w:t>
      </w:r>
      <w:r w:rsidRPr="004B36B2">
        <w:rPr>
          <w:rFonts w:asciiTheme="majorBidi" w:hAnsiTheme="majorBidi" w:cstheme="majorBidi"/>
          <w:noProof/>
          <w:color w:val="000000" w:themeColor="text1"/>
          <w:szCs w:val="24"/>
        </w:rPr>
        <w:t>overty reduction that occurred, concerns have remained about the impacts</w:t>
      </w:r>
      <w:r w:rsidRPr="004B36B2">
        <w:rPr>
          <w:rFonts w:asciiTheme="majorBidi" w:hAnsiTheme="majorBidi" w:cstheme="majorBidi"/>
          <w:color w:val="000000" w:themeColor="text1"/>
          <w:szCs w:val="24"/>
        </w:rPr>
        <w:t xml:space="preserve"> on child human capital (and relatedly on child labour), as it is the quality of human capital that will be important to ongoing poverty reduction in the future. Even though the beneficial effects of remittance on the </w:t>
      </w:r>
      <w:r w:rsidRPr="004B36B2">
        <w:rPr>
          <w:rFonts w:asciiTheme="majorBidi" w:hAnsiTheme="majorBidi" w:cstheme="majorBidi"/>
          <w:noProof/>
          <w:color w:val="000000" w:themeColor="text1"/>
          <w:szCs w:val="24"/>
        </w:rPr>
        <w:t>macroeconomic</w:t>
      </w:r>
      <w:r w:rsidRPr="004B36B2">
        <w:rPr>
          <w:rFonts w:asciiTheme="majorBidi" w:hAnsiTheme="majorBidi" w:cstheme="majorBidi"/>
          <w:color w:val="000000" w:themeColor="text1"/>
          <w:szCs w:val="24"/>
        </w:rPr>
        <w:t xml:space="preserve"> indicators like GDP, the current account, and trade have been studied (</w:t>
      </w:r>
      <w:r w:rsidR="003A462A">
        <w:rPr>
          <w:rFonts w:asciiTheme="majorBidi" w:hAnsiTheme="majorBidi" w:cstheme="majorBidi"/>
          <w:color w:val="000000" w:themeColor="text1"/>
          <w:szCs w:val="24"/>
        </w:rPr>
        <w:t>for example,</w:t>
      </w:r>
      <w:r w:rsidRPr="004B36B2">
        <w:rPr>
          <w:rFonts w:asciiTheme="majorBidi" w:hAnsiTheme="majorBidi" w:cstheme="majorBidi"/>
          <w:color w:val="000000" w:themeColor="text1"/>
          <w:szCs w:val="24"/>
        </w:rPr>
        <w:t xml:space="preserve"> Sapkota</w:t>
      </w:r>
      <w:r w:rsidR="003A462A">
        <w:rPr>
          <w:rFonts w:asciiTheme="majorBidi" w:hAnsiTheme="majorBidi" w:cstheme="majorBidi"/>
          <w:color w:val="000000" w:themeColor="text1"/>
          <w:szCs w:val="24"/>
        </w:rPr>
        <w:t xml:space="preserve"> </w:t>
      </w:r>
      <w:r w:rsidRPr="004B36B2">
        <w:rPr>
          <w:rFonts w:asciiTheme="majorBidi" w:hAnsiTheme="majorBidi" w:cstheme="majorBidi"/>
          <w:color w:val="000000" w:themeColor="text1"/>
          <w:szCs w:val="24"/>
        </w:rPr>
        <w:t>2018) the potential long term impact on human capital is still not very clear. In part, this uncertainty reflects the offsetting pathways that, theoretically, can come into play – overcoming borrowing constraints and reducing the need for child labour on the one hand, but also possibly reducing the opportunity cost of staying in school, on the other.</w:t>
      </w:r>
    </w:p>
    <w:p w14:paraId="5733D329" w14:textId="77777777" w:rsidR="001A3ED8" w:rsidRPr="004B36B2" w:rsidRDefault="001A3ED8" w:rsidP="00283A3C">
      <w:pPr>
        <w:spacing w:line="288" w:lineRule="auto"/>
        <w:jc w:val="both"/>
        <w:rPr>
          <w:rFonts w:asciiTheme="majorBidi" w:hAnsiTheme="majorBidi" w:cstheme="majorBidi"/>
          <w:color w:val="000000" w:themeColor="text1"/>
          <w:szCs w:val="24"/>
        </w:rPr>
      </w:pPr>
    </w:p>
    <w:p w14:paraId="02A3EC57" w14:textId="3065C805" w:rsidR="00114D7B" w:rsidRDefault="00114D7B"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In order to inform understanding of the impacts of migration and remittances on human capital in Nepal we have constructed a two-wave panel of 499 villages, from the Nepal Labour Force Survey 2008 and the Nepal Living Standard Survey 2010. Our research design exploits the variation in village-level predicted migration, which is driven by destination countries and so should have impacts on these villages that only operate through migration and remittances. In contrast to prior studies, we focus on net enrolment rates as our main outcome variables. The advantage of studying net, rather than gross, enrolment rates is that it recognizes that over-age enrolment, slow progression, and grade repetition are common problems that plague schooling in many developing countries.</w:t>
      </w:r>
    </w:p>
    <w:p w14:paraId="4BB74208" w14:textId="77777777" w:rsidR="0010167B" w:rsidRPr="004B36B2" w:rsidRDefault="0010167B" w:rsidP="00283A3C">
      <w:pPr>
        <w:spacing w:line="288" w:lineRule="auto"/>
        <w:ind w:firstLine="720"/>
        <w:jc w:val="both"/>
        <w:rPr>
          <w:rFonts w:asciiTheme="majorBidi" w:hAnsiTheme="majorBidi" w:cstheme="majorBidi"/>
          <w:color w:val="000000" w:themeColor="text1"/>
          <w:szCs w:val="24"/>
        </w:rPr>
      </w:pPr>
    </w:p>
    <w:p w14:paraId="3605FE3A" w14:textId="77777777" w:rsidR="004A4A47" w:rsidRDefault="004A4A47" w:rsidP="00283A3C">
      <w:pPr>
        <w:spacing w:line="288" w:lineRule="auto"/>
        <w:ind w:firstLine="720"/>
        <w:jc w:val="both"/>
        <w:rPr>
          <w:rFonts w:asciiTheme="majorBidi" w:hAnsiTheme="majorBidi" w:cstheme="majorBidi"/>
          <w:color w:val="000000" w:themeColor="text1"/>
          <w:szCs w:val="24"/>
        </w:rPr>
      </w:pPr>
    </w:p>
    <w:p w14:paraId="65AE75B5" w14:textId="405C751F" w:rsidR="00114D7B" w:rsidRDefault="00114D7B" w:rsidP="00283A3C">
      <w:pPr>
        <w:spacing w:line="288" w:lineRule="auto"/>
        <w:ind w:firstLine="720"/>
        <w:jc w:val="both"/>
        <w:rPr>
          <w:rFonts w:asciiTheme="majorBidi" w:hAnsiTheme="majorBidi" w:cstheme="majorBidi"/>
          <w:noProof/>
          <w:color w:val="000000" w:themeColor="text1"/>
          <w:szCs w:val="24"/>
        </w:rPr>
      </w:pPr>
      <w:r w:rsidRPr="004B36B2">
        <w:rPr>
          <w:rFonts w:asciiTheme="majorBidi" w:hAnsiTheme="majorBidi" w:cstheme="majorBidi"/>
          <w:color w:val="000000" w:themeColor="text1"/>
          <w:szCs w:val="24"/>
        </w:rPr>
        <w:lastRenderedPageBreak/>
        <w:t>Our results show that the rise in migration and remittances increased the net enrolment in Secondary education (for older children aged 13</w:t>
      </w:r>
      <w:r w:rsidR="008E4F0B">
        <w:rPr>
          <w:rFonts w:asciiTheme="majorBidi" w:hAnsiTheme="majorBidi" w:cstheme="majorBidi"/>
          <w:color w:val="000000" w:themeColor="text1"/>
          <w:szCs w:val="24"/>
        </w:rPr>
        <w:t xml:space="preserve"> to </w:t>
      </w:r>
      <w:r w:rsidRPr="004B36B2">
        <w:rPr>
          <w:rFonts w:asciiTheme="majorBidi" w:hAnsiTheme="majorBidi" w:cstheme="majorBidi"/>
          <w:color w:val="000000" w:themeColor="text1"/>
          <w:szCs w:val="24"/>
        </w:rPr>
        <w:t xml:space="preserve">16) even while it was not having any significant impact on enrolment in Basic education. </w:t>
      </w:r>
      <w:r w:rsidRPr="004B36B2">
        <w:rPr>
          <w:rFonts w:asciiTheme="majorBidi" w:eastAsia="Times New Roman" w:hAnsiTheme="majorBidi" w:cstheme="majorBidi"/>
          <w:color w:val="000000" w:themeColor="text1"/>
          <w:szCs w:val="24"/>
        </w:rPr>
        <w:t xml:space="preserve">The possible reason is that the </w:t>
      </w:r>
      <w:r w:rsidRPr="004B36B2">
        <w:rPr>
          <w:rFonts w:asciiTheme="majorBidi" w:hAnsiTheme="majorBidi" w:cstheme="majorBidi"/>
          <w:color w:val="000000" w:themeColor="text1"/>
          <w:szCs w:val="24"/>
        </w:rPr>
        <w:t xml:space="preserve">Basic education is much cheaper for parents, with a </w:t>
      </w:r>
      <w:r w:rsidRPr="004B36B2">
        <w:rPr>
          <w:rFonts w:asciiTheme="majorBidi" w:eastAsia="Times New Roman" w:hAnsiTheme="majorBidi" w:cstheme="majorBidi"/>
          <w:color w:val="000000" w:themeColor="text1"/>
          <w:szCs w:val="24"/>
        </w:rPr>
        <w:t xml:space="preserve">schooling cost that is about </w:t>
      </w:r>
      <w:r w:rsidRPr="004B36B2">
        <w:rPr>
          <w:rFonts w:asciiTheme="majorBidi" w:hAnsiTheme="majorBidi" w:cstheme="majorBidi"/>
          <w:color w:val="000000" w:themeColor="text1"/>
          <w:szCs w:val="24"/>
        </w:rPr>
        <w:t xml:space="preserve">four times lower than at the secondary level. Thus, borrowing constraints may matter less for enrolment at Basic level, whereas migration and remittances come to matter for the higher </w:t>
      </w:r>
      <w:r w:rsidRPr="004B36B2">
        <w:rPr>
          <w:rFonts w:asciiTheme="majorBidi" w:eastAsia="Times New Roman" w:hAnsiTheme="majorBidi" w:cstheme="majorBidi"/>
          <w:color w:val="000000" w:themeColor="text1"/>
          <w:szCs w:val="24"/>
        </w:rPr>
        <w:t>cost of Secondary level education – both public and private.</w:t>
      </w:r>
      <w:r w:rsidRPr="004B36B2">
        <w:rPr>
          <w:rFonts w:asciiTheme="majorBidi" w:hAnsiTheme="majorBidi" w:cstheme="majorBidi"/>
          <w:color w:val="000000" w:themeColor="text1"/>
          <w:szCs w:val="24"/>
        </w:rPr>
        <w:t xml:space="preserve"> </w:t>
      </w:r>
      <w:r w:rsidRPr="004B36B2">
        <w:rPr>
          <w:rFonts w:asciiTheme="majorBidi" w:eastAsia="Times New Roman" w:hAnsiTheme="majorBidi" w:cstheme="majorBidi"/>
          <w:color w:val="000000" w:themeColor="text1"/>
          <w:szCs w:val="24"/>
        </w:rPr>
        <w:t xml:space="preserve">There is suggestive evidence that the positive effect on Secondary education is channeled through reduced child labour. </w:t>
      </w:r>
      <w:r w:rsidRPr="004B36B2">
        <w:rPr>
          <w:rFonts w:asciiTheme="majorBidi" w:hAnsiTheme="majorBidi" w:cstheme="majorBidi"/>
          <w:color w:val="000000" w:themeColor="text1"/>
          <w:szCs w:val="24"/>
        </w:rPr>
        <w:t xml:space="preserve">The rise in remittance receipts helps households to compensate for the initial income loss from having productive members abroad, so this reduces </w:t>
      </w:r>
      <w:r w:rsidRPr="004B36B2">
        <w:rPr>
          <w:rFonts w:asciiTheme="majorBidi" w:eastAsia="Times New Roman" w:hAnsiTheme="majorBidi" w:cstheme="majorBidi"/>
          <w:color w:val="000000" w:themeColor="text1"/>
          <w:szCs w:val="24"/>
        </w:rPr>
        <w:t xml:space="preserve">the need for children to be in the labour market. In turn, with reduced need for child labour it may free the child </w:t>
      </w:r>
      <w:r w:rsidRPr="004B36B2">
        <w:rPr>
          <w:rFonts w:asciiTheme="majorBidi" w:hAnsiTheme="majorBidi" w:cstheme="majorBidi"/>
          <w:noProof/>
          <w:color w:val="000000" w:themeColor="text1"/>
          <w:szCs w:val="24"/>
        </w:rPr>
        <w:t xml:space="preserve">to participate in secondary education. </w:t>
      </w:r>
    </w:p>
    <w:p w14:paraId="7FE8333B" w14:textId="77777777" w:rsidR="0010167B" w:rsidRPr="004B36B2" w:rsidRDefault="0010167B" w:rsidP="00283A3C">
      <w:pPr>
        <w:spacing w:line="288" w:lineRule="auto"/>
        <w:ind w:firstLine="720"/>
        <w:jc w:val="both"/>
        <w:rPr>
          <w:rFonts w:asciiTheme="majorBidi" w:hAnsiTheme="majorBidi" w:cstheme="majorBidi"/>
          <w:color w:val="000000" w:themeColor="text1"/>
          <w:szCs w:val="24"/>
        </w:rPr>
      </w:pPr>
    </w:p>
    <w:p w14:paraId="70E6921F" w14:textId="0A0254E6" w:rsidR="00A861DE" w:rsidRDefault="00114D7B" w:rsidP="00283A3C">
      <w:pPr>
        <w:spacing w:line="288" w:lineRule="auto"/>
        <w:ind w:firstLine="720"/>
        <w:jc w:val="both"/>
        <w:rPr>
          <w:rFonts w:asciiTheme="majorBidi" w:hAnsiTheme="majorBidi" w:cstheme="majorBidi"/>
          <w:color w:val="000000" w:themeColor="text1"/>
          <w:szCs w:val="24"/>
        </w:rPr>
      </w:pPr>
      <w:r w:rsidRPr="004B36B2">
        <w:rPr>
          <w:rFonts w:asciiTheme="majorBidi" w:hAnsiTheme="majorBidi" w:cstheme="majorBidi"/>
          <w:color w:val="000000" w:themeColor="text1"/>
          <w:szCs w:val="24"/>
        </w:rPr>
        <w:t xml:space="preserve">In contrast to these findings, if we use a cruder indicator such as the school attendance rate, which does not distinguish between age-appropriate and over-age enrolments, it appears that the effect of migration and remittances is to reduce the number of children attending school. We believe that when a </w:t>
      </w:r>
      <w:r w:rsidRPr="004B36B2">
        <w:rPr>
          <w:rFonts w:asciiTheme="majorBidi" w:hAnsiTheme="majorBidi" w:cstheme="majorBidi"/>
          <w:noProof/>
          <w:color w:val="000000" w:themeColor="text1"/>
          <w:szCs w:val="24"/>
        </w:rPr>
        <w:t>country</w:t>
      </w:r>
      <w:r w:rsidRPr="004B36B2">
        <w:rPr>
          <w:rFonts w:asciiTheme="majorBidi" w:hAnsiTheme="majorBidi" w:cstheme="majorBidi"/>
          <w:color w:val="000000" w:themeColor="text1"/>
          <w:szCs w:val="24"/>
        </w:rPr>
        <w:t xml:space="preserve"> has </w:t>
      </w:r>
      <w:r w:rsidRPr="004B36B2">
        <w:rPr>
          <w:rFonts w:asciiTheme="majorBidi" w:hAnsiTheme="majorBidi" w:cstheme="majorBidi"/>
          <w:noProof/>
          <w:color w:val="000000" w:themeColor="text1"/>
          <w:szCs w:val="24"/>
        </w:rPr>
        <w:t>universal</w:t>
      </w:r>
      <w:r w:rsidRPr="004B36B2">
        <w:rPr>
          <w:rFonts w:asciiTheme="majorBidi" w:hAnsiTheme="majorBidi" w:cstheme="majorBidi"/>
          <w:color w:val="000000" w:themeColor="text1"/>
          <w:szCs w:val="24"/>
        </w:rPr>
        <w:t xml:space="preserve"> free education (at the Basic level) and when the </w:t>
      </w:r>
      <w:r w:rsidRPr="004B36B2">
        <w:rPr>
          <w:rFonts w:asciiTheme="majorBidi" w:hAnsiTheme="majorBidi" w:cstheme="majorBidi"/>
          <w:noProof/>
          <w:color w:val="000000" w:themeColor="text1"/>
          <w:szCs w:val="24"/>
        </w:rPr>
        <w:t>majority</w:t>
      </w:r>
      <w:r w:rsidRPr="004B36B2">
        <w:rPr>
          <w:rFonts w:asciiTheme="majorBidi" w:hAnsiTheme="majorBidi" w:cstheme="majorBidi"/>
          <w:color w:val="000000" w:themeColor="text1"/>
          <w:szCs w:val="24"/>
        </w:rPr>
        <w:t xml:space="preserve"> of children are in school (as is the case for over 90% of Nepali children), the simple measure of whether a child is in school or not may provide misleading inferences. In particular, such a simple indicator fails to show impacts on the quality of schooling outcomes and on the timely progression through the schooling system. Hence, one take-away from the current study is the need to develop other measures of schooling outcomes, which can also help to measure some of the more subtle impacts of migration and remittances. Moreover, given the positive impact that remittances are shown to have, from a </w:t>
      </w:r>
      <w:r w:rsidRPr="004B36B2">
        <w:rPr>
          <w:rFonts w:asciiTheme="majorBidi" w:hAnsiTheme="majorBidi" w:cstheme="majorBidi"/>
          <w:noProof/>
          <w:color w:val="000000" w:themeColor="text1"/>
          <w:szCs w:val="24"/>
        </w:rPr>
        <w:t>policy</w:t>
      </w:r>
      <w:r w:rsidRPr="004B36B2">
        <w:rPr>
          <w:rFonts w:asciiTheme="majorBidi" w:hAnsiTheme="majorBidi" w:cstheme="majorBidi"/>
          <w:color w:val="000000" w:themeColor="text1"/>
          <w:szCs w:val="24"/>
        </w:rPr>
        <w:t xml:space="preserve"> </w:t>
      </w:r>
      <w:r w:rsidRPr="004B36B2">
        <w:rPr>
          <w:rFonts w:asciiTheme="majorBidi" w:hAnsiTheme="majorBidi" w:cstheme="majorBidi"/>
          <w:noProof/>
          <w:color w:val="000000" w:themeColor="text1"/>
          <w:szCs w:val="24"/>
        </w:rPr>
        <w:t xml:space="preserve">perspective it is important to </w:t>
      </w:r>
      <w:r w:rsidRPr="004B36B2">
        <w:rPr>
          <w:rFonts w:asciiTheme="majorBidi" w:hAnsiTheme="majorBidi" w:cstheme="majorBidi"/>
          <w:color w:val="000000" w:themeColor="text1"/>
          <w:szCs w:val="24"/>
        </w:rPr>
        <w:t>increase remittance receipts. One way to do this, independent of increasing the number of emigrants, is to decrease the cost of remitting to, especially, rural areas. This reduction in costs could come from increasing the number of financial institutions operating in rural areas, as a policy intervention to help achieve greater impacts of migration and remittances on human capital.</w:t>
      </w:r>
    </w:p>
    <w:p w14:paraId="167FB5C7" w14:textId="77777777" w:rsidR="0010167B" w:rsidRPr="004B36B2" w:rsidRDefault="0010167B" w:rsidP="00283A3C">
      <w:pPr>
        <w:spacing w:line="288" w:lineRule="auto"/>
        <w:ind w:firstLine="720"/>
        <w:jc w:val="both"/>
        <w:rPr>
          <w:rFonts w:asciiTheme="majorBidi" w:hAnsiTheme="majorBidi" w:cstheme="majorBidi"/>
          <w:color w:val="000000" w:themeColor="text1"/>
          <w:szCs w:val="24"/>
        </w:rPr>
      </w:pPr>
    </w:p>
    <w:p w14:paraId="58809949" w14:textId="77777777" w:rsidR="00D36693" w:rsidRPr="004B36B2" w:rsidRDefault="00D36693" w:rsidP="00283A3C">
      <w:pPr>
        <w:spacing w:line="288" w:lineRule="auto"/>
        <w:jc w:val="both"/>
        <w:rPr>
          <w:rFonts w:asciiTheme="majorBidi" w:hAnsiTheme="majorBidi" w:cstheme="majorBidi"/>
          <w:b/>
          <w:color w:val="000000" w:themeColor="text1"/>
          <w:szCs w:val="24"/>
        </w:rPr>
      </w:pPr>
      <w:r w:rsidRPr="004B36B2">
        <w:rPr>
          <w:rFonts w:asciiTheme="majorBidi" w:hAnsiTheme="majorBidi" w:cstheme="majorBidi"/>
          <w:b/>
          <w:color w:val="000000" w:themeColor="text1"/>
          <w:szCs w:val="24"/>
        </w:rPr>
        <w:t>Reference</w:t>
      </w:r>
      <w:r w:rsidR="00245099" w:rsidRPr="004B36B2">
        <w:rPr>
          <w:rFonts w:asciiTheme="majorBidi" w:hAnsiTheme="majorBidi" w:cstheme="majorBidi"/>
          <w:b/>
          <w:color w:val="000000" w:themeColor="text1"/>
          <w:szCs w:val="24"/>
        </w:rPr>
        <w:t>s</w:t>
      </w:r>
    </w:p>
    <w:p w14:paraId="13F72A14" w14:textId="77777777" w:rsidR="007E184E" w:rsidRPr="007E184E" w:rsidRDefault="007E184E" w:rsidP="00283A3C">
      <w:pPr>
        <w:ind w:left="567" w:hanging="567"/>
        <w:jc w:val="both"/>
        <w:rPr>
          <w:rFonts w:asciiTheme="majorBidi" w:hAnsiTheme="majorBidi" w:cstheme="majorBidi"/>
          <w:color w:val="000000" w:themeColor="text1"/>
          <w:sz w:val="10"/>
          <w:szCs w:val="10"/>
          <w:shd w:val="clear" w:color="auto" w:fill="FFFFFF"/>
        </w:rPr>
      </w:pPr>
    </w:p>
    <w:p w14:paraId="58856042" w14:textId="68B21C5E" w:rsidR="006B46E9" w:rsidRPr="00B40DD7" w:rsidRDefault="00507928"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Acharya, C., and</w:t>
      </w:r>
      <w:r w:rsidR="00D36693" w:rsidRPr="00B40DD7">
        <w:rPr>
          <w:rFonts w:asciiTheme="majorBidi" w:hAnsiTheme="majorBidi" w:cstheme="majorBidi"/>
          <w:color w:val="000000" w:themeColor="text1"/>
          <w:sz w:val="22"/>
          <w:shd w:val="clear" w:color="auto" w:fill="FFFFFF"/>
        </w:rPr>
        <w:t xml:space="preserve"> Le</w:t>
      </w:r>
      <w:r w:rsidRPr="00B40DD7">
        <w:rPr>
          <w:rFonts w:asciiTheme="majorBidi" w:hAnsiTheme="majorBidi" w:cstheme="majorBidi"/>
          <w:color w:val="000000" w:themeColor="text1"/>
          <w:sz w:val="22"/>
          <w:shd w:val="clear" w:color="auto" w:fill="FFFFFF"/>
        </w:rPr>
        <w:t>on-Gonzalez, R. (2013). How do migration and remittances affect human capital investment? The effects of relaxing information and l</w:t>
      </w:r>
      <w:r w:rsidR="00D36693" w:rsidRPr="00B40DD7">
        <w:rPr>
          <w:rFonts w:asciiTheme="majorBidi" w:hAnsiTheme="majorBidi" w:cstheme="majorBidi"/>
          <w:color w:val="000000" w:themeColor="text1"/>
          <w:sz w:val="22"/>
          <w:shd w:val="clear" w:color="auto" w:fill="FFFFFF"/>
        </w:rPr>
        <w:t>i</w:t>
      </w:r>
      <w:r w:rsidRPr="00B40DD7">
        <w:rPr>
          <w:rFonts w:asciiTheme="majorBidi" w:hAnsiTheme="majorBidi" w:cstheme="majorBidi"/>
          <w:color w:val="000000" w:themeColor="text1"/>
          <w:sz w:val="22"/>
          <w:shd w:val="clear" w:color="auto" w:fill="FFFFFF"/>
        </w:rPr>
        <w:t>quidity c</w:t>
      </w:r>
      <w:r w:rsidR="00D36693" w:rsidRPr="00B40DD7">
        <w:rPr>
          <w:rFonts w:asciiTheme="majorBidi" w:hAnsiTheme="majorBidi" w:cstheme="majorBidi"/>
          <w:color w:val="000000" w:themeColor="text1"/>
          <w:sz w:val="22"/>
          <w:shd w:val="clear" w:color="auto" w:fill="FFFFFF"/>
        </w:rPr>
        <w:t>onstraints.</w:t>
      </w:r>
      <w:r w:rsidR="00D36693" w:rsidRPr="00B40DD7">
        <w:rPr>
          <w:rStyle w:val="apple-converted-space"/>
          <w:rFonts w:asciiTheme="majorBidi" w:hAnsiTheme="majorBidi" w:cstheme="majorBidi"/>
          <w:color w:val="000000" w:themeColor="text1"/>
          <w:sz w:val="22"/>
          <w:shd w:val="clear" w:color="auto" w:fill="FFFFFF"/>
        </w:rPr>
        <w:t> </w:t>
      </w:r>
      <w:r w:rsidR="00D36693" w:rsidRPr="00B40DD7">
        <w:rPr>
          <w:rFonts w:asciiTheme="majorBidi" w:hAnsiTheme="majorBidi" w:cstheme="majorBidi"/>
          <w:i/>
          <w:iCs/>
          <w:color w:val="000000" w:themeColor="text1"/>
          <w:sz w:val="22"/>
          <w:shd w:val="clear" w:color="auto" w:fill="FFFFFF"/>
        </w:rPr>
        <w:t>Journal of Development Studies,</w:t>
      </w:r>
      <w:r w:rsidR="00D36693" w:rsidRPr="00B40DD7">
        <w:rPr>
          <w:rStyle w:val="apple-converted-space"/>
          <w:rFonts w:asciiTheme="majorBidi" w:hAnsiTheme="majorBidi" w:cstheme="majorBidi"/>
          <w:color w:val="000000" w:themeColor="text1"/>
          <w:sz w:val="22"/>
          <w:shd w:val="clear" w:color="auto" w:fill="FFFFFF"/>
        </w:rPr>
        <w:t> </w:t>
      </w:r>
      <w:r w:rsidR="00D36693" w:rsidRPr="00B40DD7">
        <w:rPr>
          <w:rFonts w:asciiTheme="majorBidi" w:hAnsiTheme="majorBidi" w:cstheme="majorBidi"/>
          <w:i/>
          <w:iCs/>
          <w:color w:val="000000" w:themeColor="text1"/>
          <w:sz w:val="22"/>
          <w:shd w:val="clear" w:color="auto" w:fill="FFFFFF"/>
        </w:rPr>
        <w:t>50</w:t>
      </w:r>
      <w:r w:rsidR="00D36693" w:rsidRPr="00B40DD7">
        <w:rPr>
          <w:rFonts w:asciiTheme="majorBidi" w:hAnsiTheme="majorBidi" w:cstheme="majorBidi"/>
          <w:color w:val="000000" w:themeColor="text1"/>
          <w:sz w:val="22"/>
          <w:shd w:val="clear" w:color="auto" w:fill="FFFFFF"/>
        </w:rPr>
        <w:t>(3), 1-17.</w:t>
      </w:r>
    </w:p>
    <w:p w14:paraId="0FCA9C8C" w14:textId="509545FD" w:rsidR="006B46E9" w:rsidRPr="00B40DD7" w:rsidRDefault="00AE21B5"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 xml:space="preserve">Acharya, </w:t>
      </w:r>
      <w:r w:rsidR="00507928" w:rsidRPr="00B40DD7">
        <w:rPr>
          <w:rFonts w:asciiTheme="majorBidi" w:hAnsiTheme="majorBidi" w:cstheme="majorBidi"/>
          <w:color w:val="000000" w:themeColor="text1"/>
          <w:sz w:val="22"/>
          <w:shd w:val="clear" w:color="auto" w:fill="FFFFFF"/>
        </w:rPr>
        <w:t xml:space="preserve">C., </w:t>
      </w:r>
      <w:r w:rsidRPr="00B40DD7">
        <w:rPr>
          <w:rFonts w:asciiTheme="majorBidi" w:hAnsiTheme="majorBidi" w:cstheme="majorBidi"/>
          <w:color w:val="000000" w:themeColor="text1"/>
          <w:sz w:val="22"/>
          <w:shd w:val="clear" w:color="auto" w:fill="FFFFFF"/>
        </w:rPr>
        <w:t>a</w:t>
      </w:r>
      <w:r w:rsidR="00507928" w:rsidRPr="00B40DD7">
        <w:rPr>
          <w:rFonts w:asciiTheme="majorBidi" w:hAnsiTheme="majorBidi" w:cstheme="majorBidi"/>
          <w:color w:val="000000" w:themeColor="text1"/>
          <w:sz w:val="22"/>
          <w:shd w:val="clear" w:color="auto" w:fill="FFFFFF"/>
        </w:rPr>
        <w:t>nd</w:t>
      </w:r>
      <w:r w:rsidRPr="00B40DD7">
        <w:rPr>
          <w:rFonts w:asciiTheme="majorBidi" w:hAnsiTheme="majorBidi" w:cstheme="majorBidi"/>
          <w:color w:val="000000" w:themeColor="text1"/>
          <w:sz w:val="22"/>
          <w:shd w:val="clear" w:color="auto" w:fill="FFFFFF"/>
        </w:rPr>
        <w:t xml:space="preserve"> Leon-Gonzalez</w:t>
      </w:r>
      <w:r w:rsidR="00507928" w:rsidRPr="00B40DD7">
        <w:rPr>
          <w:rFonts w:asciiTheme="majorBidi" w:hAnsiTheme="majorBidi" w:cstheme="majorBidi"/>
          <w:color w:val="000000" w:themeColor="text1"/>
          <w:sz w:val="22"/>
          <w:shd w:val="clear" w:color="auto" w:fill="FFFFFF"/>
        </w:rPr>
        <w:t>, R.</w:t>
      </w:r>
      <w:r w:rsidR="00926524" w:rsidRPr="00B40DD7">
        <w:rPr>
          <w:rFonts w:asciiTheme="majorBidi" w:hAnsiTheme="majorBidi" w:cstheme="majorBidi"/>
          <w:color w:val="000000" w:themeColor="text1"/>
          <w:sz w:val="22"/>
          <w:shd w:val="clear" w:color="auto" w:fill="FFFFFF"/>
        </w:rPr>
        <w:t xml:space="preserve"> (2018)</w:t>
      </w:r>
      <w:r w:rsidRPr="00B40DD7">
        <w:rPr>
          <w:rFonts w:asciiTheme="majorBidi" w:hAnsiTheme="majorBidi" w:cstheme="majorBidi"/>
          <w:color w:val="000000" w:themeColor="text1"/>
          <w:sz w:val="22"/>
          <w:shd w:val="clear" w:color="auto" w:fill="FFFFFF"/>
        </w:rPr>
        <w:t xml:space="preserve">. </w:t>
      </w:r>
      <w:r w:rsidR="0088624C" w:rsidRPr="00B40DD7">
        <w:rPr>
          <w:rFonts w:asciiTheme="majorBidi" w:hAnsiTheme="majorBidi" w:cstheme="majorBidi"/>
          <w:color w:val="000000" w:themeColor="text1"/>
          <w:sz w:val="22"/>
          <w:shd w:val="clear" w:color="auto" w:fill="FFFFFF"/>
        </w:rPr>
        <w:t>‘</w:t>
      </w:r>
      <w:r w:rsidRPr="00B40DD7">
        <w:rPr>
          <w:rFonts w:asciiTheme="majorBidi" w:hAnsiTheme="majorBidi" w:cstheme="majorBidi"/>
          <w:color w:val="000000" w:themeColor="text1"/>
          <w:sz w:val="22"/>
          <w:shd w:val="clear" w:color="auto" w:fill="FFFFFF"/>
        </w:rPr>
        <w:t>The quest for quality education: International remittances and rural–urban migration in Nepal.</w:t>
      </w:r>
      <w:r w:rsidR="0088624C"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Migration and Development</w:t>
      </w:r>
      <w:r w:rsidRPr="00B40DD7">
        <w:rPr>
          <w:rFonts w:asciiTheme="majorBidi" w:hAnsiTheme="majorBidi" w:cstheme="majorBidi"/>
          <w:color w:val="000000" w:themeColor="text1"/>
          <w:sz w:val="22"/>
          <w:shd w:val="clear" w:color="auto" w:fill="FFFFFF"/>
        </w:rPr>
        <w:t>, 2018, 1-36.</w:t>
      </w:r>
    </w:p>
    <w:p w14:paraId="6AE44ECB" w14:textId="77777777" w:rsidR="006B46E9" w:rsidRPr="00B40DD7" w:rsidRDefault="007F2400"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Acosta,</w:t>
      </w:r>
      <w:r w:rsidR="001318BA" w:rsidRPr="00B40DD7">
        <w:rPr>
          <w:rFonts w:asciiTheme="majorBidi" w:hAnsiTheme="majorBidi" w:cstheme="majorBidi"/>
          <w:color w:val="000000" w:themeColor="text1"/>
          <w:sz w:val="22"/>
          <w:shd w:val="clear" w:color="auto" w:fill="FFFFFF"/>
        </w:rPr>
        <w:t xml:space="preserve"> P. (2011). School a</w:t>
      </w:r>
      <w:r w:rsidR="00777DED" w:rsidRPr="00B40DD7">
        <w:rPr>
          <w:rFonts w:asciiTheme="majorBidi" w:hAnsiTheme="majorBidi" w:cstheme="majorBidi"/>
          <w:color w:val="000000" w:themeColor="text1"/>
          <w:sz w:val="22"/>
          <w:shd w:val="clear" w:color="auto" w:fill="FFFFFF"/>
        </w:rPr>
        <w:t>ttendance, c</w:t>
      </w:r>
      <w:r w:rsidRPr="00B40DD7">
        <w:rPr>
          <w:rFonts w:asciiTheme="majorBidi" w:hAnsiTheme="majorBidi" w:cstheme="majorBidi"/>
          <w:color w:val="000000" w:themeColor="text1"/>
          <w:sz w:val="22"/>
          <w:shd w:val="clear" w:color="auto" w:fill="FFFFFF"/>
        </w:rPr>
        <w:t xml:space="preserve">hild </w:t>
      </w:r>
      <w:r w:rsidR="00777DED" w:rsidRPr="00B40DD7">
        <w:rPr>
          <w:rFonts w:asciiTheme="majorBidi" w:hAnsiTheme="majorBidi" w:cstheme="majorBidi"/>
          <w:color w:val="000000" w:themeColor="text1"/>
          <w:sz w:val="22"/>
          <w:shd w:val="clear" w:color="auto" w:fill="FFFFFF"/>
        </w:rPr>
        <w:t>labour, and remittances from international m</w:t>
      </w:r>
      <w:r w:rsidRPr="00B40DD7">
        <w:rPr>
          <w:rFonts w:asciiTheme="majorBidi" w:hAnsiTheme="majorBidi" w:cstheme="majorBidi"/>
          <w:color w:val="000000" w:themeColor="text1"/>
          <w:sz w:val="22"/>
          <w:shd w:val="clear" w:color="auto" w:fill="FFFFFF"/>
        </w:rPr>
        <w:t>igration in El Salvador.</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Development Studies,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47</w:t>
      </w:r>
      <w:r w:rsidRPr="00B40DD7">
        <w:rPr>
          <w:rFonts w:asciiTheme="majorBidi" w:hAnsiTheme="majorBidi" w:cstheme="majorBidi"/>
          <w:color w:val="000000" w:themeColor="text1"/>
          <w:sz w:val="22"/>
          <w:shd w:val="clear" w:color="auto" w:fill="FFFFFF"/>
        </w:rPr>
        <w:t>(6), 913-936.</w:t>
      </w:r>
    </w:p>
    <w:p w14:paraId="53AFBAD4" w14:textId="77777777" w:rsidR="006B46E9" w:rsidRPr="00B40DD7" w:rsidRDefault="008A7C17"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Adams Jr, R. H. (2011). Evaluating the economic impact of international remittances on developing countries using household surveys: A literature review.</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Development Studies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47</w:t>
      </w:r>
      <w:r w:rsidRPr="00B40DD7">
        <w:rPr>
          <w:rFonts w:asciiTheme="majorBidi" w:hAnsiTheme="majorBidi" w:cstheme="majorBidi"/>
          <w:color w:val="000000" w:themeColor="text1"/>
          <w:sz w:val="22"/>
          <w:shd w:val="clear" w:color="auto" w:fill="FFFFFF"/>
        </w:rPr>
        <w:t>(6), 809-828.</w:t>
      </w:r>
    </w:p>
    <w:p w14:paraId="179F453D" w14:textId="77777777" w:rsidR="006B46E9" w:rsidRPr="00B40DD7" w:rsidRDefault="00B53111"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Alcaraz, C., Chiquiar, D., &amp; Salcedo, A. (2010). Remittances, schooling, and child labor in Mexico.</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Development Economics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97</w:t>
      </w:r>
      <w:r w:rsidRPr="00B40DD7">
        <w:rPr>
          <w:rFonts w:asciiTheme="majorBidi" w:hAnsiTheme="majorBidi" w:cstheme="majorBidi"/>
          <w:color w:val="000000" w:themeColor="text1"/>
          <w:sz w:val="22"/>
          <w:shd w:val="clear" w:color="auto" w:fill="FFFFFF"/>
        </w:rPr>
        <w:t>(1), 156-165.</w:t>
      </w:r>
    </w:p>
    <w:p w14:paraId="542FF00E" w14:textId="77777777" w:rsidR="006B46E9" w:rsidRPr="00B40DD7" w:rsidRDefault="00FC39A9" w:rsidP="00283A3C">
      <w:pPr>
        <w:ind w:left="567" w:hanging="567"/>
        <w:jc w:val="both"/>
        <w:rPr>
          <w:rFonts w:asciiTheme="majorBidi" w:hAnsiTheme="majorBidi" w:cstheme="majorBidi"/>
          <w:color w:val="000000" w:themeColor="text1"/>
          <w:sz w:val="22"/>
          <w:shd w:val="clear" w:color="auto" w:fill="FFFFFF"/>
        </w:rPr>
      </w:pPr>
      <w:r w:rsidRPr="00B40DD7">
        <w:rPr>
          <w:rFonts w:asciiTheme="majorBidi" w:hAnsiTheme="majorBidi" w:cstheme="majorBidi"/>
          <w:color w:val="000000" w:themeColor="text1"/>
          <w:sz w:val="22"/>
          <w:shd w:val="clear" w:color="auto" w:fill="FFFFFF"/>
        </w:rPr>
        <w:t xml:space="preserve">Amuedo-Dorantes, C., &amp; Pozo, S. (2010). Accounting for remittance and migration effects on children’s schooling. </w:t>
      </w:r>
      <w:r w:rsidRPr="00B40DD7">
        <w:rPr>
          <w:rFonts w:asciiTheme="majorBidi" w:hAnsiTheme="majorBidi" w:cstheme="majorBidi"/>
          <w:i/>
          <w:iCs/>
          <w:color w:val="000000" w:themeColor="text1"/>
          <w:sz w:val="22"/>
          <w:shd w:val="clear" w:color="auto" w:fill="FFFFFF"/>
        </w:rPr>
        <w:t>World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38</w:t>
      </w:r>
      <w:r w:rsidRPr="00B40DD7">
        <w:rPr>
          <w:rFonts w:asciiTheme="majorBidi" w:hAnsiTheme="majorBidi" w:cstheme="majorBidi"/>
          <w:color w:val="000000" w:themeColor="text1"/>
          <w:sz w:val="22"/>
          <w:shd w:val="clear" w:color="auto" w:fill="FFFFFF"/>
        </w:rPr>
        <w:t>(12), 1747-1759</w:t>
      </w:r>
      <w:r w:rsidR="00EE1036" w:rsidRPr="00B40DD7">
        <w:rPr>
          <w:rFonts w:asciiTheme="majorBidi" w:hAnsiTheme="majorBidi" w:cstheme="majorBidi"/>
          <w:color w:val="000000" w:themeColor="text1"/>
          <w:sz w:val="22"/>
          <w:shd w:val="clear" w:color="auto" w:fill="FFFFFF"/>
        </w:rPr>
        <w:t>.</w:t>
      </w:r>
    </w:p>
    <w:p w14:paraId="4E191A15" w14:textId="77777777" w:rsidR="006B46E9" w:rsidRPr="00B40DD7" w:rsidRDefault="004860F4"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lastRenderedPageBreak/>
        <w:t>Azizi, S. (2018). The impacts of workers' remittances on human capital and labor supply in developing countries.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Economic Modelling,</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75</w:t>
      </w:r>
      <w:r w:rsidRPr="00B40DD7">
        <w:rPr>
          <w:rFonts w:asciiTheme="majorBidi" w:hAnsiTheme="majorBidi" w:cstheme="majorBidi"/>
          <w:color w:val="000000" w:themeColor="text1"/>
          <w:sz w:val="22"/>
          <w:shd w:val="clear" w:color="auto" w:fill="FFFFFF"/>
        </w:rPr>
        <w:t>, 377-396.</w:t>
      </w:r>
    </w:p>
    <w:p w14:paraId="340A7F08" w14:textId="77777777" w:rsidR="006B46E9" w:rsidRPr="00B40DD7" w:rsidRDefault="006E096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 xml:space="preserve">Batista, C., Lacuesta, A., &amp; Vicente, P. C. (2012). Testing the ‘brain gain’ hypothesis: Micro evidence from Cape Verde. </w:t>
      </w:r>
      <w:r w:rsidRPr="00B40DD7">
        <w:rPr>
          <w:rFonts w:asciiTheme="majorBidi" w:hAnsiTheme="majorBidi" w:cstheme="majorBidi"/>
          <w:i/>
          <w:iCs/>
          <w:color w:val="000000" w:themeColor="text1"/>
          <w:sz w:val="22"/>
          <w:shd w:val="clear" w:color="auto" w:fill="FFFFFF"/>
        </w:rPr>
        <w:t>Journal of Development Economics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97</w:t>
      </w:r>
      <w:r w:rsidRPr="00B40DD7">
        <w:rPr>
          <w:rFonts w:asciiTheme="majorBidi" w:hAnsiTheme="majorBidi" w:cstheme="majorBidi"/>
          <w:color w:val="000000" w:themeColor="text1"/>
          <w:sz w:val="22"/>
          <w:shd w:val="clear" w:color="auto" w:fill="FFFFFF"/>
        </w:rPr>
        <w:t>(1), 32-45.</w:t>
      </w:r>
    </w:p>
    <w:p w14:paraId="11B822DC" w14:textId="77777777" w:rsidR="006B46E9" w:rsidRPr="00B40DD7" w:rsidRDefault="00A54EC9"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Beine, M., Docquier, F., &amp; Oden-Defoort, C. (2011). A panel data analysis of the brain gain.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World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39</w:t>
      </w:r>
      <w:r w:rsidRPr="00B40DD7">
        <w:rPr>
          <w:rFonts w:asciiTheme="majorBidi" w:hAnsiTheme="majorBidi" w:cstheme="majorBidi"/>
          <w:color w:val="000000" w:themeColor="text1"/>
          <w:sz w:val="22"/>
          <w:shd w:val="clear" w:color="auto" w:fill="FFFFFF"/>
        </w:rPr>
        <w:t>(4), 523-532.</w:t>
      </w:r>
    </w:p>
    <w:p w14:paraId="601E1A4D" w14:textId="77777777" w:rsidR="006B46E9" w:rsidRPr="00B40DD7" w:rsidRDefault="00AF1285"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Beine, M., Docquier, F., &amp; Rapoport, H. (2008). Brain drain and human capital formation in developing countries: winners and losers.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The Economic Journal</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118</w:t>
      </w:r>
      <w:r w:rsidRPr="00B40DD7">
        <w:rPr>
          <w:rFonts w:asciiTheme="majorBidi" w:hAnsiTheme="majorBidi" w:cstheme="majorBidi"/>
          <w:color w:val="000000" w:themeColor="text1"/>
          <w:sz w:val="22"/>
          <w:shd w:val="clear" w:color="auto" w:fill="FFFFFF"/>
        </w:rPr>
        <w:t>(528), 631-652.</w:t>
      </w:r>
    </w:p>
    <w:p w14:paraId="7DE3E7A4" w14:textId="77777777" w:rsidR="006B46E9" w:rsidRPr="00B40DD7" w:rsidRDefault="009623AF"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Beine, M., Docquier, F., &amp; Rapoport, H. (2001). Brain drain and economic growth: theory and evidence.</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Development Economics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64</w:t>
      </w:r>
      <w:r w:rsidRPr="00B40DD7">
        <w:rPr>
          <w:rFonts w:asciiTheme="majorBidi" w:hAnsiTheme="majorBidi" w:cstheme="majorBidi"/>
          <w:color w:val="000000" w:themeColor="text1"/>
          <w:sz w:val="22"/>
          <w:shd w:val="clear" w:color="auto" w:fill="FFFFFF"/>
        </w:rPr>
        <w:t>(1), 275-289.</w:t>
      </w:r>
    </w:p>
    <w:p w14:paraId="2B3A7F75" w14:textId="77777777" w:rsidR="006B46E9" w:rsidRPr="00B40DD7" w:rsidRDefault="001D4D61"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Bredl, S. (2011). Migration, remittances and educational outcomes: The case of Haiti.</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International Journal of Educational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31</w:t>
      </w:r>
      <w:r w:rsidRPr="00B40DD7">
        <w:rPr>
          <w:rFonts w:asciiTheme="majorBidi" w:hAnsiTheme="majorBidi" w:cstheme="majorBidi"/>
          <w:color w:val="000000" w:themeColor="text1"/>
          <w:sz w:val="22"/>
          <w:shd w:val="clear" w:color="auto" w:fill="FFFFFF"/>
        </w:rPr>
        <w:t>(2), 162-168.</w:t>
      </w:r>
    </w:p>
    <w:p w14:paraId="7E386F29" w14:textId="77777777" w:rsidR="006B46E9" w:rsidRPr="00B40DD7" w:rsidRDefault="0080588E"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Bucheli, J., Bohara, R., &amp; Fontenla, A. (2018). Mixed effects of remittances on child education.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IZA Journal of Development and Migration,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8</w:t>
      </w:r>
      <w:r w:rsidRPr="00B40DD7">
        <w:rPr>
          <w:rFonts w:asciiTheme="majorBidi" w:hAnsiTheme="majorBidi" w:cstheme="majorBidi"/>
          <w:color w:val="000000" w:themeColor="text1"/>
          <w:sz w:val="22"/>
          <w:shd w:val="clear" w:color="auto" w:fill="FFFFFF"/>
        </w:rPr>
        <w:t>(1), 1-18.</w:t>
      </w:r>
    </w:p>
    <w:p w14:paraId="560D78EC" w14:textId="77777777" w:rsidR="006B46E9" w:rsidRPr="00B40DD7" w:rsidRDefault="00D524A2"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Calero, C., Bedi, A. S., &amp; Sparrow, R. (2009). Remittances, liquidity constraints and human capital investments in Ecuador.</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World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37</w:t>
      </w:r>
      <w:r w:rsidRPr="00B40DD7">
        <w:rPr>
          <w:rFonts w:asciiTheme="majorBidi" w:hAnsiTheme="majorBidi" w:cstheme="majorBidi"/>
          <w:color w:val="000000" w:themeColor="text1"/>
          <w:sz w:val="22"/>
          <w:shd w:val="clear" w:color="auto" w:fill="FFFFFF"/>
        </w:rPr>
        <w:t>(6), 1143-1154.</w:t>
      </w:r>
    </w:p>
    <w:p w14:paraId="5DE4C77B" w14:textId="77777777" w:rsidR="006B46E9" w:rsidRPr="00B40DD7" w:rsidRDefault="007F0676"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CBS (2001). Report of the census of population and housing</w:t>
      </w:r>
      <w:r w:rsidR="00E358FA" w:rsidRPr="00B40DD7">
        <w:rPr>
          <w:rFonts w:asciiTheme="majorBidi" w:hAnsiTheme="majorBidi" w:cstheme="majorBidi"/>
          <w:color w:val="000000" w:themeColor="text1"/>
          <w:sz w:val="22"/>
          <w:shd w:val="clear" w:color="auto" w:fill="FFFFFF"/>
        </w:rPr>
        <w:t xml:space="preserve"> 2001</w:t>
      </w:r>
      <w:r w:rsidRPr="00B40DD7">
        <w:rPr>
          <w:rFonts w:asciiTheme="majorBidi" w:hAnsiTheme="majorBidi" w:cstheme="majorBidi"/>
          <w:color w:val="000000" w:themeColor="text1"/>
          <w:sz w:val="22"/>
          <w:shd w:val="clear" w:color="auto" w:fill="FFFFFF"/>
        </w:rPr>
        <w:t xml:space="preserve">. Kathmandu: Central Bureau of Statistics.  </w:t>
      </w:r>
    </w:p>
    <w:p w14:paraId="2CC59A0B"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rPr>
        <w:t xml:space="preserve">CBS (2008). Nepal Labour Force Survey-II 2008: Statistical Report. Kathmandu: Central Bureau of Statistics.   </w:t>
      </w:r>
    </w:p>
    <w:p w14:paraId="33B3621A"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rPr>
        <w:t>CBS (2010). Nepal Living Standard Survey III 2010: Statistical Report, Vol 1 and 2. Kathmandu: Central Bureau of Statistics.</w:t>
      </w:r>
    </w:p>
    <w:p w14:paraId="03C74B94" w14:textId="77777777" w:rsidR="006B46E9" w:rsidRPr="00B40DD7" w:rsidRDefault="004C4465"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CBS (2011). National population and housing</w:t>
      </w:r>
      <w:r w:rsidR="0023635A" w:rsidRPr="00B40DD7">
        <w:rPr>
          <w:rFonts w:asciiTheme="majorBidi" w:hAnsiTheme="majorBidi" w:cstheme="majorBidi"/>
          <w:color w:val="000000" w:themeColor="text1"/>
          <w:sz w:val="22"/>
          <w:shd w:val="clear" w:color="auto" w:fill="FFFFFF"/>
        </w:rPr>
        <w:t xml:space="preserve"> census 2011: Vol 1</w:t>
      </w:r>
      <w:r w:rsidRPr="00B40DD7">
        <w:rPr>
          <w:rFonts w:asciiTheme="majorBidi" w:hAnsiTheme="majorBidi" w:cstheme="majorBidi"/>
          <w:color w:val="000000" w:themeColor="text1"/>
          <w:sz w:val="22"/>
          <w:shd w:val="clear" w:color="auto" w:fill="FFFFFF"/>
        </w:rPr>
        <w:t xml:space="preserve">. Kathmandu: Central Bureau of Statistics.  </w:t>
      </w:r>
    </w:p>
    <w:p w14:paraId="0FAB0EDC" w14:textId="77777777" w:rsidR="006B46E9" w:rsidRPr="00B40DD7" w:rsidRDefault="00731150" w:rsidP="00DB0036">
      <w:pPr>
        <w:tabs>
          <w:tab w:val="left" w:pos="993"/>
        </w:tabs>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Christian, P., &amp; Barrett, C. B. (2017).</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Cs/>
          <w:color w:val="000000" w:themeColor="text1"/>
          <w:sz w:val="22"/>
          <w:shd w:val="clear" w:color="auto" w:fill="FFFFFF"/>
        </w:rPr>
        <w:t>Revisiting the effect of food aid on conflict: A methodological caution</w:t>
      </w:r>
      <w:r w:rsidRPr="00B40DD7">
        <w:rPr>
          <w:rFonts w:asciiTheme="majorBidi" w:hAnsiTheme="majorBidi" w:cstheme="majorBidi"/>
          <w:color w:val="000000" w:themeColor="text1"/>
          <w:sz w:val="22"/>
          <w:shd w:val="clear" w:color="auto" w:fill="FFFFFF"/>
        </w:rPr>
        <w:t xml:space="preserve">. </w:t>
      </w:r>
      <w:r w:rsidR="001171BB" w:rsidRPr="00B40DD7">
        <w:rPr>
          <w:rFonts w:asciiTheme="majorBidi" w:hAnsiTheme="majorBidi" w:cstheme="majorBidi"/>
          <w:i/>
          <w:iCs/>
          <w:color w:val="000000" w:themeColor="text1"/>
          <w:sz w:val="22"/>
          <w:shd w:val="clear" w:color="auto" w:fill="FFFFFF"/>
        </w:rPr>
        <w:t>World Bank Policy Research Working Paper</w:t>
      </w:r>
      <w:r w:rsidR="001171BB" w:rsidRPr="00B40DD7">
        <w:rPr>
          <w:rFonts w:asciiTheme="majorBidi" w:hAnsiTheme="majorBidi" w:cstheme="majorBidi"/>
          <w:color w:val="000000" w:themeColor="text1"/>
          <w:sz w:val="22"/>
          <w:shd w:val="clear" w:color="auto" w:fill="FFFFFF"/>
        </w:rPr>
        <w:t>, No. 8171.</w:t>
      </w:r>
      <w:r w:rsidRPr="00B40DD7">
        <w:rPr>
          <w:rFonts w:asciiTheme="majorBidi" w:hAnsiTheme="majorBidi" w:cstheme="majorBidi"/>
          <w:color w:val="000000" w:themeColor="text1"/>
          <w:sz w:val="22"/>
          <w:shd w:val="clear" w:color="auto" w:fill="FFFFFF"/>
        </w:rPr>
        <w:t>The World Bank.</w:t>
      </w:r>
    </w:p>
    <w:p w14:paraId="3065DA33"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lang w:val="de-DE"/>
        </w:rPr>
        <w:t xml:space="preserve">Datt, G., &amp; Wang, L. C. (2012). </w:t>
      </w:r>
      <w:r w:rsidRPr="00B40DD7">
        <w:rPr>
          <w:rFonts w:asciiTheme="majorBidi" w:hAnsiTheme="majorBidi" w:cstheme="majorBidi"/>
          <w:color w:val="000000" w:themeColor="text1"/>
          <w:sz w:val="22"/>
          <w:shd w:val="clear" w:color="auto" w:fill="FFFFFF"/>
        </w:rPr>
        <w:t xml:space="preserve">Is emigration of Nepalese workers contributing to better schooling outcomes for children in </w:t>
      </w:r>
      <w:r w:rsidR="00603117" w:rsidRPr="00B40DD7">
        <w:rPr>
          <w:rFonts w:asciiTheme="majorBidi" w:hAnsiTheme="majorBidi" w:cstheme="majorBidi"/>
          <w:color w:val="000000" w:themeColor="text1"/>
          <w:sz w:val="22"/>
          <w:shd w:val="clear" w:color="auto" w:fill="FFFFFF"/>
        </w:rPr>
        <w:t>Nepal?</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Department of Economics and Centre for Development Economics and Sustainability, Monash University</w:t>
      </w:r>
      <w:r w:rsidRPr="00B40DD7">
        <w:rPr>
          <w:rFonts w:asciiTheme="majorBidi" w:hAnsiTheme="majorBidi" w:cstheme="majorBidi"/>
          <w:color w:val="000000" w:themeColor="text1"/>
          <w:sz w:val="22"/>
          <w:shd w:val="clear" w:color="auto" w:fill="FFFFFF"/>
        </w:rPr>
        <w:t>.</w:t>
      </w:r>
    </w:p>
    <w:p w14:paraId="4E70ACEB" w14:textId="77777777" w:rsidR="006B46E9" w:rsidRPr="00B40DD7" w:rsidRDefault="002F3BA8"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Datt, G., &amp; Uhe, L. (2019). A Little Help May Be No Help at All: Size of Scholarships and Child Labour in Nepal.</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The Journal of Development Studies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55</w:t>
      </w:r>
      <w:r w:rsidRPr="00B40DD7">
        <w:rPr>
          <w:rFonts w:asciiTheme="majorBidi" w:hAnsiTheme="majorBidi" w:cstheme="majorBidi"/>
          <w:color w:val="000000" w:themeColor="text1"/>
          <w:sz w:val="22"/>
          <w:shd w:val="clear" w:color="auto" w:fill="FFFFFF"/>
        </w:rPr>
        <w:t>(6), 1158-1181.</w:t>
      </w:r>
    </w:p>
    <w:p w14:paraId="53A69DC5" w14:textId="77777777" w:rsidR="006B46E9" w:rsidRPr="00B40DD7" w:rsidRDefault="00D610F0"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 xml:space="preserve">Davis, </w:t>
      </w:r>
      <w:r w:rsidR="000A432D" w:rsidRPr="00B40DD7">
        <w:rPr>
          <w:rFonts w:asciiTheme="majorBidi" w:hAnsiTheme="majorBidi" w:cstheme="majorBidi"/>
          <w:color w:val="000000" w:themeColor="text1"/>
          <w:sz w:val="22"/>
          <w:shd w:val="clear" w:color="auto" w:fill="FFFFFF"/>
        </w:rPr>
        <w:t>J., &amp; Brazil, N.</w:t>
      </w:r>
      <w:r w:rsidRPr="00B40DD7">
        <w:rPr>
          <w:rFonts w:asciiTheme="majorBidi" w:hAnsiTheme="majorBidi" w:cstheme="majorBidi"/>
          <w:color w:val="000000" w:themeColor="text1"/>
          <w:sz w:val="22"/>
          <w:shd w:val="clear" w:color="auto" w:fill="FFFFFF"/>
        </w:rPr>
        <w:t xml:space="preserve"> (2016). Disentangling fathers’ absences from household remittances in international migration: The case of educational attainment in Guatemala.</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International Journal of Educational Development,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50</w:t>
      </w:r>
      <w:r w:rsidRPr="00B40DD7">
        <w:rPr>
          <w:rFonts w:asciiTheme="majorBidi" w:hAnsiTheme="majorBidi" w:cstheme="majorBidi"/>
          <w:color w:val="000000" w:themeColor="text1"/>
          <w:sz w:val="22"/>
          <w:shd w:val="clear" w:color="auto" w:fill="FFFFFF"/>
        </w:rPr>
        <w:t>, 1-11.</w:t>
      </w:r>
    </w:p>
    <w:p w14:paraId="39FF65B5" w14:textId="77777777" w:rsidR="006B46E9" w:rsidRPr="00B40DD7" w:rsidRDefault="00761618"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De Gregorio, J. (1996). Borrowing constraints, human capital accumulation, and growth.</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Monetary Economics,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37</w:t>
      </w:r>
      <w:r w:rsidRPr="00B40DD7">
        <w:rPr>
          <w:rFonts w:asciiTheme="majorBidi" w:hAnsiTheme="majorBidi" w:cstheme="majorBidi"/>
          <w:color w:val="000000" w:themeColor="text1"/>
          <w:sz w:val="22"/>
          <w:shd w:val="clear" w:color="auto" w:fill="FFFFFF"/>
        </w:rPr>
        <w:t>(1), 49-71.</w:t>
      </w:r>
    </w:p>
    <w:p w14:paraId="15EDB41D" w14:textId="77777777" w:rsidR="006B46E9" w:rsidRPr="00B40DD7" w:rsidRDefault="00B27247"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De, P. K., &amp; Ratha, D. (2012). Impact of remittances on household income, asset and human capital: Evidence from Sri Lanka.</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Migration and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1</w:t>
      </w:r>
      <w:r w:rsidRPr="00B40DD7">
        <w:rPr>
          <w:rFonts w:asciiTheme="majorBidi" w:hAnsiTheme="majorBidi" w:cstheme="majorBidi"/>
          <w:color w:val="000000" w:themeColor="text1"/>
          <w:sz w:val="22"/>
          <w:shd w:val="clear" w:color="auto" w:fill="FFFFFF"/>
        </w:rPr>
        <w:t>(1), 163-179.</w:t>
      </w:r>
    </w:p>
    <w:p w14:paraId="5B236A77" w14:textId="77777777" w:rsidR="006B46E9" w:rsidRPr="00B40DD7" w:rsidRDefault="00B862BF"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 xml:space="preserve">Di Maria, C., &amp; Lazarova, E. A. (2012). Migration, human capital formation, and growth: An empirical investigation. </w:t>
      </w:r>
      <w:r w:rsidRPr="00B40DD7">
        <w:rPr>
          <w:rFonts w:asciiTheme="majorBidi" w:hAnsiTheme="majorBidi" w:cstheme="majorBidi"/>
          <w:i/>
          <w:iCs/>
          <w:color w:val="000000" w:themeColor="text1"/>
          <w:sz w:val="22"/>
          <w:shd w:val="clear" w:color="auto" w:fill="FFFFFF"/>
        </w:rPr>
        <w:t>World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40</w:t>
      </w:r>
      <w:r w:rsidRPr="00B40DD7">
        <w:rPr>
          <w:rFonts w:asciiTheme="majorBidi" w:hAnsiTheme="majorBidi" w:cstheme="majorBidi"/>
          <w:color w:val="000000" w:themeColor="text1"/>
          <w:sz w:val="22"/>
          <w:shd w:val="clear" w:color="auto" w:fill="FFFFFF"/>
        </w:rPr>
        <w:t>(5), 938-955.</w:t>
      </w:r>
    </w:p>
    <w:p w14:paraId="78B83E54"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rPr>
        <w:t>DOE (2015). The Flash Report I 2014-15. Kathmandu: Department of Education, Government of Nepal.</w:t>
      </w:r>
    </w:p>
    <w:p w14:paraId="4F3C1A52" w14:textId="60B31B71" w:rsidR="006B46E9" w:rsidRPr="00B40DD7" w:rsidRDefault="005C6112"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lang w:val="de-DE"/>
        </w:rPr>
        <w:t xml:space="preserve">Fan, C. S., &amp; Stark, O. (2007). </w:t>
      </w:r>
      <w:r w:rsidRPr="00B40DD7">
        <w:rPr>
          <w:rFonts w:asciiTheme="majorBidi" w:hAnsiTheme="majorBidi" w:cstheme="majorBidi"/>
          <w:color w:val="000000" w:themeColor="text1"/>
          <w:sz w:val="22"/>
          <w:shd w:val="clear" w:color="auto" w:fill="FFFFFF"/>
        </w:rPr>
        <w:t xml:space="preserve">International migration and </w:t>
      </w:r>
      <w:r w:rsidR="0088624C" w:rsidRPr="00B40DD7">
        <w:rPr>
          <w:rFonts w:asciiTheme="majorBidi" w:hAnsiTheme="majorBidi" w:cstheme="majorBidi"/>
          <w:color w:val="000000" w:themeColor="text1"/>
          <w:sz w:val="22"/>
          <w:shd w:val="clear" w:color="auto" w:fill="FFFFFF"/>
        </w:rPr>
        <w:t>‘</w:t>
      </w:r>
      <w:r w:rsidRPr="00B40DD7">
        <w:rPr>
          <w:rFonts w:asciiTheme="majorBidi" w:hAnsiTheme="majorBidi" w:cstheme="majorBidi"/>
          <w:color w:val="000000" w:themeColor="text1"/>
          <w:sz w:val="22"/>
          <w:shd w:val="clear" w:color="auto" w:fill="FFFFFF"/>
        </w:rPr>
        <w:t>educated unemployment</w:t>
      </w:r>
      <w:r w:rsidR="0088624C" w:rsidRPr="00B40DD7">
        <w:rPr>
          <w:rFonts w:asciiTheme="majorBidi" w:hAnsiTheme="majorBidi" w:cstheme="majorBidi"/>
          <w:color w:val="000000" w:themeColor="text1"/>
          <w:sz w:val="22"/>
          <w:shd w:val="clear" w:color="auto" w:fill="FFFFFF"/>
        </w:rPr>
        <w: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Development Economics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83</w:t>
      </w:r>
      <w:r w:rsidRPr="00B40DD7">
        <w:rPr>
          <w:rFonts w:asciiTheme="majorBidi" w:hAnsiTheme="majorBidi" w:cstheme="majorBidi"/>
          <w:color w:val="000000" w:themeColor="text1"/>
          <w:sz w:val="22"/>
          <w:shd w:val="clear" w:color="auto" w:fill="FFFFFF"/>
        </w:rPr>
        <w:t>(1), 76-87.</w:t>
      </w:r>
    </w:p>
    <w:p w14:paraId="4FCA94BA" w14:textId="77777777" w:rsidR="006B46E9" w:rsidRPr="00B40DD7" w:rsidRDefault="000E116A" w:rsidP="00283A3C">
      <w:pPr>
        <w:ind w:left="567" w:hanging="567"/>
        <w:jc w:val="both"/>
        <w:rPr>
          <w:rFonts w:asciiTheme="majorBidi" w:eastAsia="Times New Roman" w:hAnsiTheme="majorBidi" w:cstheme="majorBidi"/>
          <w:bCs/>
          <w:color w:val="000000" w:themeColor="text1"/>
          <w:sz w:val="22"/>
          <w:lang w:val="fr-FR"/>
        </w:rPr>
      </w:pPr>
      <w:r w:rsidRPr="00B40DD7">
        <w:rPr>
          <w:rFonts w:asciiTheme="majorBidi" w:hAnsiTheme="majorBidi" w:cstheme="majorBidi"/>
          <w:color w:val="000000" w:themeColor="text1"/>
          <w:sz w:val="22"/>
          <w:shd w:val="clear" w:color="auto" w:fill="FFFFFF"/>
        </w:rPr>
        <w:t xml:space="preserve">Gibson, </w:t>
      </w:r>
      <w:r w:rsidR="00245099" w:rsidRPr="00B40DD7">
        <w:rPr>
          <w:rFonts w:asciiTheme="majorBidi" w:hAnsiTheme="majorBidi" w:cstheme="majorBidi"/>
          <w:color w:val="000000" w:themeColor="text1"/>
          <w:sz w:val="22"/>
          <w:shd w:val="clear" w:color="auto" w:fill="FFFFFF"/>
        </w:rPr>
        <w:t>J., &amp; McK</w:t>
      </w:r>
      <w:r w:rsidR="00CE470C" w:rsidRPr="00B40DD7">
        <w:rPr>
          <w:rFonts w:asciiTheme="majorBidi" w:hAnsiTheme="majorBidi" w:cstheme="majorBidi"/>
          <w:color w:val="000000" w:themeColor="text1"/>
          <w:sz w:val="22"/>
          <w:shd w:val="clear" w:color="auto" w:fill="FFFFFF"/>
        </w:rPr>
        <w:t>enzie, D. (2010). How does high-skilled emigration affect small c</w:t>
      </w:r>
      <w:r w:rsidRPr="00B40DD7">
        <w:rPr>
          <w:rFonts w:asciiTheme="majorBidi" w:hAnsiTheme="majorBidi" w:cstheme="majorBidi"/>
          <w:color w:val="000000" w:themeColor="text1"/>
          <w:sz w:val="22"/>
          <w:shd w:val="clear" w:color="auto" w:fill="FFFFFF"/>
        </w:rPr>
        <w:t xml:space="preserve">ountries? </w:t>
      </w:r>
      <w:r w:rsidRPr="00B40DD7">
        <w:rPr>
          <w:rFonts w:asciiTheme="majorBidi" w:hAnsiTheme="majorBidi" w:cstheme="majorBidi"/>
          <w:color w:val="000000" w:themeColor="text1"/>
          <w:sz w:val="22"/>
          <w:shd w:val="clear" w:color="auto" w:fill="FFFFFF"/>
          <w:lang w:val="fr-FR"/>
        </w:rPr>
        <w:t>Microeconomic Evidence from Tonga.</w:t>
      </w:r>
      <w:r w:rsidRPr="00B40DD7">
        <w:rPr>
          <w:rStyle w:val="apple-converted-space"/>
          <w:rFonts w:asciiTheme="majorBidi" w:hAnsiTheme="majorBidi" w:cstheme="majorBidi"/>
          <w:color w:val="000000" w:themeColor="text1"/>
          <w:sz w:val="22"/>
          <w:shd w:val="clear" w:color="auto" w:fill="FFFFFF"/>
          <w:lang w:val="fr-FR"/>
        </w:rPr>
        <w:t> </w:t>
      </w:r>
      <w:r w:rsidRPr="00B40DD7">
        <w:rPr>
          <w:rFonts w:asciiTheme="majorBidi" w:hAnsiTheme="majorBidi" w:cstheme="majorBidi"/>
          <w:i/>
          <w:iCs/>
          <w:color w:val="000000" w:themeColor="text1"/>
          <w:sz w:val="22"/>
          <w:shd w:val="clear" w:color="auto" w:fill="FFFFFF"/>
          <w:lang w:val="fr-FR"/>
        </w:rPr>
        <w:t>Annals of Economics and Statistics / Annales D'Économie Et De Statistique,</w:t>
      </w:r>
      <w:r w:rsidRPr="00B40DD7">
        <w:rPr>
          <w:rStyle w:val="apple-converted-space"/>
          <w:rFonts w:asciiTheme="majorBidi" w:hAnsiTheme="majorBidi" w:cstheme="majorBidi"/>
          <w:color w:val="000000" w:themeColor="text1"/>
          <w:sz w:val="22"/>
          <w:shd w:val="clear" w:color="auto" w:fill="FFFFFF"/>
          <w:lang w:val="fr-FR"/>
        </w:rPr>
        <w:t> </w:t>
      </w:r>
      <w:r w:rsidRPr="00B40DD7">
        <w:rPr>
          <w:rFonts w:asciiTheme="majorBidi" w:hAnsiTheme="majorBidi" w:cstheme="majorBidi"/>
          <w:color w:val="000000" w:themeColor="text1"/>
          <w:sz w:val="22"/>
          <w:shd w:val="clear" w:color="auto" w:fill="FFFFFF"/>
          <w:lang w:val="fr-FR"/>
        </w:rPr>
        <w:t>(97/98), 167-185.</w:t>
      </w:r>
      <w:bookmarkStart w:id="0" w:name="_ENREF_59"/>
    </w:p>
    <w:p w14:paraId="29B894B7" w14:textId="77777777" w:rsidR="006B46E9" w:rsidRPr="00B40DD7" w:rsidRDefault="000E6BEB" w:rsidP="00283A3C">
      <w:pPr>
        <w:ind w:left="567" w:hanging="567"/>
        <w:jc w:val="both"/>
        <w:rPr>
          <w:rFonts w:asciiTheme="majorBidi" w:hAnsiTheme="majorBidi" w:cstheme="majorBidi"/>
          <w:color w:val="000000" w:themeColor="text1"/>
          <w:sz w:val="22"/>
          <w:shd w:val="clear" w:color="auto" w:fill="FFFFFF"/>
        </w:rPr>
      </w:pPr>
      <w:r w:rsidRPr="00B40DD7">
        <w:rPr>
          <w:rFonts w:asciiTheme="majorBidi" w:hAnsiTheme="majorBidi" w:cstheme="majorBidi"/>
          <w:color w:val="000000" w:themeColor="text1"/>
          <w:sz w:val="22"/>
          <w:shd w:val="clear" w:color="auto" w:fill="FFFFFF"/>
          <w:lang w:val="de-DE"/>
        </w:rPr>
        <w:t xml:space="preserve">Gibson, J., McKenzie, D., &amp; Stillman, S. (2011). </w:t>
      </w:r>
      <w:r w:rsidRPr="00B40DD7">
        <w:rPr>
          <w:rFonts w:asciiTheme="majorBidi" w:hAnsiTheme="majorBidi" w:cstheme="majorBidi"/>
          <w:color w:val="000000" w:themeColor="text1"/>
          <w:sz w:val="22"/>
          <w:shd w:val="clear" w:color="auto" w:fill="FFFFFF"/>
        </w:rPr>
        <w:t>The impacts of international migration on remaining household members: omnibus results from a migration lottery program.</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Review of Economics and Statistics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93</w:t>
      </w:r>
      <w:r w:rsidRPr="00B40DD7">
        <w:rPr>
          <w:rFonts w:asciiTheme="majorBidi" w:hAnsiTheme="majorBidi" w:cstheme="majorBidi"/>
          <w:color w:val="000000" w:themeColor="text1"/>
          <w:sz w:val="22"/>
          <w:shd w:val="clear" w:color="auto" w:fill="FFFFFF"/>
        </w:rPr>
        <w:t>(4), 1297-1318.</w:t>
      </w:r>
    </w:p>
    <w:p w14:paraId="292DEE99" w14:textId="77777777" w:rsidR="001E7075" w:rsidRPr="00B40DD7" w:rsidRDefault="001E7075" w:rsidP="00283A3C">
      <w:pPr>
        <w:ind w:left="567" w:hanging="567"/>
        <w:jc w:val="both"/>
        <w:rPr>
          <w:rFonts w:asciiTheme="majorBidi" w:eastAsia="Times New Roman" w:hAnsiTheme="majorBidi" w:cstheme="majorBidi"/>
          <w:bCs/>
          <w:color w:val="000000" w:themeColor="text1"/>
          <w:sz w:val="22"/>
        </w:rPr>
      </w:pPr>
      <w:r w:rsidRPr="00B40DD7">
        <w:rPr>
          <w:rFonts w:asciiTheme="majorBidi" w:eastAsia="Times New Roman" w:hAnsiTheme="majorBidi" w:cstheme="majorBidi"/>
          <w:bCs/>
          <w:color w:val="000000" w:themeColor="text1"/>
          <w:sz w:val="22"/>
        </w:rPr>
        <w:t>Gibson, J., McKenzie, D., &amp; Stillman, S. (2013). Accounting for selectivity and duration-dependent heterogeneity when estimating the impact of emigration on incomes and poverty in sending areas. </w:t>
      </w:r>
      <w:r w:rsidRPr="00B40DD7">
        <w:rPr>
          <w:rFonts w:asciiTheme="majorBidi" w:eastAsia="Times New Roman" w:hAnsiTheme="majorBidi" w:cstheme="majorBidi"/>
          <w:bCs/>
          <w:i/>
          <w:iCs/>
          <w:color w:val="000000" w:themeColor="text1"/>
          <w:sz w:val="22"/>
        </w:rPr>
        <w:t>Economic Development and Cultural Change</w:t>
      </w:r>
      <w:r w:rsidRPr="00B40DD7">
        <w:rPr>
          <w:rFonts w:asciiTheme="majorBidi" w:eastAsia="Times New Roman" w:hAnsiTheme="majorBidi" w:cstheme="majorBidi"/>
          <w:bCs/>
          <w:color w:val="000000" w:themeColor="text1"/>
          <w:sz w:val="22"/>
        </w:rPr>
        <w:t>, </w:t>
      </w:r>
      <w:r w:rsidRPr="00B40DD7">
        <w:rPr>
          <w:rFonts w:asciiTheme="majorBidi" w:eastAsia="Times New Roman" w:hAnsiTheme="majorBidi" w:cstheme="majorBidi"/>
          <w:bCs/>
          <w:i/>
          <w:iCs/>
          <w:color w:val="000000" w:themeColor="text1"/>
          <w:sz w:val="22"/>
        </w:rPr>
        <w:t>61</w:t>
      </w:r>
      <w:r w:rsidRPr="00B40DD7">
        <w:rPr>
          <w:rFonts w:asciiTheme="majorBidi" w:eastAsia="Times New Roman" w:hAnsiTheme="majorBidi" w:cstheme="majorBidi"/>
          <w:bCs/>
          <w:color w:val="000000" w:themeColor="text1"/>
          <w:sz w:val="22"/>
        </w:rPr>
        <w:t>(2), 247-280.</w:t>
      </w:r>
    </w:p>
    <w:p w14:paraId="62272D4F" w14:textId="77777777" w:rsidR="006B46E9" w:rsidRPr="00B40DD7" w:rsidRDefault="00F232D6"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 xml:space="preserve">GON </w:t>
      </w:r>
      <w:r w:rsidR="00A562CC" w:rsidRPr="00B40DD7">
        <w:rPr>
          <w:rFonts w:asciiTheme="majorBidi" w:hAnsiTheme="majorBidi" w:cstheme="majorBidi"/>
          <w:color w:val="000000" w:themeColor="text1"/>
          <w:sz w:val="22"/>
          <w:shd w:val="clear" w:color="auto" w:fill="FFFFFF"/>
        </w:rPr>
        <w:t>(2014). Labour migration for e</w:t>
      </w:r>
      <w:r w:rsidRPr="00B40DD7">
        <w:rPr>
          <w:rFonts w:asciiTheme="majorBidi" w:hAnsiTheme="majorBidi" w:cstheme="majorBidi"/>
          <w:color w:val="000000" w:themeColor="text1"/>
          <w:sz w:val="22"/>
          <w:shd w:val="clear" w:color="auto" w:fill="FFFFFF"/>
        </w:rPr>
        <w:t>mployment. A Status Report for Nepal 2013/2014. Government of Nepal</w:t>
      </w:r>
      <w:bookmarkEnd w:id="0"/>
      <w:r w:rsidR="006B46E9" w:rsidRPr="00B40DD7">
        <w:rPr>
          <w:rFonts w:asciiTheme="majorBidi" w:hAnsiTheme="majorBidi" w:cstheme="majorBidi"/>
          <w:color w:val="000000" w:themeColor="text1"/>
          <w:sz w:val="22"/>
          <w:shd w:val="clear" w:color="auto" w:fill="FFFFFF"/>
        </w:rPr>
        <w:t>.</w:t>
      </w:r>
    </w:p>
    <w:p w14:paraId="140225B7" w14:textId="77777777" w:rsidR="006B46E9" w:rsidRPr="00B40DD7" w:rsidRDefault="00223786"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lastRenderedPageBreak/>
        <w:t>Gyimah-Brempong, K., &amp; Asiedu, E. (2015). Remittances and investment in education: Evidence from Ghana.</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The Journal of International Trade &amp; Economic Development,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24</w:t>
      </w:r>
      <w:r w:rsidRPr="00B40DD7">
        <w:rPr>
          <w:rFonts w:asciiTheme="majorBidi" w:hAnsiTheme="majorBidi" w:cstheme="majorBidi"/>
          <w:color w:val="000000" w:themeColor="text1"/>
          <w:sz w:val="22"/>
          <w:shd w:val="clear" w:color="auto" w:fill="FFFFFF"/>
        </w:rPr>
        <w:t>(2), 173-200</w:t>
      </w:r>
      <w:r w:rsidR="006B46E9" w:rsidRPr="00B40DD7">
        <w:rPr>
          <w:rFonts w:asciiTheme="majorBidi" w:hAnsiTheme="majorBidi" w:cstheme="majorBidi"/>
          <w:color w:val="000000" w:themeColor="text1"/>
          <w:sz w:val="22"/>
          <w:shd w:val="clear" w:color="auto" w:fill="FFFFFF"/>
        </w:rPr>
        <w:t>.</w:t>
      </w:r>
    </w:p>
    <w:p w14:paraId="316D942E"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Hsiao, C. (2007). Panel data analysis—advantages and challenges.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TEST,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16</w:t>
      </w:r>
      <w:r w:rsidRPr="00B40DD7">
        <w:rPr>
          <w:rFonts w:asciiTheme="majorBidi" w:hAnsiTheme="majorBidi" w:cstheme="majorBidi"/>
          <w:color w:val="000000" w:themeColor="text1"/>
          <w:sz w:val="22"/>
          <w:shd w:val="clear" w:color="auto" w:fill="FFFFFF"/>
        </w:rPr>
        <w:t>(1), 1-22.</w:t>
      </w:r>
    </w:p>
    <w:p w14:paraId="53DA731D" w14:textId="77777777" w:rsidR="006B46E9" w:rsidRPr="00B40DD7" w:rsidRDefault="00FB1593" w:rsidP="00283A3C">
      <w:pPr>
        <w:ind w:left="567" w:hanging="567"/>
        <w:jc w:val="both"/>
        <w:rPr>
          <w:rFonts w:asciiTheme="majorBidi" w:hAnsiTheme="majorBidi" w:cstheme="majorBidi"/>
          <w:color w:val="000000" w:themeColor="text1"/>
          <w:sz w:val="22"/>
          <w:shd w:val="clear" w:color="auto" w:fill="FFFFFF"/>
        </w:rPr>
      </w:pPr>
      <w:r w:rsidRPr="00B40DD7">
        <w:rPr>
          <w:rFonts w:asciiTheme="majorBidi" w:hAnsiTheme="majorBidi" w:cstheme="majorBidi"/>
          <w:color w:val="000000" w:themeColor="text1"/>
          <w:sz w:val="22"/>
          <w:shd w:val="clear" w:color="auto" w:fill="FFFFFF"/>
        </w:rPr>
        <w:t>Jaeger, D. A., Ruist, J., &amp; Stuhler, J. (2018).</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Cs/>
          <w:color w:val="000000" w:themeColor="text1"/>
          <w:sz w:val="22"/>
          <w:shd w:val="clear" w:color="auto" w:fill="FFFFFF"/>
        </w:rPr>
        <w:t>Shift-share instruments and the impact of immigration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color w:val="000000" w:themeColor="text1"/>
          <w:sz w:val="22"/>
          <w:shd w:val="clear" w:color="auto" w:fill="FFFFFF"/>
        </w:rPr>
        <w:t>(No. w24285). National Bureau of Economic Research.</w:t>
      </w:r>
    </w:p>
    <w:p w14:paraId="7E7F0788" w14:textId="77777777" w:rsidR="006B46E9" w:rsidRPr="00B40DD7" w:rsidRDefault="006B46E9" w:rsidP="00283A3C">
      <w:pPr>
        <w:ind w:left="567" w:hanging="567"/>
        <w:jc w:val="both"/>
        <w:rPr>
          <w:rFonts w:asciiTheme="majorBidi" w:eastAsia="Times New Roman" w:hAnsiTheme="majorBidi" w:cstheme="majorBidi"/>
          <w:bCs/>
          <w:color w:val="000000" w:themeColor="text1"/>
          <w:sz w:val="22"/>
        </w:rPr>
      </w:pPr>
      <w:r w:rsidRPr="00B40DD7">
        <w:rPr>
          <w:rFonts w:asciiTheme="majorBidi" w:eastAsia="Times New Roman" w:hAnsiTheme="majorBidi" w:cstheme="majorBidi"/>
          <w:color w:val="000000" w:themeColor="text1"/>
          <w:sz w:val="22"/>
          <w:shd w:val="clear" w:color="auto" w:fill="FFFFFF"/>
        </w:rPr>
        <w:t>Karki Nepal, A. (2016). The impact of international remittances on child outcomes and household expenditures in Nepal. </w:t>
      </w:r>
      <w:r w:rsidRPr="00B40DD7">
        <w:rPr>
          <w:rFonts w:asciiTheme="majorBidi" w:eastAsia="Times New Roman" w:hAnsiTheme="majorBidi" w:cstheme="majorBidi"/>
          <w:i/>
          <w:iCs/>
          <w:color w:val="000000" w:themeColor="text1"/>
          <w:sz w:val="22"/>
        </w:rPr>
        <w:t>The Journal of Development Studies</w:t>
      </w:r>
      <w:r w:rsidRPr="00B40DD7">
        <w:rPr>
          <w:rFonts w:asciiTheme="majorBidi" w:eastAsia="Times New Roman" w:hAnsiTheme="majorBidi" w:cstheme="majorBidi"/>
          <w:color w:val="000000" w:themeColor="text1"/>
          <w:sz w:val="22"/>
          <w:shd w:val="clear" w:color="auto" w:fill="FFFFFF"/>
        </w:rPr>
        <w:t>, </w:t>
      </w:r>
      <w:r w:rsidRPr="00B40DD7">
        <w:rPr>
          <w:rFonts w:asciiTheme="majorBidi" w:eastAsia="Times New Roman" w:hAnsiTheme="majorBidi" w:cstheme="majorBidi"/>
          <w:i/>
          <w:iCs/>
          <w:color w:val="000000" w:themeColor="text1"/>
          <w:sz w:val="22"/>
        </w:rPr>
        <w:t>52</w:t>
      </w:r>
      <w:r w:rsidRPr="00B40DD7">
        <w:rPr>
          <w:rFonts w:asciiTheme="majorBidi" w:eastAsia="Times New Roman" w:hAnsiTheme="majorBidi" w:cstheme="majorBidi"/>
          <w:color w:val="000000" w:themeColor="text1"/>
          <w:sz w:val="22"/>
          <w:shd w:val="clear" w:color="auto" w:fill="FFFFFF"/>
        </w:rPr>
        <w:t>(6), 838-853.</w:t>
      </w:r>
    </w:p>
    <w:p w14:paraId="6A50F11A" w14:textId="77777777" w:rsidR="006B46E9" w:rsidRPr="00B40DD7" w:rsidRDefault="00A417DF" w:rsidP="00283A3C">
      <w:pPr>
        <w:ind w:left="567" w:hanging="567"/>
        <w:jc w:val="both"/>
        <w:rPr>
          <w:rFonts w:asciiTheme="majorBidi" w:eastAsia="Times New Roman" w:hAnsiTheme="majorBidi" w:cstheme="majorBidi"/>
          <w:bCs/>
          <w:color w:val="000000" w:themeColor="text1"/>
          <w:sz w:val="22"/>
        </w:rPr>
      </w:pPr>
      <w:bookmarkStart w:id="1" w:name="_ENREF_76"/>
      <w:r w:rsidRPr="00B40DD7">
        <w:rPr>
          <w:rFonts w:asciiTheme="majorBidi" w:hAnsiTheme="majorBidi" w:cstheme="majorBidi"/>
          <w:color w:val="000000" w:themeColor="text1"/>
          <w:sz w:val="22"/>
        </w:rPr>
        <w:t>Köllner, S. (2013). Remittances and educational attainment: Evidence from Tajikistan (Vol. 124): Julius Maximilian University of Würzburg, Chair of Economic Order and Social Policy.</w:t>
      </w:r>
      <w:bookmarkEnd w:id="1"/>
    </w:p>
    <w:p w14:paraId="3E3E66A9" w14:textId="77777777" w:rsidR="006B46E9" w:rsidRPr="00B40DD7" w:rsidRDefault="004D04BD"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Koska, O. A., Saygin, P. T., Artal-Tur, A., &amp; Çaǧatay, S. (2013). International migration, remittances, and the human capital formation of Egyptian children.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International Review of Economics and Finance,</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28</w:t>
      </w:r>
      <w:r w:rsidRPr="00B40DD7">
        <w:rPr>
          <w:rFonts w:asciiTheme="majorBidi" w:hAnsiTheme="majorBidi" w:cstheme="majorBidi"/>
          <w:color w:val="000000" w:themeColor="text1"/>
          <w:sz w:val="22"/>
          <w:shd w:val="clear" w:color="auto" w:fill="FFFFFF"/>
        </w:rPr>
        <w:t xml:space="preserve">, 38-50. </w:t>
      </w:r>
    </w:p>
    <w:p w14:paraId="7AF530AA" w14:textId="77777777" w:rsidR="006B46E9" w:rsidRPr="00B40DD7" w:rsidRDefault="00636389"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Kugler,</w:t>
      </w:r>
      <w:r w:rsidR="001318BA" w:rsidRPr="00B40DD7">
        <w:rPr>
          <w:rFonts w:asciiTheme="majorBidi" w:hAnsiTheme="majorBidi" w:cstheme="majorBidi"/>
          <w:color w:val="000000" w:themeColor="text1"/>
          <w:sz w:val="22"/>
          <w:shd w:val="clear" w:color="auto" w:fill="FFFFFF"/>
        </w:rPr>
        <w:t xml:space="preserve"> M. (2006). Migrant remittances, human capital formation and job creation e</w:t>
      </w:r>
      <w:r w:rsidRPr="00B40DD7">
        <w:rPr>
          <w:rFonts w:asciiTheme="majorBidi" w:hAnsiTheme="majorBidi" w:cstheme="majorBidi"/>
          <w:color w:val="000000" w:themeColor="text1"/>
          <w:sz w:val="22"/>
          <w:shd w:val="clear" w:color="auto" w:fill="FFFFFF"/>
        </w:rPr>
        <w:t>xternalities in Colombia.</w:t>
      </w:r>
      <w:r w:rsidRPr="00B40DD7">
        <w:rPr>
          <w:rStyle w:val="apple-converted-space"/>
          <w:rFonts w:asciiTheme="majorBidi" w:hAnsiTheme="majorBidi" w:cstheme="majorBidi"/>
          <w:color w:val="000000" w:themeColor="text1"/>
          <w:sz w:val="22"/>
          <w:shd w:val="clear" w:color="auto" w:fill="FFFFFF"/>
        </w:rPr>
        <w:t> </w:t>
      </w:r>
      <w:r w:rsidR="001171BB" w:rsidRPr="00B40DD7">
        <w:rPr>
          <w:rFonts w:asciiTheme="majorBidi" w:hAnsiTheme="majorBidi" w:cstheme="majorBidi"/>
          <w:i/>
          <w:iCs/>
          <w:color w:val="000000" w:themeColor="text1"/>
          <w:sz w:val="22"/>
          <w:shd w:val="clear" w:color="auto" w:fill="FFFFFF"/>
        </w:rPr>
        <w:t xml:space="preserve">Borradores de Economía </w:t>
      </w:r>
      <w:r w:rsidR="001171BB" w:rsidRPr="00B40DD7">
        <w:rPr>
          <w:rFonts w:asciiTheme="majorBidi" w:hAnsiTheme="majorBidi" w:cstheme="majorBidi"/>
          <w:color w:val="000000" w:themeColor="text1"/>
          <w:sz w:val="22"/>
          <w:shd w:val="clear" w:color="auto" w:fill="FFFFFF"/>
        </w:rPr>
        <w:t>No. 370</w:t>
      </w:r>
      <w:r w:rsidRPr="00B40DD7">
        <w:rPr>
          <w:rFonts w:asciiTheme="majorBidi" w:hAnsiTheme="majorBidi" w:cstheme="majorBidi"/>
          <w:color w:val="000000" w:themeColor="text1"/>
          <w:sz w:val="22"/>
          <w:shd w:val="clear" w:color="auto" w:fill="FFFFFF"/>
        </w:rPr>
        <w:t>.</w:t>
      </w:r>
    </w:p>
    <w:p w14:paraId="2B58F0B5" w14:textId="77777777" w:rsidR="006B46E9" w:rsidRPr="00B40DD7" w:rsidRDefault="0024382F"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Mansuri, Ghazala. (2006). Migration, school attainment, and child labor: Evidence from rural Pakistan.</w:t>
      </w:r>
      <w:r w:rsidRPr="00B40DD7">
        <w:rPr>
          <w:rStyle w:val="apple-converted-space"/>
          <w:rFonts w:asciiTheme="majorBidi" w:hAnsiTheme="majorBidi" w:cstheme="majorBidi"/>
          <w:color w:val="000000" w:themeColor="text1"/>
          <w:sz w:val="22"/>
          <w:shd w:val="clear" w:color="auto" w:fill="FFFFFF"/>
        </w:rPr>
        <w:t> </w:t>
      </w:r>
      <w:r w:rsidR="00E3575D" w:rsidRPr="00B40DD7">
        <w:rPr>
          <w:rFonts w:asciiTheme="majorBidi" w:hAnsiTheme="majorBidi" w:cstheme="majorBidi"/>
          <w:iCs/>
          <w:color w:val="000000" w:themeColor="text1"/>
          <w:sz w:val="22"/>
          <w:shd w:val="clear" w:color="auto" w:fill="FFFFFF"/>
        </w:rPr>
        <w:t>The World Bank</w:t>
      </w:r>
      <w:r w:rsidRPr="00B40DD7">
        <w:rPr>
          <w:rFonts w:asciiTheme="majorBidi" w:hAnsiTheme="majorBidi" w:cstheme="majorBidi"/>
          <w:color w:val="000000" w:themeColor="text1"/>
          <w:sz w:val="22"/>
          <w:shd w:val="clear" w:color="auto" w:fill="FFFFFF"/>
        </w:rPr>
        <w:t>.</w:t>
      </w:r>
    </w:p>
    <w:p w14:paraId="0E17087A" w14:textId="77777777" w:rsidR="006B46E9" w:rsidRPr="00B40DD7" w:rsidRDefault="005279C6"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McKenzie, D., &amp; Rapoport, H. (2011). Can migration reduce educational attainment? Evidence from Mexico.</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Population Economics,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24</w:t>
      </w:r>
      <w:r w:rsidRPr="00B40DD7">
        <w:rPr>
          <w:rFonts w:asciiTheme="majorBidi" w:hAnsiTheme="majorBidi" w:cstheme="majorBidi"/>
          <w:color w:val="000000" w:themeColor="text1"/>
          <w:sz w:val="22"/>
          <w:shd w:val="clear" w:color="auto" w:fill="FFFFFF"/>
        </w:rPr>
        <w:t>(4), 1331-1358</w:t>
      </w:r>
      <w:r w:rsidR="00853EC1" w:rsidRPr="00B40DD7">
        <w:rPr>
          <w:rFonts w:asciiTheme="majorBidi" w:hAnsiTheme="majorBidi" w:cstheme="majorBidi"/>
          <w:color w:val="000000" w:themeColor="text1"/>
          <w:sz w:val="22"/>
          <w:shd w:val="clear" w:color="auto" w:fill="FFFFFF"/>
        </w:rPr>
        <w:t xml:space="preserve">. </w:t>
      </w:r>
    </w:p>
    <w:p w14:paraId="24ACF70E" w14:textId="77777777" w:rsidR="006B46E9" w:rsidRPr="00B40DD7" w:rsidRDefault="001C348F"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Melguizo, T., Sanchez, F., &amp; Velasco, T. (2016). Credit for low-income students and access to and academic performance in higher education in Colombia: A regression discontinuity</w:t>
      </w:r>
      <w:r w:rsidR="001171BB" w:rsidRPr="00B40DD7">
        <w:rPr>
          <w:rFonts w:asciiTheme="majorBidi" w:hAnsiTheme="majorBidi" w:cstheme="majorBidi"/>
          <w:color w:val="000000" w:themeColor="text1"/>
          <w:sz w:val="22"/>
          <w:shd w:val="clear" w:color="auto" w:fill="FFFFFF"/>
        </w:rPr>
        <w:t xml:space="preserve"> approach. </w:t>
      </w:r>
      <w:r w:rsidR="001171BB" w:rsidRPr="00B40DD7">
        <w:rPr>
          <w:rFonts w:asciiTheme="majorBidi" w:hAnsiTheme="majorBidi" w:cstheme="majorBidi"/>
          <w:i/>
          <w:iCs/>
          <w:color w:val="000000" w:themeColor="text1"/>
          <w:sz w:val="22"/>
          <w:shd w:val="clear" w:color="auto" w:fill="FFFFFF"/>
        </w:rPr>
        <w:t>World D</w:t>
      </w:r>
      <w:r w:rsidRPr="00B40DD7">
        <w:rPr>
          <w:rFonts w:asciiTheme="majorBidi" w:hAnsiTheme="majorBidi" w:cstheme="majorBidi"/>
          <w:i/>
          <w:iCs/>
          <w:color w:val="000000" w:themeColor="text1"/>
          <w:sz w:val="22"/>
          <w:shd w:val="clear" w:color="auto" w:fill="FFFFFF"/>
        </w:rPr>
        <w:t>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80</w:t>
      </w:r>
      <w:r w:rsidRPr="00B40DD7">
        <w:rPr>
          <w:rFonts w:asciiTheme="majorBidi" w:hAnsiTheme="majorBidi" w:cstheme="majorBidi"/>
          <w:color w:val="000000" w:themeColor="text1"/>
          <w:sz w:val="22"/>
          <w:shd w:val="clear" w:color="auto" w:fill="FFFFFF"/>
        </w:rPr>
        <w:t>, 61-77.</w:t>
      </w:r>
    </w:p>
    <w:p w14:paraId="1A8E998C" w14:textId="77777777" w:rsidR="006B46E9" w:rsidRPr="00B40DD7" w:rsidRDefault="00B03445"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 xml:space="preserve">Melkonyan, T. A., &amp; Grigorian, M. D. A. (2008). </w:t>
      </w:r>
      <w:r w:rsidRPr="00B40DD7">
        <w:rPr>
          <w:rFonts w:asciiTheme="majorBidi" w:hAnsiTheme="majorBidi" w:cstheme="majorBidi"/>
          <w:iCs/>
          <w:color w:val="000000" w:themeColor="text1"/>
          <w:sz w:val="22"/>
          <w:shd w:val="clear" w:color="auto" w:fill="FFFFFF"/>
        </w:rPr>
        <w:t>Microeconomic implications of remittances in an overlapping generations model with altruism and self-interest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color w:val="000000" w:themeColor="text1"/>
          <w:sz w:val="22"/>
          <w:shd w:val="clear" w:color="auto" w:fill="FFFFFF"/>
        </w:rPr>
        <w:t>(No. 8-19). International Monetary Fund.</w:t>
      </w:r>
    </w:p>
    <w:p w14:paraId="6BA551F2"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MOE (2016). School Sector Development Program (2016-2023). Ministry of Education, Government of Nepal.</w:t>
      </w:r>
    </w:p>
    <w:p w14:paraId="404592B2" w14:textId="77777777" w:rsidR="006B46E9" w:rsidRPr="00B40DD7" w:rsidRDefault="00D36693"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NEAN (2016). National Education Account Nepal 2016: Expenditure for Education 2009-2015. Ministry of Education, Government of Nepal.</w:t>
      </w:r>
    </w:p>
    <w:p w14:paraId="48199227" w14:textId="77777777" w:rsidR="006B46E9" w:rsidRPr="00B40DD7" w:rsidRDefault="00D610F0"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Nguyen, C.V., &amp; Nguyen, H.Q. (2015). Do internal and international remittances matter to health, education and labor of children and adolescents? The case of Vietnam.</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Children and Youth Services Review,</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58</w:t>
      </w:r>
      <w:r w:rsidRPr="00B40DD7">
        <w:rPr>
          <w:rFonts w:asciiTheme="majorBidi" w:hAnsiTheme="majorBidi" w:cstheme="majorBidi"/>
          <w:color w:val="000000" w:themeColor="text1"/>
          <w:sz w:val="22"/>
          <w:shd w:val="clear" w:color="auto" w:fill="FFFFFF"/>
        </w:rPr>
        <w:t>, 28-34</w:t>
      </w:r>
      <w:r w:rsidR="000E116A" w:rsidRPr="00B40DD7">
        <w:rPr>
          <w:rFonts w:asciiTheme="majorBidi" w:hAnsiTheme="majorBidi" w:cstheme="majorBidi"/>
          <w:color w:val="000000" w:themeColor="text1"/>
          <w:sz w:val="22"/>
          <w:shd w:val="clear" w:color="auto" w:fill="FFFFFF"/>
        </w:rPr>
        <w:t>.</w:t>
      </w:r>
    </w:p>
    <w:p w14:paraId="1808B3B1" w14:textId="77777777" w:rsidR="006B46E9" w:rsidRPr="00B40DD7" w:rsidRDefault="00CD289B"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Ngoma, A. L., &amp; Ismail, N. W. (2013). Do migrant remittances promote human capital formation? Evidence from 89 developing countries.</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Migration and Development</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2</w:t>
      </w:r>
      <w:r w:rsidRPr="00B40DD7">
        <w:rPr>
          <w:rFonts w:asciiTheme="majorBidi" w:hAnsiTheme="majorBidi" w:cstheme="majorBidi"/>
          <w:color w:val="000000" w:themeColor="text1"/>
          <w:sz w:val="22"/>
          <w:shd w:val="clear" w:color="auto" w:fill="FFFFFF"/>
        </w:rPr>
        <w:t>(1), 106-116.</w:t>
      </w:r>
    </w:p>
    <w:p w14:paraId="20E258C1" w14:textId="77777777" w:rsidR="006B46E9" w:rsidRPr="00B40DD7" w:rsidRDefault="000E116A"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S</w:t>
      </w:r>
      <w:r w:rsidR="00EC160C" w:rsidRPr="00B40DD7">
        <w:rPr>
          <w:rFonts w:asciiTheme="majorBidi" w:hAnsiTheme="majorBidi" w:cstheme="majorBidi"/>
          <w:color w:val="000000" w:themeColor="text1"/>
          <w:sz w:val="22"/>
          <w:shd w:val="clear" w:color="auto" w:fill="FFFFFF"/>
        </w:rPr>
        <w:t>alas, V. (2014). International remittances and human capital f</w:t>
      </w:r>
      <w:r w:rsidRPr="00B40DD7">
        <w:rPr>
          <w:rFonts w:asciiTheme="majorBidi" w:hAnsiTheme="majorBidi" w:cstheme="majorBidi"/>
          <w:color w:val="000000" w:themeColor="text1"/>
          <w:sz w:val="22"/>
          <w:shd w:val="clear" w:color="auto" w:fill="FFFFFF"/>
        </w:rPr>
        <w:t>ormation.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World</w:t>
      </w:r>
      <w:r w:rsidR="00E9065B" w:rsidRPr="00B40DD7">
        <w:rPr>
          <w:rFonts w:asciiTheme="majorBidi" w:hAnsiTheme="majorBidi" w:cstheme="majorBidi"/>
          <w:i/>
          <w:iCs/>
          <w:color w:val="000000" w:themeColor="text1"/>
          <w:sz w:val="22"/>
          <w:shd w:val="clear" w:color="auto" w:fill="FFFFFF"/>
        </w:rPr>
        <w:t xml:space="preserve"> Development, </w:t>
      </w:r>
      <w:r w:rsidRPr="00B40DD7">
        <w:rPr>
          <w:rFonts w:asciiTheme="majorBidi" w:hAnsiTheme="majorBidi" w:cstheme="majorBidi"/>
          <w:i/>
          <w:iCs/>
          <w:color w:val="000000" w:themeColor="text1"/>
          <w:sz w:val="22"/>
          <w:shd w:val="clear" w:color="auto" w:fill="FFFFFF"/>
        </w:rPr>
        <w:t>59</w:t>
      </w:r>
      <w:r w:rsidR="001171BB" w:rsidRPr="00B40DD7">
        <w:rPr>
          <w:rFonts w:asciiTheme="majorBidi" w:hAnsiTheme="majorBidi" w:cstheme="majorBidi"/>
          <w:color w:val="000000" w:themeColor="text1"/>
          <w:sz w:val="22"/>
          <w:shd w:val="clear" w:color="auto" w:fill="FFFFFF"/>
        </w:rPr>
        <w:t>(C), 224 </w:t>
      </w:r>
      <w:r w:rsidRPr="00B40DD7">
        <w:rPr>
          <w:rFonts w:asciiTheme="majorBidi" w:hAnsiTheme="majorBidi" w:cstheme="majorBidi"/>
          <w:color w:val="000000" w:themeColor="text1"/>
          <w:sz w:val="22"/>
          <w:shd w:val="clear" w:color="auto" w:fill="FFFFFF"/>
        </w:rPr>
        <w:t>237.</w:t>
      </w:r>
    </w:p>
    <w:p w14:paraId="2673BA95" w14:textId="77777777" w:rsidR="006B46E9" w:rsidRPr="00B40DD7" w:rsidRDefault="00C50D61"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Sapkota, C. (2013). Remittances in Nepal: Boon or Bane?</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The Journal of Development</w:t>
      </w:r>
      <w:r w:rsidR="00E9065B" w:rsidRPr="00B40DD7">
        <w:rPr>
          <w:rFonts w:asciiTheme="majorBidi" w:hAnsiTheme="majorBidi" w:cstheme="majorBidi"/>
          <w:i/>
          <w:iCs/>
          <w:color w:val="000000" w:themeColor="text1"/>
          <w:sz w:val="22"/>
          <w:shd w:val="clear" w:color="auto" w:fill="FFFFFF"/>
        </w:rPr>
        <w:t xml:space="preserve"> Studies, </w:t>
      </w:r>
      <w:r w:rsidRPr="00B40DD7">
        <w:rPr>
          <w:rFonts w:asciiTheme="majorBidi" w:hAnsiTheme="majorBidi" w:cstheme="majorBidi"/>
          <w:i/>
          <w:iCs/>
          <w:color w:val="000000" w:themeColor="text1"/>
          <w:sz w:val="22"/>
          <w:shd w:val="clear" w:color="auto" w:fill="FFFFFF"/>
        </w:rPr>
        <w:t>49</w:t>
      </w:r>
      <w:r w:rsidR="001171BB" w:rsidRPr="00B40DD7">
        <w:rPr>
          <w:rFonts w:asciiTheme="majorBidi" w:hAnsiTheme="majorBidi" w:cstheme="majorBidi"/>
          <w:color w:val="000000" w:themeColor="text1"/>
          <w:sz w:val="22"/>
          <w:shd w:val="clear" w:color="auto" w:fill="FFFFFF"/>
        </w:rPr>
        <w:t>(10), 1</w:t>
      </w:r>
      <w:r w:rsidR="001171BB" w:rsidRPr="00B40DD7">
        <w:rPr>
          <w:rFonts w:asciiTheme="majorBidi" w:hAnsiTheme="majorBidi" w:cstheme="majorBidi"/>
          <w:color w:val="000000" w:themeColor="text1"/>
          <w:sz w:val="22"/>
          <w:shd w:val="clear" w:color="auto" w:fill="FFFFFF"/>
        </w:rPr>
        <w:noBreakHyphen/>
      </w:r>
      <w:r w:rsidRPr="00B40DD7">
        <w:rPr>
          <w:rFonts w:asciiTheme="majorBidi" w:hAnsiTheme="majorBidi" w:cstheme="majorBidi"/>
          <w:color w:val="000000" w:themeColor="text1"/>
          <w:sz w:val="22"/>
          <w:shd w:val="clear" w:color="auto" w:fill="FFFFFF"/>
        </w:rPr>
        <w:t>16.</w:t>
      </w:r>
    </w:p>
    <w:p w14:paraId="40C9B122" w14:textId="77777777" w:rsidR="006B46E9" w:rsidRPr="00B40DD7" w:rsidRDefault="00BD53F5" w:rsidP="00283A3C">
      <w:pPr>
        <w:ind w:left="567" w:hanging="567"/>
        <w:jc w:val="both"/>
        <w:rPr>
          <w:rFonts w:asciiTheme="majorBidi" w:hAnsiTheme="majorBidi" w:cstheme="majorBidi"/>
          <w:color w:val="000000" w:themeColor="text1"/>
          <w:sz w:val="22"/>
          <w:shd w:val="clear" w:color="auto" w:fill="FFFFFF"/>
        </w:rPr>
      </w:pPr>
      <w:r w:rsidRPr="00B40DD7">
        <w:rPr>
          <w:rFonts w:asciiTheme="majorBidi" w:hAnsiTheme="majorBidi" w:cstheme="majorBidi"/>
          <w:color w:val="000000" w:themeColor="text1"/>
          <w:sz w:val="22"/>
          <w:shd w:val="clear" w:color="auto" w:fill="FFFFFF"/>
        </w:rPr>
        <w:t>Sharma, H., &amp; Gibson, J. (2019).</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Cs/>
          <w:color w:val="000000" w:themeColor="text1"/>
          <w:sz w:val="22"/>
          <w:shd w:val="clear" w:color="auto" w:fill="FFFFFF"/>
        </w:rPr>
        <w:t>Civil War and International Migration from Nepal: Evidence from a Spatial Durbin Model</w:t>
      </w:r>
      <w:r w:rsidRPr="00B40DD7">
        <w:rPr>
          <w:rFonts w:asciiTheme="majorBidi" w:hAnsiTheme="majorBidi" w:cstheme="majorBidi"/>
          <w:color w:val="000000" w:themeColor="text1"/>
          <w:sz w:val="22"/>
          <w:shd w:val="clear" w:color="auto" w:fill="FFFFFF"/>
        </w:rPr>
        <w:t xml:space="preserve">. </w:t>
      </w:r>
      <w:r w:rsidRPr="00B40DD7">
        <w:rPr>
          <w:rFonts w:asciiTheme="majorBidi" w:hAnsiTheme="majorBidi" w:cstheme="majorBidi"/>
          <w:i/>
          <w:color w:val="000000" w:themeColor="text1"/>
          <w:sz w:val="22"/>
          <w:shd w:val="clear" w:color="auto" w:fill="FFFFFF"/>
        </w:rPr>
        <w:t>Working Paper in Economics 19/06, University of Waikato</w:t>
      </w:r>
      <w:r w:rsidRPr="00B40DD7">
        <w:rPr>
          <w:rFonts w:asciiTheme="majorBidi" w:hAnsiTheme="majorBidi" w:cstheme="majorBidi"/>
          <w:color w:val="000000" w:themeColor="text1"/>
          <w:sz w:val="22"/>
          <w:shd w:val="clear" w:color="auto" w:fill="FFFFFF"/>
        </w:rPr>
        <w:t>.</w:t>
      </w:r>
    </w:p>
    <w:p w14:paraId="149D3860" w14:textId="77777777" w:rsidR="006B46E9" w:rsidRPr="00B40DD7" w:rsidRDefault="00D610F0"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Shrestha, M. (2017).</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Cs/>
          <w:color w:val="000000" w:themeColor="text1"/>
          <w:sz w:val="22"/>
          <w:shd w:val="clear" w:color="auto" w:fill="FFFFFF"/>
        </w:rPr>
        <w:t>The impact of large-scale migration on poverty, expenditures, and labor market outcomes in Nepal</w:t>
      </w:r>
      <w:r w:rsidRPr="00B40DD7">
        <w:rPr>
          <w:rFonts w:asciiTheme="majorBidi" w:hAnsiTheme="majorBidi" w:cstheme="majorBidi"/>
          <w:color w:val="000000" w:themeColor="text1"/>
          <w:sz w:val="22"/>
          <w:shd w:val="clear" w:color="auto" w:fill="FFFFFF"/>
        </w:rPr>
        <w:t>. The World Bank.</w:t>
      </w:r>
      <w:bookmarkStart w:id="2" w:name="_ENREF_27"/>
    </w:p>
    <w:p w14:paraId="6E88783D" w14:textId="77777777" w:rsidR="006B46E9" w:rsidRPr="00B40DD7" w:rsidRDefault="00274BBE" w:rsidP="00283A3C">
      <w:pPr>
        <w:ind w:left="567" w:hanging="567"/>
        <w:jc w:val="both"/>
        <w:rPr>
          <w:rFonts w:asciiTheme="majorBidi" w:eastAsia="Times New Roman" w:hAnsiTheme="majorBidi" w:cstheme="majorBidi"/>
          <w:bCs/>
          <w:color w:val="000000" w:themeColor="text1"/>
          <w:sz w:val="22"/>
        </w:rPr>
      </w:pPr>
      <w:r w:rsidRPr="00B40DD7">
        <w:rPr>
          <w:rFonts w:asciiTheme="majorBidi" w:hAnsiTheme="majorBidi" w:cstheme="majorBidi"/>
          <w:color w:val="000000" w:themeColor="text1"/>
          <w:sz w:val="22"/>
          <w:shd w:val="clear" w:color="auto" w:fill="FFFFFF"/>
        </w:rPr>
        <w:t>Sun, S. T., &amp; Yannelis, C. (2016). Credit constraints and demand for higher education: Evidence from financial deregulation.</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Review of Economics and Statistics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98</w:t>
      </w:r>
      <w:r w:rsidRPr="00B40DD7">
        <w:rPr>
          <w:rFonts w:asciiTheme="majorBidi" w:hAnsiTheme="majorBidi" w:cstheme="majorBidi"/>
          <w:color w:val="000000" w:themeColor="text1"/>
          <w:sz w:val="22"/>
          <w:shd w:val="clear" w:color="auto" w:fill="FFFFFF"/>
        </w:rPr>
        <w:t>(1), 12-24.</w:t>
      </w:r>
    </w:p>
    <w:p w14:paraId="675229FA" w14:textId="2FF86877" w:rsidR="00EE5563" w:rsidRPr="00B40DD7" w:rsidRDefault="00AF48C4" w:rsidP="00391A75">
      <w:pPr>
        <w:ind w:left="567" w:hanging="567"/>
        <w:jc w:val="both"/>
        <w:rPr>
          <w:rFonts w:asciiTheme="majorBidi" w:hAnsiTheme="majorBidi" w:cstheme="majorBidi"/>
          <w:color w:val="000000" w:themeColor="text1"/>
          <w:sz w:val="22"/>
          <w:shd w:val="clear" w:color="auto" w:fill="FFFFFF"/>
        </w:rPr>
      </w:pPr>
      <w:r w:rsidRPr="00B40DD7">
        <w:rPr>
          <w:rFonts w:asciiTheme="majorBidi" w:hAnsiTheme="majorBidi" w:cstheme="majorBidi"/>
          <w:color w:val="000000" w:themeColor="text1"/>
          <w:sz w:val="22"/>
          <w:shd w:val="clear" w:color="auto" w:fill="FFFFFF"/>
        </w:rPr>
        <w:t>Theoharides, C. (2018). Manila to Malaysia, Quezon to Qatar International Migration and Its Effects on Origin-Country Human Capital.</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Journal of Human Resources</w:t>
      </w:r>
      <w:r w:rsidRPr="00B40DD7">
        <w:rPr>
          <w:rFonts w:asciiTheme="majorBidi" w:hAnsiTheme="majorBidi" w:cstheme="majorBidi"/>
          <w:color w:val="000000" w:themeColor="text1"/>
          <w:sz w:val="22"/>
          <w:shd w:val="clear" w:color="auto" w:fill="FFFFFF"/>
        </w:rPr>
        <w:t>,</w:t>
      </w:r>
      <w:r w:rsidRPr="00B40DD7">
        <w:rPr>
          <w:rStyle w:val="apple-converted-space"/>
          <w:rFonts w:asciiTheme="majorBidi" w:hAnsiTheme="majorBidi" w:cstheme="majorBidi"/>
          <w:color w:val="000000" w:themeColor="text1"/>
          <w:sz w:val="22"/>
          <w:shd w:val="clear" w:color="auto" w:fill="FFFFFF"/>
        </w:rPr>
        <w:t> </w:t>
      </w:r>
      <w:r w:rsidRPr="00B40DD7">
        <w:rPr>
          <w:rFonts w:asciiTheme="majorBidi" w:hAnsiTheme="majorBidi" w:cstheme="majorBidi"/>
          <w:i/>
          <w:iCs/>
          <w:color w:val="000000" w:themeColor="text1"/>
          <w:sz w:val="22"/>
          <w:shd w:val="clear" w:color="auto" w:fill="FFFFFF"/>
        </w:rPr>
        <w:t>53</w:t>
      </w:r>
      <w:r w:rsidRPr="00B40DD7">
        <w:rPr>
          <w:rFonts w:asciiTheme="majorBidi" w:hAnsiTheme="majorBidi" w:cstheme="majorBidi"/>
          <w:color w:val="000000" w:themeColor="text1"/>
          <w:sz w:val="22"/>
          <w:shd w:val="clear" w:color="auto" w:fill="FFFFFF"/>
        </w:rPr>
        <w:t>(4), 1022-1049.</w:t>
      </w:r>
      <w:bookmarkEnd w:id="2"/>
    </w:p>
    <w:p w14:paraId="67CC5F51" w14:textId="26718836" w:rsidR="00C15A31" w:rsidRPr="00B40DD7" w:rsidRDefault="00C15A31" w:rsidP="00391A75">
      <w:pPr>
        <w:ind w:left="567" w:hanging="567"/>
        <w:jc w:val="both"/>
        <w:rPr>
          <w:rFonts w:asciiTheme="majorBidi" w:hAnsiTheme="majorBidi" w:cstheme="majorBidi"/>
          <w:color w:val="000000" w:themeColor="text1"/>
          <w:sz w:val="22"/>
          <w:shd w:val="clear" w:color="auto" w:fill="FFFFFF"/>
        </w:rPr>
      </w:pPr>
    </w:p>
    <w:p w14:paraId="4BB8D1F7" w14:textId="77777777" w:rsidR="00C00B4C" w:rsidRDefault="00C00B4C" w:rsidP="00391A75">
      <w:pPr>
        <w:ind w:left="567" w:hanging="567"/>
        <w:jc w:val="both"/>
        <w:rPr>
          <w:rFonts w:asciiTheme="majorBidi" w:hAnsiTheme="majorBidi" w:cstheme="majorBidi"/>
          <w:color w:val="000000" w:themeColor="text1"/>
        </w:rPr>
      </w:pPr>
    </w:p>
    <w:p w14:paraId="737D5DA6" w14:textId="77777777" w:rsidR="00C15A31" w:rsidRDefault="00C15A31" w:rsidP="00391A75">
      <w:pPr>
        <w:ind w:left="567" w:hanging="567"/>
        <w:jc w:val="both"/>
        <w:rPr>
          <w:rFonts w:asciiTheme="majorBidi" w:hAnsiTheme="majorBidi" w:cstheme="majorBidi"/>
          <w:color w:val="000000" w:themeColor="text1"/>
        </w:rPr>
      </w:pPr>
    </w:p>
    <w:p w14:paraId="31DB58C6" w14:textId="77777777" w:rsidR="00C15A31" w:rsidRDefault="00C15A31" w:rsidP="00391A75">
      <w:pPr>
        <w:ind w:left="567" w:hanging="567"/>
        <w:jc w:val="both"/>
        <w:rPr>
          <w:rFonts w:asciiTheme="majorBidi" w:hAnsiTheme="majorBidi" w:cstheme="majorBidi"/>
          <w:color w:val="000000" w:themeColor="text1"/>
        </w:rPr>
      </w:pPr>
    </w:p>
    <w:p w14:paraId="6B4C4C8F" w14:textId="2B7E9308" w:rsidR="00C15A31" w:rsidRPr="004B36B2" w:rsidRDefault="00C15A31" w:rsidP="00391A75">
      <w:pPr>
        <w:ind w:left="567" w:hanging="567"/>
        <w:jc w:val="both"/>
        <w:rPr>
          <w:rFonts w:asciiTheme="majorBidi" w:hAnsiTheme="majorBidi" w:cstheme="majorBidi"/>
          <w:color w:val="000000" w:themeColor="text1"/>
        </w:rPr>
        <w:sectPr w:rsidR="00C15A31" w:rsidRPr="004B36B2" w:rsidSect="00933348">
          <w:footerReference w:type="default" r:id="rId12"/>
          <w:pgSz w:w="11906" w:h="16838"/>
          <w:pgMar w:top="1440" w:right="1440" w:bottom="1440" w:left="1440" w:header="709" w:footer="709" w:gutter="0"/>
          <w:cols w:space="708"/>
          <w:docGrid w:linePitch="360"/>
        </w:sectPr>
      </w:pPr>
    </w:p>
    <w:tbl>
      <w:tblPr>
        <w:tblpPr w:leftFromText="180" w:rightFromText="180" w:vertAnchor="page" w:horzAnchor="margin" w:tblpX="851" w:tblpY="1381"/>
        <w:tblW w:w="9072" w:type="dxa"/>
        <w:tblLook w:val="04A0" w:firstRow="1" w:lastRow="0" w:firstColumn="1" w:lastColumn="0" w:noHBand="0" w:noVBand="1"/>
      </w:tblPr>
      <w:tblGrid>
        <w:gridCol w:w="3261"/>
        <w:gridCol w:w="1854"/>
        <w:gridCol w:w="2115"/>
        <w:gridCol w:w="1842"/>
      </w:tblGrid>
      <w:tr w:rsidR="0010167B" w:rsidRPr="004B36B2" w14:paraId="54FBE988" w14:textId="77777777" w:rsidTr="008E4F0B">
        <w:trPr>
          <w:trHeight w:val="506"/>
        </w:trPr>
        <w:tc>
          <w:tcPr>
            <w:tcW w:w="9072" w:type="dxa"/>
            <w:gridSpan w:val="4"/>
            <w:tcBorders>
              <w:top w:val="nil"/>
              <w:left w:val="nil"/>
              <w:bottom w:val="single" w:sz="4" w:space="0" w:color="auto"/>
              <w:right w:val="nil"/>
            </w:tcBorders>
            <w:shd w:val="clear" w:color="000000" w:fill="FFFFFF"/>
            <w:noWrap/>
            <w:vAlign w:val="bottom"/>
            <w:hideMark/>
          </w:tcPr>
          <w:p w14:paraId="7A3CA793" w14:textId="77777777" w:rsidR="0010167B" w:rsidRPr="00B40DD7" w:rsidRDefault="0010167B" w:rsidP="008E4F0B">
            <w:pPr>
              <w:spacing w:after="40"/>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lastRenderedPageBreak/>
              <w:t xml:space="preserve">Table A1: Per Capita Expenditure by Household, Activity Cost and Total Cost </w:t>
            </w:r>
          </w:p>
          <w:p w14:paraId="52BF0AFC" w14:textId="77777777" w:rsidR="0010167B" w:rsidRDefault="0010167B" w:rsidP="008E4F0B">
            <w:pPr>
              <w:spacing w:after="40"/>
              <w:ind w:right="715"/>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 xml:space="preserve">In NPR at </w:t>
            </w:r>
            <w:r w:rsidR="008E4F0B" w:rsidRPr="00B40DD7">
              <w:rPr>
                <w:rFonts w:asciiTheme="majorBidi" w:hAnsiTheme="majorBidi" w:cstheme="majorBidi"/>
                <w:color w:val="000000" w:themeColor="text1"/>
                <w:sz w:val="22"/>
              </w:rPr>
              <w:t>E</w:t>
            </w:r>
            <w:r w:rsidRPr="00B40DD7">
              <w:rPr>
                <w:rFonts w:asciiTheme="majorBidi" w:hAnsiTheme="majorBidi" w:cstheme="majorBidi"/>
                <w:color w:val="000000" w:themeColor="text1"/>
                <w:sz w:val="22"/>
              </w:rPr>
              <w:t>ach Level</w:t>
            </w:r>
          </w:p>
          <w:p w14:paraId="4D190C5B" w14:textId="14491533" w:rsidR="00510A97" w:rsidRPr="00510A97" w:rsidRDefault="00510A97" w:rsidP="008E4F0B">
            <w:pPr>
              <w:spacing w:after="40"/>
              <w:ind w:right="715"/>
              <w:jc w:val="center"/>
              <w:rPr>
                <w:rFonts w:asciiTheme="majorBidi" w:hAnsiTheme="majorBidi" w:cstheme="majorBidi"/>
                <w:color w:val="000000" w:themeColor="text1"/>
                <w:sz w:val="6"/>
                <w:szCs w:val="6"/>
              </w:rPr>
            </w:pPr>
          </w:p>
        </w:tc>
      </w:tr>
      <w:tr w:rsidR="0010167B" w:rsidRPr="004B36B2" w14:paraId="18D46EE9" w14:textId="77777777" w:rsidTr="008E4F0B">
        <w:trPr>
          <w:trHeight w:val="191"/>
        </w:trPr>
        <w:tc>
          <w:tcPr>
            <w:tcW w:w="3261" w:type="dxa"/>
            <w:tcBorders>
              <w:top w:val="nil"/>
              <w:left w:val="nil"/>
              <w:bottom w:val="single" w:sz="4" w:space="0" w:color="auto"/>
              <w:right w:val="nil"/>
            </w:tcBorders>
            <w:shd w:val="clear" w:color="000000" w:fill="FFFFFF"/>
            <w:noWrap/>
            <w:hideMark/>
          </w:tcPr>
          <w:p w14:paraId="180168EA" w14:textId="49B2DA8D" w:rsidR="008E4F0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Education</w:t>
            </w:r>
          </w:p>
          <w:p w14:paraId="5F3AE484" w14:textId="0F79AB71" w:rsidR="0010167B" w:rsidRPr="00B40DD7" w:rsidRDefault="008E4F0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L</w:t>
            </w:r>
            <w:r w:rsidR="0010167B" w:rsidRPr="00B40DD7">
              <w:rPr>
                <w:rFonts w:asciiTheme="majorBidi" w:hAnsiTheme="majorBidi" w:cstheme="majorBidi"/>
                <w:color w:val="000000" w:themeColor="text1"/>
                <w:sz w:val="22"/>
              </w:rPr>
              <w:t>evel</w:t>
            </w:r>
          </w:p>
        </w:tc>
        <w:tc>
          <w:tcPr>
            <w:tcW w:w="1854" w:type="dxa"/>
            <w:tcBorders>
              <w:top w:val="nil"/>
              <w:left w:val="nil"/>
              <w:bottom w:val="single" w:sz="4" w:space="0" w:color="auto"/>
              <w:right w:val="nil"/>
            </w:tcBorders>
            <w:shd w:val="clear" w:color="000000" w:fill="FFFFFF"/>
            <w:noWrap/>
            <w:hideMark/>
          </w:tcPr>
          <w:p w14:paraId="1A882E8E" w14:textId="756EAC6A" w:rsidR="008E4F0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Total Household</w:t>
            </w:r>
          </w:p>
          <w:p w14:paraId="715D7B2F" w14:textId="63D26C0E" w:rsidR="0010167B" w:rsidRPr="00B40DD7" w:rsidRDefault="008E4F0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C</w:t>
            </w:r>
            <w:r w:rsidR="0010167B" w:rsidRPr="00B40DD7">
              <w:rPr>
                <w:rFonts w:asciiTheme="majorBidi" w:hAnsiTheme="majorBidi" w:cstheme="majorBidi"/>
                <w:color w:val="000000" w:themeColor="text1"/>
                <w:sz w:val="22"/>
              </w:rPr>
              <w:t>ost</w:t>
            </w:r>
          </w:p>
        </w:tc>
        <w:tc>
          <w:tcPr>
            <w:tcW w:w="2115" w:type="dxa"/>
            <w:tcBorders>
              <w:top w:val="nil"/>
              <w:left w:val="nil"/>
              <w:bottom w:val="single" w:sz="4" w:space="0" w:color="auto"/>
              <w:right w:val="nil"/>
            </w:tcBorders>
            <w:shd w:val="clear" w:color="000000" w:fill="FFFFFF"/>
            <w:noWrap/>
            <w:hideMark/>
          </w:tcPr>
          <w:p w14:paraId="5DBDC805" w14:textId="54AF4AB9" w:rsidR="008E4F0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 xml:space="preserve">Total </w:t>
            </w:r>
            <w:r w:rsidR="008E4F0B" w:rsidRPr="00B40DD7">
              <w:rPr>
                <w:rFonts w:asciiTheme="majorBidi" w:hAnsiTheme="majorBidi" w:cstheme="majorBidi"/>
                <w:color w:val="000000" w:themeColor="text1"/>
                <w:sz w:val="22"/>
              </w:rPr>
              <w:t>C</w:t>
            </w:r>
            <w:r w:rsidRPr="00B40DD7">
              <w:rPr>
                <w:rFonts w:asciiTheme="majorBidi" w:hAnsiTheme="majorBidi" w:cstheme="majorBidi"/>
                <w:color w:val="000000" w:themeColor="text1"/>
                <w:sz w:val="22"/>
              </w:rPr>
              <w:t>ost</w:t>
            </w:r>
          </w:p>
          <w:p w14:paraId="2A4BB51C" w14:textId="690E1EBB"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 xml:space="preserve">by </w:t>
            </w:r>
            <w:r w:rsidR="008E4F0B" w:rsidRPr="00B40DD7">
              <w:rPr>
                <w:rFonts w:asciiTheme="majorBidi" w:hAnsiTheme="majorBidi" w:cstheme="majorBidi"/>
                <w:color w:val="000000" w:themeColor="text1"/>
                <w:sz w:val="22"/>
              </w:rPr>
              <w:t>A</w:t>
            </w:r>
            <w:r w:rsidRPr="00B40DD7">
              <w:rPr>
                <w:rFonts w:asciiTheme="majorBidi" w:hAnsiTheme="majorBidi" w:cstheme="majorBidi"/>
                <w:color w:val="000000" w:themeColor="text1"/>
                <w:sz w:val="22"/>
              </w:rPr>
              <w:t>ctivities</w:t>
            </w:r>
            <w:r w:rsidRPr="00B40DD7">
              <w:rPr>
                <w:rFonts w:asciiTheme="majorBidi" w:hAnsiTheme="majorBidi" w:cstheme="majorBidi"/>
                <w:color w:val="000000" w:themeColor="text1"/>
                <w:sz w:val="22"/>
                <w:vertAlign w:val="superscript"/>
              </w:rPr>
              <w:footnoteReference w:id="8"/>
            </w:r>
          </w:p>
        </w:tc>
        <w:tc>
          <w:tcPr>
            <w:tcW w:w="1842" w:type="dxa"/>
            <w:tcBorders>
              <w:top w:val="nil"/>
              <w:left w:val="nil"/>
              <w:bottom w:val="single" w:sz="4" w:space="0" w:color="auto"/>
              <w:right w:val="nil"/>
            </w:tcBorders>
            <w:shd w:val="clear" w:color="000000" w:fill="FFFFFF"/>
            <w:noWrap/>
            <w:hideMark/>
          </w:tcPr>
          <w:p w14:paraId="56ABF6F6" w14:textId="06154E00" w:rsidR="008E4F0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Total</w:t>
            </w:r>
          </w:p>
          <w:p w14:paraId="356FB08A" w14:textId="03BBCCC9" w:rsidR="0010167B" w:rsidRPr="00B40DD7" w:rsidRDefault="008E4F0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C</w:t>
            </w:r>
            <w:r w:rsidR="0010167B" w:rsidRPr="00B40DD7">
              <w:rPr>
                <w:rFonts w:asciiTheme="majorBidi" w:hAnsiTheme="majorBidi" w:cstheme="majorBidi"/>
                <w:color w:val="000000" w:themeColor="text1"/>
                <w:sz w:val="22"/>
              </w:rPr>
              <w:t>ost</w:t>
            </w:r>
          </w:p>
        </w:tc>
      </w:tr>
      <w:tr w:rsidR="0010167B" w:rsidRPr="004B36B2" w14:paraId="6E1522B7" w14:textId="77777777" w:rsidTr="008E4F0B">
        <w:trPr>
          <w:trHeight w:val="364"/>
        </w:trPr>
        <w:tc>
          <w:tcPr>
            <w:tcW w:w="3261" w:type="dxa"/>
            <w:tcBorders>
              <w:top w:val="nil"/>
              <w:left w:val="nil"/>
              <w:bottom w:val="nil"/>
              <w:right w:val="nil"/>
            </w:tcBorders>
            <w:shd w:val="clear" w:color="000000" w:fill="FFFFFF"/>
            <w:noWrap/>
            <w:vAlign w:val="bottom"/>
            <w:hideMark/>
          </w:tcPr>
          <w:p w14:paraId="28AF8CC7" w14:textId="12A6525B" w:rsidR="0010167B" w:rsidRPr="00B40DD7" w:rsidRDefault="0010167B" w:rsidP="008E4F0B">
            <w:pPr>
              <w:jc w:val="both"/>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 xml:space="preserve">Primary </w:t>
            </w:r>
            <w:r w:rsidR="008E4F0B" w:rsidRPr="00B40DD7">
              <w:rPr>
                <w:rFonts w:asciiTheme="majorBidi" w:hAnsiTheme="majorBidi" w:cstheme="majorBidi"/>
                <w:b/>
                <w:bCs/>
                <w:color w:val="000000" w:themeColor="text1"/>
                <w:sz w:val="22"/>
              </w:rPr>
              <w:t>L</w:t>
            </w:r>
            <w:r w:rsidRPr="00B40DD7">
              <w:rPr>
                <w:rFonts w:asciiTheme="majorBidi" w:hAnsiTheme="majorBidi" w:cstheme="majorBidi"/>
                <w:b/>
                <w:bCs/>
                <w:color w:val="000000" w:themeColor="text1"/>
                <w:sz w:val="22"/>
              </w:rPr>
              <w:t>evel</w:t>
            </w:r>
          </w:p>
        </w:tc>
        <w:tc>
          <w:tcPr>
            <w:tcW w:w="1854" w:type="dxa"/>
            <w:tcBorders>
              <w:top w:val="nil"/>
              <w:left w:val="nil"/>
              <w:bottom w:val="nil"/>
              <w:right w:val="nil"/>
            </w:tcBorders>
            <w:shd w:val="clear" w:color="000000" w:fill="FFFFFF"/>
            <w:noWrap/>
            <w:vAlign w:val="bottom"/>
            <w:hideMark/>
          </w:tcPr>
          <w:p w14:paraId="71B8879B"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5,417</w:t>
            </w:r>
          </w:p>
        </w:tc>
        <w:tc>
          <w:tcPr>
            <w:tcW w:w="2115" w:type="dxa"/>
            <w:tcBorders>
              <w:top w:val="nil"/>
              <w:left w:val="nil"/>
              <w:bottom w:val="nil"/>
              <w:right w:val="nil"/>
            </w:tcBorders>
            <w:shd w:val="clear" w:color="000000" w:fill="FFFFFF"/>
            <w:noWrap/>
            <w:vAlign w:val="bottom"/>
            <w:hideMark/>
          </w:tcPr>
          <w:p w14:paraId="4F3732EE"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14,832</w:t>
            </w:r>
          </w:p>
        </w:tc>
        <w:tc>
          <w:tcPr>
            <w:tcW w:w="1842" w:type="dxa"/>
            <w:tcBorders>
              <w:top w:val="nil"/>
              <w:left w:val="nil"/>
              <w:bottom w:val="nil"/>
              <w:right w:val="nil"/>
            </w:tcBorders>
            <w:shd w:val="clear" w:color="000000" w:fill="FFFFFF"/>
            <w:noWrap/>
            <w:vAlign w:val="bottom"/>
            <w:hideMark/>
          </w:tcPr>
          <w:p w14:paraId="13A9A46A"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15,459</w:t>
            </w:r>
          </w:p>
        </w:tc>
      </w:tr>
      <w:tr w:rsidR="0010167B" w:rsidRPr="004B36B2" w14:paraId="6B9DD994" w14:textId="77777777" w:rsidTr="008E4F0B">
        <w:trPr>
          <w:trHeight w:val="50"/>
        </w:trPr>
        <w:tc>
          <w:tcPr>
            <w:tcW w:w="3261" w:type="dxa"/>
            <w:tcBorders>
              <w:top w:val="nil"/>
              <w:left w:val="nil"/>
              <w:bottom w:val="nil"/>
              <w:right w:val="nil"/>
            </w:tcBorders>
            <w:shd w:val="clear" w:color="000000" w:fill="FFFFFF"/>
            <w:noWrap/>
            <w:hideMark/>
          </w:tcPr>
          <w:p w14:paraId="3BE1A6C4" w14:textId="77777777" w:rsidR="0010167B" w:rsidRPr="00B40DD7" w:rsidRDefault="0010167B" w:rsidP="008E4F0B">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Community school</w:t>
            </w:r>
            <w:r w:rsidRPr="00B40DD7">
              <w:rPr>
                <w:rStyle w:val="FootnoteReference"/>
                <w:rFonts w:asciiTheme="majorBidi" w:hAnsiTheme="majorBidi" w:cstheme="majorBidi"/>
                <w:color w:val="000000" w:themeColor="text1"/>
                <w:sz w:val="22"/>
              </w:rPr>
              <w:footnoteReference w:id="9"/>
            </w:r>
          </w:p>
        </w:tc>
        <w:tc>
          <w:tcPr>
            <w:tcW w:w="1854" w:type="dxa"/>
            <w:tcBorders>
              <w:top w:val="nil"/>
              <w:left w:val="nil"/>
              <w:bottom w:val="nil"/>
              <w:right w:val="nil"/>
            </w:tcBorders>
            <w:shd w:val="clear" w:color="000000" w:fill="FFFFFF"/>
            <w:noWrap/>
            <w:hideMark/>
          </w:tcPr>
          <w:p w14:paraId="5AC7706A" w14:textId="1AA9C6C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1</w:t>
            </w:r>
            <w:r w:rsidR="00510A97">
              <w:rPr>
                <w:rFonts w:asciiTheme="majorBidi" w:hAnsiTheme="majorBidi" w:cstheme="majorBidi"/>
                <w:color w:val="000000" w:themeColor="text1"/>
                <w:sz w:val="22"/>
              </w:rPr>
              <w:t>,</w:t>
            </w:r>
            <w:r w:rsidRPr="00B40DD7">
              <w:rPr>
                <w:rFonts w:asciiTheme="majorBidi" w:hAnsiTheme="majorBidi" w:cstheme="majorBidi"/>
                <w:color w:val="000000" w:themeColor="text1"/>
                <w:sz w:val="22"/>
              </w:rPr>
              <w:t>888</w:t>
            </w:r>
          </w:p>
        </w:tc>
        <w:tc>
          <w:tcPr>
            <w:tcW w:w="2115" w:type="dxa"/>
            <w:tcBorders>
              <w:top w:val="nil"/>
              <w:left w:val="nil"/>
              <w:bottom w:val="nil"/>
              <w:right w:val="nil"/>
            </w:tcBorders>
            <w:shd w:val="clear" w:color="000000" w:fill="FFFFFF"/>
            <w:noWrap/>
            <w:hideMark/>
          </w:tcPr>
          <w:p w14:paraId="303069BA"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13,092</w:t>
            </w:r>
          </w:p>
        </w:tc>
        <w:tc>
          <w:tcPr>
            <w:tcW w:w="1842" w:type="dxa"/>
            <w:tcBorders>
              <w:top w:val="nil"/>
              <w:left w:val="nil"/>
              <w:bottom w:val="nil"/>
              <w:right w:val="nil"/>
            </w:tcBorders>
            <w:shd w:val="clear" w:color="000000" w:fill="FFFFFF"/>
            <w:noWrap/>
            <w:hideMark/>
          </w:tcPr>
          <w:p w14:paraId="4C54C888"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13,092</w:t>
            </w:r>
          </w:p>
        </w:tc>
      </w:tr>
      <w:tr w:rsidR="0010167B" w:rsidRPr="004B36B2" w14:paraId="6D003399" w14:textId="77777777" w:rsidTr="008E4F0B">
        <w:trPr>
          <w:trHeight w:val="80"/>
        </w:trPr>
        <w:tc>
          <w:tcPr>
            <w:tcW w:w="3261" w:type="dxa"/>
            <w:tcBorders>
              <w:top w:val="nil"/>
              <w:left w:val="nil"/>
              <w:bottom w:val="nil"/>
              <w:right w:val="nil"/>
            </w:tcBorders>
            <w:shd w:val="clear" w:color="000000" w:fill="FFFFFF"/>
            <w:noWrap/>
            <w:hideMark/>
          </w:tcPr>
          <w:p w14:paraId="21B0EA3E" w14:textId="77777777" w:rsidR="0010167B" w:rsidRPr="00B40DD7" w:rsidRDefault="0010167B" w:rsidP="008E4F0B">
            <w:pPr>
              <w:spacing w:after="10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Institutional school</w:t>
            </w:r>
          </w:p>
        </w:tc>
        <w:tc>
          <w:tcPr>
            <w:tcW w:w="1854" w:type="dxa"/>
            <w:tcBorders>
              <w:top w:val="nil"/>
              <w:left w:val="nil"/>
              <w:bottom w:val="nil"/>
              <w:right w:val="nil"/>
            </w:tcBorders>
            <w:shd w:val="clear" w:color="000000" w:fill="FFFFFF"/>
            <w:noWrap/>
            <w:hideMark/>
          </w:tcPr>
          <w:p w14:paraId="1B172085"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25,576</w:t>
            </w:r>
          </w:p>
        </w:tc>
        <w:tc>
          <w:tcPr>
            <w:tcW w:w="2115" w:type="dxa"/>
            <w:tcBorders>
              <w:top w:val="nil"/>
              <w:left w:val="nil"/>
              <w:bottom w:val="nil"/>
              <w:right w:val="nil"/>
            </w:tcBorders>
            <w:shd w:val="clear" w:color="000000" w:fill="FFFFFF"/>
            <w:noWrap/>
            <w:hideMark/>
          </w:tcPr>
          <w:p w14:paraId="6147598B"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27,546</w:t>
            </w:r>
          </w:p>
        </w:tc>
        <w:tc>
          <w:tcPr>
            <w:tcW w:w="1842" w:type="dxa"/>
            <w:tcBorders>
              <w:top w:val="nil"/>
              <w:left w:val="nil"/>
              <w:bottom w:val="nil"/>
              <w:right w:val="nil"/>
            </w:tcBorders>
            <w:shd w:val="clear" w:color="000000" w:fill="FFFFFF"/>
            <w:noWrap/>
            <w:hideMark/>
          </w:tcPr>
          <w:p w14:paraId="0943116D"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27,116</w:t>
            </w:r>
          </w:p>
        </w:tc>
      </w:tr>
      <w:tr w:rsidR="0010167B" w:rsidRPr="004B36B2" w14:paraId="304BA8E3" w14:textId="77777777" w:rsidTr="008E4F0B">
        <w:trPr>
          <w:trHeight w:val="139"/>
        </w:trPr>
        <w:tc>
          <w:tcPr>
            <w:tcW w:w="3261" w:type="dxa"/>
            <w:tcBorders>
              <w:top w:val="nil"/>
              <w:left w:val="nil"/>
              <w:bottom w:val="nil"/>
              <w:right w:val="nil"/>
            </w:tcBorders>
            <w:shd w:val="clear" w:color="000000" w:fill="FFFFFF"/>
            <w:noWrap/>
            <w:vAlign w:val="bottom"/>
            <w:hideMark/>
          </w:tcPr>
          <w:p w14:paraId="3BC86CD8" w14:textId="795D7C06" w:rsidR="0010167B" w:rsidRPr="00B40DD7" w:rsidRDefault="0010167B" w:rsidP="008E4F0B">
            <w:pPr>
              <w:jc w:val="both"/>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 xml:space="preserve">Lower </w:t>
            </w:r>
            <w:r w:rsidR="008E4F0B" w:rsidRPr="00B40DD7">
              <w:rPr>
                <w:rFonts w:asciiTheme="majorBidi" w:hAnsiTheme="majorBidi" w:cstheme="majorBidi"/>
                <w:b/>
                <w:bCs/>
                <w:color w:val="000000" w:themeColor="text1"/>
                <w:sz w:val="22"/>
              </w:rPr>
              <w:t>S</w:t>
            </w:r>
            <w:r w:rsidRPr="00B40DD7">
              <w:rPr>
                <w:rFonts w:asciiTheme="majorBidi" w:hAnsiTheme="majorBidi" w:cstheme="majorBidi"/>
                <w:b/>
                <w:bCs/>
                <w:color w:val="000000" w:themeColor="text1"/>
                <w:sz w:val="22"/>
              </w:rPr>
              <w:t xml:space="preserve">econdary </w:t>
            </w:r>
          </w:p>
        </w:tc>
        <w:tc>
          <w:tcPr>
            <w:tcW w:w="1854" w:type="dxa"/>
            <w:tcBorders>
              <w:top w:val="nil"/>
              <w:left w:val="nil"/>
              <w:bottom w:val="nil"/>
              <w:right w:val="nil"/>
            </w:tcBorders>
            <w:shd w:val="clear" w:color="000000" w:fill="FFFFFF"/>
            <w:noWrap/>
            <w:vAlign w:val="bottom"/>
            <w:hideMark/>
          </w:tcPr>
          <w:p w14:paraId="1304627A"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7,410</w:t>
            </w:r>
          </w:p>
        </w:tc>
        <w:tc>
          <w:tcPr>
            <w:tcW w:w="2115" w:type="dxa"/>
            <w:tcBorders>
              <w:top w:val="nil"/>
              <w:left w:val="nil"/>
              <w:bottom w:val="nil"/>
              <w:right w:val="nil"/>
            </w:tcBorders>
            <w:shd w:val="clear" w:color="000000" w:fill="FFFFFF"/>
            <w:noWrap/>
            <w:vAlign w:val="bottom"/>
            <w:hideMark/>
          </w:tcPr>
          <w:p w14:paraId="2A42AB27"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15,905</w:t>
            </w:r>
          </w:p>
        </w:tc>
        <w:tc>
          <w:tcPr>
            <w:tcW w:w="1842" w:type="dxa"/>
            <w:tcBorders>
              <w:top w:val="nil"/>
              <w:left w:val="nil"/>
              <w:bottom w:val="nil"/>
              <w:right w:val="nil"/>
            </w:tcBorders>
            <w:shd w:val="clear" w:color="000000" w:fill="FFFFFF"/>
            <w:noWrap/>
            <w:vAlign w:val="bottom"/>
            <w:hideMark/>
          </w:tcPr>
          <w:p w14:paraId="5AACBFEC"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16,482</w:t>
            </w:r>
          </w:p>
        </w:tc>
      </w:tr>
      <w:tr w:rsidR="0010167B" w:rsidRPr="004B36B2" w14:paraId="0013EE3B" w14:textId="77777777" w:rsidTr="008E4F0B">
        <w:trPr>
          <w:trHeight w:val="219"/>
        </w:trPr>
        <w:tc>
          <w:tcPr>
            <w:tcW w:w="3261" w:type="dxa"/>
            <w:tcBorders>
              <w:top w:val="nil"/>
              <w:left w:val="nil"/>
              <w:bottom w:val="nil"/>
              <w:right w:val="nil"/>
            </w:tcBorders>
            <w:shd w:val="clear" w:color="000000" w:fill="FFFFFF"/>
            <w:noWrap/>
            <w:hideMark/>
          </w:tcPr>
          <w:p w14:paraId="619AD25F" w14:textId="77777777" w:rsidR="0010167B" w:rsidRPr="00B40DD7" w:rsidRDefault="0010167B" w:rsidP="008E4F0B">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Community school</w:t>
            </w:r>
          </w:p>
        </w:tc>
        <w:tc>
          <w:tcPr>
            <w:tcW w:w="1854" w:type="dxa"/>
            <w:tcBorders>
              <w:top w:val="nil"/>
              <w:left w:val="nil"/>
              <w:bottom w:val="nil"/>
              <w:right w:val="nil"/>
            </w:tcBorders>
            <w:shd w:val="clear" w:color="000000" w:fill="FFFFFF"/>
            <w:noWrap/>
            <w:hideMark/>
          </w:tcPr>
          <w:p w14:paraId="0B857269" w14:textId="7E3B7976"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3</w:t>
            </w:r>
            <w:r w:rsidR="00510A97">
              <w:rPr>
                <w:rFonts w:asciiTheme="majorBidi" w:hAnsiTheme="majorBidi" w:cstheme="majorBidi"/>
                <w:color w:val="000000" w:themeColor="text1"/>
                <w:sz w:val="22"/>
              </w:rPr>
              <w:t>,</w:t>
            </w:r>
            <w:r w:rsidRPr="00B40DD7">
              <w:rPr>
                <w:rFonts w:asciiTheme="majorBidi" w:hAnsiTheme="majorBidi" w:cstheme="majorBidi"/>
                <w:color w:val="000000" w:themeColor="text1"/>
                <w:sz w:val="22"/>
              </w:rPr>
              <w:t>525</w:t>
            </w:r>
          </w:p>
        </w:tc>
        <w:tc>
          <w:tcPr>
            <w:tcW w:w="2115" w:type="dxa"/>
            <w:tcBorders>
              <w:top w:val="nil"/>
              <w:left w:val="nil"/>
              <w:bottom w:val="nil"/>
              <w:right w:val="nil"/>
            </w:tcBorders>
            <w:shd w:val="clear" w:color="000000" w:fill="FFFFFF"/>
            <w:noWrap/>
            <w:hideMark/>
          </w:tcPr>
          <w:p w14:paraId="1982EF34"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13,419</w:t>
            </w:r>
          </w:p>
        </w:tc>
        <w:tc>
          <w:tcPr>
            <w:tcW w:w="1842" w:type="dxa"/>
            <w:tcBorders>
              <w:top w:val="nil"/>
              <w:left w:val="nil"/>
              <w:bottom w:val="nil"/>
              <w:right w:val="nil"/>
            </w:tcBorders>
            <w:shd w:val="clear" w:color="000000" w:fill="FFFFFF"/>
            <w:noWrap/>
            <w:hideMark/>
          </w:tcPr>
          <w:p w14:paraId="4F1F5530"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12,419</w:t>
            </w:r>
          </w:p>
        </w:tc>
      </w:tr>
      <w:tr w:rsidR="0010167B" w:rsidRPr="004B36B2" w14:paraId="0C99ACC8" w14:textId="77777777" w:rsidTr="008E4F0B">
        <w:trPr>
          <w:trHeight w:val="80"/>
        </w:trPr>
        <w:tc>
          <w:tcPr>
            <w:tcW w:w="3261" w:type="dxa"/>
            <w:tcBorders>
              <w:top w:val="nil"/>
              <w:left w:val="nil"/>
              <w:bottom w:val="nil"/>
              <w:right w:val="nil"/>
            </w:tcBorders>
            <w:shd w:val="clear" w:color="000000" w:fill="FFFFFF"/>
            <w:noWrap/>
            <w:hideMark/>
          </w:tcPr>
          <w:p w14:paraId="17A6EE1B" w14:textId="77777777" w:rsidR="0010167B" w:rsidRPr="00B40DD7" w:rsidRDefault="0010167B" w:rsidP="008E4F0B">
            <w:pPr>
              <w:spacing w:after="10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Institutional school</w:t>
            </w:r>
          </w:p>
        </w:tc>
        <w:tc>
          <w:tcPr>
            <w:tcW w:w="1854" w:type="dxa"/>
            <w:tcBorders>
              <w:top w:val="nil"/>
              <w:left w:val="nil"/>
              <w:bottom w:val="nil"/>
              <w:right w:val="nil"/>
            </w:tcBorders>
            <w:shd w:val="clear" w:color="000000" w:fill="FFFFFF"/>
            <w:noWrap/>
            <w:hideMark/>
          </w:tcPr>
          <w:p w14:paraId="7A093CC6"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28,307</w:t>
            </w:r>
          </w:p>
        </w:tc>
        <w:tc>
          <w:tcPr>
            <w:tcW w:w="2115" w:type="dxa"/>
            <w:tcBorders>
              <w:top w:val="nil"/>
              <w:left w:val="nil"/>
              <w:bottom w:val="nil"/>
              <w:right w:val="nil"/>
            </w:tcBorders>
            <w:shd w:val="clear" w:color="000000" w:fill="FFFFFF"/>
            <w:noWrap/>
            <w:hideMark/>
          </w:tcPr>
          <w:p w14:paraId="4F6D83EA"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29,668</w:t>
            </w:r>
          </w:p>
        </w:tc>
        <w:tc>
          <w:tcPr>
            <w:tcW w:w="1842" w:type="dxa"/>
            <w:tcBorders>
              <w:top w:val="nil"/>
              <w:left w:val="nil"/>
              <w:bottom w:val="nil"/>
              <w:right w:val="nil"/>
            </w:tcBorders>
            <w:shd w:val="clear" w:color="000000" w:fill="FFFFFF"/>
            <w:noWrap/>
            <w:hideMark/>
          </w:tcPr>
          <w:p w14:paraId="376A85BE"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29,668</w:t>
            </w:r>
          </w:p>
        </w:tc>
      </w:tr>
      <w:tr w:rsidR="0010167B" w:rsidRPr="004B36B2" w14:paraId="00B0EE58" w14:textId="77777777" w:rsidTr="008E4F0B">
        <w:trPr>
          <w:trHeight w:val="80"/>
        </w:trPr>
        <w:tc>
          <w:tcPr>
            <w:tcW w:w="3261" w:type="dxa"/>
            <w:tcBorders>
              <w:top w:val="nil"/>
              <w:left w:val="nil"/>
              <w:bottom w:val="nil"/>
              <w:right w:val="nil"/>
            </w:tcBorders>
            <w:shd w:val="clear" w:color="000000" w:fill="FFFFFF"/>
            <w:noWrap/>
            <w:vAlign w:val="bottom"/>
            <w:hideMark/>
          </w:tcPr>
          <w:p w14:paraId="7E863790" w14:textId="77777777" w:rsidR="0010167B" w:rsidRPr="00B40DD7" w:rsidRDefault="0010167B" w:rsidP="008E4F0B">
            <w:pPr>
              <w:jc w:val="both"/>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 xml:space="preserve">Secondary </w:t>
            </w:r>
          </w:p>
        </w:tc>
        <w:tc>
          <w:tcPr>
            <w:tcW w:w="1854" w:type="dxa"/>
            <w:tcBorders>
              <w:top w:val="nil"/>
              <w:left w:val="nil"/>
              <w:bottom w:val="nil"/>
              <w:right w:val="nil"/>
            </w:tcBorders>
            <w:shd w:val="clear" w:color="000000" w:fill="FFFFFF"/>
            <w:noWrap/>
            <w:vAlign w:val="bottom"/>
            <w:hideMark/>
          </w:tcPr>
          <w:p w14:paraId="7E0E9761"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14,298</w:t>
            </w:r>
          </w:p>
        </w:tc>
        <w:tc>
          <w:tcPr>
            <w:tcW w:w="2115" w:type="dxa"/>
            <w:tcBorders>
              <w:top w:val="nil"/>
              <w:left w:val="nil"/>
              <w:bottom w:val="nil"/>
              <w:right w:val="nil"/>
            </w:tcBorders>
            <w:shd w:val="clear" w:color="000000" w:fill="FFFFFF"/>
            <w:noWrap/>
            <w:vAlign w:val="bottom"/>
            <w:hideMark/>
          </w:tcPr>
          <w:p w14:paraId="10D25F0D"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26,468</w:t>
            </w:r>
          </w:p>
        </w:tc>
        <w:tc>
          <w:tcPr>
            <w:tcW w:w="1842" w:type="dxa"/>
            <w:tcBorders>
              <w:top w:val="nil"/>
              <w:left w:val="nil"/>
              <w:bottom w:val="nil"/>
              <w:right w:val="nil"/>
            </w:tcBorders>
            <w:shd w:val="clear" w:color="000000" w:fill="FFFFFF"/>
            <w:noWrap/>
            <w:vAlign w:val="bottom"/>
            <w:hideMark/>
          </w:tcPr>
          <w:p w14:paraId="71951E1B"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27,083</w:t>
            </w:r>
          </w:p>
        </w:tc>
      </w:tr>
      <w:tr w:rsidR="0010167B" w:rsidRPr="004B36B2" w14:paraId="04D7945D" w14:textId="77777777" w:rsidTr="008E4F0B">
        <w:trPr>
          <w:trHeight w:val="161"/>
        </w:trPr>
        <w:tc>
          <w:tcPr>
            <w:tcW w:w="3261" w:type="dxa"/>
            <w:tcBorders>
              <w:top w:val="nil"/>
              <w:left w:val="nil"/>
              <w:bottom w:val="nil"/>
              <w:right w:val="nil"/>
            </w:tcBorders>
            <w:shd w:val="clear" w:color="000000" w:fill="FFFFFF"/>
            <w:noWrap/>
            <w:hideMark/>
          </w:tcPr>
          <w:p w14:paraId="1EB45540" w14:textId="77777777" w:rsidR="0010167B" w:rsidRPr="00B40DD7" w:rsidRDefault="0010167B" w:rsidP="008E4F0B">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Community school</w:t>
            </w:r>
          </w:p>
        </w:tc>
        <w:tc>
          <w:tcPr>
            <w:tcW w:w="1854" w:type="dxa"/>
            <w:tcBorders>
              <w:top w:val="nil"/>
              <w:left w:val="nil"/>
              <w:bottom w:val="nil"/>
              <w:right w:val="nil"/>
            </w:tcBorders>
            <w:shd w:val="clear" w:color="000000" w:fill="FFFFFF"/>
            <w:noWrap/>
            <w:hideMark/>
          </w:tcPr>
          <w:p w14:paraId="07374355"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7,589</w:t>
            </w:r>
          </w:p>
        </w:tc>
        <w:tc>
          <w:tcPr>
            <w:tcW w:w="2115" w:type="dxa"/>
            <w:tcBorders>
              <w:top w:val="nil"/>
              <w:left w:val="nil"/>
              <w:bottom w:val="nil"/>
              <w:right w:val="nil"/>
            </w:tcBorders>
            <w:shd w:val="clear" w:color="000000" w:fill="FFFFFF"/>
            <w:noWrap/>
            <w:hideMark/>
          </w:tcPr>
          <w:p w14:paraId="6E1ED301"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22,236</w:t>
            </w:r>
          </w:p>
        </w:tc>
        <w:tc>
          <w:tcPr>
            <w:tcW w:w="1842" w:type="dxa"/>
            <w:tcBorders>
              <w:top w:val="nil"/>
              <w:left w:val="nil"/>
              <w:bottom w:val="nil"/>
              <w:right w:val="nil"/>
            </w:tcBorders>
            <w:shd w:val="clear" w:color="000000" w:fill="FFFFFF"/>
            <w:noWrap/>
            <w:hideMark/>
          </w:tcPr>
          <w:p w14:paraId="2F91BB9F"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22,236</w:t>
            </w:r>
          </w:p>
        </w:tc>
      </w:tr>
      <w:tr w:rsidR="0010167B" w:rsidRPr="004B36B2" w14:paraId="1EB447DE" w14:textId="77777777" w:rsidTr="008E4F0B">
        <w:trPr>
          <w:trHeight w:val="80"/>
        </w:trPr>
        <w:tc>
          <w:tcPr>
            <w:tcW w:w="3261" w:type="dxa"/>
            <w:tcBorders>
              <w:top w:val="nil"/>
              <w:left w:val="nil"/>
              <w:bottom w:val="nil"/>
              <w:right w:val="nil"/>
            </w:tcBorders>
            <w:shd w:val="clear" w:color="000000" w:fill="FFFFFF"/>
            <w:noWrap/>
            <w:hideMark/>
          </w:tcPr>
          <w:p w14:paraId="5D635FD7" w14:textId="77777777" w:rsidR="0010167B" w:rsidRPr="00B40DD7" w:rsidRDefault="0010167B" w:rsidP="008E4F0B">
            <w:pPr>
              <w:spacing w:after="10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Institutional school</w:t>
            </w:r>
          </w:p>
        </w:tc>
        <w:tc>
          <w:tcPr>
            <w:tcW w:w="1854" w:type="dxa"/>
            <w:tcBorders>
              <w:top w:val="nil"/>
              <w:left w:val="nil"/>
              <w:bottom w:val="nil"/>
              <w:right w:val="nil"/>
            </w:tcBorders>
            <w:shd w:val="clear" w:color="000000" w:fill="FFFFFF"/>
            <w:noWrap/>
            <w:hideMark/>
          </w:tcPr>
          <w:p w14:paraId="4860B3D1"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42,973</w:t>
            </w:r>
          </w:p>
        </w:tc>
        <w:tc>
          <w:tcPr>
            <w:tcW w:w="2115" w:type="dxa"/>
            <w:tcBorders>
              <w:top w:val="nil"/>
              <w:left w:val="nil"/>
              <w:bottom w:val="nil"/>
              <w:right w:val="nil"/>
            </w:tcBorders>
            <w:shd w:val="clear" w:color="000000" w:fill="FFFFFF"/>
            <w:noWrap/>
            <w:hideMark/>
          </w:tcPr>
          <w:p w14:paraId="40DF244E"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45,138</w:t>
            </w:r>
          </w:p>
        </w:tc>
        <w:tc>
          <w:tcPr>
            <w:tcW w:w="1842" w:type="dxa"/>
            <w:tcBorders>
              <w:top w:val="nil"/>
              <w:left w:val="nil"/>
              <w:bottom w:val="nil"/>
              <w:right w:val="nil"/>
            </w:tcBorders>
            <w:shd w:val="clear" w:color="000000" w:fill="FFFFFF"/>
            <w:noWrap/>
            <w:hideMark/>
          </w:tcPr>
          <w:p w14:paraId="4B8093D6" w14:textId="77777777" w:rsidR="0010167B" w:rsidRPr="00B40DD7" w:rsidRDefault="0010167B" w:rsidP="00510A97">
            <w:pPr>
              <w:spacing w:after="10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45,138</w:t>
            </w:r>
          </w:p>
        </w:tc>
      </w:tr>
      <w:tr w:rsidR="0010167B" w:rsidRPr="004B36B2" w14:paraId="3C1B5532" w14:textId="77777777" w:rsidTr="008E4F0B">
        <w:trPr>
          <w:trHeight w:val="80"/>
        </w:trPr>
        <w:tc>
          <w:tcPr>
            <w:tcW w:w="3261" w:type="dxa"/>
            <w:tcBorders>
              <w:top w:val="nil"/>
              <w:left w:val="nil"/>
              <w:bottom w:val="nil"/>
              <w:right w:val="nil"/>
            </w:tcBorders>
            <w:shd w:val="clear" w:color="000000" w:fill="FFFFFF"/>
            <w:noWrap/>
            <w:vAlign w:val="bottom"/>
            <w:hideMark/>
          </w:tcPr>
          <w:p w14:paraId="0535E24C" w14:textId="77777777" w:rsidR="0010167B" w:rsidRPr="00B40DD7" w:rsidRDefault="0010167B" w:rsidP="008E4F0B">
            <w:pPr>
              <w:jc w:val="both"/>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 xml:space="preserve">Higher secondary </w:t>
            </w:r>
          </w:p>
        </w:tc>
        <w:tc>
          <w:tcPr>
            <w:tcW w:w="1854" w:type="dxa"/>
            <w:tcBorders>
              <w:top w:val="nil"/>
              <w:left w:val="nil"/>
              <w:bottom w:val="nil"/>
              <w:right w:val="nil"/>
            </w:tcBorders>
            <w:shd w:val="clear" w:color="000000" w:fill="FFFFFF"/>
            <w:noWrap/>
            <w:vAlign w:val="bottom"/>
            <w:hideMark/>
          </w:tcPr>
          <w:p w14:paraId="7F373E7E"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24,978</w:t>
            </w:r>
          </w:p>
        </w:tc>
        <w:tc>
          <w:tcPr>
            <w:tcW w:w="2115" w:type="dxa"/>
            <w:tcBorders>
              <w:top w:val="nil"/>
              <w:left w:val="nil"/>
              <w:bottom w:val="nil"/>
              <w:right w:val="nil"/>
            </w:tcBorders>
            <w:shd w:val="clear" w:color="000000" w:fill="FFFFFF"/>
            <w:noWrap/>
            <w:vAlign w:val="bottom"/>
            <w:hideMark/>
          </w:tcPr>
          <w:p w14:paraId="05657385"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34,963</w:t>
            </w:r>
          </w:p>
        </w:tc>
        <w:tc>
          <w:tcPr>
            <w:tcW w:w="1842" w:type="dxa"/>
            <w:tcBorders>
              <w:top w:val="nil"/>
              <w:left w:val="nil"/>
              <w:bottom w:val="nil"/>
              <w:right w:val="nil"/>
            </w:tcBorders>
            <w:shd w:val="clear" w:color="000000" w:fill="FFFFFF"/>
            <w:noWrap/>
            <w:vAlign w:val="bottom"/>
            <w:hideMark/>
          </w:tcPr>
          <w:p w14:paraId="200D5FA7" w14:textId="77777777" w:rsidR="0010167B" w:rsidRPr="00B40DD7" w:rsidRDefault="0010167B" w:rsidP="00510A97">
            <w:pPr>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t>35,528</w:t>
            </w:r>
          </w:p>
        </w:tc>
      </w:tr>
      <w:tr w:rsidR="0010167B" w:rsidRPr="004B36B2" w14:paraId="1C677503" w14:textId="77777777" w:rsidTr="008E4F0B">
        <w:trPr>
          <w:trHeight w:val="242"/>
        </w:trPr>
        <w:tc>
          <w:tcPr>
            <w:tcW w:w="3261" w:type="dxa"/>
            <w:tcBorders>
              <w:top w:val="nil"/>
              <w:left w:val="nil"/>
              <w:bottom w:val="nil"/>
              <w:right w:val="nil"/>
            </w:tcBorders>
            <w:shd w:val="clear" w:color="000000" w:fill="FFFFFF"/>
            <w:noWrap/>
            <w:hideMark/>
          </w:tcPr>
          <w:p w14:paraId="7FA03C99" w14:textId="77777777" w:rsidR="0010167B" w:rsidRPr="00B40DD7" w:rsidRDefault="0010167B" w:rsidP="008E4F0B">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Community school</w:t>
            </w:r>
          </w:p>
        </w:tc>
        <w:tc>
          <w:tcPr>
            <w:tcW w:w="1854" w:type="dxa"/>
            <w:tcBorders>
              <w:top w:val="nil"/>
              <w:left w:val="nil"/>
              <w:bottom w:val="nil"/>
              <w:right w:val="nil"/>
            </w:tcBorders>
            <w:shd w:val="clear" w:color="000000" w:fill="FFFFFF"/>
            <w:noWrap/>
            <w:hideMark/>
          </w:tcPr>
          <w:p w14:paraId="4141A6D4"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16,359</w:t>
            </w:r>
          </w:p>
        </w:tc>
        <w:tc>
          <w:tcPr>
            <w:tcW w:w="2115" w:type="dxa"/>
            <w:tcBorders>
              <w:top w:val="nil"/>
              <w:left w:val="nil"/>
              <w:bottom w:val="nil"/>
              <w:right w:val="nil"/>
            </w:tcBorders>
            <w:shd w:val="clear" w:color="000000" w:fill="FFFFFF"/>
            <w:noWrap/>
            <w:hideMark/>
          </w:tcPr>
          <w:p w14:paraId="0EA9E690"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29,334</w:t>
            </w:r>
          </w:p>
        </w:tc>
        <w:tc>
          <w:tcPr>
            <w:tcW w:w="1842" w:type="dxa"/>
            <w:tcBorders>
              <w:top w:val="nil"/>
              <w:left w:val="nil"/>
              <w:bottom w:val="nil"/>
              <w:right w:val="nil"/>
            </w:tcBorders>
            <w:shd w:val="clear" w:color="000000" w:fill="FFFFFF"/>
            <w:noWrap/>
            <w:hideMark/>
          </w:tcPr>
          <w:p w14:paraId="26FEEA18"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29,334</w:t>
            </w:r>
          </w:p>
        </w:tc>
      </w:tr>
      <w:tr w:rsidR="0010167B" w:rsidRPr="004B36B2" w14:paraId="5D5372D4" w14:textId="77777777" w:rsidTr="008E4F0B">
        <w:trPr>
          <w:trHeight w:val="273"/>
        </w:trPr>
        <w:tc>
          <w:tcPr>
            <w:tcW w:w="3261" w:type="dxa"/>
            <w:tcBorders>
              <w:top w:val="nil"/>
              <w:left w:val="nil"/>
              <w:bottom w:val="single" w:sz="4" w:space="0" w:color="auto"/>
              <w:right w:val="nil"/>
            </w:tcBorders>
            <w:shd w:val="clear" w:color="000000" w:fill="FFFFFF"/>
            <w:noWrap/>
            <w:hideMark/>
          </w:tcPr>
          <w:p w14:paraId="4800A2D8" w14:textId="77777777" w:rsidR="0010167B" w:rsidRPr="00B40DD7" w:rsidRDefault="0010167B" w:rsidP="008E4F0B">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Institutional school</w:t>
            </w:r>
          </w:p>
        </w:tc>
        <w:tc>
          <w:tcPr>
            <w:tcW w:w="1854" w:type="dxa"/>
            <w:tcBorders>
              <w:top w:val="nil"/>
              <w:left w:val="nil"/>
              <w:bottom w:val="single" w:sz="4" w:space="0" w:color="auto"/>
              <w:right w:val="nil"/>
            </w:tcBorders>
            <w:shd w:val="clear" w:color="000000" w:fill="FFFFFF"/>
            <w:noWrap/>
            <w:hideMark/>
          </w:tcPr>
          <w:p w14:paraId="5B741F7E"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46,203</w:t>
            </w:r>
          </w:p>
        </w:tc>
        <w:tc>
          <w:tcPr>
            <w:tcW w:w="2115" w:type="dxa"/>
            <w:tcBorders>
              <w:top w:val="nil"/>
              <w:left w:val="nil"/>
              <w:bottom w:val="single" w:sz="4" w:space="0" w:color="auto"/>
              <w:right w:val="nil"/>
            </w:tcBorders>
            <w:shd w:val="clear" w:color="000000" w:fill="FFFFFF"/>
            <w:noWrap/>
            <w:hideMark/>
          </w:tcPr>
          <w:p w14:paraId="10E91B9D"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48,823</w:t>
            </w:r>
          </w:p>
        </w:tc>
        <w:tc>
          <w:tcPr>
            <w:tcW w:w="1842" w:type="dxa"/>
            <w:tcBorders>
              <w:top w:val="nil"/>
              <w:left w:val="nil"/>
              <w:bottom w:val="single" w:sz="4" w:space="0" w:color="auto"/>
              <w:right w:val="nil"/>
            </w:tcBorders>
            <w:shd w:val="clear" w:color="000000" w:fill="FFFFFF"/>
            <w:noWrap/>
            <w:hideMark/>
          </w:tcPr>
          <w:p w14:paraId="59D50CA8" w14:textId="77777777" w:rsidR="0010167B" w:rsidRPr="00B40DD7" w:rsidRDefault="0010167B" w:rsidP="00510A97">
            <w:pPr>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48,823</w:t>
            </w:r>
          </w:p>
        </w:tc>
      </w:tr>
      <w:tr w:rsidR="0010167B" w:rsidRPr="004B36B2" w14:paraId="0C42EBAE" w14:textId="77777777" w:rsidTr="008E4F0B">
        <w:trPr>
          <w:trHeight w:val="222"/>
        </w:trPr>
        <w:tc>
          <w:tcPr>
            <w:tcW w:w="9072" w:type="dxa"/>
            <w:gridSpan w:val="4"/>
            <w:tcBorders>
              <w:top w:val="nil"/>
              <w:left w:val="nil"/>
              <w:bottom w:val="nil"/>
              <w:right w:val="nil"/>
            </w:tcBorders>
            <w:shd w:val="clear" w:color="000000" w:fill="FFFFFF"/>
            <w:noWrap/>
            <w:vAlign w:val="bottom"/>
            <w:hideMark/>
          </w:tcPr>
          <w:p w14:paraId="65691B23" w14:textId="77777777" w:rsidR="0010167B" w:rsidRPr="00B40DD7" w:rsidRDefault="0010167B" w:rsidP="008E4F0B">
            <w:pPr>
              <w:jc w:val="both"/>
              <w:rPr>
                <w:rFonts w:asciiTheme="majorBidi" w:hAnsiTheme="majorBidi" w:cstheme="majorBidi"/>
                <w:i/>
                <w:color w:val="000000" w:themeColor="text1"/>
                <w:sz w:val="20"/>
                <w:szCs w:val="20"/>
              </w:rPr>
            </w:pPr>
            <w:r w:rsidRPr="00B40DD7">
              <w:rPr>
                <w:rFonts w:asciiTheme="majorBidi" w:hAnsiTheme="majorBidi" w:cstheme="majorBidi"/>
                <w:color w:val="000000" w:themeColor="text1"/>
                <w:sz w:val="20"/>
                <w:szCs w:val="20"/>
              </w:rPr>
              <w:t> </w:t>
            </w:r>
            <w:r w:rsidRPr="00B40DD7">
              <w:rPr>
                <w:rFonts w:asciiTheme="majorBidi" w:hAnsiTheme="majorBidi" w:cstheme="majorBidi"/>
                <w:i/>
                <w:color w:val="000000" w:themeColor="text1"/>
                <w:sz w:val="20"/>
                <w:szCs w:val="20"/>
              </w:rPr>
              <w:t xml:space="preserve">Source: NEAN </w:t>
            </w:r>
            <w:r w:rsidRPr="00B40DD7">
              <w:rPr>
                <w:rFonts w:asciiTheme="majorBidi" w:hAnsiTheme="majorBidi" w:cstheme="majorBidi"/>
                <w:iCs/>
                <w:color w:val="000000" w:themeColor="text1"/>
                <w:sz w:val="20"/>
                <w:szCs w:val="20"/>
              </w:rPr>
              <w:t>(2016)</w:t>
            </w:r>
          </w:p>
        </w:tc>
      </w:tr>
    </w:tbl>
    <w:p w14:paraId="13138FEE" w14:textId="77777777" w:rsidR="00E112A4" w:rsidRPr="0010167B" w:rsidRDefault="008816A1" w:rsidP="0010167B">
      <w:pPr>
        <w:tabs>
          <w:tab w:val="left" w:pos="5094"/>
        </w:tabs>
        <w:jc w:val="center"/>
        <w:rPr>
          <w:rFonts w:asciiTheme="majorBidi" w:eastAsia="Calibri" w:hAnsiTheme="majorBidi" w:cstheme="majorBidi"/>
          <w:b/>
          <w:bCs/>
          <w:color w:val="000000" w:themeColor="text1"/>
        </w:rPr>
        <w:sectPr w:rsidR="00E112A4" w:rsidRPr="0010167B" w:rsidSect="00E67CAB">
          <w:pgSz w:w="11906" w:h="16838"/>
          <w:pgMar w:top="720" w:right="720" w:bottom="720" w:left="720" w:header="708" w:footer="708" w:gutter="0"/>
          <w:cols w:space="708"/>
          <w:docGrid w:linePitch="360"/>
        </w:sectPr>
      </w:pPr>
      <w:r w:rsidRPr="0010167B">
        <w:rPr>
          <w:rFonts w:asciiTheme="majorBidi" w:eastAsia="Calibri" w:hAnsiTheme="majorBidi" w:cstheme="majorBidi"/>
          <w:b/>
          <w:bCs/>
          <w:color w:val="000000" w:themeColor="text1"/>
        </w:rPr>
        <w:t>A</w:t>
      </w:r>
      <w:r w:rsidR="004D5D05" w:rsidRPr="0010167B">
        <w:rPr>
          <w:rFonts w:asciiTheme="majorBidi" w:eastAsia="Calibri" w:hAnsiTheme="majorBidi" w:cstheme="majorBidi"/>
          <w:b/>
          <w:bCs/>
          <w:color w:val="000000" w:themeColor="text1"/>
        </w:rPr>
        <w:t>ppendix</w:t>
      </w:r>
    </w:p>
    <w:tbl>
      <w:tblPr>
        <w:tblpPr w:leftFromText="180" w:rightFromText="180" w:horzAnchor="margin" w:tblpXSpec="center" w:tblpY="587"/>
        <w:tblW w:w="14130" w:type="dxa"/>
        <w:tblLayout w:type="fixed"/>
        <w:tblLook w:val="04A0" w:firstRow="1" w:lastRow="0" w:firstColumn="1" w:lastColumn="0" w:noHBand="0" w:noVBand="1"/>
      </w:tblPr>
      <w:tblGrid>
        <w:gridCol w:w="2275"/>
        <w:gridCol w:w="875"/>
        <w:gridCol w:w="968"/>
        <w:gridCol w:w="796"/>
        <w:gridCol w:w="968"/>
        <w:gridCol w:w="518"/>
        <w:gridCol w:w="862"/>
        <w:gridCol w:w="1078"/>
        <w:gridCol w:w="858"/>
        <w:gridCol w:w="780"/>
        <w:gridCol w:w="546"/>
        <w:gridCol w:w="970"/>
        <w:gridCol w:w="881"/>
        <w:gridCol w:w="858"/>
        <w:gridCol w:w="537"/>
        <w:gridCol w:w="360"/>
      </w:tblGrid>
      <w:tr w:rsidR="00D64CD7" w:rsidRPr="004B36B2" w14:paraId="2A656427" w14:textId="77777777" w:rsidTr="00D64CD7">
        <w:trPr>
          <w:trHeight w:val="279"/>
        </w:trPr>
        <w:tc>
          <w:tcPr>
            <w:tcW w:w="13770" w:type="dxa"/>
            <w:gridSpan w:val="15"/>
            <w:tcBorders>
              <w:top w:val="nil"/>
              <w:left w:val="nil"/>
              <w:bottom w:val="single" w:sz="4" w:space="0" w:color="auto"/>
              <w:right w:val="nil"/>
            </w:tcBorders>
            <w:shd w:val="clear" w:color="000000" w:fill="FFFFFF"/>
          </w:tcPr>
          <w:p w14:paraId="70855069" w14:textId="0675BC9E" w:rsidR="00062FE0" w:rsidRPr="00B40DD7" w:rsidRDefault="00663FC8" w:rsidP="00AF7A73">
            <w:pPr>
              <w:spacing w:after="60"/>
              <w:jc w:val="center"/>
              <w:rPr>
                <w:rFonts w:asciiTheme="majorBidi" w:hAnsiTheme="majorBidi" w:cstheme="majorBidi"/>
                <w:b/>
                <w:bCs/>
                <w:color w:val="000000" w:themeColor="text1"/>
                <w:sz w:val="22"/>
              </w:rPr>
            </w:pPr>
            <w:r w:rsidRPr="00B40DD7">
              <w:rPr>
                <w:rFonts w:asciiTheme="majorBidi" w:hAnsiTheme="majorBidi" w:cstheme="majorBidi"/>
                <w:b/>
                <w:bCs/>
                <w:color w:val="000000" w:themeColor="text1"/>
                <w:sz w:val="22"/>
              </w:rPr>
              <w:lastRenderedPageBreak/>
              <w:t xml:space="preserve">Table </w:t>
            </w:r>
            <w:r w:rsidR="00D64CD7" w:rsidRPr="00B40DD7">
              <w:rPr>
                <w:rFonts w:asciiTheme="majorBidi" w:hAnsiTheme="majorBidi" w:cstheme="majorBidi"/>
                <w:b/>
                <w:bCs/>
                <w:color w:val="000000" w:themeColor="text1"/>
                <w:sz w:val="22"/>
              </w:rPr>
              <w:t>A2</w:t>
            </w:r>
            <w:r w:rsidR="00AD3BE2" w:rsidRPr="00B40DD7">
              <w:rPr>
                <w:rFonts w:asciiTheme="majorBidi" w:hAnsiTheme="majorBidi" w:cstheme="majorBidi"/>
                <w:b/>
                <w:bCs/>
                <w:color w:val="000000" w:themeColor="text1"/>
                <w:sz w:val="22"/>
              </w:rPr>
              <w:t xml:space="preserve">: </w:t>
            </w:r>
            <w:r w:rsidR="00D64CD7" w:rsidRPr="00B40DD7">
              <w:rPr>
                <w:rFonts w:asciiTheme="majorBidi" w:hAnsiTheme="majorBidi" w:cstheme="majorBidi"/>
                <w:b/>
                <w:bCs/>
                <w:color w:val="000000" w:themeColor="text1"/>
                <w:sz w:val="22"/>
              </w:rPr>
              <w:t xml:space="preserve">The </w:t>
            </w:r>
            <w:r w:rsidR="00AD3BE2" w:rsidRPr="00B40DD7">
              <w:rPr>
                <w:rFonts w:asciiTheme="majorBidi" w:hAnsiTheme="majorBidi" w:cstheme="majorBidi"/>
                <w:b/>
                <w:bCs/>
                <w:color w:val="000000" w:themeColor="text1"/>
                <w:sz w:val="22"/>
              </w:rPr>
              <w:t>Effect of Migration on Lower Secondary, Secondary and Higher Secondary Net Enrolment Rate School-Aged Children 10-16</w:t>
            </w:r>
          </w:p>
        </w:tc>
        <w:tc>
          <w:tcPr>
            <w:tcW w:w="360" w:type="dxa"/>
            <w:tcBorders>
              <w:top w:val="nil"/>
              <w:left w:val="nil"/>
              <w:bottom w:val="single" w:sz="4" w:space="0" w:color="auto"/>
              <w:right w:val="nil"/>
            </w:tcBorders>
            <w:shd w:val="clear" w:color="000000" w:fill="FFFFFF"/>
            <w:noWrap/>
            <w:vAlign w:val="bottom"/>
            <w:hideMark/>
          </w:tcPr>
          <w:p w14:paraId="456AB9C4" w14:textId="431F4959" w:rsidR="00D64CD7" w:rsidRPr="00B40DD7" w:rsidRDefault="00D64CD7" w:rsidP="00062FE0">
            <w:pPr>
              <w:jc w:val="center"/>
              <w:rPr>
                <w:rFonts w:asciiTheme="majorBidi" w:hAnsiTheme="majorBidi" w:cstheme="majorBidi"/>
                <w:b/>
                <w:bCs/>
                <w:color w:val="000000" w:themeColor="text1"/>
                <w:sz w:val="22"/>
              </w:rPr>
            </w:pPr>
          </w:p>
        </w:tc>
      </w:tr>
      <w:tr w:rsidR="00DE495D" w:rsidRPr="004B36B2" w14:paraId="23EBB939" w14:textId="77777777" w:rsidTr="00470277">
        <w:trPr>
          <w:trHeight w:val="386"/>
        </w:trPr>
        <w:tc>
          <w:tcPr>
            <w:tcW w:w="2275" w:type="dxa"/>
            <w:tcBorders>
              <w:top w:val="nil"/>
              <w:left w:val="nil"/>
              <w:bottom w:val="nil"/>
              <w:right w:val="nil"/>
            </w:tcBorders>
            <w:shd w:val="clear" w:color="000000" w:fill="FFFFFF"/>
            <w:noWrap/>
            <w:vAlign w:val="bottom"/>
            <w:hideMark/>
          </w:tcPr>
          <w:p w14:paraId="0EBFFEBE" w14:textId="77777777" w:rsidR="00DE495D" w:rsidRPr="00B40DD7" w:rsidRDefault="00DE495D"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3607" w:type="dxa"/>
            <w:gridSpan w:val="4"/>
            <w:tcBorders>
              <w:top w:val="nil"/>
              <w:left w:val="nil"/>
              <w:bottom w:val="single" w:sz="4" w:space="0" w:color="auto"/>
              <w:right w:val="nil"/>
            </w:tcBorders>
            <w:shd w:val="clear" w:color="000000" w:fill="FFFFFF"/>
          </w:tcPr>
          <w:p w14:paraId="769C78F1" w14:textId="77777777" w:rsidR="00DE495D" w:rsidRPr="00B40DD7" w:rsidRDefault="00DE495D" w:rsidP="00612935">
            <w:pPr>
              <w:spacing w:before="60" w:after="6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Lower-Secondary</w:t>
            </w:r>
          </w:p>
        </w:tc>
        <w:tc>
          <w:tcPr>
            <w:tcW w:w="518" w:type="dxa"/>
            <w:tcBorders>
              <w:top w:val="nil"/>
              <w:left w:val="nil"/>
              <w:bottom w:val="nil"/>
              <w:right w:val="nil"/>
            </w:tcBorders>
            <w:shd w:val="clear" w:color="000000" w:fill="FFFFFF"/>
            <w:noWrap/>
            <w:vAlign w:val="bottom"/>
            <w:hideMark/>
          </w:tcPr>
          <w:p w14:paraId="6BD89F0C" w14:textId="7B689EE2" w:rsidR="00DE495D" w:rsidRPr="00B40DD7" w:rsidRDefault="00DE495D" w:rsidP="00612935">
            <w:pPr>
              <w:spacing w:before="60" w:after="60"/>
              <w:jc w:val="center"/>
              <w:rPr>
                <w:rFonts w:asciiTheme="majorBidi" w:hAnsiTheme="majorBidi" w:cstheme="majorBidi"/>
                <w:color w:val="000000" w:themeColor="text1"/>
                <w:sz w:val="22"/>
              </w:rPr>
            </w:pPr>
          </w:p>
        </w:tc>
        <w:tc>
          <w:tcPr>
            <w:tcW w:w="3578" w:type="dxa"/>
            <w:gridSpan w:val="4"/>
            <w:tcBorders>
              <w:top w:val="nil"/>
              <w:left w:val="nil"/>
              <w:bottom w:val="single" w:sz="4" w:space="0" w:color="auto"/>
              <w:right w:val="nil"/>
            </w:tcBorders>
            <w:shd w:val="clear" w:color="000000" w:fill="FFFFFF"/>
          </w:tcPr>
          <w:p w14:paraId="705A85F8" w14:textId="77777777" w:rsidR="00DE495D" w:rsidRPr="00B40DD7" w:rsidRDefault="00DE495D" w:rsidP="00612935">
            <w:pPr>
              <w:spacing w:before="60" w:after="6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Secondary</w:t>
            </w:r>
          </w:p>
        </w:tc>
        <w:tc>
          <w:tcPr>
            <w:tcW w:w="546" w:type="dxa"/>
            <w:tcBorders>
              <w:top w:val="nil"/>
              <w:left w:val="nil"/>
              <w:bottom w:val="nil"/>
              <w:right w:val="nil"/>
            </w:tcBorders>
            <w:shd w:val="clear" w:color="000000" w:fill="FFFFFF"/>
            <w:noWrap/>
            <w:vAlign w:val="bottom"/>
            <w:hideMark/>
          </w:tcPr>
          <w:p w14:paraId="5BD2699D" w14:textId="77A42E6C" w:rsidR="00DE495D" w:rsidRPr="00B40DD7" w:rsidRDefault="00DE495D" w:rsidP="00612935">
            <w:pPr>
              <w:spacing w:before="60" w:after="60"/>
              <w:jc w:val="center"/>
              <w:rPr>
                <w:rFonts w:asciiTheme="majorBidi" w:hAnsiTheme="majorBidi" w:cstheme="majorBidi"/>
                <w:color w:val="000000" w:themeColor="text1"/>
                <w:sz w:val="22"/>
              </w:rPr>
            </w:pPr>
          </w:p>
        </w:tc>
        <w:tc>
          <w:tcPr>
            <w:tcW w:w="3606" w:type="dxa"/>
            <w:gridSpan w:val="5"/>
            <w:tcBorders>
              <w:top w:val="nil"/>
              <w:left w:val="nil"/>
              <w:bottom w:val="single" w:sz="4" w:space="0" w:color="auto"/>
              <w:right w:val="nil"/>
            </w:tcBorders>
            <w:shd w:val="clear" w:color="000000" w:fill="FFFFFF"/>
          </w:tcPr>
          <w:p w14:paraId="322A82E1" w14:textId="77777777" w:rsidR="00DE495D" w:rsidRPr="00B40DD7" w:rsidRDefault="00DE495D" w:rsidP="00612935">
            <w:pPr>
              <w:spacing w:before="60" w:after="60"/>
              <w:jc w:val="center"/>
              <w:rPr>
                <w:rFonts w:asciiTheme="majorBidi" w:hAnsiTheme="majorBidi" w:cstheme="majorBidi"/>
                <w:color w:val="000000" w:themeColor="text1"/>
                <w:sz w:val="22"/>
              </w:rPr>
            </w:pPr>
            <w:r w:rsidRPr="00B40DD7">
              <w:rPr>
                <w:rFonts w:asciiTheme="majorBidi" w:hAnsiTheme="majorBidi" w:cstheme="majorBidi"/>
                <w:color w:val="000000" w:themeColor="text1"/>
                <w:sz w:val="22"/>
              </w:rPr>
              <w:t>Higher Secondary</w:t>
            </w:r>
          </w:p>
        </w:tc>
      </w:tr>
      <w:tr w:rsidR="001357A4" w:rsidRPr="004B36B2" w14:paraId="0A7FDCA0" w14:textId="77777777" w:rsidTr="00470277">
        <w:trPr>
          <w:trHeight w:val="320"/>
        </w:trPr>
        <w:tc>
          <w:tcPr>
            <w:tcW w:w="2275" w:type="dxa"/>
            <w:tcBorders>
              <w:top w:val="nil"/>
              <w:left w:val="nil"/>
              <w:bottom w:val="single" w:sz="4" w:space="0" w:color="auto"/>
              <w:right w:val="nil"/>
            </w:tcBorders>
            <w:shd w:val="clear" w:color="000000" w:fill="FFFFFF"/>
            <w:noWrap/>
            <w:vAlign w:val="bottom"/>
            <w:hideMark/>
          </w:tcPr>
          <w:p w14:paraId="252D7E20" w14:textId="77777777" w:rsidR="001357A4" w:rsidRPr="00B40DD7" w:rsidRDefault="001357A4" w:rsidP="00804ECD">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75" w:type="dxa"/>
            <w:tcBorders>
              <w:top w:val="nil"/>
              <w:left w:val="nil"/>
              <w:bottom w:val="single" w:sz="4" w:space="0" w:color="auto"/>
              <w:right w:val="nil"/>
            </w:tcBorders>
            <w:shd w:val="clear" w:color="000000" w:fill="FFFFFF"/>
            <w:noWrap/>
            <w:vAlign w:val="bottom"/>
            <w:hideMark/>
          </w:tcPr>
          <w:p w14:paraId="5D4C50DD"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w:t>
            </w:r>
          </w:p>
        </w:tc>
        <w:tc>
          <w:tcPr>
            <w:tcW w:w="968" w:type="dxa"/>
            <w:tcBorders>
              <w:top w:val="nil"/>
              <w:left w:val="nil"/>
              <w:bottom w:val="single" w:sz="4" w:space="0" w:color="auto"/>
              <w:right w:val="nil"/>
            </w:tcBorders>
            <w:shd w:val="clear" w:color="000000" w:fill="FFFFFF"/>
            <w:noWrap/>
            <w:vAlign w:val="bottom"/>
            <w:hideMark/>
          </w:tcPr>
          <w:p w14:paraId="53C713D0"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FE-IV</w:t>
            </w:r>
          </w:p>
        </w:tc>
        <w:tc>
          <w:tcPr>
            <w:tcW w:w="796" w:type="dxa"/>
            <w:tcBorders>
              <w:top w:val="nil"/>
              <w:left w:val="nil"/>
              <w:bottom w:val="single" w:sz="4" w:space="0" w:color="auto"/>
              <w:right w:val="nil"/>
            </w:tcBorders>
            <w:shd w:val="clear" w:color="000000" w:fill="FFFFFF"/>
          </w:tcPr>
          <w:p w14:paraId="174FF120"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w:t>
            </w:r>
          </w:p>
        </w:tc>
        <w:tc>
          <w:tcPr>
            <w:tcW w:w="968" w:type="dxa"/>
            <w:tcBorders>
              <w:top w:val="nil"/>
              <w:left w:val="nil"/>
              <w:bottom w:val="single" w:sz="4" w:space="0" w:color="auto"/>
              <w:right w:val="nil"/>
            </w:tcBorders>
            <w:shd w:val="clear" w:color="000000" w:fill="FFFFFF"/>
            <w:noWrap/>
            <w:vAlign w:val="bottom"/>
            <w:hideMark/>
          </w:tcPr>
          <w:p w14:paraId="70E214F1"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FE-IV</w:t>
            </w:r>
          </w:p>
        </w:tc>
        <w:tc>
          <w:tcPr>
            <w:tcW w:w="518" w:type="dxa"/>
            <w:tcBorders>
              <w:top w:val="nil"/>
              <w:left w:val="nil"/>
              <w:bottom w:val="single" w:sz="4" w:space="0" w:color="auto"/>
              <w:right w:val="nil"/>
            </w:tcBorders>
            <w:shd w:val="clear" w:color="000000" w:fill="FFFFFF"/>
            <w:noWrap/>
            <w:vAlign w:val="bottom"/>
            <w:hideMark/>
          </w:tcPr>
          <w:p w14:paraId="2C4A43DC" w14:textId="77777777" w:rsidR="001357A4" w:rsidRPr="00B40DD7" w:rsidRDefault="001357A4" w:rsidP="00804ECD">
            <w:pPr>
              <w:spacing w:before="120" w:after="60"/>
              <w:jc w:val="both"/>
              <w:rPr>
                <w:rFonts w:asciiTheme="majorBidi" w:hAnsiTheme="majorBidi" w:cstheme="majorBidi"/>
                <w:color w:val="000000" w:themeColor="text1"/>
                <w:sz w:val="22"/>
              </w:rPr>
            </w:pPr>
          </w:p>
        </w:tc>
        <w:tc>
          <w:tcPr>
            <w:tcW w:w="862" w:type="dxa"/>
            <w:tcBorders>
              <w:top w:val="nil"/>
              <w:left w:val="nil"/>
              <w:bottom w:val="single" w:sz="4" w:space="0" w:color="auto"/>
              <w:right w:val="nil"/>
            </w:tcBorders>
            <w:shd w:val="clear" w:color="000000" w:fill="FFFFFF"/>
            <w:noWrap/>
            <w:vAlign w:val="bottom"/>
            <w:hideMark/>
          </w:tcPr>
          <w:p w14:paraId="381A0E63"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w:t>
            </w:r>
          </w:p>
        </w:tc>
        <w:tc>
          <w:tcPr>
            <w:tcW w:w="1078" w:type="dxa"/>
            <w:tcBorders>
              <w:top w:val="nil"/>
              <w:left w:val="nil"/>
              <w:bottom w:val="single" w:sz="4" w:space="0" w:color="auto"/>
              <w:right w:val="nil"/>
            </w:tcBorders>
            <w:shd w:val="clear" w:color="000000" w:fill="FFFFFF"/>
            <w:noWrap/>
            <w:vAlign w:val="bottom"/>
            <w:hideMark/>
          </w:tcPr>
          <w:p w14:paraId="5AA6C008"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FE-IV</w:t>
            </w:r>
          </w:p>
        </w:tc>
        <w:tc>
          <w:tcPr>
            <w:tcW w:w="858" w:type="dxa"/>
            <w:tcBorders>
              <w:top w:val="nil"/>
              <w:left w:val="nil"/>
              <w:bottom w:val="single" w:sz="4" w:space="0" w:color="auto"/>
              <w:right w:val="nil"/>
            </w:tcBorders>
            <w:shd w:val="clear" w:color="000000" w:fill="FFFFFF"/>
          </w:tcPr>
          <w:p w14:paraId="4A21EB77"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w:t>
            </w:r>
          </w:p>
        </w:tc>
        <w:tc>
          <w:tcPr>
            <w:tcW w:w="780" w:type="dxa"/>
            <w:tcBorders>
              <w:top w:val="nil"/>
              <w:left w:val="nil"/>
              <w:bottom w:val="single" w:sz="4" w:space="0" w:color="auto"/>
              <w:right w:val="nil"/>
            </w:tcBorders>
            <w:shd w:val="clear" w:color="000000" w:fill="FFFFFF"/>
            <w:noWrap/>
            <w:vAlign w:val="bottom"/>
            <w:hideMark/>
          </w:tcPr>
          <w:p w14:paraId="1253180A"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FE-IV</w:t>
            </w:r>
          </w:p>
        </w:tc>
        <w:tc>
          <w:tcPr>
            <w:tcW w:w="546" w:type="dxa"/>
            <w:tcBorders>
              <w:top w:val="nil"/>
              <w:left w:val="nil"/>
              <w:bottom w:val="single" w:sz="4" w:space="0" w:color="auto"/>
              <w:right w:val="nil"/>
            </w:tcBorders>
            <w:shd w:val="clear" w:color="000000" w:fill="FFFFFF"/>
            <w:noWrap/>
            <w:vAlign w:val="bottom"/>
            <w:hideMark/>
          </w:tcPr>
          <w:p w14:paraId="18CDE903" w14:textId="77777777" w:rsidR="001357A4" w:rsidRPr="00B40DD7" w:rsidRDefault="001357A4" w:rsidP="00804ECD">
            <w:pPr>
              <w:spacing w:before="120" w:after="60"/>
              <w:jc w:val="both"/>
              <w:rPr>
                <w:rFonts w:asciiTheme="majorBidi" w:hAnsiTheme="majorBidi" w:cstheme="majorBidi"/>
                <w:color w:val="000000" w:themeColor="text1"/>
                <w:sz w:val="22"/>
              </w:rPr>
            </w:pPr>
          </w:p>
        </w:tc>
        <w:tc>
          <w:tcPr>
            <w:tcW w:w="970" w:type="dxa"/>
            <w:tcBorders>
              <w:top w:val="nil"/>
              <w:left w:val="nil"/>
              <w:bottom w:val="single" w:sz="4" w:space="0" w:color="auto"/>
              <w:right w:val="nil"/>
            </w:tcBorders>
            <w:shd w:val="clear" w:color="000000" w:fill="FFFFFF"/>
            <w:noWrap/>
            <w:vAlign w:val="bottom"/>
            <w:hideMark/>
          </w:tcPr>
          <w:p w14:paraId="2E70E677"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w:t>
            </w:r>
          </w:p>
        </w:tc>
        <w:tc>
          <w:tcPr>
            <w:tcW w:w="881" w:type="dxa"/>
            <w:tcBorders>
              <w:top w:val="nil"/>
              <w:left w:val="nil"/>
              <w:bottom w:val="single" w:sz="4" w:space="0" w:color="auto"/>
              <w:right w:val="nil"/>
            </w:tcBorders>
            <w:shd w:val="clear" w:color="000000" w:fill="FFFFFF"/>
            <w:noWrap/>
            <w:vAlign w:val="bottom"/>
            <w:hideMark/>
          </w:tcPr>
          <w:p w14:paraId="3C463CEC"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FE-IV</w:t>
            </w:r>
          </w:p>
        </w:tc>
        <w:tc>
          <w:tcPr>
            <w:tcW w:w="858" w:type="dxa"/>
            <w:tcBorders>
              <w:top w:val="nil"/>
              <w:left w:val="nil"/>
              <w:bottom w:val="single" w:sz="4" w:space="0" w:color="auto"/>
              <w:right w:val="nil"/>
            </w:tcBorders>
            <w:shd w:val="clear" w:color="000000" w:fill="FFFFFF"/>
          </w:tcPr>
          <w:p w14:paraId="6D9BED78"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w:t>
            </w:r>
          </w:p>
        </w:tc>
        <w:tc>
          <w:tcPr>
            <w:tcW w:w="897" w:type="dxa"/>
            <w:gridSpan w:val="2"/>
            <w:tcBorders>
              <w:top w:val="nil"/>
              <w:left w:val="nil"/>
              <w:bottom w:val="single" w:sz="4" w:space="0" w:color="auto"/>
              <w:right w:val="nil"/>
            </w:tcBorders>
            <w:shd w:val="clear" w:color="000000" w:fill="FFFFFF"/>
            <w:noWrap/>
            <w:vAlign w:val="bottom"/>
            <w:hideMark/>
          </w:tcPr>
          <w:p w14:paraId="11F1F63A" w14:textId="77777777" w:rsidR="001357A4" w:rsidRPr="00B40DD7" w:rsidRDefault="001357A4" w:rsidP="00804ECD">
            <w:pPr>
              <w:spacing w:before="120"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FE-IV</w:t>
            </w:r>
          </w:p>
        </w:tc>
      </w:tr>
      <w:tr w:rsidR="001357A4" w:rsidRPr="004B36B2" w14:paraId="5F97D398" w14:textId="77777777" w:rsidTr="001B6C3F">
        <w:trPr>
          <w:trHeight w:val="70"/>
        </w:trPr>
        <w:tc>
          <w:tcPr>
            <w:tcW w:w="2275" w:type="dxa"/>
            <w:tcBorders>
              <w:top w:val="nil"/>
              <w:left w:val="nil"/>
              <w:bottom w:val="nil"/>
              <w:right w:val="nil"/>
            </w:tcBorders>
            <w:shd w:val="clear" w:color="000000" w:fill="FFFFFF"/>
            <w:noWrap/>
            <w:vAlign w:val="bottom"/>
            <w:hideMark/>
          </w:tcPr>
          <w:p w14:paraId="663F9986" w14:textId="77777777" w:rsidR="001357A4" w:rsidRPr="00B40DD7" w:rsidRDefault="001357A4" w:rsidP="00612935">
            <w:pPr>
              <w:spacing w:before="60"/>
              <w:jc w:val="both"/>
              <w:rPr>
                <w:rFonts w:asciiTheme="majorBidi" w:hAnsiTheme="majorBidi" w:cstheme="majorBidi"/>
                <w:i/>
                <w:iCs/>
                <w:color w:val="000000" w:themeColor="text1"/>
                <w:sz w:val="22"/>
              </w:rPr>
            </w:pPr>
            <w:r w:rsidRPr="00B40DD7">
              <w:rPr>
                <w:rFonts w:asciiTheme="majorBidi" w:hAnsiTheme="majorBidi" w:cstheme="majorBidi"/>
                <w:i/>
                <w:iCs/>
                <w:color w:val="000000" w:themeColor="text1"/>
                <w:sz w:val="22"/>
              </w:rPr>
              <w:t>Migration Model</w:t>
            </w:r>
          </w:p>
        </w:tc>
        <w:tc>
          <w:tcPr>
            <w:tcW w:w="875" w:type="dxa"/>
            <w:tcBorders>
              <w:top w:val="nil"/>
              <w:left w:val="nil"/>
              <w:bottom w:val="nil"/>
              <w:right w:val="nil"/>
            </w:tcBorders>
            <w:shd w:val="clear" w:color="000000" w:fill="FFFFFF"/>
            <w:noWrap/>
            <w:vAlign w:val="bottom"/>
            <w:hideMark/>
          </w:tcPr>
          <w:p w14:paraId="30F19ABF"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-0.003</w:t>
            </w:r>
          </w:p>
        </w:tc>
        <w:tc>
          <w:tcPr>
            <w:tcW w:w="968" w:type="dxa"/>
            <w:tcBorders>
              <w:top w:val="nil"/>
              <w:left w:val="nil"/>
              <w:bottom w:val="nil"/>
              <w:right w:val="nil"/>
            </w:tcBorders>
            <w:shd w:val="clear" w:color="000000" w:fill="FFFFFF"/>
            <w:noWrap/>
            <w:vAlign w:val="bottom"/>
            <w:hideMark/>
          </w:tcPr>
          <w:p w14:paraId="3FCA6EE6"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0.396</w:t>
            </w:r>
          </w:p>
        </w:tc>
        <w:tc>
          <w:tcPr>
            <w:tcW w:w="796" w:type="dxa"/>
            <w:tcBorders>
              <w:top w:val="nil"/>
              <w:left w:val="nil"/>
              <w:bottom w:val="nil"/>
              <w:right w:val="nil"/>
            </w:tcBorders>
            <w:shd w:val="clear" w:color="000000" w:fill="FFFFFF"/>
          </w:tcPr>
          <w:p w14:paraId="540D3B67" w14:textId="77777777" w:rsidR="001357A4" w:rsidRPr="00B40DD7" w:rsidRDefault="001357A4" w:rsidP="00612935">
            <w:pPr>
              <w:spacing w:before="60"/>
              <w:jc w:val="both"/>
              <w:rPr>
                <w:rFonts w:asciiTheme="majorBidi" w:hAnsiTheme="majorBidi" w:cstheme="majorBidi"/>
                <w:color w:val="000000" w:themeColor="text1"/>
                <w:sz w:val="22"/>
              </w:rPr>
            </w:pPr>
          </w:p>
        </w:tc>
        <w:tc>
          <w:tcPr>
            <w:tcW w:w="968" w:type="dxa"/>
            <w:tcBorders>
              <w:top w:val="nil"/>
              <w:left w:val="nil"/>
              <w:bottom w:val="nil"/>
              <w:right w:val="nil"/>
            </w:tcBorders>
            <w:shd w:val="clear" w:color="000000" w:fill="FFFFFF"/>
            <w:noWrap/>
            <w:vAlign w:val="bottom"/>
            <w:hideMark/>
          </w:tcPr>
          <w:p w14:paraId="1AACD40F"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518" w:type="dxa"/>
            <w:tcBorders>
              <w:top w:val="nil"/>
              <w:left w:val="nil"/>
              <w:bottom w:val="nil"/>
              <w:right w:val="nil"/>
            </w:tcBorders>
            <w:shd w:val="clear" w:color="000000" w:fill="FFFFFF"/>
            <w:noWrap/>
            <w:vAlign w:val="bottom"/>
            <w:hideMark/>
          </w:tcPr>
          <w:p w14:paraId="734FFDAA"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62" w:type="dxa"/>
            <w:tcBorders>
              <w:top w:val="nil"/>
              <w:left w:val="nil"/>
              <w:bottom w:val="nil"/>
              <w:right w:val="nil"/>
            </w:tcBorders>
            <w:shd w:val="clear" w:color="000000" w:fill="FFFFFF"/>
            <w:noWrap/>
            <w:vAlign w:val="bottom"/>
            <w:hideMark/>
          </w:tcPr>
          <w:p w14:paraId="5EC36821"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-0.012</w:t>
            </w:r>
          </w:p>
        </w:tc>
        <w:tc>
          <w:tcPr>
            <w:tcW w:w="1078" w:type="dxa"/>
            <w:tcBorders>
              <w:top w:val="nil"/>
              <w:left w:val="nil"/>
              <w:bottom w:val="nil"/>
              <w:right w:val="nil"/>
            </w:tcBorders>
            <w:shd w:val="clear" w:color="000000" w:fill="FFFFFF"/>
            <w:noWrap/>
            <w:vAlign w:val="bottom"/>
            <w:hideMark/>
          </w:tcPr>
          <w:p w14:paraId="097EA01F"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0.365</w:t>
            </w:r>
          </w:p>
        </w:tc>
        <w:tc>
          <w:tcPr>
            <w:tcW w:w="858" w:type="dxa"/>
            <w:tcBorders>
              <w:top w:val="nil"/>
              <w:left w:val="nil"/>
              <w:bottom w:val="nil"/>
              <w:right w:val="nil"/>
            </w:tcBorders>
            <w:shd w:val="clear" w:color="000000" w:fill="FFFFFF"/>
          </w:tcPr>
          <w:p w14:paraId="59D1687A" w14:textId="77777777" w:rsidR="001357A4" w:rsidRPr="00B40DD7" w:rsidRDefault="001357A4" w:rsidP="00612935">
            <w:pPr>
              <w:spacing w:before="60"/>
              <w:jc w:val="both"/>
              <w:rPr>
                <w:rFonts w:asciiTheme="majorBidi" w:hAnsiTheme="majorBidi" w:cstheme="majorBidi"/>
                <w:color w:val="000000" w:themeColor="text1"/>
                <w:sz w:val="22"/>
              </w:rPr>
            </w:pPr>
          </w:p>
        </w:tc>
        <w:tc>
          <w:tcPr>
            <w:tcW w:w="780" w:type="dxa"/>
            <w:tcBorders>
              <w:top w:val="nil"/>
              <w:left w:val="nil"/>
              <w:bottom w:val="nil"/>
              <w:right w:val="nil"/>
            </w:tcBorders>
            <w:shd w:val="clear" w:color="000000" w:fill="FFFFFF"/>
            <w:noWrap/>
            <w:vAlign w:val="bottom"/>
            <w:hideMark/>
          </w:tcPr>
          <w:p w14:paraId="51A1F865"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546" w:type="dxa"/>
            <w:tcBorders>
              <w:top w:val="nil"/>
              <w:left w:val="nil"/>
              <w:bottom w:val="nil"/>
              <w:right w:val="nil"/>
            </w:tcBorders>
            <w:shd w:val="clear" w:color="000000" w:fill="FFFFFF"/>
            <w:noWrap/>
            <w:vAlign w:val="bottom"/>
            <w:hideMark/>
          </w:tcPr>
          <w:p w14:paraId="4DC31FFE"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970" w:type="dxa"/>
            <w:tcBorders>
              <w:top w:val="nil"/>
              <w:left w:val="nil"/>
              <w:bottom w:val="nil"/>
              <w:right w:val="nil"/>
            </w:tcBorders>
            <w:shd w:val="clear" w:color="000000" w:fill="FFFFFF"/>
            <w:noWrap/>
            <w:vAlign w:val="bottom"/>
            <w:hideMark/>
          </w:tcPr>
          <w:p w14:paraId="51AF434A"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0.036</w:t>
            </w:r>
          </w:p>
        </w:tc>
        <w:tc>
          <w:tcPr>
            <w:tcW w:w="881" w:type="dxa"/>
            <w:tcBorders>
              <w:top w:val="nil"/>
              <w:left w:val="nil"/>
              <w:bottom w:val="nil"/>
              <w:right w:val="nil"/>
            </w:tcBorders>
            <w:shd w:val="clear" w:color="000000" w:fill="FFFFFF"/>
            <w:noWrap/>
            <w:vAlign w:val="bottom"/>
            <w:hideMark/>
          </w:tcPr>
          <w:p w14:paraId="4BB55CED"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0.084</w:t>
            </w:r>
          </w:p>
        </w:tc>
        <w:tc>
          <w:tcPr>
            <w:tcW w:w="858" w:type="dxa"/>
            <w:tcBorders>
              <w:top w:val="nil"/>
              <w:left w:val="nil"/>
              <w:bottom w:val="nil"/>
              <w:right w:val="nil"/>
            </w:tcBorders>
            <w:shd w:val="clear" w:color="000000" w:fill="FFFFFF"/>
          </w:tcPr>
          <w:p w14:paraId="07BAD149" w14:textId="77777777" w:rsidR="001357A4" w:rsidRPr="00B40DD7" w:rsidRDefault="001357A4" w:rsidP="00612935">
            <w:pPr>
              <w:spacing w:before="60"/>
              <w:jc w:val="both"/>
              <w:rPr>
                <w:rFonts w:asciiTheme="majorBidi" w:hAnsiTheme="majorBidi" w:cstheme="majorBidi"/>
                <w:color w:val="000000" w:themeColor="text1"/>
                <w:sz w:val="22"/>
              </w:rPr>
            </w:pPr>
          </w:p>
        </w:tc>
        <w:tc>
          <w:tcPr>
            <w:tcW w:w="897" w:type="dxa"/>
            <w:gridSpan w:val="2"/>
            <w:tcBorders>
              <w:top w:val="nil"/>
              <w:left w:val="nil"/>
              <w:bottom w:val="nil"/>
              <w:right w:val="nil"/>
            </w:tcBorders>
            <w:shd w:val="clear" w:color="000000" w:fill="FFFFFF"/>
            <w:noWrap/>
            <w:vAlign w:val="bottom"/>
            <w:hideMark/>
          </w:tcPr>
          <w:p w14:paraId="24FB8130" w14:textId="77777777" w:rsidR="001357A4" w:rsidRPr="00B40DD7" w:rsidRDefault="001357A4" w:rsidP="00612935">
            <w:pPr>
              <w:spacing w:before="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r>
      <w:tr w:rsidR="001357A4" w:rsidRPr="004B36B2" w14:paraId="3A35D160" w14:textId="77777777" w:rsidTr="0009149C">
        <w:trPr>
          <w:trHeight w:val="80"/>
        </w:trPr>
        <w:tc>
          <w:tcPr>
            <w:tcW w:w="2275" w:type="dxa"/>
            <w:tcBorders>
              <w:top w:val="nil"/>
              <w:left w:val="nil"/>
              <w:bottom w:val="nil"/>
              <w:right w:val="nil"/>
            </w:tcBorders>
            <w:shd w:val="clear" w:color="000000" w:fill="FFFFFF"/>
            <w:noWrap/>
            <w:hideMark/>
          </w:tcPr>
          <w:p w14:paraId="5E9D6128"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75" w:type="dxa"/>
            <w:tcBorders>
              <w:top w:val="nil"/>
              <w:left w:val="nil"/>
              <w:bottom w:val="nil"/>
              <w:right w:val="nil"/>
            </w:tcBorders>
            <w:shd w:val="clear" w:color="000000" w:fill="FFFFFF"/>
            <w:noWrap/>
            <w:hideMark/>
          </w:tcPr>
          <w:p w14:paraId="56A52DCC"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(0.116)</w:t>
            </w:r>
          </w:p>
        </w:tc>
        <w:tc>
          <w:tcPr>
            <w:tcW w:w="968" w:type="dxa"/>
            <w:tcBorders>
              <w:top w:val="nil"/>
              <w:left w:val="nil"/>
              <w:bottom w:val="nil"/>
              <w:right w:val="nil"/>
            </w:tcBorders>
            <w:shd w:val="clear" w:color="000000" w:fill="FFFFFF"/>
            <w:noWrap/>
            <w:hideMark/>
          </w:tcPr>
          <w:p w14:paraId="19DAC507"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w:t>
            </w:r>
            <w:proofErr w:type="gramStart"/>
            <w:r w:rsidRPr="00B40DD7">
              <w:rPr>
                <w:rFonts w:asciiTheme="majorBidi" w:hAnsiTheme="majorBidi" w:cstheme="majorBidi"/>
                <w:color w:val="000000" w:themeColor="text1"/>
                <w:sz w:val="22"/>
              </w:rPr>
              <w:t>1.867)*</w:t>
            </w:r>
            <w:proofErr w:type="gramEnd"/>
          </w:p>
        </w:tc>
        <w:tc>
          <w:tcPr>
            <w:tcW w:w="796" w:type="dxa"/>
            <w:tcBorders>
              <w:top w:val="nil"/>
              <w:left w:val="nil"/>
              <w:bottom w:val="nil"/>
              <w:right w:val="nil"/>
            </w:tcBorders>
            <w:shd w:val="clear" w:color="000000" w:fill="FFFFFF"/>
          </w:tcPr>
          <w:p w14:paraId="78C54FD1" w14:textId="77777777" w:rsidR="001357A4" w:rsidRPr="00B40DD7" w:rsidRDefault="001357A4" w:rsidP="00612935">
            <w:pPr>
              <w:spacing w:after="60"/>
              <w:jc w:val="both"/>
              <w:rPr>
                <w:rFonts w:asciiTheme="majorBidi" w:hAnsiTheme="majorBidi" w:cstheme="majorBidi"/>
                <w:color w:val="000000" w:themeColor="text1"/>
                <w:sz w:val="22"/>
              </w:rPr>
            </w:pPr>
          </w:p>
        </w:tc>
        <w:tc>
          <w:tcPr>
            <w:tcW w:w="968" w:type="dxa"/>
            <w:tcBorders>
              <w:top w:val="nil"/>
              <w:left w:val="nil"/>
              <w:bottom w:val="nil"/>
              <w:right w:val="nil"/>
            </w:tcBorders>
            <w:shd w:val="clear" w:color="000000" w:fill="FFFFFF"/>
            <w:noWrap/>
            <w:hideMark/>
          </w:tcPr>
          <w:p w14:paraId="4494008F"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518" w:type="dxa"/>
            <w:tcBorders>
              <w:top w:val="nil"/>
              <w:left w:val="nil"/>
              <w:bottom w:val="nil"/>
              <w:right w:val="nil"/>
            </w:tcBorders>
            <w:shd w:val="clear" w:color="000000" w:fill="FFFFFF"/>
            <w:noWrap/>
            <w:hideMark/>
          </w:tcPr>
          <w:p w14:paraId="7CE63CB2"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62" w:type="dxa"/>
            <w:tcBorders>
              <w:top w:val="nil"/>
              <w:left w:val="nil"/>
              <w:bottom w:val="nil"/>
              <w:right w:val="nil"/>
            </w:tcBorders>
            <w:shd w:val="clear" w:color="000000" w:fill="FFFFFF"/>
            <w:noWrap/>
            <w:hideMark/>
          </w:tcPr>
          <w:p w14:paraId="27B37532"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(0.466)</w:t>
            </w:r>
          </w:p>
        </w:tc>
        <w:tc>
          <w:tcPr>
            <w:tcW w:w="1078" w:type="dxa"/>
            <w:tcBorders>
              <w:top w:val="nil"/>
              <w:left w:val="nil"/>
              <w:bottom w:val="nil"/>
              <w:right w:val="nil"/>
            </w:tcBorders>
            <w:shd w:val="clear" w:color="000000" w:fill="FFFFFF"/>
            <w:noWrap/>
            <w:hideMark/>
          </w:tcPr>
          <w:p w14:paraId="2AA3D4CF"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w:t>
            </w:r>
            <w:proofErr w:type="gramStart"/>
            <w:r w:rsidRPr="00B40DD7">
              <w:rPr>
                <w:rFonts w:asciiTheme="majorBidi" w:hAnsiTheme="majorBidi" w:cstheme="majorBidi"/>
                <w:color w:val="000000" w:themeColor="text1"/>
                <w:sz w:val="22"/>
              </w:rPr>
              <w:t>2.158)*</w:t>
            </w:r>
            <w:proofErr w:type="gramEnd"/>
            <w:r w:rsidRPr="00B40DD7">
              <w:rPr>
                <w:rFonts w:asciiTheme="majorBidi" w:hAnsiTheme="majorBidi" w:cstheme="majorBidi"/>
                <w:color w:val="000000" w:themeColor="text1"/>
                <w:sz w:val="22"/>
              </w:rPr>
              <w:t>*</w:t>
            </w:r>
          </w:p>
        </w:tc>
        <w:tc>
          <w:tcPr>
            <w:tcW w:w="858" w:type="dxa"/>
            <w:tcBorders>
              <w:top w:val="nil"/>
              <w:left w:val="nil"/>
              <w:bottom w:val="nil"/>
              <w:right w:val="nil"/>
            </w:tcBorders>
            <w:shd w:val="clear" w:color="000000" w:fill="FFFFFF"/>
          </w:tcPr>
          <w:p w14:paraId="6A27D446" w14:textId="77777777" w:rsidR="001357A4" w:rsidRPr="00B40DD7" w:rsidRDefault="001357A4" w:rsidP="00612935">
            <w:pPr>
              <w:spacing w:after="60"/>
              <w:jc w:val="both"/>
              <w:rPr>
                <w:rFonts w:asciiTheme="majorBidi" w:hAnsiTheme="majorBidi" w:cstheme="majorBidi"/>
                <w:color w:val="000000" w:themeColor="text1"/>
                <w:sz w:val="22"/>
              </w:rPr>
            </w:pPr>
          </w:p>
        </w:tc>
        <w:tc>
          <w:tcPr>
            <w:tcW w:w="780" w:type="dxa"/>
            <w:tcBorders>
              <w:top w:val="nil"/>
              <w:left w:val="nil"/>
              <w:bottom w:val="nil"/>
              <w:right w:val="nil"/>
            </w:tcBorders>
            <w:shd w:val="clear" w:color="000000" w:fill="FFFFFF"/>
            <w:noWrap/>
            <w:hideMark/>
          </w:tcPr>
          <w:p w14:paraId="150781C9"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546" w:type="dxa"/>
            <w:tcBorders>
              <w:top w:val="nil"/>
              <w:left w:val="nil"/>
              <w:bottom w:val="nil"/>
              <w:right w:val="nil"/>
            </w:tcBorders>
            <w:shd w:val="clear" w:color="000000" w:fill="FFFFFF"/>
            <w:noWrap/>
            <w:hideMark/>
          </w:tcPr>
          <w:p w14:paraId="5C0AB543"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970" w:type="dxa"/>
            <w:tcBorders>
              <w:top w:val="nil"/>
              <w:left w:val="nil"/>
              <w:bottom w:val="nil"/>
              <w:right w:val="nil"/>
            </w:tcBorders>
            <w:shd w:val="clear" w:color="000000" w:fill="FFFFFF"/>
            <w:noWrap/>
            <w:hideMark/>
          </w:tcPr>
          <w:p w14:paraId="21D8C2DA"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(1.525)</w:t>
            </w:r>
          </w:p>
        </w:tc>
        <w:tc>
          <w:tcPr>
            <w:tcW w:w="881" w:type="dxa"/>
            <w:tcBorders>
              <w:top w:val="nil"/>
              <w:left w:val="nil"/>
              <w:bottom w:val="nil"/>
              <w:right w:val="nil"/>
            </w:tcBorders>
            <w:shd w:val="clear" w:color="000000" w:fill="FFFFFF"/>
            <w:noWrap/>
            <w:hideMark/>
          </w:tcPr>
          <w:p w14:paraId="13B7F42C"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(0.802)</w:t>
            </w:r>
          </w:p>
        </w:tc>
        <w:tc>
          <w:tcPr>
            <w:tcW w:w="858" w:type="dxa"/>
            <w:tcBorders>
              <w:top w:val="nil"/>
              <w:left w:val="nil"/>
              <w:bottom w:val="nil"/>
              <w:right w:val="nil"/>
            </w:tcBorders>
            <w:shd w:val="clear" w:color="000000" w:fill="FFFFFF"/>
          </w:tcPr>
          <w:p w14:paraId="131F00B2" w14:textId="77777777" w:rsidR="001357A4" w:rsidRPr="00B40DD7" w:rsidRDefault="001357A4" w:rsidP="00612935">
            <w:pPr>
              <w:spacing w:after="60"/>
              <w:jc w:val="both"/>
              <w:rPr>
                <w:rFonts w:asciiTheme="majorBidi" w:hAnsiTheme="majorBidi" w:cstheme="majorBidi"/>
                <w:color w:val="000000" w:themeColor="text1"/>
                <w:sz w:val="22"/>
              </w:rPr>
            </w:pPr>
          </w:p>
        </w:tc>
        <w:tc>
          <w:tcPr>
            <w:tcW w:w="897" w:type="dxa"/>
            <w:gridSpan w:val="2"/>
            <w:tcBorders>
              <w:top w:val="nil"/>
              <w:left w:val="nil"/>
              <w:bottom w:val="nil"/>
              <w:right w:val="nil"/>
            </w:tcBorders>
            <w:shd w:val="clear" w:color="000000" w:fill="FFFFFF"/>
            <w:noWrap/>
            <w:hideMark/>
          </w:tcPr>
          <w:p w14:paraId="276A75CC" w14:textId="77777777" w:rsidR="001357A4" w:rsidRPr="00B40DD7" w:rsidRDefault="001357A4" w:rsidP="00612935">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r>
      <w:tr w:rsidR="00686283" w:rsidRPr="004B36B2" w14:paraId="39F73070" w14:textId="77777777" w:rsidTr="00470277">
        <w:trPr>
          <w:trHeight w:val="498"/>
        </w:trPr>
        <w:tc>
          <w:tcPr>
            <w:tcW w:w="2275" w:type="dxa"/>
            <w:tcBorders>
              <w:top w:val="nil"/>
              <w:left w:val="nil"/>
              <w:bottom w:val="nil"/>
              <w:right w:val="nil"/>
            </w:tcBorders>
            <w:shd w:val="clear" w:color="000000" w:fill="FFFFFF"/>
            <w:noWrap/>
            <w:vAlign w:val="bottom"/>
            <w:hideMark/>
          </w:tcPr>
          <w:p w14:paraId="3DAE278B" w14:textId="77777777" w:rsidR="00686283" w:rsidRPr="00B40DD7" w:rsidRDefault="00686283" w:rsidP="00612935">
            <w:pPr>
              <w:jc w:val="both"/>
              <w:rPr>
                <w:rFonts w:asciiTheme="majorBidi" w:hAnsiTheme="majorBidi" w:cstheme="majorBidi"/>
                <w:i/>
                <w:iCs/>
                <w:color w:val="000000" w:themeColor="text1"/>
                <w:sz w:val="22"/>
              </w:rPr>
            </w:pPr>
            <w:r w:rsidRPr="00B40DD7">
              <w:rPr>
                <w:rFonts w:asciiTheme="majorBidi" w:hAnsiTheme="majorBidi" w:cstheme="majorBidi"/>
                <w:i/>
                <w:iCs/>
                <w:color w:val="000000" w:themeColor="text1"/>
                <w:sz w:val="22"/>
              </w:rPr>
              <w:t>Remittance Model</w:t>
            </w:r>
          </w:p>
        </w:tc>
        <w:tc>
          <w:tcPr>
            <w:tcW w:w="875" w:type="dxa"/>
            <w:tcBorders>
              <w:top w:val="nil"/>
              <w:left w:val="nil"/>
              <w:bottom w:val="nil"/>
              <w:right w:val="nil"/>
            </w:tcBorders>
            <w:shd w:val="clear" w:color="000000" w:fill="FFFFFF"/>
            <w:noWrap/>
            <w:vAlign w:val="bottom"/>
            <w:hideMark/>
          </w:tcPr>
          <w:p w14:paraId="5D2FC6E7"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968" w:type="dxa"/>
            <w:tcBorders>
              <w:top w:val="nil"/>
              <w:left w:val="nil"/>
              <w:bottom w:val="nil"/>
              <w:right w:val="nil"/>
            </w:tcBorders>
            <w:shd w:val="clear" w:color="000000" w:fill="FFFFFF"/>
            <w:noWrap/>
            <w:vAlign w:val="bottom"/>
            <w:hideMark/>
          </w:tcPr>
          <w:p w14:paraId="0CEE69BB"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796" w:type="dxa"/>
            <w:tcBorders>
              <w:top w:val="nil"/>
              <w:left w:val="nil"/>
              <w:bottom w:val="nil"/>
              <w:right w:val="nil"/>
            </w:tcBorders>
            <w:shd w:val="clear" w:color="000000" w:fill="FFFFFF"/>
            <w:vAlign w:val="bottom"/>
          </w:tcPr>
          <w:p w14:paraId="315AEE4C"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0.019</w:t>
            </w:r>
          </w:p>
        </w:tc>
        <w:tc>
          <w:tcPr>
            <w:tcW w:w="968" w:type="dxa"/>
            <w:tcBorders>
              <w:top w:val="nil"/>
              <w:left w:val="nil"/>
              <w:bottom w:val="nil"/>
              <w:right w:val="nil"/>
            </w:tcBorders>
            <w:shd w:val="clear" w:color="000000" w:fill="FFFFFF"/>
            <w:noWrap/>
            <w:vAlign w:val="bottom"/>
            <w:hideMark/>
          </w:tcPr>
          <w:p w14:paraId="08749867"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0.620</w:t>
            </w:r>
          </w:p>
        </w:tc>
        <w:tc>
          <w:tcPr>
            <w:tcW w:w="518" w:type="dxa"/>
            <w:tcBorders>
              <w:top w:val="nil"/>
              <w:left w:val="nil"/>
              <w:bottom w:val="nil"/>
              <w:right w:val="nil"/>
            </w:tcBorders>
            <w:shd w:val="clear" w:color="000000" w:fill="FFFFFF"/>
            <w:noWrap/>
            <w:vAlign w:val="bottom"/>
            <w:hideMark/>
          </w:tcPr>
          <w:p w14:paraId="7C076322"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62" w:type="dxa"/>
            <w:tcBorders>
              <w:top w:val="nil"/>
              <w:left w:val="nil"/>
              <w:bottom w:val="nil"/>
              <w:right w:val="nil"/>
            </w:tcBorders>
            <w:shd w:val="clear" w:color="000000" w:fill="FFFFFF"/>
            <w:noWrap/>
            <w:vAlign w:val="bottom"/>
            <w:hideMark/>
          </w:tcPr>
          <w:p w14:paraId="427306A3"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1078" w:type="dxa"/>
            <w:tcBorders>
              <w:top w:val="nil"/>
              <w:left w:val="nil"/>
              <w:bottom w:val="nil"/>
              <w:right w:val="nil"/>
            </w:tcBorders>
            <w:shd w:val="clear" w:color="000000" w:fill="FFFFFF"/>
            <w:noWrap/>
            <w:vAlign w:val="bottom"/>
            <w:hideMark/>
          </w:tcPr>
          <w:p w14:paraId="51D27BA6"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58" w:type="dxa"/>
            <w:tcBorders>
              <w:top w:val="nil"/>
              <w:left w:val="nil"/>
              <w:bottom w:val="nil"/>
              <w:right w:val="nil"/>
            </w:tcBorders>
            <w:shd w:val="clear" w:color="000000" w:fill="FFFFFF"/>
            <w:vAlign w:val="bottom"/>
          </w:tcPr>
          <w:p w14:paraId="12DE6061"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0.039</w:t>
            </w:r>
          </w:p>
        </w:tc>
        <w:tc>
          <w:tcPr>
            <w:tcW w:w="780" w:type="dxa"/>
            <w:tcBorders>
              <w:top w:val="nil"/>
              <w:left w:val="nil"/>
              <w:bottom w:val="nil"/>
              <w:right w:val="nil"/>
            </w:tcBorders>
            <w:shd w:val="clear" w:color="000000" w:fill="FFFFFF"/>
            <w:noWrap/>
            <w:vAlign w:val="bottom"/>
            <w:hideMark/>
          </w:tcPr>
          <w:p w14:paraId="7824313E"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0.720</w:t>
            </w:r>
          </w:p>
        </w:tc>
        <w:tc>
          <w:tcPr>
            <w:tcW w:w="546" w:type="dxa"/>
            <w:tcBorders>
              <w:top w:val="nil"/>
              <w:left w:val="nil"/>
              <w:bottom w:val="nil"/>
              <w:right w:val="nil"/>
            </w:tcBorders>
            <w:shd w:val="clear" w:color="000000" w:fill="FFFFFF"/>
            <w:noWrap/>
            <w:vAlign w:val="bottom"/>
            <w:hideMark/>
          </w:tcPr>
          <w:p w14:paraId="1F8206B8"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970" w:type="dxa"/>
            <w:tcBorders>
              <w:top w:val="nil"/>
              <w:left w:val="nil"/>
              <w:bottom w:val="nil"/>
              <w:right w:val="nil"/>
            </w:tcBorders>
            <w:shd w:val="clear" w:color="000000" w:fill="FFFFFF"/>
            <w:noWrap/>
            <w:vAlign w:val="bottom"/>
            <w:hideMark/>
          </w:tcPr>
          <w:p w14:paraId="5A488999"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81" w:type="dxa"/>
            <w:tcBorders>
              <w:top w:val="nil"/>
              <w:left w:val="nil"/>
              <w:bottom w:val="nil"/>
              <w:right w:val="nil"/>
            </w:tcBorders>
            <w:shd w:val="clear" w:color="000000" w:fill="FFFFFF"/>
            <w:noWrap/>
            <w:vAlign w:val="bottom"/>
            <w:hideMark/>
          </w:tcPr>
          <w:p w14:paraId="2BD39ABC"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58" w:type="dxa"/>
            <w:tcBorders>
              <w:top w:val="nil"/>
              <w:left w:val="nil"/>
              <w:bottom w:val="nil"/>
              <w:right w:val="nil"/>
            </w:tcBorders>
            <w:shd w:val="clear" w:color="000000" w:fill="FFFFFF"/>
            <w:vAlign w:val="bottom"/>
          </w:tcPr>
          <w:p w14:paraId="6FE3E434"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w:t>
            </w:r>
            <w:r w:rsidR="00360B71" w:rsidRPr="00B40DD7">
              <w:rPr>
                <w:rFonts w:asciiTheme="majorBidi" w:hAnsiTheme="majorBidi" w:cstheme="majorBidi"/>
                <w:color w:val="000000" w:themeColor="text1"/>
                <w:sz w:val="22"/>
              </w:rPr>
              <w:t>062</w:t>
            </w:r>
          </w:p>
        </w:tc>
        <w:tc>
          <w:tcPr>
            <w:tcW w:w="897" w:type="dxa"/>
            <w:gridSpan w:val="2"/>
            <w:tcBorders>
              <w:top w:val="nil"/>
              <w:left w:val="nil"/>
              <w:bottom w:val="nil"/>
              <w:right w:val="nil"/>
            </w:tcBorders>
            <w:shd w:val="clear" w:color="000000" w:fill="FFFFFF"/>
            <w:noWrap/>
            <w:vAlign w:val="bottom"/>
            <w:hideMark/>
          </w:tcPr>
          <w:p w14:paraId="14B68ACA" w14:textId="77777777" w:rsidR="00686283" w:rsidRPr="00B40DD7" w:rsidRDefault="00686283" w:rsidP="00612935">
            <w:pPr>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0.143</w:t>
            </w:r>
          </w:p>
        </w:tc>
      </w:tr>
      <w:tr w:rsidR="00686283" w:rsidRPr="004B36B2" w14:paraId="34DDD6FE" w14:textId="77777777" w:rsidTr="0009149C">
        <w:trPr>
          <w:trHeight w:val="126"/>
        </w:trPr>
        <w:tc>
          <w:tcPr>
            <w:tcW w:w="2275" w:type="dxa"/>
            <w:tcBorders>
              <w:top w:val="nil"/>
              <w:left w:val="nil"/>
              <w:bottom w:val="nil"/>
              <w:right w:val="nil"/>
            </w:tcBorders>
            <w:shd w:val="clear" w:color="000000" w:fill="FFFFFF"/>
            <w:noWrap/>
            <w:hideMark/>
          </w:tcPr>
          <w:p w14:paraId="5B0A1659"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75" w:type="dxa"/>
            <w:tcBorders>
              <w:top w:val="nil"/>
              <w:left w:val="nil"/>
              <w:bottom w:val="nil"/>
              <w:right w:val="nil"/>
            </w:tcBorders>
            <w:shd w:val="clear" w:color="000000" w:fill="FFFFFF"/>
            <w:noWrap/>
            <w:hideMark/>
          </w:tcPr>
          <w:p w14:paraId="2D08301F"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968" w:type="dxa"/>
            <w:tcBorders>
              <w:top w:val="nil"/>
              <w:left w:val="nil"/>
              <w:bottom w:val="nil"/>
              <w:right w:val="nil"/>
            </w:tcBorders>
            <w:shd w:val="clear" w:color="000000" w:fill="FFFFFF"/>
            <w:noWrap/>
            <w:hideMark/>
          </w:tcPr>
          <w:p w14:paraId="2E2ADC4C"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796" w:type="dxa"/>
            <w:tcBorders>
              <w:top w:val="nil"/>
              <w:left w:val="nil"/>
              <w:bottom w:val="nil"/>
              <w:right w:val="nil"/>
            </w:tcBorders>
            <w:shd w:val="clear" w:color="000000" w:fill="FFFFFF"/>
          </w:tcPr>
          <w:p w14:paraId="3D520A94"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(0.96)</w:t>
            </w:r>
          </w:p>
        </w:tc>
        <w:tc>
          <w:tcPr>
            <w:tcW w:w="968" w:type="dxa"/>
            <w:tcBorders>
              <w:top w:val="nil"/>
              <w:left w:val="nil"/>
              <w:bottom w:val="nil"/>
              <w:right w:val="nil"/>
            </w:tcBorders>
            <w:shd w:val="clear" w:color="000000" w:fill="FFFFFF"/>
            <w:noWrap/>
            <w:hideMark/>
          </w:tcPr>
          <w:p w14:paraId="0F6CA7BC"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w:t>
            </w:r>
            <w:proofErr w:type="gramStart"/>
            <w:r w:rsidRPr="00B40DD7">
              <w:rPr>
                <w:rFonts w:asciiTheme="majorBidi" w:hAnsiTheme="majorBidi" w:cstheme="majorBidi"/>
                <w:color w:val="000000" w:themeColor="text1"/>
                <w:sz w:val="22"/>
              </w:rPr>
              <w:t>1.904)*</w:t>
            </w:r>
            <w:proofErr w:type="gramEnd"/>
          </w:p>
        </w:tc>
        <w:tc>
          <w:tcPr>
            <w:tcW w:w="518" w:type="dxa"/>
            <w:tcBorders>
              <w:top w:val="nil"/>
              <w:left w:val="nil"/>
              <w:bottom w:val="nil"/>
              <w:right w:val="nil"/>
            </w:tcBorders>
            <w:shd w:val="clear" w:color="000000" w:fill="FFFFFF"/>
            <w:noWrap/>
            <w:hideMark/>
          </w:tcPr>
          <w:p w14:paraId="566B9436"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62" w:type="dxa"/>
            <w:tcBorders>
              <w:top w:val="nil"/>
              <w:left w:val="nil"/>
              <w:bottom w:val="nil"/>
              <w:right w:val="nil"/>
            </w:tcBorders>
            <w:shd w:val="clear" w:color="000000" w:fill="FFFFFF"/>
            <w:noWrap/>
            <w:hideMark/>
          </w:tcPr>
          <w:p w14:paraId="7821CF4E"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1078" w:type="dxa"/>
            <w:tcBorders>
              <w:top w:val="nil"/>
              <w:left w:val="nil"/>
              <w:bottom w:val="nil"/>
              <w:right w:val="nil"/>
            </w:tcBorders>
            <w:shd w:val="clear" w:color="000000" w:fill="FFFFFF"/>
            <w:noWrap/>
            <w:hideMark/>
          </w:tcPr>
          <w:p w14:paraId="441ACE8F"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58" w:type="dxa"/>
            <w:tcBorders>
              <w:top w:val="nil"/>
              <w:left w:val="nil"/>
              <w:bottom w:val="nil"/>
              <w:right w:val="nil"/>
            </w:tcBorders>
            <w:shd w:val="clear" w:color="000000" w:fill="FFFFFF"/>
          </w:tcPr>
          <w:p w14:paraId="53731B17"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w:t>
            </w:r>
            <w:proofErr w:type="gramStart"/>
            <w:r w:rsidRPr="00B40DD7">
              <w:rPr>
                <w:rFonts w:asciiTheme="majorBidi" w:hAnsiTheme="majorBidi" w:cstheme="majorBidi"/>
                <w:color w:val="000000" w:themeColor="text1"/>
                <w:sz w:val="22"/>
              </w:rPr>
              <w:t>1.85)*</w:t>
            </w:r>
            <w:proofErr w:type="gramEnd"/>
          </w:p>
        </w:tc>
        <w:tc>
          <w:tcPr>
            <w:tcW w:w="1326" w:type="dxa"/>
            <w:gridSpan w:val="2"/>
            <w:tcBorders>
              <w:top w:val="nil"/>
              <w:left w:val="nil"/>
              <w:bottom w:val="nil"/>
              <w:right w:val="nil"/>
            </w:tcBorders>
            <w:shd w:val="clear" w:color="000000" w:fill="FFFFFF"/>
            <w:noWrap/>
            <w:hideMark/>
          </w:tcPr>
          <w:p w14:paraId="01E324B7"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w:t>
            </w:r>
            <w:proofErr w:type="gramStart"/>
            <w:r w:rsidRPr="00B40DD7">
              <w:rPr>
                <w:rFonts w:asciiTheme="majorBidi" w:hAnsiTheme="majorBidi" w:cstheme="majorBidi"/>
                <w:color w:val="000000" w:themeColor="text1"/>
                <w:sz w:val="22"/>
              </w:rPr>
              <w:t>2.941)*</w:t>
            </w:r>
            <w:proofErr w:type="gramEnd"/>
            <w:r w:rsidRPr="00B40DD7">
              <w:rPr>
                <w:rFonts w:asciiTheme="majorBidi" w:hAnsiTheme="majorBidi" w:cstheme="majorBidi"/>
                <w:color w:val="000000" w:themeColor="text1"/>
                <w:sz w:val="22"/>
              </w:rPr>
              <w:t>**</w:t>
            </w:r>
          </w:p>
        </w:tc>
        <w:tc>
          <w:tcPr>
            <w:tcW w:w="970" w:type="dxa"/>
            <w:tcBorders>
              <w:top w:val="nil"/>
              <w:left w:val="nil"/>
              <w:bottom w:val="nil"/>
              <w:right w:val="nil"/>
            </w:tcBorders>
            <w:shd w:val="clear" w:color="000000" w:fill="FFFFFF"/>
            <w:noWrap/>
            <w:hideMark/>
          </w:tcPr>
          <w:p w14:paraId="02042E6A"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81" w:type="dxa"/>
            <w:tcBorders>
              <w:top w:val="nil"/>
              <w:left w:val="nil"/>
              <w:bottom w:val="nil"/>
              <w:right w:val="nil"/>
            </w:tcBorders>
            <w:shd w:val="clear" w:color="000000" w:fill="FFFFFF"/>
            <w:noWrap/>
            <w:hideMark/>
          </w:tcPr>
          <w:p w14:paraId="7575593F"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58" w:type="dxa"/>
            <w:tcBorders>
              <w:top w:val="nil"/>
              <w:left w:val="nil"/>
              <w:bottom w:val="nil"/>
              <w:right w:val="nil"/>
            </w:tcBorders>
            <w:shd w:val="clear" w:color="000000" w:fill="FFFFFF"/>
          </w:tcPr>
          <w:p w14:paraId="31EDB454" w14:textId="77777777" w:rsidR="00686283" w:rsidRPr="00B40DD7" w:rsidRDefault="00360B71"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w:t>
            </w:r>
            <w:proofErr w:type="gramStart"/>
            <w:r w:rsidRPr="00B40DD7">
              <w:rPr>
                <w:rFonts w:asciiTheme="majorBidi" w:hAnsiTheme="majorBidi" w:cstheme="majorBidi"/>
                <w:color w:val="000000" w:themeColor="text1"/>
                <w:sz w:val="22"/>
              </w:rPr>
              <w:t>1.91</w:t>
            </w:r>
            <w:r w:rsidR="00686283" w:rsidRPr="00B40DD7">
              <w:rPr>
                <w:rFonts w:asciiTheme="majorBidi" w:hAnsiTheme="majorBidi" w:cstheme="majorBidi"/>
                <w:color w:val="000000" w:themeColor="text1"/>
                <w:sz w:val="22"/>
              </w:rPr>
              <w:t>)</w:t>
            </w:r>
            <w:r w:rsidRPr="00B40DD7">
              <w:rPr>
                <w:rFonts w:asciiTheme="majorBidi" w:hAnsiTheme="majorBidi" w:cstheme="majorBidi"/>
                <w:color w:val="000000" w:themeColor="text1"/>
                <w:sz w:val="22"/>
              </w:rPr>
              <w:t>*</w:t>
            </w:r>
            <w:proofErr w:type="gramEnd"/>
          </w:p>
        </w:tc>
        <w:tc>
          <w:tcPr>
            <w:tcW w:w="897" w:type="dxa"/>
            <w:gridSpan w:val="2"/>
            <w:tcBorders>
              <w:top w:val="nil"/>
              <w:left w:val="nil"/>
              <w:bottom w:val="nil"/>
              <w:right w:val="nil"/>
            </w:tcBorders>
            <w:shd w:val="clear" w:color="000000" w:fill="FFFFFF"/>
            <w:noWrap/>
            <w:hideMark/>
          </w:tcPr>
          <w:p w14:paraId="072BC2D3" w14:textId="77777777" w:rsidR="00686283" w:rsidRPr="00B40DD7" w:rsidRDefault="00686283" w:rsidP="00612935">
            <w:pPr>
              <w:spacing w:after="12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(1.143)</w:t>
            </w:r>
          </w:p>
        </w:tc>
      </w:tr>
      <w:tr w:rsidR="00686283" w:rsidRPr="004B36B2" w14:paraId="798DE289" w14:textId="77777777" w:rsidTr="001B6C3F">
        <w:trPr>
          <w:trHeight w:val="80"/>
        </w:trPr>
        <w:tc>
          <w:tcPr>
            <w:tcW w:w="2275" w:type="dxa"/>
            <w:tcBorders>
              <w:top w:val="nil"/>
              <w:left w:val="nil"/>
              <w:bottom w:val="nil"/>
              <w:right w:val="nil"/>
            </w:tcBorders>
            <w:shd w:val="clear" w:color="000000" w:fill="FFFFFF"/>
            <w:noWrap/>
          </w:tcPr>
          <w:p w14:paraId="3D8DACE9"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xml:space="preserve">Control Variables </w:t>
            </w:r>
          </w:p>
        </w:tc>
        <w:tc>
          <w:tcPr>
            <w:tcW w:w="875" w:type="dxa"/>
            <w:tcBorders>
              <w:top w:val="nil"/>
              <w:left w:val="nil"/>
              <w:bottom w:val="nil"/>
              <w:right w:val="nil"/>
            </w:tcBorders>
            <w:shd w:val="clear" w:color="000000" w:fill="FFFFFF"/>
            <w:noWrap/>
          </w:tcPr>
          <w:p w14:paraId="7F2F29ED"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968" w:type="dxa"/>
            <w:tcBorders>
              <w:top w:val="nil"/>
              <w:left w:val="nil"/>
              <w:bottom w:val="nil"/>
              <w:right w:val="nil"/>
            </w:tcBorders>
            <w:shd w:val="clear" w:color="000000" w:fill="FFFFFF"/>
            <w:noWrap/>
          </w:tcPr>
          <w:p w14:paraId="4F686DA5"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796" w:type="dxa"/>
            <w:tcBorders>
              <w:top w:val="nil"/>
              <w:left w:val="nil"/>
              <w:bottom w:val="nil"/>
              <w:right w:val="nil"/>
            </w:tcBorders>
            <w:shd w:val="clear" w:color="000000" w:fill="FFFFFF"/>
          </w:tcPr>
          <w:p w14:paraId="74433937" w14:textId="77777777" w:rsidR="00686283" w:rsidRPr="00B40DD7" w:rsidRDefault="00686283" w:rsidP="001879EA">
            <w:pPr>
              <w:spacing w:after="60"/>
              <w:jc w:val="both"/>
              <w:rPr>
                <w:rFonts w:asciiTheme="majorBidi" w:hAnsiTheme="majorBidi" w:cstheme="majorBidi"/>
                <w:color w:val="000000" w:themeColor="text1"/>
                <w:sz w:val="22"/>
              </w:rPr>
            </w:pPr>
          </w:p>
        </w:tc>
        <w:tc>
          <w:tcPr>
            <w:tcW w:w="968" w:type="dxa"/>
            <w:tcBorders>
              <w:top w:val="nil"/>
              <w:left w:val="nil"/>
              <w:bottom w:val="nil"/>
              <w:right w:val="nil"/>
            </w:tcBorders>
            <w:shd w:val="clear" w:color="000000" w:fill="FFFFFF"/>
            <w:noWrap/>
          </w:tcPr>
          <w:p w14:paraId="51F6F0DC"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518" w:type="dxa"/>
            <w:tcBorders>
              <w:top w:val="nil"/>
              <w:left w:val="nil"/>
              <w:bottom w:val="nil"/>
              <w:right w:val="nil"/>
            </w:tcBorders>
            <w:shd w:val="clear" w:color="000000" w:fill="FFFFFF"/>
            <w:noWrap/>
          </w:tcPr>
          <w:p w14:paraId="098307C2" w14:textId="77777777" w:rsidR="00686283" w:rsidRPr="00B40DD7" w:rsidRDefault="00686283" w:rsidP="001879EA">
            <w:pPr>
              <w:spacing w:after="60"/>
              <w:jc w:val="both"/>
              <w:rPr>
                <w:rFonts w:asciiTheme="majorBidi" w:hAnsiTheme="majorBidi" w:cstheme="majorBidi"/>
                <w:color w:val="000000" w:themeColor="text1"/>
                <w:sz w:val="22"/>
              </w:rPr>
            </w:pPr>
          </w:p>
        </w:tc>
        <w:tc>
          <w:tcPr>
            <w:tcW w:w="862" w:type="dxa"/>
            <w:tcBorders>
              <w:top w:val="nil"/>
              <w:left w:val="nil"/>
              <w:bottom w:val="nil"/>
              <w:right w:val="nil"/>
            </w:tcBorders>
            <w:shd w:val="clear" w:color="000000" w:fill="FFFFFF"/>
            <w:noWrap/>
          </w:tcPr>
          <w:p w14:paraId="02CD5D2B"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1078" w:type="dxa"/>
            <w:tcBorders>
              <w:top w:val="nil"/>
              <w:left w:val="nil"/>
              <w:bottom w:val="nil"/>
              <w:right w:val="nil"/>
            </w:tcBorders>
            <w:shd w:val="clear" w:color="000000" w:fill="FFFFFF"/>
            <w:noWrap/>
          </w:tcPr>
          <w:p w14:paraId="1B7BFD3C"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858" w:type="dxa"/>
            <w:tcBorders>
              <w:top w:val="nil"/>
              <w:left w:val="nil"/>
              <w:bottom w:val="nil"/>
              <w:right w:val="nil"/>
            </w:tcBorders>
            <w:shd w:val="clear" w:color="000000" w:fill="FFFFFF"/>
          </w:tcPr>
          <w:p w14:paraId="7EAEACA1" w14:textId="77777777" w:rsidR="00686283" w:rsidRPr="00B40DD7" w:rsidRDefault="00686283" w:rsidP="001879EA">
            <w:pPr>
              <w:spacing w:after="60"/>
              <w:jc w:val="both"/>
              <w:rPr>
                <w:rFonts w:asciiTheme="majorBidi" w:hAnsiTheme="majorBidi" w:cstheme="majorBidi"/>
                <w:color w:val="000000" w:themeColor="text1"/>
                <w:sz w:val="22"/>
              </w:rPr>
            </w:pPr>
          </w:p>
        </w:tc>
        <w:tc>
          <w:tcPr>
            <w:tcW w:w="780" w:type="dxa"/>
            <w:tcBorders>
              <w:top w:val="nil"/>
              <w:left w:val="nil"/>
              <w:bottom w:val="nil"/>
              <w:right w:val="nil"/>
            </w:tcBorders>
            <w:shd w:val="clear" w:color="000000" w:fill="FFFFFF"/>
            <w:noWrap/>
          </w:tcPr>
          <w:p w14:paraId="0E21986C"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546" w:type="dxa"/>
            <w:tcBorders>
              <w:top w:val="nil"/>
              <w:left w:val="nil"/>
              <w:bottom w:val="nil"/>
              <w:right w:val="nil"/>
            </w:tcBorders>
            <w:shd w:val="clear" w:color="000000" w:fill="FFFFFF"/>
            <w:noWrap/>
          </w:tcPr>
          <w:p w14:paraId="39E12B7F" w14:textId="77777777" w:rsidR="00686283" w:rsidRPr="00B40DD7" w:rsidRDefault="00686283" w:rsidP="001879EA">
            <w:pPr>
              <w:spacing w:after="60"/>
              <w:jc w:val="both"/>
              <w:rPr>
                <w:rFonts w:asciiTheme="majorBidi" w:hAnsiTheme="majorBidi" w:cstheme="majorBidi"/>
                <w:color w:val="000000" w:themeColor="text1"/>
                <w:sz w:val="22"/>
              </w:rPr>
            </w:pPr>
          </w:p>
        </w:tc>
        <w:tc>
          <w:tcPr>
            <w:tcW w:w="970" w:type="dxa"/>
            <w:tcBorders>
              <w:top w:val="nil"/>
              <w:left w:val="nil"/>
              <w:bottom w:val="nil"/>
              <w:right w:val="nil"/>
            </w:tcBorders>
            <w:shd w:val="clear" w:color="000000" w:fill="FFFFFF"/>
            <w:noWrap/>
          </w:tcPr>
          <w:p w14:paraId="0E4E6CD3"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881" w:type="dxa"/>
            <w:tcBorders>
              <w:top w:val="nil"/>
              <w:left w:val="nil"/>
              <w:bottom w:val="nil"/>
              <w:right w:val="nil"/>
            </w:tcBorders>
            <w:shd w:val="clear" w:color="000000" w:fill="FFFFFF"/>
            <w:noWrap/>
          </w:tcPr>
          <w:p w14:paraId="71B18B47"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858" w:type="dxa"/>
            <w:tcBorders>
              <w:top w:val="nil"/>
              <w:left w:val="nil"/>
              <w:bottom w:val="nil"/>
              <w:right w:val="nil"/>
            </w:tcBorders>
            <w:shd w:val="clear" w:color="000000" w:fill="FFFFFF"/>
          </w:tcPr>
          <w:p w14:paraId="43391E93" w14:textId="77777777" w:rsidR="00686283" w:rsidRPr="00B40DD7" w:rsidRDefault="00686283" w:rsidP="001879EA">
            <w:pPr>
              <w:spacing w:after="60"/>
              <w:jc w:val="both"/>
              <w:rPr>
                <w:rFonts w:asciiTheme="majorBidi" w:hAnsiTheme="majorBidi" w:cstheme="majorBidi"/>
                <w:color w:val="000000" w:themeColor="text1"/>
                <w:sz w:val="22"/>
              </w:rPr>
            </w:pPr>
          </w:p>
        </w:tc>
        <w:tc>
          <w:tcPr>
            <w:tcW w:w="897" w:type="dxa"/>
            <w:gridSpan w:val="2"/>
            <w:tcBorders>
              <w:top w:val="nil"/>
              <w:left w:val="nil"/>
              <w:bottom w:val="nil"/>
              <w:right w:val="nil"/>
            </w:tcBorders>
            <w:shd w:val="clear" w:color="000000" w:fill="FFFFFF"/>
            <w:noWrap/>
          </w:tcPr>
          <w:p w14:paraId="0156C9F1"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r>
      <w:tr w:rsidR="00686283" w:rsidRPr="004B36B2" w14:paraId="7F82940E" w14:textId="77777777" w:rsidTr="001B6C3F">
        <w:trPr>
          <w:trHeight w:val="80"/>
        </w:trPr>
        <w:tc>
          <w:tcPr>
            <w:tcW w:w="2275" w:type="dxa"/>
            <w:tcBorders>
              <w:top w:val="nil"/>
              <w:left w:val="nil"/>
              <w:bottom w:val="nil"/>
              <w:right w:val="nil"/>
            </w:tcBorders>
            <w:shd w:val="clear" w:color="000000" w:fill="FFFFFF"/>
            <w:noWrap/>
          </w:tcPr>
          <w:p w14:paraId="5338A69E"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Time and Village FE</w:t>
            </w:r>
            <w:r w:rsidR="00E863AA" w:rsidRPr="00B40DD7">
              <w:rPr>
                <w:rFonts w:asciiTheme="majorBidi" w:hAnsiTheme="majorBidi" w:cstheme="majorBidi"/>
                <w:color w:val="000000" w:themeColor="text1"/>
                <w:sz w:val="22"/>
              </w:rPr>
              <w:t>s</w:t>
            </w:r>
          </w:p>
        </w:tc>
        <w:tc>
          <w:tcPr>
            <w:tcW w:w="875" w:type="dxa"/>
            <w:tcBorders>
              <w:top w:val="nil"/>
              <w:left w:val="nil"/>
              <w:bottom w:val="nil"/>
              <w:right w:val="nil"/>
            </w:tcBorders>
            <w:shd w:val="clear" w:color="000000" w:fill="FFFFFF"/>
            <w:noWrap/>
          </w:tcPr>
          <w:p w14:paraId="3F5CE2BA"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968" w:type="dxa"/>
            <w:tcBorders>
              <w:top w:val="nil"/>
              <w:left w:val="nil"/>
              <w:bottom w:val="nil"/>
              <w:right w:val="nil"/>
            </w:tcBorders>
            <w:shd w:val="clear" w:color="000000" w:fill="FFFFFF"/>
            <w:noWrap/>
          </w:tcPr>
          <w:p w14:paraId="6972BF8D"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796" w:type="dxa"/>
            <w:tcBorders>
              <w:top w:val="nil"/>
              <w:left w:val="nil"/>
              <w:bottom w:val="nil"/>
              <w:right w:val="nil"/>
            </w:tcBorders>
            <w:shd w:val="clear" w:color="000000" w:fill="FFFFFF"/>
          </w:tcPr>
          <w:p w14:paraId="722B7716" w14:textId="77777777" w:rsidR="00686283" w:rsidRPr="00B40DD7" w:rsidRDefault="00686283" w:rsidP="001879EA">
            <w:pPr>
              <w:spacing w:after="60"/>
              <w:jc w:val="both"/>
              <w:rPr>
                <w:rFonts w:asciiTheme="majorBidi" w:hAnsiTheme="majorBidi" w:cstheme="majorBidi"/>
                <w:color w:val="000000" w:themeColor="text1"/>
                <w:sz w:val="22"/>
              </w:rPr>
            </w:pPr>
          </w:p>
        </w:tc>
        <w:tc>
          <w:tcPr>
            <w:tcW w:w="968" w:type="dxa"/>
            <w:tcBorders>
              <w:top w:val="nil"/>
              <w:left w:val="nil"/>
              <w:bottom w:val="nil"/>
              <w:right w:val="nil"/>
            </w:tcBorders>
            <w:shd w:val="clear" w:color="000000" w:fill="FFFFFF"/>
            <w:noWrap/>
          </w:tcPr>
          <w:p w14:paraId="0884724B"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518" w:type="dxa"/>
            <w:tcBorders>
              <w:top w:val="nil"/>
              <w:left w:val="nil"/>
              <w:bottom w:val="nil"/>
              <w:right w:val="nil"/>
            </w:tcBorders>
            <w:shd w:val="clear" w:color="000000" w:fill="FFFFFF"/>
            <w:noWrap/>
          </w:tcPr>
          <w:p w14:paraId="5C215EEB" w14:textId="77777777" w:rsidR="00686283" w:rsidRPr="00B40DD7" w:rsidRDefault="00686283" w:rsidP="001879EA">
            <w:pPr>
              <w:spacing w:after="60"/>
              <w:jc w:val="both"/>
              <w:rPr>
                <w:rFonts w:asciiTheme="majorBidi" w:hAnsiTheme="majorBidi" w:cstheme="majorBidi"/>
                <w:color w:val="000000" w:themeColor="text1"/>
                <w:sz w:val="22"/>
              </w:rPr>
            </w:pPr>
          </w:p>
        </w:tc>
        <w:tc>
          <w:tcPr>
            <w:tcW w:w="862" w:type="dxa"/>
            <w:tcBorders>
              <w:top w:val="nil"/>
              <w:left w:val="nil"/>
              <w:bottom w:val="nil"/>
              <w:right w:val="nil"/>
            </w:tcBorders>
            <w:shd w:val="clear" w:color="000000" w:fill="FFFFFF"/>
            <w:noWrap/>
          </w:tcPr>
          <w:p w14:paraId="074335A4"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1078" w:type="dxa"/>
            <w:tcBorders>
              <w:top w:val="nil"/>
              <w:left w:val="nil"/>
              <w:bottom w:val="nil"/>
              <w:right w:val="nil"/>
            </w:tcBorders>
            <w:shd w:val="clear" w:color="000000" w:fill="FFFFFF"/>
            <w:noWrap/>
          </w:tcPr>
          <w:p w14:paraId="386D8701"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858" w:type="dxa"/>
            <w:tcBorders>
              <w:top w:val="nil"/>
              <w:left w:val="nil"/>
              <w:bottom w:val="nil"/>
              <w:right w:val="nil"/>
            </w:tcBorders>
            <w:shd w:val="clear" w:color="000000" w:fill="FFFFFF"/>
          </w:tcPr>
          <w:p w14:paraId="5CE11491" w14:textId="77777777" w:rsidR="00686283" w:rsidRPr="00B40DD7" w:rsidRDefault="00686283" w:rsidP="001879EA">
            <w:pPr>
              <w:spacing w:after="60"/>
              <w:jc w:val="both"/>
              <w:rPr>
                <w:rFonts w:asciiTheme="majorBidi" w:hAnsiTheme="majorBidi" w:cstheme="majorBidi"/>
                <w:color w:val="000000" w:themeColor="text1"/>
                <w:sz w:val="22"/>
              </w:rPr>
            </w:pPr>
          </w:p>
        </w:tc>
        <w:tc>
          <w:tcPr>
            <w:tcW w:w="780" w:type="dxa"/>
            <w:tcBorders>
              <w:top w:val="nil"/>
              <w:left w:val="nil"/>
              <w:bottom w:val="nil"/>
              <w:right w:val="nil"/>
            </w:tcBorders>
            <w:shd w:val="clear" w:color="000000" w:fill="FFFFFF"/>
            <w:noWrap/>
          </w:tcPr>
          <w:p w14:paraId="41DEEB66"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546" w:type="dxa"/>
            <w:tcBorders>
              <w:top w:val="nil"/>
              <w:left w:val="nil"/>
              <w:bottom w:val="nil"/>
              <w:right w:val="nil"/>
            </w:tcBorders>
            <w:shd w:val="clear" w:color="000000" w:fill="FFFFFF"/>
            <w:noWrap/>
          </w:tcPr>
          <w:p w14:paraId="1FF9710A" w14:textId="77777777" w:rsidR="00686283" w:rsidRPr="00B40DD7" w:rsidRDefault="00686283" w:rsidP="001879EA">
            <w:pPr>
              <w:spacing w:after="60"/>
              <w:jc w:val="both"/>
              <w:rPr>
                <w:rFonts w:asciiTheme="majorBidi" w:hAnsiTheme="majorBidi" w:cstheme="majorBidi"/>
                <w:color w:val="000000" w:themeColor="text1"/>
                <w:sz w:val="22"/>
              </w:rPr>
            </w:pPr>
          </w:p>
        </w:tc>
        <w:tc>
          <w:tcPr>
            <w:tcW w:w="970" w:type="dxa"/>
            <w:tcBorders>
              <w:top w:val="nil"/>
              <w:left w:val="nil"/>
              <w:bottom w:val="nil"/>
              <w:right w:val="nil"/>
            </w:tcBorders>
            <w:shd w:val="clear" w:color="000000" w:fill="FFFFFF"/>
            <w:noWrap/>
          </w:tcPr>
          <w:p w14:paraId="3F723CF6"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881" w:type="dxa"/>
            <w:tcBorders>
              <w:top w:val="nil"/>
              <w:left w:val="nil"/>
              <w:bottom w:val="nil"/>
              <w:right w:val="nil"/>
            </w:tcBorders>
            <w:shd w:val="clear" w:color="000000" w:fill="FFFFFF"/>
            <w:noWrap/>
          </w:tcPr>
          <w:p w14:paraId="1C998947"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c>
          <w:tcPr>
            <w:tcW w:w="858" w:type="dxa"/>
            <w:tcBorders>
              <w:top w:val="nil"/>
              <w:left w:val="nil"/>
              <w:bottom w:val="nil"/>
              <w:right w:val="nil"/>
            </w:tcBorders>
            <w:shd w:val="clear" w:color="000000" w:fill="FFFFFF"/>
          </w:tcPr>
          <w:p w14:paraId="49342F73" w14:textId="77777777" w:rsidR="00686283" w:rsidRPr="00B40DD7" w:rsidRDefault="00686283" w:rsidP="001879EA">
            <w:pPr>
              <w:spacing w:after="60"/>
              <w:jc w:val="both"/>
              <w:rPr>
                <w:rFonts w:asciiTheme="majorBidi" w:hAnsiTheme="majorBidi" w:cstheme="majorBidi"/>
                <w:color w:val="000000" w:themeColor="text1"/>
                <w:sz w:val="22"/>
              </w:rPr>
            </w:pPr>
          </w:p>
        </w:tc>
        <w:tc>
          <w:tcPr>
            <w:tcW w:w="897" w:type="dxa"/>
            <w:gridSpan w:val="2"/>
            <w:tcBorders>
              <w:top w:val="nil"/>
              <w:left w:val="nil"/>
              <w:bottom w:val="nil"/>
              <w:right w:val="nil"/>
            </w:tcBorders>
            <w:shd w:val="clear" w:color="000000" w:fill="FFFFFF"/>
            <w:noWrap/>
          </w:tcPr>
          <w:p w14:paraId="720D33A1"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Yes</w:t>
            </w:r>
          </w:p>
        </w:tc>
      </w:tr>
      <w:tr w:rsidR="00686283" w:rsidRPr="004B36B2" w14:paraId="41809002" w14:textId="77777777" w:rsidTr="001B6C3F">
        <w:trPr>
          <w:trHeight w:val="80"/>
        </w:trPr>
        <w:tc>
          <w:tcPr>
            <w:tcW w:w="2275" w:type="dxa"/>
            <w:tcBorders>
              <w:top w:val="nil"/>
              <w:left w:val="nil"/>
              <w:bottom w:val="single" w:sz="4" w:space="0" w:color="auto"/>
              <w:right w:val="nil"/>
            </w:tcBorders>
            <w:shd w:val="clear" w:color="000000" w:fill="FFFFFF"/>
            <w:noWrap/>
            <w:vAlign w:val="bottom"/>
            <w:hideMark/>
          </w:tcPr>
          <w:p w14:paraId="4F76E4EE"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Observation</w:t>
            </w:r>
          </w:p>
        </w:tc>
        <w:tc>
          <w:tcPr>
            <w:tcW w:w="875" w:type="dxa"/>
            <w:tcBorders>
              <w:top w:val="nil"/>
              <w:left w:val="nil"/>
              <w:bottom w:val="single" w:sz="4" w:space="0" w:color="auto"/>
              <w:right w:val="nil"/>
            </w:tcBorders>
            <w:shd w:val="clear" w:color="000000" w:fill="FFFFFF"/>
            <w:noWrap/>
            <w:vAlign w:val="bottom"/>
            <w:hideMark/>
          </w:tcPr>
          <w:p w14:paraId="1F396471"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968" w:type="dxa"/>
            <w:tcBorders>
              <w:top w:val="nil"/>
              <w:left w:val="nil"/>
              <w:bottom w:val="single" w:sz="4" w:space="0" w:color="auto"/>
              <w:right w:val="nil"/>
            </w:tcBorders>
            <w:shd w:val="clear" w:color="000000" w:fill="FFFFFF"/>
            <w:noWrap/>
            <w:vAlign w:val="bottom"/>
            <w:hideMark/>
          </w:tcPr>
          <w:p w14:paraId="77CEFEB1"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796" w:type="dxa"/>
            <w:tcBorders>
              <w:top w:val="nil"/>
              <w:left w:val="nil"/>
              <w:bottom w:val="single" w:sz="4" w:space="0" w:color="auto"/>
              <w:right w:val="nil"/>
            </w:tcBorders>
            <w:shd w:val="clear" w:color="000000" w:fill="FFFFFF"/>
          </w:tcPr>
          <w:p w14:paraId="5B0DBC9E" w14:textId="77777777" w:rsidR="00686283" w:rsidRPr="00B40DD7" w:rsidRDefault="00686283" w:rsidP="001879EA">
            <w:pPr>
              <w:spacing w:after="60"/>
              <w:jc w:val="both"/>
              <w:rPr>
                <w:rFonts w:asciiTheme="majorBidi" w:hAnsiTheme="majorBidi" w:cstheme="majorBidi"/>
                <w:color w:val="000000" w:themeColor="text1"/>
                <w:sz w:val="22"/>
              </w:rPr>
            </w:pPr>
          </w:p>
        </w:tc>
        <w:tc>
          <w:tcPr>
            <w:tcW w:w="968" w:type="dxa"/>
            <w:tcBorders>
              <w:top w:val="nil"/>
              <w:left w:val="nil"/>
              <w:bottom w:val="single" w:sz="4" w:space="0" w:color="auto"/>
              <w:right w:val="nil"/>
            </w:tcBorders>
            <w:shd w:val="clear" w:color="000000" w:fill="FFFFFF"/>
            <w:noWrap/>
            <w:vAlign w:val="bottom"/>
            <w:hideMark/>
          </w:tcPr>
          <w:p w14:paraId="3909DE07"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518" w:type="dxa"/>
            <w:tcBorders>
              <w:top w:val="nil"/>
              <w:left w:val="nil"/>
              <w:bottom w:val="single" w:sz="4" w:space="0" w:color="auto"/>
              <w:right w:val="nil"/>
            </w:tcBorders>
            <w:shd w:val="clear" w:color="000000" w:fill="FFFFFF"/>
            <w:noWrap/>
            <w:vAlign w:val="bottom"/>
            <w:hideMark/>
          </w:tcPr>
          <w:p w14:paraId="4A978A35"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862" w:type="dxa"/>
            <w:tcBorders>
              <w:top w:val="nil"/>
              <w:left w:val="nil"/>
              <w:bottom w:val="single" w:sz="4" w:space="0" w:color="auto"/>
              <w:right w:val="nil"/>
            </w:tcBorders>
            <w:shd w:val="clear" w:color="000000" w:fill="FFFFFF"/>
            <w:noWrap/>
            <w:vAlign w:val="bottom"/>
            <w:hideMark/>
          </w:tcPr>
          <w:p w14:paraId="329E0106"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1078" w:type="dxa"/>
            <w:tcBorders>
              <w:top w:val="nil"/>
              <w:left w:val="nil"/>
              <w:bottom w:val="single" w:sz="4" w:space="0" w:color="auto"/>
              <w:right w:val="nil"/>
            </w:tcBorders>
            <w:shd w:val="clear" w:color="000000" w:fill="FFFFFF"/>
            <w:noWrap/>
            <w:vAlign w:val="bottom"/>
            <w:hideMark/>
          </w:tcPr>
          <w:p w14:paraId="729A20FD"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858" w:type="dxa"/>
            <w:tcBorders>
              <w:top w:val="nil"/>
              <w:left w:val="nil"/>
              <w:bottom w:val="single" w:sz="4" w:space="0" w:color="auto"/>
              <w:right w:val="nil"/>
            </w:tcBorders>
            <w:shd w:val="clear" w:color="000000" w:fill="FFFFFF"/>
          </w:tcPr>
          <w:p w14:paraId="1DF073A3" w14:textId="77777777" w:rsidR="00686283" w:rsidRPr="00B40DD7" w:rsidRDefault="00686283" w:rsidP="001879EA">
            <w:pPr>
              <w:spacing w:after="60"/>
              <w:jc w:val="both"/>
              <w:rPr>
                <w:rFonts w:asciiTheme="majorBidi" w:hAnsiTheme="majorBidi" w:cstheme="majorBidi"/>
                <w:color w:val="000000" w:themeColor="text1"/>
                <w:sz w:val="22"/>
              </w:rPr>
            </w:pPr>
          </w:p>
        </w:tc>
        <w:tc>
          <w:tcPr>
            <w:tcW w:w="780" w:type="dxa"/>
            <w:tcBorders>
              <w:top w:val="nil"/>
              <w:left w:val="nil"/>
              <w:bottom w:val="single" w:sz="4" w:space="0" w:color="auto"/>
              <w:right w:val="nil"/>
            </w:tcBorders>
            <w:shd w:val="clear" w:color="000000" w:fill="FFFFFF"/>
            <w:noWrap/>
            <w:vAlign w:val="bottom"/>
            <w:hideMark/>
          </w:tcPr>
          <w:p w14:paraId="2C90F315"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546" w:type="dxa"/>
            <w:tcBorders>
              <w:top w:val="nil"/>
              <w:left w:val="nil"/>
              <w:bottom w:val="single" w:sz="4" w:space="0" w:color="auto"/>
              <w:right w:val="nil"/>
            </w:tcBorders>
            <w:shd w:val="clear" w:color="000000" w:fill="FFFFFF"/>
            <w:noWrap/>
            <w:vAlign w:val="bottom"/>
            <w:hideMark/>
          </w:tcPr>
          <w:p w14:paraId="4FCA2F50"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 </w:t>
            </w:r>
          </w:p>
        </w:tc>
        <w:tc>
          <w:tcPr>
            <w:tcW w:w="970" w:type="dxa"/>
            <w:tcBorders>
              <w:top w:val="nil"/>
              <w:left w:val="nil"/>
              <w:bottom w:val="single" w:sz="4" w:space="0" w:color="auto"/>
              <w:right w:val="nil"/>
            </w:tcBorders>
            <w:shd w:val="clear" w:color="000000" w:fill="FFFFFF"/>
            <w:noWrap/>
            <w:vAlign w:val="bottom"/>
            <w:hideMark/>
          </w:tcPr>
          <w:p w14:paraId="1A86033B"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881" w:type="dxa"/>
            <w:tcBorders>
              <w:top w:val="nil"/>
              <w:left w:val="nil"/>
              <w:bottom w:val="single" w:sz="4" w:space="0" w:color="auto"/>
              <w:right w:val="nil"/>
            </w:tcBorders>
            <w:shd w:val="clear" w:color="000000" w:fill="FFFFFF"/>
            <w:noWrap/>
            <w:vAlign w:val="bottom"/>
            <w:hideMark/>
          </w:tcPr>
          <w:p w14:paraId="2236A8E1"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c>
          <w:tcPr>
            <w:tcW w:w="858" w:type="dxa"/>
            <w:tcBorders>
              <w:top w:val="nil"/>
              <w:left w:val="nil"/>
              <w:bottom w:val="single" w:sz="4" w:space="0" w:color="auto"/>
              <w:right w:val="nil"/>
            </w:tcBorders>
            <w:shd w:val="clear" w:color="000000" w:fill="FFFFFF"/>
          </w:tcPr>
          <w:p w14:paraId="25F98D4A" w14:textId="77777777" w:rsidR="00686283" w:rsidRPr="00B40DD7" w:rsidRDefault="00686283" w:rsidP="001879EA">
            <w:pPr>
              <w:spacing w:after="60"/>
              <w:jc w:val="both"/>
              <w:rPr>
                <w:rFonts w:asciiTheme="majorBidi" w:hAnsiTheme="majorBidi" w:cstheme="majorBidi"/>
                <w:color w:val="000000" w:themeColor="text1"/>
                <w:sz w:val="22"/>
              </w:rPr>
            </w:pPr>
          </w:p>
        </w:tc>
        <w:tc>
          <w:tcPr>
            <w:tcW w:w="897" w:type="dxa"/>
            <w:gridSpan w:val="2"/>
            <w:tcBorders>
              <w:top w:val="nil"/>
              <w:left w:val="nil"/>
              <w:bottom w:val="single" w:sz="4" w:space="0" w:color="auto"/>
              <w:right w:val="nil"/>
            </w:tcBorders>
            <w:shd w:val="clear" w:color="000000" w:fill="FFFFFF"/>
            <w:noWrap/>
            <w:vAlign w:val="bottom"/>
            <w:hideMark/>
          </w:tcPr>
          <w:p w14:paraId="71AE29A5" w14:textId="77777777" w:rsidR="00686283" w:rsidRPr="00B40DD7" w:rsidRDefault="00686283" w:rsidP="001879EA">
            <w:pPr>
              <w:spacing w:after="60"/>
              <w:jc w:val="both"/>
              <w:rPr>
                <w:rFonts w:asciiTheme="majorBidi" w:hAnsiTheme="majorBidi" w:cstheme="majorBidi"/>
                <w:color w:val="000000" w:themeColor="text1"/>
                <w:sz w:val="22"/>
              </w:rPr>
            </w:pPr>
            <w:r w:rsidRPr="00B40DD7">
              <w:rPr>
                <w:rFonts w:asciiTheme="majorBidi" w:hAnsiTheme="majorBidi" w:cstheme="majorBidi"/>
                <w:color w:val="000000" w:themeColor="text1"/>
                <w:sz w:val="22"/>
              </w:rPr>
              <w:t>998</w:t>
            </w:r>
          </w:p>
        </w:tc>
      </w:tr>
      <w:tr w:rsidR="00686283" w:rsidRPr="004B36B2" w14:paraId="2B5E23E2" w14:textId="77777777" w:rsidTr="003914B0">
        <w:trPr>
          <w:trHeight w:val="757"/>
        </w:trPr>
        <w:tc>
          <w:tcPr>
            <w:tcW w:w="14130" w:type="dxa"/>
            <w:gridSpan w:val="16"/>
            <w:tcBorders>
              <w:top w:val="nil"/>
              <w:left w:val="nil"/>
              <w:bottom w:val="nil"/>
              <w:right w:val="nil"/>
            </w:tcBorders>
            <w:shd w:val="clear" w:color="000000" w:fill="FFFFFF"/>
          </w:tcPr>
          <w:p w14:paraId="6B5DBCC5" w14:textId="77777777" w:rsidR="005111CC" w:rsidRPr="005111CC" w:rsidRDefault="005111CC" w:rsidP="001879EA">
            <w:pPr>
              <w:jc w:val="both"/>
              <w:rPr>
                <w:rFonts w:asciiTheme="majorBidi" w:eastAsia="Times New Roman" w:hAnsiTheme="majorBidi" w:cstheme="majorBidi"/>
                <w:i/>
                <w:iCs/>
                <w:color w:val="000000" w:themeColor="text1"/>
                <w:sz w:val="6"/>
                <w:szCs w:val="6"/>
              </w:rPr>
            </w:pPr>
          </w:p>
          <w:p w14:paraId="7C217A4F" w14:textId="7DACDB15" w:rsidR="00686283" w:rsidRPr="004B36B2" w:rsidRDefault="00062FE0" w:rsidP="001879EA">
            <w:pPr>
              <w:jc w:val="both"/>
              <w:rPr>
                <w:rFonts w:asciiTheme="majorBidi" w:hAnsiTheme="majorBidi" w:cstheme="majorBidi"/>
                <w:color w:val="000000" w:themeColor="text1"/>
                <w:sz w:val="18"/>
                <w:szCs w:val="18"/>
              </w:rPr>
            </w:pPr>
            <w:r>
              <w:rPr>
                <w:rFonts w:asciiTheme="majorBidi" w:eastAsia="Times New Roman" w:hAnsiTheme="majorBidi" w:cstheme="majorBidi"/>
                <w:i/>
                <w:iCs/>
                <w:color w:val="000000" w:themeColor="text1"/>
                <w:sz w:val="18"/>
                <w:szCs w:val="18"/>
              </w:rPr>
              <w:t>Notes</w:t>
            </w:r>
            <w:r w:rsidR="001879EA">
              <w:rPr>
                <w:rFonts w:asciiTheme="majorBidi" w:eastAsia="Times New Roman" w:hAnsiTheme="majorBidi" w:cstheme="majorBidi"/>
                <w:i/>
                <w:iCs/>
                <w:color w:val="000000" w:themeColor="text1"/>
                <w:sz w:val="18"/>
                <w:szCs w:val="18"/>
              </w:rPr>
              <w:t xml:space="preserve">: </w:t>
            </w:r>
            <w:r w:rsidR="00527140" w:rsidRPr="004B36B2">
              <w:rPr>
                <w:rFonts w:asciiTheme="majorBidi" w:eastAsia="Times New Roman" w:hAnsiTheme="majorBidi" w:cstheme="majorBidi"/>
                <w:color w:val="000000" w:themeColor="text1"/>
                <w:sz w:val="18"/>
                <w:szCs w:val="18"/>
              </w:rPr>
              <w:t xml:space="preserve">This table shows the second-stage results for net enrolment rate </w:t>
            </w:r>
            <w:r w:rsidR="00FB29A3" w:rsidRPr="004B36B2">
              <w:rPr>
                <w:rFonts w:asciiTheme="majorBidi" w:eastAsia="Times New Roman" w:hAnsiTheme="majorBidi" w:cstheme="majorBidi"/>
                <w:color w:val="000000" w:themeColor="text1"/>
                <w:sz w:val="18"/>
                <w:szCs w:val="18"/>
              </w:rPr>
              <w:t xml:space="preserve">for child aged 10 to 16. </w:t>
            </w:r>
            <w:r w:rsidR="00FB29A3" w:rsidRPr="004B36B2">
              <w:rPr>
                <w:rFonts w:asciiTheme="majorBidi" w:hAnsiTheme="majorBidi" w:cstheme="majorBidi"/>
                <w:color w:val="000000" w:themeColor="text1"/>
                <w:sz w:val="18"/>
                <w:szCs w:val="18"/>
              </w:rPr>
              <w:t>Lower-Secondary NER indicates enrolment of child aged 10-12 in lower secondary level, Secondary NER indicates the enrolment of child aged 13-14 in secondary level and Higher-Secondary</w:t>
            </w:r>
            <w:r w:rsidR="001879EA">
              <w:rPr>
                <w:rFonts w:asciiTheme="majorBidi" w:hAnsiTheme="majorBidi" w:cstheme="majorBidi"/>
                <w:color w:val="000000" w:themeColor="text1"/>
                <w:sz w:val="18"/>
                <w:szCs w:val="18"/>
              </w:rPr>
              <w:t xml:space="preserve">. </w:t>
            </w:r>
            <w:r w:rsidR="00FB29A3" w:rsidRPr="004B36B2">
              <w:rPr>
                <w:rFonts w:asciiTheme="majorBidi" w:hAnsiTheme="majorBidi" w:cstheme="majorBidi"/>
                <w:color w:val="000000" w:themeColor="text1"/>
                <w:sz w:val="18"/>
                <w:szCs w:val="18"/>
              </w:rPr>
              <w:t xml:space="preserve">NER indicates the enrolment of child aged 15-16 in higher secondary level. </w:t>
            </w:r>
            <w:r w:rsidR="00527140" w:rsidRPr="004B36B2">
              <w:rPr>
                <w:rFonts w:asciiTheme="majorBidi" w:eastAsia="Times New Roman" w:hAnsiTheme="majorBidi" w:cstheme="majorBidi"/>
                <w:color w:val="000000" w:themeColor="text1"/>
                <w:sz w:val="18"/>
                <w:szCs w:val="18"/>
              </w:rPr>
              <w:t>The OLS FE and FE</w:t>
            </w:r>
            <w:r w:rsidR="007A7CF6" w:rsidRPr="004B36B2">
              <w:rPr>
                <w:rFonts w:asciiTheme="majorBidi" w:eastAsia="Times New Roman" w:hAnsiTheme="majorBidi" w:cstheme="majorBidi"/>
                <w:color w:val="000000" w:themeColor="text1"/>
                <w:sz w:val="18"/>
                <w:szCs w:val="18"/>
              </w:rPr>
              <w:t>-IV</w:t>
            </w:r>
            <w:r w:rsidR="00527140" w:rsidRPr="004B36B2">
              <w:rPr>
                <w:rFonts w:asciiTheme="majorBidi" w:eastAsia="Times New Roman" w:hAnsiTheme="majorBidi" w:cstheme="majorBidi"/>
                <w:color w:val="000000" w:themeColor="text1"/>
                <w:sz w:val="18"/>
                <w:szCs w:val="18"/>
              </w:rPr>
              <w:t xml:space="preserve"> are also presented in the table to show the difference in the coefficients if migration is not instrumented. In FE-IV we have instrumented migration with predicted migration to India and MEOA. </w:t>
            </w:r>
            <w:r w:rsidR="001A054A" w:rsidRPr="004B36B2">
              <w:rPr>
                <w:rFonts w:asciiTheme="majorBidi" w:eastAsia="Times New Roman" w:hAnsiTheme="majorBidi" w:cstheme="majorBidi"/>
                <w:color w:val="000000" w:themeColor="text1"/>
                <w:sz w:val="18"/>
                <w:szCs w:val="18"/>
              </w:rPr>
              <w:t xml:space="preserve">The </w:t>
            </w:r>
            <w:r w:rsidR="00FD40C3" w:rsidRPr="004B36B2">
              <w:rPr>
                <w:rFonts w:asciiTheme="majorBidi" w:eastAsia="Times New Roman" w:hAnsiTheme="majorBidi" w:cstheme="majorBidi"/>
                <w:color w:val="000000" w:themeColor="text1"/>
                <w:sz w:val="18"/>
                <w:szCs w:val="18"/>
              </w:rPr>
              <w:t>t-statistics in ( ) are derived from cluster-robust standard errors (clustered at 71 Districts), ***, **, * denote</w:t>
            </w:r>
            <w:r w:rsidR="00FD40C3" w:rsidRPr="004B36B2">
              <w:rPr>
                <w:rFonts w:asciiTheme="majorBidi" w:hAnsiTheme="majorBidi" w:cstheme="majorBidi"/>
                <w:color w:val="000000" w:themeColor="text1"/>
                <w:sz w:val="18"/>
                <w:szCs w:val="18"/>
              </w:rPr>
              <w:t xml:space="preserve"> 1%, 5%, 10%</w:t>
            </w:r>
            <w:r w:rsidR="00EC0504" w:rsidRPr="004B36B2">
              <w:rPr>
                <w:rFonts w:asciiTheme="majorBidi" w:hAnsiTheme="majorBidi" w:cstheme="majorBidi"/>
                <w:color w:val="000000" w:themeColor="text1"/>
                <w:sz w:val="18"/>
                <w:szCs w:val="18"/>
              </w:rPr>
              <w:t xml:space="preserve"> </w:t>
            </w:r>
            <w:r w:rsidR="00FD40C3" w:rsidRPr="004B36B2">
              <w:rPr>
                <w:rFonts w:asciiTheme="majorBidi" w:hAnsiTheme="majorBidi" w:cstheme="majorBidi"/>
                <w:color w:val="000000" w:themeColor="text1"/>
                <w:sz w:val="18"/>
                <w:szCs w:val="18"/>
              </w:rPr>
              <w:t>statistically significance.</w:t>
            </w:r>
            <w:r w:rsidR="001879EA">
              <w:rPr>
                <w:rFonts w:asciiTheme="majorBidi" w:hAnsiTheme="majorBidi" w:cstheme="majorBidi"/>
                <w:color w:val="000000" w:themeColor="text1"/>
                <w:sz w:val="18"/>
                <w:szCs w:val="18"/>
              </w:rPr>
              <w:t xml:space="preserve"> </w:t>
            </w:r>
            <w:r w:rsidR="00686283" w:rsidRPr="004B36B2">
              <w:rPr>
                <w:rFonts w:asciiTheme="majorBidi" w:hAnsiTheme="majorBidi" w:cstheme="majorBidi"/>
                <w:color w:val="000000" w:themeColor="text1"/>
                <w:sz w:val="18"/>
                <w:szCs w:val="18"/>
              </w:rPr>
              <w:t>Migration and remittance estimates are in percentage. Full results are available from authors.    </w:t>
            </w:r>
          </w:p>
        </w:tc>
      </w:tr>
    </w:tbl>
    <w:p w14:paraId="55936041" w14:textId="239BEB9F" w:rsidR="00340BCD" w:rsidRDefault="00340BCD" w:rsidP="00722C63">
      <w:pPr>
        <w:tabs>
          <w:tab w:val="left" w:pos="5094"/>
        </w:tabs>
        <w:jc w:val="center"/>
        <w:rPr>
          <w:rFonts w:asciiTheme="majorBidi" w:eastAsia="Calibri" w:hAnsiTheme="majorBidi" w:cstheme="majorBidi"/>
          <w:color w:val="000000" w:themeColor="text1"/>
        </w:rPr>
      </w:pPr>
    </w:p>
    <w:p w14:paraId="2FAAF107" w14:textId="4BED7135" w:rsidR="00722C63" w:rsidRDefault="00722C63" w:rsidP="00722C63">
      <w:pPr>
        <w:tabs>
          <w:tab w:val="left" w:pos="5094"/>
        </w:tabs>
        <w:jc w:val="center"/>
        <w:rPr>
          <w:rFonts w:asciiTheme="majorBidi" w:eastAsia="Calibri" w:hAnsiTheme="majorBidi" w:cstheme="majorBidi"/>
          <w:color w:val="000000" w:themeColor="text1"/>
        </w:rPr>
      </w:pPr>
    </w:p>
    <w:p w14:paraId="6F1CEC05" w14:textId="77777777" w:rsidR="00722C63" w:rsidRDefault="00722C63" w:rsidP="00722C63">
      <w:pPr>
        <w:tabs>
          <w:tab w:val="left" w:pos="5094"/>
        </w:tabs>
        <w:jc w:val="center"/>
        <w:rPr>
          <w:rFonts w:asciiTheme="majorBidi" w:eastAsia="Calibri" w:hAnsiTheme="majorBidi" w:cstheme="majorBidi"/>
          <w:color w:val="000000" w:themeColor="text1"/>
        </w:rPr>
      </w:pPr>
    </w:p>
    <w:p w14:paraId="0D72BC47" w14:textId="05ADB674" w:rsidR="00722C63" w:rsidRDefault="00722C63" w:rsidP="00283A3C">
      <w:pPr>
        <w:tabs>
          <w:tab w:val="left" w:pos="5094"/>
        </w:tabs>
        <w:jc w:val="both"/>
        <w:rPr>
          <w:rFonts w:asciiTheme="majorBidi" w:eastAsia="Calibri" w:hAnsiTheme="majorBidi" w:cstheme="majorBidi"/>
          <w:color w:val="000000" w:themeColor="text1"/>
        </w:rPr>
      </w:pPr>
    </w:p>
    <w:p w14:paraId="743D3EA1" w14:textId="6C98930F" w:rsidR="00722C63" w:rsidRDefault="00722C63" w:rsidP="00283A3C">
      <w:pPr>
        <w:tabs>
          <w:tab w:val="left" w:pos="5094"/>
        </w:tabs>
        <w:jc w:val="both"/>
        <w:rPr>
          <w:rFonts w:asciiTheme="majorBidi" w:eastAsia="Calibri" w:hAnsiTheme="majorBidi" w:cstheme="majorBidi"/>
          <w:color w:val="000000" w:themeColor="text1"/>
        </w:rPr>
      </w:pPr>
    </w:p>
    <w:p w14:paraId="344E87EF" w14:textId="43C19B70" w:rsidR="00722C63" w:rsidRDefault="00722C63" w:rsidP="00283A3C">
      <w:pPr>
        <w:tabs>
          <w:tab w:val="left" w:pos="5094"/>
        </w:tabs>
        <w:jc w:val="both"/>
        <w:rPr>
          <w:rFonts w:asciiTheme="majorBidi" w:eastAsia="Calibri" w:hAnsiTheme="majorBidi" w:cstheme="majorBidi"/>
          <w:color w:val="000000" w:themeColor="text1"/>
        </w:rPr>
      </w:pPr>
    </w:p>
    <w:p w14:paraId="7574F9B1" w14:textId="77777777" w:rsidR="00722C63" w:rsidRPr="004B36B2" w:rsidRDefault="00722C63" w:rsidP="00283A3C">
      <w:pPr>
        <w:tabs>
          <w:tab w:val="left" w:pos="5094"/>
        </w:tabs>
        <w:jc w:val="both"/>
        <w:rPr>
          <w:rFonts w:asciiTheme="majorBidi" w:eastAsia="Calibri" w:hAnsiTheme="majorBidi" w:cstheme="majorBidi"/>
          <w:color w:val="000000" w:themeColor="text1"/>
        </w:rPr>
      </w:pPr>
    </w:p>
    <w:sectPr w:rsidR="00722C63" w:rsidRPr="004B36B2" w:rsidSect="00E112A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08666" w14:textId="77777777" w:rsidR="00F33F30" w:rsidRDefault="00F33F30" w:rsidP="009F266C">
      <w:r>
        <w:separator/>
      </w:r>
    </w:p>
  </w:endnote>
  <w:endnote w:type="continuationSeparator" w:id="0">
    <w:p w14:paraId="7696518D" w14:textId="77777777" w:rsidR="00F33F30" w:rsidRDefault="00F33F30" w:rsidP="009F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9245"/>
      <w:docPartObj>
        <w:docPartGallery w:val="Page Numbers (Bottom of Page)"/>
        <w:docPartUnique/>
      </w:docPartObj>
    </w:sdtPr>
    <w:sdtEndPr>
      <w:rPr>
        <w:noProof/>
      </w:rPr>
    </w:sdtEndPr>
    <w:sdtContent>
      <w:p w14:paraId="13F42376" w14:textId="77777777" w:rsidR="004A46A6" w:rsidRDefault="004A46A6">
        <w:pPr>
          <w:pStyle w:val="Footer"/>
          <w:jc w:val="center"/>
        </w:pPr>
        <w:r>
          <w:t>1</w:t>
        </w:r>
      </w:p>
    </w:sdtContent>
  </w:sdt>
  <w:p w14:paraId="180130B9" w14:textId="77777777" w:rsidR="004A46A6" w:rsidRDefault="004A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2408"/>
      <w:docPartObj>
        <w:docPartGallery w:val="Page Numbers (Bottom of Page)"/>
        <w:docPartUnique/>
      </w:docPartObj>
    </w:sdtPr>
    <w:sdtEndPr>
      <w:rPr>
        <w:noProof/>
      </w:rPr>
    </w:sdtEndPr>
    <w:sdtContent>
      <w:p w14:paraId="04E078DC" w14:textId="2CD3AE8C" w:rsidR="004A46A6" w:rsidRDefault="004A46A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2893996" w14:textId="77777777" w:rsidR="004A46A6" w:rsidRDefault="004A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CC4AD" w14:textId="77777777" w:rsidR="00F33F30" w:rsidRDefault="00F33F30" w:rsidP="009F266C">
      <w:r>
        <w:separator/>
      </w:r>
    </w:p>
  </w:footnote>
  <w:footnote w:type="continuationSeparator" w:id="0">
    <w:p w14:paraId="53352D2A" w14:textId="77777777" w:rsidR="00F33F30" w:rsidRDefault="00F33F30" w:rsidP="009F266C">
      <w:r>
        <w:continuationSeparator/>
      </w:r>
    </w:p>
  </w:footnote>
  <w:footnote w:id="1">
    <w:p w14:paraId="1F560565" w14:textId="77777777" w:rsidR="004A46A6" w:rsidRPr="009D22DE" w:rsidRDefault="004A46A6" w:rsidP="009D22DE">
      <w:pPr>
        <w:pStyle w:val="FootnoteText"/>
        <w:ind w:left="142" w:hanging="142"/>
        <w:jc w:val="both"/>
        <w:rPr>
          <w:rFonts w:cs="Times New Roman"/>
          <w:sz w:val="22"/>
          <w:szCs w:val="22"/>
        </w:rPr>
      </w:pPr>
      <w:r w:rsidRPr="009D22DE">
        <w:rPr>
          <w:rStyle w:val="FootnoteReference"/>
          <w:rFonts w:cs="Times New Roman"/>
          <w:sz w:val="22"/>
          <w:szCs w:val="22"/>
        </w:rPr>
        <w:footnoteRef/>
      </w:r>
      <w:r w:rsidRPr="009D22DE">
        <w:rPr>
          <w:rFonts w:cs="Times New Roman"/>
          <w:sz w:val="22"/>
          <w:szCs w:val="22"/>
        </w:rPr>
        <w:t xml:space="preserve"> Migration may force children to skip school and to participate in the labour market to help make up for the monetary loss faced when economically productive co-residents leave the household to go abroad.</w:t>
      </w:r>
    </w:p>
  </w:footnote>
  <w:footnote w:id="2">
    <w:p w14:paraId="4219AF56" w14:textId="77777777" w:rsidR="004A46A6" w:rsidRPr="009D22DE" w:rsidRDefault="004A46A6" w:rsidP="009D22DE">
      <w:pPr>
        <w:pStyle w:val="FootnoteText"/>
        <w:ind w:left="142" w:hanging="142"/>
        <w:jc w:val="both"/>
        <w:rPr>
          <w:rFonts w:cs="Times New Roman"/>
          <w:sz w:val="22"/>
          <w:szCs w:val="22"/>
        </w:rPr>
      </w:pPr>
      <w:r w:rsidRPr="009D22DE">
        <w:rPr>
          <w:rStyle w:val="FootnoteReference"/>
          <w:rFonts w:cs="Times New Roman"/>
          <w:sz w:val="22"/>
          <w:szCs w:val="22"/>
        </w:rPr>
        <w:footnoteRef/>
      </w:r>
      <w:r w:rsidRPr="009D22DE">
        <w:rPr>
          <w:rFonts w:cs="Times New Roman"/>
          <w:sz w:val="22"/>
          <w:szCs w:val="22"/>
        </w:rPr>
        <w:t xml:space="preserve"> Education Act 8</w:t>
      </w:r>
      <w:r w:rsidRPr="009D22DE">
        <w:rPr>
          <w:rFonts w:cs="Times New Roman"/>
          <w:sz w:val="22"/>
          <w:szCs w:val="22"/>
          <w:vertAlign w:val="superscript"/>
        </w:rPr>
        <w:t>th</w:t>
      </w:r>
      <w:r w:rsidRPr="009D22DE">
        <w:rPr>
          <w:rFonts w:cs="Times New Roman"/>
          <w:sz w:val="22"/>
          <w:szCs w:val="22"/>
        </w:rPr>
        <w:t xml:space="preserve"> Amendment has categorised school education into Basic and secondary education. Basic education (until 8 schooling year) includes Early Childhood Development (ECD) to Lower secondary level while secondary education (9-12 schooling year) includes Secondary (9-10) and Higher secondary (11-12) level (MOE, 2016).</w:t>
      </w:r>
    </w:p>
  </w:footnote>
  <w:footnote w:id="3">
    <w:p w14:paraId="6E684032" w14:textId="77777777" w:rsidR="004A46A6" w:rsidRPr="00F03BFB" w:rsidRDefault="004A46A6" w:rsidP="00F03BFB">
      <w:pPr>
        <w:pStyle w:val="FootnoteText"/>
        <w:ind w:left="142" w:hanging="142"/>
        <w:jc w:val="both"/>
        <w:rPr>
          <w:rFonts w:cs="Times New Roman"/>
          <w:sz w:val="22"/>
          <w:szCs w:val="22"/>
        </w:rPr>
      </w:pPr>
      <w:r w:rsidRPr="00F03BFB">
        <w:rPr>
          <w:rStyle w:val="FootnoteReference"/>
          <w:rFonts w:cs="Times New Roman"/>
          <w:sz w:val="22"/>
          <w:szCs w:val="22"/>
        </w:rPr>
        <w:footnoteRef/>
      </w:r>
      <w:r w:rsidRPr="00F03BFB">
        <w:rPr>
          <w:rFonts w:cs="Times New Roman"/>
          <w:sz w:val="22"/>
          <w:szCs w:val="22"/>
        </w:rPr>
        <w:t xml:space="preserve"> After this treaty, the British army was permitted to recruit three Gurkha regiments from Nepalese hill people. </w:t>
      </w:r>
    </w:p>
  </w:footnote>
  <w:footnote w:id="4">
    <w:p w14:paraId="3073A2B8" w14:textId="20FD41F8" w:rsidR="004A46A6" w:rsidRPr="00F03BFB" w:rsidRDefault="004A46A6" w:rsidP="00E54F60">
      <w:pPr>
        <w:pStyle w:val="FootnoteText"/>
        <w:ind w:left="142" w:hanging="142"/>
        <w:jc w:val="both"/>
        <w:rPr>
          <w:rFonts w:cs="Times New Roman"/>
          <w:sz w:val="22"/>
          <w:szCs w:val="22"/>
        </w:rPr>
      </w:pPr>
      <w:r w:rsidRPr="00F03BFB">
        <w:rPr>
          <w:rStyle w:val="FootnoteReference"/>
          <w:rFonts w:cs="Times New Roman"/>
          <w:sz w:val="22"/>
          <w:szCs w:val="22"/>
        </w:rPr>
        <w:footnoteRef/>
      </w:r>
      <w:r w:rsidRPr="00F03BFB">
        <w:rPr>
          <w:rFonts w:cs="Times New Roman"/>
          <w:sz w:val="22"/>
          <w:szCs w:val="22"/>
        </w:rPr>
        <w:t xml:space="preserve"> </w:t>
      </w:r>
      <w:r w:rsidR="00E54F60">
        <w:rPr>
          <w:rFonts w:cs="Times New Roman"/>
          <w:sz w:val="22"/>
          <w:szCs w:val="22"/>
        </w:rPr>
        <w:tab/>
      </w:r>
      <w:r w:rsidRPr="00F03BFB">
        <w:rPr>
          <w:rFonts w:cs="Times New Roman"/>
          <w:sz w:val="22"/>
          <w:szCs w:val="22"/>
        </w:rPr>
        <w:t>In NLFS II, PSU’s are either individual wards, sub-wards, or groups of neighboring wards of a village (CBS, 2010).  In NLSS III, 12 households are randomly selected for interview within each PSU, while 20 household are interviewed per PSU in NLFS II.</w:t>
      </w:r>
    </w:p>
  </w:footnote>
  <w:footnote w:id="5">
    <w:p w14:paraId="5F363DB1" w14:textId="77777777" w:rsidR="004A46A6" w:rsidRPr="00F03BFB" w:rsidRDefault="004A46A6" w:rsidP="00E54F60">
      <w:pPr>
        <w:pStyle w:val="FootnoteText"/>
        <w:ind w:left="142" w:hanging="142"/>
        <w:jc w:val="both"/>
        <w:rPr>
          <w:rFonts w:cs="Times New Roman"/>
          <w:sz w:val="22"/>
          <w:szCs w:val="22"/>
        </w:rPr>
      </w:pPr>
      <w:r w:rsidRPr="00F03BFB">
        <w:rPr>
          <w:rStyle w:val="FootnoteReference"/>
          <w:rFonts w:cs="Times New Roman"/>
          <w:sz w:val="22"/>
          <w:szCs w:val="22"/>
        </w:rPr>
        <w:footnoteRef/>
      </w:r>
      <w:r w:rsidRPr="00F03BFB">
        <w:rPr>
          <w:rFonts w:cs="Times New Roman"/>
          <w:sz w:val="22"/>
          <w:szCs w:val="22"/>
        </w:rPr>
        <w:t xml:space="preserve"> We apply the definition of unemployment from NLFS II to both surveys, which is that someone did not have a job or business but either looked for work in the last 30 days or did not look for work but was available for work.     </w:t>
      </w:r>
    </w:p>
  </w:footnote>
  <w:footnote w:id="6">
    <w:p w14:paraId="3EE988C4" w14:textId="77777777" w:rsidR="004A46A6" w:rsidRPr="00F03BFB" w:rsidRDefault="004A46A6" w:rsidP="00F03BFB">
      <w:pPr>
        <w:pStyle w:val="FootnoteText"/>
        <w:ind w:left="142" w:hanging="142"/>
        <w:jc w:val="both"/>
        <w:rPr>
          <w:sz w:val="22"/>
          <w:szCs w:val="22"/>
        </w:rPr>
      </w:pPr>
      <w:r w:rsidRPr="00F03BFB">
        <w:rPr>
          <w:rStyle w:val="FootnoteReference"/>
          <w:sz w:val="22"/>
          <w:szCs w:val="22"/>
        </w:rPr>
        <w:footnoteRef/>
      </w:r>
      <w:r w:rsidRPr="00F03BFB">
        <w:rPr>
          <w:sz w:val="22"/>
          <w:szCs w:val="22"/>
        </w:rPr>
        <w:t xml:space="preserve"> </w:t>
      </w:r>
      <w:r w:rsidRPr="00F03BFB">
        <w:rPr>
          <w:rFonts w:asciiTheme="majorBidi" w:hAnsiTheme="majorBidi" w:cstheme="majorBidi"/>
          <w:sz w:val="22"/>
          <w:szCs w:val="22"/>
        </w:rPr>
        <w:t xml:space="preserve">Initially, </w:t>
      </w:r>
      <w:r w:rsidRPr="00F03BFB">
        <w:rPr>
          <w:rFonts w:cs="Times New Roman"/>
          <w:sz w:val="22"/>
          <w:szCs w:val="22"/>
        </w:rPr>
        <w:t xml:space="preserve">the increase in income and the relaxation of credit constraints from receipt of remittances would primarily help a </w:t>
      </w:r>
      <w:r w:rsidRPr="00F03BFB">
        <w:rPr>
          <w:rFonts w:cs="Times New Roman"/>
          <w:noProof/>
          <w:sz w:val="22"/>
          <w:szCs w:val="22"/>
        </w:rPr>
        <w:t>household</w:t>
      </w:r>
      <w:r w:rsidRPr="00F03BFB">
        <w:rPr>
          <w:rFonts w:cs="Times New Roman"/>
          <w:sz w:val="22"/>
          <w:szCs w:val="22"/>
        </w:rPr>
        <w:t xml:space="preserve"> with debt repayment, but as the duration of migration rises the effects on human capital may appear.</w:t>
      </w:r>
    </w:p>
  </w:footnote>
  <w:footnote w:id="7">
    <w:p w14:paraId="20309C66" w14:textId="2140EF2F" w:rsidR="004A46A6" w:rsidRPr="00101417" w:rsidRDefault="004A46A6" w:rsidP="00101417">
      <w:pPr>
        <w:pStyle w:val="FootnoteText"/>
        <w:ind w:left="142" w:hanging="142"/>
        <w:jc w:val="both"/>
        <w:rPr>
          <w:sz w:val="22"/>
          <w:szCs w:val="22"/>
        </w:rPr>
      </w:pPr>
      <w:r w:rsidRPr="00101417">
        <w:rPr>
          <w:rStyle w:val="FootnoteReference"/>
          <w:sz w:val="22"/>
          <w:szCs w:val="22"/>
        </w:rPr>
        <w:footnoteRef/>
      </w:r>
      <w:r w:rsidRPr="00101417">
        <w:rPr>
          <w:sz w:val="22"/>
          <w:szCs w:val="22"/>
        </w:rPr>
        <w:t xml:space="preserve"> </w:t>
      </w:r>
      <w:r>
        <w:rPr>
          <w:sz w:val="22"/>
          <w:szCs w:val="22"/>
        </w:rPr>
        <w:tab/>
      </w:r>
      <w:r w:rsidRPr="00101417">
        <w:rPr>
          <w:rFonts w:cs="Times New Roman"/>
          <w:color w:val="000000" w:themeColor="text1"/>
          <w:sz w:val="22"/>
          <w:szCs w:val="22"/>
          <w:shd w:val="clear" w:color="auto" w:fill="FFFFFF"/>
        </w:rPr>
        <w:t xml:space="preserve">We have also developed two alternative instruments to check the suitability of our IV. The </w:t>
      </w:r>
      <w:r w:rsidRPr="00101417">
        <w:rPr>
          <w:rFonts w:cs="Times New Roman"/>
          <w:color w:val="000000" w:themeColor="text1"/>
          <w:sz w:val="22"/>
          <w:szCs w:val="22"/>
        </w:rPr>
        <w:t xml:space="preserve">Shift share IV after interacting GDP and exchange rate shows the opposite migration trend for MEOA than what country has actually observed. The effect of these IV are weak and one instrument is insignificant. The first stage estimate from additional two IVs is available from authors.  </w:t>
      </w:r>
      <w:r w:rsidRPr="00101417">
        <w:rPr>
          <w:rFonts w:eastAsia="Times New Roman" w:cs="Times New Roman"/>
          <w:color w:val="000000" w:themeColor="text1"/>
          <w:sz w:val="22"/>
          <w:szCs w:val="22"/>
          <w:lang w:eastAsia="en-NZ"/>
        </w:rPr>
        <w:t xml:space="preserve"> </w:t>
      </w:r>
    </w:p>
  </w:footnote>
  <w:footnote w:id="8">
    <w:p w14:paraId="3D32C157" w14:textId="57E2CE09" w:rsidR="004A46A6" w:rsidRPr="00663FC8" w:rsidRDefault="004A46A6" w:rsidP="00136029">
      <w:pPr>
        <w:pStyle w:val="FootnoteText"/>
        <w:ind w:left="142" w:hanging="142"/>
        <w:rPr>
          <w:rFonts w:cs="Times New Roman"/>
          <w:sz w:val="6"/>
          <w:szCs w:val="6"/>
        </w:rPr>
      </w:pPr>
      <w:r w:rsidRPr="00663FC8">
        <w:rPr>
          <w:rStyle w:val="FootnoteReference"/>
          <w:rFonts w:cs="Times New Roman"/>
          <w:sz w:val="22"/>
          <w:szCs w:val="22"/>
        </w:rPr>
        <w:footnoteRef/>
      </w:r>
      <w:r w:rsidRPr="00663FC8">
        <w:rPr>
          <w:rFonts w:cs="Times New Roman"/>
          <w:sz w:val="22"/>
          <w:szCs w:val="22"/>
        </w:rPr>
        <w:t xml:space="preserve"> </w:t>
      </w:r>
      <w:r>
        <w:rPr>
          <w:rFonts w:cs="Times New Roman"/>
          <w:sz w:val="22"/>
          <w:szCs w:val="22"/>
        </w:rPr>
        <w:tab/>
      </w:r>
      <w:r w:rsidRPr="00663FC8">
        <w:rPr>
          <w:rFonts w:cs="Times New Roman"/>
          <w:sz w:val="22"/>
          <w:szCs w:val="22"/>
        </w:rPr>
        <w:t xml:space="preserve">Activity cost includes teaching, uniform, text book, transport, private tuition etc.  </w:t>
      </w:r>
    </w:p>
  </w:footnote>
  <w:footnote w:id="9">
    <w:p w14:paraId="1562F15B" w14:textId="774F9A44" w:rsidR="004A46A6" w:rsidRPr="00663FC8" w:rsidRDefault="004A46A6" w:rsidP="00136029">
      <w:pPr>
        <w:pStyle w:val="FootnoteText"/>
        <w:ind w:left="142" w:hanging="142"/>
        <w:rPr>
          <w:sz w:val="22"/>
          <w:szCs w:val="22"/>
        </w:rPr>
      </w:pPr>
      <w:r w:rsidRPr="00663FC8">
        <w:rPr>
          <w:rStyle w:val="FootnoteReference"/>
          <w:rFonts w:cs="Times New Roman"/>
          <w:sz w:val="22"/>
          <w:szCs w:val="22"/>
        </w:rPr>
        <w:footnoteRef/>
      </w:r>
      <w:r w:rsidRPr="00663FC8">
        <w:rPr>
          <w:rFonts w:cs="Times New Roman"/>
          <w:sz w:val="22"/>
          <w:szCs w:val="22"/>
        </w:rPr>
        <w:t xml:space="preserve"> </w:t>
      </w:r>
      <w:r>
        <w:rPr>
          <w:rFonts w:cs="Times New Roman"/>
          <w:sz w:val="22"/>
          <w:szCs w:val="22"/>
        </w:rPr>
        <w:tab/>
      </w:r>
      <w:r w:rsidRPr="00663FC8">
        <w:rPr>
          <w:rFonts w:cs="Times New Roman"/>
          <w:sz w:val="22"/>
          <w:szCs w:val="22"/>
        </w:rPr>
        <w:t>Community schools are owned and managed by government, and institutional schools are privately managed.</w:t>
      </w:r>
      <w:r w:rsidRPr="00663FC8">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512C9"/>
    <w:multiLevelType w:val="hybridMultilevel"/>
    <w:tmpl w:val="7BAE4F74"/>
    <w:lvl w:ilvl="0" w:tplc="25DCE136">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fr-FR" w:vendorID="64" w:dllVersion="6" w:nlCheck="1" w:checkStyle="0"/>
  <w:activeWritingStyle w:appName="MSWord" w:lang="en-NZ"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NZ" w:vendorID="64" w:dllVersion="4096" w:nlCheck="1" w:checkStyle="0"/>
  <w:activeWritingStyle w:appName="MSWord" w:lang="en-AU" w:vendorID="64" w:dllVersion="4096" w:nlCheck="1" w:checkStyle="0"/>
  <w:proofState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wMzWzNLU0MrE0NTBT0lEKTi0uzszPAykwMasFABVTElAtAAAA"/>
    <w:docVar w:name="EN.InstantFormat" w:val="&lt;ENInstantFormat&gt;&lt;Enabled&gt;1&lt;/Enabled&gt;&lt;ScanUnformatted&gt;1&lt;/ScanUnformatted&gt;&lt;ScanChanges&gt;1&lt;/ScanChanges&gt;&lt;Suspended&gt;1&lt;/Suspended&gt;&lt;/ENInstantFormat&gt;"/>
  </w:docVars>
  <w:rsids>
    <w:rsidRoot w:val="00BD116E"/>
    <w:rsid w:val="00000448"/>
    <w:rsid w:val="0000052A"/>
    <w:rsid w:val="00000889"/>
    <w:rsid w:val="000008A0"/>
    <w:rsid w:val="00000B30"/>
    <w:rsid w:val="00000E72"/>
    <w:rsid w:val="00000EBC"/>
    <w:rsid w:val="00001156"/>
    <w:rsid w:val="0000162E"/>
    <w:rsid w:val="00001D54"/>
    <w:rsid w:val="00001E22"/>
    <w:rsid w:val="00001E33"/>
    <w:rsid w:val="0000246B"/>
    <w:rsid w:val="00002551"/>
    <w:rsid w:val="000025DF"/>
    <w:rsid w:val="00002B01"/>
    <w:rsid w:val="00003604"/>
    <w:rsid w:val="00003675"/>
    <w:rsid w:val="00003AA8"/>
    <w:rsid w:val="00003CA6"/>
    <w:rsid w:val="00004574"/>
    <w:rsid w:val="000048B6"/>
    <w:rsid w:val="00004B14"/>
    <w:rsid w:val="00004B6A"/>
    <w:rsid w:val="00004BCE"/>
    <w:rsid w:val="00004D69"/>
    <w:rsid w:val="00005884"/>
    <w:rsid w:val="0000597A"/>
    <w:rsid w:val="00005AA4"/>
    <w:rsid w:val="00005CA4"/>
    <w:rsid w:val="0000619C"/>
    <w:rsid w:val="00006AA3"/>
    <w:rsid w:val="00006C6C"/>
    <w:rsid w:val="00007006"/>
    <w:rsid w:val="00007389"/>
    <w:rsid w:val="000075C5"/>
    <w:rsid w:val="000077A9"/>
    <w:rsid w:val="000103E1"/>
    <w:rsid w:val="000103F0"/>
    <w:rsid w:val="00010E73"/>
    <w:rsid w:val="0001100B"/>
    <w:rsid w:val="00011146"/>
    <w:rsid w:val="00011494"/>
    <w:rsid w:val="00011820"/>
    <w:rsid w:val="0001190E"/>
    <w:rsid w:val="00011BF3"/>
    <w:rsid w:val="0001268A"/>
    <w:rsid w:val="00012706"/>
    <w:rsid w:val="000127A1"/>
    <w:rsid w:val="000127B3"/>
    <w:rsid w:val="00012C14"/>
    <w:rsid w:val="00012CA5"/>
    <w:rsid w:val="0001305A"/>
    <w:rsid w:val="000137CA"/>
    <w:rsid w:val="000141D7"/>
    <w:rsid w:val="00014605"/>
    <w:rsid w:val="00014C2A"/>
    <w:rsid w:val="00014CB9"/>
    <w:rsid w:val="00014CC7"/>
    <w:rsid w:val="00014D49"/>
    <w:rsid w:val="00015263"/>
    <w:rsid w:val="00015CD0"/>
    <w:rsid w:val="00015E1F"/>
    <w:rsid w:val="00015E3A"/>
    <w:rsid w:val="00016284"/>
    <w:rsid w:val="00016755"/>
    <w:rsid w:val="00016775"/>
    <w:rsid w:val="000168FC"/>
    <w:rsid w:val="000178F1"/>
    <w:rsid w:val="00017C5F"/>
    <w:rsid w:val="00017CD7"/>
    <w:rsid w:val="0002000C"/>
    <w:rsid w:val="0002034E"/>
    <w:rsid w:val="000207E9"/>
    <w:rsid w:val="00020A7F"/>
    <w:rsid w:val="00020AD6"/>
    <w:rsid w:val="00020D80"/>
    <w:rsid w:val="000210B8"/>
    <w:rsid w:val="00021541"/>
    <w:rsid w:val="00021DFB"/>
    <w:rsid w:val="00021FA4"/>
    <w:rsid w:val="0002213F"/>
    <w:rsid w:val="00022207"/>
    <w:rsid w:val="00023589"/>
    <w:rsid w:val="000236EC"/>
    <w:rsid w:val="0002384A"/>
    <w:rsid w:val="00023F98"/>
    <w:rsid w:val="000240A3"/>
    <w:rsid w:val="000242A7"/>
    <w:rsid w:val="00024A71"/>
    <w:rsid w:val="00024CAC"/>
    <w:rsid w:val="00025107"/>
    <w:rsid w:val="00025565"/>
    <w:rsid w:val="0002570B"/>
    <w:rsid w:val="00025D26"/>
    <w:rsid w:val="00025E0E"/>
    <w:rsid w:val="000264FB"/>
    <w:rsid w:val="0002702B"/>
    <w:rsid w:val="00027AEA"/>
    <w:rsid w:val="000302CC"/>
    <w:rsid w:val="000304E4"/>
    <w:rsid w:val="00030B90"/>
    <w:rsid w:val="00030FA3"/>
    <w:rsid w:val="00031610"/>
    <w:rsid w:val="000316F3"/>
    <w:rsid w:val="00031869"/>
    <w:rsid w:val="00031C02"/>
    <w:rsid w:val="00032925"/>
    <w:rsid w:val="00033354"/>
    <w:rsid w:val="0003348F"/>
    <w:rsid w:val="000334A2"/>
    <w:rsid w:val="00033B16"/>
    <w:rsid w:val="00033CE6"/>
    <w:rsid w:val="00033D31"/>
    <w:rsid w:val="00033DB6"/>
    <w:rsid w:val="00033F39"/>
    <w:rsid w:val="0003432E"/>
    <w:rsid w:val="00034479"/>
    <w:rsid w:val="000344FE"/>
    <w:rsid w:val="0003473D"/>
    <w:rsid w:val="000347E0"/>
    <w:rsid w:val="00034CA9"/>
    <w:rsid w:val="00034DA4"/>
    <w:rsid w:val="00035043"/>
    <w:rsid w:val="000354BB"/>
    <w:rsid w:val="0003584B"/>
    <w:rsid w:val="00036432"/>
    <w:rsid w:val="000367BA"/>
    <w:rsid w:val="00037429"/>
    <w:rsid w:val="0003756D"/>
    <w:rsid w:val="0003786A"/>
    <w:rsid w:val="00037F41"/>
    <w:rsid w:val="000400D8"/>
    <w:rsid w:val="000401C2"/>
    <w:rsid w:val="0004049C"/>
    <w:rsid w:val="00040775"/>
    <w:rsid w:val="000408CA"/>
    <w:rsid w:val="00040F97"/>
    <w:rsid w:val="0004106E"/>
    <w:rsid w:val="000412D1"/>
    <w:rsid w:val="00041AB2"/>
    <w:rsid w:val="00041CF6"/>
    <w:rsid w:val="00042BA2"/>
    <w:rsid w:val="00042DA9"/>
    <w:rsid w:val="00042EB4"/>
    <w:rsid w:val="00043028"/>
    <w:rsid w:val="00043479"/>
    <w:rsid w:val="0004361D"/>
    <w:rsid w:val="00043927"/>
    <w:rsid w:val="00043BE1"/>
    <w:rsid w:val="00043CC9"/>
    <w:rsid w:val="00044035"/>
    <w:rsid w:val="00044078"/>
    <w:rsid w:val="00044180"/>
    <w:rsid w:val="000444A1"/>
    <w:rsid w:val="000445C5"/>
    <w:rsid w:val="00044664"/>
    <w:rsid w:val="000449B1"/>
    <w:rsid w:val="00044B56"/>
    <w:rsid w:val="00044DE9"/>
    <w:rsid w:val="00044F4E"/>
    <w:rsid w:val="000454B1"/>
    <w:rsid w:val="00045535"/>
    <w:rsid w:val="0004563B"/>
    <w:rsid w:val="000456DF"/>
    <w:rsid w:val="00045771"/>
    <w:rsid w:val="000458C8"/>
    <w:rsid w:val="00045C06"/>
    <w:rsid w:val="00045C70"/>
    <w:rsid w:val="00045D65"/>
    <w:rsid w:val="00046429"/>
    <w:rsid w:val="00046845"/>
    <w:rsid w:val="00046F24"/>
    <w:rsid w:val="0004718A"/>
    <w:rsid w:val="00047883"/>
    <w:rsid w:val="00047DE7"/>
    <w:rsid w:val="00050447"/>
    <w:rsid w:val="00050A23"/>
    <w:rsid w:val="00050F71"/>
    <w:rsid w:val="00051E44"/>
    <w:rsid w:val="00051E82"/>
    <w:rsid w:val="000520F3"/>
    <w:rsid w:val="0005248F"/>
    <w:rsid w:val="000525F2"/>
    <w:rsid w:val="0005263E"/>
    <w:rsid w:val="000526A5"/>
    <w:rsid w:val="0005292E"/>
    <w:rsid w:val="00052F90"/>
    <w:rsid w:val="0005314D"/>
    <w:rsid w:val="0005346B"/>
    <w:rsid w:val="0005469F"/>
    <w:rsid w:val="00054EC2"/>
    <w:rsid w:val="00054F2D"/>
    <w:rsid w:val="00055433"/>
    <w:rsid w:val="00055767"/>
    <w:rsid w:val="00055921"/>
    <w:rsid w:val="000559BB"/>
    <w:rsid w:val="00055A1B"/>
    <w:rsid w:val="00055A92"/>
    <w:rsid w:val="00056034"/>
    <w:rsid w:val="00056440"/>
    <w:rsid w:val="000571F9"/>
    <w:rsid w:val="00057546"/>
    <w:rsid w:val="00057C7B"/>
    <w:rsid w:val="00057D4A"/>
    <w:rsid w:val="00057F91"/>
    <w:rsid w:val="00057FCC"/>
    <w:rsid w:val="000603B3"/>
    <w:rsid w:val="00060A69"/>
    <w:rsid w:val="0006130D"/>
    <w:rsid w:val="000616CF"/>
    <w:rsid w:val="00061787"/>
    <w:rsid w:val="00062019"/>
    <w:rsid w:val="0006239C"/>
    <w:rsid w:val="00062757"/>
    <w:rsid w:val="00062A29"/>
    <w:rsid w:val="00062FE0"/>
    <w:rsid w:val="00063476"/>
    <w:rsid w:val="00063D9E"/>
    <w:rsid w:val="00063ECE"/>
    <w:rsid w:val="0006455D"/>
    <w:rsid w:val="00064CAA"/>
    <w:rsid w:val="00065F19"/>
    <w:rsid w:val="00065FAB"/>
    <w:rsid w:val="00066596"/>
    <w:rsid w:val="00066876"/>
    <w:rsid w:val="00066918"/>
    <w:rsid w:val="000674B3"/>
    <w:rsid w:val="000679E8"/>
    <w:rsid w:val="00067B44"/>
    <w:rsid w:val="00067CA3"/>
    <w:rsid w:val="00070462"/>
    <w:rsid w:val="00070883"/>
    <w:rsid w:val="000709E6"/>
    <w:rsid w:val="00070FEB"/>
    <w:rsid w:val="0007240F"/>
    <w:rsid w:val="000725E7"/>
    <w:rsid w:val="00072E4E"/>
    <w:rsid w:val="00072E9F"/>
    <w:rsid w:val="0007315D"/>
    <w:rsid w:val="0007316D"/>
    <w:rsid w:val="000732B8"/>
    <w:rsid w:val="00073323"/>
    <w:rsid w:val="000739D0"/>
    <w:rsid w:val="00073DB0"/>
    <w:rsid w:val="00073E42"/>
    <w:rsid w:val="00073EB6"/>
    <w:rsid w:val="00075191"/>
    <w:rsid w:val="00075320"/>
    <w:rsid w:val="000753F9"/>
    <w:rsid w:val="0007564B"/>
    <w:rsid w:val="00076638"/>
    <w:rsid w:val="000769E2"/>
    <w:rsid w:val="00077051"/>
    <w:rsid w:val="00077265"/>
    <w:rsid w:val="00077269"/>
    <w:rsid w:val="0007745A"/>
    <w:rsid w:val="000800E7"/>
    <w:rsid w:val="00080662"/>
    <w:rsid w:val="000807EE"/>
    <w:rsid w:val="00080899"/>
    <w:rsid w:val="00080948"/>
    <w:rsid w:val="00081A7F"/>
    <w:rsid w:val="00081CA1"/>
    <w:rsid w:val="00082444"/>
    <w:rsid w:val="00082E56"/>
    <w:rsid w:val="00082F41"/>
    <w:rsid w:val="00083503"/>
    <w:rsid w:val="00083681"/>
    <w:rsid w:val="000840AF"/>
    <w:rsid w:val="00084195"/>
    <w:rsid w:val="000842F5"/>
    <w:rsid w:val="000843D6"/>
    <w:rsid w:val="00084858"/>
    <w:rsid w:val="00084E1C"/>
    <w:rsid w:val="000852C2"/>
    <w:rsid w:val="000862C3"/>
    <w:rsid w:val="000866DF"/>
    <w:rsid w:val="00087011"/>
    <w:rsid w:val="0008737A"/>
    <w:rsid w:val="00087990"/>
    <w:rsid w:val="00087C0A"/>
    <w:rsid w:val="00090AF2"/>
    <w:rsid w:val="00090BC2"/>
    <w:rsid w:val="00090D80"/>
    <w:rsid w:val="0009149C"/>
    <w:rsid w:val="00091EE7"/>
    <w:rsid w:val="000922BE"/>
    <w:rsid w:val="000923C8"/>
    <w:rsid w:val="00092915"/>
    <w:rsid w:val="00093318"/>
    <w:rsid w:val="00093D64"/>
    <w:rsid w:val="00093F48"/>
    <w:rsid w:val="00094143"/>
    <w:rsid w:val="00094505"/>
    <w:rsid w:val="000949D9"/>
    <w:rsid w:val="00094EA2"/>
    <w:rsid w:val="00094FF8"/>
    <w:rsid w:val="00095556"/>
    <w:rsid w:val="00095632"/>
    <w:rsid w:val="00095C84"/>
    <w:rsid w:val="00096610"/>
    <w:rsid w:val="00096CAB"/>
    <w:rsid w:val="00096E21"/>
    <w:rsid w:val="00097005"/>
    <w:rsid w:val="00097215"/>
    <w:rsid w:val="00097551"/>
    <w:rsid w:val="000976AF"/>
    <w:rsid w:val="00097984"/>
    <w:rsid w:val="00097CFD"/>
    <w:rsid w:val="00097F9B"/>
    <w:rsid w:val="000A02BD"/>
    <w:rsid w:val="000A0423"/>
    <w:rsid w:val="000A0447"/>
    <w:rsid w:val="000A159F"/>
    <w:rsid w:val="000A25F2"/>
    <w:rsid w:val="000A29BA"/>
    <w:rsid w:val="000A2FA8"/>
    <w:rsid w:val="000A2FE4"/>
    <w:rsid w:val="000A3371"/>
    <w:rsid w:val="000A38B0"/>
    <w:rsid w:val="000A432D"/>
    <w:rsid w:val="000A4633"/>
    <w:rsid w:val="000A4774"/>
    <w:rsid w:val="000A53E1"/>
    <w:rsid w:val="000A54B6"/>
    <w:rsid w:val="000A55E7"/>
    <w:rsid w:val="000A5B62"/>
    <w:rsid w:val="000A6A49"/>
    <w:rsid w:val="000A6F6A"/>
    <w:rsid w:val="000A7738"/>
    <w:rsid w:val="000A78F4"/>
    <w:rsid w:val="000A7E0F"/>
    <w:rsid w:val="000B0469"/>
    <w:rsid w:val="000B063C"/>
    <w:rsid w:val="000B0AED"/>
    <w:rsid w:val="000B0DA7"/>
    <w:rsid w:val="000B0E0B"/>
    <w:rsid w:val="000B0E83"/>
    <w:rsid w:val="000B131F"/>
    <w:rsid w:val="000B1B42"/>
    <w:rsid w:val="000B2128"/>
    <w:rsid w:val="000B228D"/>
    <w:rsid w:val="000B239E"/>
    <w:rsid w:val="000B24FC"/>
    <w:rsid w:val="000B2909"/>
    <w:rsid w:val="000B2EB7"/>
    <w:rsid w:val="000B3036"/>
    <w:rsid w:val="000B314E"/>
    <w:rsid w:val="000B33BB"/>
    <w:rsid w:val="000B363C"/>
    <w:rsid w:val="000B382B"/>
    <w:rsid w:val="000B386C"/>
    <w:rsid w:val="000B4418"/>
    <w:rsid w:val="000B4459"/>
    <w:rsid w:val="000B47EC"/>
    <w:rsid w:val="000B4D05"/>
    <w:rsid w:val="000B503E"/>
    <w:rsid w:val="000B52FA"/>
    <w:rsid w:val="000B5608"/>
    <w:rsid w:val="000B5F60"/>
    <w:rsid w:val="000B616A"/>
    <w:rsid w:val="000B68DD"/>
    <w:rsid w:val="000B6923"/>
    <w:rsid w:val="000B6B27"/>
    <w:rsid w:val="000B6CFD"/>
    <w:rsid w:val="000B6E48"/>
    <w:rsid w:val="000B6EB2"/>
    <w:rsid w:val="000B725E"/>
    <w:rsid w:val="000B7B63"/>
    <w:rsid w:val="000B7E47"/>
    <w:rsid w:val="000B7EBF"/>
    <w:rsid w:val="000C043B"/>
    <w:rsid w:val="000C06C9"/>
    <w:rsid w:val="000C0771"/>
    <w:rsid w:val="000C095F"/>
    <w:rsid w:val="000C0CDA"/>
    <w:rsid w:val="000C0DD0"/>
    <w:rsid w:val="000C0F7C"/>
    <w:rsid w:val="000C1ABE"/>
    <w:rsid w:val="000C1CDB"/>
    <w:rsid w:val="000C1FB7"/>
    <w:rsid w:val="000C251C"/>
    <w:rsid w:val="000C2636"/>
    <w:rsid w:val="000C28B4"/>
    <w:rsid w:val="000C2917"/>
    <w:rsid w:val="000C316D"/>
    <w:rsid w:val="000C34C5"/>
    <w:rsid w:val="000C3C3E"/>
    <w:rsid w:val="000C3E67"/>
    <w:rsid w:val="000C4036"/>
    <w:rsid w:val="000C432C"/>
    <w:rsid w:val="000C4742"/>
    <w:rsid w:val="000C48AB"/>
    <w:rsid w:val="000C51F5"/>
    <w:rsid w:val="000C5407"/>
    <w:rsid w:val="000C65DE"/>
    <w:rsid w:val="000C6A69"/>
    <w:rsid w:val="000C6E19"/>
    <w:rsid w:val="000C6E6F"/>
    <w:rsid w:val="000C7544"/>
    <w:rsid w:val="000C7C44"/>
    <w:rsid w:val="000C7DB6"/>
    <w:rsid w:val="000D02F7"/>
    <w:rsid w:val="000D0987"/>
    <w:rsid w:val="000D0EEA"/>
    <w:rsid w:val="000D163F"/>
    <w:rsid w:val="000D16E9"/>
    <w:rsid w:val="000D17CC"/>
    <w:rsid w:val="000D1805"/>
    <w:rsid w:val="000D1F1F"/>
    <w:rsid w:val="000D21F8"/>
    <w:rsid w:val="000D25AF"/>
    <w:rsid w:val="000D29A4"/>
    <w:rsid w:val="000D3797"/>
    <w:rsid w:val="000D39D4"/>
    <w:rsid w:val="000D3E64"/>
    <w:rsid w:val="000D4031"/>
    <w:rsid w:val="000D4258"/>
    <w:rsid w:val="000D44D5"/>
    <w:rsid w:val="000D5D36"/>
    <w:rsid w:val="000D5F88"/>
    <w:rsid w:val="000D6984"/>
    <w:rsid w:val="000D69C3"/>
    <w:rsid w:val="000D6BF4"/>
    <w:rsid w:val="000D6CA5"/>
    <w:rsid w:val="000D6E3C"/>
    <w:rsid w:val="000D77F7"/>
    <w:rsid w:val="000D7922"/>
    <w:rsid w:val="000D7C27"/>
    <w:rsid w:val="000D7CAF"/>
    <w:rsid w:val="000E009E"/>
    <w:rsid w:val="000E010F"/>
    <w:rsid w:val="000E01C7"/>
    <w:rsid w:val="000E01FC"/>
    <w:rsid w:val="000E0E76"/>
    <w:rsid w:val="000E116A"/>
    <w:rsid w:val="000E1482"/>
    <w:rsid w:val="000E1B81"/>
    <w:rsid w:val="000E1BD7"/>
    <w:rsid w:val="000E2001"/>
    <w:rsid w:val="000E23F5"/>
    <w:rsid w:val="000E2DF7"/>
    <w:rsid w:val="000E2E37"/>
    <w:rsid w:val="000E32D2"/>
    <w:rsid w:val="000E3374"/>
    <w:rsid w:val="000E3457"/>
    <w:rsid w:val="000E3607"/>
    <w:rsid w:val="000E39E8"/>
    <w:rsid w:val="000E3C20"/>
    <w:rsid w:val="000E3E94"/>
    <w:rsid w:val="000E4778"/>
    <w:rsid w:val="000E4BE1"/>
    <w:rsid w:val="000E4D71"/>
    <w:rsid w:val="000E4E63"/>
    <w:rsid w:val="000E531C"/>
    <w:rsid w:val="000E589B"/>
    <w:rsid w:val="000E5F26"/>
    <w:rsid w:val="000E67CD"/>
    <w:rsid w:val="000E6866"/>
    <w:rsid w:val="000E6AE7"/>
    <w:rsid w:val="000E6BEB"/>
    <w:rsid w:val="000E6F2B"/>
    <w:rsid w:val="000E70BA"/>
    <w:rsid w:val="000F0314"/>
    <w:rsid w:val="000F08C5"/>
    <w:rsid w:val="000F0C23"/>
    <w:rsid w:val="000F0E41"/>
    <w:rsid w:val="000F1373"/>
    <w:rsid w:val="000F14A7"/>
    <w:rsid w:val="000F161B"/>
    <w:rsid w:val="000F1766"/>
    <w:rsid w:val="000F1BB0"/>
    <w:rsid w:val="000F1CF2"/>
    <w:rsid w:val="000F1F01"/>
    <w:rsid w:val="000F27E8"/>
    <w:rsid w:val="000F28B7"/>
    <w:rsid w:val="000F2FF4"/>
    <w:rsid w:val="000F32A0"/>
    <w:rsid w:val="000F3BA4"/>
    <w:rsid w:val="000F3DC6"/>
    <w:rsid w:val="000F403E"/>
    <w:rsid w:val="000F40FA"/>
    <w:rsid w:val="000F43A7"/>
    <w:rsid w:val="000F492F"/>
    <w:rsid w:val="000F55EF"/>
    <w:rsid w:val="000F5851"/>
    <w:rsid w:val="000F58F3"/>
    <w:rsid w:val="000F5E74"/>
    <w:rsid w:val="000F5F20"/>
    <w:rsid w:val="000F68D5"/>
    <w:rsid w:val="000F7526"/>
    <w:rsid w:val="000F79D1"/>
    <w:rsid w:val="00100654"/>
    <w:rsid w:val="00100B1E"/>
    <w:rsid w:val="0010101C"/>
    <w:rsid w:val="0010103A"/>
    <w:rsid w:val="00101417"/>
    <w:rsid w:val="00101679"/>
    <w:rsid w:val="0010167B"/>
    <w:rsid w:val="00101A6B"/>
    <w:rsid w:val="0010228A"/>
    <w:rsid w:val="0010234A"/>
    <w:rsid w:val="001031F7"/>
    <w:rsid w:val="00103570"/>
    <w:rsid w:val="001037D7"/>
    <w:rsid w:val="00103FA3"/>
    <w:rsid w:val="00104970"/>
    <w:rsid w:val="00104B9C"/>
    <w:rsid w:val="00104CC5"/>
    <w:rsid w:val="00105333"/>
    <w:rsid w:val="0010539B"/>
    <w:rsid w:val="00105E2A"/>
    <w:rsid w:val="00105E3F"/>
    <w:rsid w:val="00105EAC"/>
    <w:rsid w:val="00105EE7"/>
    <w:rsid w:val="00105EF3"/>
    <w:rsid w:val="0010613A"/>
    <w:rsid w:val="0010621D"/>
    <w:rsid w:val="00106363"/>
    <w:rsid w:val="0010657B"/>
    <w:rsid w:val="00106794"/>
    <w:rsid w:val="00106B9B"/>
    <w:rsid w:val="00106FBE"/>
    <w:rsid w:val="00107285"/>
    <w:rsid w:val="001075B9"/>
    <w:rsid w:val="001079C7"/>
    <w:rsid w:val="00107C12"/>
    <w:rsid w:val="00107DA7"/>
    <w:rsid w:val="00110079"/>
    <w:rsid w:val="00110125"/>
    <w:rsid w:val="00110484"/>
    <w:rsid w:val="00110983"/>
    <w:rsid w:val="00110A95"/>
    <w:rsid w:val="00110ADE"/>
    <w:rsid w:val="00111274"/>
    <w:rsid w:val="0011164B"/>
    <w:rsid w:val="001119D3"/>
    <w:rsid w:val="00111AD0"/>
    <w:rsid w:val="00111F8F"/>
    <w:rsid w:val="0011272B"/>
    <w:rsid w:val="001128CE"/>
    <w:rsid w:val="001134D7"/>
    <w:rsid w:val="00113567"/>
    <w:rsid w:val="001137C7"/>
    <w:rsid w:val="001141F4"/>
    <w:rsid w:val="00114D7B"/>
    <w:rsid w:val="00114FCB"/>
    <w:rsid w:val="00115450"/>
    <w:rsid w:val="00115488"/>
    <w:rsid w:val="0011593C"/>
    <w:rsid w:val="001159AB"/>
    <w:rsid w:val="00115A67"/>
    <w:rsid w:val="00115CAB"/>
    <w:rsid w:val="001161F6"/>
    <w:rsid w:val="001164C5"/>
    <w:rsid w:val="00116881"/>
    <w:rsid w:val="001168BB"/>
    <w:rsid w:val="001171BB"/>
    <w:rsid w:val="0011796E"/>
    <w:rsid w:val="00117E41"/>
    <w:rsid w:val="00117E7D"/>
    <w:rsid w:val="00121258"/>
    <w:rsid w:val="001215B2"/>
    <w:rsid w:val="00121807"/>
    <w:rsid w:val="00121D90"/>
    <w:rsid w:val="001223A9"/>
    <w:rsid w:val="001229F8"/>
    <w:rsid w:val="00122B5C"/>
    <w:rsid w:val="00122E06"/>
    <w:rsid w:val="0012319F"/>
    <w:rsid w:val="00123670"/>
    <w:rsid w:val="001236E1"/>
    <w:rsid w:val="00124EC9"/>
    <w:rsid w:val="00125276"/>
    <w:rsid w:val="00125347"/>
    <w:rsid w:val="00125BBF"/>
    <w:rsid w:val="00125BE4"/>
    <w:rsid w:val="001262FD"/>
    <w:rsid w:val="00126F9A"/>
    <w:rsid w:val="00127102"/>
    <w:rsid w:val="00127651"/>
    <w:rsid w:val="001277D5"/>
    <w:rsid w:val="001279A4"/>
    <w:rsid w:val="00130608"/>
    <w:rsid w:val="0013154B"/>
    <w:rsid w:val="0013164C"/>
    <w:rsid w:val="00131676"/>
    <w:rsid w:val="00131845"/>
    <w:rsid w:val="001318BA"/>
    <w:rsid w:val="00131F49"/>
    <w:rsid w:val="0013203D"/>
    <w:rsid w:val="001321F5"/>
    <w:rsid w:val="0013266D"/>
    <w:rsid w:val="00132E5B"/>
    <w:rsid w:val="00132FCC"/>
    <w:rsid w:val="00133333"/>
    <w:rsid w:val="001335A8"/>
    <w:rsid w:val="001335B6"/>
    <w:rsid w:val="00133821"/>
    <w:rsid w:val="001340BE"/>
    <w:rsid w:val="001341FD"/>
    <w:rsid w:val="0013429A"/>
    <w:rsid w:val="001343FA"/>
    <w:rsid w:val="0013469A"/>
    <w:rsid w:val="0013478C"/>
    <w:rsid w:val="00134AA2"/>
    <w:rsid w:val="00134F42"/>
    <w:rsid w:val="00135269"/>
    <w:rsid w:val="001353CD"/>
    <w:rsid w:val="00135432"/>
    <w:rsid w:val="001357A4"/>
    <w:rsid w:val="00135867"/>
    <w:rsid w:val="00135B49"/>
    <w:rsid w:val="00135D66"/>
    <w:rsid w:val="00136009"/>
    <w:rsid w:val="00136029"/>
    <w:rsid w:val="00136086"/>
    <w:rsid w:val="0013680E"/>
    <w:rsid w:val="00136BE2"/>
    <w:rsid w:val="001370E5"/>
    <w:rsid w:val="00137C51"/>
    <w:rsid w:val="00140467"/>
    <w:rsid w:val="00140782"/>
    <w:rsid w:val="00140916"/>
    <w:rsid w:val="00140B4C"/>
    <w:rsid w:val="001415C1"/>
    <w:rsid w:val="00141776"/>
    <w:rsid w:val="0014187A"/>
    <w:rsid w:val="00141B58"/>
    <w:rsid w:val="00141F78"/>
    <w:rsid w:val="00141FCE"/>
    <w:rsid w:val="0014258A"/>
    <w:rsid w:val="00142857"/>
    <w:rsid w:val="00142E92"/>
    <w:rsid w:val="00143051"/>
    <w:rsid w:val="0014305C"/>
    <w:rsid w:val="001435E8"/>
    <w:rsid w:val="00143EC6"/>
    <w:rsid w:val="001440E0"/>
    <w:rsid w:val="001446CA"/>
    <w:rsid w:val="00144976"/>
    <w:rsid w:val="00144C0F"/>
    <w:rsid w:val="00145396"/>
    <w:rsid w:val="001468B2"/>
    <w:rsid w:val="00146A40"/>
    <w:rsid w:val="00146E2B"/>
    <w:rsid w:val="00146F16"/>
    <w:rsid w:val="00147D7C"/>
    <w:rsid w:val="00147EDA"/>
    <w:rsid w:val="0015014F"/>
    <w:rsid w:val="0015091D"/>
    <w:rsid w:val="00150FE0"/>
    <w:rsid w:val="001518B4"/>
    <w:rsid w:val="00151B91"/>
    <w:rsid w:val="00151C94"/>
    <w:rsid w:val="00151F1D"/>
    <w:rsid w:val="00151FB5"/>
    <w:rsid w:val="00152341"/>
    <w:rsid w:val="0015249A"/>
    <w:rsid w:val="001524A2"/>
    <w:rsid w:val="00152651"/>
    <w:rsid w:val="0015280B"/>
    <w:rsid w:val="00152882"/>
    <w:rsid w:val="00152B31"/>
    <w:rsid w:val="00152E27"/>
    <w:rsid w:val="001530F9"/>
    <w:rsid w:val="00153139"/>
    <w:rsid w:val="001540C0"/>
    <w:rsid w:val="001542F3"/>
    <w:rsid w:val="0015440B"/>
    <w:rsid w:val="00154910"/>
    <w:rsid w:val="001552DF"/>
    <w:rsid w:val="0015565A"/>
    <w:rsid w:val="00155A84"/>
    <w:rsid w:val="00155D6E"/>
    <w:rsid w:val="0015601B"/>
    <w:rsid w:val="0015619C"/>
    <w:rsid w:val="001576EB"/>
    <w:rsid w:val="00157A6C"/>
    <w:rsid w:val="00160186"/>
    <w:rsid w:val="0016041E"/>
    <w:rsid w:val="001606A2"/>
    <w:rsid w:val="00160795"/>
    <w:rsid w:val="00160B63"/>
    <w:rsid w:val="00160DAF"/>
    <w:rsid w:val="00161022"/>
    <w:rsid w:val="00161092"/>
    <w:rsid w:val="001611AD"/>
    <w:rsid w:val="001612EF"/>
    <w:rsid w:val="0016144F"/>
    <w:rsid w:val="001614DE"/>
    <w:rsid w:val="001617E2"/>
    <w:rsid w:val="00161AC2"/>
    <w:rsid w:val="00161B58"/>
    <w:rsid w:val="00161D71"/>
    <w:rsid w:val="001628BB"/>
    <w:rsid w:val="001628F0"/>
    <w:rsid w:val="00162C22"/>
    <w:rsid w:val="00162F15"/>
    <w:rsid w:val="0016323E"/>
    <w:rsid w:val="00163BEF"/>
    <w:rsid w:val="00163C2F"/>
    <w:rsid w:val="00164C44"/>
    <w:rsid w:val="0016507C"/>
    <w:rsid w:val="0016584D"/>
    <w:rsid w:val="00165A02"/>
    <w:rsid w:val="00165BD0"/>
    <w:rsid w:val="00166750"/>
    <w:rsid w:val="0016682E"/>
    <w:rsid w:val="00166AE2"/>
    <w:rsid w:val="00166B8B"/>
    <w:rsid w:val="00166E38"/>
    <w:rsid w:val="0016714B"/>
    <w:rsid w:val="001671DC"/>
    <w:rsid w:val="001676E8"/>
    <w:rsid w:val="00167840"/>
    <w:rsid w:val="00167B08"/>
    <w:rsid w:val="00167FC9"/>
    <w:rsid w:val="0017023B"/>
    <w:rsid w:val="00170378"/>
    <w:rsid w:val="00170A26"/>
    <w:rsid w:val="0017159B"/>
    <w:rsid w:val="0017184D"/>
    <w:rsid w:val="00171B98"/>
    <w:rsid w:val="00171BC6"/>
    <w:rsid w:val="00171CE1"/>
    <w:rsid w:val="00172600"/>
    <w:rsid w:val="00172A3C"/>
    <w:rsid w:val="00172BF5"/>
    <w:rsid w:val="001731A5"/>
    <w:rsid w:val="001734BF"/>
    <w:rsid w:val="00174200"/>
    <w:rsid w:val="00174E9A"/>
    <w:rsid w:val="0017531C"/>
    <w:rsid w:val="001755AD"/>
    <w:rsid w:val="00175A25"/>
    <w:rsid w:val="00175D28"/>
    <w:rsid w:val="00175F49"/>
    <w:rsid w:val="00176096"/>
    <w:rsid w:val="001761F9"/>
    <w:rsid w:val="0017645D"/>
    <w:rsid w:val="0017686C"/>
    <w:rsid w:val="00176D45"/>
    <w:rsid w:val="00176F11"/>
    <w:rsid w:val="00176F26"/>
    <w:rsid w:val="00177010"/>
    <w:rsid w:val="00177331"/>
    <w:rsid w:val="0017784F"/>
    <w:rsid w:val="0017795D"/>
    <w:rsid w:val="00177C7E"/>
    <w:rsid w:val="00180090"/>
    <w:rsid w:val="001804F8"/>
    <w:rsid w:val="001806E5"/>
    <w:rsid w:val="00180A93"/>
    <w:rsid w:val="00180D60"/>
    <w:rsid w:val="00180E1F"/>
    <w:rsid w:val="001812A7"/>
    <w:rsid w:val="0018148A"/>
    <w:rsid w:val="00182101"/>
    <w:rsid w:val="0018254C"/>
    <w:rsid w:val="00182ACB"/>
    <w:rsid w:val="00182C3F"/>
    <w:rsid w:val="00183365"/>
    <w:rsid w:val="00183785"/>
    <w:rsid w:val="00183AB7"/>
    <w:rsid w:val="00183DB2"/>
    <w:rsid w:val="0018447E"/>
    <w:rsid w:val="001849E7"/>
    <w:rsid w:val="00184A50"/>
    <w:rsid w:val="00185167"/>
    <w:rsid w:val="00185B5D"/>
    <w:rsid w:val="00186100"/>
    <w:rsid w:val="001861A2"/>
    <w:rsid w:val="00186598"/>
    <w:rsid w:val="001865BC"/>
    <w:rsid w:val="00186631"/>
    <w:rsid w:val="0018678A"/>
    <w:rsid w:val="00186A41"/>
    <w:rsid w:val="00186C71"/>
    <w:rsid w:val="0018703B"/>
    <w:rsid w:val="0018738F"/>
    <w:rsid w:val="00187865"/>
    <w:rsid w:val="001879EA"/>
    <w:rsid w:val="00187B73"/>
    <w:rsid w:val="00187F38"/>
    <w:rsid w:val="0019075B"/>
    <w:rsid w:val="00191336"/>
    <w:rsid w:val="00191537"/>
    <w:rsid w:val="00191881"/>
    <w:rsid w:val="00191A48"/>
    <w:rsid w:val="0019320F"/>
    <w:rsid w:val="00193242"/>
    <w:rsid w:val="001935EB"/>
    <w:rsid w:val="001943B8"/>
    <w:rsid w:val="00194996"/>
    <w:rsid w:val="00194B58"/>
    <w:rsid w:val="00194B93"/>
    <w:rsid w:val="00194DA0"/>
    <w:rsid w:val="001951AD"/>
    <w:rsid w:val="0019527E"/>
    <w:rsid w:val="001952D7"/>
    <w:rsid w:val="00195A1E"/>
    <w:rsid w:val="00195C4C"/>
    <w:rsid w:val="00195CFB"/>
    <w:rsid w:val="00195D16"/>
    <w:rsid w:val="0019635E"/>
    <w:rsid w:val="001968D3"/>
    <w:rsid w:val="00196C03"/>
    <w:rsid w:val="00197067"/>
    <w:rsid w:val="0019721E"/>
    <w:rsid w:val="0019731F"/>
    <w:rsid w:val="0019777B"/>
    <w:rsid w:val="001A0159"/>
    <w:rsid w:val="001A054A"/>
    <w:rsid w:val="001A091D"/>
    <w:rsid w:val="001A0ABA"/>
    <w:rsid w:val="001A0F47"/>
    <w:rsid w:val="001A14E6"/>
    <w:rsid w:val="001A1AFE"/>
    <w:rsid w:val="001A1D96"/>
    <w:rsid w:val="001A2DD7"/>
    <w:rsid w:val="001A2E0B"/>
    <w:rsid w:val="001A3598"/>
    <w:rsid w:val="001A3AB8"/>
    <w:rsid w:val="001A3ED8"/>
    <w:rsid w:val="001A44F5"/>
    <w:rsid w:val="001A4A7C"/>
    <w:rsid w:val="001A4C8E"/>
    <w:rsid w:val="001A4F37"/>
    <w:rsid w:val="001A533E"/>
    <w:rsid w:val="001A58BC"/>
    <w:rsid w:val="001A6232"/>
    <w:rsid w:val="001A6362"/>
    <w:rsid w:val="001A6F51"/>
    <w:rsid w:val="001A710A"/>
    <w:rsid w:val="001A735E"/>
    <w:rsid w:val="001A7591"/>
    <w:rsid w:val="001A75E4"/>
    <w:rsid w:val="001A7615"/>
    <w:rsid w:val="001A7A79"/>
    <w:rsid w:val="001A7EBE"/>
    <w:rsid w:val="001B009D"/>
    <w:rsid w:val="001B01CE"/>
    <w:rsid w:val="001B02D2"/>
    <w:rsid w:val="001B0353"/>
    <w:rsid w:val="001B0609"/>
    <w:rsid w:val="001B0892"/>
    <w:rsid w:val="001B0E72"/>
    <w:rsid w:val="001B1697"/>
    <w:rsid w:val="001B1777"/>
    <w:rsid w:val="001B1E5E"/>
    <w:rsid w:val="001B2515"/>
    <w:rsid w:val="001B292E"/>
    <w:rsid w:val="001B2A24"/>
    <w:rsid w:val="001B2BFE"/>
    <w:rsid w:val="001B2FEE"/>
    <w:rsid w:val="001B31EE"/>
    <w:rsid w:val="001B32EE"/>
    <w:rsid w:val="001B34C2"/>
    <w:rsid w:val="001B355B"/>
    <w:rsid w:val="001B36E7"/>
    <w:rsid w:val="001B3728"/>
    <w:rsid w:val="001B3BC7"/>
    <w:rsid w:val="001B4055"/>
    <w:rsid w:val="001B40B8"/>
    <w:rsid w:val="001B45BF"/>
    <w:rsid w:val="001B47FE"/>
    <w:rsid w:val="001B4876"/>
    <w:rsid w:val="001B4FDF"/>
    <w:rsid w:val="001B56CF"/>
    <w:rsid w:val="001B5803"/>
    <w:rsid w:val="001B5A9E"/>
    <w:rsid w:val="001B5BB3"/>
    <w:rsid w:val="001B5E7E"/>
    <w:rsid w:val="001B5EDB"/>
    <w:rsid w:val="001B60C0"/>
    <w:rsid w:val="001B6201"/>
    <w:rsid w:val="001B6C3F"/>
    <w:rsid w:val="001B6D47"/>
    <w:rsid w:val="001B7B41"/>
    <w:rsid w:val="001B7B6F"/>
    <w:rsid w:val="001B7E45"/>
    <w:rsid w:val="001B7E64"/>
    <w:rsid w:val="001C00E0"/>
    <w:rsid w:val="001C04C1"/>
    <w:rsid w:val="001C0EEE"/>
    <w:rsid w:val="001C1339"/>
    <w:rsid w:val="001C188E"/>
    <w:rsid w:val="001C19FC"/>
    <w:rsid w:val="001C1B52"/>
    <w:rsid w:val="001C209A"/>
    <w:rsid w:val="001C23E0"/>
    <w:rsid w:val="001C2C50"/>
    <w:rsid w:val="001C2D5B"/>
    <w:rsid w:val="001C309F"/>
    <w:rsid w:val="001C33E0"/>
    <w:rsid w:val="001C348F"/>
    <w:rsid w:val="001C34F4"/>
    <w:rsid w:val="001C378B"/>
    <w:rsid w:val="001C3968"/>
    <w:rsid w:val="001C3AE9"/>
    <w:rsid w:val="001C3FCD"/>
    <w:rsid w:val="001C4696"/>
    <w:rsid w:val="001C4E9B"/>
    <w:rsid w:val="001C55F2"/>
    <w:rsid w:val="001C57C1"/>
    <w:rsid w:val="001C5C3D"/>
    <w:rsid w:val="001C5D1C"/>
    <w:rsid w:val="001C5D82"/>
    <w:rsid w:val="001C60C8"/>
    <w:rsid w:val="001C6A35"/>
    <w:rsid w:val="001C6A9F"/>
    <w:rsid w:val="001C6B96"/>
    <w:rsid w:val="001C7178"/>
    <w:rsid w:val="001C725F"/>
    <w:rsid w:val="001C74DA"/>
    <w:rsid w:val="001C7B0F"/>
    <w:rsid w:val="001D0208"/>
    <w:rsid w:val="001D0269"/>
    <w:rsid w:val="001D0499"/>
    <w:rsid w:val="001D094F"/>
    <w:rsid w:val="001D0E0F"/>
    <w:rsid w:val="001D0EAC"/>
    <w:rsid w:val="001D0F38"/>
    <w:rsid w:val="001D16C5"/>
    <w:rsid w:val="001D1CF1"/>
    <w:rsid w:val="001D20E1"/>
    <w:rsid w:val="001D2236"/>
    <w:rsid w:val="001D25DE"/>
    <w:rsid w:val="001D2716"/>
    <w:rsid w:val="001D2965"/>
    <w:rsid w:val="001D2AE7"/>
    <w:rsid w:val="001D2AFA"/>
    <w:rsid w:val="001D2C43"/>
    <w:rsid w:val="001D3136"/>
    <w:rsid w:val="001D396A"/>
    <w:rsid w:val="001D3BB9"/>
    <w:rsid w:val="001D3CE0"/>
    <w:rsid w:val="001D3E38"/>
    <w:rsid w:val="001D3EAA"/>
    <w:rsid w:val="001D4301"/>
    <w:rsid w:val="001D464B"/>
    <w:rsid w:val="001D46EB"/>
    <w:rsid w:val="001D4925"/>
    <w:rsid w:val="001D4D61"/>
    <w:rsid w:val="001D595D"/>
    <w:rsid w:val="001D5BC1"/>
    <w:rsid w:val="001D5E1F"/>
    <w:rsid w:val="001D5FFA"/>
    <w:rsid w:val="001D60C1"/>
    <w:rsid w:val="001D6184"/>
    <w:rsid w:val="001D637D"/>
    <w:rsid w:val="001D6AD0"/>
    <w:rsid w:val="001D6C57"/>
    <w:rsid w:val="001D727A"/>
    <w:rsid w:val="001D763F"/>
    <w:rsid w:val="001D7AC7"/>
    <w:rsid w:val="001E0586"/>
    <w:rsid w:val="001E0709"/>
    <w:rsid w:val="001E0E8F"/>
    <w:rsid w:val="001E1386"/>
    <w:rsid w:val="001E1B4A"/>
    <w:rsid w:val="001E1EA5"/>
    <w:rsid w:val="001E1F3E"/>
    <w:rsid w:val="001E22C2"/>
    <w:rsid w:val="001E2817"/>
    <w:rsid w:val="001E2A27"/>
    <w:rsid w:val="001E2F27"/>
    <w:rsid w:val="001E31C9"/>
    <w:rsid w:val="001E31E2"/>
    <w:rsid w:val="001E328C"/>
    <w:rsid w:val="001E32E8"/>
    <w:rsid w:val="001E34E1"/>
    <w:rsid w:val="001E386B"/>
    <w:rsid w:val="001E3E54"/>
    <w:rsid w:val="001E3E82"/>
    <w:rsid w:val="001E3F63"/>
    <w:rsid w:val="001E41DD"/>
    <w:rsid w:val="001E423A"/>
    <w:rsid w:val="001E44F0"/>
    <w:rsid w:val="001E456E"/>
    <w:rsid w:val="001E4787"/>
    <w:rsid w:val="001E48E9"/>
    <w:rsid w:val="001E4D47"/>
    <w:rsid w:val="001E4F02"/>
    <w:rsid w:val="001E4F8D"/>
    <w:rsid w:val="001E516A"/>
    <w:rsid w:val="001E5368"/>
    <w:rsid w:val="001E5D21"/>
    <w:rsid w:val="001E68FD"/>
    <w:rsid w:val="001E6973"/>
    <w:rsid w:val="001E6A00"/>
    <w:rsid w:val="001E6B7B"/>
    <w:rsid w:val="001E7075"/>
    <w:rsid w:val="001E732C"/>
    <w:rsid w:val="001E79F0"/>
    <w:rsid w:val="001E7FDF"/>
    <w:rsid w:val="001F07E0"/>
    <w:rsid w:val="001F1346"/>
    <w:rsid w:val="001F1C3C"/>
    <w:rsid w:val="001F25A0"/>
    <w:rsid w:val="001F262C"/>
    <w:rsid w:val="001F2C10"/>
    <w:rsid w:val="001F33CE"/>
    <w:rsid w:val="001F35E0"/>
    <w:rsid w:val="001F3F91"/>
    <w:rsid w:val="001F4452"/>
    <w:rsid w:val="001F46BA"/>
    <w:rsid w:val="001F5128"/>
    <w:rsid w:val="001F51C5"/>
    <w:rsid w:val="001F5208"/>
    <w:rsid w:val="001F525F"/>
    <w:rsid w:val="001F5D06"/>
    <w:rsid w:val="001F5D2C"/>
    <w:rsid w:val="001F611F"/>
    <w:rsid w:val="001F626D"/>
    <w:rsid w:val="001F6731"/>
    <w:rsid w:val="001F70DF"/>
    <w:rsid w:val="001F7C8C"/>
    <w:rsid w:val="0020016B"/>
    <w:rsid w:val="002007B2"/>
    <w:rsid w:val="00200943"/>
    <w:rsid w:val="00200A7D"/>
    <w:rsid w:val="00200C2A"/>
    <w:rsid w:val="00200CEF"/>
    <w:rsid w:val="00200DC5"/>
    <w:rsid w:val="00200F56"/>
    <w:rsid w:val="002010A7"/>
    <w:rsid w:val="00201427"/>
    <w:rsid w:val="002019AF"/>
    <w:rsid w:val="00201BA6"/>
    <w:rsid w:val="00201E8A"/>
    <w:rsid w:val="0020201F"/>
    <w:rsid w:val="002021E2"/>
    <w:rsid w:val="0020261F"/>
    <w:rsid w:val="00202870"/>
    <w:rsid w:val="00202BE6"/>
    <w:rsid w:val="00202C2B"/>
    <w:rsid w:val="0020322D"/>
    <w:rsid w:val="0020332B"/>
    <w:rsid w:val="0020340E"/>
    <w:rsid w:val="002035AB"/>
    <w:rsid w:val="0020366B"/>
    <w:rsid w:val="00203CE2"/>
    <w:rsid w:val="00204141"/>
    <w:rsid w:val="00204782"/>
    <w:rsid w:val="00204A22"/>
    <w:rsid w:val="00204EBE"/>
    <w:rsid w:val="002052FE"/>
    <w:rsid w:val="00205534"/>
    <w:rsid w:val="0020590B"/>
    <w:rsid w:val="002067D1"/>
    <w:rsid w:val="002067EE"/>
    <w:rsid w:val="00206B37"/>
    <w:rsid w:val="00206CC5"/>
    <w:rsid w:val="00206ED8"/>
    <w:rsid w:val="00206FBB"/>
    <w:rsid w:val="002071FF"/>
    <w:rsid w:val="00207321"/>
    <w:rsid w:val="002075C5"/>
    <w:rsid w:val="00207737"/>
    <w:rsid w:val="00207DC4"/>
    <w:rsid w:val="002102F3"/>
    <w:rsid w:val="002103CD"/>
    <w:rsid w:val="00210529"/>
    <w:rsid w:val="00210D4C"/>
    <w:rsid w:val="00210ECC"/>
    <w:rsid w:val="00211385"/>
    <w:rsid w:val="0021178C"/>
    <w:rsid w:val="00211D3E"/>
    <w:rsid w:val="00211FFA"/>
    <w:rsid w:val="0021218F"/>
    <w:rsid w:val="002127EE"/>
    <w:rsid w:val="00212D58"/>
    <w:rsid w:val="00212D93"/>
    <w:rsid w:val="002131BB"/>
    <w:rsid w:val="00213562"/>
    <w:rsid w:val="0021360C"/>
    <w:rsid w:val="00213764"/>
    <w:rsid w:val="00213A31"/>
    <w:rsid w:val="002145F4"/>
    <w:rsid w:val="002146BA"/>
    <w:rsid w:val="0021479A"/>
    <w:rsid w:val="00214945"/>
    <w:rsid w:val="00214C89"/>
    <w:rsid w:val="00214DA4"/>
    <w:rsid w:val="0021503E"/>
    <w:rsid w:val="002155EE"/>
    <w:rsid w:val="00215F87"/>
    <w:rsid w:val="002165A1"/>
    <w:rsid w:val="00216810"/>
    <w:rsid w:val="002174FA"/>
    <w:rsid w:val="00217BBB"/>
    <w:rsid w:val="00217CBC"/>
    <w:rsid w:val="00217D0C"/>
    <w:rsid w:val="00217D5F"/>
    <w:rsid w:val="00217FE4"/>
    <w:rsid w:val="00220AF3"/>
    <w:rsid w:val="00220D65"/>
    <w:rsid w:val="00220DEC"/>
    <w:rsid w:val="002210EE"/>
    <w:rsid w:val="00221591"/>
    <w:rsid w:val="00221636"/>
    <w:rsid w:val="00221749"/>
    <w:rsid w:val="0022183F"/>
    <w:rsid w:val="00221A86"/>
    <w:rsid w:val="00221D03"/>
    <w:rsid w:val="00221D81"/>
    <w:rsid w:val="0022204F"/>
    <w:rsid w:val="0022212F"/>
    <w:rsid w:val="002222A6"/>
    <w:rsid w:val="002222B9"/>
    <w:rsid w:val="002226E7"/>
    <w:rsid w:val="00222754"/>
    <w:rsid w:val="00222782"/>
    <w:rsid w:val="00222AF9"/>
    <w:rsid w:val="00222C8F"/>
    <w:rsid w:val="00222F4A"/>
    <w:rsid w:val="00222FFE"/>
    <w:rsid w:val="002235B7"/>
    <w:rsid w:val="002235EA"/>
    <w:rsid w:val="0022370B"/>
    <w:rsid w:val="00223757"/>
    <w:rsid w:val="00223786"/>
    <w:rsid w:val="0022395D"/>
    <w:rsid w:val="002240C2"/>
    <w:rsid w:val="0022437F"/>
    <w:rsid w:val="002243AA"/>
    <w:rsid w:val="00224D02"/>
    <w:rsid w:val="00224DF2"/>
    <w:rsid w:val="002256AE"/>
    <w:rsid w:val="00225D26"/>
    <w:rsid w:val="0022626E"/>
    <w:rsid w:val="00226AB7"/>
    <w:rsid w:val="00226B27"/>
    <w:rsid w:val="00226FA3"/>
    <w:rsid w:val="002272F8"/>
    <w:rsid w:val="0022749B"/>
    <w:rsid w:val="00227C04"/>
    <w:rsid w:val="00227FAE"/>
    <w:rsid w:val="002300BE"/>
    <w:rsid w:val="002303A1"/>
    <w:rsid w:val="00230676"/>
    <w:rsid w:val="00230B20"/>
    <w:rsid w:val="00230BFD"/>
    <w:rsid w:val="00230CE5"/>
    <w:rsid w:val="0023162F"/>
    <w:rsid w:val="00231853"/>
    <w:rsid w:val="002318CE"/>
    <w:rsid w:val="00231E97"/>
    <w:rsid w:val="002321C7"/>
    <w:rsid w:val="0023243A"/>
    <w:rsid w:val="002327B6"/>
    <w:rsid w:val="002328B8"/>
    <w:rsid w:val="00232C35"/>
    <w:rsid w:val="00233086"/>
    <w:rsid w:val="0023354B"/>
    <w:rsid w:val="00233AE4"/>
    <w:rsid w:val="00233DE8"/>
    <w:rsid w:val="00233DEF"/>
    <w:rsid w:val="002341F4"/>
    <w:rsid w:val="002342C1"/>
    <w:rsid w:val="00234713"/>
    <w:rsid w:val="002350AA"/>
    <w:rsid w:val="0023511B"/>
    <w:rsid w:val="0023524B"/>
    <w:rsid w:val="0023561D"/>
    <w:rsid w:val="00235A28"/>
    <w:rsid w:val="00235D76"/>
    <w:rsid w:val="00235E1B"/>
    <w:rsid w:val="00235E58"/>
    <w:rsid w:val="0023635A"/>
    <w:rsid w:val="002366BC"/>
    <w:rsid w:val="0023674B"/>
    <w:rsid w:val="00236769"/>
    <w:rsid w:val="00236993"/>
    <w:rsid w:val="00236D46"/>
    <w:rsid w:val="00236E9B"/>
    <w:rsid w:val="002375FB"/>
    <w:rsid w:val="00237B9A"/>
    <w:rsid w:val="0024006F"/>
    <w:rsid w:val="002403B9"/>
    <w:rsid w:val="002404DD"/>
    <w:rsid w:val="00240661"/>
    <w:rsid w:val="00240CBD"/>
    <w:rsid w:val="00241AD5"/>
    <w:rsid w:val="00241C09"/>
    <w:rsid w:val="00241C2A"/>
    <w:rsid w:val="00241D85"/>
    <w:rsid w:val="00241F20"/>
    <w:rsid w:val="002420BA"/>
    <w:rsid w:val="00242371"/>
    <w:rsid w:val="00242517"/>
    <w:rsid w:val="0024256F"/>
    <w:rsid w:val="002425DF"/>
    <w:rsid w:val="00242A01"/>
    <w:rsid w:val="00242B01"/>
    <w:rsid w:val="00243092"/>
    <w:rsid w:val="00243465"/>
    <w:rsid w:val="0024355E"/>
    <w:rsid w:val="0024382F"/>
    <w:rsid w:val="00243833"/>
    <w:rsid w:val="00243B99"/>
    <w:rsid w:val="00243BE8"/>
    <w:rsid w:val="00243D02"/>
    <w:rsid w:val="00244123"/>
    <w:rsid w:val="002443E7"/>
    <w:rsid w:val="002446DA"/>
    <w:rsid w:val="00244917"/>
    <w:rsid w:val="002449A8"/>
    <w:rsid w:val="00244B5D"/>
    <w:rsid w:val="00245011"/>
    <w:rsid w:val="00245099"/>
    <w:rsid w:val="00246782"/>
    <w:rsid w:val="00246BDC"/>
    <w:rsid w:val="00247061"/>
    <w:rsid w:val="00247254"/>
    <w:rsid w:val="00247387"/>
    <w:rsid w:val="00247920"/>
    <w:rsid w:val="00247B6E"/>
    <w:rsid w:val="00247DAE"/>
    <w:rsid w:val="00250610"/>
    <w:rsid w:val="00250960"/>
    <w:rsid w:val="0025133E"/>
    <w:rsid w:val="00251382"/>
    <w:rsid w:val="002515E2"/>
    <w:rsid w:val="002516BA"/>
    <w:rsid w:val="00251BDE"/>
    <w:rsid w:val="0025216D"/>
    <w:rsid w:val="00252306"/>
    <w:rsid w:val="00252A58"/>
    <w:rsid w:val="00252F2A"/>
    <w:rsid w:val="0025344D"/>
    <w:rsid w:val="00254028"/>
    <w:rsid w:val="002544D2"/>
    <w:rsid w:val="00254694"/>
    <w:rsid w:val="00254BFD"/>
    <w:rsid w:val="002550F3"/>
    <w:rsid w:val="00255505"/>
    <w:rsid w:val="002557C8"/>
    <w:rsid w:val="00255BBD"/>
    <w:rsid w:val="00255F95"/>
    <w:rsid w:val="00256072"/>
    <w:rsid w:val="0025668B"/>
    <w:rsid w:val="002566E1"/>
    <w:rsid w:val="002568F0"/>
    <w:rsid w:val="00256C03"/>
    <w:rsid w:val="00257112"/>
    <w:rsid w:val="0025721F"/>
    <w:rsid w:val="002575DA"/>
    <w:rsid w:val="00257826"/>
    <w:rsid w:val="00257BD4"/>
    <w:rsid w:val="00257D94"/>
    <w:rsid w:val="00257EF1"/>
    <w:rsid w:val="00257F89"/>
    <w:rsid w:val="00260110"/>
    <w:rsid w:val="002604F6"/>
    <w:rsid w:val="002610C3"/>
    <w:rsid w:val="0026215F"/>
    <w:rsid w:val="0026226D"/>
    <w:rsid w:val="00262B95"/>
    <w:rsid w:val="00263583"/>
    <w:rsid w:val="00263A3F"/>
    <w:rsid w:val="00263B1E"/>
    <w:rsid w:val="00263D00"/>
    <w:rsid w:val="00264B6C"/>
    <w:rsid w:val="00264D93"/>
    <w:rsid w:val="0026574A"/>
    <w:rsid w:val="00266625"/>
    <w:rsid w:val="00266FB1"/>
    <w:rsid w:val="0027072D"/>
    <w:rsid w:val="00271144"/>
    <w:rsid w:val="00271587"/>
    <w:rsid w:val="002718CA"/>
    <w:rsid w:val="00271EDE"/>
    <w:rsid w:val="00272080"/>
    <w:rsid w:val="002721D2"/>
    <w:rsid w:val="0027239A"/>
    <w:rsid w:val="0027285B"/>
    <w:rsid w:val="00272A13"/>
    <w:rsid w:val="00272C6C"/>
    <w:rsid w:val="00272E4A"/>
    <w:rsid w:val="00272EB4"/>
    <w:rsid w:val="00273352"/>
    <w:rsid w:val="0027341D"/>
    <w:rsid w:val="00273530"/>
    <w:rsid w:val="00273A5C"/>
    <w:rsid w:val="00273F2B"/>
    <w:rsid w:val="00274BBE"/>
    <w:rsid w:val="00275092"/>
    <w:rsid w:val="0027548C"/>
    <w:rsid w:val="00275913"/>
    <w:rsid w:val="00275BF3"/>
    <w:rsid w:val="00275F01"/>
    <w:rsid w:val="002766AF"/>
    <w:rsid w:val="00276A0B"/>
    <w:rsid w:val="00276AAE"/>
    <w:rsid w:val="00277E39"/>
    <w:rsid w:val="00277FEF"/>
    <w:rsid w:val="0028029B"/>
    <w:rsid w:val="00280501"/>
    <w:rsid w:val="00280528"/>
    <w:rsid w:val="00280679"/>
    <w:rsid w:val="00280DA8"/>
    <w:rsid w:val="00282533"/>
    <w:rsid w:val="002825D3"/>
    <w:rsid w:val="0028297A"/>
    <w:rsid w:val="00282D62"/>
    <w:rsid w:val="00282FCC"/>
    <w:rsid w:val="00283125"/>
    <w:rsid w:val="0028365A"/>
    <w:rsid w:val="00283975"/>
    <w:rsid w:val="00283A3C"/>
    <w:rsid w:val="00284C3D"/>
    <w:rsid w:val="0028516A"/>
    <w:rsid w:val="0028575D"/>
    <w:rsid w:val="002859E4"/>
    <w:rsid w:val="00285D41"/>
    <w:rsid w:val="00285DD4"/>
    <w:rsid w:val="00285F53"/>
    <w:rsid w:val="00286076"/>
    <w:rsid w:val="0028658B"/>
    <w:rsid w:val="00286612"/>
    <w:rsid w:val="0028675A"/>
    <w:rsid w:val="002869B8"/>
    <w:rsid w:val="00286CD7"/>
    <w:rsid w:val="00287462"/>
    <w:rsid w:val="002876F3"/>
    <w:rsid w:val="0028788C"/>
    <w:rsid w:val="002879BC"/>
    <w:rsid w:val="00287BEB"/>
    <w:rsid w:val="00287C5E"/>
    <w:rsid w:val="00290578"/>
    <w:rsid w:val="002908F1"/>
    <w:rsid w:val="0029100F"/>
    <w:rsid w:val="002913F8"/>
    <w:rsid w:val="00291594"/>
    <w:rsid w:val="0029161F"/>
    <w:rsid w:val="002916B9"/>
    <w:rsid w:val="00291B6B"/>
    <w:rsid w:val="00291C4D"/>
    <w:rsid w:val="00291FB3"/>
    <w:rsid w:val="002922DE"/>
    <w:rsid w:val="00292FFE"/>
    <w:rsid w:val="0029321A"/>
    <w:rsid w:val="002934AE"/>
    <w:rsid w:val="00293A0F"/>
    <w:rsid w:val="00293B11"/>
    <w:rsid w:val="00293C36"/>
    <w:rsid w:val="00294038"/>
    <w:rsid w:val="002942E3"/>
    <w:rsid w:val="00294630"/>
    <w:rsid w:val="00294715"/>
    <w:rsid w:val="00294B66"/>
    <w:rsid w:val="00294C91"/>
    <w:rsid w:val="00295320"/>
    <w:rsid w:val="00295381"/>
    <w:rsid w:val="00295617"/>
    <w:rsid w:val="00295B8F"/>
    <w:rsid w:val="00295FC4"/>
    <w:rsid w:val="00296140"/>
    <w:rsid w:val="00296195"/>
    <w:rsid w:val="002969E6"/>
    <w:rsid w:val="00296A4F"/>
    <w:rsid w:val="00296E22"/>
    <w:rsid w:val="0029793D"/>
    <w:rsid w:val="002979A8"/>
    <w:rsid w:val="002979CC"/>
    <w:rsid w:val="00297AB8"/>
    <w:rsid w:val="00297E1D"/>
    <w:rsid w:val="00297ED1"/>
    <w:rsid w:val="002A059D"/>
    <w:rsid w:val="002A0ABE"/>
    <w:rsid w:val="002A0C85"/>
    <w:rsid w:val="002A159E"/>
    <w:rsid w:val="002A1C93"/>
    <w:rsid w:val="002A2038"/>
    <w:rsid w:val="002A21BF"/>
    <w:rsid w:val="002A2881"/>
    <w:rsid w:val="002A2FF2"/>
    <w:rsid w:val="002A350A"/>
    <w:rsid w:val="002A41F2"/>
    <w:rsid w:val="002A4AC6"/>
    <w:rsid w:val="002A53D0"/>
    <w:rsid w:val="002A557F"/>
    <w:rsid w:val="002A564C"/>
    <w:rsid w:val="002A5A8D"/>
    <w:rsid w:val="002A6015"/>
    <w:rsid w:val="002A623F"/>
    <w:rsid w:val="002A63E4"/>
    <w:rsid w:val="002A6440"/>
    <w:rsid w:val="002A664A"/>
    <w:rsid w:val="002A6E7D"/>
    <w:rsid w:val="002A6ECD"/>
    <w:rsid w:val="002A6FC7"/>
    <w:rsid w:val="002A7470"/>
    <w:rsid w:val="002A74F6"/>
    <w:rsid w:val="002A7A32"/>
    <w:rsid w:val="002A7D62"/>
    <w:rsid w:val="002A7F74"/>
    <w:rsid w:val="002B02B6"/>
    <w:rsid w:val="002B0864"/>
    <w:rsid w:val="002B09BE"/>
    <w:rsid w:val="002B09CF"/>
    <w:rsid w:val="002B0C00"/>
    <w:rsid w:val="002B0E58"/>
    <w:rsid w:val="002B0E66"/>
    <w:rsid w:val="002B123D"/>
    <w:rsid w:val="002B1747"/>
    <w:rsid w:val="002B1B8F"/>
    <w:rsid w:val="002B1C1E"/>
    <w:rsid w:val="002B1D22"/>
    <w:rsid w:val="002B2036"/>
    <w:rsid w:val="002B23C1"/>
    <w:rsid w:val="002B25F9"/>
    <w:rsid w:val="002B2679"/>
    <w:rsid w:val="002B2838"/>
    <w:rsid w:val="002B284E"/>
    <w:rsid w:val="002B2C0D"/>
    <w:rsid w:val="002B2D0C"/>
    <w:rsid w:val="002B30CC"/>
    <w:rsid w:val="002B34C2"/>
    <w:rsid w:val="002B3DA3"/>
    <w:rsid w:val="002B4389"/>
    <w:rsid w:val="002B4B91"/>
    <w:rsid w:val="002B4D14"/>
    <w:rsid w:val="002B4D89"/>
    <w:rsid w:val="002B57C5"/>
    <w:rsid w:val="002B595D"/>
    <w:rsid w:val="002B59A6"/>
    <w:rsid w:val="002B59D0"/>
    <w:rsid w:val="002B5FA1"/>
    <w:rsid w:val="002B6F02"/>
    <w:rsid w:val="002B7845"/>
    <w:rsid w:val="002B7A24"/>
    <w:rsid w:val="002B7BEB"/>
    <w:rsid w:val="002B7D70"/>
    <w:rsid w:val="002C0552"/>
    <w:rsid w:val="002C0655"/>
    <w:rsid w:val="002C0736"/>
    <w:rsid w:val="002C0751"/>
    <w:rsid w:val="002C0B97"/>
    <w:rsid w:val="002C0E69"/>
    <w:rsid w:val="002C0FC2"/>
    <w:rsid w:val="002C10F7"/>
    <w:rsid w:val="002C11A5"/>
    <w:rsid w:val="002C14D8"/>
    <w:rsid w:val="002C1CE3"/>
    <w:rsid w:val="002C1F9E"/>
    <w:rsid w:val="002C245D"/>
    <w:rsid w:val="002C299A"/>
    <w:rsid w:val="002C2D7B"/>
    <w:rsid w:val="002C311F"/>
    <w:rsid w:val="002C32C0"/>
    <w:rsid w:val="002C3356"/>
    <w:rsid w:val="002C3653"/>
    <w:rsid w:val="002C3799"/>
    <w:rsid w:val="002C3BE8"/>
    <w:rsid w:val="002C4366"/>
    <w:rsid w:val="002C44BC"/>
    <w:rsid w:val="002C4911"/>
    <w:rsid w:val="002C4EFA"/>
    <w:rsid w:val="002C4F4F"/>
    <w:rsid w:val="002C4FFF"/>
    <w:rsid w:val="002C5426"/>
    <w:rsid w:val="002C5BEF"/>
    <w:rsid w:val="002C5C8B"/>
    <w:rsid w:val="002C63CA"/>
    <w:rsid w:val="002C6A58"/>
    <w:rsid w:val="002C6B76"/>
    <w:rsid w:val="002C6CF6"/>
    <w:rsid w:val="002C70B4"/>
    <w:rsid w:val="002C7162"/>
    <w:rsid w:val="002C730F"/>
    <w:rsid w:val="002C73B9"/>
    <w:rsid w:val="002C7431"/>
    <w:rsid w:val="002C753F"/>
    <w:rsid w:val="002C78C7"/>
    <w:rsid w:val="002C7A44"/>
    <w:rsid w:val="002C7C33"/>
    <w:rsid w:val="002C7D2B"/>
    <w:rsid w:val="002D0499"/>
    <w:rsid w:val="002D0E0A"/>
    <w:rsid w:val="002D1ADB"/>
    <w:rsid w:val="002D1DF5"/>
    <w:rsid w:val="002D1FB5"/>
    <w:rsid w:val="002D2009"/>
    <w:rsid w:val="002D27E3"/>
    <w:rsid w:val="002D2E15"/>
    <w:rsid w:val="002D33EB"/>
    <w:rsid w:val="002D3FD0"/>
    <w:rsid w:val="002D4042"/>
    <w:rsid w:val="002D41AE"/>
    <w:rsid w:val="002D4422"/>
    <w:rsid w:val="002D46D7"/>
    <w:rsid w:val="002D496C"/>
    <w:rsid w:val="002D4DA7"/>
    <w:rsid w:val="002D4F74"/>
    <w:rsid w:val="002D4F99"/>
    <w:rsid w:val="002D4FCD"/>
    <w:rsid w:val="002D51BA"/>
    <w:rsid w:val="002D5FB2"/>
    <w:rsid w:val="002D6843"/>
    <w:rsid w:val="002D6B17"/>
    <w:rsid w:val="002D702B"/>
    <w:rsid w:val="002D7733"/>
    <w:rsid w:val="002E0595"/>
    <w:rsid w:val="002E074C"/>
    <w:rsid w:val="002E0CC7"/>
    <w:rsid w:val="002E0CE8"/>
    <w:rsid w:val="002E0D1D"/>
    <w:rsid w:val="002E0DDF"/>
    <w:rsid w:val="002E11C3"/>
    <w:rsid w:val="002E16C3"/>
    <w:rsid w:val="002E21D1"/>
    <w:rsid w:val="002E2500"/>
    <w:rsid w:val="002E2592"/>
    <w:rsid w:val="002E273B"/>
    <w:rsid w:val="002E32AF"/>
    <w:rsid w:val="002E32BC"/>
    <w:rsid w:val="002E3D05"/>
    <w:rsid w:val="002E4619"/>
    <w:rsid w:val="002E46EF"/>
    <w:rsid w:val="002E4CBC"/>
    <w:rsid w:val="002E501D"/>
    <w:rsid w:val="002E543D"/>
    <w:rsid w:val="002E59BD"/>
    <w:rsid w:val="002E5CF3"/>
    <w:rsid w:val="002E5D61"/>
    <w:rsid w:val="002E6294"/>
    <w:rsid w:val="002E6E8B"/>
    <w:rsid w:val="002E74D5"/>
    <w:rsid w:val="002E777F"/>
    <w:rsid w:val="002E7EBB"/>
    <w:rsid w:val="002F002E"/>
    <w:rsid w:val="002F04CB"/>
    <w:rsid w:val="002F06FC"/>
    <w:rsid w:val="002F1C0F"/>
    <w:rsid w:val="002F1C47"/>
    <w:rsid w:val="002F1C9C"/>
    <w:rsid w:val="002F1DCD"/>
    <w:rsid w:val="002F23B5"/>
    <w:rsid w:val="002F23DA"/>
    <w:rsid w:val="002F26FA"/>
    <w:rsid w:val="002F34FD"/>
    <w:rsid w:val="002F3919"/>
    <w:rsid w:val="002F3B1B"/>
    <w:rsid w:val="002F3BA8"/>
    <w:rsid w:val="002F41D1"/>
    <w:rsid w:val="002F42C9"/>
    <w:rsid w:val="002F4459"/>
    <w:rsid w:val="002F4643"/>
    <w:rsid w:val="002F494B"/>
    <w:rsid w:val="002F4C66"/>
    <w:rsid w:val="002F4DEE"/>
    <w:rsid w:val="002F4E7E"/>
    <w:rsid w:val="002F4F46"/>
    <w:rsid w:val="002F53D3"/>
    <w:rsid w:val="002F54A9"/>
    <w:rsid w:val="002F5620"/>
    <w:rsid w:val="002F5647"/>
    <w:rsid w:val="002F57B0"/>
    <w:rsid w:val="002F586B"/>
    <w:rsid w:val="002F5E1C"/>
    <w:rsid w:val="002F61B9"/>
    <w:rsid w:val="002F66FC"/>
    <w:rsid w:val="002F6C6A"/>
    <w:rsid w:val="002F70F4"/>
    <w:rsid w:val="002F7E11"/>
    <w:rsid w:val="002F7E38"/>
    <w:rsid w:val="003002CE"/>
    <w:rsid w:val="00300521"/>
    <w:rsid w:val="003005BA"/>
    <w:rsid w:val="0030095B"/>
    <w:rsid w:val="0030162B"/>
    <w:rsid w:val="00301B85"/>
    <w:rsid w:val="00301D05"/>
    <w:rsid w:val="00301E4A"/>
    <w:rsid w:val="00301E4E"/>
    <w:rsid w:val="00301F1E"/>
    <w:rsid w:val="00301FFB"/>
    <w:rsid w:val="003022AD"/>
    <w:rsid w:val="0030237A"/>
    <w:rsid w:val="0030286F"/>
    <w:rsid w:val="003029AE"/>
    <w:rsid w:val="00302D3D"/>
    <w:rsid w:val="00302DC6"/>
    <w:rsid w:val="00303474"/>
    <w:rsid w:val="003039C4"/>
    <w:rsid w:val="00304335"/>
    <w:rsid w:val="003044B5"/>
    <w:rsid w:val="003045AD"/>
    <w:rsid w:val="0030481D"/>
    <w:rsid w:val="00304D3D"/>
    <w:rsid w:val="00305C66"/>
    <w:rsid w:val="00305FC9"/>
    <w:rsid w:val="003065E0"/>
    <w:rsid w:val="00306667"/>
    <w:rsid w:val="00306D1B"/>
    <w:rsid w:val="0030726F"/>
    <w:rsid w:val="00307882"/>
    <w:rsid w:val="0031041E"/>
    <w:rsid w:val="0031043A"/>
    <w:rsid w:val="00310996"/>
    <w:rsid w:val="003109E0"/>
    <w:rsid w:val="003114F8"/>
    <w:rsid w:val="00311E94"/>
    <w:rsid w:val="0031214F"/>
    <w:rsid w:val="0031307E"/>
    <w:rsid w:val="00313098"/>
    <w:rsid w:val="003130CC"/>
    <w:rsid w:val="00313268"/>
    <w:rsid w:val="0031355D"/>
    <w:rsid w:val="00313AA2"/>
    <w:rsid w:val="00314095"/>
    <w:rsid w:val="00314372"/>
    <w:rsid w:val="00314552"/>
    <w:rsid w:val="00314F4D"/>
    <w:rsid w:val="00315C22"/>
    <w:rsid w:val="003161AC"/>
    <w:rsid w:val="003163CA"/>
    <w:rsid w:val="00316639"/>
    <w:rsid w:val="00316A1B"/>
    <w:rsid w:val="0031737E"/>
    <w:rsid w:val="003173F1"/>
    <w:rsid w:val="0031746A"/>
    <w:rsid w:val="003176B5"/>
    <w:rsid w:val="003177E4"/>
    <w:rsid w:val="00317834"/>
    <w:rsid w:val="00317AC5"/>
    <w:rsid w:val="00317ED3"/>
    <w:rsid w:val="0032040F"/>
    <w:rsid w:val="00320DBA"/>
    <w:rsid w:val="00320F9E"/>
    <w:rsid w:val="003213FE"/>
    <w:rsid w:val="0032156F"/>
    <w:rsid w:val="00321698"/>
    <w:rsid w:val="00321878"/>
    <w:rsid w:val="00321FA6"/>
    <w:rsid w:val="00322011"/>
    <w:rsid w:val="00322014"/>
    <w:rsid w:val="003224BD"/>
    <w:rsid w:val="00322723"/>
    <w:rsid w:val="00322997"/>
    <w:rsid w:val="003229D3"/>
    <w:rsid w:val="00322D7E"/>
    <w:rsid w:val="0032360A"/>
    <w:rsid w:val="00323B7E"/>
    <w:rsid w:val="003243D1"/>
    <w:rsid w:val="003247BB"/>
    <w:rsid w:val="00324874"/>
    <w:rsid w:val="00324989"/>
    <w:rsid w:val="00324FF4"/>
    <w:rsid w:val="003253EB"/>
    <w:rsid w:val="00325862"/>
    <w:rsid w:val="00325CF1"/>
    <w:rsid w:val="003264B2"/>
    <w:rsid w:val="00326B8C"/>
    <w:rsid w:val="00326CBB"/>
    <w:rsid w:val="00327057"/>
    <w:rsid w:val="003271FC"/>
    <w:rsid w:val="003272E4"/>
    <w:rsid w:val="00327500"/>
    <w:rsid w:val="00327828"/>
    <w:rsid w:val="003300BD"/>
    <w:rsid w:val="00330250"/>
    <w:rsid w:val="00330420"/>
    <w:rsid w:val="00330626"/>
    <w:rsid w:val="00330B30"/>
    <w:rsid w:val="00330C80"/>
    <w:rsid w:val="003310A9"/>
    <w:rsid w:val="00331150"/>
    <w:rsid w:val="003314D3"/>
    <w:rsid w:val="003316D9"/>
    <w:rsid w:val="00331C1F"/>
    <w:rsid w:val="00331DE9"/>
    <w:rsid w:val="003323E3"/>
    <w:rsid w:val="00332B06"/>
    <w:rsid w:val="0033325D"/>
    <w:rsid w:val="003337C5"/>
    <w:rsid w:val="003337D3"/>
    <w:rsid w:val="00333E5C"/>
    <w:rsid w:val="00333ED9"/>
    <w:rsid w:val="003345FC"/>
    <w:rsid w:val="00334C07"/>
    <w:rsid w:val="00334CBC"/>
    <w:rsid w:val="00335703"/>
    <w:rsid w:val="00335917"/>
    <w:rsid w:val="003359D2"/>
    <w:rsid w:val="00335A29"/>
    <w:rsid w:val="00335F4C"/>
    <w:rsid w:val="0033632A"/>
    <w:rsid w:val="0033659D"/>
    <w:rsid w:val="00336728"/>
    <w:rsid w:val="003375C6"/>
    <w:rsid w:val="00337781"/>
    <w:rsid w:val="00340138"/>
    <w:rsid w:val="003404F1"/>
    <w:rsid w:val="003409AC"/>
    <w:rsid w:val="00340A16"/>
    <w:rsid w:val="00340BCD"/>
    <w:rsid w:val="00340F22"/>
    <w:rsid w:val="00341098"/>
    <w:rsid w:val="003412B8"/>
    <w:rsid w:val="00341356"/>
    <w:rsid w:val="00341373"/>
    <w:rsid w:val="0034193C"/>
    <w:rsid w:val="00341D97"/>
    <w:rsid w:val="00341F6B"/>
    <w:rsid w:val="00341FEC"/>
    <w:rsid w:val="003423B3"/>
    <w:rsid w:val="00342430"/>
    <w:rsid w:val="00342638"/>
    <w:rsid w:val="003428F5"/>
    <w:rsid w:val="00342955"/>
    <w:rsid w:val="00342EFD"/>
    <w:rsid w:val="00342F9E"/>
    <w:rsid w:val="00343A4E"/>
    <w:rsid w:val="00343B2F"/>
    <w:rsid w:val="00343BE9"/>
    <w:rsid w:val="00343CFC"/>
    <w:rsid w:val="00343F75"/>
    <w:rsid w:val="0034481C"/>
    <w:rsid w:val="00344ADF"/>
    <w:rsid w:val="00345216"/>
    <w:rsid w:val="003452D4"/>
    <w:rsid w:val="003463EB"/>
    <w:rsid w:val="00346722"/>
    <w:rsid w:val="0034682D"/>
    <w:rsid w:val="00346BFC"/>
    <w:rsid w:val="00346C4F"/>
    <w:rsid w:val="00346EFE"/>
    <w:rsid w:val="00346F79"/>
    <w:rsid w:val="00347226"/>
    <w:rsid w:val="003474FB"/>
    <w:rsid w:val="0034772A"/>
    <w:rsid w:val="003477E0"/>
    <w:rsid w:val="0034784F"/>
    <w:rsid w:val="00347978"/>
    <w:rsid w:val="003479F5"/>
    <w:rsid w:val="0035037D"/>
    <w:rsid w:val="0035058B"/>
    <w:rsid w:val="00350EC7"/>
    <w:rsid w:val="0035118F"/>
    <w:rsid w:val="00351783"/>
    <w:rsid w:val="0035220B"/>
    <w:rsid w:val="0035265B"/>
    <w:rsid w:val="003527C5"/>
    <w:rsid w:val="00352C72"/>
    <w:rsid w:val="0035336D"/>
    <w:rsid w:val="00353728"/>
    <w:rsid w:val="003537F3"/>
    <w:rsid w:val="00353C59"/>
    <w:rsid w:val="00353D46"/>
    <w:rsid w:val="00353FB2"/>
    <w:rsid w:val="0035465D"/>
    <w:rsid w:val="003547CB"/>
    <w:rsid w:val="00355017"/>
    <w:rsid w:val="003550BE"/>
    <w:rsid w:val="0035532A"/>
    <w:rsid w:val="00355BC3"/>
    <w:rsid w:val="00355C55"/>
    <w:rsid w:val="00356396"/>
    <w:rsid w:val="003563D5"/>
    <w:rsid w:val="003569D0"/>
    <w:rsid w:val="00356DC5"/>
    <w:rsid w:val="0035721C"/>
    <w:rsid w:val="003575E2"/>
    <w:rsid w:val="00357624"/>
    <w:rsid w:val="0035794B"/>
    <w:rsid w:val="00357A68"/>
    <w:rsid w:val="00357DE9"/>
    <w:rsid w:val="00360889"/>
    <w:rsid w:val="00360B08"/>
    <w:rsid w:val="00360B71"/>
    <w:rsid w:val="00360F2A"/>
    <w:rsid w:val="0036139E"/>
    <w:rsid w:val="00361409"/>
    <w:rsid w:val="003614F4"/>
    <w:rsid w:val="003616E4"/>
    <w:rsid w:val="003617D8"/>
    <w:rsid w:val="00361C3E"/>
    <w:rsid w:val="00361FC2"/>
    <w:rsid w:val="0036261B"/>
    <w:rsid w:val="00362629"/>
    <w:rsid w:val="003627B0"/>
    <w:rsid w:val="00362DA1"/>
    <w:rsid w:val="0036366F"/>
    <w:rsid w:val="0036369E"/>
    <w:rsid w:val="00363902"/>
    <w:rsid w:val="00363909"/>
    <w:rsid w:val="00363949"/>
    <w:rsid w:val="00363BE8"/>
    <w:rsid w:val="003645AF"/>
    <w:rsid w:val="003649F3"/>
    <w:rsid w:val="00364B59"/>
    <w:rsid w:val="00364FAC"/>
    <w:rsid w:val="0036535B"/>
    <w:rsid w:val="00365547"/>
    <w:rsid w:val="003659DA"/>
    <w:rsid w:val="00365BBB"/>
    <w:rsid w:val="00365C28"/>
    <w:rsid w:val="00365F25"/>
    <w:rsid w:val="0036605E"/>
    <w:rsid w:val="00366814"/>
    <w:rsid w:val="00367494"/>
    <w:rsid w:val="00367CEA"/>
    <w:rsid w:val="003701B3"/>
    <w:rsid w:val="00370996"/>
    <w:rsid w:val="00370BC8"/>
    <w:rsid w:val="003711EF"/>
    <w:rsid w:val="00371538"/>
    <w:rsid w:val="00371B92"/>
    <w:rsid w:val="00371BF7"/>
    <w:rsid w:val="00371C93"/>
    <w:rsid w:val="00371DC6"/>
    <w:rsid w:val="00372B0E"/>
    <w:rsid w:val="00373211"/>
    <w:rsid w:val="00373564"/>
    <w:rsid w:val="00373ACA"/>
    <w:rsid w:val="00374049"/>
    <w:rsid w:val="0037419F"/>
    <w:rsid w:val="00374444"/>
    <w:rsid w:val="00374477"/>
    <w:rsid w:val="00374DE3"/>
    <w:rsid w:val="0037588D"/>
    <w:rsid w:val="00376119"/>
    <w:rsid w:val="00376565"/>
    <w:rsid w:val="00376FF1"/>
    <w:rsid w:val="00377669"/>
    <w:rsid w:val="003778B7"/>
    <w:rsid w:val="0038048B"/>
    <w:rsid w:val="003805C9"/>
    <w:rsid w:val="0038150C"/>
    <w:rsid w:val="00381DB0"/>
    <w:rsid w:val="00381E16"/>
    <w:rsid w:val="00382305"/>
    <w:rsid w:val="0038306F"/>
    <w:rsid w:val="0038345E"/>
    <w:rsid w:val="00383554"/>
    <w:rsid w:val="0038382B"/>
    <w:rsid w:val="00383E7E"/>
    <w:rsid w:val="0038401B"/>
    <w:rsid w:val="0038447D"/>
    <w:rsid w:val="00384854"/>
    <w:rsid w:val="00384979"/>
    <w:rsid w:val="00384B93"/>
    <w:rsid w:val="00385639"/>
    <w:rsid w:val="003857D8"/>
    <w:rsid w:val="003859A5"/>
    <w:rsid w:val="00385F3C"/>
    <w:rsid w:val="0038613A"/>
    <w:rsid w:val="00387500"/>
    <w:rsid w:val="0038770D"/>
    <w:rsid w:val="00387C89"/>
    <w:rsid w:val="00387CBD"/>
    <w:rsid w:val="0039064F"/>
    <w:rsid w:val="00390D41"/>
    <w:rsid w:val="003911B8"/>
    <w:rsid w:val="003914B0"/>
    <w:rsid w:val="0039171D"/>
    <w:rsid w:val="00391A75"/>
    <w:rsid w:val="00391AD8"/>
    <w:rsid w:val="00391AEA"/>
    <w:rsid w:val="00391C79"/>
    <w:rsid w:val="00391FE7"/>
    <w:rsid w:val="003920E4"/>
    <w:rsid w:val="0039244D"/>
    <w:rsid w:val="00392761"/>
    <w:rsid w:val="00392913"/>
    <w:rsid w:val="00392D9F"/>
    <w:rsid w:val="00393426"/>
    <w:rsid w:val="00393433"/>
    <w:rsid w:val="00393565"/>
    <w:rsid w:val="00393757"/>
    <w:rsid w:val="003937AF"/>
    <w:rsid w:val="00393A51"/>
    <w:rsid w:val="00393BC7"/>
    <w:rsid w:val="00393D97"/>
    <w:rsid w:val="00393E5F"/>
    <w:rsid w:val="0039446C"/>
    <w:rsid w:val="00394A11"/>
    <w:rsid w:val="00395063"/>
    <w:rsid w:val="0039523B"/>
    <w:rsid w:val="003955AA"/>
    <w:rsid w:val="00395B59"/>
    <w:rsid w:val="00396208"/>
    <w:rsid w:val="0039640D"/>
    <w:rsid w:val="00396668"/>
    <w:rsid w:val="00396ABA"/>
    <w:rsid w:val="00396DD7"/>
    <w:rsid w:val="003970AC"/>
    <w:rsid w:val="003974CC"/>
    <w:rsid w:val="003A04A1"/>
    <w:rsid w:val="003A064E"/>
    <w:rsid w:val="003A091D"/>
    <w:rsid w:val="003A0931"/>
    <w:rsid w:val="003A09A9"/>
    <w:rsid w:val="003A1E58"/>
    <w:rsid w:val="003A2493"/>
    <w:rsid w:val="003A2B6A"/>
    <w:rsid w:val="003A2F83"/>
    <w:rsid w:val="003A2F97"/>
    <w:rsid w:val="003A3633"/>
    <w:rsid w:val="003A3AA1"/>
    <w:rsid w:val="003A3AD2"/>
    <w:rsid w:val="003A3E55"/>
    <w:rsid w:val="003A409E"/>
    <w:rsid w:val="003A4395"/>
    <w:rsid w:val="003A462A"/>
    <w:rsid w:val="003A4669"/>
    <w:rsid w:val="003A466E"/>
    <w:rsid w:val="003A4C86"/>
    <w:rsid w:val="003A4C98"/>
    <w:rsid w:val="003A527E"/>
    <w:rsid w:val="003A538C"/>
    <w:rsid w:val="003A552A"/>
    <w:rsid w:val="003A5BFD"/>
    <w:rsid w:val="003A60E3"/>
    <w:rsid w:val="003A67C7"/>
    <w:rsid w:val="003A6D99"/>
    <w:rsid w:val="003A717E"/>
    <w:rsid w:val="003A7999"/>
    <w:rsid w:val="003A7D54"/>
    <w:rsid w:val="003A7D83"/>
    <w:rsid w:val="003A7E66"/>
    <w:rsid w:val="003B03CD"/>
    <w:rsid w:val="003B0AC8"/>
    <w:rsid w:val="003B0DCC"/>
    <w:rsid w:val="003B10F9"/>
    <w:rsid w:val="003B1564"/>
    <w:rsid w:val="003B1C47"/>
    <w:rsid w:val="003B1C92"/>
    <w:rsid w:val="003B1DD2"/>
    <w:rsid w:val="003B22E6"/>
    <w:rsid w:val="003B29EE"/>
    <w:rsid w:val="003B2A61"/>
    <w:rsid w:val="003B3188"/>
    <w:rsid w:val="003B31E4"/>
    <w:rsid w:val="003B37B5"/>
    <w:rsid w:val="003B39A8"/>
    <w:rsid w:val="003B3A81"/>
    <w:rsid w:val="003B4433"/>
    <w:rsid w:val="003B49E4"/>
    <w:rsid w:val="003B514B"/>
    <w:rsid w:val="003B525E"/>
    <w:rsid w:val="003B53F4"/>
    <w:rsid w:val="003B58D9"/>
    <w:rsid w:val="003B5B90"/>
    <w:rsid w:val="003B5EBA"/>
    <w:rsid w:val="003B64C9"/>
    <w:rsid w:val="003B6B30"/>
    <w:rsid w:val="003B7C53"/>
    <w:rsid w:val="003C0B92"/>
    <w:rsid w:val="003C0D2B"/>
    <w:rsid w:val="003C1057"/>
    <w:rsid w:val="003C12F9"/>
    <w:rsid w:val="003C1BD4"/>
    <w:rsid w:val="003C29C1"/>
    <w:rsid w:val="003C2F6D"/>
    <w:rsid w:val="003C317E"/>
    <w:rsid w:val="003C3835"/>
    <w:rsid w:val="003C3F0C"/>
    <w:rsid w:val="003C44AA"/>
    <w:rsid w:val="003C46B2"/>
    <w:rsid w:val="003C4743"/>
    <w:rsid w:val="003C4EA3"/>
    <w:rsid w:val="003C5071"/>
    <w:rsid w:val="003C6C6F"/>
    <w:rsid w:val="003C6DBD"/>
    <w:rsid w:val="003C7428"/>
    <w:rsid w:val="003C753D"/>
    <w:rsid w:val="003D039E"/>
    <w:rsid w:val="003D0894"/>
    <w:rsid w:val="003D0973"/>
    <w:rsid w:val="003D0A2D"/>
    <w:rsid w:val="003D0CDD"/>
    <w:rsid w:val="003D106A"/>
    <w:rsid w:val="003D1673"/>
    <w:rsid w:val="003D18EE"/>
    <w:rsid w:val="003D1B70"/>
    <w:rsid w:val="003D1F8B"/>
    <w:rsid w:val="003D231F"/>
    <w:rsid w:val="003D2432"/>
    <w:rsid w:val="003D25F6"/>
    <w:rsid w:val="003D2896"/>
    <w:rsid w:val="003D2C69"/>
    <w:rsid w:val="003D2DE0"/>
    <w:rsid w:val="003D2ED7"/>
    <w:rsid w:val="003D3B46"/>
    <w:rsid w:val="003D3B7F"/>
    <w:rsid w:val="003D45A9"/>
    <w:rsid w:val="003D48DA"/>
    <w:rsid w:val="003D560E"/>
    <w:rsid w:val="003D56AE"/>
    <w:rsid w:val="003D5A85"/>
    <w:rsid w:val="003D62CD"/>
    <w:rsid w:val="003D63C4"/>
    <w:rsid w:val="003D667E"/>
    <w:rsid w:val="003D66F8"/>
    <w:rsid w:val="003D75C5"/>
    <w:rsid w:val="003D7D31"/>
    <w:rsid w:val="003E0161"/>
    <w:rsid w:val="003E0483"/>
    <w:rsid w:val="003E084F"/>
    <w:rsid w:val="003E0882"/>
    <w:rsid w:val="003E0D87"/>
    <w:rsid w:val="003E0DD5"/>
    <w:rsid w:val="003E0E4E"/>
    <w:rsid w:val="003E134C"/>
    <w:rsid w:val="003E14E9"/>
    <w:rsid w:val="003E1C78"/>
    <w:rsid w:val="003E1FE8"/>
    <w:rsid w:val="003E2BD4"/>
    <w:rsid w:val="003E3218"/>
    <w:rsid w:val="003E3670"/>
    <w:rsid w:val="003E3708"/>
    <w:rsid w:val="003E3A05"/>
    <w:rsid w:val="003E3B65"/>
    <w:rsid w:val="003E4205"/>
    <w:rsid w:val="003E4B72"/>
    <w:rsid w:val="003E4E7A"/>
    <w:rsid w:val="003E50C3"/>
    <w:rsid w:val="003E54AC"/>
    <w:rsid w:val="003E54DD"/>
    <w:rsid w:val="003E5F98"/>
    <w:rsid w:val="003E66BC"/>
    <w:rsid w:val="003E710D"/>
    <w:rsid w:val="003E72FA"/>
    <w:rsid w:val="003E741D"/>
    <w:rsid w:val="003E79A3"/>
    <w:rsid w:val="003E7BA9"/>
    <w:rsid w:val="003F0068"/>
    <w:rsid w:val="003F01B3"/>
    <w:rsid w:val="003F05D0"/>
    <w:rsid w:val="003F0B34"/>
    <w:rsid w:val="003F0C58"/>
    <w:rsid w:val="003F1145"/>
    <w:rsid w:val="003F151C"/>
    <w:rsid w:val="003F22A8"/>
    <w:rsid w:val="003F22DC"/>
    <w:rsid w:val="003F241F"/>
    <w:rsid w:val="003F245C"/>
    <w:rsid w:val="003F2910"/>
    <w:rsid w:val="003F2A9A"/>
    <w:rsid w:val="003F3AB3"/>
    <w:rsid w:val="003F3BB9"/>
    <w:rsid w:val="003F3C3D"/>
    <w:rsid w:val="003F3DC9"/>
    <w:rsid w:val="003F423E"/>
    <w:rsid w:val="003F43C8"/>
    <w:rsid w:val="003F4439"/>
    <w:rsid w:val="003F4440"/>
    <w:rsid w:val="003F49D1"/>
    <w:rsid w:val="003F4AB8"/>
    <w:rsid w:val="003F4B76"/>
    <w:rsid w:val="003F4C38"/>
    <w:rsid w:val="003F4C56"/>
    <w:rsid w:val="003F5176"/>
    <w:rsid w:val="003F56AE"/>
    <w:rsid w:val="003F602C"/>
    <w:rsid w:val="003F60A3"/>
    <w:rsid w:val="003F6678"/>
    <w:rsid w:val="003F6789"/>
    <w:rsid w:val="003F6E05"/>
    <w:rsid w:val="003F70A2"/>
    <w:rsid w:val="00400546"/>
    <w:rsid w:val="004006BF"/>
    <w:rsid w:val="0040084C"/>
    <w:rsid w:val="00400A0D"/>
    <w:rsid w:val="00400AD8"/>
    <w:rsid w:val="00400E4C"/>
    <w:rsid w:val="00400F9C"/>
    <w:rsid w:val="00401533"/>
    <w:rsid w:val="0040158D"/>
    <w:rsid w:val="00401E7B"/>
    <w:rsid w:val="0040331C"/>
    <w:rsid w:val="00403525"/>
    <w:rsid w:val="00403A15"/>
    <w:rsid w:val="00403AE7"/>
    <w:rsid w:val="00403B2B"/>
    <w:rsid w:val="00403D56"/>
    <w:rsid w:val="00404021"/>
    <w:rsid w:val="00404279"/>
    <w:rsid w:val="0040537F"/>
    <w:rsid w:val="0040546A"/>
    <w:rsid w:val="004054A8"/>
    <w:rsid w:val="004058E6"/>
    <w:rsid w:val="00405AB4"/>
    <w:rsid w:val="00405E7F"/>
    <w:rsid w:val="004066C3"/>
    <w:rsid w:val="004066D8"/>
    <w:rsid w:val="0040672B"/>
    <w:rsid w:val="00406814"/>
    <w:rsid w:val="004072F0"/>
    <w:rsid w:val="0041071B"/>
    <w:rsid w:val="004109D4"/>
    <w:rsid w:val="00410CC6"/>
    <w:rsid w:val="0041136C"/>
    <w:rsid w:val="00411FA0"/>
    <w:rsid w:val="00411FE3"/>
    <w:rsid w:val="00412065"/>
    <w:rsid w:val="00412760"/>
    <w:rsid w:val="0041307C"/>
    <w:rsid w:val="00413235"/>
    <w:rsid w:val="004141B1"/>
    <w:rsid w:val="004141B2"/>
    <w:rsid w:val="00415330"/>
    <w:rsid w:val="004155A3"/>
    <w:rsid w:val="004157E1"/>
    <w:rsid w:val="00415CAB"/>
    <w:rsid w:val="00415EB8"/>
    <w:rsid w:val="00415F2F"/>
    <w:rsid w:val="00416585"/>
    <w:rsid w:val="004166A5"/>
    <w:rsid w:val="004166AC"/>
    <w:rsid w:val="004168B6"/>
    <w:rsid w:val="00417003"/>
    <w:rsid w:val="00417489"/>
    <w:rsid w:val="00417739"/>
    <w:rsid w:val="004200FC"/>
    <w:rsid w:val="004201F8"/>
    <w:rsid w:val="00420338"/>
    <w:rsid w:val="004208C8"/>
    <w:rsid w:val="00420F09"/>
    <w:rsid w:val="004213FD"/>
    <w:rsid w:val="00421898"/>
    <w:rsid w:val="00421904"/>
    <w:rsid w:val="00421915"/>
    <w:rsid w:val="00421F21"/>
    <w:rsid w:val="004227FB"/>
    <w:rsid w:val="0042292D"/>
    <w:rsid w:val="0042298D"/>
    <w:rsid w:val="00422BCC"/>
    <w:rsid w:val="00422CB5"/>
    <w:rsid w:val="00422E93"/>
    <w:rsid w:val="0042352B"/>
    <w:rsid w:val="00424045"/>
    <w:rsid w:val="00424E01"/>
    <w:rsid w:val="00424E26"/>
    <w:rsid w:val="0042540D"/>
    <w:rsid w:val="0042590C"/>
    <w:rsid w:val="00425AFD"/>
    <w:rsid w:val="00425C7E"/>
    <w:rsid w:val="00425DC4"/>
    <w:rsid w:val="004262CE"/>
    <w:rsid w:val="00426695"/>
    <w:rsid w:val="00426F3A"/>
    <w:rsid w:val="00427BE1"/>
    <w:rsid w:val="00427C67"/>
    <w:rsid w:val="00427D01"/>
    <w:rsid w:val="00430493"/>
    <w:rsid w:val="004305E0"/>
    <w:rsid w:val="00430BEC"/>
    <w:rsid w:val="00431073"/>
    <w:rsid w:val="004315CA"/>
    <w:rsid w:val="00431E95"/>
    <w:rsid w:val="0043261D"/>
    <w:rsid w:val="004326AE"/>
    <w:rsid w:val="004326B9"/>
    <w:rsid w:val="00432C52"/>
    <w:rsid w:val="00432D12"/>
    <w:rsid w:val="00432E6E"/>
    <w:rsid w:val="004334ED"/>
    <w:rsid w:val="00433EDE"/>
    <w:rsid w:val="0043445B"/>
    <w:rsid w:val="0043473D"/>
    <w:rsid w:val="00434AF6"/>
    <w:rsid w:val="0043529B"/>
    <w:rsid w:val="0043564F"/>
    <w:rsid w:val="00435657"/>
    <w:rsid w:val="00435FD9"/>
    <w:rsid w:val="00436566"/>
    <w:rsid w:val="00436618"/>
    <w:rsid w:val="00437147"/>
    <w:rsid w:val="004379D5"/>
    <w:rsid w:val="00437C11"/>
    <w:rsid w:val="00437C9D"/>
    <w:rsid w:val="004404B0"/>
    <w:rsid w:val="004407DC"/>
    <w:rsid w:val="00440A58"/>
    <w:rsid w:val="00440ACC"/>
    <w:rsid w:val="004419B1"/>
    <w:rsid w:val="004424FB"/>
    <w:rsid w:val="00442876"/>
    <w:rsid w:val="00442A17"/>
    <w:rsid w:val="00442BFC"/>
    <w:rsid w:val="00442C77"/>
    <w:rsid w:val="00443245"/>
    <w:rsid w:val="0044324C"/>
    <w:rsid w:val="00443336"/>
    <w:rsid w:val="00443CE7"/>
    <w:rsid w:val="00443D6C"/>
    <w:rsid w:val="00443F4D"/>
    <w:rsid w:val="00443F58"/>
    <w:rsid w:val="004442F2"/>
    <w:rsid w:val="00444313"/>
    <w:rsid w:val="00444728"/>
    <w:rsid w:val="0044484C"/>
    <w:rsid w:val="00444F17"/>
    <w:rsid w:val="00445844"/>
    <w:rsid w:val="00445B92"/>
    <w:rsid w:val="004461F4"/>
    <w:rsid w:val="0044640F"/>
    <w:rsid w:val="0044644A"/>
    <w:rsid w:val="00446630"/>
    <w:rsid w:val="00446694"/>
    <w:rsid w:val="00446736"/>
    <w:rsid w:val="00446741"/>
    <w:rsid w:val="00446D15"/>
    <w:rsid w:val="00447135"/>
    <w:rsid w:val="00447180"/>
    <w:rsid w:val="004476F9"/>
    <w:rsid w:val="00447708"/>
    <w:rsid w:val="00447882"/>
    <w:rsid w:val="00450057"/>
    <w:rsid w:val="0045036F"/>
    <w:rsid w:val="004504DB"/>
    <w:rsid w:val="00450651"/>
    <w:rsid w:val="00450C49"/>
    <w:rsid w:val="00450E6D"/>
    <w:rsid w:val="004510CC"/>
    <w:rsid w:val="0045116A"/>
    <w:rsid w:val="00451572"/>
    <w:rsid w:val="00451B09"/>
    <w:rsid w:val="004521DA"/>
    <w:rsid w:val="004527CD"/>
    <w:rsid w:val="004527CF"/>
    <w:rsid w:val="00452D87"/>
    <w:rsid w:val="004538E4"/>
    <w:rsid w:val="00453BB5"/>
    <w:rsid w:val="00453D39"/>
    <w:rsid w:val="00454346"/>
    <w:rsid w:val="00454592"/>
    <w:rsid w:val="0045481B"/>
    <w:rsid w:val="0045503A"/>
    <w:rsid w:val="0045531E"/>
    <w:rsid w:val="00455499"/>
    <w:rsid w:val="004554D2"/>
    <w:rsid w:val="00455532"/>
    <w:rsid w:val="0045587D"/>
    <w:rsid w:val="00455937"/>
    <w:rsid w:val="00455D7C"/>
    <w:rsid w:val="00456ADB"/>
    <w:rsid w:val="00456CF2"/>
    <w:rsid w:val="00456DFC"/>
    <w:rsid w:val="00457297"/>
    <w:rsid w:val="0045772B"/>
    <w:rsid w:val="00457A49"/>
    <w:rsid w:val="00460130"/>
    <w:rsid w:val="0046038E"/>
    <w:rsid w:val="004607BD"/>
    <w:rsid w:val="00460AA2"/>
    <w:rsid w:val="00460B62"/>
    <w:rsid w:val="00460C1C"/>
    <w:rsid w:val="00460C7F"/>
    <w:rsid w:val="00461447"/>
    <w:rsid w:val="00461D78"/>
    <w:rsid w:val="004620F3"/>
    <w:rsid w:val="004624AC"/>
    <w:rsid w:val="00462674"/>
    <w:rsid w:val="004629CF"/>
    <w:rsid w:val="00462A0D"/>
    <w:rsid w:val="00462AA3"/>
    <w:rsid w:val="00462CF8"/>
    <w:rsid w:val="00462DB8"/>
    <w:rsid w:val="00463032"/>
    <w:rsid w:val="004632F1"/>
    <w:rsid w:val="00463CB5"/>
    <w:rsid w:val="00463E84"/>
    <w:rsid w:val="0046484D"/>
    <w:rsid w:val="00464922"/>
    <w:rsid w:val="00464BA1"/>
    <w:rsid w:val="00464CC6"/>
    <w:rsid w:val="00464F3C"/>
    <w:rsid w:val="00465522"/>
    <w:rsid w:val="00465582"/>
    <w:rsid w:val="00465F1D"/>
    <w:rsid w:val="00466958"/>
    <w:rsid w:val="004669D0"/>
    <w:rsid w:val="00466B96"/>
    <w:rsid w:val="00466E72"/>
    <w:rsid w:val="00466FF4"/>
    <w:rsid w:val="00467519"/>
    <w:rsid w:val="00467B4D"/>
    <w:rsid w:val="00467C0B"/>
    <w:rsid w:val="00467FB8"/>
    <w:rsid w:val="00470277"/>
    <w:rsid w:val="0047060B"/>
    <w:rsid w:val="00470970"/>
    <w:rsid w:val="004710F7"/>
    <w:rsid w:val="00471461"/>
    <w:rsid w:val="004714D6"/>
    <w:rsid w:val="00471EC8"/>
    <w:rsid w:val="00472284"/>
    <w:rsid w:val="0047284B"/>
    <w:rsid w:val="00472BCA"/>
    <w:rsid w:val="00472C4B"/>
    <w:rsid w:val="00472EED"/>
    <w:rsid w:val="0047306F"/>
    <w:rsid w:val="00473140"/>
    <w:rsid w:val="004734E9"/>
    <w:rsid w:val="00474FF9"/>
    <w:rsid w:val="0047569C"/>
    <w:rsid w:val="00475760"/>
    <w:rsid w:val="00475881"/>
    <w:rsid w:val="00475AFA"/>
    <w:rsid w:val="00475D61"/>
    <w:rsid w:val="004762A1"/>
    <w:rsid w:val="00476422"/>
    <w:rsid w:val="0047685F"/>
    <w:rsid w:val="00476F4E"/>
    <w:rsid w:val="00477555"/>
    <w:rsid w:val="00477841"/>
    <w:rsid w:val="00477CDF"/>
    <w:rsid w:val="004805C2"/>
    <w:rsid w:val="00480EC6"/>
    <w:rsid w:val="004810CE"/>
    <w:rsid w:val="004811C9"/>
    <w:rsid w:val="0048220B"/>
    <w:rsid w:val="0048232F"/>
    <w:rsid w:val="004824C0"/>
    <w:rsid w:val="00482AA4"/>
    <w:rsid w:val="00482F87"/>
    <w:rsid w:val="004833E6"/>
    <w:rsid w:val="00483BDC"/>
    <w:rsid w:val="0048427F"/>
    <w:rsid w:val="0048442E"/>
    <w:rsid w:val="0048462E"/>
    <w:rsid w:val="0048464B"/>
    <w:rsid w:val="004846CF"/>
    <w:rsid w:val="00484C6A"/>
    <w:rsid w:val="0048527B"/>
    <w:rsid w:val="004859C9"/>
    <w:rsid w:val="00485BAB"/>
    <w:rsid w:val="00485E38"/>
    <w:rsid w:val="004860F4"/>
    <w:rsid w:val="00486198"/>
    <w:rsid w:val="00486217"/>
    <w:rsid w:val="00486369"/>
    <w:rsid w:val="00486669"/>
    <w:rsid w:val="00486957"/>
    <w:rsid w:val="00486DDB"/>
    <w:rsid w:val="00487060"/>
    <w:rsid w:val="0048738C"/>
    <w:rsid w:val="00487B30"/>
    <w:rsid w:val="00490003"/>
    <w:rsid w:val="00490805"/>
    <w:rsid w:val="004908C2"/>
    <w:rsid w:val="004909FF"/>
    <w:rsid w:val="00490DDC"/>
    <w:rsid w:val="00491015"/>
    <w:rsid w:val="0049130B"/>
    <w:rsid w:val="004914F8"/>
    <w:rsid w:val="00491DD3"/>
    <w:rsid w:val="00492227"/>
    <w:rsid w:val="00492BFB"/>
    <w:rsid w:val="00492CB6"/>
    <w:rsid w:val="00492DB6"/>
    <w:rsid w:val="00493624"/>
    <w:rsid w:val="004939A0"/>
    <w:rsid w:val="00493D36"/>
    <w:rsid w:val="0049417D"/>
    <w:rsid w:val="00494228"/>
    <w:rsid w:val="004944F9"/>
    <w:rsid w:val="004947B3"/>
    <w:rsid w:val="00494AE7"/>
    <w:rsid w:val="00494E15"/>
    <w:rsid w:val="00495188"/>
    <w:rsid w:val="004954C6"/>
    <w:rsid w:val="00495660"/>
    <w:rsid w:val="00495A57"/>
    <w:rsid w:val="00495C71"/>
    <w:rsid w:val="00496BFF"/>
    <w:rsid w:val="004972EB"/>
    <w:rsid w:val="004977D5"/>
    <w:rsid w:val="0049789C"/>
    <w:rsid w:val="00497916"/>
    <w:rsid w:val="004979F1"/>
    <w:rsid w:val="00497A1D"/>
    <w:rsid w:val="00497B20"/>
    <w:rsid w:val="00497C6F"/>
    <w:rsid w:val="004A0254"/>
    <w:rsid w:val="004A05EC"/>
    <w:rsid w:val="004A0937"/>
    <w:rsid w:val="004A0A08"/>
    <w:rsid w:val="004A0B7B"/>
    <w:rsid w:val="004A102F"/>
    <w:rsid w:val="004A1605"/>
    <w:rsid w:val="004A1664"/>
    <w:rsid w:val="004A219B"/>
    <w:rsid w:val="004A2874"/>
    <w:rsid w:val="004A2A0F"/>
    <w:rsid w:val="004A2D3F"/>
    <w:rsid w:val="004A2DD0"/>
    <w:rsid w:val="004A30E7"/>
    <w:rsid w:val="004A3100"/>
    <w:rsid w:val="004A391F"/>
    <w:rsid w:val="004A3D0F"/>
    <w:rsid w:val="004A46A6"/>
    <w:rsid w:val="004A49F7"/>
    <w:rsid w:val="004A4A47"/>
    <w:rsid w:val="004A50FC"/>
    <w:rsid w:val="004A513E"/>
    <w:rsid w:val="004A55BE"/>
    <w:rsid w:val="004A5876"/>
    <w:rsid w:val="004A589E"/>
    <w:rsid w:val="004A5FEE"/>
    <w:rsid w:val="004A654D"/>
    <w:rsid w:val="004A655C"/>
    <w:rsid w:val="004A711E"/>
    <w:rsid w:val="004A720D"/>
    <w:rsid w:val="004A743A"/>
    <w:rsid w:val="004A7575"/>
    <w:rsid w:val="004A77E3"/>
    <w:rsid w:val="004A7F04"/>
    <w:rsid w:val="004B00D8"/>
    <w:rsid w:val="004B01E9"/>
    <w:rsid w:val="004B09AF"/>
    <w:rsid w:val="004B0C92"/>
    <w:rsid w:val="004B1050"/>
    <w:rsid w:val="004B1576"/>
    <w:rsid w:val="004B159F"/>
    <w:rsid w:val="004B15E1"/>
    <w:rsid w:val="004B1779"/>
    <w:rsid w:val="004B1995"/>
    <w:rsid w:val="004B1DC2"/>
    <w:rsid w:val="004B2349"/>
    <w:rsid w:val="004B23BA"/>
    <w:rsid w:val="004B286D"/>
    <w:rsid w:val="004B2FD8"/>
    <w:rsid w:val="004B30BF"/>
    <w:rsid w:val="004B32F8"/>
    <w:rsid w:val="004B36B2"/>
    <w:rsid w:val="004B3737"/>
    <w:rsid w:val="004B37FE"/>
    <w:rsid w:val="004B389A"/>
    <w:rsid w:val="004B462B"/>
    <w:rsid w:val="004B4BAF"/>
    <w:rsid w:val="004B5760"/>
    <w:rsid w:val="004B58A5"/>
    <w:rsid w:val="004B5C78"/>
    <w:rsid w:val="004B6D31"/>
    <w:rsid w:val="004B6DCE"/>
    <w:rsid w:val="004B6F64"/>
    <w:rsid w:val="004B700A"/>
    <w:rsid w:val="004B707A"/>
    <w:rsid w:val="004B71F5"/>
    <w:rsid w:val="004B7220"/>
    <w:rsid w:val="004B733F"/>
    <w:rsid w:val="004B793C"/>
    <w:rsid w:val="004B7968"/>
    <w:rsid w:val="004B7BAB"/>
    <w:rsid w:val="004C0AFC"/>
    <w:rsid w:val="004C148D"/>
    <w:rsid w:val="004C18EE"/>
    <w:rsid w:val="004C22D5"/>
    <w:rsid w:val="004C2682"/>
    <w:rsid w:val="004C2786"/>
    <w:rsid w:val="004C2C59"/>
    <w:rsid w:val="004C2D6F"/>
    <w:rsid w:val="004C2E19"/>
    <w:rsid w:val="004C2E5D"/>
    <w:rsid w:val="004C2FC7"/>
    <w:rsid w:val="004C3EE4"/>
    <w:rsid w:val="004C4465"/>
    <w:rsid w:val="004C4477"/>
    <w:rsid w:val="004C4535"/>
    <w:rsid w:val="004C4DB7"/>
    <w:rsid w:val="004C4F85"/>
    <w:rsid w:val="004C4FD0"/>
    <w:rsid w:val="004C4FE6"/>
    <w:rsid w:val="004C50DC"/>
    <w:rsid w:val="004C5181"/>
    <w:rsid w:val="004C51BC"/>
    <w:rsid w:val="004C541B"/>
    <w:rsid w:val="004C57A2"/>
    <w:rsid w:val="004C5AD5"/>
    <w:rsid w:val="004C5C51"/>
    <w:rsid w:val="004C5E38"/>
    <w:rsid w:val="004C6071"/>
    <w:rsid w:val="004C6188"/>
    <w:rsid w:val="004C64F8"/>
    <w:rsid w:val="004C6508"/>
    <w:rsid w:val="004C65EF"/>
    <w:rsid w:val="004C7C96"/>
    <w:rsid w:val="004D030B"/>
    <w:rsid w:val="004D04BD"/>
    <w:rsid w:val="004D07CF"/>
    <w:rsid w:val="004D0EAB"/>
    <w:rsid w:val="004D1C98"/>
    <w:rsid w:val="004D1D90"/>
    <w:rsid w:val="004D1E27"/>
    <w:rsid w:val="004D29F2"/>
    <w:rsid w:val="004D2AD5"/>
    <w:rsid w:val="004D3FB0"/>
    <w:rsid w:val="004D4472"/>
    <w:rsid w:val="004D47AB"/>
    <w:rsid w:val="004D489E"/>
    <w:rsid w:val="004D4A65"/>
    <w:rsid w:val="004D4E49"/>
    <w:rsid w:val="004D4F60"/>
    <w:rsid w:val="004D54DC"/>
    <w:rsid w:val="004D5691"/>
    <w:rsid w:val="004D5710"/>
    <w:rsid w:val="004D578E"/>
    <w:rsid w:val="004D582B"/>
    <w:rsid w:val="004D5C5A"/>
    <w:rsid w:val="004D5D05"/>
    <w:rsid w:val="004D6285"/>
    <w:rsid w:val="004D6359"/>
    <w:rsid w:val="004D6CD4"/>
    <w:rsid w:val="004D6E44"/>
    <w:rsid w:val="004D71BA"/>
    <w:rsid w:val="004D7B89"/>
    <w:rsid w:val="004E05B1"/>
    <w:rsid w:val="004E0618"/>
    <w:rsid w:val="004E0C41"/>
    <w:rsid w:val="004E115D"/>
    <w:rsid w:val="004E1E16"/>
    <w:rsid w:val="004E1F3B"/>
    <w:rsid w:val="004E261B"/>
    <w:rsid w:val="004E2789"/>
    <w:rsid w:val="004E28DE"/>
    <w:rsid w:val="004E2C11"/>
    <w:rsid w:val="004E2D39"/>
    <w:rsid w:val="004E2D95"/>
    <w:rsid w:val="004E3191"/>
    <w:rsid w:val="004E3D8D"/>
    <w:rsid w:val="004E46AE"/>
    <w:rsid w:val="004E4977"/>
    <w:rsid w:val="004E4A73"/>
    <w:rsid w:val="004E5628"/>
    <w:rsid w:val="004E59F8"/>
    <w:rsid w:val="004E679F"/>
    <w:rsid w:val="004E695D"/>
    <w:rsid w:val="004E69F0"/>
    <w:rsid w:val="004E71A9"/>
    <w:rsid w:val="004E7AD1"/>
    <w:rsid w:val="004E7C6D"/>
    <w:rsid w:val="004E7E31"/>
    <w:rsid w:val="004F00D8"/>
    <w:rsid w:val="004F0209"/>
    <w:rsid w:val="004F044C"/>
    <w:rsid w:val="004F116E"/>
    <w:rsid w:val="004F11A5"/>
    <w:rsid w:val="004F120B"/>
    <w:rsid w:val="004F1278"/>
    <w:rsid w:val="004F141B"/>
    <w:rsid w:val="004F14BC"/>
    <w:rsid w:val="004F1C99"/>
    <w:rsid w:val="004F2157"/>
    <w:rsid w:val="004F2477"/>
    <w:rsid w:val="004F28A8"/>
    <w:rsid w:val="004F2AA2"/>
    <w:rsid w:val="004F3190"/>
    <w:rsid w:val="004F39F8"/>
    <w:rsid w:val="004F3B61"/>
    <w:rsid w:val="004F3DAA"/>
    <w:rsid w:val="004F43CF"/>
    <w:rsid w:val="004F4C4E"/>
    <w:rsid w:val="004F4CF6"/>
    <w:rsid w:val="004F4E0E"/>
    <w:rsid w:val="004F4ECC"/>
    <w:rsid w:val="004F62FF"/>
    <w:rsid w:val="004F63FF"/>
    <w:rsid w:val="004F6914"/>
    <w:rsid w:val="004F6CB3"/>
    <w:rsid w:val="004F6F0B"/>
    <w:rsid w:val="004F6F19"/>
    <w:rsid w:val="004F7391"/>
    <w:rsid w:val="004F7B2C"/>
    <w:rsid w:val="004F7EC2"/>
    <w:rsid w:val="005018D9"/>
    <w:rsid w:val="00501FA3"/>
    <w:rsid w:val="00502105"/>
    <w:rsid w:val="005023A5"/>
    <w:rsid w:val="0050272E"/>
    <w:rsid w:val="00502A16"/>
    <w:rsid w:val="00502D8C"/>
    <w:rsid w:val="00502DBA"/>
    <w:rsid w:val="005033C3"/>
    <w:rsid w:val="00503653"/>
    <w:rsid w:val="0050392A"/>
    <w:rsid w:val="00503B49"/>
    <w:rsid w:val="00503B8B"/>
    <w:rsid w:val="00503CEC"/>
    <w:rsid w:val="00503D62"/>
    <w:rsid w:val="00503F2A"/>
    <w:rsid w:val="005043AA"/>
    <w:rsid w:val="0050465F"/>
    <w:rsid w:val="00504BD7"/>
    <w:rsid w:val="00506AE7"/>
    <w:rsid w:val="00506DCE"/>
    <w:rsid w:val="00506E5D"/>
    <w:rsid w:val="00506FCE"/>
    <w:rsid w:val="0050728D"/>
    <w:rsid w:val="00507928"/>
    <w:rsid w:val="00510112"/>
    <w:rsid w:val="00510634"/>
    <w:rsid w:val="00510A97"/>
    <w:rsid w:val="005111CC"/>
    <w:rsid w:val="00511365"/>
    <w:rsid w:val="005113A2"/>
    <w:rsid w:val="005117B3"/>
    <w:rsid w:val="0051254E"/>
    <w:rsid w:val="0051272B"/>
    <w:rsid w:val="00512FE8"/>
    <w:rsid w:val="00513625"/>
    <w:rsid w:val="005137E1"/>
    <w:rsid w:val="005138CE"/>
    <w:rsid w:val="00514188"/>
    <w:rsid w:val="005144E7"/>
    <w:rsid w:val="00515A7A"/>
    <w:rsid w:val="00515ACB"/>
    <w:rsid w:val="00516098"/>
    <w:rsid w:val="0051650C"/>
    <w:rsid w:val="00516B8C"/>
    <w:rsid w:val="00516BED"/>
    <w:rsid w:val="00516D2E"/>
    <w:rsid w:val="00516D7E"/>
    <w:rsid w:val="0051782D"/>
    <w:rsid w:val="00517FAB"/>
    <w:rsid w:val="0052024E"/>
    <w:rsid w:val="005202F1"/>
    <w:rsid w:val="0052035F"/>
    <w:rsid w:val="00520559"/>
    <w:rsid w:val="005206FA"/>
    <w:rsid w:val="00520C57"/>
    <w:rsid w:val="0052131F"/>
    <w:rsid w:val="0052158F"/>
    <w:rsid w:val="00521F2F"/>
    <w:rsid w:val="00521FFF"/>
    <w:rsid w:val="0052225E"/>
    <w:rsid w:val="0052236F"/>
    <w:rsid w:val="00522580"/>
    <w:rsid w:val="00522B9A"/>
    <w:rsid w:val="00522CB3"/>
    <w:rsid w:val="0052358E"/>
    <w:rsid w:val="00523A6C"/>
    <w:rsid w:val="00523CC6"/>
    <w:rsid w:val="00523D3E"/>
    <w:rsid w:val="005242B5"/>
    <w:rsid w:val="00524F1D"/>
    <w:rsid w:val="00525409"/>
    <w:rsid w:val="005255F9"/>
    <w:rsid w:val="00525C9D"/>
    <w:rsid w:val="00525EAC"/>
    <w:rsid w:val="00525FBD"/>
    <w:rsid w:val="005263BA"/>
    <w:rsid w:val="00526EB1"/>
    <w:rsid w:val="00526F98"/>
    <w:rsid w:val="00527097"/>
    <w:rsid w:val="00527140"/>
    <w:rsid w:val="005277AA"/>
    <w:rsid w:val="005279C6"/>
    <w:rsid w:val="00527B77"/>
    <w:rsid w:val="00527F72"/>
    <w:rsid w:val="00527F73"/>
    <w:rsid w:val="0053000E"/>
    <w:rsid w:val="005300FD"/>
    <w:rsid w:val="00530A1C"/>
    <w:rsid w:val="00530C11"/>
    <w:rsid w:val="0053138D"/>
    <w:rsid w:val="005313DD"/>
    <w:rsid w:val="00531639"/>
    <w:rsid w:val="005317F9"/>
    <w:rsid w:val="005318AF"/>
    <w:rsid w:val="00531A09"/>
    <w:rsid w:val="00531BE3"/>
    <w:rsid w:val="00531FA4"/>
    <w:rsid w:val="0053201D"/>
    <w:rsid w:val="00532310"/>
    <w:rsid w:val="00532465"/>
    <w:rsid w:val="00532713"/>
    <w:rsid w:val="00532A8B"/>
    <w:rsid w:val="00532FF6"/>
    <w:rsid w:val="00533120"/>
    <w:rsid w:val="005332A2"/>
    <w:rsid w:val="00533852"/>
    <w:rsid w:val="00533DE8"/>
    <w:rsid w:val="0053403B"/>
    <w:rsid w:val="00534215"/>
    <w:rsid w:val="0053439D"/>
    <w:rsid w:val="00534A81"/>
    <w:rsid w:val="00534E31"/>
    <w:rsid w:val="0053550F"/>
    <w:rsid w:val="005356D7"/>
    <w:rsid w:val="00535E4A"/>
    <w:rsid w:val="0053616D"/>
    <w:rsid w:val="005365EE"/>
    <w:rsid w:val="00536DCF"/>
    <w:rsid w:val="00536E93"/>
    <w:rsid w:val="00536EC8"/>
    <w:rsid w:val="00537923"/>
    <w:rsid w:val="005403D7"/>
    <w:rsid w:val="005406D7"/>
    <w:rsid w:val="00540891"/>
    <w:rsid w:val="00540F94"/>
    <w:rsid w:val="00541694"/>
    <w:rsid w:val="0054169C"/>
    <w:rsid w:val="00541A8D"/>
    <w:rsid w:val="00541C9F"/>
    <w:rsid w:val="00541D21"/>
    <w:rsid w:val="00541E0B"/>
    <w:rsid w:val="00541F16"/>
    <w:rsid w:val="005421C0"/>
    <w:rsid w:val="005422F6"/>
    <w:rsid w:val="005422FE"/>
    <w:rsid w:val="005423AB"/>
    <w:rsid w:val="00542451"/>
    <w:rsid w:val="005424E7"/>
    <w:rsid w:val="00542716"/>
    <w:rsid w:val="00542813"/>
    <w:rsid w:val="00543229"/>
    <w:rsid w:val="005432EC"/>
    <w:rsid w:val="00543426"/>
    <w:rsid w:val="00543592"/>
    <w:rsid w:val="005438CE"/>
    <w:rsid w:val="00543A03"/>
    <w:rsid w:val="00543A8C"/>
    <w:rsid w:val="00544109"/>
    <w:rsid w:val="00544311"/>
    <w:rsid w:val="00545A58"/>
    <w:rsid w:val="00545FE6"/>
    <w:rsid w:val="00546226"/>
    <w:rsid w:val="0054652C"/>
    <w:rsid w:val="005465ED"/>
    <w:rsid w:val="0054684B"/>
    <w:rsid w:val="00546A89"/>
    <w:rsid w:val="00546B57"/>
    <w:rsid w:val="00546DE1"/>
    <w:rsid w:val="00546FB4"/>
    <w:rsid w:val="00547232"/>
    <w:rsid w:val="0054737F"/>
    <w:rsid w:val="0054781B"/>
    <w:rsid w:val="00547C26"/>
    <w:rsid w:val="005503B8"/>
    <w:rsid w:val="00550456"/>
    <w:rsid w:val="005506A0"/>
    <w:rsid w:val="0055087B"/>
    <w:rsid w:val="00550926"/>
    <w:rsid w:val="00551D6B"/>
    <w:rsid w:val="0055202B"/>
    <w:rsid w:val="0055207B"/>
    <w:rsid w:val="0055255F"/>
    <w:rsid w:val="005525E9"/>
    <w:rsid w:val="00552972"/>
    <w:rsid w:val="00552AA3"/>
    <w:rsid w:val="00552CE9"/>
    <w:rsid w:val="00552E19"/>
    <w:rsid w:val="0055306E"/>
    <w:rsid w:val="005538A7"/>
    <w:rsid w:val="005541A6"/>
    <w:rsid w:val="00554329"/>
    <w:rsid w:val="00554567"/>
    <w:rsid w:val="00554802"/>
    <w:rsid w:val="005553E6"/>
    <w:rsid w:val="005556CD"/>
    <w:rsid w:val="00555742"/>
    <w:rsid w:val="00555786"/>
    <w:rsid w:val="00555920"/>
    <w:rsid w:val="00555A0B"/>
    <w:rsid w:val="00555DC5"/>
    <w:rsid w:val="00556183"/>
    <w:rsid w:val="005565A2"/>
    <w:rsid w:val="00557089"/>
    <w:rsid w:val="005575C3"/>
    <w:rsid w:val="0055763D"/>
    <w:rsid w:val="0055779E"/>
    <w:rsid w:val="005577DC"/>
    <w:rsid w:val="00557800"/>
    <w:rsid w:val="0055793B"/>
    <w:rsid w:val="005601A6"/>
    <w:rsid w:val="005602A1"/>
    <w:rsid w:val="005602AB"/>
    <w:rsid w:val="005604FD"/>
    <w:rsid w:val="00560626"/>
    <w:rsid w:val="00560906"/>
    <w:rsid w:val="00560A72"/>
    <w:rsid w:val="00560C00"/>
    <w:rsid w:val="00561182"/>
    <w:rsid w:val="005612E6"/>
    <w:rsid w:val="005621E6"/>
    <w:rsid w:val="0056247D"/>
    <w:rsid w:val="00562924"/>
    <w:rsid w:val="00562DE6"/>
    <w:rsid w:val="00563C18"/>
    <w:rsid w:val="0056453F"/>
    <w:rsid w:val="00564907"/>
    <w:rsid w:val="005649E3"/>
    <w:rsid w:val="00564DD2"/>
    <w:rsid w:val="00564E89"/>
    <w:rsid w:val="00564FAD"/>
    <w:rsid w:val="00565656"/>
    <w:rsid w:val="005656A9"/>
    <w:rsid w:val="00565A73"/>
    <w:rsid w:val="00565A79"/>
    <w:rsid w:val="0056666C"/>
    <w:rsid w:val="005666B2"/>
    <w:rsid w:val="00566953"/>
    <w:rsid w:val="005669FD"/>
    <w:rsid w:val="005673CA"/>
    <w:rsid w:val="00570401"/>
    <w:rsid w:val="005707B2"/>
    <w:rsid w:val="00570A32"/>
    <w:rsid w:val="005711A1"/>
    <w:rsid w:val="0057135D"/>
    <w:rsid w:val="00571AE2"/>
    <w:rsid w:val="00572012"/>
    <w:rsid w:val="00572151"/>
    <w:rsid w:val="0057263B"/>
    <w:rsid w:val="00572C05"/>
    <w:rsid w:val="00572DE9"/>
    <w:rsid w:val="0057318A"/>
    <w:rsid w:val="0057321D"/>
    <w:rsid w:val="005732AE"/>
    <w:rsid w:val="005733CB"/>
    <w:rsid w:val="005736B3"/>
    <w:rsid w:val="00573B05"/>
    <w:rsid w:val="00573F27"/>
    <w:rsid w:val="00574213"/>
    <w:rsid w:val="005742B7"/>
    <w:rsid w:val="00574486"/>
    <w:rsid w:val="005746BC"/>
    <w:rsid w:val="00574C95"/>
    <w:rsid w:val="00574D6F"/>
    <w:rsid w:val="00574EA5"/>
    <w:rsid w:val="00574EB6"/>
    <w:rsid w:val="00574FC2"/>
    <w:rsid w:val="00574FDC"/>
    <w:rsid w:val="005751F4"/>
    <w:rsid w:val="0057593B"/>
    <w:rsid w:val="005759DF"/>
    <w:rsid w:val="00575C84"/>
    <w:rsid w:val="00576215"/>
    <w:rsid w:val="00576275"/>
    <w:rsid w:val="005765C5"/>
    <w:rsid w:val="00576878"/>
    <w:rsid w:val="00576946"/>
    <w:rsid w:val="00576959"/>
    <w:rsid w:val="00576B9E"/>
    <w:rsid w:val="00576DDF"/>
    <w:rsid w:val="005776A8"/>
    <w:rsid w:val="00577F58"/>
    <w:rsid w:val="00577FDF"/>
    <w:rsid w:val="00580443"/>
    <w:rsid w:val="005805FF"/>
    <w:rsid w:val="00580603"/>
    <w:rsid w:val="00580987"/>
    <w:rsid w:val="005813C4"/>
    <w:rsid w:val="00581792"/>
    <w:rsid w:val="005817CB"/>
    <w:rsid w:val="0058195A"/>
    <w:rsid w:val="00581AC6"/>
    <w:rsid w:val="00581B35"/>
    <w:rsid w:val="00581E5D"/>
    <w:rsid w:val="005821D7"/>
    <w:rsid w:val="00582687"/>
    <w:rsid w:val="00582888"/>
    <w:rsid w:val="0058298C"/>
    <w:rsid w:val="00582C64"/>
    <w:rsid w:val="005830CF"/>
    <w:rsid w:val="005832C9"/>
    <w:rsid w:val="005834F7"/>
    <w:rsid w:val="005848BD"/>
    <w:rsid w:val="0058495F"/>
    <w:rsid w:val="0058509A"/>
    <w:rsid w:val="00585BBC"/>
    <w:rsid w:val="00585CA1"/>
    <w:rsid w:val="00585F3D"/>
    <w:rsid w:val="00585F45"/>
    <w:rsid w:val="00586275"/>
    <w:rsid w:val="00586537"/>
    <w:rsid w:val="0058682B"/>
    <w:rsid w:val="00586832"/>
    <w:rsid w:val="00586B8C"/>
    <w:rsid w:val="005876AB"/>
    <w:rsid w:val="005876EA"/>
    <w:rsid w:val="00587B28"/>
    <w:rsid w:val="005901DD"/>
    <w:rsid w:val="0059027C"/>
    <w:rsid w:val="00590A6F"/>
    <w:rsid w:val="005914A3"/>
    <w:rsid w:val="00591B61"/>
    <w:rsid w:val="00591EAC"/>
    <w:rsid w:val="00591F59"/>
    <w:rsid w:val="005922AC"/>
    <w:rsid w:val="005923AA"/>
    <w:rsid w:val="00592BFD"/>
    <w:rsid w:val="00592D81"/>
    <w:rsid w:val="005933C2"/>
    <w:rsid w:val="005941AF"/>
    <w:rsid w:val="00594283"/>
    <w:rsid w:val="00594398"/>
    <w:rsid w:val="00594640"/>
    <w:rsid w:val="005948C3"/>
    <w:rsid w:val="0059493C"/>
    <w:rsid w:val="00594C85"/>
    <w:rsid w:val="00594CFB"/>
    <w:rsid w:val="005950B9"/>
    <w:rsid w:val="005957E2"/>
    <w:rsid w:val="00595B50"/>
    <w:rsid w:val="00595F0B"/>
    <w:rsid w:val="00596671"/>
    <w:rsid w:val="0059673A"/>
    <w:rsid w:val="00596838"/>
    <w:rsid w:val="0059762F"/>
    <w:rsid w:val="00597653"/>
    <w:rsid w:val="00597B63"/>
    <w:rsid w:val="00597DB6"/>
    <w:rsid w:val="005A01D3"/>
    <w:rsid w:val="005A09AB"/>
    <w:rsid w:val="005A0A78"/>
    <w:rsid w:val="005A0EEA"/>
    <w:rsid w:val="005A0FE1"/>
    <w:rsid w:val="005A1045"/>
    <w:rsid w:val="005A11BE"/>
    <w:rsid w:val="005A1A5C"/>
    <w:rsid w:val="005A1CF9"/>
    <w:rsid w:val="005A1FDD"/>
    <w:rsid w:val="005A20DF"/>
    <w:rsid w:val="005A2558"/>
    <w:rsid w:val="005A2A99"/>
    <w:rsid w:val="005A2D17"/>
    <w:rsid w:val="005A305D"/>
    <w:rsid w:val="005A3491"/>
    <w:rsid w:val="005A355E"/>
    <w:rsid w:val="005A3768"/>
    <w:rsid w:val="005A3A94"/>
    <w:rsid w:val="005A3B0A"/>
    <w:rsid w:val="005A3BB1"/>
    <w:rsid w:val="005A3F03"/>
    <w:rsid w:val="005A40B1"/>
    <w:rsid w:val="005A4764"/>
    <w:rsid w:val="005A4876"/>
    <w:rsid w:val="005A4C5F"/>
    <w:rsid w:val="005A4CB4"/>
    <w:rsid w:val="005A4FE7"/>
    <w:rsid w:val="005A5180"/>
    <w:rsid w:val="005A5BDB"/>
    <w:rsid w:val="005A65AB"/>
    <w:rsid w:val="005A65FD"/>
    <w:rsid w:val="005A6661"/>
    <w:rsid w:val="005A679C"/>
    <w:rsid w:val="005A6AC5"/>
    <w:rsid w:val="005A6D5D"/>
    <w:rsid w:val="005A6EC6"/>
    <w:rsid w:val="005A7873"/>
    <w:rsid w:val="005A798C"/>
    <w:rsid w:val="005A7F1B"/>
    <w:rsid w:val="005B109F"/>
    <w:rsid w:val="005B14B2"/>
    <w:rsid w:val="005B1888"/>
    <w:rsid w:val="005B1CDA"/>
    <w:rsid w:val="005B1F44"/>
    <w:rsid w:val="005B25CF"/>
    <w:rsid w:val="005B2BFD"/>
    <w:rsid w:val="005B2DB0"/>
    <w:rsid w:val="005B364E"/>
    <w:rsid w:val="005B3DDC"/>
    <w:rsid w:val="005B3F73"/>
    <w:rsid w:val="005B41E8"/>
    <w:rsid w:val="005B426D"/>
    <w:rsid w:val="005B43BD"/>
    <w:rsid w:val="005B4A26"/>
    <w:rsid w:val="005B4F9B"/>
    <w:rsid w:val="005B547E"/>
    <w:rsid w:val="005B5A72"/>
    <w:rsid w:val="005B5BDE"/>
    <w:rsid w:val="005B6727"/>
    <w:rsid w:val="005B6758"/>
    <w:rsid w:val="005B676A"/>
    <w:rsid w:val="005B6B2B"/>
    <w:rsid w:val="005B6E27"/>
    <w:rsid w:val="005B6FD0"/>
    <w:rsid w:val="005B78AE"/>
    <w:rsid w:val="005B78F9"/>
    <w:rsid w:val="005B7949"/>
    <w:rsid w:val="005B7A90"/>
    <w:rsid w:val="005B7C15"/>
    <w:rsid w:val="005B7D22"/>
    <w:rsid w:val="005C0B44"/>
    <w:rsid w:val="005C0DCD"/>
    <w:rsid w:val="005C0F8F"/>
    <w:rsid w:val="005C125E"/>
    <w:rsid w:val="005C23AD"/>
    <w:rsid w:val="005C2BD5"/>
    <w:rsid w:val="005C2F57"/>
    <w:rsid w:val="005C313C"/>
    <w:rsid w:val="005C3274"/>
    <w:rsid w:val="005C3770"/>
    <w:rsid w:val="005C42ED"/>
    <w:rsid w:val="005C441D"/>
    <w:rsid w:val="005C4618"/>
    <w:rsid w:val="005C49FC"/>
    <w:rsid w:val="005C4DEA"/>
    <w:rsid w:val="005C514C"/>
    <w:rsid w:val="005C51E9"/>
    <w:rsid w:val="005C5437"/>
    <w:rsid w:val="005C603E"/>
    <w:rsid w:val="005C6112"/>
    <w:rsid w:val="005C6310"/>
    <w:rsid w:val="005C64D5"/>
    <w:rsid w:val="005C6F41"/>
    <w:rsid w:val="005C7419"/>
    <w:rsid w:val="005C7BA2"/>
    <w:rsid w:val="005C7D18"/>
    <w:rsid w:val="005C7FAE"/>
    <w:rsid w:val="005D0422"/>
    <w:rsid w:val="005D04E0"/>
    <w:rsid w:val="005D0691"/>
    <w:rsid w:val="005D099C"/>
    <w:rsid w:val="005D0E7D"/>
    <w:rsid w:val="005D0ED9"/>
    <w:rsid w:val="005D1350"/>
    <w:rsid w:val="005D161C"/>
    <w:rsid w:val="005D1AB4"/>
    <w:rsid w:val="005D20D9"/>
    <w:rsid w:val="005D249C"/>
    <w:rsid w:val="005D2552"/>
    <w:rsid w:val="005D2A06"/>
    <w:rsid w:val="005D2A1F"/>
    <w:rsid w:val="005D310C"/>
    <w:rsid w:val="005D3AD3"/>
    <w:rsid w:val="005D45E3"/>
    <w:rsid w:val="005D4619"/>
    <w:rsid w:val="005D49E3"/>
    <w:rsid w:val="005D4C8C"/>
    <w:rsid w:val="005D4F93"/>
    <w:rsid w:val="005D5288"/>
    <w:rsid w:val="005D5394"/>
    <w:rsid w:val="005D55F7"/>
    <w:rsid w:val="005D5B94"/>
    <w:rsid w:val="005D5CA8"/>
    <w:rsid w:val="005D5DB9"/>
    <w:rsid w:val="005D5E3B"/>
    <w:rsid w:val="005D60C7"/>
    <w:rsid w:val="005D6812"/>
    <w:rsid w:val="005D6CE3"/>
    <w:rsid w:val="005D735D"/>
    <w:rsid w:val="005D76BB"/>
    <w:rsid w:val="005D76CB"/>
    <w:rsid w:val="005E00DA"/>
    <w:rsid w:val="005E0135"/>
    <w:rsid w:val="005E0642"/>
    <w:rsid w:val="005E08A0"/>
    <w:rsid w:val="005E09E8"/>
    <w:rsid w:val="005E0A0D"/>
    <w:rsid w:val="005E0B0F"/>
    <w:rsid w:val="005E0D78"/>
    <w:rsid w:val="005E1281"/>
    <w:rsid w:val="005E1309"/>
    <w:rsid w:val="005E141E"/>
    <w:rsid w:val="005E156A"/>
    <w:rsid w:val="005E1892"/>
    <w:rsid w:val="005E195B"/>
    <w:rsid w:val="005E1EC3"/>
    <w:rsid w:val="005E228B"/>
    <w:rsid w:val="005E22C3"/>
    <w:rsid w:val="005E2713"/>
    <w:rsid w:val="005E2A22"/>
    <w:rsid w:val="005E2C15"/>
    <w:rsid w:val="005E2E5D"/>
    <w:rsid w:val="005E31B3"/>
    <w:rsid w:val="005E3B25"/>
    <w:rsid w:val="005E3BA3"/>
    <w:rsid w:val="005E3CC5"/>
    <w:rsid w:val="005E40EF"/>
    <w:rsid w:val="005E47FD"/>
    <w:rsid w:val="005E4A2C"/>
    <w:rsid w:val="005E4D4D"/>
    <w:rsid w:val="005E52FB"/>
    <w:rsid w:val="005E530C"/>
    <w:rsid w:val="005E54F8"/>
    <w:rsid w:val="005E5CE9"/>
    <w:rsid w:val="005E617C"/>
    <w:rsid w:val="005E6C01"/>
    <w:rsid w:val="005E6D5A"/>
    <w:rsid w:val="005E71B3"/>
    <w:rsid w:val="005E7239"/>
    <w:rsid w:val="005E7717"/>
    <w:rsid w:val="005E7A8C"/>
    <w:rsid w:val="005E7C52"/>
    <w:rsid w:val="005F01BD"/>
    <w:rsid w:val="005F05D1"/>
    <w:rsid w:val="005F072E"/>
    <w:rsid w:val="005F0EC8"/>
    <w:rsid w:val="005F0F48"/>
    <w:rsid w:val="005F1021"/>
    <w:rsid w:val="005F1240"/>
    <w:rsid w:val="005F14A7"/>
    <w:rsid w:val="005F15B8"/>
    <w:rsid w:val="005F1812"/>
    <w:rsid w:val="005F21F9"/>
    <w:rsid w:val="005F2414"/>
    <w:rsid w:val="005F2523"/>
    <w:rsid w:val="005F2DDC"/>
    <w:rsid w:val="005F35D6"/>
    <w:rsid w:val="005F36D5"/>
    <w:rsid w:val="005F417E"/>
    <w:rsid w:val="005F498E"/>
    <w:rsid w:val="005F4B26"/>
    <w:rsid w:val="005F4D90"/>
    <w:rsid w:val="005F58CF"/>
    <w:rsid w:val="005F5A07"/>
    <w:rsid w:val="005F5C49"/>
    <w:rsid w:val="005F60FD"/>
    <w:rsid w:val="005F61F8"/>
    <w:rsid w:val="005F6211"/>
    <w:rsid w:val="005F6481"/>
    <w:rsid w:val="005F64E1"/>
    <w:rsid w:val="005F6546"/>
    <w:rsid w:val="005F6667"/>
    <w:rsid w:val="005F6959"/>
    <w:rsid w:val="005F69D4"/>
    <w:rsid w:val="005F6BED"/>
    <w:rsid w:val="005F6DD9"/>
    <w:rsid w:val="005F6F1E"/>
    <w:rsid w:val="005F721F"/>
    <w:rsid w:val="005F744D"/>
    <w:rsid w:val="005F7EB7"/>
    <w:rsid w:val="0060009D"/>
    <w:rsid w:val="006000B4"/>
    <w:rsid w:val="006000DE"/>
    <w:rsid w:val="006001EC"/>
    <w:rsid w:val="006004EB"/>
    <w:rsid w:val="006004F5"/>
    <w:rsid w:val="0060085C"/>
    <w:rsid w:val="00600C6E"/>
    <w:rsid w:val="00601673"/>
    <w:rsid w:val="0060178F"/>
    <w:rsid w:val="00601D67"/>
    <w:rsid w:val="00601EBB"/>
    <w:rsid w:val="006025D6"/>
    <w:rsid w:val="00602845"/>
    <w:rsid w:val="00602ABE"/>
    <w:rsid w:val="00602DB2"/>
    <w:rsid w:val="00603117"/>
    <w:rsid w:val="0060335A"/>
    <w:rsid w:val="00603482"/>
    <w:rsid w:val="00603CD6"/>
    <w:rsid w:val="006043C3"/>
    <w:rsid w:val="0060515D"/>
    <w:rsid w:val="00605F36"/>
    <w:rsid w:val="00606B43"/>
    <w:rsid w:val="00606F36"/>
    <w:rsid w:val="006079E6"/>
    <w:rsid w:val="00610653"/>
    <w:rsid w:val="00610740"/>
    <w:rsid w:val="00610993"/>
    <w:rsid w:val="00610BA8"/>
    <w:rsid w:val="006111AA"/>
    <w:rsid w:val="006115D9"/>
    <w:rsid w:val="006116DD"/>
    <w:rsid w:val="00611A7E"/>
    <w:rsid w:val="00611AF8"/>
    <w:rsid w:val="00611B0D"/>
    <w:rsid w:val="00611C98"/>
    <w:rsid w:val="00612139"/>
    <w:rsid w:val="00612844"/>
    <w:rsid w:val="00612935"/>
    <w:rsid w:val="00612C62"/>
    <w:rsid w:val="00613509"/>
    <w:rsid w:val="00613A6A"/>
    <w:rsid w:val="00613B4B"/>
    <w:rsid w:val="006143A0"/>
    <w:rsid w:val="00614473"/>
    <w:rsid w:val="0061468E"/>
    <w:rsid w:val="0061555D"/>
    <w:rsid w:val="00615655"/>
    <w:rsid w:val="00615A5A"/>
    <w:rsid w:val="00615DF0"/>
    <w:rsid w:val="006160D2"/>
    <w:rsid w:val="0061612A"/>
    <w:rsid w:val="00616653"/>
    <w:rsid w:val="006168A1"/>
    <w:rsid w:val="00616AD6"/>
    <w:rsid w:val="00616D26"/>
    <w:rsid w:val="00617349"/>
    <w:rsid w:val="006176F7"/>
    <w:rsid w:val="00617764"/>
    <w:rsid w:val="0061796D"/>
    <w:rsid w:val="00617AB5"/>
    <w:rsid w:val="00617B00"/>
    <w:rsid w:val="00617BF0"/>
    <w:rsid w:val="00620085"/>
    <w:rsid w:val="006200A2"/>
    <w:rsid w:val="006200A5"/>
    <w:rsid w:val="00620203"/>
    <w:rsid w:val="00620923"/>
    <w:rsid w:val="00620979"/>
    <w:rsid w:val="00620DFA"/>
    <w:rsid w:val="00621185"/>
    <w:rsid w:val="00621EC5"/>
    <w:rsid w:val="00621F86"/>
    <w:rsid w:val="00622906"/>
    <w:rsid w:val="00622AF5"/>
    <w:rsid w:val="0062301C"/>
    <w:rsid w:val="006230D8"/>
    <w:rsid w:val="00623140"/>
    <w:rsid w:val="00623474"/>
    <w:rsid w:val="0062385A"/>
    <w:rsid w:val="00623DC6"/>
    <w:rsid w:val="006242F2"/>
    <w:rsid w:val="0062490C"/>
    <w:rsid w:val="00624DDB"/>
    <w:rsid w:val="00624E86"/>
    <w:rsid w:val="006258F3"/>
    <w:rsid w:val="00625956"/>
    <w:rsid w:val="00625E47"/>
    <w:rsid w:val="00625F44"/>
    <w:rsid w:val="0062607B"/>
    <w:rsid w:val="00626E1D"/>
    <w:rsid w:val="00626E75"/>
    <w:rsid w:val="00627667"/>
    <w:rsid w:val="006276BB"/>
    <w:rsid w:val="0062778E"/>
    <w:rsid w:val="00630B4A"/>
    <w:rsid w:val="00630DD3"/>
    <w:rsid w:val="00631106"/>
    <w:rsid w:val="006313FE"/>
    <w:rsid w:val="0063172A"/>
    <w:rsid w:val="00631745"/>
    <w:rsid w:val="00631777"/>
    <w:rsid w:val="006318C1"/>
    <w:rsid w:val="006319B8"/>
    <w:rsid w:val="00631EA9"/>
    <w:rsid w:val="006320A4"/>
    <w:rsid w:val="00632211"/>
    <w:rsid w:val="006328DC"/>
    <w:rsid w:val="00632BB7"/>
    <w:rsid w:val="00632C45"/>
    <w:rsid w:val="00632CFC"/>
    <w:rsid w:val="006332D1"/>
    <w:rsid w:val="006337F0"/>
    <w:rsid w:val="006340E8"/>
    <w:rsid w:val="006342C4"/>
    <w:rsid w:val="006343A8"/>
    <w:rsid w:val="00634F76"/>
    <w:rsid w:val="00635177"/>
    <w:rsid w:val="00635476"/>
    <w:rsid w:val="00635B5B"/>
    <w:rsid w:val="00636389"/>
    <w:rsid w:val="0063675B"/>
    <w:rsid w:val="00636E82"/>
    <w:rsid w:val="00636EAC"/>
    <w:rsid w:val="0063723E"/>
    <w:rsid w:val="00637265"/>
    <w:rsid w:val="0063790D"/>
    <w:rsid w:val="00637A05"/>
    <w:rsid w:val="00637C4C"/>
    <w:rsid w:val="00637C98"/>
    <w:rsid w:val="00637D8A"/>
    <w:rsid w:val="00640220"/>
    <w:rsid w:val="00640243"/>
    <w:rsid w:val="00640455"/>
    <w:rsid w:val="0064056D"/>
    <w:rsid w:val="00640B54"/>
    <w:rsid w:val="00640C17"/>
    <w:rsid w:val="00640C75"/>
    <w:rsid w:val="00640F48"/>
    <w:rsid w:val="0064140B"/>
    <w:rsid w:val="00641694"/>
    <w:rsid w:val="0064176E"/>
    <w:rsid w:val="006419F0"/>
    <w:rsid w:val="00641E55"/>
    <w:rsid w:val="0064200F"/>
    <w:rsid w:val="00642331"/>
    <w:rsid w:val="00642B45"/>
    <w:rsid w:val="00643ACD"/>
    <w:rsid w:val="00643C23"/>
    <w:rsid w:val="00643C26"/>
    <w:rsid w:val="00643EED"/>
    <w:rsid w:val="00643F14"/>
    <w:rsid w:val="0064412E"/>
    <w:rsid w:val="0064428A"/>
    <w:rsid w:val="00644858"/>
    <w:rsid w:val="00644AEC"/>
    <w:rsid w:val="00644B5A"/>
    <w:rsid w:val="006450FF"/>
    <w:rsid w:val="00645475"/>
    <w:rsid w:val="0064553F"/>
    <w:rsid w:val="00645DB6"/>
    <w:rsid w:val="00646241"/>
    <w:rsid w:val="00646A57"/>
    <w:rsid w:val="00646C39"/>
    <w:rsid w:val="00647265"/>
    <w:rsid w:val="00647550"/>
    <w:rsid w:val="0064757E"/>
    <w:rsid w:val="006501DA"/>
    <w:rsid w:val="006502A0"/>
    <w:rsid w:val="0065035E"/>
    <w:rsid w:val="0065055C"/>
    <w:rsid w:val="006505C6"/>
    <w:rsid w:val="006506F0"/>
    <w:rsid w:val="00650D18"/>
    <w:rsid w:val="00650D39"/>
    <w:rsid w:val="00651372"/>
    <w:rsid w:val="006515FE"/>
    <w:rsid w:val="006518FF"/>
    <w:rsid w:val="00651F6E"/>
    <w:rsid w:val="0065252D"/>
    <w:rsid w:val="006525A2"/>
    <w:rsid w:val="00652AF3"/>
    <w:rsid w:val="00652FC7"/>
    <w:rsid w:val="00653471"/>
    <w:rsid w:val="00653E48"/>
    <w:rsid w:val="0065404E"/>
    <w:rsid w:val="0065455D"/>
    <w:rsid w:val="00654EE4"/>
    <w:rsid w:val="0065570A"/>
    <w:rsid w:val="00655896"/>
    <w:rsid w:val="00656B6B"/>
    <w:rsid w:val="00657BB5"/>
    <w:rsid w:val="00657E0D"/>
    <w:rsid w:val="00660299"/>
    <w:rsid w:val="00660C36"/>
    <w:rsid w:val="00660D14"/>
    <w:rsid w:val="00660D69"/>
    <w:rsid w:val="00660EC7"/>
    <w:rsid w:val="00661182"/>
    <w:rsid w:val="00661718"/>
    <w:rsid w:val="0066198B"/>
    <w:rsid w:val="0066203F"/>
    <w:rsid w:val="00662164"/>
    <w:rsid w:val="0066247A"/>
    <w:rsid w:val="00662712"/>
    <w:rsid w:val="006629C5"/>
    <w:rsid w:val="00662D84"/>
    <w:rsid w:val="00663808"/>
    <w:rsid w:val="00663C56"/>
    <w:rsid w:val="00663E12"/>
    <w:rsid w:val="00663FC8"/>
    <w:rsid w:val="006642F5"/>
    <w:rsid w:val="006645FE"/>
    <w:rsid w:val="006648FF"/>
    <w:rsid w:val="00664D50"/>
    <w:rsid w:val="006650E9"/>
    <w:rsid w:val="0066549D"/>
    <w:rsid w:val="00665E25"/>
    <w:rsid w:val="00665EA8"/>
    <w:rsid w:val="006660B7"/>
    <w:rsid w:val="006663C5"/>
    <w:rsid w:val="006667E6"/>
    <w:rsid w:val="006669F1"/>
    <w:rsid w:val="00666A87"/>
    <w:rsid w:val="00666AC1"/>
    <w:rsid w:val="00666C4E"/>
    <w:rsid w:val="00666D54"/>
    <w:rsid w:val="006670A4"/>
    <w:rsid w:val="0066711E"/>
    <w:rsid w:val="00667127"/>
    <w:rsid w:val="006671D9"/>
    <w:rsid w:val="00667CF5"/>
    <w:rsid w:val="00667EF2"/>
    <w:rsid w:val="006700A6"/>
    <w:rsid w:val="00670A08"/>
    <w:rsid w:val="00670D09"/>
    <w:rsid w:val="00670E29"/>
    <w:rsid w:val="00670EF3"/>
    <w:rsid w:val="006714F0"/>
    <w:rsid w:val="006715BC"/>
    <w:rsid w:val="00671C66"/>
    <w:rsid w:val="00671D88"/>
    <w:rsid w:val="006725AB"/>
    <w:rsid w:val="00673010"/>
    <w:rsid w:val="0067303A"/>
    <w:rsid w:val="00673ACD"/>
    <w:rsid w:val="00673E94"/>
    <w:rsid w:val="0067473D"/>
    <w:rsid w:val="00674A37"/>
    <w:rsid w:val="00674D98"/>
    <w:rsid w:val="00674E8D"/>
    <w:rsid w:val="0067501F"/>
    <w:rsid w:val="00675655"/>
    <w:rsid w:val="00675C5B"/>
    <w:rsid w:val="00675CF6"/>
    <w:rsid w:val="006761AA"/>
    <w:rsid w:val="006762AA"/>
    <w:rsid w:val="006762D5"/>
    <w:rsid w:val="00676879"/>
    <w:rsid w:val="00676B26"/>
    <w:rsid w:val="006770A8"/>
    <w:rsid w:val="006770E3"/>
    <w:rsid w:val="006771A2"/>
    <w:rsid w:val="00677832"/>
    <w:rsid w:val="00677AC1"/>
    <w:rsid w:val="00677E9A"/>
    <w:rsid w:val="00677EDE"/>
    <w:rsid w:val="006804B6"/>
    <w:rsid w:val="00680664"/>
    <w:rsid w:val="00680858"/>
    <w:rsid w:val="00680E09"/>
    <w:rsid w:val="006810ED"/>
    <w:rsid w:val="006814EF"/>
    <w:rsid w:val="0068175E"/>
    <w:rsid w:val="00681BA0"/>
    <w:rsid w:val="0068261C"/>
    <w:rsid w:val="00682682"/>
    <w:rsid w:val="0068297E"/>
    <w:rsid w:val="00682AF6"/>
    <w:rsid w:val="00682CDA"/>
    <w:rsid w:val="00683E6D"/>
    <w:rsid w:val="00684129"/>
    <w:rsid w:val="006841D5"/>
    <w:rsid w:val="006853B7"/>
    <w:rsid w:val="00685704"/>
    <w:rsid w:val="0068618E"/>
    <w:rsid w:val="00686283"/>
    <w:rsid w:val="006867ED"/>
    <w:rsid w:val="0068695F"/>
    <w:rsid w:val="00686EC6"/>
    <w:rsid w:val="00686F18"/>
    <w:rsid w:val="00687039"/>
    <w:rsid w:val="0068777A"/>
    <w:rsid w:val="0068787E"/>
    <w:rsid w:val="006879EF"/>
    <w:rsid w:val="00687F55"/>
    <w:rsid w:val="00690141"/>
    <w:rsid w:val="006915DA"/>
    <w:rsid w:val="006917E7"/>
    <w:rsid w:val="0069193B"/>
    <w:rsid w:val="00691EFF"/>
    <w:rsid w:val="0069211E"/>
    <w:rsid w:val="0069280C"/>
    <w:rsid w:val="0069302A"/>
    <w:rsid w:val="00693F5F"/>
    <w:rsid w:val="00694186"/>
    <w:rsid w:val="0069423D"/>
    <w:rsid w:val="0069437A"/>
    <w:rsid w:val="00694711"/>
    <w:rsid w:val="00694BD7"/>
    <w:rsid w:val="00694CF8"/>
    <w:rsid w:val="00695156"/>
    <w:rsid w:val="0069515C"/>
    <w:rsid w:val="0069570C"/>
    <w:rsid w:val="00695E3C"/>
    <w:rsid w:val="00695E94"/>
    <w:rsid w:val="00696554"/>
    <w:rsid w:val="00696585"/>
    <w:rsid w:val="00696E32"/>
    <w:rsid w:val="0069712F"/>
    <w:rsid w:val="00697222"/>
    <w:rsid w:val="006A110B"/>
    <w:rsid w:val="006A132F"/>
    <w:rsid w:val="006A1666"/>
    <w:rsid w:val="006A17BE"/>
    <w:rsid w:val="006A1FCB"/>
    <w:rsid w:val="006A2A63"/>
    <w:rsid w:val="006A2E32"/>
    <w:rsid w:val="006A2EAE"/>
    <w:rsid w:val="006A393D"/>
    <w:rsid w:val="006A3AD3"/>
    <w:rsid w:val="006A3C42"/>
    <w:rsid w:val="006A47E3"/>
    <w:rsid w:val="006A4E25"/>
    <w:rsid w:val="006A58C7"/>
    <w:rsid w:val="006A58D3"/>
    <w:rsid w:val="006A5BBF"/>
    <w:rsid w:val="006A61E1"/>
    <w:rsid w:val="006A6AE9"/>
    <w:rsid w:val="006A6B09"/>
    <w:rsid w:val="006A6CA3"/>
    <w:rsid w:val="006A6E3E"/>
    <w:rsid w:val="006A6F2C"/>
    <w:rsid w:val="006A71C8"/>
    <w:rsid w:val="006A7273"/>
    <w:rsid w:val="006A72CB"/>
    <w:rsid w:val="006A793D"/>
    <w:rsid w:val="006A798D"/>
    <w:rsid w:val="006A7C02"/>
    <w:rsid w:val="006A7F38"/>
    <w:rsid w:val="006B03F5"/>
    <w:rsid w:val="006B099B"/>
    <w:rsid w:val="006B0DA3"/>
    <w:rsid w:val="006B1317"/>
    <w:rsid w:val="006B1585"/>
    <w:rsid w:val="006B163D"/>
    <w:rsid w:val="006B1EA7"/>
    <w:rsid w:val="006B2404"/>
    <w:rsid w:val="006B2766"/>
    <w:rsid w:val="006B28C6"/>
    <w:rsid w:val="006B29A9"/>
    <w:rsid w:val="006B3311"/>
    <w:rsid w:val="006B36F2"/>
    <w:rsid w:val="006B3921"/>
    <w:rsid w:val="006B39A0"/>
    <w:rsid w:val="006B406B"/>
    <w:rsid w:val="006B46E9"/>
    <w:rsid w:val="006B492F"/>
    <w:rsid w:val="006B4AC1"/>
    <w:rsid w:val="006B4C3C"/>
    <w:rsid w:val="006B4CFB"/>
    <w:rsid w:val="006B55F8"/>
    <w:rsid w:val="006B5605"/>
    <w:rsid w:val="006B5748"/>
    <w:rsid w:val="006B643C"/>
    <w:rsid w:val="006B666D"/>
    <w:rsid w:val="006B69CC"/>
    <w:rsid w:val="006B69F2"/>
    <w:rsid w:val="006B6F43"/>
    <w:rsid w:val="006B7323"/>
    <w:rsid w:val="006B78F9"/>
    <w:rsid w:val="006B7958"/>
    <w:rsid w:val="006B7E80"/>
    <w:rsid w:val="006C02CD"/>
    <w:rsid w:val="006C0846"/>
    <w:rsid w:val="006C0F75"/>
    <w:rsid w:val="006C0F95"/>
    <w:rsid w:val="006C101D"/>
    <w:rsid w:val="006C1994"/>
    <w:rsid w:val="006C1CD5"/>
    <w:rsid w:val="006C1CE0"/>
    <w:rsid w:val="006C1E55"/>
    <w:rsid w:val="006C1E84"/>
    <w:rsid w:val="006C22D0"/>
    <w:rsid w:val="006C24ED"/>
    <w:rsid w:val="006C27E8"/>
    <w:rsid w:val="006C3EA0"/>
    <w:rsid w:val="006C3EA5"/>
    <w:rsid w:val="006C4186"/>
    <w:rsid w:val="006C4317"/>
    <w:rsid w:val="006C4667"/>
    <w:rsid w:val="006C4C66"/>
    <w:rsid w:val="006C4CD0"/>
    <w:rsid w:val="006C4FDC"/>
    <w:rsid w:val="006C5A7D"/>
    <w:rsid w:val="006C6474"/>
    <w:rsid w:val="006C67AD"/>
    <w:rsid w:val="006C6A12"/>
    <w:rsid w:val="006C6E49"/>
    <w:rsid w:val="006C746A"/>
    <w:rsid w:val="006C747C"/>
    <w:rsid w:val="006C7626"/>
    <w:rsid w:val="006C782D"/>
    <w:rsid w:val="006C7D24"/>
    <w:rsid w:val="006D0399"/>
    <w:rsid w:val="006D048D"/>
    <w:rsid w:val="006D0B37"/>
    <w:rsid w:val="006D0ECB"/>
    <w:rsid w:val="006D1E4E"/>
    <w:rsid w:val="006D2947"/>
    <w:rsid w:val="006D2AC5"/>
    <w:rsid w:val="006D2D9C"/>
    <w:rsid w:val="006D2F20"/>
    <w:rsid w:val="006D31D0"/>
    <w:rsid w:val="006D340E"/>
    <w:rsid w:val="006D4B11"/>
    <w:rsid w:val="006D4B21"/>
    <w:rsid w:val="006D4C47"/>
    <w:rsid w:val="006D533F"/>
    <w:rsid w:val="006D5581"/>
    <w:rsid w:val="006D5D46"/>
    <w:rsid w:val="006D6417"/>
    <w:rsid w:val="006D673F"/>
    <w:rsid w:val="006D6A40"/>
    <w:rsid w:val="006D7102"/>
    <w:rsid w:val="006D71C9"/>
    <w:rsid w:val="006D731D"/>
    <w:rsid w:val="006D77D6"/>
    <w:rsid w:val="006D7978"/>
    <w:rsid w:val="006D7B6B"/>
    <w:rsid w:val="006E000A"/>
    <w:rsid w:val="006E00B4"/>
    <w:rsid w:val="006E05CE"/>
    <w:rsid w:val="006E083D"/>
    <w:rsid w:val="006E0875"/>
    <w:rsid w:val="006E0963"/>
    <w:rsid w:val="006E0B88"/>
    <w:rsid w:val="006E0E58"/>
    <w:rsid w:val="006E0F24"/>
    <w:rsid w:val="006E0F71"/>
    <w:rsid w:val="006E127C"/>
    <w:rsid w:val="006E1F9A"/>
    <w:rsid w:val="006E2514"/>
    <w:rsid w:val="006E26C6"/>
    <w:rsid w:val="006E29EB"/>
    <w:rsid w:val="006E2BB7"/>
    <w:rsid w:val="006E314D"/>
    <w:rsid w:val="006E3164"/>
    <w:rsid w:val="006E334A"/>
    <w:rsid w:val="006E36DC"/>
    <w:rsid w:val="006E376A"/>
    <w:rsid w:val="006E3896"/>
    <w:rsid w:val="006E4040"/>
    <w:rsid w:val="006E41D7"/>
    <w:rsid w:val="006E4321"/>
    <w:rsid w:val="006E4946"/>
    <w:rsid w:val="006E4B45"/>
    <w:rsid w:val="006E4B55"/>
    <w:rsid w:val="006E4F4F"/>
    <w:rsid w:val="006E531B"/>
    <w:rsid w:val="006E5446"/>
    <w:rsid w:val="006E5449"/>
    <w:rsid w:val="006E5902"/>
    <w:rsid w:val="006E5925"/>
    <w:rsid w:val="006E59B3"/>
    <w:rsid w:val="006E5A14"/>
    <w:rsid w:val="006E5E26"/>
    <w:rsid w:val="006E5EAC"/>
    <w:rsid w:val="006E609D"/>
    <w:rsid w:val="006E6107"/>
    <w:rsid w:val="006E6371"/>
    <w:rsid w:val="006E6820"/>
    <w:rsid w:val="006E6AE9"/>
    <w:rsid w:val="006E6B23"/>
    <w:rsid w:val="006E6E83"/>
    <w:rsid w:val="006E7035"/>
    <w:rsid w:val="006E7C51"/>
    <w:rsid w:val="006E7D48"/>
    <w:rsid w:val="006E7DFD"/>
    <w:rsid w:val="006F00BA"/>
    <w:rsid w:val="006F0158"/>
    <w:rsid w:val="006F0545"/>
    <w:rsid w:val="006F0622"/>
    <w:rsid w:val="006F0783"/>
    <w:rsid w:val="006F0F69"/>
    <w:rsid w:val="006F129F"/>
    <w:rsid w:val="006F208A"/>
    <w:rsid w:val="006F2B42"/>
    <w:rsid w:val="006F2C3D"/>
    <w:rsid w:val="006F30DD"/>
    <w:rsid w:val="006F31B1"/>
    <w:rsid w:val="006F329A"/>
    <w:rsid w:val="006F3364"/>
    <w:rsid w:val="006F39BB"/>
    <w:rsid w:val="006F3B3D"/>
    <w:rsid w:val="006F3D56"/>
    <w:rsid w:val="006F3E66"/>
    <w:rsid w:val="006F456A"/>
    <w:rsid w:val="006F492C"/>
    <w:rsid w:val="006F53E6"/>
    <w:rsid w:val="006F560B"/>
    <w:rsid w:val="006F57D5"/>
    <w:rsid w:val="006F5E4B"/>
    <w:rsid w:val="006F6A10"/>
    <w:rsid w:val="006F6C3A"/>
    <w:rsid w:val="006F75BF"/>
    <w:rsid w:val="006F7D7A"/>
    <w:rsid w:val="006F7EAC"/>
    <w:rsid w:val="00700102"/>
    <w:rsid w:val="00700373"/>
    <w:rsid w:val="0070127A"/>
    <w:rsid w:val="00701656"/>
    <w:rsid w:val="0070173F"/>
    <w:rsid w:val="007018BC"/>
    <w:rsid w:val="00701DD0"/>
    <w:rsid w:val="007020E5"/>
    <w:rsid w:val="007022A8"/>
    <w:rsid w:val="0070255A"/>
    <w:rsid w:val="00702562"/>
    <w:rsid w:val="007029E2"/>
    <w:rsid w:val="00702A21"/>
    <w:rsid w:val="00702F75"/>
    <w:rsid w:val="00702F98"/>
    <w:rsid w:val="00703240"/>
    <w:rsid w:val="0070375D"/>
    <w:rsid w:val="0070393D"/>
    <w:rsid w:val="00703BD4"/>
    <w:rsid w:val="00703FA9"/>
    <w:rsid w:val="00704740"/>
    <w:rsid w:val="00704ED1"/>
    <w:rsid w:val="007053C2"/>
    <w:rsid w:val="00705659"/>
    <w:rsid w:val="00705993"/>
    <w:rsid w:val="007059A5"/>
    <w:rsid w:val="00706030"/>
    <w:rsid w:val="007062EF"/>
    <w:rsid w:val="00706385"/>
    <w:rsid w:val="00706647"/>
    <w:rsid w:val="00706B60"/>
    <w:rsid w:val="00706DF1"/>
    <w:rsid w:val="0070754F"/>
    <w:rsid w:val="007104FF"/>
    <w:rsid w:val="007107A0"/>
    <w:rsid w:val="00710807"/>
    <w:rsid w:val="007109E9"/>
    <w:rsid w:val="00710DA3"/>
    <w:rsid w:val="00710DEA"/>
    <w:rsid w:val="00710F53"/>
    <w:rsid w:val="00711590"/>
    <w:rsid w:val="00711818"/>
    <w:rsid w:val="0071186A"/>
    <w:rsid w:val="00711AC0"/>
    <w:rsid w:val="0071248C"/>
    <w:rsid w:val="007127A0"/>
    <w:rsid w:val="00712DBB"/>
    <w:rsid w:val="00712DEC"/>
    <w:rsid w:val="00713849"/>
    <w:rsid w:val="0071450A"/>
    <w:rsid w:val="0071473D"/>
    <w:rsid w:val="00714AE3"/>
    <w:rsid w:val="00714CF0"/>
    <w:rsid w:val="00714D58"/>
    <w:rsid w:val="00714DF8"/>
    <w:rsid w:val="00714E71"/>
    <w:rsid w:val="007153E3"/>
    <w:rsid w:val="007154F3"/>
    <w:rsid w:val="00715598"/>
    <w:rsid w:val="00715734"/>
    <w:rsid w:val="00715D03"/>
    <w:rsid w:val="00715D10"/>
    <w:rsid w:val="007160A5"/>
    <w:rsid w:val="00716AA3"/>
    <w:rsid w:val="00716B4A"/>
    <w:rsid w:val="0071769C"/>
    <w:rsid w:val="0071778D"/>
    <w:rsid w:val="00717838"/>
    <w:rsid w:val="00717A98"/>
    <w:rsid w:val="00720509"/>
    <w:rsid w:val="007208FD"/>
    <w:rsid w:val="00720C41"/>
    <w:rsid w:val="00720D87"/>
    <w:rsid w:val="00720DFC"/>
    <w:rsid w:val="00720F94"/>
    <w:rsid w:val="007210DF"/>
    <w:rsid w:val="00721173"/>
    <w:rsid w:val="0072120F"/>
    <w:rsid w:val="00721C37"/>
    <w:rsid w:val="00721F37"/>
    <w:rsid w:val="00721F52"/>
    <w:rsid w:val="007222EC"/>
    <w:rsid w:val="007222FC"/>
    <w:rsid w:val="00722738"/>
    <w:rsid w:val="00722985"/>
    <w:rsid w:val="00722C63"/>
    <w:rsid w:val="0072305A"/>
    <w:rsid w:val="007232F5"/>
    <w:rsid w:val="00723424"/>
    <w:rsid w:val="00723505"/>
    <w:rsid w:val="0072413A"/>
    <w:rsid w:val="007242EC"/>
    <w:rsid w:val="0072463C"/>
    <w:rsid w:val="00724E79"/>
    <w:rsid w:val="007250D2"/>
    <w:rsid w:val="00726BA0"/>
    <w:rsid w:val="0072732E"/>
    <w:rsid w:val="00730705"/>
    <w:rsid w:val="00731150"/>
    <w:rsid w:val="00731501"/>
    <w:rsid w:val="00731801"/>
    <w:rsid w:val="00731ACD"/>
    <w:rsid w:val="00731D1A"/>
    <w:rsid w:val="00731DE2"/>
    <w:rsid w:val="00732194"/>
    <w:rsid w:val="007326F4"/>
    <w:rsid w:val="007328FB"/>
    <w:rsid w:val="00732ADF"/>
    <w:rsid w:val="00732BCA"/>
    <w:rsid w:val="007338CE"/>
    <w:rsid w:val="0073392C"/>
    <w:rsid w:val="00733A81"/>
    <w:rsid w:val="00733AEF"/>
    <w:rsid w:val="0073402D"/>
    <w:rsid w:val="00734097"/>
    <w:rsid w:val="00734120"/>
    <w:rsid w:val="007348F7"/>
    <w:rsid w:val="00734A3E"/>
    <w:rsid w:val="007351D8"/>
    <w:rsid w:val="0073521E"/>
    <w:rsid w:val="00735363"/>
    <w:rsid w:val="00735616"/>
    <w:rsid w:val="007356DB"/>
    <w:rsid w:val="00735896"/>
    <w:rsid w:val="00735A4E"/>
    <w:rsid w:val="00735DE5"/>
    <w:rsid w:val="00735E80"/>
    <w:rsid w:val="00735EAE"/>
    <w:rsid w:val="00736234"/>
    <w:rsid w:val="00736667"/>
    <w:rsid w:val="00736C0F"/>
    <w:rsid w:val="00737052"/>
    <w:rsid w:val="00737062"/>
    <w:rsid w:val="00737797"/>
    <w:rsid w:val="00737D5C"/>
    <w:rsid w:val="007400E8"/>
    <w:rsid w:val="00740481"/>
    <w:rsid w:val="0074094E"/>
    <w:rsid w:val="00740C0E"/>
    <w:rsid w:val="0074166E"/>
    <w:rsid w:val="00741B3D"/>
    <w:rsid w:val="00741C50"/>
    <w:rsid w:val="00742316"/>
    <w:rsid w:val="00742732"/>
    <w:rsid w:val="00742A1F"/>
    <w:rsid w:val="00742B2F"/>
    <w:rsid w:val="00743802"/>
    <w:rsid w:val="00743973"/>
    <w:rsid w:val="0074398E"/>
    <w:rsid w:val="00743CC2"/>
    <w:rsid w:val="00743CD2"/>
    <w:rsid w:val="00744A9A"/>
    <w:rsid w:val="00744D53"/>
    <w:rsid w:val="00745009"/>
    <w:rsid w:val="00745198"/>
    <w:rsid w:val="00745439"/>
    <w:rsid w:val="007454A0"/>
    <w:rsid w:val="007455C5"/>
    <w:rsid w:val="00745816"/>
    <w:rsid w:val="00745C78"/>
    <w:rsid w:val="00745C9F"/>
    <w:rsid w:val="00745EC7"/>
    <w:rsid w:val="0074621F"/>
    <w:rsid w:val="0074629E"/>
    <w:rsid w:val="00746389"/>
    <w:rsid w:val="00746694"/>
    <w:rsid w:val="0074676C"/>
    <w:rsid w:val="00746C6E"/>
    <w:rsid w:val="00746DDA"/>
    <w:rsid w:val="00747939"/>
    <w:rsid w:val="00747C1E"/>
    <w:rsid w:val="0075005D"/>
    <w:rsid w:val="0075046C"/>
    <w:rsid w:val="0075061F"/>
    <w:rsid w:val="00750895"/>
    <w:rsid w:val="00750AD3"/>
    <w:rsid w:val="00750B02"/>
    <w:rsid w:val="00750C8B"/>
    <w:rsid w:val="00751B07"/>
    <w:rsid w:val="007521BD"/>
    <w:rsid w:val="0075288A"/>
    <w:rsid w:val="00753659"/>
    <w:rsid w:val="00753B0F"/>
    <w:rsid w:val="00753CC0"/>
    <w:rsid w:val="00754048"/>
    <w:rsid w:val="00754764"/>
    <w:rsid w:val="007554AC"/>
    <w:rsid w:val="00755C94"/>
    <w:rsid w:val="00756036"/>
    <w:rsid w:val="00756549"/>
    <w:rsid w:val="007575F2"/>
    <w:rsid w:val="007579C5"/>
    <w:rsid w:val="00757F73"/>
    <w:rsid w:val="007604F7"/>
    <w:rsid w:val="00760C71"/>
    <w:rsid w:val="00761139"/>
    <w:rsid w:val="007611E1"/>
    <w:rsid w:val="00761618"/>
    <w:rsid w:val="0076166B"/>
    <w:rsid w:val="007616D2"/>
    <w:rsid w:val="00761A17"/>
    <w:rsid w:val="00761DA3"/>
    <w:rsid w:val="00761DE4"/>
    <w:rsid w:val="00762664"/>
    <w:rsid w:val="007628FD"/>
    <w:rsid w:val="0076293B"/>
    <w:rsid w:val="00762DBD"/>
    <w:rsid w:val="00763188"/>
    <w:rsid w:val="00764A6E"/>
    <w:rsid w:val="00764EEC"/>
    <w:rsid w:val="007650E9"/>
    <w:rsid w:val="00765617"/>
    <w:rsid w:val="00765668"/>
    <w:rsid w:val="0076588D"/>
    <w:rsid w:val="00765BC0"/>
    <w:rsid w:val="00765FFC"/>
    <w:rsid w:val="00766AB5"/>
    <w:rsid w:val="00766EE9"/>
    <w:rsid w:val="00767219"/>
    <w:rsid w:val="00767717"/>
    <w:rsid w:val="0076792A"/>
    <w:rsid w:val="007701DE"/>
    <w:rsid w:val="0077041A"/>
    <w:rsid w:val="00770B7C"/>
    <w:rsid w:val="00770E12"/>
    <w:rsid w:val="007710E2"/>
    <w:rsid w:val="00771786"/>
    <w:rsid w:val="00771946"/>
    <w:rsid w:val="00771E70"/>
    <w:rsid w:val="007726AE"/>
    <w:rsid w:val="00773116"/>
    <w:rsid w:val="00773342"/>
    <w:rsid w:val="0077344C"/>
    <w:rsid w:val="00773964"/>
    <w:rsid w:val="00773BAB"/>
    <w:rsid w:val="00773E98"/>
    <w:rsid w:val="00774230"/>
    <w:rsid w:val="007743B7"/>
    <w:rsid w:val="00774416"/>
    <w:rsid w:val="00774E25"/>
    <w:rsid w:val="0077640C"/>
    <w:rsid w:val="00776FFA"/>
    <w:rsid w:val="00777298"/>
    <w:rsid w:val="007774ED"/>
    <w:rsid w:val="0077754F"/>
    <w:rsid w:val="007777DE"/>
    <w:rsid w:val="00777CFF"/>
    <w:rsid w:val="00777DED"/>
    <w:rsid w:val="007801DD"/>
    <w:rsid w:val="0078062D"/>
    <w:rsid w:val="007808DC"/>
    <w:rsid w:val="00780C27"/>
    <w:rsid w:val="00780C95"/>
    <w:rsid w:val="00781689"/>
    <w:rsid w:val="00781731"/>
    <w:rsid w:val="00781C8C"/>
    <w:rsid w:val="00782036"/>
    <w:rsid w:val="0078282B"/>
    <w:rsid w:val="00783071"/>
    <w:rsid w:val="0078336F"/>
    <w:rsid w:val="007839AC"/>
    <w:rsid w:val="00783B3A"/>
    <w:rsid w:val="007840E2"/>
    <w:rsid w:val="0078435F"/>
    <w:rsid w:val="007854CD"/>
    <w:rsid w:val="00785796"/>
    <w:rsid w:val="00785B25"/>
    <w:rsid w:val="0078617A"/>
    <w:rsid w:val="007865B2"/>
    <w:rsid w:val="007867D9"/>
    <w:rsid w:val="00786AE4"/>
    <w:rsid w:val="00786D5D"/>
    <w:rsid w:val="007874FA"/>
    <w:rsid w:val="00787B99"/>
    <w:rsid w:val="00787E48"/>
    <w:rsid w:val="00790357"/>
    <w:rsid w:val="00790590"/>
    <w:rsid w:val="00790A1C"/>
    <w:rsid w:val="00790B36"/>
    <w:rsid w:val="00791097"/>
    <w:rsid w:val="00791725"/>
    <w:rsid w:val="00791D1D"/>
    <w:rsid w:val="00791E58"/>
    <w:rsid w:val="00791EDA"/>
    <w:rsid w:val="00792015"/>
    <w:rsid w:val="0079243B"/>
    <w:rsid w:val="00792536"/>
    <w:rsid w:val="007925E1"/>
    <w:rsid w:val="00792CD0"/>
    <w:rsid w:val="00793397"/>
    <w:rsid w:val="007933B7"/>
    <w:rsid w:val="0079347C"/>
    <w:rsid w:val="007937DC"/>
    <w:rsid w:val="007937E7"/>
    <w:rsid w:val="00793E73"/>
    <w:rsid w:val="00793E89"/>
    <w:rsid w:val="0079417A"/>
    <w:rsid w:val="007941A4"/>
    <w:rsid w:val="007941BB"/>
    <w:rsid w:val="0079494B"/>
    <w:rsid w:val="00794D3C"/>
    <w:rsid w:val="00794F6C"/>
    <w:rsid w:val="007950A6"/>
    <w:rsid w:val="007950A8"/>
    <w:rsid w:val="00795259"/>
    <w:rsid w:val="00795A3B"/>
    <w:rsid w:val="00796103"/>
    <w:rsid w:val="007967C8"/>
    <w:rsid w:val="00796F7C"/>
    <w:rsid w:val="0079703F"/>
    <w:rsid w:val="0079727F"/>
    <w:rsid w:val="007974FA"/>
    <w:rsid w:val="007979D4"/>
    <w:rsid w:val="007A0C44"/>
    <w:rsid w:val="007A1313"/>
    <w:rsid w:val="007A14A2"/>
    <w:rsid w:val="007A1CD0"/>
    <w:rsid w:val="007A1E18"/>
    <w:rsid w:val="007A2277"/>
    <w:rsid w:val="007A2645"/>
    <w:rsid w:val="007A2D72"/>
    <w:rsid w:val="007A2F1C"/>
    <w:rsid w:val="007A2F24"/>
    <w:rsid w:val="007A2FFB"/>
    <w:rsid w:val="007A36A8"/>
    <w:rsid w:val="007A3E21"/>
    <w:rsid w:val="007A40A4"/>
    <w:rsid w:val="007A457B"/>
    <w:rsid w:val="007A482E"/>
    <w:rsid w:val="007A4933"/>
    <w:rsid w:val="007A4D02"/>
    <w:rsid w:val="007A4DC3"/>
    <w:rsid w:val="007A577A"/>
    <w:rsid w:val="007A5F79"/>
    <w:rsid w:val="007A6A3C"/>
    <w:rsid w:val="007A7CF6"/>
    <w:rsid w:val="007A7D28"/>
    <w:rsid w:val="007B0095"/>
    <w:rsid w:val="007B02A2"/>
    <w:rsid w:val="007B06DF"/>
    <w:rsid w:val="007B087F"/>
    <w:rsid w:val="007B0E21"/>
    <w:rsid w:val="007B0F18"/>
    <w:rsid w:val="007B13E1"/>
    <w:rsid w:val="007B1529"/>
    <w:rsid w:val="007B2045"/>
    <w:rsid w:val="007B2074"/>
    <w:rsid w:val="007B2B13"/>
    <w:rsid w:val="007B2B70"/>
    <w:rsid w:val="007B3D36"/>
    <w:rsid w:val="007B3DDC"/>
    <w:rsid w:val="007B3E78"/>
    <w:rsid w:val="007B3ECA"/>
    <w:rsid w:val="007B425D"/>
    <w:rsid w:val="007B4295"/>
    <w:rsid w:val="007B431D"/>
    <w:rsid w:val="007B483A"/>
    <w:rsid w:val="007B4DD6"/>
    <w:rsid w:val="007B510C"/>
    <w:rsid w:val="007B52EC"/>
    <w:rsid w:val="007B6015"/>
    <w:rsid w:val="007B63C8"/>
    <w:rsid w:val="007B6AF7"/>
    <w:rsid w:val="007B6B09"/>
    <w:rsid w:val="007B79CD"/>
    <w:rsid w:val="007B7C13"/>
    <w:rsid w:val="007C049F"/>
    <w:rsid w:val="007C0504"/>
    <w:rsid w:val="007C060C"/>
    <w:rsid w:val="007C10B3"/>
    <w:rsid w:val="007C12FD"/>
    <w:rsid w:val="007C135A"/>
    <w:rsid w:val="007C1E5C"/>
    <w:rsid w:val="007C26BA"/>
    <w:rsid w:val="007C2754"/>
    <w:rsid w:val="007C2836"/>
    <w:rsid w:val="007C2CD0"/>
    <w:rsid w:val="007C3123"/>
    <w:rsid w:val="007C31B8"/>
    <w:rsid w:val="007C3592"/>
    <w:rsid w:val="007C3A51"/>
    <w:rsid w:val="007C3F50"/>
    <w:rsid w:val="007C43F4"/>
    <w:rsid w:val="007C46EE"/>
    <w:rsid w:val="007C48E9"/>
    <w:rsid w:val="007C501A"/>
    <w:rsid w:val="007C5418"/>
    <w:rsid w:val="007C5BD3"/>
    <w:rsid w:val="007C6514"/>
    <w:rsid w:val="007C6E58"/>
    <w:rsid w:val="007C71CF"/>
    <w:rsid w:val="007C73C2"/>
    <w:rsid w:val="007C777A"/>
    <w:rsid w:val="007C7A88"/>
    <w:rsid w:val="007D0920"/>
    <w:rsid w:val="007D0D7F"/>
    <w:rsid w:val="007D2181"/>
    <w:rsid w:val="007D21AB"/>
    <w:rsid w:val="007D2805"/>
    <w:rsid w:val="007D3280"/>
    <w:rsid w:val="007D38A8"/>
    <w:rsid w:val="007D3FDF"/>
    <w:rsid w:val="007D4382"/>
    <w:rsid w:val="007D4981"/>
    <w:rsid w:val="007D4BF1"/>
    <w:rsid w:val="007D4C13"/>
    <w:rsid w:val="007D4DFC"/>
    <w:rsid w:val="007D4EC2"/>
    <w:rsid w:val="007D5749"/>
    <w:rsid w:val="007D636A"/>
    <w:rsid w:val="007D692A"/>
    <w:rsid w:val="007D6E8A"/>
    <w:rsid w:val="007D72E2"/>
    <w:rsid w:val="007D7326"/>
    <w:rsid w:val="007D7740"/>
    <w:rsid w:val="007D7A9A"/>
    <w:rsid w:val="007E035A"/>
    <w:rsid w:val="007E03C8"/>
    <w:rsid w:val="007E068B"/>
    <w:rsid w:val="007E0E90"/>
    <w:rsid w:val="007E1659"/>
    <w:rsid w:val="007E16C1"/>
    <w:rsid w:val="007E184E"/>
    <w:rsid w:val="007E19F9"/>
    <w:rsid w:val="007E1B33"/>
    <w:rsid w:val="007E1B89"/>
    <w:rsid w:val="007E1C7F"/>
    <w:rsid w:val="007E1C87"/>
    <w:rsid w:val="007E22FC"/>
    <w:rsid w:val="007E2684"/>
    <w:rsid w:val="007E30DD"/>
    <w:rsid w:val="007E34A0"/>
    <w:rsid w:val="007E44D9"/>
    <w:rsid w:val="007E454F"/>
    <w:rsid w:val="007E4699"/>
    <w:rsid w:val="007E46DC"/>
    <w:rsid w:val="007E5B5C"/>
    <w:rsid w:val="007E5D5E"/>
    <w:rsid w:val="007E674C"/>
    <w:rsid w:val="007E69FA"/>
    <w:rsid w:val="007E6A27"/>
    <w:rsid w:val="007E6B04"/>
    <w:rsid w:val="007E6C20"/>
    <w:rsid w:val="007E6C72"/>
    <w:rsid w:val="007E7771"/>
    <w:rsid w:val="007E781C"/>
    <w:rsid w:val="007E7B7E"/>
    <w:rsid w:val="007E7BE7"/>
    <w:rsid w:val="007E7CDC"/>
    <w:rsid w:val="007F0676"/>
    <w:rsid w:val="007F070E"/>
    <w:rsid w:val="007F1030"/>
    <w:rsid w:val="007F1558"/>
    <w:rsid w:val="007F194E"/>
    <w:rsid w:val="007F1C33"/>
    <w:rsid w:val="007F1EF9"/>
    <w:rsid w:val="007F21E1"/>
    <w:rsid w:val="007F2263"/>
    <w:rsid w:val="007F2379"/>
    <w:rsid w:val="007F2400"/>
    <w:rsid w:val="007F3726"/>
    <w:rsid w:val="007F3A95"/>
    <w:rsid w:val="007F41BC"/>
    <w:rsid w:val="007F472A"/>
    <w:rsid w:val="007F4D6B"/>
    <w:rsid w:val="007F503B"/>
    <w:rsid w:val="007F5210"/>
    <w:rsid w:val="007F5387"/>
    <w:rsid w:val="007F5E41"/>
    <w:rsid w:val="007F5EBC"/>
    <w:rsid w:val="007F63C6"/>
    <w:rsid w:val="007F6A3C"/>
    <w:rsid w:val="007F757F"/>
    <w:rsid w:val="007F78CA"/>
    <w:rsid w:val="007F79F8"/>
    <w:rsid w:val="007F7CD6"/>
    <w:rsid w:val="007F7D13"/>
    <w:rsid w:val="00800796"/>
    <w:rsid w:val="00800BDE"/>
    <w:rsid w:val="00800CC5"/>
    <w:rsid w:val="00800F6F"/>
    <w:rsid w:val="0080146C"/>
    <w:rsid w:val="008015DC"/>
    <w:rsid w:val="0080192E"/>
    <w:rsid w:val="00801A7F"/>
    <w:rsid w:val="00801B4F"/>
    <w:rsid w:val="00801C10"/>
    <w:rsid w:val="00801E65"/>
    <w:rsid w:val="008026D4"/>
    <w:rsid w:val="0080295D"/>
    <w:rsid w:val="008029A5"/>
    <w:rsid w:val="00802BCC"/>
    <w:rsid w:val="00802C11"/>
    <w:rsid w:val="00802C89"/>
    <w:rsid w:val="00802F35"/>
    <w:rsid w:val="00803008"/>
    <w:rsid w:val="008034CA"/>
    <w:rsid w:val="0080371F"/>
    <w:rsid w:val="0080389C"/>
    <w:rsid w:val="00803C8C"/>
    <w:rsid w:val="00803CE9"/>
    <w:rsid w:val="00804427"/>
    <w:rsid w:val="008044A4"/>
    <w:rsid w:val="00804804"/>
    <w:rsid w:val="00804879"/>
    <w:rsid w:val="008048DA"/>
    <w:rsid w:val="008048F8"/>
    <w:rsid w:val="00804BD4"/>
    <w:rsid w:val="00804E32"/>
    <w:rsid w:val="00804ECD"/>
    <w:rsid w:val="00805288"/>
    <w:rsid w:val="0080546C"/>
    <w:rsid w:val="00805621"/>
    <w:rsid w:val="0080573A"/>
    <w:rsid w:val="00805821"/>
    <w:rsid w:val="0080588E"/>
    <w:rsid w:val="00805981"/>
    <w:rsid w:val="00805B67"/>
    <w:rsid w:val="008060E3"/>
    <w:rsid w:val="008065B6"/>
    <w:rsid w:val="0080682C"/>
    <w:rsid w:val="00806B2C"/>
    <w:rsid w:val="00806F83"/>
    <w:rsid w:val="008076B5"/>
    <w:rsid w:val="00807FA0"/>
    <w:rsid w:val="008104F7"/>
    <w:rsid w:val="00810BE2"/>
    <w:rsid w:val="00810D8F"/>
    <w:rsid w:val="00810F45"/>
    <w:rsid w:val="00810F84"/>
    <w:rsid w:val="0081144E"/>
    <w:rsid w:val="00811BA8"/>
    <w:rsid w:val="00811BCA"/>
    <w:rsid w:val="00811C98"/>
    <w:rsid w:val="00811E11"/>
    <w:rsid w:val="00812263"/>
    <w:rsid w:val="00812425"/>
    <w:rsid w:val="00812562"/>
    <w:rsid w:val="00812A0E"/>
    <w:rsid w:val="00812AEC"/>
    <w:rsid w:val="00812C1A"/>
    <w:rsid w:val="00812DA4"/>
    <w:rsid w:val="00813189"/>
    <w:rsid w:val="0081375F"/>
    <w:rsid w:val="00814E4D"/>
    <w:rsid w:val="008150AC"/>
    <w:rsid w:val="008151AA"/>
    <w:rsid w:val="00815DED"/>
    <w:rsid w:val="0081630E"/>
    <w:rsid w:val="008163A3"/>
    <w:rsid w:val="00816422"/>
    <w:rsid w:val="0081647E"/>
    <w:rsid w:val="00816680"/>
    <w:rsid w:val="008167CD"/>
    <w:rsid w:val="008167FC"/>
    <w:rsid w:val="008168AB"/>
    <w:rsid w:val="00816969"/>
    <w:rsid w:val="00817096"/>
    <w:rsid w:val="008172FB"/>
    <w:rsid w:val="0081738E"/>
    <w:rsid w:val="008174BD"/>
    <w:rsid w:val="00817F71"/>
    <w:rsid w:val="0082001B"/>
    <w:rsid w:val="00820206"/>
    <w:rsid w:val="00820A0E"/>
    <w:rsid w:val="00820B5C"/>
    <w:rsid w:val="00821423"/>
    <w:rsid w:val="00821AA9"/>
    <w:rsid w:val="008222EF"/>
    <w:rsid w:val="00822817"/>
    <w:rsid w:val="00822934"/>
    <w:rsid w:val="008229EA"/>
    <w:rsid w:val="00822B3E"/>
    <w:rsid w:val="00822D91"/>
    <w:rsid w:val="00822E0F"/>
    <w:rsid w:val="00823323"/>
    <w:rsid w:val="00823645"/>
    <w:rsid w:val="0082366C"/>
    <w:rsid w:val="008236EB"/>
    <w:rsid w:val="00823FB5"/>
    <w:rsid w:val="00824C7D"/>
    <w:rsid w:val="00824DFB"/>
    <w:rsid w:val="0082509D"/>
    <w:rsid w:val="0082513A"/>
    <w:rsid w:val="00825535"/>
    <w:rsid w:val="008258FC"/>
    <w:rsid w:val="00825942"/>
    <w:rsid w:val="00825C9F"/>
    <w:rsid w:val="00825D46"/>
    <w:rsid w:val="00825F52"/>
    <w:rsid w:val="008260D4"/>
    <w:rsid w:val="00826150"/>
    <w:rsid w:val="008267C8"/>
    <w:rsid w:val="008268B2"/>
    <w:rsid w:val="00826E2A"/>
    <w:rsid w:val="008275D4"/>
    <w:rsid w:val="008275E7"/>
    <w:rsid w:val="008277F4"/>
    <w:rsid w:val="0082788B"/>
    <w:rsid w:val="00827FE6"/>
    <w:rsid w:val="00830556"/>
    <w:rsid w:val="00830E74"/>
    <w:rsid w:val="00830F18"/>
    <w:rsid w:val="0083109A"/>
    <w:rsid w:val="00832485"/>
    <w:rsid w:val="008325BC"/>
    <w:rsid w:val="008325ED"/>
    <w:rsid w:val="00832951"/>
    <w:rsid w:val="00832978"/>
    <w:rsid w:val="00832E97"/>
    <w:rsid w:val="00833C00"/>
    <w:rsid w:val="00833CB9"/>
    <w:rsid w:val="00833DAA"/>
    <w:rsid w:val="00834128"/>
    <w:rsid w:val="008341A8"/>
    <w:rsid w:val="00834221"/>
    <w:rsid w:val="00834F6D"/>
    <w:rsid w:val="00835250"/>
    <w:rsid w:val="008356C1"/>
    <w:rsid w:val="008358A6"/>
    <w:rsid w:val="00835B1C"/>
    <w:rsid w:val="00835B6C"/>
    <w:rsid w:val="00835CDA"/>
    <w:rsid w:val="00835F78"/>
    <w:rsid w:val="00836106"/>
    <w:rsid w:val="0083618F"/>
    <w:rsid w:val="008362A7"/>
    <w:rsid w:val="008365DC"/>
    <w:rsid w:val="008368D5"/>
    <w:rsid w:val="008369EA"/>
    <w:rsid w:val="00836BF1"/>
    <w:rsid w:val="00837F7C"/>
    <w:rsid w:val="0084069D"/>
    <w:rsid w:val="00841345"/>
    <w:rsid w:val="00841447"/>
    <w:rsid w:val="00841BF5"/>
    <w:rsid w:val="00841F3B"/>
    <w:rsid w:val="008420D3"/>
    <w:rsid w:val="0084261D"/>
    <w:rsid w:val="00842C76"/>
    <w:rsid w:val="008430DB"/>
    <w:rsid w:val="00843659"/>
    <w:rsid w:val="0084397C"/>
    <w:rsid w:val="0084427F"/>
    <w:rsid w:val="008447F4"/>
    <w:rsid w:val="0084480A"/>
    <w:rsid w:val="0084498F"/>
    <w:rsid w:val="00844D3F"/>
    <w:rsid w:val="00844F29"/>
    <w:rsid w:val="00845387"/>
    <w:rsid w:val="008454A4"/>
    <w:rsid w:val="00845A93"/>
    <w:rsid w:val="00845A95"/>
    <w:rsid w:val="00845C5A"/>
    <w:rsid w:val="00845C94"/>
    <w:rsid w:val="00846462"/>
    <w:rsid w:val="0084713E"/>
    <w:rsid w:val="00847892"/>
    <w:rsid w:val="008479E8"/>
    <w:rsid w:val="008479EE"/>
    <w:rsid w:val="00847AC5"/>
    <w:rsid w:val="00847FAC"/>
    <w:rsid w:val="008500D6"/>
    <w:rsid w:val="008513C9"/>
    <w:rsid w:val="00851B1B"/>
    <w:rsid w:val="00852046"/>
    <w:rsid w:val="00852062"/>
    <w:rsid w:val="0085218A"/>
    <w:rsid w:val="008521BB"/>
    <w:rsid w:val="00852524"/>
    <w:rsid w:val="00852599"/>
    <w:rsid w:val="00852707"/>
    <w:rsid w:val="00852771"/>
    <w:rsid w:val="00852881"/>
    <w:rsid w:val="008534EA"/>
    <w:rsid w:val="00853EC1"/>
    <w:rsid w:val="008546E1"/>
    <w:rsid w:val="00854727"/>
    <w:rsid w:val="0085482E"/>
    <w:rsid w:val="00854D90"/>
    <w:rsid w:val="00855077"/>
    <w:rsid w:val="008551CD"/>
    <w:rsid w:val="00855CA1"/>
    <w:rsid w:val="00855ED8"/>
    <w:rsid w:val="00856157"/>
    <w:rsid w:val="00856F02"/>
    <w:rsid w:val="00856F74"/>
    <w:rsid w:val="00857166"/>
    <w:rsid w:val="008573D0"/>
    <w:rsid w:val="0086023E"/>
    <w:rsid w:val="0086046A"/>
    <w:rsid w:val="0086111B"/>
    <w:rsid w:val="0086117F"/>
    <w:rsid w:val="00861249"/>
    <w:rsid w:val="008612A0"/>
    <w:rsid w:val="008616DC"/>
    <w:rsid w:val="008627AD"/>
    <w:rsid w:val="00862890"/>
    <w:rsid w:val="0086289B"/>
    <w:rsid w:val="00862D08"/>
    <w:rsid w:val="00862DAF"/>
    <w:rsid w:val="008631DD"/>
    <w:rsid w:val="0086342F"/>
    <w:rsid w:val="00863A03"/>
    <w:rsid w:val="00863C50"/>
    <w:rsid w:val="00863E38"/>
    <w:rsid w:val="00863F1E"/>
    <w:rsid w:val="00864247"/>
    <w:rsid w:val="008643BC"/>
    <w:rsid w:val="00864A9A"/>
    <w:rsid w:val="00864FB9"/>
    <w:rsid w:val="008651D0"/>
    <w:rsid w:val="00865719"/>
    <w:rsid w:val="00865E04"/>
    <w:rsid w:val="00865F1D"/>
    <w:rsid w:val="008663DE"/>
    <w:rsid w:val="0086654A"/>
    <w:rsid w:val="00866A17"/>
    <w:rsid w:val="00866BA8"/>
    <w:rsid w:val="00867292"/>
    <w:rsid w:val="0086732D"/>
    <w:rsid w:val="0086746B"/>
    <w:rsid w:val="008675B0"/>
    <w:rsid w:val="00870260"/>
    <w:rsid w:val="008704F1"/>
    <w:rsid w:val="0087064F"/>
    <w:rsid w:val="00870656"/>
    <w:rsid w:val="00870785"/>
    <w:rsid w:val="00870A0B"/>
    <w:rsid w:val="00870BCC"/>
    <w:rsid w:val="00870E51"/>
    <w:rsid w:val="00870FA8"/>
    <w:rsid w:val="008712B6"/>
    <w:rsid w:val="008712CE"/>
    <w:rsid w:val="0087157A"/>
    <w:rsid w:val="00871A8B"/>
    <w:rsid w:val="00871F4F"/>
    <w:rsid w:val="00872248"/>
    <w:rsid w:val="0087251B"/>
    <w:rsid w:val="0087271F"/>
    <w:rsid w:val="00873407"/>
    <w:rsid w:val="0087377F"/>
    <w:rsid w:val="008737E9"/>
    <w:rsid w:val="0087383C"/>
    <w:rsid w:val="00873D7D"/>
    <w:rsid w:val="0087437B"/>
    <w:rsid w:val="008743C6"/>
    <w:rsid w:val="00874C76"/>
    <w:rsid w:val="00874F93"/>
    <w:rsid w:val="0087509C"/>
    <w:rsid w:val="0087578E"/>
    <w:rsid w:val="00875D01"/>
    <w:rsid w:val="00875F2D"/>
    <w:rsid w:val="00876713"/>
    <w:rsid w:val="00876D59"/>
    <w:rsid w:val="00876F34"/>
    <w:rsid w:val="00877980"/>
    <w:rsid w:val="00877A22"/>
    <w:rsid w:val="00877A67"/>
    <w:rsid w:val="00877DD8"/>
    <w:rsid w:val="008800F4"/>
    <w:rsid w:val="00880433"/>
    <w:rsid w:val="00881066"/>
    <w:rsid w:val="00881140"/>
    <w:rsid w:val="00881189"/>
    <w:rsid w:val="008814DB"/>
    <w:rsid w:val="008816A1"/>
    <w:rsid w:val="008819AC"/>
    <w:rsid w:val="00881A9F"/>
    <w:rsid w:val="00881FC8"/>
    <w:rsid w:val="00882E08"/>
    <w:rsid w:val="00883196"/>
    <w:rsid w:val="00883517"/>
    <w:rsid w:val="008839E5"/>
    <w:rsid w:val="00883BCE"/>
    <w:rsid w:val="00883F8C"/>
    <w:rsid w:val="008846E2"/>
    <w:rsid w:val="008848D9"/>
    <w:rsid w:val="00884FFF"/>
    <w:rsid w:val="00885138"/>
    <w:rsid w:val="008854A1"/>
    <w:rsid w:val="00885731"/>
    <w:rsid w:val="00885891"/>
    <w:rsid w:val="00885943"/>
    <w:rsid w:val="00885E2A"/>
    <w:rsid w:val="00885FA9"/>
    <w:rsid w:val="0088624C"/>
    <w:rsid w:val="008862DE"/>
    <w:rsid w:val="00886307"/>
    <w:rsid w:val="008864C7"/>
    <w:rsid w:val="0088662F"/>
    <w:rsid w:val="008866C3"/>
    <w:rsid w:val="00886EAB"/>
    <w:rsid w:val="008874C7"/>
    <w:rsid w:val="00890284"/>
    <w:rsid w:val="0089066C"/>
    <w:rsid w:val="008906EC"/>
    <w:rsid w:val="00890725"/>
    <w:rsid w:val="00890F57"/>
    <w:rsid w:val="00891191"/>
    <w:rsid w:val="008917D6"/>
    <w:rsid w:val="00891859"/>
    <w:rsid w:val="00891D08"/>
    <w:rsid w:val="00892BA0"/>
    <w:rsid w:val="00892CBA"/>
    <w:rsid w:val="00892E94"/>
    <w:rsid w:val="00892ECD"/>
    <w:rsid w:val="00893295"/>
    <w:rsid w:val="008936B8"/>
    <w:rsid w:val="00893DC4"/>
    <w:rsid w:val="00893F44"/>
    <w:rsid w:val="0089426B"/>
    <w:rsid w:val="00894375"/>
    <w:rsid w:val="008947CC"/>
    <w:rsid w:val="008947D9"/>
    <w:rsid w:val="00894E03"/>
    <w:rsid w:val="00894E70"/>
    <w:rsid w:val="00895349"/>
    <w:rsid w:val="0089539E"/>
    <w:rsid w:val="00895A62"/>
    <w:rsid w:val="00895B6E"/>
    <w:rsid w:val="00895CAA"/>
    <w:rsid w:val="00895CEB"/>
    <w:rsid w:val="00897675"/>
    <w:rsid w:val="008977F8"/>
    <w:rsid w:val="00897973"/>
    <w:rsid w:val="008979AD"/>
    <w:rsid w:val="00897A46"/>
    <w:rsid w:val="00897BDB"/>
    <w:rsid w:val="00897BFE"/>
    <w:rsid w:val="008A020A"/>
    <w:rsid w:val="008A0398"/>
    <w:rsid w:val="008A05F2"/>
    <w:rsid w:val="008A06AB"/>
    <w:rsid w:val="008A117C"/>
    <w:rsid w:val="008A121E"/>
    <w:rsid w:val="008A1583"/>
    <w:rsid w:val="008A17C7"/>
    <w:rsid w:val="008A17D6"/>
    <w:rsid w:val="008A1A6B"/>
    <w:rsid w:val="008A1BC5"/>
    <w:rsid w:val="008A264D"/>
    <w:rsid w:val="008A26CF"/>
    <w:rsid w:val="008A331F"/>
    <w:rsid w:val="008A3362"/>
    <w:rsid w:val="008A36D6"/>
    <w:rsid w:val="008A3806"/>
    <w:rsid w:val="008A3813"/>
    <w:rsid w:val="008A3DF2"/>
    <w:rsid w:val="008A4239"/>
    <w:rsid w:val="008A4546"/>
    <w:rsid w:val="008A45CF"/>
    <w:rsid w:val="008A467D"/>
    <w:rsid w:val="008A4788"/>
    <w:rsid w:val="008A4B76"/>
    <w:rsid w:val="008A4FE9"/>
    <w:rsid w:val="008A5070"/>
    <w:rsid w:val="008A50FF"/>
    <w:rsid w:val="008A511F"/>
    <w:rsid w:val="008A59B1"/>
    <w:rsid w:val="008A5BE9"/>
    <w:rsid w:val="008A5D0D"/>
    <w:rsid w:val="008A6391"/>
    <w:rsid w:val="008A642E"/>
    <w:rsid w:val="008A657A"/>
    <w:rsid w:val="008A69D7"/>
    <w:rsid w:val="008A6CA1"/>
    <w:rsid w:val="008A6F4A"/>
    <w:rsid w:val="008A6F54"/>
    <w:rsid w:val="008A7713"/>
    <w:rsid w:val="008A7C17"/>
    <w:rsid w:val="008B0468"/>
    <w:rsid w:val="008B0692"/>
    <w:rsid w:val="008B08BA"/>
    <w:rsid w:val="008B1048"/>
    <w:rsid w:val="008B11AC"/>
    <w:rsid w:val="008B17D1"/>
    <w:rsid w:val="008B202F"/>
    <w:rsid w:val="008B2467"/>
    <w:rsid w:val="008B265D"/>
    <w:rsid w:val="008B314E"/>
    <w:rsid w:val="008B3AAA"/>
    <w:rsid w:val="008B3C6C"/>
    <w:rsid w:val="008B3EE7"/>
    <w:rsid w:val="008B43B6"/>
    <w:rsid w:val="008B4445"/>
    <w:rsid w:val="008B49D4"/>
    <w:rsid w:val="008B4A15"/>
    <w:rsid w:val="008B4CAE"/>
    <w:rsid w:val="008B51DE"/>
    <w:rsid w:val="008B58A5"/>
    <w:rsid w:val="008B5AA4"/>
    <w:rsid w:val="008B5C7F"/>
    <w:rsid w:val="008B6727"/>
    <w:rsid w:val="008B6D5E"/>
    <w:rsid w:val="008B726D"/>
    <w:rsid w:val="008B744D"/>
    <w:rsid w:val="008B74F4"/>
    <w:rsid w:val="008B7753"/>
    <w:rsid w:val="008B78E1"/>
    <w:rsid w:val="008C028C"/>
    <w:rsid w:val="008C07B7"/>
    <w:rsid w:val="008C0A22"/>
    <w:rsid w:val="008C0BF8"/>
    <w:rsid w:val="008C0EB8"/>
    <w:rsid w:val="008C1661"/>
    <w:rsid w:val="008C1D1D"/>
    <w:rsid w:val="008C207D"/>
    <w:rsid w:val="008C23BC"/>
    <w:rsid w:val="008C27C0"/>
    <w:rsid w:val="008C2966"/>
    <w:rsid w:val="008C2CB8"/>
    <w:rsid w:val="008C3462"/>
    <w:rsid w:val="008C348C"/>
    <w:rsid w:val="008C354E"/>
    <w:rsid w:val="008C3C82"/>
    <w:rsid w:val="008C4012"/>
    <w:rsid w:val="008C4094"/>
    <w:rsid w:val="008C42E1"/>
    <w:rsid w:val="008C44D2"/>
    <w:rsid w:val="008C481F"/>
    <w:rsid w:val="008C4E95"/>
    <w:rsid w:val="008C5312"/>
    <w:rsid w:val="008C5405"/>
    <w:rsid w:val="008C5659"/>
    <w:rsid w:val="008C5A8B"/>
    <w:rsid w:val="008C5F2F"/>
    <w:rsid w:val="008C6401"/>
    <w:rsid w:val="008C6B5C"/>
    <w:rsid w:val="008C70FB"/>
    <w:rsid w:val="008C73FF"/>
    <w:rsid w:val="008C7462"/>
    <w:rsid w:val="008C76C2"/>
    <w:rsid w:val="008C79DF"/>
    <w:rsid w:val="008C7B36"/>
    <w:rsid w:val="008D01BC"/>
    <w:rsid w:val="008D02BC"/>
    <w:rsid w:val="008D0575"/>
    <w:rsid w:val="008D0D08"/>
    <w:rsid w:val="008D0EF3"/>
    <w:rsid w:val="008D105F"/>
    <w:rsid w:val="008D11E6"/>
    <w:rsid w:val="008D14E2"/>
    <w:rsid w:val="008D252F"/>
    <w:rsid w:val="008D2B25"/>
    <w:rsid w:val="008D2C37"/>
    <w:rsid w:val="008D2D95"/>
    <w:rsid w:val="008D2F5F"/>
    <w:rsid w:val="008D3044"/>
    <w:rsid w:val="008D3136"/>
    <w:rsid w:val="008D32FC"/>
    <w:rsid w:val="008D3984"/>
    <w:rsid w:val="008D39DD"/>
    <w:rsid w:val="008D43D7"/>
    <w:rsid w:val="008D4DAE"/>
    <w:rsid w:val="008D4E62"/>
    <w:rsid w:val="008D4E6E"/>
    <w:rsid w:val="008D4F5E"/>
    <w:rsid w:val="008D5835"/>
    <w:rsid w:val="008D58B6"/>
    <w:rsid w:val="008D5910"/>
    <w:rsid w:val="008D5B84"/>
    <w:rsid w:val="008D5E04"/>
    <w:rsid w:val="008D5FA4"/>
    <w:rsid w:val="008D65AC"/>
    <w:rsid w:val="008D6860"/>
    <w:rsid w:val="008D68E8"/>
    <w:rsid w:val="008D6937"/>
    <w:rsid w:val="008D6D2E"/>
    <w:rsid w:val="008D6F84"/>
    <w:rsid w:val="008D6FCB"/>
    <w:rsid w:val="008D7089"/>
    <w:rsid w:val="008D7450"/>
    <w:rsid w:val="008D7618"/>
    <w:rsid w:val="008D7879"/>
    <w:rsid w:val="008D7A5D"/>
    <w:rsid w:val="008D7C0F"/>
    <w:rsid w:val="008D7DFC"/>
    <w:rsid w:val="008E0048"/>
    <w:rsid w:val="008E05F7"/>
    <w:rsid w:val="008E0AA1"/>
    <w:rsid w:val="008E0E45"/>
    <w:rsid w:val="008E1514"/>
    <w:rsid w:val="008E1CA1"/>
    <w:rsid w:val="008E1FE3"/>
    <w:rsid w:val="008E23A9"/>
    <w:rsid w:val="008E2433"/>
    <w:rsid w:val="008E253E"/>
    <w:rsid w:val="008E282F"/>
    <w:rsid w:val="008E2921"/>
    <w:rsid w:val="008E2943"/>
    <w:rsid w:val="008E3496"/>
    <w:rsid w:val="008E35EB"/>
    <w:rsid w:val="008E379A"/>
    <w:rsid w:val="008E3A52"/>
    <w:rsid w:val="008E4594"/>
    <w:rsid w:val="008E48C6"/>
    <w:rsid w:val="008E4ED9"/>
    <w:rsid w:val="008E4F0B"/>
    <w:rsid w:val="008E5767"/>
    <w:rsid w:val="008E5897"/>
    <w:rsid w:val="008E5BC1"/>
    <w:rsid w:val="008E5EA6"/>
    <w:rsid w:val="008E60D3"/>
    <w:rsid w:val="008E60DB"/>
    <w:rsid w:val="008E63EA"/>
    <w:rsid w:val="008E68F0"/>
    <w:rsid w:val="008E6BDE"/>
    <w:rsid w:val="008E6CBB"/>
    <w:rsid w:val="008E7A58"/>
    <w:rsid w:val="008F0CAB"/>
    <w:rsid w:val="008F1051"/>
    <w:rsid w:val="008F12D5"/>
    <w:rsid w:val="008F13D2"/>
    <w:rsid w:val="008F1ECA"/>
    <w:rsid w:val="008F21A3"/>
    <w:rsid w:val="008F2E1F"/>
    <w:rsid w:val="008F2FAD"/>
    <w:rsid w:val="008F379C"/>
    <w:rsid w:val="008F3D7B"/>
    <w:rsid w:val="008F40A1"/>
    <w:rsid w:val="008F490A"/>
    <w:rsid w:val="008F4D57"/>
    <w:rsid w:val="008F4EF5"/>
    <w:rsid w:val="008F5280"/>
    <w:rsid w:val="008F5552"/>
    <w:rsid w:val="008F5968"/>
    <w:rsid w:val="008F5A50"/>
    <w:rsid w:val="008F5B43"/>
    <w:rsid w:val="008F5BDA"/>
    <w:rsid w:val="008F66F9"/>
    <w:rsid w:val="008F67CE"/>
    <w:rsid w:val="008F684A"/>
    <w:rsid w:val="008F6A96"/>
    <w:rsid w:val="008F735F"/>
    <w:rsid w:val="008F7919"/>
    <w:rsid w:val="008F7C16"/>
    <w:rsid w:val="008F7D12"/>
    <w:rsid w:val="009001E3"/>
    <w:rsid w:val="009006D8"/>
    <w:rsid w:val="0090092B"/>
    <w:rsid w:val="00900C98"/>
    <w:rsid w:val="00900F93"/>
    <w:rsid w:val="00901804"/>
    <w:rsid w:val="00901844"/>
    <w:rsid w:val="00901BE9"/>
    <w:rsid w:val="00901F73"/>
    <w:rsid w:val="00902657"/>
    <w:rsid w:val="009026B3"/>
    <w:rsid w:val="00902714"/>
    <w:rsid w:val="0090298F"/>
    <w:rsid w:val="00902A04"/>
    <w:rsid w:val="00902D09"/>
    <w:rsid w:val="009032BB"/>
    <w:rsid w:val="009033DE"/>
    <w:rsid w:val="009033EE"/>
    <w:rsid w:val="00903632"/>
    <w:rsid w:val="00903BB3"/>
    <w:rsid w:val="00903C41"/>
    <w:rsid w:val="00903D21"/>
    <w:rsid w:val="009042DD"/>
    <w:rsid w:val="00904D39"/>
    <w:rsid w:val="00905BC2"/>
    <w:rsid w:val="00905CCD"/>
    <w:rsid w:val="00905E64"/>
    <w:rsid w:val="00906155"/>
    <w:rsid w:val="00906456"/>
    <w:rsid w:val="00906489"/>
    <w:rsid w:val="009065FD"/>
    <w:rsid w:val="009066AC"/>
    <w:rsid w:val="009068C5"/>
    <w:rsid w:val="00906CF9"/>
    <w:rsid w:val="00907529"/>
    <w:rsid w:val="00907D06"/>
    <w:rsid w:val="009100DC"/>
    <w:rsid w:val="0091025B"/>
    <w:rsid w:val="009102B9"/>
    <w:rsid w:val="009111D7"/>
    <w:rsid w:val="00911525"/>
    <w:rsid w:val="00911860"/>
    <w:rsid w:val="00911D22"/>
    <w:rsid w:val="009120BC"/>
    <w:rsid w:val="009120CC"/>
    <w:rsid w:val="00912395"/>
    <w:rsid w:val="00912530"/>
    <w:rsid w:val="0091255C"/>
    <w:rsid w:val="009125D4"/>
    <w:rsid w:val="009125EB"/>
    <w:rsid w:val="0091346E"/>
    <w:rsid w:val="00913513"/>
    <w:rsid w:val="00913918"/>
    <w:rsid w:val="00914147"/>
    <w:rsid w:val="009144E1"/>
    <w:rsid w:val="0091451C"/>
    <w:rsid w:val="00914A5E"/>
    <w:rsid w:val="00914B67"/>
    <w:rsid w:val="00914D11"/>
    <w:rsid w:val="00914EF5"/>
    <w:rsid w:val="009153F6"/>
    <w:rsid w:val="009159B5"/>
    <w:rsid w:val="00915D04"/>
    <w:rsid w:val="00916665"/>
    <w:rsid w:val="009170F9"/>
    <w:rsid w:val="009178FF"/>
    <w:rsid w:val="00917B5C"/>
    <w:rsid w:val="0092005D"/>
    <w:rsid w:val="009204DA"/>
    <w:rsid w:val="00920981"/>
    <w:rsid w:val="0092098C"/>
    <w:rsid w:val="00920B0F"/>
    <w:rsid w:val="00920B36"/>
    <w:rsid w:val="00920BF0"/>
    <w:rsid w:val="00920BF4"/>
    <w:rsid w:val="00920F7F"/>
    <w:rsid w:val="00920FDA"/>
    <w:rsid w:val="0092136B"/>
    <w:rsid w:val="009213D6"/>
    <w:rsid w:val="00921683"/>
    <w:rsid w:val="009219B5"/>
    <w:rsid w:val="009219BB"/>
    <w:rsid w:val="00921E24"/>
    <w:rsid w:val="00921E84"/>
    <w:rsid w:val="0092297E"/>
    <w:rsid w:val="00922A51"/>
    <w:rsid w:val="0092318C"/>
    <w:rsid w:val="00923212"/>
    <w:rsid w:val="0092333C"/>
    <w:rsid w:val="009236B2"/>
    <w:rsid w:val="009237D7"/>
    <w:rsid w:val="00924099"/>
    <w:rsid w:val="00924970"/>
    <w:rsid w:val="00924998"/>
    <w:rsid w:val="00924CE6"/>
    <w:rsid w:val="00925038"/>
    <w:rsid w:val="009250A6"/>
    <w:rsid w:val="0092513E"/>
    <w:rsid w:val="00925398"/>
    <w:rsid w:val="0092595F"/>
    <w:rsid w:val="00925F76"/>
    <w:rsid w:val="00926280"/>
    <w:rsid w:val="00926524"/>
    <w:rsid w:val="009265AE"/>
    <w:rsid w:val="00927452"/>
    <w:rsid w:val="0092759D"/>
    <w:rsid w:val="00927CC8"/>
    <w:rsid w:val="00927DC3"/>
    <w:rsid w:val="00927F8B"/>
    <w:rsid w:val="009300B0"/>
    <w:rsid w:val="00930C46"/>
    <w:rsid w:val="009311B3"/>
    <w:rsid w:val="00931F1D"/>
    <w:rsid w:val="00932270"/>
    <w:rsid w:val="009324CA"/>
    <w:rsid w:val="00932892"/>
    <w:rsid w:val="00933348"/>
    <w:rsid w:val="00933AE6"/>
    <w:rsid w:val="00933CC2"/>
    <w:rsid w:val="0093486D"/>
    <w:rsid w:val="00934BA9"/>
    <w:rsid w:val="00934BD2"/>
    <w:rsid w:val="00934EC6"/>
    <w:rsid w:val="00934F87"/>
    <w:rsid w:val="00935204"/>
    <w:rsid w:val="009357E2"/>
    <w:rsid w:val="00935EFA"/>
    <w:rsid w:val="00936006"/>
    <w:rsid w:val="00936659"/>
    <w:rsid w:val="00936839"/>
    <w:rsid w:val="00936CAC"/>
    <w:rsid w:val="00936DFA"/>
    <w:rsid w:val="0093753B"/>
    <w:rsid w:val="0093770D"/>
    <w:rsid w:val="00937BE4"/>
    <w:rsid w:val="00940010"/>
    <w:rsid w:val="009403B3"/>
    <w:rsid w:val="0094053C"/>
    <w:rsid w:val="0094080C"/>
    <w:rsid w:val="00940EE5"/>
    <w:rsid w:val="00940F79"/>
    <w:rsid w:val="00941046"/>
    <w:rsid w:val="00941215"/>
    <w:rsid w:val="00941321"/>
    <w:rsid w:val="009413B3"/>
    <w:rsid w:val="00941CC4"/>
    <w:rsid w:val="00942095"/>
    <w:rsid w:val="00942F80"/>
    <w:rsid w:val="0094319B"/>
    <w:rsid w:val="009439A6"/>
    <w:rsid w:val="0094432B"/>
    <w:rsid w:val="0094510E"/>
    <w:rsid w:val="00945645"/>
    <w:rsid w:val="009458F2"/>
    <w:rsid w:val="0094595E"/>
    <w:rsid w:val="0094684F"/>
    <w:rsid w:val="00946BA8"/>
    <w:rsid w:val="00946D3B"/>
    <w:rsid w:val="00947473"/>
    <w:rsid w:val="009476BE"/>
    <w:rsid w:val="009477C5"/>
    <w:rsid w:val="00947992"/>
    <w:rsid w:val="009506EE"/>
    <w:rsid w:val="009513D2"/>
    <w:rsid w:val="00951573"/>
    <w:rsid w:val="00951822"/>
    <w:rsid w:val="00952002"/>
    <w:rsid w:val="00952704"/>
    <w:rsid w:val="00952BA5"/>
    <w:rsid w:val="00952E0D"/>
    <w:rsid w:val="00953244"/>
    <w:rsid w:val="009532A8"/>
    <w:rsid w:val="00953585"/>
    <w:rsid w:val="009535E5"/>
    <w:rsid w:val="00953CFF"/>
    <w:rsid w:val="00953F38"/>
    <w:rsid w:val="00954445"/>
    <w:rsid w:val="00954491"/>
    <w:rsid w:val="00954939"/>
    <w:rsid w:val="00954995"/>
    <w:rsid w:val="00954ACE"/>
    <w:rsid w:val="00954BC6"/>
    <w:rsid w:val="00954EAA"/>
    <w:rsid w:val="0095522F"/>
    <w:rsid w:val="0095593C"/>
    <w:rsid w:val="00955AEE"/>
    <w:rsid w:val="00955EDD"/>
    <w:rsid w:val="00956336"/>
    <w:rsid w:val="00956478"/>
    <w:rsid w:val="0095654F"/>
    <w:rsid w:val="00956E8F"/>
    <w:rsid w:val="00957119"/>
    <w:rsid w:val="00957296"/>
    <w:rsid w:val="00957319"/>
    <w:rsid w:val="00957A92"/>
    <w:rsid w:val="009603B7"/>
    <w:rsid w:val="00960975"/>
    <w:rsid w:val="00961130"/>
    <w:rsid w:val="00961246"/>
    <w:rsid w:val="00961A26"/>
    <w:rsid w:val="00961BEF"/>
    <w:rsid w:val="00961D40"/>
    <w:rsid w:val="00961E16"/>
    <w:rsid w:val="00961E48"/>
    <w:rsid w:val="00962217"/>
    <w:rsid w:val="009623AF"/>
    <w:rsid w:val="0096247E"/>
    <w:rsid w:val="009624EC"/>
    <w:rsid w:val="00962DC9"/>
    <w:rsid w:val="00963048"/>
    <w:rsid w:val="009634DE"/>
    <w:rsid w:val="0096384C"/>
    <w:rsid w:val="00963924"/>
    <w:rsid w:val="0096400F"/>
    <w:rsid w:val="009648AE"/>
    <w:rsid w:val="0096498E"/>
    <w:rsid w:val="00964C6E"/>
    <w:rsid w:val="00964D4C"/>
    <w:rsid w:val="00965876"/>
    <w:rsid w:val="00966A80"/>
    <w:rsid w:val="00966C41"/>
    <w:rsid w:val="00966D29"/>
    <w:rsid w:val="00966EE4"/>
    <w:rsid w:val="00967854"/>
    <w:rsid w:val="00967B52"/>
    <w:rsid w:val="00967E4A"/>
    <w:rsid w:val="00970643"/>
    <w:rsid w:val="00970B71"/>
    <w:rsid w:val="00970E2A"/>
    <w:rsid w:val="009710BA"/>
    <w:rsid w:val="009716C1"/>
    <w:rsid w:val="00971890"/>
    <w:rsid w:val="00971FE7"/>
    <w:rsid w:val="00972057"/>
    <w:rsid w:val="009722E4"/>
    <w:rsid w:val="00972536"/>
    <w:rsid w:val="0097283A"/>
    <w:rsid w:val="00972881"/>
    <w:rsid w:val="00972A3A"/>
    <w:rsid w:val="00972A86"/>
    <w:rsid w:val="00974172"/>
    <w:rsid w:val="009741C3"/>
    <w:rsid w:val="0097449E"/>
    <w:rsid w:val="009744DE"/>
    <w:rsid w:val="0097490D"/>
    <w:rsid w:val="00974BD5"/>
    <w:rsid w:val="00974D47"/>
    <w:rsid w:val="00974EE5"/>
    <w:rsid w:val="00975BE6"/>
    <w:rsid w:val="00976130"/>
    <w:rsid w:val="00976306"/>
    <w:rsid w:val="009767FF"/>
    <w:rsid w:val="00976AF2"/>
    <w:rsid w:val="00976ECC"/>
    <w:rsid w:val="00977326"/>
    <w:rsid w:val="00977671"/>
    <w:rsid w:val="009776F8"/>
    <w:rsid w:val="0097775C"/>
    <w:rsid w:val="00980322"/>
    <w:rsid w:val="00980956"/>
    <w:rsid w:val="00980B87"/>
    <w:rsid w:val="0098176E"/>
    <w:rsid w:val="009819AE"/>
    <w:rsid w:val="00981C68"/>
    <w:rsid w:val="00982572"/>
    <w:rsid w:val="00982B16"/>
    <w:rsid w:val="00982F89"/>
    <w:rsid w:val="0098320F"/>
    <w:rsid w:val="009834A1"/>
    <w:rsid w:val="009835E8"/>
    <w:rsid w:val="009838AA"/>
    <w:rsid w:val="009841B0"/>
    <w:rsid w:val="00984219"/>
    <w:rsid w:val="00984370"/>
    <w:rsid w:val="009846B1"/>
    <w:rsid w:val="00985674"/>
    <w:rsid w:val="00985C61"/>
    <w:rsid w:val="00985E17"/>
    <w:rsid w:val="0098627D"/>
    <w:rsid w:val="0098653C"/>
    <w:rsid w:val="00986E87"/>
    <w:rsid w:val="009871A9"/>
    <w:rsid w:val="00987C37"/>
    <w:rsid w:val="00987D3A"/>
    <w:rsid w:val="00987F53"/>
    <w:rsid w:val="00990AE5"/>
    <w:rsid w:val="00990AF7"/>
    <w:rsid w:val="00991DC0"/>
    <w:rsid w:val="00992239"/>
    <w:rsid w:val="00992287"/>
    <w:rsid w:val="00992AC2"/>
    <w:rsid w:val="009931C9"/>
    <w:rsid w:val="009934A7"/>
    <w:rsid w:val="009937BB"/>
    <w:rsid w:val="00993EA9"/>
    <w:rsid w:val="009941DF"/>
    <w:rsid w:val="00994D0C"/>
    <w:rsid w:val="009954EA"/>
    <w:rsid w:val="009955DF"/>
    <w:rsid w:val="009958CF"/>
    <w:rsid w:val="00995A1E"/>
    <w:rsid w:val="00995FE1"/>
    <w:rsid w:val="00995FF9"/>
    <w:rsid w:val="009964D1"/>
    <w:rsid w:val="00996829"/>
    <w:rsid w:val="009969CC"/>
    <w:rsid w:val="009970CF"/>
    <w:rsid w:val="009973D1"/>
    <w:rsid w:val="00997476"/>
    <w:rsid w:val="00997643"/>
    <w:rsid w:val="0099776E"/>
    <w:rsid w:val="00997982"/>
    <w:rsid w:val="00997C83"/>
    <w:rsid w:val="009A00AF"/>
    <w:rsid w:val="009A04E2"/>
    <w:rsid w:val="009A0A20"/>
    <w:rsid w:val="009A0A6F"/>
    <w:rsid w:val="009A0F44"/>
    <w:rsid w:val="009A106B"/>
    <w:rsid w:val="009A13FC"/>
    <w:rsid w:val="009A1404"/>
    <w:rsid w:val="009A1EF3"/>
    <w:rsid w:val="009A2585"/>
    <w:rsid w:val="009A3388"/>
    <w:rsid w:val="009A391E"/>
    <w:rsid w:val="009A3944"/>
    <w:rsid w:val="009A3A1C"/>
    <w:rsid w:val="009A3BD5"/>
    <w:rsid w:val="009A3DB5"/>
    <w:rsid w:val="009A3F7D"/>
    <w:rsid w:val="009A4BC1"/>
    <w:rsid w:val="009A4D32"/>
    <w:rsid w:val="009A5496"/>
    <w:rsid w:val="009A552E"/>
    <w:rsid w:val="009A5598"/>
    <w:rsid w:val="009A55C6"/>
    <w:rsid w:val="009A57CC"/>
    <w:rsid w:val="009A5B9D"/>
    <w:rsid w:val="009A5E3D"/>
    <w:rsid w:val="009A66F4"/>
    <w:rsid w:val="009A695C"/>
    <w:rsid w:val="009A6AB8"/>
    <w:rsid w:val="009A6D62"/>
    <w:rsid w:val="009A7D54"/>
    <w:rsid w:val="009B0585"/>
    <w:rsid w:val="009B08CD"/>
    <w:rsid w:val="009B0916"/>
    <w:rsid w:val="009B09F6"/>
    <w:rsid w:val="009B0C49"/>
    <w:rsid w:val="009B0E49"/>
    <w:rsid w:val="009B1877"/>
    <w:rsid w:val="009B284A"/>
    <w:rsid w:val="009B29A1"/>
    <w:rsid w:val="009B31B7"/>
    <w:rsid w:val="009B31F9"/>
    <w:rsid w:val="009B3FFD"/>
    <w:rsid w:val="009B4AC0"/>
    <w:rsid w:val="009B4B7D"/>
    <w:rsid w:val="009B4BAB"/>
    <w:rsid w:val="009B4E6A"/>
    <w:rsid w:val="009B53C5"/>
    <w:rsid w:val="009B5964"/>
    <w:rsid w:val="009B5A76"/>
    <w:rsid w:val="009B607B"/>
    <w:rsid w:val="009B628C"/>
    <w:rsid w:val="009B66CF"/>
    <w:rsid w:val="009B69EA"/>
    <w:rsid w:val="009B6B0C"/>
    <w:rsid w:val="009B6CE5"/>
    <w:rsid w:val="009B6D19"/>
    <w:rsid w:val="009B7129"/>
    <w:rsid w:val="009B78C9"/>
    <w:rsid w:val="009B7D38"/>
    <w:rsid w:val="009B7EE7"/>
    <w:rsid w:val="009B7F42"/>
    <w:rsid w:val="009C0D68"/>
    <w:rsid w:val="009C1A09"/>
    <w:rsid w:val="009C1D75"/>
    <w:rsid w:val="009C20AF"/>
    <w:rsid w:val="009C26D8"/>
    <w:rsid w:val="009C2BA5"/>
    <w:rsid w:val="009C2C1A"/>
    <w:rsid w:val="009C2D30"/>
    <w:rsid w:val="009C2EBF"/>
    <w:rsid w:val="009C395D"/>
    <w:rsid w:val="009C3BFB"/>
    <w:rsid w:val="009C3F92"/>
    <w:rsid w:val="009C407D"/>
    <w:rsid w:val="009C4382"/>
    <w:rsid w:val="009C43D8"/>
    <w:rsid w:val="009C459A"/>
    <w:rsid w:val="009C4B69"/>
    <w:rsid w:val="009C4CBD"/>
    <w:rsid w:val="009C4EF0"/>
    <w:rsid w:val="009C4FB6"/>
    <w:rsid w:val="009C61AB"/>
    <w:rsid w:val="009C65EB"/>
    <w:rsid w:val="009C674B"/>
    <w:rsid w:val="009C692A"/>
    <w:rsid w:val="009C69AD"/>
    <w:rsid w:val="009C6A5A"/>
    <w:rsid w:val="009C7197"/>
    <w:rsid w:val="009C7522"/>
    <w:rsid w:val="009C75AD"/>
    <w:rsid w:val="009C7B4B"/>
    <w:rsid w:val="009C7B66"/>
    <w:rsid w:val="009D033D"/>
    <w:rsid w:val="009D121C"/>
    <w:rsid w:val="009D16EB"/>
    <w:rsid w:val="009D1D38"/>
    <w:rsid w:val="009D1FD6"/>
    <w:rsid w:val="009D22DE"/>
    <w:rsid w:val="009D248E"/>
    <w:rsid w:val="009D2EF4"/>
    <w:rsid w:val="009D32F6"/>
    <w:rsid w:val="009D340E"/>
    <w:rsid w:val="009D3818"/>
    <w:rsid w:val="009D44CE"/>
    <w:rsid w:val="009D4746"/>
    <w:rsid w:val="009D498C"/>
    <w:rsid w:val="009D54DF"/>
    <w:rsid w:val="009D617E"/>
    <w:rsid w:val="009D6507"/>
    <w:rsid w:val="009D7736"/>
    <w:rsid w:val="009D7747"/>
    <w:rsid w:val="009D781B"/>
    <w:rsid w:val="009E067A"/>
    <w:rsid w:val="009E0686"/>
    <w:rsid w:val="009E0908"/>
    <w:rsid w:val="009E098A"/>
    <w:rsid w:val="009E0A48"/>
    <w:rsid w:val="009E0AE5"/>
    <w:rsid w:val="009E11C9"/>
    <w:rsid w:val="009E1B79"/>
    <w:rsid w:val="009E2053"/>
    <w:rsid w:val="009E20C1"/>
    <w:rsid w:val="009E20ED"/>
    <w:rsid w:val="009E215F"/>
    <w:rsid w:val="009E2209"/>
    <w:rsid w:val="009E249A"/>
    <w:rsid w:val="009E2C80"/>
    <w:rsid w:val="009E2D8F"/>
    <w:rsid w:val="009E2E8B"/>
    <w:rsid w:val="009E3CB3"/>
    <w:rsid w:val="009E423E"/>
    <w:rsid w:val="009E46E2"/>
    <w:rsid w:val="009E4863"/>
    <w:rsid w:val="009E4AAE"/>
    <w:rsid w:val="009E4C16"/>
    <w:rsid w:val="009E4D0B"/>
    <w:rsid w:val="009E4E06"/>
    <w:rsid w:val="009E51B1"/>
    <w:rsid w:val="009E5432"/>
    <w:rsid w:val="009E571F"/>
    <w:rsid w:val="009E5788"/>
    <w:rsid w:val="009E583E"/>
    <w:rsid w:val="009E64DB"/>
    <w:rsid w:val="009E69D8"/>
    <w:rsid w:val="009E6E72"/>
    <w:rsid w:val="009E7076"/>
    <w:rsid w:val="009E7463"/>
    <w:rsid w:val="009E7829"/>
    <w:rsid w:val="009E79CF"/>
    <w:rsid w:val="009E7AEB"/>
    <w:rsid w:val="009F08B1"/>
    <w:rsid w:val="009F0AAE"/>
    <w:rsid w:val="009F0B86"/>
    <w:rsid w:val="009F0F83"/>
    <w:rsid w:val="009F12B6"/>
    <w:rsid w:val="009F13F2"/>
    <w:rsid w:val="009F14DD"/>
    <w:rsid w:val="009F1646"/>
    <w:rsid w:val="009F2115"/>
    <w:rsid w:val="009F266C"/>
    <w:rsid w:val="009F27AC"/>
    <w:rsid w:val="009F2AE1"/>
    <w:rsid w:val="009F2B3F"/>
    <w:rsid w:val="009F2EC3"/>
    <w:rsid w:val="009F2FAC"/>
    <w:rsid w:val="009F33E7"/>
    <w:rsid w:val="009F3C5D"/>
    <w:rsid w:val="009F3F54"/>
    <w:rsid w:val="009F414A"/>
    <w:rsid w:val="009F4747"/>
    <w:rsid w:val="009F47E9"/>
    <w:rsid w:val="009F4826"/>
    <w:rsid w:val="009F49B8"/>
    <w:rsid w:val="009F5248"/>
    <w:rsid w:val="009F5D45"/>
    <w:rsid w:val="009F5D9E"/>
    <w:rsid w:val="009F5EB3"/>
    <w:rsid w:val="009F6537"/>
    <w:rsid w:val="009F65AA"/>
    <w:rsid w:val="009F71AB"/>
    <w:rsid w:val="009F726E"/>
    <w:rsid w:val="009F74EA"/>
    <w:rsid w:val="009F78DD"/>
    <w:rsid w:val="00A000C7"/>
    <w:rsid w:val="00A004E8"/>
    <w:rsid w:val="00A0056F"/>
    <w:rsid w:val="00A00595"/>
    <w:rsid w:val="00A00CFD"/>
    <w:rsid w:val="00A01087"/>
    <w:rsid w:val="00A01365"/>
    <w:rsid w:val="00A0229C"/>
    <w:rsid w:val="00A0283F"/>
    <w:rsid w:val="00A031BA"/>
    <w:rsid w:val="00A039A4"/>
    <w:rsid w:val="00A04350"/>
    <w:rsid w:val="00A04DD3"/>
    <w:rsid w:val="00A0535B"/>
    <w:rsid w:val="00A058C5"/>
    <w:rsid w:val="00A05A0B"/>
    <w:rsid w:val="00A05A1B"/>
    <w:rsid w:val="00A05DCD"/>
    <w:rsid w:val="00A05E63"/>
    <w:rsid w:val="00A06027"/>
    <w:rsid w:val="00A065A2"/>
    <w:rsid w:val="00A0675D"/>
    <w:rsid w:val="00A073F7"/>
    <w:rsid w:val="00A07437"/>
    <w:rsid w:val="00A07462"/>
    <w:rsid w:val="00A1045A"/>
    <w:rsid w:val="00A106E1"/>
    <w:rsid w:val="00A106E9"/>
    <w:rsid w:val="00A11427"/>
    <w:rsid w:val="00A116B4"/>
    <w:rsid w:val="00A118A7"/>
    <w:rsid w:val="00A118B5"/>
    <w:rsid w:val="00A118EC"/>
    <w:rsid w:val="00A11923"/>
    <w:rsid w:val="00A11CE8"/>
    <w:rsid w:val="00A1226D"/>
    <w:rsid w:val="00A126D4"/>
    <w:rsid w:val="00A129F2"/>
    <w:rsid w:val="00A12FE2"/>
    <w:rsid w:val="00A13922"/>
    <w:rsid w:val="00A13949"/>
    <w:rsid w:val="00A13C13"/>
    <w:rsid w:val="00A13C31"/>
    <w:rsid w:val="00A14628"/>
    <w:rsid w:val="00A14EF2"/>
    <w:rsid w:val="00A15538"/>
    <w:rsid w:val="00A15CE1"/>
    <w:rsid w:val="00A16322"/>
    <w:rsid w:val="00A163AA"/>
    <w:rsid w:val="00A1646E"/>
    <w:rsid w:val="00A164B0"/>
    <w:rsid w:val="00A169D7"/>
    <w:rsid w:val="00A16E26"/>
    <w:rsid w:val="00A16E6C"/>
    <w:rsid w:val="00A16F0D"/>
    <w:rsid w:val="00A170F0"/>
    <w:rsid w:val="00A17376"/>
    <w:rsid w:val="00A17402"/>
    <w:rsid w:val="00A17432"/>
    <w:rsid w:val="00A2005D"/>
    <w:rsid w:val="00A20204"/>
    <w:rsid w:val="00A20AFE"/>
    <w:rsid w:val="00A20EDC"/>
    <w:rsid w:val="00A22832"/>
    <w:rsid w:val="00A228E9"/>
    <w:rsid w:val="00A22B74"/>
    <w:rsid w:val="00A2302E"/>
    <w:rsid w:val="00A2368C"/>
    <w:rsid w:val="00A23DC8"/>
    <w:rsid w:val="00A23E7B"/>
    <w:rsid w:val="00A24173"/>
    <w:rsid w:val="00A24200"/>
    <w:rsid w:val="00A243BC"/>
    <w:rsid w:val="00A244B0"/>
    <w:rsid w:val="00A24588"/>
    <w:rsid w:val="00A247F2"/>
    <w:rsid w:val="00A24DAB"/>
    <w:rsid w:val="00A24FEC"/>
    <w:rsid w:val="00A25203"/>
    <w:rsid w:val="00A255B5"/>
    <w:rsid w:val="00A257B5"/>
    <w:rsid w:val="00A26420"/>
    <w:rsid w:val="00A264C8"/>
    <w:rsid w:val="00A26CB6"/>
    <w:rsid w:val="00A26D85"/>
    <w:rsid w:val="00A27760"/>
    <w:rsid w:val="00A2799A"/>
    <w:rsid w:val="00A27BD1"/>
    <w:rsid w:val="00A30002"/>
    <w:rsid w:val="00A300AD"/>
    <w:rsid w:val="00A30279"/>
    <w:rsid w:val="00A31B53"/>
    <w:rsid w:val="00A31BB1"/>
    <w:rsid w:val="00A31BF6"/>
    <w:rsid w:val="00A31CE7"/>
    <w:rsid w:val="00A32469"/>
    <w:rsid w:val="00A32530"/>
    <w:rsid w:val="00A3306E"/>
    <w:rsid w:val="00A332C9"/>
    <w:rsid w:val="00A33C6D"/>
    <w:rsid w:val="00A33D4C"/>
    <w:rsid w:val="00A348B7"/>
    <w:rsid w:val="00A34A44"/>
    <w:rsid w:val="00A34C4E"/>
    <w:rsid w:val="00A34DE2"/>
    <w:rsid w:val="00A351BE"/>
    <w:rsid w:val="00A352EE"/>
    <w:rsid w:val="00A3579C"/>
    <w:rsid w:val="00A359A9"/>
    <w:rsid w:val="00A36A28"/>
    <w:rsid w:val="00A36D96"/>
    <w:rsid w:val="00A37910"/>
    <w:rsid w:val="00A37B62"/>
    <w:rsid w:val="00A37EFB"/>
    <w:rsid w:val="00A4069F"/>
    <w:rsid w:val="00A408F3"/>
    <w:rsid w:val="00A417DF"/>
    <w:rsid w:val="00A4199D"/>
    <w:rsid w:val="00A419DE"/>
    <w:rsid w:val="00A41A83"/>
    <w:rsid w:val="00A41D97"/>
    <w:rsid w:val="00A42AC8"/>
    <w:rsid w:val="00A42CBA"/>
    <w:rsid w:val="00A435E2"/>
    <w:rsid w:val="00A43B6D"/>
    <w:rsid w:val="00A43BF2"/>
    <w:rsid w:val="00A43D2A"/>
    <w:rsid w:val="00A43D95"/>
    <w:rsid w:val="00A43DCA"/>
    <w:rsid w:val="00A43EBE"/>
    <w:rsid w:val="00A4419D"/>
    <w:rsid w:val="00A44ACE"/>
    <w:rsid w:val="00A44C22"/>
    <w:rsid w:val="00A44F87"/>
    <w:rsid w:val="00A45108"/>
    <w:rsid w:val="00A4562C"/>
    <w:rsid w:val="00A459B0"/>
    <w:rsid w:val="00A45BC0"/>
    <w:rsid w:val="00A45BD2"/>
    <w:rsid w:val="00A46324"/>
    <w:rsid w:val="00A46923"/>
    <w:rsid w:val="00A47023"/>
    <w:rsid w:val="00A47700"/>
    <w:rsid w:val="00A479FF"/>
    <w:rsid w:val="00A47C07"/>
    <w:rsid w:val="00A47C24"/>
    <w:rsid w:val="00A503BA"/>
    <w:rsid w:val="00A504AB"/>
    <w:rsid w:val="00A505A0"/>
    <w:rsid w:val="00A50653"/>
    <w:rsid w:val="00A512C4"/>
    <w:rsid w:val="00A51360"/>
    <w:rsid w:val="00A513DC"/>
    <w:rsid w:val="00A517B3"/>
    <w:rsid w:val="00A534AE"/>
    <w:rsid w:val="00A534E4"/>
    <w:rsid w:val="00A53C70"/>
    <w:rsid w:val="00A540F5"/>
    <w:rsid w:val="00A546F9"/>
    <w:rsid w:val="00A54C7D"/>
    <w:rsid w:val="00A54EC9"/>
    <w:rsid w:val="00A550A0"/>
    <w:rsid w:val="00A5537A"/>
    <w:rsid w:val="00A56109"/>
    <w:rsid w:val="00A56195"/>
    <w:rsid w:val="00A562CC"/>
    <w:rsid w:val="00A565CC"/>
    <w:rsid w:val="00A566E4"/>
    <w:rsid w:val="00A56C0D"/>
    <w:rsid w:val="00A56C2D"/>
    <w:rsid w:val="00A56F86"/>
    <w:rsid w:val="00A57140"/>
    <w:rsid w:val="00A574ED"/>
    <w:rsid w:val="00A57618"/>
    <w:rsid w:val="00A57AC1"/>
    <w:rsid w:val="00A57B7E"/>
    <w:rsid w:val="00A602D8"/>
    <w:rsid w:val="00A60754"/>
    <w:rsid w:val="00A608A3"/>
    <w:rsid w:val="00A60F35"/>
    <w:rsid w:val="00A60F95"/>
    <w:rsid w:val="00A60FC6"/>
    <w:rsid w:val="00A618FA"/>
    <w:rsid w:val="00A619E8"/>
    <w:rsid w:val="00A61BE9"/>
    <w:rsid w:val="00A61CC5"/>
    <w:rsid w:val="00A62092"/>
    <w:rsid w:val="00A621CC"/>
    <w:rsid w:val="00A62CB7"/>
    <w:rsid w:val="00A6306A"/>
    <w:rsid w:val="00A63631"/>
    <w:rsid w:val="00A636AA"/>
    <w:rsid w:val="00A63844"/>
    <w:rsid w:val="00A63A40"/>
    <w:rsid w:val="00A63B39"/>
    <w:rsid w:val="00A63C8B"/>
    <w:rsid w:val="00A64333"/>
    <w:rsid w:val="00A64439"/>
    <w:rsid w:val="00A6448C"/>
    <w:rsid w:val="00A64559"/>
    <w:rsid w:val="00A64A9E"/>
    <w:rsid w:val="00A65047"/>
    <w:rsid w:val="00A65552"/>
    <w:rsid w:val="00A663DE"/>
    <w:rsid w:val="00A6668C"/>
    <w:rsid w:val="00A66E3D"/>
    <w:rsid w:val="00A66E70"/>
    <w:rsid w:val="00A66F00"/>
    <w:rsid w:val="00A70BD2"/>
    <w:rsid w:val="00A70DD3"/>
    <w:rsid w:val="00A70E38"/>
    <w:rsid w:val="00A70E5D"/>
    <w:rsid w:val="00A7107B"/>
    <w:rsid w:val="00A71128"/>
    <w:rsid w:val="00A71499"/>
    <w:rsid w:val="00A714FD"/>
    <w:rsid w:val="00A7185C"/>
    <w:rsid w:val="00A71BB4"/>
    <w:rsid w:val="00A71E94"/>
    <w:rsid w:val="00A724CE"/>
    <w:rsid w:val="00A725FD"/>
    <w:rsid w:val="00A7298A"/>
    <w:rsid w:val="00A72E91"/>
    <w:rsid w:val="00A73242"/>
    <w:rsid w:val="00A732F4"/>
    <w:rsid w:val="00A7333D"/>
    <w:rsid w:val="00A7377B"/>
    <w:rsid w:val="00A737E7"/>
    <w:rsid w:val="00A74056"/>
    <w:rsid w:val="00A74637"/>
    <w:rsid w:val="00A74709"/>
    <w:rsid w:val="00A74913"/>
    <w:rsid w:val="00A74A97"/>
    <w:rsid w:val="00A74C46"/>
    <w:rsid w:val="00A74D0C"/>
    <w:rsid w:val="00A75173"/>
    <w:rsid w:val="00A75717"/>
    <w:rsid w:val="00A7576D"/>
    <w:rsid w:val="00A75B0F"/>
    <w:rsid w:val="00A75C6F"/>
    <w:rsid w:val="00A75F15"/>
    <w:rsid w:val="00A75FEC"/>
    <w:rsid w:val="00A760D5"/>
    <w:rsid w:val="00A76533"/>
    <w:rsid w:val="00A7674E"/>
    <w:rsid w:val="00A76841"/>
    <w:rsid w:val="00A76B08"/>
    <w:rsid w:val="00A7712E"/>
    <w:rsid w:val="00A774CC"/>
    <w:rsid w:val="00A777FC"/>
    <w:rsid w:val="00A7781E"/>
    <w:rsid w:val="00A80091"/>
    <w:rsid w:val="00A800A8"/>
    <w:rsid w:val="00A8037C"/>
    <w:rsid w:val="00A80749"/>
    <w:rsid w:val="00A80A83"/>
    <w:rsid w:val="00A80BE5"/>
    <w:rsid w:val="00A80D21"/>
    <w:rsid w:val="00A80E8C"/>
    <w:rsid w:val="00A80F16"/>
    <w:rsid w:val="00A81499"/>
    <w:rsid w:val="00A81667"/>
    <w:rsid w:val="00A81B14"/>
    <w:rsid w:val="00A81B36"/>
    <w:rsid w:val="00A82417"/>
    <w:rsid w:val="00A82581"/>
    <w:rsid w:val="00A828C3"/>
    <w:rsid w:val="00A82D94"/>
    <w:rsid w:val="00A83117"/>
    <w:rsid w:val="00A83B72"/>
    <w:rsid w:val="00A83BE0"/>
    <w:rsid w:val="00A83C2B"/>
    <w:rsid w:val="00A83DEE"/>
    <w:rsid w:val="00A842B6"/>
    <w:rsid w:val="00A84441"/>
    <w:rsid w:val="00A8464B"/>
    <w:rsid w:val="00A848FE"/>
    <w:rsid w:val="00A84CF7"/>
    <w:rsid w:val="00A85427"/>
    <w:rsid w:val="00A85495"/>
    <w:rsid w:val="00A85BCB"/>
    <w:rsid w:val="00A85C70"/>
    <w:rsid w:val="00A85D28"/>
    <w:rsid w:val="00A85D77"/>
    <w:rsid w:val="00A8608E"/>
    <w:rsid w:val="00A860F9"/>
    <w:rsid w:val="00A861DE"/>
    <w:rsid w:val="00A86587"/>
    <w:rsid w:val="00A869BD"/>
    <w:rsid w:val="00A86F3C"/>
    <w:rsid w:val="00A871DA"/>
    <w:rsid w:val="00A87341"/>
    <w:rsid w:val="00A8758F"/>
    <w:rsid w:val="00A8762F"/>
    <w:rsid w:val="00A87631"/>
    <w:rsid w:val="00A87B0A"/>
    <w:rsid w:val="00A87DF8"/>
    <w:rsid w:val="00A907A2"/>
    <w:rsid w:val="00A90859"/>
    <w:rsid w:val="00A90AFB"/>
    <w:rsid w:val="00A90EAC"/>
    <w:rsid w:val="00A91486"/>
    <w:rsid w:val="00A9152D"/>
    <w:rsid w:val="00A916FC"/>
    <w:rsid w:val="00A91712"/>
    <w:rsid w:val="00A91D58"/>
    <w:rsid w:val="00A91EF0"/>
    <w:rsid w:val="00A91F47"/>
    <w:rsid w:val="00A9228B"/>
    <w:rsid w:val="00A9229F"/>
    <w:rsid w:val="00A92602"/>
    <w:rsid w:val="00A92783"/>
    <w:rsid w:val="00A92B66"/>
    <w:rsid w:val="00A92BC9"/>
    <w:rsid w:val="00A92FCE"/>
    <w:rsid w:val="00A93150"/>
    <w:rsid w:val="00A93A68"/>
    <w:rsid w:val="00A93C7C"/>
    <w:rsid w:val="00A943F0"/>
    <w:rsid w:val="00A94D8D"/>
    <w:rsid w:val="00A94ECC"/>
    <w:rsid w:val="00A95129"/>
    <w:rsid w:val="00A9563B"/>
    <w:rsid w:val="00A95A5A"/>
    <w:rsid w:val="00A963A3"/>
    <w:rsid w:val="00A96B6F"/>
    <w:rsid w:val="00A96D47"/>
    <w:rsid w:val="00A9743E"/>
    <w:rsid w:val="00A976FF"/>
    <w:rsid w:val="00A977C8"/>
    <w:rsid w:val="00A97C13"/>
    <w:rsid w:val="00AA04B9"/>
    <w:rsid w:val="00AA0E98"/>
    <w:rsid w:val="00AA108F"/>
    <w:rsid w:val="00AA13A0"/>
    <w:rsid w:val="00AA144C"/>
    <w:rsid w:val="00AA15ED"/>
    <w:rsid w:val="00AA1D81"/>
    <w:rsid w:val="00AA2407"/>
    <w:rsid w:val="00AA25AE"/>
    <w:rsid w:val="00AA2898"/>
    <w:rsid w:val="00AA2DAC"/>
    <w:rsid w:val="00AA3485"/>
    <w:rsid w:val="00AA36C8"/>
    <w:rsid w:val="00AA4301"/>
    <w:rsid w:val="00AA44A0"/>
    <w:rsid w:val="00AA5344"/>
    <w:rsid w:val="00AA55E5"/>
    <w:rsid w:val="00AA595F"/>
    <w:rsid w:val="00AA6261"/>
    <w:rsid w:val="00AA62C9"/>
    <w:rsid w:val="00AA6AAA"/>
    <w:rsid w:val="00AA761E"/>
    <w:rsid w:val="00AA7894"/>
    <w:rsid w:val="00AA7EC1"/>
    <w:rsid w:val="00AA7F34"/>
    <w:rsid w:val="00AB02FD"/>
    <w:rsid w:val="00AB0578"/>
    <w:rsid w:val="00AB0FFC"/>
    <w:rsid w:val="00AB168C"/>
    <w:rsid w:val="00AB28A5"/>
    <w:rsid w:val="00AB28EC"/>
    <w:rsid w:val="00AB2EF4"/>
    <w:rsid w:val="00AB3DF1"/>
    <w:rsid w:val="00AB421A"/>
    <w:rsid w:val="00AB4436"/>
    <w:rsid w:val="00AB4726"/>
    <w:rsid w:val="00AB4ADB"/>
    <w:rsid w:val="00AB4BF4"/>
    <w:rsid w:val="00AB5142"/>
    <w:rsid w:val="00AB5540"/>
    <w:rsid w:val="00AB574E"/>
    <w:rsid w:val="00AB5CDE"/>
    <w:rsid w:val="00AB5D91"/>
    <w:rsid w:val="00AB5EB3"/>
    <w:rsid w:val="00AB6098"/>
    <w:rsid w:val="00AB7324"/>
    <w:rsid w:val="00AB7A6A"/>
    <w:rsid w:val="00AB7AAB"/>
    <w:rsid w:val="00AC01CD"/>
    <w:rsid w:val="00AC01E4"/>
    <w:rsid w:val="00AC06C1"/>
    <w:rsid w:val="00AC106A"/>
    <w:rsid w:val="00AC13FA"/>
    <w:rsid w:val="00AC1C0D"/>
    <w:rsid w:val="00AC1FF5"/>
    <w:rsid w:val="00AC2200"/>
    <w:rsid w:val="00AC24C3"/>
    <w:rsid w:val="00AC26A2"/>
    <w:rsid w:val="00AC279A"/>
    <w:rsid w:val="00AC294C"/>
    <w:rsid w:val="00AC3161"/>
    <w:rsid w:val="00AC34B2"/>
    <w:rsid w:val="00AC46BF"/>
    <w:rsid w:val="00AC49EC"/>
    <w:rsid w:val="00AC4D27"/>
    <w:rsid w:val="00AC5715"/>
    <w:rsid w:val="00AC5A33"/>
    <w:rsid w:val="00AC5AEC"/>
    <w:rsid w:val="00AC5D00"/>
    <w:rsid w:val="00AC5E78"/>
    <w:rsid w:val="00AC5F68"/>
    <w:rsid w:val="00AC6908"/>
    <w:rsid w:val="00AC73D0"/>
    <w:rsid w:val="00AC7A77"/>
    <w:rsid w:val="00AD2553"/>
    <w:rsid w:val="00AD2FA2"/>
    <w:rsid w:val="00AD2FDE"/>
    <w:rsid w:val="00AD3590"/>
    <w:rsid w:val="00AD3BE2"/>
    <w:rsid w:val="00AD4FD7"/>
    <w:rsid w:val="00AD50C2"/>
    <w:rsid w:val="00AD526E"/>
    <w:rsid w:val="00AD5824"/>
    <w:rsid w:val="00AD5E9C"/>
    <w:rsid w:val="00AD6D19"/>
    <w:rsid w:val="00AD7059"/>
    <w:rsid w:val="00AD76BC"/>
    <w:rsid w:val="00AD778C"/>
    <w:rsid w:val="00AD7D1E"/>
    <w:rsid w:val="00AE008B"/>
    <w:rsid w:val="00AE043A"/>
    <w:rsid w:val="00AE064A"/>
    <w:rsid w:val="00AE0850"/>
    <w:rsid w:val="00AE09A6"/>
    <w:rsid w:val="00AE09E9"/>
    <w:rsid w:val="00AE0B27"/>
    <w:rsid w:val="00AE0D80"/>
    <w:rsid w:val="00AE13D5"/>
    <w:rsid w:val="00AE13FC"/>
    <w:rsid w:val="00AE14CE"/>
    <w:rsid w:val="00AE1CFE"/>
    <w:rsid w:val="00AE1E13"/>
    <w:rsid w:val="00AE20C6"/>
    <w:rsid w:val="00AE21B3"/>
    <w:rsid w:val="00AE21B5"/>
    <w:rsid w:val="00AE231C"/>
    <w:rsid w:val="00AE2C69"/>
    <w:rsid w:val="00AE3438"/>
    <w:rsid w:val="00AE395A"/>
    <w:rsid w:val="00AE3DC7"/>
    <w:rsid w:val="00AE4D9F"/>
    <w:rsid w:val="00AE5000"/>
    <w:rsid w:val="00AE51A4"/>
    <w:rsid w:val="00AE5C5B"/>
    <w:rsid w:val="00AE5EAC"/>
    <w:rsid w:val="00AE5EB5"/>
    <w:rsid w:val="00AE5F37"/>
    <w:rsid w:val="00AE637C"/>
    <w:rsid w:val="00AE67DF"/>
    <w:rsid w:val="00AE6AFD"/>
    <w:rsid w:val="00AE6E31"/>
    <w:rsid w:val="00AE70DF"/>
    <w:rsid w:val="00AE7369"/>
    <w:rsid w:val="00AE7736"/>
    <w:rsid w:val="00AE79DF"/>
    <w:rsid w:val="00AF0040"/>
    <w:rsid w:val="00AF00A7"/>
    <w:rsid w:val="00AF04AE"/>
    <w:rsid w:val="00AF0614"/>
    <w:rsid w:val="00AF0723"/>
    <w:rsid w:val="00AF1285"/>
    <w:rsid w:val="00AF155D"/>
    <w:rsid w:val="00AF198B"/>
    <w:rsid w:val="00AF19D9"/>
    <w:rsid w:val="00AF1B39"/>
    <w:rsid w:val="00AF2009"/>
    <w:rsid w:val="00AF21CD"/>
    <w:rsid w:val="00AF23C4"/>
    <w:rsid w:val="00AF2579"/>
    <w:rsid w:val="00AF2749"/>
    <w:rsid w:val="00AF2AE8"/>
    <w:rsid w:val="00AF2BD9"/>
    <w:rsid w:val="00AF2CA1"/>
    <w:rsid w:val="00AF2F02"/>
    <w:rsid w:val="00AF3D1B"/>
    <w:rsid w:val="00AF4363"/>
    <w:rsid w:val="00AF4833"/>
    <w:rsid w:val="00AF48C4"/>
    <w:rsid w:val="00AF4CE2"/>
    <w:rsid w:val="00AF4D22"/>
    <w:rsid w:val="00AF4F21"/>
    <w:rsid w:val="00AF52E6"/>
    <w:rsid w:val="00AF5514"/>
    <w:rsid w:val="00AF5742"/>
    <w:rsid w:val="00AF59CA"/>
    <w:rsid w:val="00AF5EB3"/>
    <w:rsid w:val="00AF6744"/>
    <w:rsid w:val="00AF6B19"/>
    <w:rsid w:val="00AF75D8"/>
    <w:rsid w:val="00AF7781"/>
    <w:rsid w:val="00AF78B6"/>
    <w:rsid w:val="00AF7A39"/>
    <w:rsid w:val="00AF7A73"/>
    <w:rsid w:val="00AF7B59"/>
    <w:rsid w:val="00AF7EAD"/>
    <w:rsid w:val="00AF7F8E"/>
    <w:rsid w:val="00B011B5"/>
    <w:rsid w:val="00B011D3"/>
    <w:rsid w:val="00B01441"/>
    <w:rsid w:val="00B01633"/>
    <w:rsid w:val="00B01B57"/>
    <w:rsid w:val="00B01F93"/>
    <w:rsid w:val="00B0248F"/>
    <w:rsid w:val="00B028E7"/>
    <w:rsid w:val="00B02BDB"/>
    <w:rsid w:val="00B02FA4"/>
    <w:rsid w:val="00B03445"/>
    <w:rsid w:val="00B03C2A"/>
    <w:rsid w:val="00B04374"/>
    <w:rsid w:val="00B044B3"/>
    <w:rsid w:val="00B045F9"/>
    <w:rsid w:val="00B04D34"/>
    <w:rsid w:val="00B04D85"/>
    <w:rsid w:val="00B04DA0"/>
    <w:rsid w:val="00B04E3F"/>
    <w:rsid w:val="00B053A7"/>
    <w:rsid w:val="00B056A0"/>
    <w:rsid w:val="00B0580F"/>
    <w:rsid w:val="00B05E13"/>
    <w:rsid w:val="00B068EA"/>
    <w:rsid w:val="00B069B5"/>
    <w:rsid w:val="00B06DD6"/>
    <w:rsid w:val="00B06DEA"/>
    <w:rsid w:val="00B06E5F"/>
    <w:rsid w:val="00B071BD"/>
    <w:rsid w:val="00B07599"/>
    <w:rsid w:val="00B10312"/>
    <w:rsid w:val="00B10324"/>
    <w:rsid w:val="00B1038D"/>
    <w:rsid w:val="00B1066A"/>
    <w:rsid w:val="00B1074A"/>
    <w:rsid w:val="00B107AF"/>
    <w:rsid w:val="00B10A1D"/>
    <w:rsid w:val="00B10AB8"/>
    <w:rsid w:val="00B10AC4"/>
    <w:rsid w:val="00B10B7D"/>
    <w:rsid w:val="00B10BAE"/>
    <w:rsid w:val="00B10CA9"/>
    <w:rsid w:val="00B10DF0"/>
    <w:rsid w:val="00B11129"/>
    <w:rsid w:val="00B11D22"/>
    <w:rsid w:val="00B12029"/>
    <w:rsid w:val="00B12D0C"/>
    <w:rsid w:val="00B1369E"/>
    <w:rsid w:val="00B1372C"/>
    <w:rsid w:val="00B13E3C"/>
    <w:rsid w:val="00B142FB"/>
    <w:rsid w:val="00B14670"/>
    <w:rsid w:val="00B14AF9"/>
    <w:rsid w:val="00B14CF4"/>
    <w:rsid w:val="00B14D39"/>
    <w:rsid w:val="00B14D46"/>
    <w:rsid w:val="00B14F2C"/>
    <w:rsid w:val="00B15C4B"/>
    <w:rsid w:val="00B15E78"/>
    <w:rsid w:val="00B15F81"/>
    <w:rsid w:val="00B16404"/>
    <w:rsid w:val="00B1658A"/>
    <w:rsid w:val="00B167C8"/>
    <w:rsid w:val="00B16C30"/>
    <w:rsid w:val="00B16D67"/>
    <w:rsid w:val="00B1709A"/>
    <w:rsid w:val="00B172CC"/>
    <w:rsid w:val="00B1749B"/>
    <w:rsid w:val="00B17889"/>
    <w:rsid w:val="00B201E7"/>
    <w:rsid w:val="00B20661"/>
    <w:rsid w:val="00B20C7B"/>
    <w:rsid w:val="00B2152E"/>
    <w:rsid w:val="00B21700"/>
    <w:rsid w:val="00B21E0B"/>
    <w:rsid w:val="00B22100"/>
    <w:rsid w:val="00B22129"/>
    <w:rsid w:val="00B22183"/>
    <w:rsid w:val="00B22384"/>
    <w:rsid w:val="00B22AC7"/>
    <w:rsid w:val="00B22D6A"/>
    <w:rsid w:val="00B22FF4"/>
    <w:rsid w:val="00B2344D"/>
    <w:rsid w:val="00B239E5"/>
    <w:rsid w:val="00B23C62"/>
    <w:rsid w:val="00B23E65"/>
    <w:rsid w:val="00B251D2"/>
    <w:rsid w:val="00B25371"/>
    <w:rsid w:val="00B253EC"/>
    <w:rsid w:val="00B2547A"/>
    <w:rsid w:val="00B257E0"/>
    <w:rsid w:val="00B26579"/>
    <w:rsid w:val="00B266E3"/>
    <w:rsid w:val="00B27247"/>
    <w:rsid w:val="00B2731D"/>
    <w:rsid w:val="00B276C5"/>
    <w:rsid w:val="00B27997"/>
    <w:rsid w:val="00B27D99"/>
    <w:rsid w:val="00B27F34"/>
    <w:rsid w:val="00B304B0"/>
    <w:rsid w:val="00B30EEC"/>
    <w:rsid w:val="00B30F5C"/>
    <w:rsid w:val="00B31296"/>
    <w:rsid w:val="00B31958"/>
    <w:rsid w:val="00B32172"/>
    <w:rsid w:val="00B328D4"/>
    <w:rsid w:val="00B32926"/>
    <w:rsid w:val="00B33617"/>
    <w:rsid w:val="00B3375E"/>
    <w:rsid w:val="00B33D3A"/>
    <w:rsid w:val="00B33EB5"/>
    <w:rsid w:val="00B34205"/>
    <w:rsid w:val="00B34296"/>
    <w:rsid w:val="00B342EB"/>
    <w:rsid w:val="00B34472"/>
    <w:rsid w:val="00B346CB"/>
    <w:rsid w:val="00B34AD0"/>
    <w:rsid w:val="00B34B8C"/>
    <w:rsid w:val="00B3516B"/>
    <w:rsid w:val="00B354C1"/>
    <w:rsid w:val="00B368ED"/>
    <w:rsid w:val="00B3696F"/>
    <w:rsid w:val="00B36C80"/>
    <w:rsid w:val="00B36C8B"/>
    <w:rsid w:val="00B372B1"/>
    <w:rsid w:val="00B374BB"/>
    <w:rsid w:val="00B3759A"/>
    <w:rsid w:val="00B378D7"/>
    <w:rsid w:val="00B37927"/>
    <w:rsid w:val="00B37D22"/>
    <w:rsid w:val="00B40252"/>
    <w:rsid w:val="00B40294"/>
    <w:rsid w:val="00B40361"/>
    <w:rsid w:val="00B4060A"/>
    <w:rsid w:val="00B40DD7"/>
    <w:rsid w:val="00B40F81"/>
    <w:rsid w:val="00B410F1"/>
    <w:rsid w:val="00B411C3"/>
    <w:rsid w:val="00B41E0D"/>
    <w:rsid w:val="00B41F68"/>
    <w:rsid w:val="00B4239E"/>
    <w:rsid w:val="00B43075"/>
    <w:rsid w:val="00B433FC"/>
    <w:rsid w:val="00B4348E"/>
    <w:rsid w:val="00B43883"/>
    <w:rsid w:val="00B43BE7"/>
    <w:rsid w:val="00B43BFA"/>
    <w:rsid w:val="00B43E36"/>
    <w:rsid w:val="00B440AD"/>
    <w:rsid w:val="00B44839"/>
    <w:rsid w:val="00B44D73"/>
    <w:rsid w:val="00B45208"/>
    <w:rsid w:val="00B4529B"/>
    <w:rsid w:val="00B45740"/>
    <w:rsid w:val="00B45FB7"/>
    <w:rsid w:val="00B460C3"/>
    <w:rsid w:val="00B464BA"/>
    <w:rsid w:val="00B465F6"/>
    <w:rsid w:val="00B466AF"/>
    <w:rsid w:val="00B4688A"/>
    <w:rsid w:val="00B46B32"/>
    <w:rsid w:val="00B46C6F"/>
    <w:rsid w:val="00B46DF9"/>
    <w:rsid w:val="00B46EF9"/>
    <w:rsid w:val="00B47756"/>
    <w:rsid w:val="00B4786E"/>
    <w:rsid w:val="00B4787B"/>
    <w:rsid w:val="00B47E0E"/>
    <w:rsid w:val="00B5030F"/>
    <w:rsid w:val="00B50C50"/>
    <w:rsid w:val="00B510A2"/>
    <w:rsid w:val="00B511E8"/>
    <w:rsid w:val="00B51440"/>
    <w:rsid w:val="00B5214D"/>
    <w:rsid w:val="00B5224D"/>
    <w:rsid w:val="00B52390"/>
    <w:rsid w:val="00B52815"/>
    <w:rsid w:val="00B52888"/>
    <w:rsid w:val="00B52A49"/>
    <w:rsid w:val="00B52D74"/>
    <w:rsid w:val="00B52DB4"/>
    <w:rsid w:val="00B5300A"/>
    <w:rsid w:val="00B53111"/>
    <w:rsid w:val="00B532D0"/>
    <w:rsid w:val="00B53646"/>
    <w:rsid w:val="00B53933"/>
    <w:rsid w:val="00B53C51"/>
    <w:rsid w:val="00B53FAC"/>
    <w:rsid w:val="00B5456C"/>
    <w:rsid w:val="00B54A80"/>
    <w:rsid w:val="00B54E81"/>
    <w:rsid w:val="00B553A3"/>
    <w:rsid w:val="00B55B48"/>
    <w:rsid w:val="00B5609B"/>
    <w:rsid w:val="00B563A6"/>
    <w:rsid w:val="00B56560"/>
    <w:rsid w:val="00B5705A"/>
    <w:rsid w:val="00B573F9"/>
    <w:rsid w:val="00B57702"/>
    <w:rsid w:val="00B57722"/>
    <w:rsid w:val="00B57C2C"/>
    <w:rsid w:val="00B57F2D"/>
    <w:rsid w:val="00B60480"/>
    <w:rsid w:val="00B60508"/>
    <w:rsid w:val="00B60586"/>
    <w:rsid w:val="00B60620"/>
    <w:rsid w:val="00B606F7"/>
    <w:rsid w:val="00B60992"/>
    <w:rsid w:val="00B60CD6"/>
    <w:rsid w:val="00B60D85"/>
    <w:rsid w:val="00B61127"/>
    <w:rsid w:val="00B61384"/>
    <w:rsid w:val="00B6142C"/>
    <w:rsid w:val="00B622F8"/>
    <w:rsid w:val="00B62479"/>
    <w:rsid w:val="00B62598"/>
    <w:rsid w:val="00B62C3F"/>
    <w:rsid w:val="00B62EEE"/>
    <w:rsid w:val="00B6303F"/>
    <w:rsid w:val="00B63930"/>
    <w:rsid w:val="00B63CCC"/>
    <w:rsid w:val="00B6445A"/>
    <w:rsid w:val="00B648B0"/>
    <w:rsid w:val="00B6490B"/>
    <w:rsid w:val="00B64A88"/>
    <w:rsid w:val="00B64B45"/>
    <w:rsid w:val="00B65181"/>
    <w:rsid w:val="00B65446"/>
    <w:rsid w:val="00B656E7"/>
    <w:rsid w:val="00B65737"/>
    <w:rsid w:val="00B65AB1"/>
    <w:rsid w:val="00B65B67"/>
    <w:rsid w:val="00B66280"/>
    <w:rsid w:val="00B666EE"/>
    <w:rsid w:val="00B669CA"/>
    <w:rsid w:val="00B66CCF"/>
    <w:rsid w:val="00B676F6"/>
    <w:rsid w:val="00B6788F"/>
    <w:rsid w:val="00B6797D"/>
    <w:rsid w:val="00B67B04"/>
    <w:rsid w:val="00B67BB6"/>
    <w:rsid w:val="00B67DA0"/>
    <w:rsid w:val="00B67EB7"/>
    <w:rsid w:val="00B700EC"/>
    <w:rsid w:val="00B70C8B"/>
    <w:rsid w:val="00B7183A"/>
    <w:rsid w:val="00B71A0E"/>
    <w:rsid w:val="00B71D67"/>
    <w:rsid w:val="00B71F8F"/>
    <w:rsid w:val="00B725BA"/>
    <w:rsid w:val="00B72690"/>
    <w:rsid w:val="00B729F9"/>
    <w:rsid w:val="00B72BFC"/>
    <w:rsid w:val="00B72D6C"/>
    <w:rsid w:val="00B72F40"/>
    <w:rsid w:val="00B7351A"/>
    <w:rsid w:val="00B7365A"/>
    <w:rsid w:val="00B73EEF"/>
    <w:rsid w:val="00B74216"/>
    <w:rsid w:val="00B742E2"/>
    <w:rsid w:val="00B743DD"/>
    <w:rsid w:val="00B74493"/>
    <w:rsid w:val="00B746EC"/>
    <w:rsid w:val="00B7482A"/>
    <w:rsid w:val="00B74852"/>
    <w:rsid w:val="00B74C56"/>
    <w:rsid w:val="00B754F9"/>
    <w:rsid w:val="00B755AB"/>
    <w:rsid w:val="00B757BF"/>
    <w:rsid w:val="00B758F3"/>
    <w:rsid w:val="00B75A8E"/>
    <w:rsid w:val="00B75AAE"/>
    <w:rsid w:val="00B76439"/>
    <w:rsid w:val="00B76B7B"/>
    <w:rsid w:val="00B77679"/>
    <w:rsid w:val="00B7771F"/>
    <w:rsid w:val="00B800F2"/>
    <w:rsid w:val="00B804F6"/>
    <w:rsid w:val="00B8082E"/>
    <w:rsid w:val="00B80833"/>
    <w:rsid w:val="00B8097F"/>
    <w:rsid w:val="00B80F00"/>
    <w:rsid w:val="00B81216"/>
    <w:rsid w:val="00B81512"/>
    <w:rsid w:val="00B81B86"/>
    <w:rsid w:val="00B823F6"/>
    <w:rsid w:val="00B82731"/>
    <w:rsid w:val="00B8293D"/>
    <w:rsid w:val="00B82B62"/>
    <w:rsid w:val="00B83330"/>
    <w:rsid w:val="00B833C6"/>
    <w:rsid w:val="00B83735"/>
    <w:rsid w:val="00B838FD"/>
    <w:rsid w:val="00B83E7D"/>
    <w:rsid w:val="00B83EC4"/>
    <w:rsid w:val="00B840FF"/>
    <w:rsid w:val="00B843D8"/>
    <w:rsid w:val="00B84783"/>
    <w:rsid w:val="00B84C35"/>
    <w:rsid w:val="00B84C7F"/>
    <w:rsid w:val="00B84EB2"/>
    <w:rsid w:val="00B8525C"/>
    <w:rsid w:val="00B85816"/>
    <w:rsid w:val="00B85B8E"/>
    <w:rsid w:val="00B860A2"/>
    <w:rsid w:val="00B862BF"/>
    <w:rsid w:val="00B86536"/>
    <w:rsid w:val="00B8660B"/>
    <w:rsid w:val="00B8664E"/>
    <w:rsid w:val="00B86B19"/>
    <w:rsid w:val="00B86B5F"/>
    <w:rsid w:val="00B86FA7"/>
    <w:rsid w:val="00B879A7"/>
    <w:rsid w:val="00B87C3E"/>
    <w:rsid w:val="00B87CB2"/>
    <w:rsid w:val="00B87DD8"/>
    <w:rsid w:val="00B9031E"/>
    <w:rsid w:val="00B90D2F"/>
    <w:rsid w:val="00B90E41"/>
    <w:rsid w:val="00B910DC"/>
    <w:rsid w:val="00B9178A"/>
    <w:rsid w:val="00B917F4"/>
    <w:rsid w:val="00B91C9A"/>
    <w:rsid w:val="00B91D03"/>
    <w:rsid w:val="00B91DF9"/>
    <w:rsid w:val="00B9204D"/>
    <w:rsid w:val="00B92D0A"/>
    <w:rsid w:val="00B93CDF"/>
    <w:rsid w:val="00B9461E"/>
    <w:rsid w:val="00B947C8"/>
    <w:rsid w:val="00B94D68"/>
    <w:rsid w:val="00B94E2F"/>
    <w:rsid w:val="00B95A17"/>
    <w:rsid w:val="00B95D63"/>
    <w:rsid w:val="00B95DA9"/>
    <w:rsid w:val="00B95E2C"/>
    <w:rsid w:val="00B95F59"/>
    <w:rsid w:val="00B96663"/>
    <w:rsid w:val="00B96CFC"/>
    <w:rsid w:val="00B97A00"/>
    <w:rsid w:val="00B97BB0"/>
    <w:rsid w:val="00BA05B3"/>
    <w:rsid w:val="00BA077C"/>
    <w:rsid w:val="00BA0F0C"/>
    <w:rsid w:val="00BA13E2"/>
    <w:rsid w:val="00BA1B38"/>
    <w:rsid w:val="00BA1D3C"/>
    <w:rsid w:val="00BA2114"/>
    <w:rsid w:val="00BA28C1"/>
    <w:rsid w:val="00BA2B0A"/>
    <w:rsid w:val="00BA31BB"/>
    <w:rsid w:val="00BA327F"/>
    <w:rsid w:val="00BA3F34"/>
    <w:rsid w:val="00BA52C3"/>
    <w:rsid w:val="00BA5465"/>
    <w:rsid w:val="00BA5AE3"/>
    <w:rsid w:val="00BA5D16"/>
    <w:rsid w:val="00BA6E0F"/>
    <w:rsid w:val="00BA6FC8"/>
    <w:rsid w:val="00BA7568"/>
    <w:rsid w:val="00BA7E94"/>
    <w:rsid w:val="00BB066D"/>
    <w:rsid w:val="00BB1E7A"/>
    <w:rsid w:val="00BB1EA0"/>
    <w:rsid w:val="00BB1EB5"/>
    <w:rsid w:val="00BB2495"/>
    <w:rsid w:val="00BB26C8"/>
    <w:rsid w:val="00BB288F"/>
    <w:rsid w:val="00BB2AF9"/>
    <w:rsid w:val="00BB2B08"/>
    <w:rsid w:val="00BB2F02"/>
    <w:rsid w:val="00BB316E"/>
    <w:rsid w:val="00BB31E2"/>
    <w:rsid w:val="00BB3328"/>
    <w:rsid w:val="00BB33AC"/>
    <w:rsid w:val="00BB392C"/>
    <w:rsid w:val="00BB3D68"/>
    <w:rsid w:val="00BB3FC1"/>
    <w:rsid w:val="00BB533F"/>
    <w:rsid w:val="00BB5401"/>
    <w:rsid w:val="00BB58A0"/>
    <w:rsid w:val="00BB5EED"/>
    <w:rsid w:val="00BB66F1"/>
    <w:rsid w:val="00BB67C7"/>
    <w:rsid w:val="00BB6B0B"/>
    <w:rsid w:val="00BB6BAA"/>
    <w:rsid w:val="00BB6BD3"/>
    <w:rsid w:val="00BB6D57"/>
    <w:rsid w:val="00BB6E5B"/>
    <w:rsid w:val="00BB72C4"/>
    <w:rsid w:val="00BB79BA"/>
    <w:rsid w:val="00BB7B83"/>
    <w:rsid w:val="00BC032F"/>
    <w:rsid w:val="00BC0359"/>
    <w:rsid w:val="00BC0847"/>
    <w:rsid w:val="00BC0B57"/>
    <w:rsid w:val="00BC0BAF"/>
    <w:rsid w:val="00BC0C92"/>
    <w:rsid w:val="00BC1012"/>
    <w:rsid w:val="00BC13F1"/>
    <w:rsid w:val="00BC14F7"/>
    <w:rsid w:val="00BC1A86"/>
    <w:rsid w:val="00BC1BD9"/>
    <w:rsid w:val="00BC1D49"/>
    <w:rsid w:val="00BC1D5D"/>
    <w:rsid w:val="00BC216F"/>
    <w:rsid w:val="00BC219B"/>
    <w:rsid w:val="00BC2462"/>
    <w:rsid w:val="00BC3360"/>
    <w:rsid w:val="00BC377B"/>
    <w:rsid w:val="00BC4105"/>
    <w:rsid w:val="00BC41F0"/>
    <w:rsid w:val="00BC4410"/>
    <w:rsid w:val="00BC46AF"/>
    <w:rsid w:val="00BC46D9"/>
    <w:rsid w:val="00BC47BD"/>
    <w:rsid w:val="00BC4C68"/>
    <w:rsid w:val="00BC54DD"/>
    <w:rsid w:val="00BC5A8D"/>
    <w:rsid w:val="00BC5AF0"/>
    <w:rsid w:val="00BC5D03"/>
    <w:rsid w:val="00BC5D73"/>
    <w:rsid w:val="00BC6343"/>
    <w:rsid w:val="00BC666E"/>
    <w:rsid w:val="00BC66BB"/>
    <w:rsid w:val="00BC7275"/>
    <w:rsid w:val="00BC759A"/>
    <w:rsid w:val="00BC7AC5"/>
    <w:rsid w:val="00BC7F10"/>
    <w:rsid w:val="00BD0692"/>
    <w:rsid w:val="00BD0974"/>
    <w:rsid w:val="00BD1111"/>
    <w:rsid w:val="00BD116E"/>
    <w:rsid w:val="00BD1DC0"/>
    <w:rsid w:val="00BD226A"/>
    <w:rsid w:val="00BD2677"/>
    <w:rsid w:val="00BD2D95"/>
    <w:rsid w:val="00BD304D"/>
    <w:rsid w:val="00BD3799"/>
    <w:rsid w:val="00BD385D"/>
    <w:rsid w:val="00BD422E"/>
    <w:rsid w:val="00BD43B4"/>
    <w:rsid w:val="00BD4637"/>
    <w:rsid w:val="00BD481D"/>
    <w:rsid w:val="00BD48AE"/>
    <w:rsid w:val="00BD4B85"/>
    <w:rsid w:val="00BD4DCB"/>
    <w:rsid w:val="00BD4EFB"/>
    <w:rsid w:val="00BD5307"/>
    <w:rsid w:val="00BD53F5"/>
    <w:rsid w:val="00BD56DE"/>
    <w:rsid w:val="00BD59CC"/>
    <w:rsid w:val="00BD5C1A"/>
    <w:rsid w:val="00BD62FE"/>
    <w:rsid w:val="00BD633A"/>
    <w:rsid w:val="00BD635D"/>
    <w:rsid w:val="00BD693E"/>
    <w:rsid w:val="00BD69A1"/>
    <w:rsid w:val="00BD6A6E"/>
    <w:rsid w:val="00BE03BC"/>
    <w:rsid w:val="00BE0707"/>
    <w:rsid w:val="00BE1252"/>
    <w:rsid w:val="00BE14FE"/>
    <w:rsid w:val="00BE17C1"/>
    <w:rsid w:val="00BE1D3B"/>
    <w:rsid w:val="00BE258F"/>
    <w:rsid w:val="00BE2787"/>
    <w:rsid w:val="00BE2B2A"/>
    <w:rsid w:val="00BE2F12"/>
    <w:rsid w:val="00BE328A"/>
    <w:rsid w:val="00BE356F"/>
    <w:rsid w:val="00BE35BA"/>
    <w:rsid w:val="00BE364C"/>
    <w:rsid w:val="00BE3810"/>
    <w:rsid w:val="00BE3C22"/>
    <w:rsid w:val="00BE3C56"/>
    <w:rsid w:val="00BE3D58"/>
    <w:rsid w:val="00BE3FD4"/>
    <w:rsid w:val="00BE4410"/>
    <w:rsid w:val="00BE47C7"/>
    <w:rsid w:val="00BE4A6D"/>
    <w:rsid w:val="00BE4DE8"/>
    <w:rsid w:val="00BE4E61"/>
    <w:rsid w:val="00BE4E6C"/>
    <w:rsid w:val="00BE50C1"/>
    <w:rsid w:val="00BE536E"/>
    <w:rsid w:val="00BE53AF"/>
    <w:rsid w:val="00BE590E"/>
    <w:rsid w:val="00BE5EA5"/>
    <w:rsid w:val="00BE5EFD"/>
    <w:rsid w:val="00BE5F06"/>
    <w:rsid w:val="00BE5F40"/>
    <w:rsid w:val="00BE5F93"/>
    <w:rsid w:val="00BE6554"/>
    <w:rsid w:val="00BE6B8E"/>
    <w:rsid w:val="00BE7834"/>
    <w:rsid w:val="00BE7AE2"/>
    <w:rsid w:val="00BF0851"/>
    <w:rsid w:val="00BF12C9"/>
    <w:rsid w:val="00BF15CE"/>
    <w:rsid w:val="00BF1E60"/>
    <w:rsid w:val="00BF1E7F"/>
    <w:rsid w:val="00BF2137"/>
    <w:rsid w:val="00BF26CC"/>
    <w:rsid w:val="00BF2824"/>
    <w:rsid w:val="00BF2A79"/>
    <w:rsid w:val="00BF2DF3"/>
    <w:rsid w:val="00BF2E31"/>
    <w:rsid w:val="00BF336A"/>
    <w:rsid w:val="00BF33C1"/>
    <w:rsid w:val="00BF38AF"/>
    <w:rsid w:val="00BF3E47"/>
    <w:rsid w:val="00BF4063"/>
    <w:rsid w:val="00BF471F"/>
    <w:rsid w:val="00BF4C3D"/>
    <w:rsid w:val="00BF4DBF"/>
    <w:rsid w:val="00BF519F"/>
    <w:rsid w:val="00BF56A7"/>
    <w:rsid w:val="00BF57CE"/>
    <w:rsid w:val="00BF5EAF"/>
    <w:rsid w:val="00BF627C"/>
    <w:rsid w:val="00BF6384"/>
    <w:rsid w:val="00BF664C"/>
    <w:rsid w:val="00BF6899"/>
    <w:rsid w:val="00BF69D1"/>
    <w:rsid w:val="00BF6A04"/>
    <w:rsid w:val="00BF6B78"/>
    <w:rsid w:val="00BF6C65"/>
    <w:rsid w:val="00BF6E3B"/>
    <w:rsid w:val="00BF6FC8"/>
    <w:rsid w:val="00BF7011"/>
    <w:rsid w:val="00BF7227"/>
    <w:rsid w:val="00BF774C"/>
    <w:rsid w:val="00BF7752"/>
    <w:rsid w:val="00BF7A3B"/>
    <w:rsid w:val="00C0008A"/>
    <w:rsid w:val="00C00151"/>
    <w:rsid w:val="00C00260"/>
    <w:rsid w:val="00C003E4"/>
    <w:rsid w:val="00C0086A"/>
    <w:rsid w:val="00C0097E"/>
    <w:rsid w:val="00C00B4C"/>
    <w:rsid w:val="00C00FC0"/>
    <w:rsid w:val="00C015C4"/>
    <w:rsid w:val="00C01800"/>
    <w:rsid w:val="00C01B6B"/>
    <w:rsid w:val="00C01FFF"/>
    <w:rsid w:val="00C02348"/>
    <w:rsid w:val="00C028E6"/>
    <w:rsid w:val="00C02A24"/>
    <w:rsid w:val="00C03311"/>
    <w:rsid w:val="00C033F0"/>
    <w:rsid w:val="00C0385F"/>
    <w:rsid w:val="00C039D5"/>
    <w:rsid w:val="00C0419F"/>
    <w:rsid w:val="00C043E3"/>
    <w:rsid w:val="00C0443A"/>
    <w:rsid w:val="00C04612"/>
    <w:rsid w:val="00C04FE5"/>
    <w:rsid w:val="00C05377"/>
    <w:rsid w:val="00C05635"/>
    <w:rsid w:val="00C05D31"/>
    <w:rsid w:val="00C0644B"/>
    <w:rsid w:val="00C0662A"/>
    <w:rsid w:val="00C067BD"/>
    <w:rsid w:val="00C0683D"/>
    <w:rsid w:val="00C06AEA"/>
    <w:rsid w:val="00C06BA7"/>
    <w:rsid w:val="00C06C20"/>
    <w:rsid w:val="00C06FC8"/>
    <w:rsid w:val="00C077CC"/>
    <w:rsid w:val="00C07A6C"/>
    <w:rsid w:val="00C106F2"/>
    <w:rsid w:val="00C10824"/>
    <w:rsid w:val="00C108C3"/>
    <w:rsid w:val="00C10950"/>
    <w:rsid w:val="00C10D47"/>
    <w:rsid w:val="00C10F37"/>
    <w:rsid w:val="00C11410"/>
    <w:rsid w:val="00C11DA0"/>
    <w:rsid w:val="00C1288F"/>
    <w:rsid w:val="00C128A6"/>
    <w:rsid w:val="00C1351C"/>
    <w:rsid w:val="00C13520"/>
    <w:rsid w:val="00C141D7"/>
    <w:rsid w:val="00C1426D"/>
    <w:rsid w:val="00C1482D"/>
    <w:rsid w:val="00C14FBE"/>
    <w:rsid w:val="00C150E5"/>
    <w:rsid w:val="00C155A1"/>
    <w:rsid w:val="00C15A31"/>
    <w:rsid w:val="00C15FB7"/>
    <w:rsid w:val="00C1608C"/>
    <w:rsid w:val="00C1621E"/>
    <w:rsid w:val="00C162DE"/>
    <w:rsid w:val="00C16633"/>
    <w:rsid w:val="00C16752"/>
    <w:rsid w:val="00C16AFD"/>
    <w:rsid w:val="00C16B2A"/>
    <w:rsid w:val="00C16F3C"/>
    <w:rsid w:val="00C174CD"/>
    <w:rsid w:val="00C176B0"/>
    <w:rsid w:val="00C178E6"/>
    <w:rsid w:val="00C1799A"/>
    <w:rsid w:val="00C200B8"/>
    <w:rsid w:val="00C20C99"/>
    <w:rsid w:val="00C20D06"/>
    <w:rsid w:val="00C20FCC"/>
    <w:rsid w:val="00C2122B"/>
    <w:rsid w:val="00C214C3"/>
    <w:rsid w:val="00C21723"/>
    <w:rsid w:val="00C221DF"/>
    <w:rsid w:val="00C2225E"/>
    <w:rsid w:val="00C2238B"/>
    <w:rsid w:val="00C240CB"/>
    <w:rsid w:val="00C2433B"/>
    <w:rsid w:val="00C24624"/>
    <w:rsid w:val="00C249C4"/>
    <w:rsid w:val="00C2503F"/>
    <w:rsid w:val="00C25181"/>
    <w:rsid w:val="00C25185"/>
    <w:rsid w:val="00C25214"/>
    <w:rsid w:val="00C256BF"/>
    <w:rsid w:val="00C25734"/>
    <w:rsid w:val="00C25B34"/>
    <w:rsid w:val="00C26A08"/>
    <w:rsid w:val="00C26A4C"/>
    <w:rsid w:val="00C26BCD"/>
    <w:rsid w:val="00C26EC6"/>
    <w:rsid w:val="00C26FA3"/>
    <w:rsid w:val="00C27B63"/>
    <w:rsid w:val="00C27D0D"/>
    <w:rsid w:val="00C301CB"/>
    <w:rsid w:val="00C30260"/>
    <w:rsid w:val="00C3070A"/>
    <w:rsid w:val="00C30BFC"/>
    <w:rsid w:val="00C3104A"/>
    <w:rsid w:val="00C3105E"/>
    <w:rsid w:val="00C313E8"/>
    <w:rsid w:val="00C31AC0"/>
    <w:rsid w:val="00C31B8E"/>
    <w:rsid w:val="00C31DBF"/>
    <w:rsid w:val="00C32289"/>
    <w:rsid w:val="00C322FF"/>
    <w:rsid w:val="00C32848"/>
    <w:rsid w:val="00C32E35"/>
    <w:rsid w:val="00C32EB7"/>
    <w:rsid w:val="00C3300F"/>
    <w:rsid w:val="00C3355D"/>
    <w:rsid w:val="00C338B3"/>
    <w:rsid w:val="00C339D3"/>
    <w:rsid w:val="00C33C2A"/>
    <w:rsid w:val="00C33D42"/>
    <w:rsid w:val="00C342A2"/>
    <w:rsid w:val="00C34335"/>
    <w:rsid w:val="00C346F7"/>
    <w:rsid w:val="00C349BC"/>
    <w:rsid w:val="00C3560D"/>
    <w:rsid w:val="00C35643"/>
    <w:rsid w:val="00C35EF4"/>
    <w:rsid w:val="00C37146"/>
    <w:rsid w:val="00C37497"/>
    <w:rsid w:val="00C3764E"/>
    <w:rsid w:val="00C37650"/>
    <w:rsid w:val="00C37AEF"/>
    <w:rsid w:val="00C37BA4"/>
    <w:rsid w:val="00C409C4"/>
    <w:rsid w:val="00C40CBB"/>
    <w:rsid w:val="00C4107D"/>
    <w:rsid w:val="00C417DD"/>
    <w:rsid w:val="00C41A1B"/>
    <w:rsid w:val="00C41A1C"/>
    <w:rsid w:val="00C42331"/>
    <w:rsid w:val="00C42399"/>
    <w:rsid w:val="00C42424"/>
    <w:rsid w:val="00C425A6"/>
    <w:rsid w:val="00C42655"/>
    <w:rsid w:val="00C42A4B"/>
    <w:rsid w:val="00C42C70"/>
    <w:rsid w:val="00C4339B"/>
    <w:rsid w:val="00C43829"/>
    <w:rsid w:val="00C438A3"/>
    <w:rsid w:val="00C438D1"/>
    <w:rsid w:val="00C4391B"/>
    <w:rsid w:val="00C43E04"/>
    <w:rsid w:val="00C4453C"/>
    <w:rsid w:val="00C446B0"/>
    <w:rsid w:val="00C447D5"/>
    <w:rsid w:val="00C44A55"/>
    <w:rsid w:val="00C44F0F"/>
    <w:rsid w:val="00C458FF"/>
    <w:rsid w:val="00C459C3"/>
    <w:rsid w:val="00C46B33"/>
    <w:rsid w:val="00C472A7"/>
    <w:rsid w:val="00C475E3"/>
    <w:rsid w:val="00C4793C"/>
    <w:rsid w:val="00C47A23"/>
    <w:rsid w:val="00C47CE4"/>
    <w:rsid w:val="00C47FA4"/>
    <w:rsid w:val="00C50653"/>
    <w:rsid w:val="00C50D61"/>
    <w:rsid w:val="00C51196"/>
    <w:rsid w:val="00C512F1"/>
    <w:rsid w:val="00C517E2"/>
    <w:rsid w:val="00C51948"/>
    <w:rsid w:val="00C51C40"/>
    <w:rsid w:val="00C51D5B"/>
    <w:rsid w:val="00C52226"/>
    <w:rsid w:val="00C525DB"/>
    <w:rsid w:val="00C526EF"/>
    <w:rsid w:val="00C52786"/>
    <w:rsid w:val="00C52894"/>
    <w:rsid w:val="00C528FE"/>
    <w:rsid w:val="00C52C9C"/>
    <w:rsid w:val="00C52D36"/>
    <w:rsid w:val="00C5347D"/>
    <w:rsid w:val="00C53DCA"/>
    <w:rsid w:val="00C53F56"/>
    <w:rsid w:val="00C54193"/>
    <w:rsid w:val="00C544E8"/>
    <w:rsid w:val="00C546C9"/>
    <w:rsid w:val="00C55033"/>
    <w:rsid w:val="00C55039"/>
    <w:rsid w:val="00C552EF"/>
    <w:rsid w:val="00C55348"/>
    <w:rsid w:val="00C554E2"/>
    <w:rsid w:val="00C55763"/>
    <w:rsid w:val="00C557B0"/>
    <w:rsid w:val="00C55E9A"/>
    <w:rsid w:val="00C55F17"/>
    <w:rsid w:val="00C565FF"/>
    <w:rsid w:val="00C568E9"/>
    <w:rsid w:val="00C569DA"/>
    <w:rsid w:val="00C56BEF"/>
    <w:rsid w:val="00C56DF9"/>
    <w:rsid w:val="00C573EE"/>
    <w:rsid w:val="00C57DC0"/>
    <w:rsid w:val="00C57F18"/>
    <w:rsid w:val="00C57FD6"/>
    <w:rsid w:val="00C602E5"/>
    <w:rsid w:val="00C60588"/>
    <w:rsid w:val="00C60CE1"/>
    <w:rsid w:val="00C60D34"/>
    <w:rsid w:val="00C611C0"/>
    <w:rsid w:val="00C616B6"/>
    <w:rsid w:val="00C61A6A"/>
    <w:rsid w:val="00C62441"/>
    <w:rsid w:val="00C62722"/>
    <w:rsid w:val="00C6273F"/>
    <w:rsid w:val="00C62A58"/>
    <w:rsid w:val="00C6335B"/>
    <w:rsid w:val="00C633EF"/>
    <w:rsid w:val="00C6345E"/>
    <w:rsid w:val="00C63D2B"/>
    <w:rsid w:val="00C641E5"/>
    <w:rsid w:val="00C64A87"/>
    <w:rsid w:val="00C64ADD"/>
    <w:rsid w:val="00C64FC0"/>
    <w:rsid w:val="00C65056"/>
    <w:rsid w:val="00C65396"/>
    <w:rsid w:val="00C655A6"/>
    <w:rsid w:val="00C65602"/>
    <w:rsid w:val="00C65628"/>
    <w:rsid w:val="00C65D01"/>
    <w:rsid w:val="00C6603A"/>
    <w:rsid w:val="00C6635A"/>
    <w:rsid w:val="00C666CD"/>
    <w:rsid w:val="00C667FB"/>
    <w:rsid w:val="00C66818"/>
    <w:rsid w:val="00C66986"/>
    <w:rsid w:val="00C67095"/>
    <w:rsid w:val="00C679E2"/>
    <w:rsid w:val="00C67F19"/>
    <w:rsid w:val="00C703C8"/>
    <w:rsid w:val="00C70429"/>
    <w:rsid w:val="00C70626"/>
    <w:rsid w:val="00C712DB"/>
    <w:rsid w:val="00C713C8"/>
    <w:rsid w:val="00C713E4"/>
    <w:rsid w:val="00C71F4F"/>
    <w:rsid w:val="00C71F5B"/>
    <w:rsid w:val="00C72D28"/>
    <w:rsid w:val="00C7330D"/>
    <w:rsid w:val="00C73A2D"/>
    <w:rsid w:val="00C73D1B"/>
    <w:rsid w:val="00C73D43"/>
    <w:rsid w:val="00C741E4"/>
    <w:rsid w:val="00C7459E"/>
    <w:rsid w:val="00C7479E"/>
    <w:rsid w:val="00C74990"/>
    <w:rsid w:val="00C74BB0"/>
    <w:rsid w:val="00C75705"/>
    <w:rsid w:val="00C7585A"/>
    <w:rsid w:val="00C758B2"/>
    <w:rsid w:val="00C75DB6"/>
    <w:rsid w:val="00C7640D"/>
    <w:rsid w:val="00C7641C"/>
    <w:rsid w:val="00C771B2"/>
    <w:rsid w:val="00C775AE"/>
    <w:rsid w:val="00C80357"/>
    <w:rsid w:val="00C80373"/>
    <w:rsid w:val="00C80382"/>
    <w:rsid w:val="00C8062C"/>
    <w:rsid w:val="00C8074F"/>
    <w:rsid w:val="00C80E07"/>
    <w:rsid w:val="00C81213"/>
    <w:rsid w:val="00C8256A"/>
    <w:rsid w:val="00C82615"/>
    <w:rsid w:val="00C829CA"/>
    <w:rsid w:val="00C82BDA"/>
    <w:rsid w:val="00C82EE8"/>
    <w:rsid w:val="00C8316D"/>
    <w:rsid w:val="00C83197"/>
    <w:rsid w:val="00C8339C"/>
    <w:rsid w:val="00C8367A"/>
    <w:rsid w:val="00C83763"/>
    <w:rsid w:val="00C84504"/>
    <w:rsid w:val="00C84528"/>
    <w:rsid w:val="00C845C2"/>
    <w:rsid w:val="00C85123"/>
    <w:rsid w:val="00C851A9"/>
    <w:rsid w:val="00C857EF"/>
    <w:rsid w:val="00C85AEE"/>
    <w:rsid w:val="00C85FCE"/>
    <w:rsid w:val="00C865DC"/>
    <w:rsid w:val="00C86B77"/>
    <w:rsid w:val="00C87469"/>
    <w:rsid w:val="00C8779B"/>
    <w:rsid w:val="00C87E72"/>
    <w:rsid w:val="00C9002C"/>
    <w:rsid w:val="00C900EA"/>
    <w:rsid w:val="00C9081A"/>
    <w:rsid w:val="00C9092E"/>
    <w:rsid w:val="00C90DCF"/>
    <w:rsid w:val="00C91181"/>
    <w:rsid w:val="00C916EE"/>
    <w:rsid w:val="00C917F8"/>
    <w:rsid w:val="00C9192F"/>
    <w:rsid w:val="00C92C69"/>
    <w:rsid w:val="00C92F63"/>
    <w:rsid w:val="00C9376B"/>
    <w:rsid w:val="00C93A08"/>
    <w:rsid w:val="00C93C51"/>
    <w:rsid w:val="00C93E83"/>
    <w:rsid w:val="00C93F1D"/>
    <w:rsid w:val="00C9433D"/>
    <w:rsid w:val="00C94830"/>
    <w:rsid w:val="00C94AE5"/>
    <w:rsid w:val="00C94ED0"/>
    <w:rsid w:val="00C94F5E"/>
    <w:rsid w:val="00C9573B"/>
    <w:rsid w:val="00C95819"/>
    <w:rsid w:val="00C958CC"/>
    <w:rsid w:val="00C95905"/>
    <w:rsid w:val="00C95ACE"/>
    <w:rsid w:val="00C96062"/>
    <w:rsid w:val="00C9641A"/>
    <w:rsid w:val="00C964CE"/>
    <w:rsid w:val="00C96ACC"/>
    <w:rsid w:val="00C96B99"/>
    <w:rsid w:val="00C96C83"/>
    <w:rsid w:val="00C97228"/>
    <w:rsid w:val="00C9753B"/>
    <w:rsid w:val="00C97984"/>
    <w:rsid w:val="00C97CA6"/>
    <w:rsid w:val="00CA0CE9"/>
    <w:rsid w:val="00CA0D85"/>
    <w:rsid w:val="00CA1091"/>
    <w:rsid w:val="00CA12AA"/>
    <w:rsid w:val="00CA1C19"/>
    <w:rsid w:val="00CA1F9A"/>
    <w:rsid w:val="00CA2B8C"/>
    <w:rsid w:val="00CA3739"/>
    <w:rsid w:val="00CA3F2E"/>
    <w:rsid w:val="00CA422C"/>
    <w:rsid w:val="00CA4A0C"/>
    <w:rsid w:val="00CA4D38"/>
    <w:rsid w:val="00CA5332"/>
    <w:rsid w:val="00CA5D4E"/>
    <w:rsid w:val="00CA6726"/>
    <w:rsid w:val="00CB1353"/>
    <w:rsid w:val="00CB13AF"/>
    <w:rsid w:val="00CB1AC9"/>
    <w:rsid w:val="00CB1C3D"/>
    <w:rsid w:val="00CB2210"/>
    <w:rsid w:val="00CB2418"/>
    <w:rsid w:val="00CB2E9E"/>
    <w:rsid w:val="00CB306C"/>
    <w:rsid w:val="00CB3111"/>
    <w:rsid w:val="00CB32D0"/>
    <w:rsid w:val="00CB3496"/>
    <w:rsid w:val="00CB35C5"/>
    <w:rsid w:val="00CB39F4"/>
    <w:rsid w:val="00CB3D5A"/>
    <w:rsid w:val="00CB48E6"/>
    <w:rsid w:val="00CB5934"/>
    <w:rsid w:val="00CB5A7D"/>
    <w:rsid w:val="00CB61BF"/>
    <w:rsid w:val="00CB62F5"/>
    <w:rsid w:val="00CB679D"/>
    <w:rsid w:val="00CB6801"/>
    <w:rsid w:val="00CB6B55"/>
    <w:rsid w:val="00CB6BC8"/>
    <w:rsid w:val="00CB6F54"/>
    <w:rsid w:val="00CB75C7"/>
    <w:rsid w:val="00CB7806"/>
    <w:rsid w:val="00CB79B8"/>
    <w:rsid w:val="00CB7A5F"/>
    <w:rsid w:val="00CB7BC6"/>
    <w:rsid w:val="00CB7D23"/>
    <w:rsid w:val="00CC04D8"/>
    <w:rsid w:val="00CC051B"/>
    <w:rsid w:val="00CC0629"/>
    <w:rsid w:val="00CC0668"/>
    <w:rsid w:val="00CC0750"/>
    <w:rsid w:val="00CC08A7"/>
    <w:rsid w:val="00CC0B56"/>
    <w:rsid w:val="00CC12AB"/>
    <w:rsid w:val="00CC20D7"/>
    <w:rsid w:val="00CC215E"/>
    <w:rsid w:val="00CC228F"/>
    <w:rsid w:val="00CC229A"/>
    <w:rsid w:val="00CC2450"/>
    <w:rsid w:val="00CC289B"/>
    <w:rsid w:val="00CC2EAE"/>
    <w:rsid w:val="00CC3236"/>
    <w:rsid w:val="00CC3533"/>
    <w:rsid w:val="00CC36E4"/>
    <w:rsid w:val="00CC3F51"/>
    <w:rsid w:val="00CC3FD5"/>
    <w:rsid w:val="00CC40A3"/>
    <w:rsid w:val="00CC4CD6"/>
    <w:rsid w:val="00CC565B"/>
    <w:rsid w:val="00CC67FE"/>
    <w:rsid w:val="00CC7235"/>
    <w:rsid w:val="00CC78EB"/>
    <w:rsid w:val="00CC7C25"/>
    <w:rsid w:val="00CC7D34"/>
    <w:rsid w:val="00CD00FC"/>
    <w:rsid w:val="00CD0115"/>
    <w:rsid w:val="00CD016D"/>
    <w:rsid w:val="00CD0883"/>
    <w:rsid w:val="00CD097D"/>
    <w:rsid w:val="00CD098E"/>
    <w:rsid w:val="00CD1E6E"/>
    <w:rsid w:val="00CD1FF9"/>
    <w:rsid w:val="00CD289B"/>
    <w:rsid w:val="00CD2DDB"/>
    <w:rsid w:val="00CD35EC"/>
    <w:rsid w:val="00CD369A"/>
    <w:rsid w:val="00CD36E4"/>
    <w:rsid w:val="00CD3837"/>
    <w:rsid w:val="00CD411A"/>
    <w:rsid w:val="00CD439E"/>
    <w:rsid w:val="00CD4724"/>
    <w:rsid w:val="00CD47F4"/>
    <w:rsid w:val="00CD541E"/>
    <w:rsid w:val="00CD555D"/>
    <w:rsid w:val="00CD5890"/>
    <w:rsid w:val="00CD62A9"/>
    <w:rsid w:val="00CD662E"/>
    <w:rsid w:val="00CD6729"/>
    <w:rsid w:val="00CD6856"/>
    <w:rsid w:val="00CD7499"/>
    <w:rsid w:val="00CD74E3"/>
    <w:rsid w:val="00CD750C"/>
    <w:rsid w:val="00CD7B0D"/>
    <w:rsid w:val="00CD7D8E"/>
    <w:rsid w:val="00CE000C"/>
    <w:rsid w:val="00CE001F"/>
    <w:rsid w:val="00CE0304"/>
    <w:rsid w:val="00CE08AA"/>
    <w:rsid w:val="00CE1468"/>
    <w:rsid w:val="00CE1581"/>
    <w:rsid w:val="00CE1FDC"/>
    <w:rsid w:val="00CE203D"/>
    <w:rsid w:val="00CE261B"/>
    <w:rsid w:val="00CE2955"/>
    <w:rsid w:val="00CE2EAF"/>
    <w:rsid w:val="00CE31A1"/>
    <w:rsid w:val="00CE3487"/>
    <w:rsid w:val="00CE36A0"/>
    <w:rsid w:val="00CE3B3A"/>
    <w:rsid w:val="00CE3F35"/>
    <w:rsid w:val="00CE470C"/>
    <w:rsid w:val="00CE5039"/>
    <w:rsid w:val="00CE5118"/>
    <w:rsid w:val="00CE52D5"/>
    <w:rsid w:val="00CE5331"/>
    <w:rsid w:val="00CE55B7"/>
    <w:rsid w:val="00CE5BD8"/>
    <w:rsid w:val="00CE5C5D"/>
    <w:rsid w:val="00CE6D61"/>
    <w:rsid w:val="00CE6E19"/>
    <w:rsid w:val="00CE74E2"/>
    <w:rsid w:val="00CE768F"/>
    <w:rsid w:val="00CE76E7"/>
    <w:rsid w:val="00CE7971"/>
    <w:rsid w:val="00CF0018"/>
    <w:rsid w:val="00CF012B"/>
    <w:rsid w:val="00CF0E4A"/>
    <w:rsid w:val="00CF1099"/>
    <w:rsid w:val="00CF12AC"/>
    <w:rsid w:val="00CF151D"/>
    <w:rsid w:val="00CF1918"/>
    <w:rsid w:val="00CF1C3A"/>
    <w:rsid w:val="00CF213B"/>
    <w:rsid w:val="00CF2CA7"/>
    <w:rsid w:val="00CF2E1B"/>
    <w:rsid w:val="00CF33B5"/>
    <w:rsid w:val="00CF3DEB"/>
    <w:rsid w:val="00CF42AD"/>
    <w:rsid w:val="00CF4721"/>
    <w:rsid w:val="00CF4F1A"/>
    <w:rsid w:val="00CF568C"/>
    <w:rsid w:val="00CF59F2"/>
    <w:rsid w:val="00CF5D49"/>
    <w:rsid w:val="00CF5E89"/>
    <w:rsid w:val="00CF5FDB"/>
    <w:rsid w:val="00CF6291"/>
    <w:rsid w:val="00CF659D"/>
    <w:rsid w:val="00CF68FD"/>
    <w:rsid w:val="00CF69B6"/>
    <w:rsid w:val="00CF6E5A"/>
    <w:rsid w:val="00CF7028"/>
    <w:rsid w:val="00CF713A"/>
    <w:rsid w:val="00CF714F"/>
    <w:rsid w:val="00CF7345"/>
    <w:rsid w:val="00CF7348"/>
    <w:rsid w:val="00CF7938"/>
    <w:rsid w:val="00CF7CD6"/>
    <w:rsid w:val="00D01204"/>
    <w:rsid w:val="00D01AAF"/>
    <w:rsid w:val="00D022C6"/>
    <w:rsid w:val="00D027AF"/>
    <w:rsid w:val="00D02DEF"/>
    <w:rsid w:val="00D02E24"/>
    <w:rsid w:val="00D031F1"/>
    <w:rsid w:val="00D0338C"/>
    <w:rsid w:val="00D03C33"/>
    <w:rsid w:val="00D03C81"/>
    <w:rsid w:val="00D03D25"/>
    <w:rsid w:val="00D03D69"/>
    <w:rsid w:val="00D0459F"/>
    <w:rsid w:val="00D049DD"/>
    <w:rsid w:val="00D04B4E"/>
    <w:rsid w:val="00D04E1D"/>
    <w:rsid w:val="00D050C6"/>
    <w:rsid w:val="00D050EF"/>
    <w:rsid w:val="00D052DF"/>
    <w:rsid w:val="00D054FC"/>
    <w:rsid w:val="00D061AE"/>
    <w:rsid w:val="00D0627B"/>
    <w:rsid w:val="00D062AD"/>
    <w:rsid w:val="00D06308"/>
    <w:rsid w:val="00D066D4"/>
    <w:rsid w:val="00D06B45"/>
    <w:rsid w:val="00D06D5A"/>
    <w:rsid w:val="00D07086"/>
    <w:rsid w:val="00D077EF"/>
    <w:rsid w:val="00D10095"/>
    <w:rsid w:val="00D1019B"/>
    <w:rsid w:val="00D10487"/>
    <w:rsid w:val="00D10494"/>
    <w:rsid w:val="00D1050B"/>
    <w:rsid w:val="00D10924"/>
    <w:rsid w:val="00D10D8B"/>
    <w:rsid w:val="00D11D62"/>
    <w:rsid w:val="00D12044"/>
    <w:rsid w:val="00D1289A"/>
    <w:rsid w:val="00D135FC"/>
    <w:rsid w:val="00D136BE"/>
    <w:rsid w:val="00D137CE"/>
    <w:rsid w:val="00D14C89"/>
    <w:rsid w:val="00D14E4D"/>
    <w:rsid w:val="00D14EE7"/>
    <w:rsid w:val="00D15245"/>
    <w:rsid w:val="00D15A88"/>
    <w:rsid w:val="00D15AF0"/>
    <w:rsid w:val="00D15B59"/>
    <w:rsid w:val="00D15C96"/>
    <w:rsid w:val="00D16042"/>
    <w:rsid w:val="00D170B8"/>
    <w:rsid w:val="00D170F0"/>
    <w:rsid w:val="00D1794A"/>
    <w:rsid w:val="00D17D67"/>
    <w:rsid w:val="00D203A4"/>
    <w:rsid w:val="00D20796"/>
    <w:rsid w:val="00D20A72"/>
    <w:rsid w:val="00D20BAD"/>
    <w:rsid w:val="00D20C8F"/>
    <w:rsid w:val="00D2109E"/>
    <w:rsid w:val="00D2115E"/>
    <w:rsid w:val="00D21410"/>
    <w:rsid w:val="00D21478"/>
    <w:rsid w:val="00D218CB"/>
    <w:rsid w:val="00D21B49"/>
    <w:rsid w:val="00D21DBC"/>
    <w:rsid w:val="00D21E31"/>
    <w:rsid w:val="00D220D5"/>
    <w:rsid w:val="00D22560"/>
    <w:rsid w:val="00D22729"/>
    <w:rsid w:val="00D22C94"/>
    <w:rsid w:val="00D22E40"/>
    <w:rsid w:val="00D232F3"/>
    <w:rsid w:val="00D2375E"/>
    <w:rsid w:val="00D23F31"/>
    <w:rsid w:val="00D2431A"/>
    <w:rsid w:val="00D24485"/>
    <w:rsid w:val="00D244A2"/>
    <w:rsid w:val="00D259A3"/>
    <w:rsid w:val="00D25D6B"/>
    <w:rsid w:val="00D25E38"/>
    <w:rsid w:val="00D25E71"/>
    <w:rsid w:val="00D2617B"/>
    <w:rsid w:val="00D26907"/>
    <w:rsid w:val="00D26AD8"/>
    <w:rsid w:val="00D27213"/>
    <w:rsid w:val="00D27624"/>
    <w:rsid w:val="00D27C00"/>
    <w:rsid w:val="00D27F0E"/>
    <w:rsid w:val="00D30277"/>
    <w:rsid w:val="00D3099E"/>
    <w:rsid w:val="00D30A74"/>
    <w:rsid w:val="00D30AD6"/>
    <w:rsid w:val="00D31110"/>
    <w:rsid w:val="00D3186F"/>
    <w:rsid w:val="00D31C2D"/>
    <w:rsid w:val="00D31E33"/>
    <w:rsid w:val="00D31F5F"/>
    <w:rsid w:val="00D3268F"/>
    <w:rsid w:val="00D32769"/>
    <w:rsid w:val="00D3289F"/>
    <w:rsid w:val="00D32A9D"/>
    <w:rsid w:val="00D32B41"/>
    <w:rsid w:val="00D33573"/>
    <w:rsid w:val="00D33628"/>
    <w:rsid w:val="00D3373A"/>
    <w:rsid w:val="00D339D0"/>
    <w:rsid w:val="00D33D3D"/>
    <w:rsid w:val="00D33D85"/>
    <w:rsid w:val="00D3402E"/>
    <w:rsid w:val="00D3410D"/>
    <w:rsid w:val="00D34320"/>
    <w:rsid w:val="00D344F6"/>
    <w:rsid w:val="00D34E49"/>
    <w:rsid w:val="00D3520D"/>
    <w:rsid w:val="00D355C1"/>
    <w:rsid w:val="00D35634"/>
    <w:rsid w:val="00D35D48"/>
    <w:rsid w:val="00D35DFB"/>
    <w:rsid w:val="00D36604"/>
    <w:rsid w:val="00D36693"/>
    <w:rsid w:val="00D36697"/>
    <w:rsid w:val="00D36876"/>
    <w:rsid w:val="00D36A22"/>
    <w:rsid w:val="00D36FED"/>
    <w:rsid w:val="00D374A4"/>
    <w:rsid w:val="00D374E6"/>
    <w:rsid w:val="00D377B4"/>
    <w:rsid w:val="00D37D80"/>
    <w:rsid w:val="00D408D2"/>
    <w:rsid w:val="00D40C84"/>
    <w:rsid w:val="00D40E6A"/>
    <w:rsid w:val="00D41E96"/>
    <w:rsid w:val="00D428A9"/>
    <w:rsid w:val="00D42C1C"/>
    <w:rsid w:val="00D42D1D"/>
    <w:rsid w:val="00D439E8"/>
    <w:rsid w:val="00D43CAD"/>
    <w:rsid w:val="00D44210"/>
    <w:rsid w:val="00D44501"/>
    <w:rsid w:val="00D4467C"/>
    <w:rsid w:val="00D44993"/>
    <w:rsid w:val="00D44AE9"/>
    <w:rsid w:val="00D4507E"/>
    <w:rsid w:val="00D452D7"/>
    <w:rsid w:val="00D45592"/>
    <w:rsid w:val="00D457B4"/>
    <w:rsid w:val="00D45867"/>
    <w:rsid w:val="00D45BA2"/>
    <w:rsid w:val="00D45C15"/>
    <w:rsid w:val="00D45ED4"/>
    <w:rsid w:val="00D45F46"/>
    <w:rsid w:val="00D46016"/>
    <w:rsid w:val="00D46033"/>
    <w:rsid w:val="00D46073"/>
    <w:rsid w:val="00D46083"/>
    <w:rsid w:val="00D467CB"/>
    <w:rsid w:val="00D46A19"/>
    <w:rsid w:val="00D470E0"/>
    <w:rsid w:val="00D47883"/>
    <w:rsid w:val="00D47B27"/>
    <w:rsid w:val="00D47BF2"/>
    <w:rsid w:val="00D47E8B"/>
    <w:rsid w:val="00D504E5"/>
    <w:rsid w:val="00D50945"/>
    <w:rsid w:val="00D509DB"/>
    <w:rsid w:val="00D50D4A"/>
    <w:rsid w:val="00D51861"/>
    <w:rsid w:val="00D518C6"/>
    <w:rsid w:val="00D524A2"/>
    <w:rsid w:val="00D529E8"/>
    <w:rsid w:val="00D534A4"/>
    <w:rsid w:val="00D535A3"/>
    <w:rsid w:val="00D5375C"/>
    <w:rsid w:val="00D5392B"/>
    <w:rsid w:val="00D53983"/>
    <w:rsid w:val="00D53EDC"/>
    <w:rsid w:val="00D54348"/>
    <w:rsid w:val="00D54F1B"/>
    <w:rsid w:val="00D55340"/>
    <w:rsid w:val="00D5534B"/>
    <w:rsid w:val="00D55851"/>
    <w:rsid w:val="00D55BE7"/>
    <w:rsid w:val="00D55D12"/>
    <w:rsid w:val="00D55E37"/>
    <w:rsid w:val="00D566C3"/>
    <w:rsid w:val="00D5676D"/>
    <w:rsid w:val="00D5680B"/>
    <w:rsid w:val="00D56A9E"/>
    <w:rsid w:val="00D5715C"/>
    <w:rsid w:val="00D571F1"/>
    <w:rsid w:val="00D57536"/>
    <w:rsid w:val="00D57DFA"/>
    <w:rsid w:val="00D60513"/>
    <w:rsid w:val="00D60AE9"/>
    <w:rsid w:val="00D60D27"/>
    <w:rsid w:val="00D610F0"/>
    <w:rsid w:val="00D613B9"/>
    <w:rsid w:val="00D614B9"/>
    <w:rsid w:val="00D61617"/>
    <w:rsid w:val="00D61631"/>
    <w:rsid w:val="00D61836"/>
    <w:rsid w:val="00D619BC"/>
    <w:rsid w:val="00D61D16"/>
    <w:rsid w:val="00D61F1B"/>
    <w:rsid w:val="00D62534"/>
    <w:rsid w:val="00D625D8"/>
    <w:rsid w:val="00D62737"/>
    <w:rsid w:val="00D6299D"/>
    <w:rsid w:val="00D636A8"/>
    <w:rsid w:val="00D6408B"/>
    <w:rsid w:val="00D648C1"/>
    <w:rsid w:val="00D64CD7"/>
    <w:rsid w:val="00D65027"/>
    <w:rsid w:val="00D65310"/>
    <w:rsid w:val="00D656B3"/>
    <w:rsid w:val="00D6576E"/>
    <w:rsid w:val="00D65835"/>
    <w:rsid w:val="00D65B2F"/>
    <w:rsid w:val="00D65DF2"/>
    <w:rsid w:val="00D65FEC"/>
    <w:rsid w:val="00D660F1"/>
    <w:rsid w:val="00D663D5"/>
    <w:rsid w:val="00D671F6"/>
    <w:rsid w:val="00D67218"/>
    <w:rsid w:val="00D6766C"/>
    <w:rsid w:val="00D67824"/>
    <w:rsid w:val="00D679C1"/>
    <w:rsid w:val="00D701DF"/>
    <w:rsid w:val="00D7069D"/>
    <w:rsid w:val="00D7098F"/>
    <w:rsid w:val="00D70C17"/>
    <w:rsid w:val="00D70D4C"/>
    <w:rsid w:val="00D710C6"/>
    <w:rsid w:val="00D718B2"/>
    <w:rsid w:val="00D71AB5"/>
    <w:rsid w:val="00D7235C"/>
    <w:rsid w:val="00D72420"/>
    <w:rsid w:val="00D728C9"/>
    <w:rsid w:val="00D73814"/>
    <w:rsid w:val="00D73891"/>
    <w:rsid w:val="00D7431A"/>
    <w:rsid w:val="00D743CA"/>
    <w:rsid w:val="00D74A1C"/>
    <w:rsid w:val="00D74A9B"/>
    <w:rsid w:val="00D74ACA"/>
    <w:rsid w:val="00D74B27"/>
    <w:rsid w:val="00D74D70"/>
    <w:rsid w:val="00D74FA3"/>
    <w:rsid w:val="00D75066"/>
    <w:rsid w:val="00D754B4"/>
    <w:rsid w:val="00D756C9"/>
    <w:rsid w:val="00D759D7"/>
    <w:rsid w:val="00D76093"/>
    <w:rsid w:val="00D760C1"/>
    <w:rsid w:val="00D761BB"/>
    <w:rsid w:val="00D76357"/>
    <w:rsid w:val="00D76733"/>
    <w:rsid w:val="00D7682C"/>
    <w:rsid w:val="00D76894"/>
    <w:rsid w:val="00D772AE"/>
    <w:rsid w:val="00D77A1D"/>
    <w:rsid w:val="00D77AD1"/>
    <w:rsid w:val="00D77D77"/>
    <w:rsid w:val="00D80293"/>
    <w:rsid w:val="00D8117E"/>
    <w:rsid w:val="00D813AC"/>
    <w:rsid w:val="00D813E6"/>
    <w:rsid w:val="00D8148D"/>
    <w:rsid w:val="00D81698"/>
    <w:rsid w:val="00D81827"/>
    <w:rsid w:val="00D81985"/>
    <w:rsid w:val="00D81D9C"/>
    <w:rsid w:val="00D81EDD"/>
    <w:rsid w:val="00D81F33"/>
    <w:rsid w:val="00D82413"/>
    <w:rsid w:val="00D82488"/>
    <w:rsid w:val="00D829D3"/>
    <w:rsid w:val="00D8384D"/>
    <w:rsid w:val="00D83A3D"/>
    <w:rsid w:val="00D83AC6"/>
    <w:rsid w:val="00D83B0B"/>
    <w:rsid w:val="00D83EC2"/>
    <w:rsid w:val="00D83FAA"/>
    <w:rsid w:val="00D840D4"/>
    <w:rsid w:val="00D840F5"/>
    <w:rsid w:val="00D847CB"/>
    <w:rsid w:val="00D84F60"/>
    <w:rsid w:val="00D857E0"/>
    <w:rsid w:val="00D85B02"/>
    <w:rsid w:val="00D85B93"/>
    <w:rsid w:val="00D85DFA"/>
    <w:rsid w:val="00D85EB0"/>
    <w:rsid w:val="00D8628B"/>
    <w:rsid w:val="00D87632"/>
    <w:rsid w:val="00D878CF"/>
    <w:rsid w:val="00D879BE"/>
    <w:rsid w:val="00D902D0"/>
    <w:rsid w:val="00D903BE"/>
    <w:rsid w:val="00D903DB"/>
    <w:rsid w:val="00D90A4E"/>
    <w:rsid w:val="00D90CF2"/>
    <w:rsid w:val="00D9107A"/>
    <w:rsid w:val="00D910DF"/>
    <w:rsid w:val="00D914E8"/>
    <w:rsid w:val="00D91D3A"/>
    <w:rsid w:val="00D92344"/>
    <w:rsid w:val="00D92D90"/>
    <w:rsid w:val="00D92FF3"/>
    <w:rsid w:val="00D9371C"/>
    <w:rsid w:val="00D93996"/>
    <w:rsid w:val="00D93A95"/>
    <w:rsid w:val="00D93B8E"/>
    <w:rsid w:val="00D941BA"/>
    <w:rsid w:val="00D94720"/>
    <w:rsid w:val="00D94AA3"/>
    <w:rsid w:val="00D94B72"/>
    <w:rsid w:val="00D95246"/>
    <w:rsid w:val="00D95314"/>
    <w:rsid w:val="00D95811"/>
    <w:rsid w:val="00D961B1"/>
    <w:rsid w:val="00D9664F"/>
    <w:rsid w:val="00D969E8"/>
    <w:rsid w:val="00D97F52"/>
    <w:rsid w:val="00DA0232"/>
    <w:rsid w:val="00DA06F4"/>
    <w:rsid w:val="00DA0D09"/>
    <w:rsid w:val="00DA1289"/>
    <w:rsid w:val="00DA19E7"/>
    <w:rsid w:val="00DA1A27"/>
    <w:rsid w:val="00DA22DC"/>
    <w:rsid w:val="00DA24F2"/>
    <w:rsid w:val="00DA2525"/>
    <w:rsid w:val="00DA2DF9"/>
    <w:rsid w:val="00DA31EB"/>
    <w:rsid w:val="00DA3A67"/>
    <w:rsid w:val="00DA3ADD"/>
    <w:rsid w:val="00DA4699"/>
    <w:rsid w:val="00DA47C2"/>
    <w:rsid w:val="00DA56BC"/>
    <w:rsid w:val="00DA5ECC"/>
    <w:rsid w:val="00DA6486"/>
    <w:rsid w:val="00DA6989"/>
    <w:rsid w:val="00DA6A4D"/>
    <w:rsid w:val="00DA6D49"/>
    <w:rsid w:val="00DA6FE7"/>
    <w:rsid w:val="00DA745B"/>
    <w:rsid w:val="00DA7C99"/>
    <w:rsid w:val="00DB0036"/>
    <w:rsid w:val="00DB0051"/>
    <w:rsid w:val="00DB0209"/>
    <w:rsid w:val="00DB0530"/>
    <w:rsid w:val="00DB0D4A"/>
    <w:rsid w:val="00DB169E"/>
    <w:rsid w:val="00DB1E74"/>
    <w:rsid w:val="00DB1FF4"/>
    <w:rsid w:val="00DB243B"/>
    <w:rsid w:val="00DB2AED"/>
    <w:rsid w:val="00DB2B77"/>
    <w:rsid w:val="00DB2C25"/>
    <w:rsid w:val="00DB2C3A"/>
    <w:rsid w:val="00DB36F2"/>
    <w:rsid w:val="00DB3BBE"/>
    <w:rsid w:val="00DB45F0"/>
    <w:rsid w:val="00DB4F5D"/>
    <w:rsid w:val="00DB502D"/>
    <w:rsid w:val="00DB589B"/>
    <w:rsid w:val="00DB5969"/>
    <w:rsid w:val="00DB5CFD"/>
    <w:rsid w:val="00DB5DC3"/>
    <w:rsid w:val="00DB61B4"/>
    <w:rsid w:val="00DB644E"/>
    <w:rsid w:val="00DB6FA0"/>
    <w:rsid w:val="00DB70DF"/>
    <w:rsid w:val="00DB7960"/>
    <w:rsid w:val="00DB7EE1"/>
    <w:rsid w:val="00DC06F2"/>
    <w:rsid w:val="00DC0D5E"/>
    <w:rsid w:val="00DC16C5"/>
    <w:rsid w:val="00DC172F"/>
    <w:rsid w:val="00DC1C29"/>
    <w:rsid w:val="00DC1CBF"/>
    <w:rsid w:val="00DC218F"/>
    <w:rsid w:val="00DC2943"/>
    <w:rsid w:val="00DC2986"/>
    <w:rsid w:val="00DC29E8"/>
    <w:rsid w:val="00DC30F7"/>
    <w:rsid w:val="00DC3C2D"/>
    <w:rsid w:val="00DC401E"/>
    <w:rsid w:val="00DC4356"/>
    <w:rsid w:val="00DC509D"/>
    <w:rsid w:val="00DC5A44"/>
    <w:rsid w:val="00DC5F20"/>
    <w:rsid w:val="00DC6247"/>
    <w:rsid w:val="00DC6834"/>
    <w:rsid w:val="00DC6AB7"/>
    <w:rsid w:val="00DC6C76"/>
    <w:rsid w:val="00DC6D3F"/>
    <w:rsid w:val="00DC7083"/>
    <w:rsid w:val="00DC7578"/>
    <w:rsid w:val="00DC7903"/>
    <w:rsid w:val="00DC7B48"/>
    <w:rsid w:val="00DD0045"/>
    <w:rsid w:val="00DD0394"/>
    <w:rsid w:val="00DD060B"/>
    <w:rsid w:val="00DD12FD"/>
    <w:rsid w:val="00DD1445"/>
    <w:rsid w:val="00DD163A"/>
    <w:rsid w:val="00DD1A53"/>
    <w:rsid w:val="00DD25A4"/>
    <w:rsid w:val="00DD2ABA"/>
    <w:rsid w:val="00DD2C2F"/>
    <w:rsid w:val="00DD2C54"/>
    <w:rsid w:val="00DD3023"/>
    <w:rsid w:val="00DD36E9"/>
    <w:rsid w:val="00DD3824"/>
    <w:rsid w:val="00DD3DC7"/>
    <w:rsid w:val="00DD3E30"/>
    <w:rsid w:val="00DD4065"/>
    <w:rsid w:val="00DD4469"/>
    <w:rsid w:val="00DD4B3D"/>
    <w:rsid w:val="00DD5577"/>
    <w:rsid w:val="00DD5C9A"/>
    <w:rsid w:val="00DD5D21"/>
    <w:rsid w:val="00DD5DE9"/>
    <w:rsid w:val="00DD5F00"/>
    <w:rsid w:val="00DD5F92"/>
    <w:rsid w:val="00DD6AC2"/>
    <w:rsid w:val="00DD73C2"/>
    <w:rsid w:val="00DD7B98"/>
    <w:rsid w:val="00DD7F66"/>
    <w:rsid w:val="00DE0085"/>
    <w:rsid w:val="00DE0601"/>
    <w:rsid w:val="00DE0D52"/>
    <w:rsid w:val="00DE131D"/>
    <w:rsid w:val="00DE1496"/>
    <w:rsid w:val="00DE2320"/>
    <w:rsid w:val="00DE23E6"/>
    <w:rsid w:val="00DE29AD"/>
    <w:rsid w:val="00DE2A30"/>
    <w:rsid w:val="00DE32EF"/>
    <w:rsid w:val="00DE334C"/>
    <w:rsid w:val="00DE3E2F"/>
    <w:rsid w:val="00DE3E3D"/>
    <w:rsid w:val="00DE495D"/>
    <w:rsid w:val="00DE4DB5"/>
    <w:rsid w:val="00DE4FD3"/>
    <w:rsid w:val="00DE55C6"/>
    <w:rsid w:val="00DE6270"/>
    <w:rsid w:val="00DE64BE"/>
    <w:rsid w:val="00DE7160"/>
    <w:rsid w:val="00DE76E0"/>
    <w:rsid w:val="00DE7D0A"/>
    <w:rsid w:val="00DF01D3"/>
    <w:rsid w:val="00DF1CE6"/>
    <w:rsid w:val="00DF21F6"/>
    <w:rsid w:val="00DF2238"/>
    <w:rsid w:val="00DF2B9B"/>
    <w:rsid w:val="00DF324D"/>
    <w:rsid w:val="00DF37C0"/>
    <w:rsid w:val="00DF39D5"/>
    <w:rsid w:val="00DF3BC6"/>
    <w:rsid w:val="00DF3C16"/>
    <w:rsid w:val="00DF3E7B"/>
    <w:rsid w:val="00DF3FCE"/>
    <w:rsid w:val="00DF4013"/>
    <w:rsid w:val="00DF40EB"/>
    <w:rsid w:val="00DF4191"/>
    <w:rsid w:val="00DF4593"/>
    <w:rsid w:val="00DF4685"/>
    <w:rsid w:val="00DF46B9"/>
    <w:rsid w:val="00DF496D"/>
    <w:rsid w:val="00DF4BC4"/>
    <w:rsid w:val="00DF4CF5"/>
    <w:rsid w:val="00DF512D"/>
    <w:rsid w:val="00DF5656"/>
    <w:rsid w:val="00DF576F"/>
    <w:rsid w:val="00DF5AA6"/>
    <w:rsid w:val="00DF5E58"/>
    <w:rsid w:val="00DF5EF4"/>
    <w:rsid w:val="00DF5F23"/>
    <w:rsid w:val="00DF6059"/>
    <w:rsid w:val="00DF68C3"/>
    <w:rsid w:val="00DF6B75"/>
    <w:rsid w:val="00DF6CDD"/>
    <w:rsid w:val="00DF701D"/>
    <w:rsid w:val="00DF70BB"/>
    <w:rsid w:val="00DF7352"/>
    <w:rsid w:val="00DF74EF"/>
    <w:rsid w:val="00DF7882"/>
    <w:rsid w:val="00DF79FC"/>
    <w:rsid w:val="00DF7DBD"/>
    <w:rsid w:val="00E0054B"/>
    <w:rsid w:val="00E008F2"/>
    <w:rsid w:val="00E00A67"/>
    <w:rsid w:val="00E00BB2"/>
    <w:rsid w:val="00E00D13"/>
    <w:rsid w:val="00E01C26"/>
    <w:rsid w:val="00E0243D"/>
    <w:rsid w:val="00E024AA"/>
    <w:rsid w:val="00E02520"/>
    <w:rsid w:val="00E0301D"/>
    <w:rsid w:val="00E0336B"/>
    <w:rsid w:val="00E03802"/>
    <w:rsid w:val="00E039EE"/>
    <w:rsid w:val="00E03CC6"/>
    <w:rsid w:val="00E03D4C"/>
    <w:rsid w:val="00E0405E"/>
    <w:rsid w:val="00E042E0"/>
    <w:rsid w:val="00E04D85"/>
    <w:rsid w:val="00E04E58"/>
    <w:rsid w:val="00E054DD"/>
    <w:rsid w:val="00E05509"/>
    <w:rsid w:val="00E05704"/>
    <w:rsid w:val="00E05814"/>
    <w:rsid w:val="00E05D81"/>
    <w:rsid w:val="00E06726"/>
    <w:rsid w:val="00E06E2F"/>
    <w:rsid w:val="00E0721F"/>
    <w:rsid w:val="00E078FF"/>
    <w:rsid w:val="00E07C0C"/>
    <w:rsid w:val="00E101D5"/>
    <w:rsid w:val="00E1063E"/>
    <w:rsid w:val="00E109FE"/>
    <w:rsid w:val="00E11193"/>
    <w:rsid w:val="00E112A4"/>
    <w:rsid w:val="00E114D9"/>
    <w:rsid w:val="00E115C7"/>
    <w:rsid w:val="00E1161D"/>
    <w:rsid w:val="00E11745"/>
    <w:rsid w:val="00E11BAB"/>
    <w:rsid w:val="00E11F0B"/>
    <w:rsid w:val="00E12954"/>
    <w:rsid w:val="00E12B8D"/>
    <w:rsid w:val="00E12CF1"/>
    <w:rsid w:val="00E12FAF"/>
    <w:rsid w:val="00E13080"/>
    <w:rsid w:val="00E13165"/>
    <w:rsid w:val="00E1343B"/>
    <w:rsid w:val="00E13B88"/>
    <w:rsid w:val="00E13E7C"/>
    <w:rsid w:val="00E13EAB"/>
    <w:rsid w:val="00E14CD1"/>
    <w:rsid w:val="00E15293"/>
    <w:rsid w:val="00E15448"/>
    <w:rsid w:val="00E15467"/>
    <w:rsid w:val="00E15584"/>
    <w:rsid w:val="00E15780"/>
    <w:rsid w:val="00E15A21"/>
    <w:rsid w:val="00E16124"/>
    <w:rsid w:val="00E17517"/>
    <w:rsid w:val="00E17B18"/>
    <w:rsid w:val="00E204B5"/>
    <w:rsid w:val="00E2075F"/>
    <w:rsid w:val="00E20866"/>
    <w:rsid w:val="00E21328"/>
    <w:rsid w:val="00E21539"/>
    <w:rsid w:val="00E21EC1"/>
    <w:rsid w:val="00E21FF3"/>
    <w:rsid w:val="00E22376"/>
    <w:rsid w:val="00E223BF"/>
    <w:rsid w:val="00E223EB"/>
    <w:rsid w:val="00E2265A"/>
    <w:rsid w:val="00E22C42"/>
    <w:rsid w:val="00E2366B"/>
    <w:rsid w:val="00E237BA"/>
    <w:rsid w:val="00E23880"/>
    <w:rsid w:val="00E23A10"/>
    <w:rsid w:val="00E23D76"/>
    <w:rsid w:val="00E23FDB"/>
    <w:rsid w:val="00E244AD"/>
    <w:rsid w:val="00E24722"/>
    <w:rsid w:val="00E24CF3"/>
    <w:rsid w:val="00E24D3B"/>
    <w:rsid w:val="00E24D94"/>
    <w:rsid w:val="00E252BD"/>
    <w:rsid w:val="00E253F1"/>
    <w:rsid w:val="00E25473"/>
    <w:rsid w:val="00E25772"/>
    <w:rsid w:val="00E25B80"/>
    <w:rsid w:val="00E25DBF"/>
    <w:rsid w:val="00E260BB"/>
    <w:rsid w:val="00E261C5"/>
    <w:rsid w:val="00E26236"/>
    <w:rsid w:val="00E269FF"/>
    <w:rsid w:val="00E26DCD"/>
    <w:rsid w:val="00E271B4"/>
    <w:rsid w:val="00E27D2A"/>
    <w:rsid w:val="00E3073D"/>
    <w:rsid w:val="00E30A66"/>
    <w:rsid w:val="00E30D17"/>
    <w:rsid w:val="00E31022"/>
    <w:rsid w:val="00E31E5C"/>
    <w:rsid w:val="00E32BFD"/>
    <w:rsid w:val="00E32CC5"/>
    <w:rsid w:val="00E32D4F"/>
    <w:rsid w:val="00E3306B"/>
    <w:rsid w:val="00E33105"/>
    <w:rsid w:val="00E3363C"/>
    <w:rsid w:val="00E337C8"/>
    <w:rsid w:val="00E33887"/>
    <w:rsid w:val="00E33CA5"/>
    <w:rsid w:val="00E342DA"/>
    <w:rsid w:val="00E3457D"/>
    <w:rsid w:val="00E3464F"/>
    <w:rsid w:val="00E34C85"/>
    <w:rsid w:val="00E34CD4"/>
    <w:rsid w:val="00E34D0E"/>
    <w:rsid w:val="00E34EF3"/>
    <w:rsid w:val="00E353A8"/>
    <w:rsid w:val="00E3575D"/>
    <w:rsid w:val="00E35897"/>
    <w:rsid w:val="00E358FA"/>
    <w:rsid w:val="00E35EBB"/>
    <w:rsid w:val="00E366C3"/>
    <w:rsid w:val="00E367C8"/>
    <w:rsid w:val="00E36948"/>
    <w:rsid w:val="00E36B50"/>
    <w:rsid w:val="00E36C8F"/>
    <w:rsid w:val="00E371A8"/>
    <w:rsid w:val="00E37571"/>
    <w:rsid w:val="00E37577"/>
    <w:rsid w:val="00E3758E"/>
    <w:rsid w:val="00E377A5"/>
    <w:rsid w:val="00E3780C"/>
    <w:rsid w:val="00E379DF"/>
    <w:rsid w:val="00E401BE"/>
    <w:rsid w:val="00E40471"/>
    <w:rsid w:val="00E40CD4"/>
    <w:rsid w:val="00E416F6"/>
    <w:rsid w:val="00E4181B"/>
    <w:rsid w:val="00E4188B"/>
    <w:rsid w:val="00E418CC"/>
    <w:rsid w:val="00E41DAC"/>
    <w:rsid w:val="00E42159"/>
    <w:rsid w:val="00E421A4"/>
    <w:rsid w:val="00E4236D"/>
    <w:rsid w:val="00E42381"/>
    <w:rsid w:val="00E4254E"/>
    <w:rsid w:val="00E4294E"/>
    <w:rsid w:val="00E42EB1"/>
    <w:rsid w:val="00E42F5F"/>
    <w:rsid w:val="00E432BF"/>
    <w:rsid w:val="00E43D23"/>
    <w:rsid w:val="00E43E9A"/>
    <w:rsid w:val="00E43EB4"/>
    <w:rsid w:val="00E44430"/>
    <w:rsid w:val="00E4488E"/>
    <w:rsid w:val="00E44C96"/>
    <w:rsid w:val="00E45886"/>
    <w:rsid w:val="00E46358"/>
    <w:rsid w:val="00E466F5"/>
    <w:rsid w:val="00E46B8D"/>
    <w:rsid w:val="00E46F89"/>
    <w:rsid w:val="00E47152"/>
    <w:rsid w:val="00E47431"/>
    <w:rsid w:val="00E47658"/>
    <w:rsid w:val="00E47B11"/>
    <w:rsid w:val="00E47EA7"/>
    <w:rsid w:val="00E50051"/>
    <w:rsid w:val="00E500A6"/>
    <w:rsid w:val="00E50578"/>
    <w:rsid w:val="00E50B08"/>
    <w:rsid w:val="00E50C95"/>
    <w:rsid w:val="00E50CD8"/>
    <w:rsid w:val="00E50E3A"/>
    <w:rsid w:val="00E50FF1"/>
    <w:rsid w:val="00E51171"/>
    <w:rsid w:val="00E5170D"/>
    <w:rsid w:val="00E517D9"/>
    <w:rsid w:val="00E51BDC"/>
    <w:rsid w:val="00E51FA3"/>
    <w:rsid w:val="00E527FD"/>
    <w:rsid w:val="00E5338F"/>
    <w:rsid w:val="00E5374A"/>
    <w:rsid w:val="00E5389F"/>
    <w:rsid w:val="00E53D77"/>
    <w:rsid w:val="00E5456E"/>
    <w:rsid w:val="00E54EB4"/>
    <w:rsid w:val="00E54F5B"/>
    <w:rsid w:val="00E54F60"/>
    <w:rsid w:val="00E552BC"/>
    <w:rsid w:val="00E55AB7"/>
    <w:rsid w:val="00E5629F"/>
    <w:rsid w:val="00E56726"/>
    <w:rsid w:val="00E56ACB"/>
    <w:rsid w:val="00E56CB2"/>
    <w:rsid w:val="00E57B48"/>
    <w:rsid w:val="00E57C5F"/>
    <w:rsid w:val="00E57ED7"/>
    <w:rsid w:val="00E57FDB"/>
    <w:rsid w:val="00E6008A"/>
    <w:rsid w:val="00E600C3"/>
    <w:rsid w:val="00E60AF9"/>
    <w:rsid w:val="00E610EC"/>
    <w:rsid w:val="00E61B99"/>
    <w:rsid w:val="00E6217A"/>
    <w:rsid w:val="00E62782"/>
    <w:rsid w:val="00E62A3E"/>
    <w:rsid w:val="00E62BA5"/>
    <w:rsid w:val="00E62EED"/>
    <w:rsid w:val="00E63493"/>
    <w:rsid w:val="00E63F29"/>
    <w:rsid w:val="00E63FAA"/>
    <w:rsid w:val="00E6401E"/>
    <w:rsid w:val="00E641F6"/>
    <w:rsid w:val="00E64530"/>
    <w:rsid w:val="00E64CDE"/>
    <w:rsid w:val="00E651A9"/>
    <w:rsid w:val="00E65F67"/>
    <w:rsid w:val="00E65F94"/>
    <w:rsid w:val="00E66279"/>
    <w:rsid w:val="00E66D30"/>
    <w:rsid w:val="00E66EAF"/>
    <w:rsid w:val="00E66F81"/>
    <w:rsid w:val="00E670EE"/>
    <w:rsid w:val="00E672CE"/>
    <w:rsid w:val="00E6747C"/>
    <w:rsid w:val="00E67598"/>
    <w:rsid w:val="00E67CAB"/>
    <w:rsid w:val="00E7019A"/>
    <w:rsid w:val="00E70829"/>
    <w:rsid w:val="00E708EF"/>
    <w:rsid w:val="00E7091F"/>
    <w:rsid w:val="00E70B16"/>
    <w:rsid w:val="00E70DA3"/>
    <w:rsid w:val="00E719DF"/>
    <w:rsid w:val="00E71A35"/>
    <w:rsid w:val="00E71BF3"/>
    <w:rsid w:val="00E71E45"/>
    <w:rsid w:val="00E723D5"/>
    <w:rsid w:val="00E725A0"/>
    <w:rsid w:val="00E72D2D"/>
    <w:rsid w:val="00E734E7"/>
    <w:rsid w:val="00E738DB"/>
    <w:rsid w:val="00E73B31"/>
    <w:rsid w:val="00E73EA8"/>
    <w:rsid w:val="00E74367"/>
    <w:rsid w:val="00E749B2"/>
    <w:rsid w:val="00E74D0E"/>
    <w:rsid w:val="00E74F1A"/>
    <w:rsid w:val="00E75749"/>
    <w:rsid w:val="00E75EB5"/>
    <w:rsid w:val="00E76870"/>
    <w:rsid w:val="00E7693D"/>
    <w:rsid w:val="00E76C76"/>
    <w:rsid w:val="00E76ED5"/>
    <w:rsid w:val="00E771D1"/>
    <w:rsid w:val="00E7739C"/>
    <w:rsid w:val="00E8029C"/>
    <w:rsid w:val="00E804D9"/>
    <w:rsid w:val="00E809A5"/>
    <w:rsid w:val="00E81209"/>
    <w:rsid w:val="00E81BBC"/>
    <w:rsid w:val="00E81D97"/>
    <w:rsid w:val="00E821C2"/>
    <w:rsid w:val="00E82380"/>
    <w:rsid w:val="00E823D6"/>
    <w:rsid w:val="00E8245C"/>
    <w:rsid w:val="00E824A5"/>
    <w:rsid w:val="00E82700"/>
    <w:rsid w:val="00E8316C"/>
    <w:rsid w:val="00E832BA"/>
    <w:rsid w:val="00E832FC"/>
    <w:rsid w:val="00E833E9"/>
    <w:rsid w:val="00E834E7"/>
    <w:rsid w:val="00E836C9"/>
    <w:rsid w:val="00E83E39"/>
    <w:rsid w:val="00E83F33"/>
    <w:rsid w:val="00E840E1"/>
    <w:rsid w:val="00E84892"/>
    <w:rsid w:val="00E85A2D"/>
    <w:rsid w:val="00E863AA"/>
    <w:rsid w:val="00E8668E"/>
    <w:rsid w:val="00E871E5"/>
    <w:rsid w:val="00E8740F"/>
    <w:rsid w:val="00E8742A"/>
    <w:rsid w:val="00E87E75"/>
    <w:rsid w:val="00E902A3"/>
    <w:rsid w:val="00E9065B"/>
    <w:rsid w:val="00E906A6"/>
    <w:rsid w:val="00E90CE2"/>
    <w:rsid w:val="00E9166D"/>
    <w:rsid w:val="00E91A45"/>
    <w:rsid w:val="00E920D5"/>
    <w:rsid w:val="00E92130"/>
    <w:rsid w:val="00E92E4F"/>
    <w:rsid w:val="00E93200"/>
    <w:rsid w:val="00E933C5"/>
    <w:rsid w:val="00E93558"/>
    <w:rsid w:val="00E937BA"/>
    <w:rsid w:val="00E93A72"/>
    <w:rsid w:val="00E94BA9"/>
    <w:rsid w:val="00E94EBC"/>
    <w:rsid w:val="00E95046"/>
    <w:rsid w:val="00E9504E"/>
    <w:rsid w:val="00E95338"/>
    <w:rsid w:val="00E958DA"/>
    <w:rsid w:val="00E95B56"/>
    <w:rsid w:val="00E95B79"/>
    <w:rsid w:val="00E95CD4"/>
    <w:rsid w:val="00E95D8B"/>
    <w:rsid w:val="00E95E34"/>
    <w:rsid w:val="00E95E47"/>
    <w:rsid w:val="00E9685C"/>
    <w:rsid w:val="00E96A16"/>
    <w:rsid w:val="00E96A3D"/>
    <w:rsid w:val="00E96AF9"/>
    <w:rsid w:val="00E96E63"/>
    <w:rsid w:val="00E9710C"/>
    <w:rsid w:val="00E97167"/>
    <w:rsid w:val="00E97172"/>
    <w:rsid w:val="00E97519"/>
    <w:rsid w:val="00E978FF"/>
    <w:rsid w:val="00E97CFB"/>
    <w:rsid w:val="00E97D46"/>
    <w:rsid w:val="00E97E9E"/>
    <w:rsid w:val="00EA008F"/>
    <w:rsid w:val="00EA009C"/>
    <w:rsid w:val="00EA044E"/>
    <w:rsid w:val="00EA0498"/>
    <w:rsid w:val="00EA06BB"/>
    <w:rsid w:val="00EA0AF4"/>
    <w:rsid w:val="00EA15F0"/>
    <w:rsid w:val="00EA1981"/>
    <w:rsid w:val="00EA2212"/>
    <w:rsid w:val="00EA26DB"/>
    <w:rsid w:val="00EA282E"/>
    <w:rsid w:val="00EA2B87"/>
    <w:rsid w:val="00EA2BED"/>
    <w:rsid w:val="00EA45F1"/>
    <w:rsid w:val="00EA45F5"/>
    <w:rsid w:val="00EA47DE"/>
    <w:rsid w:val="00EA48AA"/>
    <w:rsid w:val="00EA5231"/>
    <w:rsid w:val="00EA53EF"/>
    <w:rsid w:val="00EA5886"/>
    <w:rsid w:val="00EA6166"/>
    <w:rsid w:val="00EA645F"/>
    <w:rsid w:val="00EA6B93"/>
    <w:rsid w:val="00EA6DB3"/>
    <w:rsid w:val="00EA6EF7"/>
    <w:rsid w:val="00EA774E"/>
    <w:rsid w:val="00EA7A7C"/>
    <w:rsid w:val="00EB00E6"/>
    <w:rsid w:val="00EB023C"/>
    <w:rsid w:val="00EB05D3"/>
    <w:rsid w:val="00EB0633"/>
    <w:rsid w:val="00EB07D5"/>
    <w:rsid w:val="00EB085A"/>
    <w:rsid w:val="00EB0BF2"/>
    <w:rsid w:val="00EB1043"/>
    <w:rsid w:val="00EB1C3D"/>
    <w:rsid w:val="00EB1D71"/>
    <w:rsid w:val="00EB1F5D"/>
    <w:rsid w:val="00EB2227"/>
    <w:rsid w:val="00EB265D"/>
    <w:rsid w:val="00EB2E34"/>
    <w:rsid w:val="00EB3131"/>
    <w:rsid w:val="00EB314D"/>
    <w:rsid w:val="00EB343F"/>
    <w:rsid w:val="00EB393B"/>
    <w:rsid w:val="00EB3E70"/>
    <w:rsid w:val="00EB5301"/>
    <w:rsid w:val="00EB5D81"/>
    <w:rsid w:val="00EB6335"/>
    <w:rsid w:val="00EB6496"/>
    <w:rsid w:val="00EB65E0"/>
    <w:rsid w:val="00EB6B04"/>
    <w:rsid w:val="00EB7055"/>
    <w:rsid w:val="00EB77B0"/>
    <w:rsid w:val="00EB7A1B"/>
    <w:rsid w:val="00EB7F9F"/>
    <w:rsid w:val="00EC0083"/>
    <w:rsid w:val="00EC019F"/>
    <w:rsid w:val="00EC0504"/>
    <w:rsid w:val="00EC0927"/>
    <w:rsid w:val="00EC09F0"/>
    <w:rsid w:val="00EC0F96"/>
    <w:rsid w:val="00EC160C"/>
    <w:rsid w:val="00EC2968"/>
    <w:rsid w:val="00EC2979"/>
    <w:rsid w:val="00EC2BAC"/>
    <w:rsid w:val="00EC2C2C"/>
    <w:rsid w:val="00EC3008"/>
    <w:rsid w:val="00EC3110"/>
    <w:rsid w:val="00EC383D"/>
    <w:rsid w:val="00EC3D0D"/>
    <w:rsid w:val="00EC4740"/>
    <w:rsid w:val="00EC521C"/>
    <w:rsid w:val="00EC5363"/>
    <w:rsid w:val="00EC6699"/>
    <w:rsid w:val="00EC6889"/>
    <w:rsid w:val="00EC6A16"/>
    <w:rsid w:val="00EC6C68"/>
    <w:rsid w:val="00EC71CF"/>
    <w:rsid w:val="00EC7813"/>
    <w:rsid w:val="00EC79ED"/>
    <w:rsid w:val="00EC7EB8"/>
    <w:rsid w:val="00EC7EC5"/>
    <w:rsid w:val="00ED0578"/>
    <w:rsid w:val="00ED0DE7"/>
    <w:rsid w:val="00ED10E4"/>
    <w:rsid w:val="00ED1151"/>
    <w:rsid w:val="00ED12E4"/>
    <w:rsid w:val="00ED1710"/>
    <w:rsid w:val="00ED1CAC"/>
    <w:rsid w:val="00ED1DD0"/>
    <w:rsid w:val="00ED20C3"/>
    <w:rsid w:val="00ED216F"/>
    <w:rsid w:val="00ED2F77"/>
    <w:rsid w:val="00ED387E"/>
    <w:rsid w:val="00ED3D55"/>
    <w:rsid w:val="00ED45A9"/>
    <w:rsid w:val="00ED4CE9"/>
    <w:rsid w:val="00ED4D7F"/>
    <w:rsid w:val="00ED4FAB"/>
    <w:rsid w:val="00ED5055"/>
    <w:rsid w:val="00ED543D"/>
    <w:rsid w:val="00ED56B1"/>
    <w:rsid w:val="00ED5BED"/>
    <w:rsid w:val="00ED6151"/>
    <w:rsid w:val="00ED6E90"/>
    <w:rsid w:val="00ED7193"/>
    <w:rsid w:val="00ED742B"/>
    <w:rsid w:val="00ED785D"/>
    <w:rsid w:val="00ED7EB1"/>
    <w:rsid w:val="00ED7FC1"/>
    <w:rsid w:val="00EE0781"/>
    <w:rsid w:val="00EE0B54"/>
    <w:rsid w:val="00EE0BD7"/>
    <w:rsid w:val="00EE0CDE"/>
    <w:rsid w:val="00EE0D94"/>
    <w:rsid w:val="00EE1036"/>
    <w:rsid w:val="00EE1130"/>
    <w:rsid w:val="00EE1166"/>
    <w:rsid w:val="00EE12FC"/>
    <w:rsid w:val="00EE1370"/>
    <w:rsid w:val="00EE1853"/>
    <w:rsid w:val="00EE19F7"/>
    <w:rsid w:val="00EE1B0D"/>
    <w:rsid w:val="00EE1B54"/>
    <w:rsid w:val="00EE2195"/>
    <w:rsid w:val="00EE2354"/>
    <w:rsid w:val="00EE23CE"/>
    <w:rsid w:val="00EE242B"/>
    <w:rsid w:val="00EE270E"/>
    <w:rsid w:val="00EE2799"/>
    <w:rsid w:val="00EE392D"/>
    <w:rsid w:val="00EE3C3B"/>
    <w:rsid w:val="00EE4EB8"/>
    <w:rsid w:val="00EE548F"/>
    <w:rsid w:val="00EE5563"/>
    <w:rsid w:val="00EE5A57"/>
    <w:rsid w:val="00EE6002"/>
    <w:rsid w:val="00EE6120"/>
    <w:rsid w:val="00EE61B5"/>
    <w:rsid w:val="00EE698C"/>
    <w:rsid w:val="00EE6AC4"/>
    <w:rsid w:val="00EE6B1D"/>
    <w:rsid w:val="00EE773E"/>
    <w:rsid w:val="00EE793D"/>
    <w:rsid w:val="00EE7BDF"/>
    <w:rsid w:val="00EE7E54"/>
    <w:rsid w:val="00EE7EBD"/>
    <w:rsid w:val="00EF0170"/>
    <w:rsid w:val="00EF01D7"/>
    <w:rsid w:val="00EF035C"/>
    <w:rsid w:val="00EF0794"/>
    <w:rsid w:val="00EF115A"/>
    <w:rsid w:val="00EF120B"/>
    <w:rsid w:val="00EF1719"/>
    <w:rsid w:val="00EF1727"/>
    <w:rsid w:val="00EF2647"/>
    <w:rsid w:val="00EF2D55"/>
    <w:rsid w:val="00EF3174"/>
    <w:rsid w:val="00EF3466"/>
    <w:rsid w:val="00EF38A9"/>
    <w:rsid w:val="00EF3A8D"/>
    <w:rsid w:val="00EF4432"/>
    <w:rsid w:val="00EF4473"/>
    <w:rsid w:val="00EF472C"/>
    <w:rsid w:val="00EF4956"/>
    <w:rsid w:val="00EF4ABE"/>
    <w:rsid w:val="00EF4D29"/>
    <w:rsid w:val="00EF5826"/>
    <w:rsid w:val="00EF590B"/>
    <w:rsid w:val="00EF5CA9"/>
    <w:rsid w:val="00EF5F63"/>
    <w:rsid w:val="00EF624C"/>
    <w:rsid w:val="00EF6B59"/>
    <w:rsid w:val="00EF6F01"/>
    <w:rsid w:val="00EF6F24"/>
    <w:rsid w:val="00EF7213"/>
    <w:rsid w:val="00EF7CC5"/>
    <w:rsid w:val="00EF7E65"/>
    <w:rsid w:val="00F00C20"/>
    <w:rsid w:val="00F012A1"/>
    <w:rsid w:val="00F01922"/>
    <w:rsid w:val="00F019CA"/>
    <w:rsid w:val="00F023F8"/>
    <w:rsid w:val="00F02467"/>
    <w:rsid w:val="00F02603"/>
    <w:rsid w:val="00F027C8"/>
    <w:rsid w:val="00F02A64"/>
    <w:rsid w:val="00F02AF1"/>
    <w:rsid w:val="00F02F2B"/>
    <w:rsid w:val="00F02F3E"/>
    <w:rsid w:val="00F036BB"/>
    <w:rsid w:val="00F0387D"/>
    <w:rsid w:val="00F03B43"/>
    <w:rsid w:val="00F03BFB"/>
    <w:rsid w:val="00F03C08"/>
    <w:rsid w:val="00F04231"/>
    <w:rsid w:val="00F04338"/>
    <w:rsid w:val="00F045A7"/>
    <w:rsid w:val="00F05205"/>
    <w:rsid w:val="00F055B1"/>
    <w:rsid w:val="00F05839"/>
    <w:rsid w:val="00F05B48"/>
    <w:rsid w:val="00F05E3E"/>
    <w:rsid w:val="00F0641C"/>
    <w:rsid w:val="00F0654F"/>
    <w:rsid w:val="00F06921"/>
    <w:rsid w:val="00F06935"/>
    <w:rsid w:val="00F07569"/>
    <w:rsid w:val="00F07923"/>
    <w:rsid w:val="00F10156"/>
    <w:rsid w:val="00F102B7"/>
    <w:rsid w:val="00F1031A"/>
    <w:rsid w:val="00F10327"/>
    <w:rsid w:val="00F10483"/>
    <w:rsid w:val="00F107A0"/>
    <w:rsid w:val="00F107DD"/>
    <w:rsid w:val="00F11067"/>
    <w:rsid w:val="00F110C0"/>
    <w:rsid w:val="00F1142D"/>
    <w:rsid w:val="00F11614"/>
    <w:rsid w:val="00F12151"/>
    <w:rsid w:val="00F124D6"/>
    <w:rsid w:val="00F1266C"/>
    <w:rsid w:val="00F12E2B"/>
    <w:rsid w:val="00F12EE3"/>
    <w:rsid w:val="00F13101"/>
    <w:rsid w:val="00F131E1"/>
    <w:rsid w:val="00F1340F"/>
    <w:rsid w:val="00F13DDA"/>
    <w:rsid w:val="00F14159"/>
    <w:rsid w:val="00F14173"/>
    <w:rsid w:val="00F143E9"/>
    <w:rsid w:val="00F14605"/>
    <w:rsid w:val="00F14B84"/>
    <w:rsid w:val="00F14EAF"/>
    <w:rsid w:val="00F1591F"/>
    <w:rsid w:val="00F15957"/>
    <w:rsid w:val="00F15EB8"/>
    <w:rsid w:val="00F16190"/>
    <w:rsid w:val="00F163DC"/>
    <w:rsid w:val="00F16B1B"/>
    <w:rsid w:val="00F16BBF"/>
    <w:rsid w:val="00F170F2"/>
    <w:rsid w:val="00F1738B"/>
    <w:rsid w:val="00F1755A"/>
    <w:rsid w:val="00F17A0A"/>
    <w:rsid w:val="00F17C82"/>
    <w:rsid w:val="00F17C94"/>
    <w:rsid w:val="00F17F33"/>
    <w:rsid w:val="00F20155"/>
    <w:rsid w:val="00F20326"/>
    <w:rsid w:val="00F2090B"/>
    <w:rsid w:val="00F20931"/>
    <w:rsid w:val="00F209B5"/>
    <w:rsid w:val="00F20DBA"/>
    <w:rsid w:val="00F211A6"/>
    <w:rsid w:val="00F2177A"/>
    <w:rsid w:val="00F21929"/>
    <w:rsid w:val="00F21C15"/>
    <w:rsid w:val="00F22ABE"/>
    <w:rsid w:val="00F22AE1"/>
    <w:rsid w:val="00F232D6"/>
    <w:rsid w:val="00F23669"/>
    <w:rsid w:val="00F2404C"/>
    <w:rsid w:val="00F240D7"/>
    <w:rsid w:val="00F245B9"/>
    <w:rsid w:val="00F247A3"/>
    <w:rsid w:val="00F2507A"/>
    <w:rsid w:val="00F252F2"/>
    <w:rsid w:val="00F25A0F"/>
    <w:rsid w:val="00F2601D"/>
    <w:rsid w:val="00F26227"/>
    <w:rsid w:val="00F2646F"/>
    <w:rsid w:val="00F26EB0"/>
    <w:rsid w:val="00F26F8B"/>
    <w:rsid w:val="00F27270"/>
    <w:rsid w:val="00F27AEE"/>
    <w:rsid w:val="00F27F09"/>
    <w:rsid w:val="00F3061D"/>
    <w:rsid w:val="00F30C40"/>
    <w:rsid w:val="00F30C42"/>
    <w:rsid w:val="00F3159B"/>
    <w:rsid w:val="00F318FA"/>
    <w:rsid w:val="00F31AD4"/>
    <w:rsid w:val="00F31E75"/>
    <w:rsid w:val="00F31EA4"/>
    <w:rsid w:val="00F31EDC"/>
    <w:rsid w:val="00F323C1"/>
    <w:rsid w:val="00F32577"/>
    <w:rsid w:val="00F325B7"/>
    <w:rsid w:val="00F32D96"/>
    <w:rsid w:val="00F33179"/>
    <w:rsid w:val="00F33712"/>
    <w:rsid w:val="00F3387B"/>
    <w:rsid w:val="00F338D0"/>
    <w:rsid w:val="00F33AEF"/>
    <w:rsid w:val="00F33F30"/>
    <w:rsid w:val="00F341C3"/>
    <w:rsid w:val="00F349BC"/>
    <w:rsid w:val="00F34ACA"/>
    <w:rsid w:val="00F34BED"/>
    <w:rsid w:val="00F35341"/>
    <w:rsid w:val="00F35660"/>
    <w:rsid w:val="00F35FC0"/>
    <w:rsid w:val="00F362E6"/>
    <w:rsid w:val="00F364CE"/>
    <w:rsid w:val="00F36702"/>
    <w:rsid w:val="00F3740A"/>
    <w:rsid w:val="00F37924"/>
    <w:rsid w:val="00F37A33"/>
    <w:rsid w:val="00F37A52"/>
    <w:rsid w:val="00F37B02"/>
    <w:rsid w:val="00F37B52"/>
    <w:rsid w:val="00F37E29"/>
    <w:rsid w:val="00F37F8B"/>
    <w:rsid w:val="00F405FD"/>
    <w:rsid w:val="00F408F3"/>
    <w:rsid w:val="00F40CCD"/>
    <w:rsid w:val="00F40CFB"/>
    <w:rsid w:val="00F40FF5"/>
    <w:rsid w:val="00F4215C"/>
    <w:rsid w:val="00F424EA"/>
    <w:rsid w:val="00F42699"/>
    <w:rsid w:val="00F42A3C"/>
    <w:rsid w:val="00F42FAE"/>
    <w:rsid w:val="00F4324A"/>
    <w:rsid w:val="00F434EE"/>
    <w:rsid w:val="00F4376A"/>
    <w:rsid w:val="00F43BCA"/>
    <w:rsid w:val="00F43BE0"/>
    <w:rsid w:val="00F43C46"/>
    <w:rsid w:val="00F43F7D"/>
    <w:rsid w:val="00F447E7"/>
    <w:rsid w:val="00F44ADF"/>
    <w:rsid w:val="00F44D54"/>
    <w:rsid w:val="00F45C75"/>
    <w:rsid w:val="00F46820"/>
    <w:rsid w:val="00F47A37"/>
    <w:rsid w:val="00F47D1E"/>
    <w:rsid w:val="00F50981"/>
    <w:rsid w:val="00F50992"/>
    <w:rsid w:val="00F50B7D"/>
    <w:rsid w:val="00F50EB8"/>
    <w:rsid w:val="00F510CC"/>
    <w:rsid w:val="00F510E3"/>
    <w:rsid w:val="00F51F41"/>
    <w:rsid w:val="00F52476"/>
    <w:rsid w:val="00F5287D"/>
    <w:rsid w:val="00F53320"/>
    <w:rsid w:val="00F53501"/>
    <w:rsid w:val="00F536FA"/>
    <w:rsid w:val="00F53C0F"/>
    <w:rsid w:val="00F54995"/>
    <w:rsid w:val="00F549C3"/>
    <w:rsid w:val="00F54E60"/>
    <w:rsid w:val="00F551C7"/>
    <w:rsid w:val="00F558C8"/>
    <w:rsid w:val="00F5590A"/>
    <w:rsid w:val="00F55B06"/>
    <w:rsid w:val="00F55B92"/>
    <w:rsid w:val="00F55FB9"/>
    <w:rsid w:val="00F5601C"/>
    <w:rsid w:val="00F56285"/>
    <w:rsid w:val="00F564C6"/>
    <w:rsid w:val="00F56922"/>
    <w:rsid w:val="00F577B8"/>
    <w:rsid w:val="00F57F6D"/>
    <w:rsid w:val="00F6020D"/>
    <w:rsid w:val="00F60222"/>
    <w:rsid w:val="00F60E99"/>
    <w:rsid w:val="00F611C9"/>
    <w:rsid w:val="00F61823"/>
    <w:rsid w:val="00F61AE4"/>
    <w:rsid w:val="00F625B3"/>
    <w:rsid w:val="00F62EE6"/>
    <w:rsid w:val="00F62EEC"/>
    <w:rsid w:val="00F6395E"/>
    <w:rsid w:val="00F63BEC"/>
    <w:rsid w:val="00F6428D"/>
    <w:rsid w:val="00F64735"/>
    <w:rsid w:val="00F64AFE"/>
    <w:rsid w:val="00F64C07"/>
    <w:rsid w:val="00F64C6D"/>
    <w:rsid w:val="00F65464"/>
    <w:rsid w:val="00F6558F"/>
    <w:rsid w:val="00F65820"/>
    <w:rsid w:val="00F65D07"/>
    <w:rsid w:val="00F66234"/>
    <w:rsid w:val="00F668E2"/>
    <w:rsid w:val="00F66B5B"/>
    <w:rsid w:val="00F66C85"/>
    <w:rsid w:val="00F66D2A"/>
    <w:rsid w:val="00F672D2"/>
    <w:rsid w:val="00F6743B"/>
    <w:rsid w:val="00F678BC"/>
    <w:rsid w:val="00F67AE1"/>
    <w:rsid w:val="00F70070"/>
    <w:rsid w:val="00F706B5"/>
    <w:rsid w:val="00F708B8"/>
    <w:rsid w:val="00F70FBD"/>
    <w:rsid w:val="00F710B1"/>
    <w:rsid w:val="00F71500"/>
    <w:rsid w:val="00F71501"/>
    <w:rsid w:val="00F71647"/>
    <w:rsid w:val="00F71666"/>
    <w:rsid w:val="00F716D8"/>
    <w:rsid w:val="00F71913"/>
    <w:rsid w:val="00F71B46"/>
    <w:rsid w:val="00F7230E"/>
    <w:rsid w:val="00F7248B"/>
    <w:rsid w:val="00F72521"/>
    <w:rsid w:val="00F7275D"/>
    <w:rsid w:val="00F72FB7"/>
    <w:rsid w:val="00F73576"/>
    <w:rsid w:val="00F7359D"/>
    <w:rsid w:val="00F7392E"/>
    <w:rsid w:val="00F73973"/>
    <w:rsid w:val="00F73B84"/>
    <w:rsid w:val="00F73E3F"/>
    <w:rsid w:val="00F74051"/>
    <w:rsid w:val="00F742E5"/>
    <w:rsid w:val="00F7479E"/>
    <w:rsid w:val="00F748BB"/>
    <w:rsid w:val="00F74D15"/>
    <w:rsid w:val="00F74DB0"/>
    <w:rsid w:val="00F75384"/>
    <w:rsid w:val="00F76570"/>
    <w:rsid w:val="00F765A3"/>
    <w:rsid w:val="00F76F53"/>
    <w:rsid w:val="00F771ED"/>
    <w:rsid w:val="00F77C46"/>
    <w:rsid w:val="00F77E5C"/>
    <w:rsid w:val="00F80341"/>
    <w:rsid w:val="00F80814"/>
    <w:rsid w:val="00F80B7A"/>
    <w:rsid w:val="00F80BDD"/>
    <w:rsid w:val="00F80EE0"/>
    <w:rsid w:val="00F81A72"/>
    <w:rsid w:val="00F81E34"/>
    <w:rsid w:val="00F81FB5"/>
    <w:rsid w:val="00F8205B"/>
    <w:rsid w:val="00F82174"/>
    <w:rsid w:val="00F82218"/>
    <w:rsid w:val="00F82332"/>
    <w:rsid w:val="00F82461"/>
    <w:rsid w:val="00F82D8A"/>
    <w:rsid w:val="00F82F0E"/>
    <w:rsid w:val="00F831C2"/>
    <w:rsid w:val="00F83C8B"/>
    <w:rsid w:val="00F845C5"/>
    <w:rsid w:val="00F84724"/>
    <w:rsid w:val="00F8478C"/>
    <w:rsid w:val="00F8485E"/>
    <w:rsid w:val="00F84A98"/>
    <w:rsid w:val="00F85278"/>
    <w:rsid w:val="00F85386"/>
    <w:rsid w:val="00F85665"/>
    <w:rsid w:val="00F85758"/>
    <w:rsid w:val="00F859F1"/>
    <w:rsid w:val="00F85DFE"/>
    <w:rsid w:val="00F85ECC"/>
    <w:rsid w:val="00F869A2"/>
    <w:rsid w:val="00F86C4A"/>
    <w:rsid w:val="00F87032"/>
    <w:rsid w:val="00F87B5F"/>
    <w:rsid w:val="00F905E8"/>
    <w:rsid w:val="00F905F5"/>
    <w:rsid w:val="00F9072A"/>
    <w:rsid w:val="00F909E2"/>
    <w:rsid w:val="00F90B52"/>
    <w:rsid w:val="00F90EC4"/>
    <w:rsid w:val="00F910B7"/>
    <w:rsid w:val="00F91295"/>
    <w:rsid w:val="00F912A7"/>
    <w:rsid w:val="00F91474"/>
    <w:rsid w:val="00F91DAC"/>
    <w:rsid w:val="00F91DED"/>
    <w:rsid w:val="00F920A9"/>
    <w:rsid w:val="00F9239D"/>
    <w:rsid w:val="00F925CE"/>
    <w:rsid w:val="00F931EE"/>
    <w:rsid w:val="00F93657"/>
    <w:rsid w:val="00F9370D"/>
    <w:rsid w:val="00F942D5"/>
    <w:rsid w:val="00F94667"/>
    <w:rsid w:val="00F9478B"/>
    <w:rsid w:val="00F94863"/>
    <w:rsid w:val="00F95134"/>
    <w:rsid w:val="00F952F4"/>
    <w:rsid w:val="00F9557F"/>
    <w:rsid w:val="00F95A10"/>
    <w:rsid w:val="00F96350"/>
    <w:rsid w:val="00F964B6"/>
    <w:rsid w:val="00F96523"/>
    <w:rsid w:val="00F965BC"/>
    <w:rsid w:val="00F965D8"/>
    <w:rsid w:val="00F96730"/>
    <w:rsid w:val="00F968F8"/>
    <w:rsid w:val="00F96AB0"/>
    <w:rsid w:val="00F96B07"/>
    <w:rsid w:val="00F96C37"/>
    <w:rsid w:val="00F96DA1"/>
    <w:rsid w:val="00F972B8"/>
    <w:rsid w:val="00F9748A"/>
    <w:rsid w:val="00F97516"/>
    <w:rsid w:val="00F976C8"/>
    <w:rsid w:val="00F977DC"/>
    <w:rsid w:val="00F979E6"/>
    <w:rsid w:val="00FA026A"/>
    <w:rsid w:val="00FA0363"/>
    <w:rsid w:val="00FA05B2"/>
    <w:rsid w:val="00FA05FB"/>
    <w:rsid w:val="00FA07D2"/>
    <w:rsid w:val="00FA09F7"/>
    <w:rsid w:val="00FA0CAE"/>
    <w:rsid w:val="00FA0CB3"/>
    <w:rsid w:val="00FA1056"/>
    <w:rsid w:val="00FA1441"/>
    <w:rsid w:val="00FA15A7"/>
    <w:rsid w:val="00FA1657"/>
    <w:rsid w:val="00FA16D1"/>
    <w:rsid w:val="00FA17F8"/>
    <w:rsid w:val="00FA19BF"/>
    <w:rsid w:val="00FA1C6D"/>
    <w:rsid w:val="00FA1D70"/>
    <w:rsid w:val="00FA1DC3"/>
    <w:rsid w:val="00FA24C3"/>
    <w:rsid w:val="00FA269B"/>
    <w:rsid w:val="00FA292A"/>
    <w:rsid w:val="00FA29E4"/>
    <w:rsid w:val="00FA2A77"/>
    <w:rsid w:val="00FA2E38"/>
    <w:rsid w:val="00FA31DA"/>
    <w:rsid w:val="00FA348E"/>
    <w:rsid w:val="00FA3FFF"/>
    <w:rsid w:val="00FA4774"/>
    <w:rsid w:val="00FA4965"/>
    <w:rsid w:val="00FA4CAA"/>
    <w:rsid w:val="00FA5298"/>
    <w:rsid w:val="00FA5DFA"/>
    <w:rsid w:val="00FA5E38"/>
    <w:rsid w:val="00FA6A56"/>
    <w:rsid w:val="00FA7125"/>
    <w:rsid w:val="00FA71FC"/>
    <w:rsid w:val="00FA78E9"/>
    <w:rsid w:val="00FA79B1"/>
    <w:rsid w:val="00FA7A0C"/>
    <w:rsid w:val="00FA7DBB"/>
    <w:rsid w:val="00FB0069"/>
    <w:rsid w:val="00FB01D1"/>
    <w:rsid w:val="00FB04E0"/>
    <w:rsid w:val="00FB0746"/>
    <w:rsid w:val="00FB079A"/>
    <w:rsid w:val="00FB083B"/>
    <w:rsid w:val="00FB0B84"/>
    <w:rsid w:val="00FB0C92"/>
    <w:rsid w:val="00FB0D72"/>
    <w:rsid w:val="00FB0D9A"/>
    <w:rsid w:val="00FB139E"/>
    <w:rsid w:val="00FB1593"/>
    <w:rsid w:val="00FB16BF"/>
    <w:rsid w:val="00FB178E"/>
    <w:rsid w:val="00FB1E2D"/>
    <w:rsid w:val="00FB2613"/>
    <w:rsid w:val="00FB27DF"/>
    <w:rsid w:val="00FB29A3"/>
    <w:rsid w:val="00FB2B97"/>
    <w:rsid w:val="00FB34EB"/>
    <w:rsid w:val="00FB3608"/>
    <w:rsid w:val="00FB3D74"/>
    <w:rsid w:val="00FB3D81"/>
    <w:rsid w:val="00FB41F7"/>
    <w:rsid w:val="00FB4299"/>
    <w:rsid w:val="00FB4A28"/>
    <w:rsid w:val="00FB50B2"/>
    <w:rsid w:val="00FB5B1A"/>
    <w:rsid w:val="00FB60E0"/>
    <w:rsid w:val="00FB61B7"/>
    <w:rsid w:val="00FB643C"/>
    <w:rsid w:val="00FB67A8"/>
    <w:rsid w:val="00FB6FCA"/>
    <w:rsid w:val="00FB72E9"/>
    <w:rsid w:val="00FB7DDB"/>
    <w:rsid w:val="00FC011B"/>
    <w:rsid w:val="00FC0326"/>
    <w:rsid w:val="00FC06C1"/>
    <w:rsid w:val="00FC0A1C"/>
    <w:rsid w:val="00FC0ACC"/>
    <w:rsid w:val="00FC0E2F"/>
    <w:rsid w:val="00FC0F45"/>
    <w:rsid w:val="00FC1348"/>
    <w:rsid w:val="00FC152C"/>
    <w:rsid w:val="00FC189B"/>
    <w:rsid w:val="00FC1D41"/>
    <w:rsid w:val="00FC1E5F"/>
    <w:rsid w:val="00FC283E"/>
    <w:rsid w:val="00FC2DBA"/>
    <w:rsid w:val="00FC32C2"/>
    <w:rsid w:val="00FC3315"/>
    <w:rsid w:val="00FC36D0"/>
    <w:rsid w:val="00FC3911"/>
    <w:rsid w:val="00FC39A9"/>
    <w:rsid w:val="00FC4492"/>
    <w:rsid w:val="00FC4AF7"/>
    <w:rsid w:val="00FC4CF5"/>
    <w:rsid w:val="00FC4D91"/>
    <w:rsid w:val="00FC50AA"/>
    <w:rsid w:val="00FC55E6"/>
    <w:rsid w:val="00FC5945"/>
    <w:rsid w:val="00FC5A00"/>
    <w:rsid w:val="00FC5E6D"/>
    <w:rsid w:val="00FC64AB"/>
    <w:rsid w:val="00FC65DB"/>
    <w:rsid w:val="00FC6652"/>
    <w:rsid w:val="00FC67B1"/>
    <w:rsid w:val="00FC690C"/>
    <w:rsid w:val="00FC6BE9"/>
    <w:rsid w:val="00FC7E62"/>
    <w:rsid w:val="00FD0249"/>
    <w:rsid w:val="00FD13A5"/>
    <w:rsid w:val="00FD1411"/>
    <w:rsid w:val="00FD1479"/>
    <w:rsid w:val="00FD157D"/>
    <w:rsid w:val="00FD16A7"/>
    <w:rsid w:val="00FD1996"/>
    <w:rsid w:val="00FD1A41"/>
    <w:rsid w:val="00FD220F"/>
    <w:rsid w:val="00FD3232"/>
    <w:rsid w:val="00FD39BE"/>
    <w:rsid w:val="00FD3A1A"/>
    <w:rsid w:val="00FD3A58"/>
    <w:rsid w:val="00FD3CAC"/>
    <w:rsid w:val="00FD3D70"/>
    <w:rsid w:val="00FD3E3E"/>
    <w:rsid w:val="00FD40C3"/>
    <w:rsid w:val="00FD484D"/>
    <w:rsid w:val="00FD4890"/>
    <w:rsid w:val="00FD4D5B"/>
    <w:rsid w:val="00FD4E34"/>
    <w:rsid w:val="00FD5BE1"/>
    <w:rsid w:val="00FD5C24"/>
    <w:rsid w:val="00FD5D54"/>
    <w:rsid w:val="00FD5F56"/>
    <w:rsid w:val="00FD615A"/>
    <w:rsid w:val="00FD6427"/>
    <w:rsid w:val="00FD6429"/>
    <w:rsid w:val="00FD6778"/>
    <w:rsid w:val="00FD6A8E"/>
    <w:rsid w:val="00FD6EDD"/>
    <w:rsid w:val="00FD7253"/>
    <w:rsid w:val="00FD7551"/>
    <w:rsid w:val="00FD7C2D"/>
    <w:rsid w:val="00FE0124"/>
    <w:rsid w:val="00FE0257"/>
    <w:rsid w:val="00FE0571"/>
    <w:rsid w:val="00FE0A3D"/>
    <w:rsid w:val="00FE0A5C"/>
    <w:rsid w:val="00FE16EB"/>
    <w:rsid w:val="00FE1DAC"/>
    <w:rsid w:val="00FE1FCE"/>
    <w:rsid w:val="00FE2533"/>
    <w:rsid w:val="00FE26CE"/>
    <w:rsid w:val="00FE3C74"/>
    <w:rsid w:val="00FE4486"/>
    <w:rsid w:val="00FE4514"/>
    <w:rsid w:val="00FE4515"/>
    <w:rsid w:val="00FE472F"/>
    <w:rsid w:val="00FE4A05"/>
    <w:rsid w:val="00FE4A79"/>
    <w:rsid w:val="00FE5129"/>
    <w:rsid w:val="00FE5197"/>
    <w:rsid w:val="00FE533F"/>
    <w:rsid w:val="00FE54DD"/>
    <w:rsid w:val="00FE56C6"/>
    <w:rsid w:val="00FE57B2"/>
    <w:rsid w:val="00FE58B8"/>
    <w:rsid w:val="00FE5D65"/>
    <w:rsid w:val="00FE6D08"/>
    <w:rsid w:val="00FE6D7F"/>
    <w:rsid w:val="00FE6D9C"/>
    <w:rsid w:val="00FE7262"/>
    <w:rsid w:val="00FE7934"/>
    <w:rsid w:val="00FE7A1A"/>
    <w:rsid w:val="00FE7CF2"/>
    <w:rsid w:val="00FE7EFF"/>
    <w:rsid w:val="00FF0954"/>
    <w:rsid w:val="00FF0C88"/>
    <w:rsid w:val="00FF0E2A"/>
    <w:rsid w:val="00FF10A8"/>
    <w:rsid w:val="00FF11AC"/>
    <w:rsid w:val="00FF11E1"/>
    <w:rsid w:val="00FF1A65"/>
    <w:rsid w:val="00FF1D86"/>
    <w:rsid w:val="00FF1DF9"/>
    <w:rsid w:val="00FF21A4"/>
    <w:rsid w:val="00FF23B8"/>
    <w:rsid w:val="00FF245D"/>
    <w:rsid w:val="00FF2493"/>
    <w:rsid w:val="00FF2924"/>
    <w:rsid w:val="00FF3007"/>
    <w:rsid w:val="00FF3321"/>
    <w:rsid w:val="00FF3EB2"/>
    <w:rsid w:val="00FF47D2"/>
    <w:rsid w:val="00FF4D9B"/>
    <w:rsid w:val="00FF554D"/>
    <w:rsid w:val="00FF58BE"/>
    <w:rsid w:val="00FF61D0"/>
    <w:rsid w:val="00FF6F6B"/>
    <w:rsid w:val="00FF7812"/>
    <w:rsid w:val="00FF7B74"/>
    <w:rsid w:val="00FF7F68"/>
    <w:rsid w:val="00FF7F8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0EC0"/>
  <w15:chartTrackingRefBased/>
  <w15:docId w15:val="{69639492-BAB4-44A8-B10E-B003C75F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20D"/>
    <w:rPr>
      <w:rFonts w:ascii="Times New Roman" w:eastAsiaTheme="minorHAnsi" w:hAnsi="Times New Roman" w:cs="Calibri"/>
      <w:sz w:val="24"/>
      <w:szCs w:val="22"/>
      <w:lang w:val="en-US" w:eastAsia="en-US"/>
    </w:rPr>
  </w:style>
  <w:style w:type="paragraph" w:styleId="Heading2">
    <w:name w:val="heading 2"/>
    <w:basedOn w:val="Normal"/>
    <w:next w:val="Normal"/>
    <w:link w:val="Heading2Char"/>
    <w:uiPriority w:val="9"/>
    <w:unhideWhenUsed/>
    <w:qFormat/>
    <w:rsid w:val="00BD116E"/>
    <w:pPr>
      <w:spacing w:before="200" w:line="276" w:lineRule="auto"/>
      <w:outlineLvl w:val="1"/>
    </w:pPr>
    <w:rPr>
      <w:rFonts w:ascii="Calibri Light" w:hAnsi="Calibri Light"/>
      <w:b/>
      <w:bCs/>
      <w:sz w:val="26"/>
      <w:szCs w:val="26"/>
      <w:lang w:bidi="en-US"/>
    </w:rPr>
  </w:style>
  <w:style w:type="character" w:default="1" w:styleId="DefaultParagraphFont">
    <w:name w:val="Default Paragraph Font"/>
    <w:uiPriority w:val="1"/>
    <w:semiHidden/>
    <w:unhideWhenUsed/>
    <w:rsid w:val="00D352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520D"/>
  </w:style>
  <w:style w:type="character" w:customStyle="1" w:styleId="Heading2Char">
    <w:name w:val="Heading 2 Char"/>
    <w:link w:val="Heading2"/>
    <w:uiPriority w:val="9"/>
    <w:rsid w:val="00BD116E"/>
    <w:rPr>
      <w:rFonts w:ascii="Calibri Light" w:eastAsia="Times New Roman" w:hAnsi="Calibri Light" w:cs="Times New Roman"/>
      <w:b/>
      <w:bCs/>
      <w:sz w:val="26"/>
      <w:szCs w:val="26"/>
      <w:lang w:bidi="en-US"/>
    </w:rPr>
  </w:style>
  <w:style w:type="character" w:styleId="Hyperlink">
    <w:name w:val="Hyperlink"/>
    <w:uiPriority w:val="99"/>
    <w:unhideWhenUsed/>
    <w:rsid w:val="009A106B"/>
    <w:rPr>
      <w:color w:val="0563C1"/>
      <w:u w:val="single"/>
    </w:rPr>
  </w:style>
  <w:style w:type="paragraph" w:styleId="FootnoteText">
    <w:name w:val="footnote text"/>
    <w:aliases w:val="ft,single space,footnote text,Fußnote,FOOTNOTES,fn,Footnote Text Char Char,Footnote Text Char1 Char Char,Footnote Text Char1 Char Char Char Char,Footnote Text Char Char Char Char Char Char,Char2,Footnote Text Quote,AD,Footnote,FN,ADB"/>
    <w:basedOn w:val="Normal"/>
    <w:link w:val="FootnoteTextChar"/>
    <w:uiPriority w:val="99"/>
    <w:unhideWhenUsed/>
    <w:rsid w:val="009F266C"/>
    <w:rPr>
      <w:sz w:val="20"/>
      <w:szCs w:val="20"/>
    </w:rPr>
  </w:style>
  <w:style w:type="character" w:customStyle="1" w:styleId="FootnoteTextChar">
    <w:name w:val="Footnote Text Char"/>
    <w:aliases w:val="ft Char,single space Char,footnote text Char,Fußnote Char,FOOTNOTES Char,fn Char,Footnote Text Char Char Char,Footnote Text Char1 Char Char Char,Footnote Text Char1 Char Char Char Char Char,Char2 Char,Footnote Text Quote Char,AD Char"/>
    <w:link w:val="FootnoteText"/>
    <w:uiPriority w:val="99"/>
    <w:rsid w:val="009F266C"/>
    <w:rPr>
      <w:sz w:val="20"/>
      <w:szCs w:val="20"/>
    </w:rPr>
  </w:style>
  <w:style w:type="character" w:styleId="FootnoteReference">
    <w:name w:val="footnote reference"/>
    <w:aliases w:val="ftref,ftref Char,Carattere Char Carattere Carattere Char Carattere Char Carattere Char Char Char Char Char Char,Footnote Reference Char Char Char Char Char Char Char Char Char Char Char Char Char Char Char Char Char Char,BVI fnr,Ref"/>
    <w:link w:val="CarattereCharCarattereCarattereCharCarattereCharCarattereCharCharCharCharChar"/>
    <w:uiPriority w:val="99"/>
    <w:unhideWhenUsed/>
    <w:rsid w:val="009F266C"/>
    <w:rPr>
      <w:vertAlign w:val="superscript"/>
    </w:rPr>
  </w:style>
  <w:style w:type="character" w:customStyle="1" w:styleId="apple-converted-space">
    <w:name w:val="apple-converted-space"/>
    <w:basedOn w:val="DefaultParagraphFont"/>
    <w:rsid w:val="005A0A78"/>
  </w:style>
  <w:style w:type="character" w:styleId="PlaceholderText">
    <w:name w:val="Placeholder Text"/>
    <w:uiPriority w:val="99"/>
    <w:semiHidden/>
    <w:rsid w:val="007701DE"/>
    <w:rPr>
      <w:color w:val="808080"/>
    </w:rPr>
  </w:style>
  <w:style w:type="paragraph" w:styleId="BalloonText">
    <w:name w:val="Balloon Text"/>
    <w:basedOn w:val="Normal"/>
    <w:link w:val="BalloonTextChar"/>
    <w:uiPriority w:val="99"/>
    <w:semiHidden/>
    <w:unhideWhenUsed/>
    <w:rsid w:val="003B1DD2"/>
    <w:rPr>
      <w:rFonts w:ascii="Segoe UI" w:hAnsi="Segoe UI" w:cs="Segoe UI"/>
      <w:sz w:val="18"/>
      <w:szCs w:val="18"/>
    </w:rPr>
  </w:style>
  <w:style w:type="character" w:customStyle="1" w:styleId="BalloonTextChar">
    <w:name w:val="Balloon Text Char"/>
    <w:link w:val="BalloonText"/>
    <w:uiPriority w:val="99"/>
    <w:semiHidden/>
    <w:rsid w:val="003B1DD2"/>
    <w:rPr>
      <w:rFonts w:ascii="Segoe UI" w:hAnsi="Segoe UI" w:cs="Segoe UI"/>
      <w:sz w:val="18"/>
      <w:szCs w:val="18"/>
    </w:rPr>
  </w:style>
  <w:style w:type="paragraph" w:styleId="ListParagraph">
    <w:name w:val="List Paragraph"/>
    <w:aliases w:val="Recommendation,List Paragraph11,Bulleted List Paragraph,Bullets,Normal 2,List Paragraph (numbered (a)),References,Source,Main numbered paragraph,List Paragraph1,List_Paragraph,Multilevel para_II,Citation List,Resume Title,Report Para"/>
    <w:basedOn w:val="Normal"/>
    <w:link w:val="ListParagraphChar"/>
    <w:uiPriority w:val="1"/>
    <w:qFormat/>
    <w:rsid w:val="00F36702"/>
    <w:pPr>
      <w:spacing w:after="120"/>
      <w:ind w:left="720"/>
      <w:contextualSpacing/>
      <w:jc w:val="both"/>
    </w:pPr>
    <w:rPr>
      <w:rFonts w:ascii="Calibri" w:eastAsia="Calibri" w:hAnsi="Calibri"/>
    </w:rPr>
  </w:style>
  <w:style w:type="character" w:customStyle="1" w:styleId="ListParagraphChar">
    <w:name w:val="List Paragraph Char"/>
    <w:aliases w:val="Recommendation Char,List Paragraph11 Char,Bulleted List Paragraph Char,Bullets Char,Normal 2 Char,List Paragraph (numbered (a)) Char,References Char,Source Char,Main numbered paragraph Char,List Paragraph1 Char,List_Paragraph Char"/>
    <w:link w:val="ListParagraph"/>
    <w:uiPriority w:val="1"/>
    <w:qFormat/>
    <w:locked/>
    <w:rsid w:val="00F36702"/>
    <w:rPr>
      <w:sz w:val="22"/>
      <w:szCs w:val="22"/>
      <w:lang w:val="en-US"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next w:val="FootnoteText"/>
    <w:link w:val="FootnoteReference"/>
    <w:uiPriority w:val="99"/>
    <w:rsid w:val="008C5405"/>
    <w:pPr>
      <w:spacing w:before="120" w:line="240" w:lineRule="exact"/>
      <w:ind w:left="-360"/>
      <w:jc w:val="both"/>
    </w:pPr>
    <w:rPr>
      <w:rFonts w:ascii="Calibri" w:eastAsia="Calibri" w:hAnsi="Calibri"/>
      <w:sz w:val="20"/>
      <w:szCs w:val="20"/>
      <w:vertAlign w:val="superscript"/>
    </w:rPr>
  </w:style>
  <w:style w:type="character" w:customStyle="1" w:styleId="a">
    <w:name w:val="_"/>
    <w:rsid w:val="00251BDE"/>
  </w:style>
  <w:style w:type="paragraph" w:customStyle="1" w:styleId="EndNoteBibliography">
    <w:name w:val="EndNote Bibliography"/>
    <w:basedOn w:val="Normal"/>
    <w:link w:val="EndNoteBibliographyChar"/>
    <w:rsid w:val="009065FD"/>
    <w:pPr>
      <w:spacing w:after="200"/>
    </w:pPr>
    <w:rPr>
      <w:rFonts w:ascii="Calibri" w:eastAsia="Calibri" w:hAnsi="Calibri"/>
      <w:noProof/>
    </w:rPr>
  </w:style>
  <w:style w:type="character" w:customStyle="1" w:styleId="EndNoteBibliographyChar">
    <w:name w:val="EndNote Bibliography Char"/>
    <w:link w:val="EndNoteBibliography"/>
    <w:rsid w:val="009065FD"/>
    <w:rPr>
      <w:rFonts w:cs="Calibri"/>
      <w:noProof/>
      <w:sz w:val="22"/>
      <w:szCs w:val="22"/>
      <w:lang w:val="en-US" w:eastAsia="en-US"/>
    </w:rPr>
  </w:style>
  <w:style w:type="character" w:styleId="CommentReference">
    <w:name w:val="annotation reference"/>
    <w:uiPriority w:val="99"/>
    <w:semiHidden/>
    <w:unhideWhenUsed/>
    <w:rsid w:val="000E1BD7"/>
    <w:rPr>
      <w:sz w:val="16"/>
      <w:szCs w:val="16"/>
    </w:rPr>
  </w:style>
  <w:style w:type="paragraph" w:styleId="CommentText">
    <w:name w:val="annotation text"/>
    <w:basedOn w:val="Normal"/>
    <w:link w:val="CommentTextChar"/>
    <w:uiPriority w:val="99"/>
    <w:semiHidden/>
    <w:unhideWhenUsed/>
    <w:rsid w:val="000E1BD7"/>
    <w:rPr>
      <w:sz w:val="20"/>
      <w:szCs w:val="20"/>
    </w:rPr>
  </w:style>
  <w:style w:type="character" w:customStyle="1" w:styleId="CommentTextChar">
    <w:name w:val="Comment Text Char"/>
    <w:link w:val="CommentText"/>
    <w:uiPriority w:val="99"/>
    <w:semiHidden/>
    <w:rsid w:val="000E1BD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E1BD7"/>
    <w:rPr>
      <w:b/>
      <w:bCs/>
    </w:rPr>
  </w:style>
  <w:style w:type="character" w:customStyle="1" w:styleId="CommentSubjectChar">
    <w:name w:val="Comment Subject Char"/>
    <w:link w:val="CommentSubject"/>
    <w:uiPriority w:val="99"/>
    <w:semiHidden/>
    <w:rsid w:val="000E1BD7"/>
    <w:rPr>
      <w:rFonts w:ascii="Times New Roman" w:eastAsia="Times New Roman" w:hAnsi="Times New Roman"/>
      <w:b/>
      <w:bCs/>
    </w:rPr>
  </w:style>
  <w:style w:type="paragraph" w:customStyle="1" w:styleId="Default">
    <w:name w:val="Default"/>
    <w:rsid w:val="0075365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748BB"/>
    <w:pPr>
      <w:tabs>
        <w:tab w:val="center" w:pos="4513"/>
        <w:tab w:val="right" w:pos="9026"/>
      </w:tabs>
    </w:pPr>
  </w:style>
  <w:style w:type="character" w:customStyle="1" w:styleId="HeaderChar">
    <w:name w:val="Header Char"/>
    <w:basedOn w:val="DefaultParagraphFont"/>
    <w:link w:val="Header"/>
    <w:uiPriority w:val="99"/>
    <w:rsid w:val="00F748B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F748BB"/>
    <w:pPr>
      <w:tabs>
        <w:tab w:val="center" w:pos="4513"/>
        <w:tab w:val="right" w:pos="9026"/>
      </w:tabs>
    </w:pPr>
  </w:style>
  <w:style w:type="character" w:customStyle="1" w:styleId="FooterChar">
    <w:name w:val="Footer Char"/>
    <w:basedOn w:val="DefaultParagraphFont"/>
    <w:link w:val="Footer"/>
    <w:uiPriority w:val="99"/>
    <w:rsid w:val="00F748BB"/>
    <w:rPr>
      <w:rFonts w:asciiTheme="minorHAnsi" w:eastAsiaTheme="minorHAnsi" w:hAnsiTheme="minorHAnsi" w:cstheme="minorBidi"/>
      <w:sz w:val="22"/>
      <w:szCs w:val="22"/>
      <w:lang w:eastAsia="en-US"/>
    </w:rPr>
  </w:style>
  <w:style w:type="table" w:styleId="TableGrid">
    <w:name w:val="Table Grid"/>
    <w:basedOn w:val="TableNormal"/>
    <w:uiPriority w:val="39"/>
    <w:rsid w:val="00C31DBF"/>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4A87"/>
    <w:rPr>
      <w:color w:val="954F72" w:themeColor="followedHyperlink"/>
      <w:u w:val="single"/>
    </w:rPr>
  </w:style>
  <w:style w:type="character" w:styleId="PageNumber">
    <w:name w:val="page number"/>
    <w:basedOn w:val="DefaultParagraphFont"/>
    <w:uiPriority w:val="99"/>
    <w:semiHidden/>
    <w:unhideWhenUsed/>
    <w:rsid w:val="006342C4"/>
  </w:style>
  <w:style w:type="paragraph" w:styleId="Title">
    <w:name w:val="Title"/>
    <w:basedOn w:val="Normal"/>
    <w:next w:val="Normal"/>
    <w:link w:val="TitleChar"/>
    <w:qFormat/>
    <w:rsid w:val="00051E44"/>
    <w:pPr>
      <w:pBdr>
        <w:bottom w:val="single" w:sz="4" w:space="1" w:color="auto"/>
      </w:pBdr>
      <w:contextualSpacing/>
    </w:pPr>
    <w:rPr>
      <w:rFonts w:asciiTheme="majorHAnsi" w:eastAsiaTheme="majorEastAsia" w:hAnsiTheme="majorHAnsi" w:cstheme="majorBidi"/>
      <w:spacing w:val="5"/>
      <w:sz w:val="52"/>
      <w:szCs w:val="52"/>
      <w:lang w:eastAsia="ko-KR"/>
    </w:rPr>
  </w:style>
  <w:style w:type="character" w:customStyle="1" w:styleId="TitleChar">
    <w:name w:val="Title Char"/>
    <w:basedOn w:val="DefaultParagraphFont"/>
    <w:link w:val="Title"/>
    <w:rsid w:val="00051E44"/>
    <w:rPr>
      <w:rFonts w:asciiTheme="majorHAnsi" w:eastAsiaTheme="majorEastAsia" w:hAnsiTheme="majorHAnsi" w:cstheme="majorBidi"/>
      <w:spacing w:val="5"/>
      <w:sz w:val="52"/>
      <w:szCs w:val="52"/>
      <w:lang w:val="en-US" w:eastAsia="ko-KR"/>
    </w:rPr>
  </w:style>
  <w:style w:type="paragraph" w:customStyle="1" w:styleId="CM1">
    <w:name w:val="CM1"/>
    <w:basedOn w:val="Default"/>
    <w:next w:val="Default"/>
    <w:rsid w:val="00051E44"/>
    <w:pPr>
      <w:widowControl w:val="0"/>
      <w:spacing w:line="323" w:lineRule="atLeast"/>
    </w:pPr>
    <w:rPr>
      <w:rFonts w:eastAsia="Times New Roman"/>
      <w:color w:val="auto"/>
      <w:lang w:val="en-US" w:eastAsia="en-US"/>
    </w:rPr>
  </w:style>
  <w:style w:type="paragraph" w:customStyle="1" w:styleId="CM3">
    <w:name w:val="CM3"/>
    <w:basedOn w:val="Default"/>
    <w:next w:val="Default"/>
    <w:rsid w:val="00051E44"/>
    <w:pPr>
      <w:widowControl w:val="0"/>
    </w:pPr>
    <w:rPr>
      <w:rFonts w:eastAsia="Times New Roman"/>
      <w:color w:val="auto"/>
      <w:lang w:val="en-US" w:eastAsia="en-US"/>
    </w:rPr>
  </w:style>
  <w:style w:type="paragraph" w:customStyle="1" w:styleId="CM22">
    <w:name w:val="CM22"/>
    <w:basedOn w:val="Default"/>
    <w:next w:val="Default"/>
    <w:rsid w:val="00051E44"/>
    <w:pPr>
      <w:widowControl w:val="0"/>
      <w:spacing w:after="65"/>
    </w:pPr>
    <w:rPr>
      <w:rFonts w:eastAsia="Times New Roman"/>
      <w:color w:val="auto"/>
      <w:lang w:val="en-US" w:eastAsia="en-US"/>
    </w:rPr>
  </w:style>
  <w:style w:type="paragraph" w:customStyle="1" w:styleId="CM4">
    <w:name w:val="CM4"/>
    <w:basedOn w:val="Default"/>
    <w:next w:val="Default"/>
    <w:rsid w:val="00051E44"/>
    <w:pPr>
      <w:widowControl w:val="0"/>
      <w:spacing w:line="253" w:lineRule="atLeast"/>
    </w:pPr>
    <w:rPr>
      <w:rFonts w:eastAsia="Times New Roman"/>
      <w:color w:val="auto"/>
      <w:lang w:val="en-US" w:eastAsia="en-US"/>
    </w:rPr>
  </w:style>
  <w:style w:type="paragraph" w:customStyle="1" w:styleId="CM23">
    <w:name w:val="CM23"/>
    <w:basedOn w:val="Default"/>
    <w:next w:val="Default"/>
    <w:rsid w:val="00051E44"/>
    <w:pPr>
      <w:widowControl w:val="0"/>
      <w:spacing w:after="233"/>
    </w:pPr>
    <w:rPr>
      <w:rFonts w:eastAsia="Times New Roman"/>
      <w:color w:val="auto"/>
      <w:lang w:val="en-US" w:eastAsia="en-US"/>
    </w:rPr>
  </w:style>
  <w:style w:type="character" w:customStyle="1" w:styleId="UnresolvedMention1">
    <w:name w:val="Unresolved Mention1"/>
    <w:basedOn w:val="DefaultParagraphFont"/>
    <w:uiPriority w:val="99"/>
    <w:semiHidden/>
    <w:unhideWhenUsed/>
    <w:rsid w:val="00565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7442">
      <w:bodyDiv w:val="1"/>
      <w:marLeft w:val="0"/>
      <w:marRight w:val="0"/>
      <w:marTop w:val="0"/>
      <w:marBottom w:val="0"/>
      <w:divBdr>
        <w:top w:val="none" w:sz="0" w:space="0" w:color="auto"/>
        <w:left w:val="none" w:sz="0" w:space="0" w:color="auto"/>
        <w:bottom w:val="none" w:sz="0" w:space="0" w:color="auto"/>
        <w:right w:val="none" w:sz="0" w:space="0" w:color="auto"/>
      </w:divBdr>
    </w:div>
    <w:div w:id="59451308">
      <w:bodyDiv w:val="1"/>
      <w:marLeft w:val="0"/>
      <w:marRight w:val="0"/>
      <w:marTop w:val="0"/>
      <w:marBottom w:val="0"/>
      <w:divBdr>
        <w:top w:val="none" w:sz="0" w:space="0" w:color="auto"/>
        <w:left w:val="none" w:sz="0" w:space="0" w:color="auto"/>
        <w:bottom w:val="none" w:sz="0" w:space="0" w:color="auto"/>
        <w:right w:val="none" w:sz="0" w:space="0" w:color="auto"/>
      </w:divBdr>
    </w:div>
    <w:div w:id="65417096">
      <w:bodyDiv w:val="1"/>
      <w:marLeft w:val="0"/>
      <w:marRight w:val="0"/>
      <w:marTop w:val="0"/>
      <w:marBottom w:val="0"/>
      <w:divBdr>
        <w:top w:val="none" w:sz="0" w:space="0" w:color="auto"/>
        <w:left w:val="none" w:sz="0" w:space="0" w:color="auto"/>
        <w:bottom w:val="none" w:sz="0" w:space="0" w:color="auto"/>
        <w:right w:val="none" w:sz="0" w:space="0" w:color="auto"/>
      </w:divBdr>
    </w:div>
    <w:div w:id="116221174">
      <w:bodyDiv w:val="1"/>
      <w:marLeft w:val="0"/>
      <w:marRight w:val="0"/>
      <w:marTop w:val="0"/>
      <w:marBottom w:val="0"/>
      <w:divBdr>
        <w:top w:val="none" w:sz="0" w:space="0" w:color="auto"/>
        <w:left w:val="none" w:sz="0" w:space="0" w:color="auto"/>
        <w:bottom w:val="none" w:sz="0" w:space="0" w:color="auto"/>
        <w:right w:val="none" w:sz="0" w:space="0" w:color="auto"/>
      </w:divBdr>
    </w:div>
    <w:div w:id="203953755">
      <w:bodyDiv w:val="1"/>
      <w:marLeft w:val="0"/>
      <w:marRight w:val="0"/>
      <w:marTop w:val="0"/>
      <w:marBottom w:val="0"/>
      <w:divBdr>
        <w:top w:val="none" w:sz="0" w:space="0" w:color="auto"/>
        <w:left w:val="none" w:sz="0" w:space="0" w:color="auto"/>
        <w:bottom w:val="none" w:sz="0" w:space="0" w:color="auto"/>
        <w:right w:val="none" w:sz="0" w:space="0" w:color="auto"/>
      </w:divBdr>
    </w:div>
    <w:div w:id="240412162">
      <w:bodyDiv w:val="1"/>
      <w:marLeft w:val="0"/>
      <w:marRight w:val="0"/>
      <w:marTop w:val="0"/>
      <w:marBottom w:val="0"/>
      <w:divBdr>
        <w:top w:val="none" w:sz="0" w:space="0" w:color="auto"/>
        <w:left w:val="none" w:sz="0" w:space="0" w:color="auto"/>
        <w:bottom w:val="none" w:sz="0" w:space="0" w:color="auto"/>
        <w:right w:val="none" w:sz="0" w:space="0" w:color="auto"/>
      </w:divBdr>
    </w:div>
    <w:div w:id="311953312">
      <w:bodyDiv w:val="1"/>
      <w:marLeft w:val="0"/>
      <w:marRight w:val="0"/>
      <w:marTop w:val="0"/>
      <w:marBottom w:val="0"/>
      <w:divBdr>
        <w:top w:val="none" w:sz="0" w:space="0" w:color="auto"/>
        <w:left w:val="none" w:sz="0" w:space="0" w:color="auto"/>
        <w:bottom w:val="none" w:sz="0" w:space="0" w:color="auto"/>
        <w:right w:val="none" w:sz="0" w:space="0" w:color="auto"/>
      </w:divBdr>
    </w:div>
    <w:div w:id="389886754">
      <w:bodyDiv w:val="1"/>
      <w:marLeft w:val="0"/>
      <w:marRight w:val="0"/>
      <w:marTop w:val="0"/>
      <w:marBottom w:val="0"/>
      <w:divBdr>
        <w:top w:val="none" w:sz="0" w:space="0" w:color="auto"/>
        <w:left w:val="none" w:sz="0" w:space="0" w:color="auto"/>
        <w:bottom w:val="none" w:sz="0" w:space="0" w:color="auto"/>
        <w:right w:val="none" w:sz="0" w:space="0" w:color="auto"/>
      </w:divBdr>
    </w:div>
    <w:div w:id="467626202">
      <w:bodyDiv w:val="1"/>
      <w:marLeft w:val="0"/>
      <w:marRight w:val="0"/>
      <w:marTop w:val="0"/>
      <w:marBottom w:val="0"/>
      <w:divBdr>
        <w:top w:val="none" w:sz="0" w:space="0" w:color="auto"/>
        <w:left w:val="none" w:sz="0" w:space="0" w:color="auto"/>
        <w:bottom w:val="none" w:sz="0" w:space="0" w:color="auto"/>
        <w:right w:val="none" w:sz="0" w:space="0" w:color="auto"/>
      </w:divBdr>
    </w:div>
    <w:div w:id="578053758">
      <w:bodyDiv w:val="1"/>
      <w:marLeft w:val="0"/>
      <w:marRight w:val="0"/>
      <w:marTop w:val="0"/>
      <w:marBottom w:val="0"/>
      <w:divBdr>
        <w:top w:val="none" w:sz="0" w:space="0" w:color="auto"/>
        <w:left w:val="none" w:sz="0" w:space="0" w:color="auto"/>
        <w:bottom w:val="none" w:sz="0" w:space="0" w:color="auto"/>
        <w:right w:val="none" w:sz="0" w:space="0" w:color="auto"/>
      </w:divBdr>
    </w:div>
    <w:div w:id="586696169">
      <w:bodyDiv w:val="1"/>
      <w:marLeft w:val="0"/>
      <w:marRight w:val="0"/>
      <w:marTop w:val="0"/>
      <w:marBottom w:val="0"/>
      <w:divBdr>
        <w:top w:val="none" w:sz="0" w:space="0" w:color="auto"/>
        <w:left w:val="none" w:sz="0" w:space="0" w:color="auto"/>
        <w:bottom w:val="none" w:sz="0" w:space="0" w:color="auto"/>
        <w:right w:val="none" w:sz="0" w:space="0" w:color="auto"/>
      </w:divBdr>
      <w:divsChild>
        <w:div w:id="54087282">
          <w:marLeft w:val="0"/>
          <w:marRight w:val="0"/>
          <w:marTop w:val="0"/>
          <w:marBottom w:val="0"/>
          <w:divBdr>
            <w:top w:val="none" w:sz="0" w:space="0" w:color="auto"/>
            <w:left w:val="none" w:sz="0" w:space="0" w:color="auto"/>
            <w:bottom w:val="none" w:sz="0" w:space="0" w:color="auto"/>
            <w:right w:val="none" w:sz="0" w:space="0" w:color="auto"/>
          </w:divBdr>
        </w:div>
        <w:div w:id="142740267">
          <w:marLeft w:val="0"/>
          <w:marRight w:val="0"/>
          <w:marTop w:val="0"/>
          <w:marBottom w:val="0"/>
          <w:divBdr>
            <w:top w:val="none" w:sz="0" w:space="0" w:color="auto"/>
            <w:left w:val="none" w:sz="0" w:space="0" w:color="auto"/>
            <w:bottom w:val="none" w:sz="0" w:space="0" w:color="auto"/>
            <w:right w:val="none" w:sz="0" w:space="0" w:color="auto"/>
          </w:divBdr>
        </w:div>
        <w:div w:id="187446759">
          <w:marLeft w:val="0"/>
          <w:marRight w:val="0"/>
          <w:marTop w:val="0"/>
          <w:marBottom w:val="0"/>
          <w:divBdr>
            <w:top w:val="none" w:sz="0" w:space="0" w:color="auto"/>
            <w:left w:val="none" w:sz="0" w:space="0" w:color="auto"/>
            <w:bottom w:val="none" w:sz="0" w:space="0" w:color="auto"/>
            <w:right w:val="none" w:sz="0" w:space="0" w:color="auto"/>
          </w:divBdr>
        </w:div>
        <w:div w:id="347221263">
          <w:marLeft w:val="0"/>
          <w:marRight w:val="0"/>
          <w:marTop w:val="0"/>
          <w:marBottom w:val="0"/>
          <w:divBdr>
            <w:top w:val="none" w:sz="0" w:space="0" w:color="auto"/>
            <w:left w:val="none" w:sz="0" w:space="0" w:color="auto"/>
            <w:bottom w:val="none" w:sz="0" w:space="0" w:color="auto"/>
            <w:right w:val="none" w:sz="0" w:space="0" w:color="auto"/>
          </w:divBdr>
        </w:div>
        <w:div w:id="374500530">
          <w:marLeft w:val="0"/>
          <w:marRight w:val="0"/>
          <w:marTop w:val="0"/>
          <w:marBottom w:val="0"/>
          <w:divBdr>
            <w:top w:val="none" w:sz="0" w:space="0" w:color="auto"/>
            <w:left w:val="none" w:sz="0" w:space="0" w:color="auto"/>
            <w:bottom w:val="none" w:sz="0" w:space="0" w:color="auto"/>
            <w:right w:val="none" w:sz="0" w:space="0" w:color="auto"/>
          </w:divBdr>
        </w:div>
        <w:div w:id="468287117">
          <w:marLeft w:val="0"/>
          <w:marRight w:val="0"/>
          <w:marTop w:val="0"/>
          <w:marBottom w:val="0"/>
          <w:divBdr>
            <w:top w:val="none" w:sz="0" w:space="0" w:color="auto"/>
            <w:left w:val="none" w:sz="0" w:space="0" w:color="auto"/>
            <w:bottom w:val="none" w:sz="0" w:space="0" w:color="auto"/>
            <w:right w:val="none" w:sz="0" w:space="0" w:color="auto"/>
          </w:divBdr>
        </w:div>
      </w:divsChild>
    </w:div>
    <w:div w:id="686055715">
      <w:bodyDiv w:val="1"/>
      <w:marLeft w:val="0"/>
      <w:marRight w:val="0"/>
      <w:marTop w:val="0"/>
      <w:marBottom w:val="0"/>
      <w:divBdr>
        <w:top w:val="none" w:sz="0" w:space="0" w:color="auto"/>
        <w:left w:val="none" w:sz="0" w:space="0" w:color="auto"/>
        <w:bottom w:val="none" w:sz="0" w:space="0" w:color="auto"/>
        <w:right w:val="none" w:sz="0" w:space="0" w:color="auto"/>
      </w:divBdr>
    </w:div>
    <w:div w:id="700976553">
      <w:bodyDiv w:val="1"/>
      <w:marLeft w:val="0"/>
      <w:marRight w:val="0"/>
      <w:marTop w:val="0"/>
      <w:marBottom w:val="0"/>
      <w:divBdr>
        <w:top w:val="none" w:sz="0" w:space="0" w:color="auto"/>
        <w:left w:val="none" w:sz="0" w:space="0" w:color="auto"/>
        <w:bottom w:val="none" w:sz="0" w:space="0" w:color="auto"/>
        <w:right w:val="none" w:sz="0" w:space="0" w:color="auto"/>
      </w:divBdr>
    </w:div>
    <w:div w:id="724372935">
      <w:bodyDiv w:val="1"/>
      <w:marLeft w:val="0"/>
      <w:marRight w:val="0"/>
      <w:marTop w:val="0"/>
      <w:marBottom w:val="0"/>
      <w:divBdr>
        <w:top w:val="none" w:sz="0" w:space="0" w:color="auto"/>
        <w:left w:val="none" w:sz="0" w:space="0" w:color="auto"/>
        <w:bottom w:val="none" w:sz="0" w:space="0" w:color="auto"/>
        <w:right w:val="none" w:sz="0" w:space="0" w:color="auto"/>
      </w:divBdr>
    </w:div>
    <w:div w:id="777988171">
      <w:bodyDiv w:val="1"/>
      <w:marLeft w:val="0"/>
      <w:marRight w:val="0"/>
      <w:marTop w:val="0"/>
      <w:marBottom w:val="0"/>
      <w:divBdr>
        <w:top w:val="none" w:sz="0" w:space="0" w:color="auto"/>
        <w:left w:val="none" w:sz="0" w:space="0" w:color="auto"/>
        <w:bottom w:val="none" w:sz="0" w:space="0" w:color="auto"/>
        <w:right w:val="none" w:sz="0" w:space="0" w:color="auto"/>
      </w:divBdr>
    </w:div>
    <w:div w:id="788015528">
      <w:bodyDiv w:val="1"/>
      <w:marLeft w:val="0"/>
      <w:marRight w:val="0"/>
      <w:marTop w:val="0"/>
      <w:marBottom w:val="0"/>
      <w:divBdr>
        <w:top w:val="none" w:sz="0" w:space="0" w:color="auto"/>
        <w:left w:val="none" w:sz="0" w:space="0" w:color="auto"/>
        <w:bottom w:val="none" w:sz="0" w:space="0" w:color="auto"/>
        <w:right w:val="none" w:sz="0" w:space="0" w:color="auto"/>
      </w:divBdr>
    </w:div>
    <w:div w:id="873538227">
      <w:bodyDiv w:val="1"/>
      <w:marLeft w:val="0"/>
      <w:marRight w:val="0"/>
      <w:marTop w:val="0"/>
      <w:marBottom w:val="0"/>
      <w:divBdr>
        <w:top w:val="none" w:sz="0" w:space="0" w:color="auto"/>
        <w:left w:val="none" w:sz="0" w:space="0" w:color="auto"/>
        <w:bottom w:val="none" w:sz="0" w:space="0" w:color="auto"/>
        <w:right w:val="none" w:sz="0" w:space="0" w:color="auto"/>
      </w:divBdr>
    </w:div>
    <w:div w:id="915014984">
      <w:bodyDiv w:val="1"/>
      <w:marLeft w:val="0"/>
      <w:marRight w:val="0"/>
      <w:marTop w:val="0"/>
      <w:marBottom w:val="0"/>
      <w:divBdr>
        <w:top w:val="none" w:sz="0" w:space="0" w:color="auto"/>
        <w:left w:val="none" w:sz="0" w:space="0" w:color="auto"/>
        <w:bottom w:val="none" w:sz="0" w:space="0" w:color="auto"/>
        <w:right w:val="none" w:sz="0" w:space="0" w:color="auto"/>
      </w:divBdr>
    </w:div>
    <w:div w:id="975984399">
      <w:bodyDiv w:val="1"/>
      <w:marLeft w:val="0"/>
      <w:marRight w:val="0"/>
      <w:marTop w:val="0"/>
      <w:marBottom w:val="0"/>
      <w:divBdr>
        <w:top w:val="none" w:sz="0" w:space="0" w:color="auto"/>
        <w:left w:val="none" w:sz="0" w:space="0" w:color="auto"/>
        <w:bottom w:val="none" w:sz="0" w:space="0" w:color="auto"/>
        <w:right w:val="none" w:sz="0" w:space="0" w:color="auto"/>
      </w:divBdr>
    </w:div>
    <w:div w:id="981620808">
      <w:bodyDiv w:val="1"/>
      <w:marLeft w:val="0"/>
      <w:marRight w:val="0"/>
      <w:marTop w:val="0"/>
      <w:marBottom w:val="0"/>
      <w:divBdr>
        <w:top w:val="none" w:sz="0" w:space="0" w:color="auto"/>
        <w:left w:val="none" w:sz="0" w:space="0" w:color="auto"/>
        <w:bottom w:val="none" w:sz="0" w:space="0" w:color="auto"/>
        <w:right w:val="none" w:sz="0" w:space="0" w:color="auto"/>
      </w:divBdr>
    </w:div>
    <w:div w:id="998920062">
      <w:bodyDiv w:val="1"/>
      <w:marLeft w:val="0"/>
      <w:marRight w:val="0"/>
      <w:marTop w:val="0"/>
      <w:marBottom w:val="0"/>
      <w:divBdr>
        <w:top w:val="none" w:sz="0" w:space="0" w:color="auto"/>
        <w:left w:val="none" w:sz="0" w:space="0" w:color="auto"/>
        <w:bottom w:val="none" w:sz="0" w:space="0" w:color="auto"/>
        <w:right w:val="none" w:sz="0" w:space="0" w:color="auto"/>
      </w:divBdr>
    </w:div>
    <w:div w:id="1021667805">
      <w:bodyDiv w:val="1"/>
      <w:marLeft w:val="0"/>
      <w:marRight w:val="0"/>
      <w:marTop w:val="0"/>
      <w:marBottom w:val="0"/>
      <w:divBdr>
        <w:top w:val="none" w:sz="0" w:space="0" w:color="auto"/>
        <w:left w:val="none" w:sz="0" w:space="0" w:color="auto"/>
        <w:bottom w:val="none" w:sz="0" w:space="0" w:color="auto"/>
        <w:right w:val="none" w:sz="0" w:space="0" w:color="auto"/>
      </w:divBdr>
    </w:div>
    <w:div w:id="1029599923">
      <w:bodyDiv w:val="1"/>
      <w:marLeft w:val="0"/>
      <w:marRight w:val="0"/>
      <w:marTop w:val="0"/>
      <w:marBottom w:val="0"/>
      <w:divBdr>
        <w:top w:val="none" w:sz="0" w:space="0" w:color="auto"/>
        <w:left w:val="none" w:sz="0" w:space="0" w:color="auto"/>
        <w:bottom w:val="none" w:sz="0" w:space="0" w:color="auto"/>
        <w:right w:val="none" w:sz="0" w:space="0" w:color="auto"/>
      </w:divBdr>
    </w:div>
    <w:div w:id="1052732926">
      <w:bodyDiv w:val="1"/>
      <w:marLeft w:val="0"/>
      <w:marRight w:val="0"/>
      <w:marTop w:val="0"/>
      <w:marBottom w:val="0"/>
      <w:divBdr>
        <w:top w:val="none" w:sz="0" w:space="0" w:color="auto"/>
        <w:left w:val="none" w:sz="0" w:space="0" w:color="auto"/>
        <w:bottom w:val="none" w:sz="0" w:space="0" w:color="auto"/>
        <w:right w:val="none" w:sz="0" w:space="0" w:color="auto"/>
      </w:divBdr>
    </w:div>
    <w:div w:id="1053889361">
      <w:bodyDiv w:val="1"/>
      <w:marLeft w:val="0"/>
      <w:marRight w:val="0"/>
      <w:marTop w:val="0"/>
      <w:marBottom w:val="0"/>
      <w:divBdr>
        <w:top w:val="none" w:sz="0" w:space="0" w:color="auto"/>
        <w:left w:val="none" w:sz="0" w:space="0" w:color="auto"/>
        <w:bottom w:val="none" w:sz="0" w:space="0" w:color="auto"/>
        <w:right w:val="none" w:sz="0" w:space="0" w:color="auto"/>
      </w:divBdr>
    </w:div>
    <w:div w:id="1099838170">
      <w:bodyDiv w:val="1"/>
      <w:marLeft w:val="0"/>
      <w:marRight w:val="0"/>
      <w:marTop w:val="0"/>
      <w:marBottom w:val="0"/>
      <w:divBdr>
        <w:top w:val="none" w:sz="0" w:space="0" w:color="auto"/>
        <w:left w:val="none" w:sz="0" w:space="0" w:color="auto"/>
        <w:bottom w:val="none" w:sz="0" w:space="0" w:color="auto"/>
        <w:right w:val="none" w:sz="0" w:space="0" w:color="auto"/>
      </w:divBdr>
    </w:div>
    <w:div w:id="1209026442">
      <w:bodyDiv w:val="1"/>
      <w:marLeft w:val="0"/>
      <w:marRight w:val="0"/>
      <w:marTop w:val="0"/>
      <w:marBottom w:val="0"/>
      <w:divBdr>
        <w:top w:val="none" w:sz="0" w:space="0" w:color="auto"/>
        <w:left w:val="none" w:sz="0" w:space="0" w:color="auto"/>
        <w:bottom w:val="none" w:sz="0" w:space="0" w:color="auto"/>
        <w:right w:val="none" w:sz="0" w:space="0" w:color="auto"/>
      </w:divBdr>
    </w:div>
    <w:div w:id="1263882605">
      <w:bodyDiv w:val="1"/>
      <w:marLeft w:val="0"/>
      <w:marRight w:val="0"/>
      <w:marTop w:val="0"/>
      <w:marBottom w:val="0"/>
      <w:divBdr>
        <w:top w:val="none" w:sz="0" w:space="0" w:color="auto"/>
        <w:left w:val="none" w:sz="0" w:space="0" w:color="auto"/>
        <w:bottom w:val="none" w:sz="0" w:space="0" w:color="auto"/>
        <w:right w:val="none" w:sz="0" w:space="0" w:color="auto"/>
      </w:divBdr>
    </w:div>
    <w:div w:id="1352225031">
      <w:bodyDiv w:val="1"/>
      <w:marLeft w:val="0"/>
      <w:marRight w:val="0"/>
      <w:marTop w:val="0"/>
      <w:marBottom w:val="0"/>
      <w:divBdr>
        <w:top w:val="none" w:sz="0" w:space="0" w:color="auto"/>
        <w:left w:val="none" w:sz="0" w:space="0" w:color="auto"/>
        <w:bottom w:val="none" w:sz="0" w:space="0" w:color="auto"/>
        <w:right w:val="none" w:sz="0" w:space="0" w:color="auto"/>
      </w:divBdr>
    </w:div>
    <w:div w:id="1421947623">
      <w:bodyDiv w:val="1"/>
      <w:marLeft w:val="0"/>
      <w:marRight w:val="0"/>
      <w:marTop w:val="0"/>
      <w:marBottom w:val="0"/>
      <w:divBdr>
        <w:top w:val="none" w:sz="0" w:space="0" w:color="auto"/>
        <w:left w:val="none" w:sz="0" w:space="0" w:color="auto"/>
        <w:bottom w:val="none" w:sz="0" w:space="0" w:color="auto"/>
        <w:right w:val="none" w:sz="0" w:space="0" w:color="auto"/>
      </w:divBdr>
    </w:div>
    <w:div w:id="1469470597">
      <w:bodyDiv w:val="1"/>
      <w:marLeft w:val="0"/>
      <w:marRight w:val="0"/>
      <w:marTop w:val="0"/>
      <w:marBottom w:val="0"/>
      <w:divBdr>
        <w:top w:val="none" w:sz="0" w:space="0" w:color="auto"/>
        <w:left w:val="none" w:sz="0" w:space="0" w:color="auto"/>
        <w:bottom w:val="none" w:sz="0" w:space="0" w:color="auto"/>
        <w:right w:val="none" w:sz="0" w:space="0" w:color="auto"/>
      </w:divBdr>
    </w:div>
    <w:div w:id="1645893582">
      <w:bodyDiv w:val="1"/>
      <w:marLeft w:val="0"/>
      <w:marRight w:val="0"/>
      <w:marTop w:val="0"/>
      <w:marBottom w:val="0"/>
      <w:divBdr>
        <w:top w:val="none" w:sz="0" w:space="0" w:color="auto"/>
        <w:left w:val="none" w:sz="0" w:space="0" w:color="auto"/>
        <w:bottom w:val="none" w:sz="0" w:space="0" w:color="auto"/>
        <w:right w:val="none" w:sz="0" w:space="0" w:color="auto"/>
      </w:divBdr>
    </w:div>
    <w:div w:id="1671450219">
      <w:bodyDiv w:val="1"/>
      <w:marLeft w:val="0"/>
      <w:marRight w:val="0"/>
      <w:marTop w:val="0"/>
      <w:marBottom w:val="0"/>
      <w:divBdr>
        <w:top w:val="none" w:sz="0" w:space="0" w:color="auto"/>
        <w:left w:val="none" w:sz="0" w:space="0" w:color="auto"/>
        <w:bottom w:val="none" w:sz="0" w:space="0" w:color="auto"/>
        <w:right w:val="none" w:sz="0" w:space="0" w:color="auto"/>
      </w:divBdr>
    </w:div>
    <w:div w:id="1717926923">
      <w:bodyDiv w:val="1"/>
      <w:marLeft w:val="0"/>
      <w:marRight w:val="0"/>
      <w:marTop w:val="0"/>
      <w:marBottom w:val="0"/>
      <w:divBdr>
        <w:top w:val="none" w:sz="0" w:space="0" w:color="auto"/>
        <w:left w:val="none" w:sz="0" w:space="0" w:color="auto"/>
        <w:bottom w:val="none" w:sz="0" w:space="0" w:color="auto"/>
        <w:right w:val="none" w:sz="0" w:space="0" w:color="auto"/>
      </w:divBdr>
    </w:div>
    <w:div w:id="1749501541">
      <w:bodyDiv w:val="1"/>
      <w:marLeft w:val="0"/>
      <w:marRight w:val="0"/>
      <w:marTop w:val="0"/>
      <w:marBottom w:val="0"/>
      <w:divBdr>
        <w:top w:val="none" w:sz="0" w:space="0" w:color="auto"/>
        <w:left w:val="none" w:sz="0" w:space="0" w:color="auto"/>
        <w:bottom w:val="none" w:sz="0" w:space="0" w:color="auto"/>
        <w:right w:val="none" w:sz="0" w:space="0" w:color="auto"/>
      </w:divBdr>
    </w:div>
    <w:div w:id="1849829205">
      <w:bodyDiv w:val="1"/>
      <w:marLeft w:val="0"/>
      <w:marRight w:val="0"/>
      <w:marTop w:val="0"/>
      <w:marBottom w:val="0"/>
      <w:divBdr>
        <w:top w:val="none" w:sz="0" w:space="0" w:color="auto"/>
        <w:left w:val="none" w:sz="0" w:space="0" w:color="auto"/>
        <w:bottom w:val="none" w:sz="0" w:space="0" w:color="auto"/>
        <w:right w:val="none" w:sz="0" w:space="0" w:color="auto"/>
      </w:divBdr>
    </w:div>
    <w:div w:id="2068262286">
      <w:bodyDiv w:val="1"/>
      <w:marLeft w:val="0"/>
      <w:marRight w:val="0"/>
      <w:marTop w:val="0"/>
      <w:marBottom w:val="0"/>
      <w:divBdr>
        <w:top w:val="none" w:sz="0" w:space="0" w:color="auto"/>
        <w:left w:val="none" w:sz="0" w:space="0" w:color="auto"/>
        <w:bottom w:val="none" w:sz="0" w:space="0" w:color="auto"/>
        <w:right w:val="none" w:sz="0" w:space="0" w:color="auto"/>
      </w:divBdr>
    </w:div>
    <w:div w:id="20824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DC80-D326-4CCD-9D2E-078495D1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2728</TotalTime>
  <Pages>26</Pages>
  <Words>10119</Words>
  <Characters>57681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The effect of emigration on child human capital</vt:lpstr>
    </vt:vector>
  </TitlesOfParts>
  <Company>University of Waikato</Company>
  <LinksUpToDate>false</LinksUpToDate>
  <CharactersWithSpaces>67665</CharactersWithSpaces>
  <SharedDoc>false</SharedDoc>
  <HLinks>
    <vt:vector size="84" baseType="variant">
      <vt:variant>
        <vt:i4>4587531</vt:i4>
      </vt:variant>
      <vt:variant>
        <vt:i4>206</vt:i4>
      </vt:variant>
      <vt:variant>
        <vt:i4>0</vt:i4>
      </vt:variant>
      <vt:variant>
        <vt:i4>5</vt:i4>
      </vt:variant>
      <vt:variant>
        <vt:lpwstr/>
      </vt:variant>
      <vt:variant>
        <vt:lpwstr>_ENREF_77</vt:lpwstr>
      </vt:variant>
      <vt:variant>
        <vt:i4>4653067</vt:i4>
      </vt:variant>
      <vt:variant>
        <vt:i4>203</vt:i4>
      </vt:variant>
      <vt:variant>
        <vt:i4>0</vt:i4>
      </vt:variant>
      <vt:variant>
        <vt:i4>5</vt:i4>
      </vt:variant>
      <vt:variant>
        <vt:lpwstr/>
      </vt:variant>
      <vt:variant>
        <vt:lpwstr>_ENREF_62</vt:lpwstr>
      </vt:variant>
      <vt:variant>
        <vt:i4>4390923</vt:i4>
      </vt:variant>
      <vt:variant>
        <vt:i4>193</vt:i4>
      </vt:variant>
      <vt:variant>
        <vt:i4>0</vt:i4>
      </vt:variant>
      <vt:variant>
        <vt:i4>5</vt:i4>
      </vt:variant>
      <vt:variant>
        <vt:lpwstr/>
      </vt:variant>
      <vt:variant>
        <vt:lpwstr>_ENREF_29</vt:lpwstr>
      </vt:variant>
      <vt:variant>
        <vt:i4>4587531</vt:i4>
      </vt:variant>
      <vt:variant>
        <vt:i4>40</vt:i4>
      </vt:variant>
      <vt:variant>
        <vt:i4>0</vt:i4>
      </vt:variant>
      <vt:variant>
        <vt:i4>5</vt:i4>
      </vt:variant>
      <vt:variant>
        <vt:lpwstr/>
      </vt:variant>
      <vt:variant>
        <vt:lpwstr>_ENREF_76</vt:lpwstr>
      </vt:variant>
      <vt:variant>
        <vt:i4>7602233</vt:i4>
      </vt:variant>
      <vt:variant>
        <vt:i4>36</vt:i4>
      </vt:variant>
      <vt:variant>
        <vt:i4>0</vt:i4>
      </vt:variant>
      <vt:variant>
        <vt:i4>5</vt:i4>
      </vt:variant>
      <vt:variant>
        <vt:lpwstr/>
      </vt:variant>
      <vt:variant>
        <vt:lpwstr>_ENREF_124</vt:lpwstr>
      </vt:variant>
      <vt:variant>
        <vt:i4>4784139</vt:i4>
      </vt:variant>
      <vt:variant>
        <vt:i4>33</vt:i4>
      </vt:variant>
      <vt:variant>
        <vt:i4>0</vt:i4>
      </vt:variant>
      <vt:variant>
        <vt:i4>5</vt:i4>
      </vt:variant>
      <vt:variant>
        <vt:lpwstr/>
      </vt:variant>
      <vt:variant>
        <vt:lpwstr>_ENREF_89</vt:lpwstr>
      </vt:variant>
      <vt:variant>
        <vt:i4>4325387</vt:i4>
      </vt:variant>
      <vt:variant>
        <vt:i4>30</vt:i4>
      </vt:variant>
      <vt:variant>
        <vt:i4>0</vt:i4>
      </vt:variant>
      <vt:variant>
        <vt:i4>5</vt:i4>
      </vt:variant>
      <vt:variant>
        <vt:lpwstr/>
      </vt:variant>
      <vt:variant>
        <vt:lpwstr>_ENREF_36</vt:lpwstr>
      </vt:variant>
      <vt:variant>
        <vt:i4>4653067</vt:i4>
      </vt:variant>
      <vt:variant>
        <vt:i4>22</vt:i4>
      </vt:variant>
      <vt:variant>
        <vt:i4>0</vt:i4>
      </vt:variant>
      <vt:variant>
        <vt:i4>5</vt:i4>
      </vt:variant>
      <vt:variant>
        <vt:lpwstr/>
      </vt:variant>
      <vt:variant>
        <vt:lpwstr>_ENREF_62</vt:lpwstr>
      </vt:variant>
      <vt:variant>
        <vt:i4>4587531</vt:i4>
      </vt:variant>
      <vt:variant>
        <vt:i4>19</vt:i4>
      </vt:variant>
      <vt:variant>
        <vt:i4>0</vt:i4>
      </vt:variant>
      <vt:variant>
        <vt:i4>5</vt:i4>
      </vt:variant>
      <vt:variant>
        <vt:lpwstr/>
      </vt:variant>
      <vt:variant>
        <vt:lpwstr>_ENREF_76</vt:lpwstr>
      </vt:variant>
      <vt:variant>
        <vt:i4>4784139</vt:i4>
      </vt:variant>
      <vt:variant>
        <vt:i4>16</vt:i4>
      </vt:variant>
      <vt:variant>
        <vt:i4>0</vt:i4>
      </vt:variant>
      <vt:variant>
        <vt:i4>5</vt:i4>
      </vt:variant>
      <vt:variant>
        <vt:lpwstr/>
      </vt:variant>
      <vt:variant>
        <vt:lpwstr>_ENREF_88</vt:lpwstr>
      </vt:variant>
      <vt:variant>
        <vt:i4>4390923</vt:i4>
      </vt:variant>
      <vt:variant>
        <vt:i4>13</vt:i4>
      </vt:variant>
      <vt:variant>
        <vt:i4>0</vt:i4>
      </vt:variant>
      <vt:variant>
        <vt:i4>5</vt:i4>
      </vt:variant>
      <vt:variant>
        <vt:lpwstr/>
      </vt:variant>
      <vt:variant>
        <vt:lpwstr>_ENREF_27</vt:lpwstr>
      </vt:variant>
      <vt:variant>
        <vt:i4>4456459</vt:i4>
      </vt:variant>
      <vt:variant>
        <vt:i4>10</vt:i4>
      </vt:variant>
      <vt:variant>
        <vt:i4>0</vt:i4>
      </vt:variant>
      <vt:variant>
        <vt:i4>5</vt:i4>
      </vt:variant>
      <vt:variant>
        <vt:lpwstr/>
      </vt:variant>
      <vt:variant>
        <vt:lpwstr>_ENREF_59</vt:lpwstr>
      </vt:variant>
      <vt:variant>
        <vt:i4>4784139</vt:i4>
      </vt:variant>
      <vt:variant>
        <vt:i4>7</vt:i4>
      </vt:variant>
      <vt:variant>
        <vt:i4>0</vt:i4>
      </vt:variant>
      <vt:variant>
        <vt:i4>5</vt:i4>
      </vt:variant>
      <vt:variant>
        <vt:lpwstr/>
      </vt:variant>
      <vt:variant>
        <vt:lpwstr>_ENREF_85</vt:lpwstr>
      </vt:variant>
      <vt:variant>
        <vt:i4>4587531</vt:i4>
      </vt:variant>
      <vt:variant>
        <vt:i4>4</vt:i4>
      </vt:variant>
      <vt:variant>
        <vt:i4>0</vt:i4>
      </vt:variant>
      <vt:variant>
        <vt:i4>5</vt:i4>
      </vt:variant>
      <vt:variant>
        <vt:lpwstr/>
      </vt:variant>
      <vt:variant>
        <vt:lpwstr>_ENREF_78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emigration on child human capital</dc:title>
  <dc:subject/>
  <dc:creator>Sharma, Hari</dc:creator>
  <cp:keywords/>
  <dc:description/>
  <cp:lastModifiedBy>silverab71@gmail.com</cp:lastModifiedBy>
  <cp:revision>552</cp:revision>
  <cp:lastPrinted>2020-05-10T00:48:00Z</cp:lastPrinted>
  <dcterms:created xsi:type="dcterms:W3CDTF">2020-05-08T02:55:00Z</dcterms:created>
  <dcterms:modified xsi:type="dcterms:W3CDTF">2020-06-19T21:45:00Z</dcterms:modified>
</cp:coreProperties>
</file>