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3389A" w14:textId="422EAE36" w:rsidR="00D22234" w:rsidRDefault="00D22234" w:rsidP="00D22234">
      <w:pPr>
        <w:pStyle w:val="Default"/>
        <w:jc w:val="center"/>
        <w:rPr>
          <w:b/>
          <w:bCs/>
          <w:sz w:val="28"/>
          <w:szCs w:val="28"/>
        </w:rPr>
      </w:pPr>
    </w:p>
    <w:p w14:paraId="3CFF3BE5" w14:textId="77777777" w:rsidR="00D22234" w:rsidRDefault="00D22234" w:rsidP="00D22234">
      <w:pPr>
        <w:pStyle w:val="Default"/>
        <w:jc w:val="center"/>
        <w:rPr>
          <w:b/>
          <w:bCs/>
          <w:sz w:val="28"/>
          <w:szCs w:val="28"/>
        </w:rPr>
      </w:pPr>
    </w:p>
    <w:p w14:paraId="26A992C4" w14:textId="77777777" w:rsidR="00D22234" w:rsidRDefault="00D22234" w:rsidP="00D22234">
      <w:pPr>
        <w:pStyle w:val="Default"/>
        <w:jc w:val="center"/>
        <w:rPr>
          <w:b/>
          <w:bCs/>
          <w:sz w:val="28"/>
          <w:szCs w:val="28"/>
        </w:rPr>
      </w:pPr>
    </w:p>
    <w:p w14:paraId="5270231F" w14:textId="77777777" w:rsidR="00D22234" w:rsidRDefault="00D22234" w:rsidP="00D22234">
      <w:pPr>
        <w:pStyle w:val="Default"/>
        <w:jc w:val="center"/>
        <w:rPr>
          <w:b/>
          <w:bCs/>
          <w:sz w:val="28"/>
          <w:szCs w:val="28"/>
        </w:rPr>
      </w:pPr>
    </w:p>
    <w:p w14:paraId="6FD2AC6F" w14:textId="77777777" w:rsidR="00D22234" w:rsidRDefault="00D22234" w:rsidP="00D22234">
      <w:pPr>
        <w:pStyle w:val="Default"/>
        <w:jc w:val="center"/>
        <w:rPr>
          <w:b/>
          <w:bCs/>
          <w:sz w:val="28"/>
          <w:szCs w:val="28"/>
        </w:rPr>
      </w:pPr>
      <w:r>
        <w:rPr>
          <w:b/>
          <w:bCs/>
          <w:sz w:val="28"/>
          <w:szCs w:val="28"/>
        </w:rPr>
        <w:t>UNIVERSITY OF WAIKATO</w:t>
      </w:r>
    </w:p>
    <w:p w14:paraId="002E147E" w14:textId="77777777" w:rsidR="00D22234" w:rsidRDefault="00D22234" w:rsidP="00D22234">
      <w:pPr>
        <w:pStyle w:val="Default"/>
        <w:jc w:val="center"/>
        <w:rPr>
          <w:b/>
          <w:bCs/>
          <w:sz w:val="28"/>
          <w:szCs w:val="28"/>
        </w:rPr>
      </w:pPr>
      <w:r>
        <w:rPr>
          <w:b/>
          <w:bCs/>
          <w:sz w:val="28"/>
          <w:szCs w:val="28"/>
        </w:rPr>
        <w:br/>
        <w:t>Hamilton</w:t>
      </w:r>
    </w:p>
    <w:p w14:paraId="02D4C420" w14:textId="77777777" w:rsidR="00D22234" w:rsidRDefault="00D22234" w:rsidP="00D22234">
      <w:pPr>
        <w:pStyle w:val="CM1"/>
        <w:spacing w:line="240" w:lineRule="auto"/>
        <w:jc w:val="center"/>
        <w:rPr>
          <w:b/>
          <w:bCs/>
          <w:sz w:val="28"/>
          <w:szCs w:val="28"/>
        </w:rPr>
      </w:pPr>
      <w:r>
        <w:rPr>
          <w:b/>
          <w:bCs/>
          <w:sz w:val="28"/>
          <w:szCs w:val="28"/>
        </w:rPr>
        <w:t xml:space="preserve">New Zealand </w:t>
      </w:r>
    </w:p>
    <w:p w14:paraId="3774A265" w14:textId="77777777" w:rsidR="00D22234" w:rsidRDefault="00D22234" w:rsidP="00D22234">
      <w:pPr>
        <w:pStyle w:val="Default"/>
      </w:pPr>
    </w:p>
    <w:p w14:paraId="1086C956" w14:textId="77777777" w:rsidR="00D22234" w:rsidRDefault="00D22234" w:rsidP="00D22234">
      <w:pPr>
        <w:pStyle w:val="Default"/>
      </w:pPr>
    </w:p>
    <w:p w14:paraId="1DE694D4" w14:textId="77777777" w:rsidR="00D22234" w:rsidRDefault="00D22234" w:rsidP="00D22234">
      <w:pPr>
        <w:pStyle w:val="Default"/>
      </w:pPr>
    </w:p>
    <w:p w14:paraId="31E83F6A" w14:textId="77777777" w:rsidR="00D22234" w:rsidRDefault="00D22234" w:rsidP="00D22234">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35D59A67" w14:textId="6DA35772" w:rsidR="00D22234" w:rsidRDefault="00BB525F" w:rsidP="00D22234">
      <w:pPr>
        <w:pStyle w:val="Title"/>
        <w:pBdr>
          <w:top w:val="thinThickSmallGap" w:sz="24" w:space="1" w:color="auto"/>
          <w:left w:val="thinThickSmallGap" w:sz="24" w:space="4" w:color="auto"/>
          <w:bottom w:val="thinThickSmallGap" w:sz="24" w:space="1" w:color="auto"/>
          <w:right w:val="thinThickSmallGap" w:sz="24" w:space="4" w:color="auto"/>
        </w:pBdr>
        <w:spacing w:line="360" w:lineRule="auto"/>
        <w:rPr>
          <w:rFonts w:ascii="Times New Roman" w:hAnsi="Times New Roman"/>
          <w:sz w:val="28"/>
          <w:szCs w:val="28"/>
        </w:rPr>
      </w:pPr>
      <w:r>
        <w:rPr>
          <w:rFonts w:ascii="Times New Roman" w:hAnsi="Times New Roman"/>
          <w:sz w:val="28"/>
          <w:szCs w:val="28"/>
        </w:rPr>
        <w:t>Three Facts About</w:t>
      </w:r>
      <w:r w:rsidR="00073CA7">
        <w:rPr>
          <w:rFonts w:ascii="Times New Roman" w:hAnsi="Times New Roman"/>
          <w:sz w:val="28"/>
          <w:szCs w:val="28"/>
        </w:rPr>
        <w:t xml:space="preserve"> Night Lights Data</w:t>
      </w:r>
    </w:p>
    <w:p w14:paraId="5E91338A" w14:textId="00E39278" w:rsidR="00D22234" w:rsidRDefault="00D22234" w:rsidP="00D22234">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b w:val="0"/>
          <w:sz w:val="28"/>
          <w:szCs w:val="28"/>
        </w:rPr>
      </w:pPr>
      <w:r>
        <w:rPr>
          <w:rFonts w:ascii="Times New Roman" w:hAnsi="Times New Roman"/>
          <w:b w:val="0"/>
          <w:sz w:val="28"/>
          <w:szCs w:val="28"/>
        </w:rPr>
        <w:t xml:space="preserve">John </w:t>
      </w:r>
      <w:proofErr w:type="gramStart"/>
      <w:r>
        <w:rPr>
          <w:rFonts w:ascii="Times New Roman" w:hAnsi="Times New Roman"/>
          <w:b w:val="0"/>
          <w:sz w:val="28"/>
          <w:szCs w:val="28"/>
        </w:rPr>
        <w:t>Gibson</w:t>
      </w:r>
      <w:r w:rsidR="00073CA7">
        <w:rPr>
          <w:rFonts w:ascii="Times New Roman" w:hAnsi="Times New Roman"/>
          <w:b w:val="0"/>
          <w:sz w:val="28"/>
          <w:szCs w:val="28"/>
        </w:rPr>
        <w:t xml:space="preserve">  </w:t>
      </w:r>
      <w:r>
        <w:rPr>
          <w:rFonts w:ascii="Times New Roman" w:hAnsi="Times New Roman"/>
          <w:b w:val="0"/>
          <w:sz w:val="28"/>
          <w:szCs w:val="28"/>
        </w:rPr>
        <w:t>and</w:t>
      </w:r>
      <w:proofErr w:type="gramEnd"/>
      <w:r>
        <w:rPr>
          <w:rFonts w:ascii="Times New Roman" w:hAnsi="Times New Roman"/>
          <w:b w:val="0"/>
          <w:sz w:val="28"/>
          <w:szCs w:val="28"/>
        </w:rPr>
        <w:t xml:space="preserve">  G</w:t>
      </w:r>
      <w:r w:rsidR="00073CA7">
        <w:rPr>
          <w:rFonts w:ascii="Times New Roman" w:hAnsi="Times New Roman"/>
          <w:b w:val="0"/>
          <w:sz w:val="28"/>
          <w:szCs w:val="28"/>
        </w:rPr>
        <w:t>eu</w:t>
      </w:r>
      <w:r>
        <w:rPr>
          <w:rFonts w:ascii="Times New Roman" w:hAnsi="Times New Roman"/>
          <w:b w:val="0"/>
          <w:sz w:val="28"/>
          <w:szCs w:val="28"/>
        </w:rPr>
        <w:t>a Boe-Gibson</w:t>
      </w:r>
    </w:p>
    <w:p w14:paraId="037311F9" w14:textId="77777777" w:rsidR="00D22234" w:rsidRDefault="00D22234" w:rsidP="00D22234">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708532F4" w14:textId="77777777" w:rsidR="00D22234" w:rsidRDefault="00D22234" w:rsidP="00D22234">
      <w:pPr>
        <w:pStyle w:val="Default"/>
      </w:pPr>
    </w:p>
    <w:p w14:paraId="4100AF01" w14:textId="77777777" w:rsidR="00D22234" w:rsidRDefault="00D22234" w:rsidP="00D22234">
      <w:pPr>
        <w:pStyle w:val="CM20"/>
        <w:spacing w:after="0"/>
        <w:jc w:val="center"/>
        <w:rPr>
          <w:i/>
          <w:iCs/>
        </w:rPr>
      </w:pPr>
    </w:p>
    <w:p w14:paraId="524696A6" w14:textId="77777777" w:rsidR="00D22234" w:rsidRDefault="00D22234" w:rsidP="00D22234">
      <w:pPr>
        <w:pStyle w:val="Default"/>
      </w:pPr>
    </w:p>
    <w:p w14:paraId="790E3D9C" w14:textId="77777777" w:rsidR="00D22234" w:rsidRDefault="00D22234" w:rsidP="00D22234">
      <w:pPr>
        <w:pStyle w:val="Default"/>
        <w:rPr>
          <w:color w:val="auto"/>
        </w:rPr>
      </w:pPr>
    </w:p>
    <w:p w14:paraId="325E8BAC" w14:textId="16A53266" w:rsidR="00D22234" w:rsidRDefault="00D22234" w:rsidP="00D22234">
      <w:pPr>
        <w:pStyle w:val="CM22"/>
        <w:spacing w:after="0"/>
        <w:jc w:val="center"/>
        <w:rPr>
          <w:b/>
          <w:bCs/>
          <w:sz w:val="28"/>
          <w:szCs w:val="28"/>
        </w:rPr>
      </w:pPr>
      <w:r>
        <w:rPr>
          <w:b/>
          <w:bCs/>
          <w:sz w:val="28"/>
          <w:szCs w:val="28"/>
        </w:rPr>
        <w:t xml:space="preserve">Working Paper in Economics </w:t>
      </w:r>
      <w:r w:rsidR="00073CA7">
        <w:rPr>
          <w:b/>
          <w:bCs/>
          <w:sz w:val="28"/>
          <w:szCs w:val="28"/>
        </w:rPr>
        <w:t>3</w:t>
      </w:r>
      <w:r>
        <w:rPr>
          <w:b/>
          <w:bCs/>
          <w:sz w:val="28"/>
          <w:szCs w:val="28"/>
        </w:rPr>
        <w:t>/20</w:t>
      </w:r>
    </w:p>
    <w:p w14:paraId="70212504" w14:textId="77777777" w:rsidR="00D22234" w:rsidRDefault="00D22234" w:rsidP="00D22234">
      <w:pPr>
        <w:pStyle w:val="CM22"/>
        <w:spacing w:after="0"/>
        <w:jc w:val="center"/>
        <w:rPr>
          <w:sz w:val="28"/>
          <w:szCs w:val="28"/>
        </w:rPr>
      </w:pPr>
      <w:r>
        <w:rPr>
          <w:b/>
          <w:bCs/>
          <w:sz w:val="28"/>
          <w:szCs w:val="28"/>
        </w:rPr>
        <w:t xml:space="preserve"> </w:t>
      </w:r>
    </w:p>
    <w:p w14:paraId="4295FAFF" w14:textId="162C0140" w:rsidR="00D22234" w:rsidRDefault="00073CA7" w:rsidP="00D22234">
      <w:pPr>
        <w:pStyle w:val="CM3"/>
        <w:jc w:val="center"/>
        <w:rPr>
          <w:sz w:val="28"/>
          <w:szCs w:val="28"/>
        </w:rPr>
      </w:pPr>
      <w:r>
        <w:rPr>
          <w:sz w:val="28"/>
          <w:szCs w:val="28"/>
        </w:rPr>
        <w:t>April</w:t>
      </w:r>
      <w:r w:rsidR="00D22234">
        <w:rPr>
          <w:sz w:val="28"/>
          <w:szCs w:val="28"/>
        </w:rPr>
        <w:t xml:space="preserve"> 2020</w:t>
      </w:r>
    </w:p>
    <w:p w14:paraId="0ECADBE3" w14:textId="77777777" w:rsidR="00D22234" w:rsidRDefault="00D22234" w:rsidP="00D22234">
      <w:pPr>
        <w:pStyle w:val="CM4"/>
        <w:spacing w:line="240" w:lineRule="auto"/>
        <w:jc w:val="center"/>
        <w:rPr>
          <w:b/>
          <w:bCs/>
          <w:sz w:val="22"/>
          <w:szCs w:val="22"/>
        </w:rPr>
      </w:pPr>
    </w:p>
    <w:p w14:paraId="2F260A49" w14:textId="77777777" w:rsidR="00D22234" w:rsidRDefault="00D22234" w:rsidP="00D22234">
      <w:pPr>
        <w:pStyle w:val="Default"/>
      </w:pPr>
    </w:p>
    <w:tbl>
      <w:tblPr>
        <w:tblW w:w="0" w:type="auto"/>
        <w:jc w:val="center"/>
        <w:tblLook w:val="04A0" w:firstRow="1" w:lastRow="0" w:firstColumn="1" w:lastColumn="0" w:noHBand="0" w:noVBand="1"/>
      </w:tblPr>
      <w:tblGrid>
        <w:gridCol w:w="4621"/>
      </w:tblGrid>
      <w:tr w:rsidR="00D22234" w:rsidRPr="00104131" w14:paraId="513FDCA9" w14:textId="77777777" w:rsidTr="00B26889">
        <w:trPr>
          <w:jc w:val="center"/>
        </w:trPr>
        <w:tc>
          <w:tcPr>
            <w:tcW w:w="4621" w:type="dxa"/>
          </w:tcPr>
          <w:p w14:paraId="61656623" w14:textId="77777777" w:rsidR="00D22234" w:rsidRPr="00104131" w:rsidRDefault="00D22234" w:rsidP="00B26889">
            <w:pPr>
              <w:pStyle w:val="CM4"/>
              <w:spacing w:line="240" w:lineRule="auto"/>
              <w:jc w:val="center"/>
              <w:rPr>
                <w:b/>
                <w:bCs/>
                <w:sz w:val="8"/>
                <w:szCs w:val="8"/>
              </w:rPr>
            </w:pPr>
          </w:p>
          <w:p w14:paraId="0A0C41D5" w14:textId="77777777" w:rsidR="00D22234" w:rsidRPr="00104131" w:rsidRDefault="00D22234" w:rsidP="00B26889">
            <w:pPr>
              <w:pStyle w:val="CM4"/>
              <w:spacing w:line="240" w:lineRule="auto"/>
              <w:jc w:val="center"/>
            </w:pPr>
            <w:r w:rsidRPr="00104131">
              <w:rPr>
                <w:b/>
                <w:bCs/>
              </w:rPr>
              <w:t>John Gibson</w:t>
            </w:r>
          </w:p>
          <w:p w14:paraId="13463830" w14:textId="34BA132F" w:rsidR="00D22234" w:rsidRPr="00104131" w:rsidRDefault="000C004D" w:rsidP="000C004D">
            <w:pPr>
              <w:pStyle w:val="CM23"/>
              <w:spacing w:after="0"/>
              <w:jc w:val="center"/>
              <w:rPr>
                <w:i/>
                <w:iCs/>
              </w:rPr>
            </w:pPr>
            <w:r w:rsidRPr="00104131">
              <w:rPr>
                <w:i/>
                <w:iCs/>
              </w:rPr>
              <w:t>and</w:t>
            </w:r>
          </w:p>
          <w:p w14:paraId="2A3053F1" w14:textId="617EB595" w:rsidR="000C004D" w:rsidRPr="00104131" w:rsidRDefault="000C004D" w:rsidP="000C004D">
            <w:pPr>
              <w:pStyle w:val="Default"/>
              <w:jc w:val="center"/>
              <w:rPr>
                <w:rFonts w:ascii="Times New Roman" w:hAnsi="Times New Roman" w:cs="Times New Roman"/>
                <w:b/>
                <w:bCs/>
                <w:lang w:val="en-US" w:eastAsia="en-US"/>
              </w:rPr>
            </w:pPr>
            <w:r w:rsidRPr="00104131">
              <w:rPr>
                <w:rFonts w:ascii="Times New Roman" w:hAnsi="Times New Roman" w:cs="Times New Roman"/>
                <w:b/>
                <w:bCs/>
                <w:lang w:val="en-US" w:eastAsia="en-US"/>
              </w:rPr>
              <w:t>Geua Boe-Gibson</w:t>
            </w:r>
          </w:p>
          <w:p w14:paraId="55090838" w14:textId="77777777" w:rsidR="000C004D" w:rsidRPr="00104131" w:rsidRDefault="000C004D" w:rsidP="000C004D">
            <w:pPr>
              <w:pStyle w:val="Default"/>
              <w:jc w:val="center"/>
              <w:rPr>
                <w:rFonts w:ascii="Times New Roman" w:hAnsi="Times New Roman" w:cs="Times New Roman"/>
                <w:b/>
                <w:bCs/>
                <w:sz w:val="12"/>
                <w:szCs w:val="12"/>
                <w:lang w:val="en-US" w:eastAsia="en-US"/>
              </w:rPr>
            </w:pPr>
          </w:p>
          <w:p w14:paraId="07E63892" w14:textId="77777777" w:rsidR="00D22234" w:rsidRPr="00104131" w:rsidRDefault="00D22234" w:rsidP="00B26889">
            <w:pPr>
              <w:pStyle w:val="CM23"/>
              <w:spacing w:after="0"/>
              <w:jc w:val="center"/>
            </w:pPr>
            <w:r w:rsidRPr="00104131">
              <w:t>School of Accounting, Finance</w:t>
            </w:r>
          </w:p>
          <w:p w14:paraId="2614F62F" w14:textId="77777777" w:rsidR="00D22234" w:rsidRPr="00104131" w:rsidRDefault="00D22234" w:rsidP="00B26889">
            <w:pPr>
              <w:pStyle w:val="Default"/>
              <w:jc w:val="center"/>
              <w:rPr>
                <w:rFonts w:ascii="Times New Roman" w:hAnsi="Times New Roman" w:cs="Times New Roman"/>
                <w:lang w:val="en-US" w:eastAsia="en-US"/>
              </w:rPr>
            </w:pPr>
            <w:r w:rsidRPr="00104131">
              <w:rPr>
                <w:rFonts w:ascii="Times New Roman" w:hAnsi="Times New Roman" w:cs="Times New Roman"/>
                <w:lang w:val="en-US" w:eastAsia="en-US"/>
              </w:rPr>
              <w:t>and Economics</w:t>
            </w:r>
          </w:p>
          <w:p w14:paraId="0D3524F2" w14:textId="77777777" w:rsidR="00D22234" w:rsidRPr="00104131" w:rsidRDefault="00D22234" w:rsidP="00B26889">
            <w:pPr>
              <w:pStyle w:val="CM23"/>
              <w:spacing w:after="0"/>
              <w:jc w:val="center"/>
            </w:pPr>
            <w:r w:rsidRPr="00104131">
              <w:t>University of Waikato</w:t>
            </w:r>
          </w:p>
          <w:p w14:paraId="4AD71069" w14:textId="77777777" w:rsidR="00D22234" w:rsidRPr="00104131" w:rsidRDefault="00D22234" w:rsidP="00B26889">
            <w:pPr>
              <w:pStyle w:val="CM23"/>
              <w:spacing w:after="0"/>
              <w:jc w:val="center"/>
            </w:pPr>
            <w:r w:rsidRPr="00104131">
              <w:t>Private Bag 3105</w:t>
            </w:r>
          </w:p>
          <w:p w14:paraId="379D6456" w14:textId="77777777" w:rsidR="00D22234" w:rsidRPr="00104131" w:rsidRDefault="00D22234" w:rsidP="00B26889">
            <w:pPr>
              <w:pStyle w:val="CM23"/>
              <w:spacing w:after="0"/>
              <w:jc w:val="center"/>
            </w:pPr>
            <w:r w:rsidRPr="00104131">
              <w:t>Hamilton</w:t>
            </w:r>
          </w:p>
          <w:p w14:paraId="2C1F0911" w14:textId="77777777" w:rsidR="00D22234" w:rsidRPr="00104131" w:rsidRDefault="00D22234" w:rsidP="00B26889">
            <w:pPr>
              <w:pStyle w:val="CM23"/>
              <w:spacing w:after="0"/>
              <w:jc w:val="center"/>
            </w:pPr>
            <w:r w:rsidRPr="00104131">
              <w:t xml:space="preserve">New Zealand, 3240 </w:t>
            </w:r>
          </w:p>
          <w:p w14:paraId="3DAB9224" w14:textId="77777777" w:rsidR="00D22234" w:rsidRPr="00104131" w:rsidRDefault="00D22234" w:rsidP="00B26889">
            <w:pPr>
              <w:pStyle w:val="Default"/>
              <w:rPr>
                <w:rFonts w:ascii="Times New Roman" w:hAnsi="Times New Roman" w:cs="Times New Roman"/>
                <w:sz w:val="12"/>
                <w:szCs w:val="12"/>
              </w:rPr>
            </w:pPr>
          </w:p>
          <w:p w14:paraId="7A12350F" w14:textId="77777777" w:rsidR="00D22234" w:rsidRPr="00104131" w:rsidRDefault="00D22234" w:rsidP="00B26889">
            <w:pPr>
              <w:pStyle w:val="Default"/>
              <w:jc w:val="center"/>
              <w:rPr>
                <w:rFonts w:ascii="Times New Roman" w:hAnsi="Times New Roman" w:cs="Times New Roman"/>
              </w:rPr>
            </w:pPr>
            <w:r w:rsidRPr="00104131">
              <w:rPr>
                <w:rFonts w:ascii="Times New Roman" w:hAnsi="Times New Roman" w:cs="Times New Roman"/>
              </w:rPr>
              <w:t>Tel: +64 (7) 838 4289</w:t>
            </w:r>
          </w:p>
          <w:p w14:paraId="278A7351" w14:textId="451EDE89" w:rsidR="00D22234" w:rsidRPr="00104131" w:rsidRDefault="00D22234" w:rsidP="00B26889">
            <w:pPr>
              <w:pStyle w:val="CM3"/>
              <w:jc w:val="center"/>
              <w:rPr>
                <w:bCs/>
                <w:sz w:val="12"/>
                <w:szCs w:val="12"/>
              </w:rPr>
            </w:pPr>
          </w:p>
          <w:p w14:paraId="4C4C12C6" w14:textId="77777777" w:rsidR="00104131" w:rsidRPr="00104131" w:rsidRDefault="00104131" w:rsidP="00104131">
            <w:pPr>
              <w:pStyle w:val="Default"/>
              <w:rPr>
                <w:rFonts w:ascii="Times New Roman" w:hAnsi="Times New Roman" w:cs="Times New Roman"/>
                <w:sz w:val="12"/>
                <w:szCs w:val="12"/>
                <w:lang w:val="en-US" w:eastAsia="en-US"/>
              </w:rPr>
            </w:pPr>
          </w:p>
          <w:p w14:paraId="0576AF70" w14:textId="77777777" w:rsidR="00D22234" w:rsidRPr="00104131" w:rsidRDefault="00D22234" w:rsidP="00B26889">
            <w:pPr>
              <w:pStyle w:val="CM3"/>
              <w:jc w:val="center"/>
              <w:rPr>
                <w:bCs/>
              </w:rPr>
            </w:pPr>
            <w:r w:rsidRPr="00104131">
              <w:rPr>
                <w:bCs/>
              </w:rPr>
              <w:t>Email: john.gibson@waikato.ac.nz</w:t>
            </w:r>
          </w:p>
          <w:p w14:paraId="3DCA6149" w14:textId="77777777" w:rsidR="00104131" w:rsidRPr="0045612D" w:rsidRDefault="00104131" w:rsidP="00104131">
            <w:pPr>
              <w:pStyle w:val="CM3"/>
              <w:jc w:val="center"/>
              <w:rPr>
                <w:bCs/>
                <w:sz w:val="6"/>
                <w:szCs w:val="6"/>
              </w:rPr>
            </w:pPr>
          </w:p>
          <w:p w14:paraId="35351A54" w14:textId="1FABC717" w:rsidR="00D22234" w:rsidRPr="00104131" w:rsidRDefault="00104131" w:rsidP="00104131">
            <w:pPr>
              <w:pStyle w:val="Default"/>
              <w:jc w:val="center"/>
              <w:rPr>
                <w:rFonts w:ascii="Times New Roman" w:hAnsi="Times New Roman" w:cs="Times New Roman"/>
              </w:rPr>
            </w:pPr>
            <w:r w:rsidRPr="00104131">
              <w:rPr>
                <w:rFonts w:ascii="Times New Roman" w:hAnsi="Times New Roman" w:cs="Times New Roman"/>
                <w:bCs/>
              </w:rPr>
              <w:t xml:space="preserve">Email: </w:t>
            </w:r>
            <w:r w:rsidR="005435AF">
              <w:rPr>
                <w:rFonts w:ascii="Times New Roman" w:hAnsi="Times New Roman" w:cs="Times New Roman"/>
                <w:bCs/>
              </w:rPr>
              <w:t>geuaboe</w:t>
            </w:r>
            <w:r w:rsidRPr="00104131">
              <w:rPr>
                <w:rFonts w:ascii="Times New Roman" w:hAnsi="Times New Roman" w:cs="Times New Roman"/>
                <w:bCs/>
              </w:rPr>
              <w:t>@waikato.ac.nz</w:t>
            </w:r>
          </w:p>
        </w:tc>
      </w:tr>
    </w:tbl>
    <w:p w14:paraId="1A011890" w14:textId="77777777" w:rsidR="00D22234" w:rsidRPr="00104131" w:rsidRDefault="00D22234" w:rsidP="00D22234">
      <w:pPr>
        <w:pStyle w:val="Default"/>
        <w:rPr>
          <w:rFonts w:ascii="Times New Roman" w:hAnsi="Times New Roman" w:cs="Times New Roman"/>
        </w:rPr>
      </w:pPr>
    </w:p>
    <w:p w14:paraId="371805A2" w14:textId="77777777" w:rsidR="00D22234" w:rsidRDefault="00D22234" w:rsidP="00D22234">
      <w:pPr>
        <w:spacing w:line="288" w:lineRule="auto"/>
        <w:jc w:val="right"/>
        <w:rPr>
          <w:b/>
          <w:iCs/>
        </w:rPr>
      </w:pPr>
    </w:p>
    <w:p w14:paraId="2F9CEFF8" w14:textId="77777777" w:rsidR="00D22234" w:rsidRDefault="00D22234" w:rsidP="00D22234">
      <w:pPr>
        <w:spacing w:line="288" w:lineRule="auto"/>
        <w:jc w:val="center"/>
        <w:rPr>
          <w:b/>
          <w:iCs/>
        </w:rPr>
      </w:pPr>
    </w:p>
    <w:p w14:paraId="32AEC7F3" w14:textId="77777777" w:rsidR="00D22234" w:rsidRDefault="00D22234" w:rsidP="00D22234">
      <w:pPr>
        <w:spacing w:line="288" w:lineRule="auto"/>
        <w:jc w:val="center"/>
        <w:rPr>
          <w:b/>
          <w:iCs/>
        </w:rPr>
      </w:pPr>
    </w:p>
    <w:p w14:paraId="76397A5C" w14:textId="77777777" w:rsidR="00D22234" w:rsidRDefault="00D22234" w:rsidP="00D22234">
      <w:pPr>
        <w:spacing w:line="288" w:lineRule="auto"/>
        <w:jc w:val="center"/>
        <w:rPr>
          <w:b/>
        </w:rPr>
      </w:pPr>
    </w:p>
    <w:p w14:paraId="4936D98D" w14:textId="77777777" w:rsidR="003651D8" w:rsidRDefault="003651D8" w:rsidP="00D22234">
      <w:pPr>
        <w:jc w:val="center"/>
        <w:rPr>
          <w:b/>
        </w:rPr>
      </w:pPr>
    </w:p>
    <w:p w14:paraId="68797A0C" w14:textId="415F0004" w:rsidR="003651D8" w:rsidRDefault="003651D8" w:rsidP="00D22234">
      <w:pPr>
        <w:jc w:val="center"/>
        <w:rPr>
          <w:b/>
        </w:rPr>
      </w:pPr>
    </w:p>
    <w:p w14:paraId="7490608F" w14:textId="77777777" w:rsidR="003651D8" w:rsidRDefault="003651D8" w:rsidP="00D22234">
      <w:pPr>
        <w:jc w:val="center"/>
        <w:rPr>
          <w:b/>
        </w:rPr>
      </w:pPr>
    </w:p>
    <w:p w14:paraId="16180765" w14:textId="0D78A5B3" w:rsidR="00D22234" w:rsidRDefault="00D22234" w:rsidP="00D22234">
      <w:pPr>
        <w:jc w:val="center"/>
        <w:rPr>
          <w:b/>
        </w:rPr>
      </w:pPr>
      <w:r>
        <w:rPr>
          <w:b/>
        </w:rPr>
        <w:t>Abstract</w:t>
      </w:r>
    </w:p>
    <w:p w14:paraId="2730B302" w14:textId="2F419D4D" w:rsidR="00073CA7" w:rsidRDefault="00073CA7" w:rsidP="008B34B3">
      <w:pPr>
        <w:spacing w:after="0" w:line="360" w:lineRule="auto"/>
        <w:ind w:left="720" w:right="720"/>
        <w:jc w:val="lowKashida"/>
        <w:rPr>
          <w:bCs/>
          <w:lang w:val="en-US"/>
        </w:rPr>
      </w:pPr>
      <w:r>
        <w:rPr>
          <w:bCs/>
          <w:lang w:val="en-US"/>
        </w:rPr>
        <w:t>The DMSP night lights data used in economics are old and not very accurate. Newer VIIRS night lights data have 60</w:t>
      </w:r>
      <w:r w:rsidR="008B34B3">
        <w:rPr>
          <w:bCs/>
          <w:lang w:val="en-US"/>
        </w:rPr>
        <w:t xml:space="preserve"> percent</w:t>
      </w:r>
      <w:r>
        <w:rPr>
          <w:bCs/>
          <w:lang w:val="en-US"/>
        </w:rPr>
        <w:t xml:space="preserve"> higher predictive power for state-level GDP in the United States. Predictive accuracy is far higher in the cross section than for time series changes, either annually or quarterly. Night lights predict </w:t>
      </w:r>
      <w:proofErr w:type="gramStart"/>
      <w:r>
        <w:rPr>
          <w:bCs/>
          <w:lang w:val="en-US"/>
        </w:rPr>
        <w:t>more weakly</w:t>
      </w:r>
      <w:proofErr w:type="gramEnd"/>
      <w:r>
        <w:rPr>
          <w:bCs/>
          <w:lang w:val="en-US"/>
        </w:rPr>
        <w:t xml:space="preserve"> for agriculture than for manufacturing and other industries. These three facts suggest a need for caution in using night lights data, which may be unsuitable for many economics research purposes in many places.</w:t>
      </w:r>
    </w:p>
    <w:p w14:paraId="52E498DE" w14:textId="77777777" w:rsidR="00D22234" w:rsidRDefault="00D22234" w:rsidP="00D22234">
      <w:pPr>
        <w:spacing w:line="360" w:lineRule="auto"/>
      </w:pPr>
    </w:p>
    <w:p w14:paraId="26C966E6" w14:textId="77777777" w:rsidR="00D22234" w:rsidRDefault="00D22234" w:rsidP="000158EB">
      <w:pPr>
        <w:spacing w:line="240" w:lineRule="auto"/>
        <w:jc w:val="center"/>
        <w:rPr>
          <w:b/>
        </w:rPr>
      </w:pPr>
      <w:r>
        <w:rPr>
          <w:b/>
        </w:rPr>
        <w:t>Keywords</w:t>
      </w:r>
    </w:p>
    <w:p w14:paraId="4B1A2873" w14:textId="77777777" w:rsidR="00073CA7" w:rsidRDefault="00073CA7" w:rsidP="000C004D">
      <w:pPr>
        <w:spacing w:after="0" w:line="240" w:lineRule="auto"/>
        <w:jc w:val="center"/>
        <w:rPr>
          <w:rFonts w:eastAsia="Batang"/>
          <w:lang w:val="en-US" w:eastAsia="ko-KR"/>
        </w:rPr>
      </w:pPr>
      <w:r>
        <w:rPr>
          <w:rFonts w:eastAsia="Batang"/>
          <w:lang w:val="en-US" w:eastAsia="ko-KR"/>
        </w:rPr>
        <w:t>DMSP</w:t>
      </w:r>
    </w:p>
    <w:p w14:paraId="61E4C3F2" w14:textId="77777777" w:rsidR="000C004D" w:rsidRDefault="00073CA7" w:rsidP="000C004D">
      <w:pPr>
        <w:spacing w:after="0" w:line="240" w:lineRule="auto"/>
        <w:jc w:val="center"/>
        <w:rPr>
          <w:rFonts w:eastAsia="Batang"/>
          <w:lang w:val="en-US" w:eastAsia="ko-KR"/>
        </w:rPr>
      </w:pPr>
      <w:r>
        <w:rPr>
          <w:rFonts w:eastAsia="Batang"/>
          <w:lang w:val="en-US" w:eastAsia="ko-KR"/>
        </w:rPr>
        <w:t>GDP</w:t>
      </w:r>
    </w:p>
    <w:p w14:paraId="7ACCB8BB" w14:textId="77777777" w:rsidR="000C004D" w:rsidRDefault="00073CA7" w:rsidP="000C004D">
      <w:pPr>
        <w:spacing w:after="0" w:line="240" w:lineRule="auto"/>
        <w:jc w:val="center"/>
        <w:rPr>
          <w:rFonts w:eastAsia="Batang"/>
          <w:lang w:val="en-US" w:eastAsia="ko-KR"/>
        </w:rPr>
      </w:pPr>
      <w:r>
        <w:rPr>
          <w:rFonts w:eastAsia="Batang"/>
          <w:lang w:val="en-US" w:eastAsia="ko-KR"/>
        </w:rPr>
        <w:t>night lights</w:t>
      </w:r>
    </w:p>
    <w:p w14:paraId="73CDDC04" w14:textId="77777777" w:rsidR="000C004D" w:rsidRDefault="00073CA7" w:rsidP="000C004D">
      <w:pPr>
        <w:spacing w:after="0" w:line="240" w:lineRule="auto"/>
        <w:jc w:val="center"/>
        <w:rPr>
          <w:rFonts w:eastAsia="Batang"/>
          <w:lang w:val="en-US" w:eastAsia="ko-KR"/>
        </w:rPr>
      </w:pPr>
      <w:r>
        <w:rPr>
          <w:rFonts w:eastAsia="Batang"/>
          <w:lang w:val="en-US" w:eastAsia="ko-KR"/>
        </w:rPr>
        <w:t>VIIRS</w:t>
      </w:r>
    </w:p>
    <w:p w14:paraId="61736C47" w14:textId="5CF9BCD3" w:rsidR="00D22234" w:rsidRDefault="00073CA7" w:rsidP="000C004D">
      <w:pPr>
        <w:spacing w:after="0" w:line="240" w:lineRule="auto"/>
        <w:jc w:val="center"/>
      </w:pPr>
      <w:r>
        <w:rPr>
          <w:rFonts w:eastAsia="Batang"/>
          <w:lang w:val="en-US" w:eastAsia="ko-KR"/>
        </w:rPr>
        <w:t>United States</w:t>
      </w:r>
    </w:p>
    <w:p w14:paraId="240DC6D2" w14:textId="77777777" w:rsidR="00D22234" w:rsidRDefault="00D22234" w:rsidP="00D22234">
      <w:pPr>
        <w:jc w:val="center"/>
      </w:pPr>
    </w:p>
    <w:p w14:paraId="3F9136C3" w14:textId="77777777" w:rsidR="00D22234" w:rsidRDefault="00D22234" w:rsidP="000158EB">
      <w:pPr>
        <w:spacing w:line="240" w:lineRule="auto"/>
        <w:jc w:val="center"/>
        <w:rPr>
          <w:b/>
        </w:rPr>
      </w:pPr>
      <w:r>
        <w:rPr>
          <w:b/>
        </w:rPr>
        <w:t>JEL Codes</w:t>
      </w:r>
    </w:p>
    <w:p w14:paraId="40EEB3D3" w14:textId="632879DF" w:rsidR="00D22234" w:rsidRPr="00E91E14" w:rsidRDefault="00073CA7" w:rsidP="00D22234">
      <w:pPr>
        <w:jc w:val="center"/>
        <w:rPr>
          <w:bCs/>
        </w:rPr>
      </w:pPr>
      <w:r>
        <w:rPr>
          <w:rFonts w:eastAsia="Batang"/>
          <w:lang w:val="en-US" w:eastAsia="ko-KR"/>
        </w:rPr>
        <w:t>E23, R12</w:t>
      </w:r>
    </w:p>
    <w:p w14:paraId="20758F74" w14:textId="77777777" w:rsidR="00D22234" w:rsidRDefault="00D22234" w:rsidP="00D22234">
      <w:pPr>
        <w:spacing w:line="240" w:lineRule="exact"/>
        <w:rPr>
          <w:sz w:val="22"/>
        </w:rPr>
      </w:pPr>
    </w:p>
    <w:p w14:paraId="590D1AE6" w14:textId="77777777" w:rsidR="00D22234" w:rsidRDefault="00D22234" w:rsidP="00D22234">
      <w:pPr>
        <w:spacing w:line="300" w:lineRule="auto"/>
        <w:jc w:val="center"/>
        <w:rPr>
          <w:lang w:val="en-GB" w:eastAsia="en-NZ"/>
        </w:rPr>
      </w:pPr>
    </w:p>
    <w:p w14:paraId="66CDC783" w14:textId="77777777" w:rsidR="00D22234" w:rsidRPr="000C004D" w:rsidRDefault="00D22234" w:rsidP="00D22234">
      <w:pPr>
        <w:spacing w:line="300" w:lineRule="auto"/>
        <w:jc w:val="center"/>
        <w:rPr>
          <w:b/>
          <w:sz w:val="22"/>
          <w:szCs w:val="22"/>
        </w:rPr>
      </w:pPr>
      <w:r w:rsidRPr="000C004D">
        <w:rPr>
          <w:b/>
          <w:sz w:val="22"/>
          <w:szCs w:val="22"/>
        </w:rPr>
        <w:t>Acknowledgements</w:t>
      </w:r>
    </w:p>
    <w:p w14:paraId="15BA1317" w14:textId="77777777" w:rsidR="000C004D" w:rsidRPr="000C004D" w:rsidRDefault="000C004D" w:rsidP="000C004D">
      <w:pPr>
        <w:spacing w:after="0" w:line="240" w:lineRule="auto"/>
        <w:jc w:val="center"/>
        <w:rPr>
          <w:sz w:val="22"/>
          <w:szCs w:val="22"/>
        </w:rPr>
      </w:pPr>
      <w:r w:rsidRPr="000C004D">
        <w:rPr>
          <w:sz w:val="22"/>
          <w:szCs w:val="22"/>
        </w:rPr>
        <w:t xml:space="preserve">Helpful comments from seminar audiences at CERDI, Oxford, and the Tinbergen Institute </w:t>
      </w:r>
    </w:p>
    <w:p w14:paraId="5E146ED2" w14:textId="50EC565D" w:rsidR="000C004D" w:rsidRPr="000C004D" w:rsidRDefault="000C004D" w:rsidP="000C004D">
      <w:pPr>
        <w:spacing w:after="0" w:line="240" w:lineRule="auto"/>
        <w:jc w:val="center"/>
        <w:rPr>
          <w:sz w:val="22"/>
          <w:szCs w:val="22"/>
        </w:rPr>
      </w:pPr>
      <w:r w:rsidRPr="000C004D">
        <w:rPr>
          <w:sz w:val="22"/>
          <w:szCs w:val="22"/>
        </w:rPr>
        <w:t>are gratefully acknowledged. These are the views of the authors.</w:t>
      </w:r>
    </w:p>
    <w:p w14:paraId="167D2FBA" w14:textId="77777777" w:rsidR="00D22234" w:rsidRDefault="00D22234" w:rsidP="000C004D">
      <w:pPr>
        <w:jc w:val="center"/>
        <w:rPr>
          <w:sz w:val="22"/>
          <w:szCs w:val="22"/>
        </w:rPr>
      </w:pPr>
    </w:p>
    <w:p w14:paraId="47B00877" w14:textId="12500C3A" w:rsidR="000F199B" w:rsidRPr="00467A48" w:rsidRDefault="000F199B" w:rsidP="00E90B98">
      <w:pPr>
        <w:pStyle w:val="1AutoList2"/>
        <w:spacing w:line="360" w:lineRule="auto"/>
        <w:ind w:left="0" w:firstLine="0"/>
        <w:jc w:val="center"/>
        <w:rPr>
          <w:rFonts w:cs="Arial"/>
          <w:sz w:val="32"/>
          <w:szCs w:val="32"/>
        </w:rPr>
      </w:pPr>
    </w:p>
    <w:p w14:paraId="4741A455" w14:textId="77777777" w:rsidR="002C5B8B" w:rsidRPr="00467A48" w:rsidRDefault="002C5B8B" w:rsidP="00E11DD1">
      <w:pPr>
        <w:pStyle w:val="1AutoList2"/>
        <w:spacing w:line="360" w:lineRule="auto"/>
        <w:ind w:left="0" w:firstLine="0"/>
        <w:jc w:val="center"/>
        <w:rPr>
          <w:rFonts w:cs="Arial"/>
          <w:sz w:val="32"/>
          <w:szCs w:val="32"/>
        </w:rPr>
      </w:pPr>
    </w:p>
    <w:p w14:paraId="4B8F0918" w14:textId="77777777" w:rsidR="003651D8" w:rsidRDefault="003651D8" w:rsidP="008A4D01">
      <w:pPr>
        <w:spacing w:after="0" w:line="360" w:lineRule="auto"/>
        <w:ind w:left="284" w:hanging="284"/>
        <w:rPr>
          <w:rFonts w:cs="Arial"/>
          <w:b/>
          <w:bCs/>
        </w:rPr>
      </w:pPr>
    </w:p>
    <w:p w14:paraId="067349AF" w14:textId="77777777" w:rsidR="003651D8" w:rsidRDefault="003651D8" w:rsidP="008A4D01">
      <w:pPr>
        <w:spacing w:after="0" w:line="360" w:lineRule="auto"/>
        <w:ind w:left="284" w:hanging="284"/>
        <w:rPr>
          <w:rFonts w:cs="Arial"/>
          <w:b/>
          <w:bCs/>
        </w:rPr>
      </w:pPr>
    </w:p>
    <w:p w14:paraId="5BC92D1B" w14:textId="495CC160" w:rsidR="002C5B8B" w:rsidRPr="0098402E" w:rsidRDefault="004327EE" w:rsidP="008A4D01">
      <w:pPr>
        <w:spacing w:after="0" w:line="360" w:lineRule="auto"/>
        <w:ind w:left="284" w:hanging="284"/>
        <w:rPr>
          <w:bCs/>
          <w:lang w:val="en-AU"/>
        </w:rPr>
      </w:pPr>
      <w:r w:rsidRPr="0098402E">
        <w:rPr>
          <w:rFonts w:cs="Arial"/>
          <w:b/>
          <w:bCs/>
        </w:rPr>
        <w:lastRenderedPageBreak/>
        <w:t>I.</w:t>
      </w:r>
      <w:r w:rsidRPr="0098402E">
        <w:rPr>
          <w:rFonts w:cs="Arial"/>
          <w:b/>
          <w:bCs/>
        </w:rPr>
        <w:tab/>
        <w:t>Introduction</w:t>
      </w:r>
      <w:r w:rsidRPr="0098402E">
        <w:rPr>
          <w:bCs/>
          <w:lang w:val="en-AU"/>
        </w:rPr>
        <w:t xml:space="preserve"> </w:t>
      </w:r>
    </w:p>
    <w:p w14:paraId="384F4D41" w14:textId="77777777" w:rsidR="00C3408F" w:rsidRPr="00C3408F" w:rsidRDefault="00C3408F" w:rsidP="0098402E">
      <w:pPr>
        <w:spacing w:after="0" w:line="360" w:lineRule="auto"/>
        <w:jc w:val="both"/>
        <w:rPr>
          <w:sz w:val="6"/>
          <w:szCs w:val="6"/>
        </w:rPr>
      </w:pPr>
    </w:p>
    <w:p w14:paraId="4FD43DE6" w14:textId="6ED9E192" w:rsidR="00E90075" w:rsidRDefault="00AF07D5" w:rsidP="0098402E">
      <w:pPr>
        <w:spacing w:after="0" w:line="360" w:lineRule="auto"/>
        <w:jc w:val="both"/>
        <w:rPr>
          <w:bCs/>
          <w:lang w:val="en-US"/>
        </w:rPr>
      </w:pPr>
      <w:r>
        <w:t>Night lights</w:t>
      </w:r>
      <w:r w:rsidR="00E90075">
        <w:t xml:space="preserve"> data</w:t>
      </w:r>
      <w:r>
        <w:t xml:space="preserve"> are increasingly used </w:t>
      </w:r>
      <w:r w:rsidR="00E90075">
        <w:t>in economics</w:t>
      </w:r>
      <w:r>
        <w:t xml:space="preserve">, </w:t>
      </w:r>
      <w:r w:rsidR="00E90075">
        <w:t xml:space="preserve">following the seminal study by Henderson </w:t>
      </w:r>
      <w:r w:rsidR="008A4D01" w:rsidRPr="008A4D01">
        <w:rPr>
          <w:bCs/>
          <w:i/>
          <w:iCs/>
          <w:lang w:val="en-US"/>
        </w:rPr>
        <w:t>et al</w:t>
      </w:r>
      <w:r w:rsidR="008A4D01">
        <w:t>.</w:t>
      </w:r>
      <w:r w:rsidR="00E90075">
        <w:t xml:space="preserve"> (2012).</w:t>
      </w:r>
      <w:r>
        <w:t xml:space="preserve"> </w:t>
      </w:r>
      <w:r w:rsidR="00E90075">
        <w:t>A review finds over 150 studies in economics (Gibs</w:t>
      </w:r>
      <w:r w:rsidR="007737A3">
        <w:t xml:space="preserve">on </w:t>
      </w:r>
      <w:r w:rsidR="008A4D01" w:rsidRPr="008A4D01">
        <w:rPr>
          <w:bCs/>
          <w:i/>
          <w:iCs/>
          <w:lang w:val="en-US"/>
        </w:rPr>
        <w:t>et al</w:t>
      </w:r>
      <w:r w:rsidR="008A4D01">
        <w:t xml:space="preserve">. </w:t>
      </w:r>
      <w:r w:rsidR="007737A3">
        <w:t xml:space="preserve">2020), </w:t>
      </w:r>
      <w:r w:rsidR="008904AC">
        <w:t>al</w:t>
      </w:r>
      <w:r w:rsidR="00E04D3B">
        <w:t>most</w:t>
      </w:r>
      <w:r w:rsidR="007737A3">
        <w:t xml:space="preserve"> </w:t>
      </w:r>
      <w:r w:rsidR="008904AC">
        <w:t xml:space="preserve">all </w:t>
      </w:r>
      <w:r w:rsidR="007737A3">
        <w:t>using</w:t>
      </w:r>
      <w:r w:rsidR="00E90075">
        <w:t xml:space="preserve"> </w:t>
      </w:r>
      <w:r w:rsidR="00E90075">
        <w:rPr>
          <w:bCs/>
          <w:lang w:val="en-US"/>
        </w:rPr>
        <w:t xml:space="preserve">Defense Meteorological Satellite Program (DMSP) data. </w:t>
      </w:r>
      <w:r w:rsidR="007737A3">
        <w:rPr>
          <w:bCs/>
          <w:lang w:val="en-US"/>
        </w:rPr>
        <w:t xml:space="preserve">These </w:t>
      </w:r>
      <w:r w:rsidR="00E90075">
        <w:rPr>
          <w:bCs/>
          <w:lang w:val="en-US"/>
        </w:rPr>
        <w:t xml:space="preserve">DMSP data are not very accurate and are old, with </w:t>
      </w:r>
      <w:r w:rsidR="00D42E54">
        <w:rPr>
          <w:bCs/>
          <w:lang w:val="en-US"/>
        </w:rPr>
        <w:t xml:space="preserve">data release </w:t>
      </w:r>
      <w:r w:rsidR="007737A3">
        <w:rPr>
          <w:bCs/>
          <w:lang w:val="en-US"/>
        </w:rPr>
        <w:t xml:space="preserve">ending </w:t>
      </w:r>
      <w:r w:rsidR="00E90075">
        <w:rPr>
          <w:bCs/>
          <w:lang w:val="en-US"/>
        </w:rPr>
        <w:t>in 2013.</w:t>
      </w:r>
      <w:r w:rsidR="00E04D3B">
        <w:rPr>
          <w:bCs/>
          <w:lang w:val="en-US"/>
        </w:rPr>
        <w:t xml:space="preserve"> The inaccuracies include</w:t>
      </w:r>
      <w:r w:rsidR="007737A3">
        <w:rPr>
          <w:bCs/>
          <w:lang w:val="en-US"/>
        </w:rPr>
        <w:t>:</w:t>
      </w:r>
      <w:r w:rsidR="00E04D3B">
        <w:rPr>
          <w:bCs/>
          <w:lang w:val="en-US"/>
        </w:rPr>
        <w:t xml:space="preserve"> blurred </w:t>
      </w:r>
      <w:r w:rsidR="00E90075">
        <w:rPr>
          <w:bCs/>
          <w:lang w:val="en-US"/>
        </w:rPr>
        <w:t xml:space="preserve">images (Abrahams </w:t>
      </w:r>
      <w:r w:rsidR="008A4D01" w:rsidRPr="008A4D01">
        <w:rPr>
          <w:bCs/>
          <w:i/>
          <w:iCs/>
          <w:lang w:val="en-US"/>
        </w:rPr>
        <w:t>et al</w:t>
      </w:r>
      <w:r w:rsidR="008A4D01">
        <w:rPr>
          <w:bCs/>
          <w:i/>
          <w:iCs/>
          <w:lang w:val="en-US"/>
        </w:rPr>
        <w:t>.</w:t>
      </w:r>
      <w:r w:rsidR="00E90075">
        <w:rPr>
          <w:bCs/>
          <w:lang w:val="en-US"/>
        </w:rPr>
        <w:t xml:space="preserve"> 2018) and geo-location errors (Tuttle </w:t>
      </w:r>
      <w:r w:rsidR="00E90075" w:rsidRPr="008A4D01">
        <w:rPr>
          <w:bCs/>
          <w:i/>
          <w:iCs/>
          <w:lang w:val="en-US"/>
        </w:rPr>
        <w:t>et al</w:t>
      </w:r>
      <w:r w:rsidR="008A4D01">
        <w:rPr>
          <w:bCs/>
          <w:i/>
          <w:iCs/>
          <w:lang w:val="en-US"/>
        </w:rPr>
        <w:t>.</w:t>
      </w:r>
      <w:r w:rsidR="00E90075" w:rsidRPr="008A4D01">
        <w:rPr>
          <w:bCs/>
          <w:i/>
          <w:iCs/>
          <w:lang w:val="en-US"/>
        </w:rPr>
        <w:t xml:space="preserve"> </w:t>
      </w:r>
      <w:r w:rsidR="00E90075">
        <w:rPr>
          <w:bCs/>
          <w:lang w:val="en-US"/>
        </w:rPr>
        <w:t xml:space="preserve">2013), </w:t>
      </w:r>
      <w:r w:rsidR="00E04D3B">
        <w:rPr>
          <w:bCs/>
          <w:lang w:val="en-US"/>
        </w:rPr>
        <w:t xml:space="preserve">so </w:t>
      </w:r>
      <w:r w:rsidR="00E90075">
        <w:rPr>
          <w:bCs/>
          <w:lang w:val="en-US"/>
        </w:rPr>
        <w:t xml:space="preserve">light </w:t>
      </w:r>
      <w:r w:rsidR="00E04D3B">
        <w:rPr>
          <w:bCs/>
          <w:lang w:val="en-US"/>
        </w:rPr>
        <w:t xml:space="preserve">is attributed </w:t>
      </w:r>
      <w:r w:rsidR="00E90075">
        <w:rPr>
          <w:bCs/>
          <w:lang w:val="en-US"/>
        </w:rPr>
        <w:t>to places</w:t>
      </w:r>
      <w:r w:rsidR="007737A3">
        <w:rPr>
          <w:bCs/>
          <w:lang w:val="en-US"/>
        </w:rPr>
        <w:t xml:space="preserve"> other than where it is emitted; top-coding, whe</w:t>
      </w:r>
      <w:r w:rsidR="00D42E54">
        <w:rPr>
          <w:bCs/>
          <w:lang w:val="en-US"/>
        </w:rPr>
        <w:t>re brightly-lit city centers are wrongly given</w:t>
      </w:r>
      <w:r w:rsidR="007737A3">
        <w:rPr>
          <w:bCs/>
          <w:lang w:val="en-US"/>
        </w:rPr>
        <w:t xml:space="preserve"> the same dat</w:t>
      </w:r>
      <w:r w:rsidR="00267618">
        <w:rPr>
          <w:bCs/>
          <w:lang w:val="en-US"/>
        </w:rPr>
        <w:t>a values as low density, dimmer</w:t>
      </w:r>
      <w:r w:rsidR="007737A3">
        <w:rPr>
          <w:bCs/>
          <w:lang w:val="en-US"/>
        </w:rPr>
        <w:t xml:space="preserve"> suburb</w:t>
      </w:r>
      <w:r w:rsidR="00267618">
        <w:rPr>
          <w:bCs/>
          <w:lang w:val="en-US"/>
        </w:rPr>
        <w:t>s (Bluhm and Krause 2018); and</w:t>
      </w:r>
      <w:r w:rsidR="007737A3">
        <w:rPr>
          <w:bCs/>
          <w:lang w:val="en-US"/>
        </w:rPr>
        <w:t xml:space="preserve"> unrecorded variation in </w:t>
      </w:r>
      <w:r w:rsidR="008904AC">
        <w:rPr>
          <w:bCs/>
          <w:lang w:val="en-US"/>
        </w:rPr>
        <w:t xml:space="preserve">DMSP </w:t>
      </w:r>
      <w:r w:rsidR="007737A3">
        <w:rPr>
          <w:bCs/>
          <w:lang w:val="en-US"/>
        </w:rPr>
        <w:t xml:space="preserve">sensor amplification and inter-satellite differences that impair comparability over time (Gibson </w:t>
      </w:r>
      <w:r w:rsidR="008A4D01" w:rsidRPr="008A4D01">
        <w:rPr>
          <w:bCs/>
          <w:i/>
          <w:iCs/>
          <w:lang w:val="en-US"/>
        </w:rPr>
        <w:t>et al</w:t>
      </w:r>
      <w:r w:rsidR="008A4D01">
        <w:rPr>
          <w:bCs/>
          <w:lang w:val="en-US"/>
        </w:rPr>
        <w:t xml:space="preserve">. </w:t>
      </w:r>
      <w:r w:rsidR="007737A3">
        <w:rPr>
          <w:bCs/>
          <w:lang w:val="en-US"/>
        </w:rPr>
        <w:t>2020).</w:t>
      </w:r>
      <w:r w:rsidR="00E90075">
        <w:rPr>
          <w:bCs/>
          <w:lang w:val="en-US"/>
        </w:rPr>
        <w:t xml:space="preserve"> </w:t>
      </w:r>
    </w:p>
    <w:p w14:paraId="09D6D5D9" w14:textId="77777777" w:rsidR="0098402E" w:rsidRPr="0098402E" w:rsidRDefault="0098402E" w:rsidP="0098402E">
      <w:pPr>
        <w:spacing w:after="0" w:line="360" w:lineRule="auto"/>
        <w:jc w:val="both"/>
        <w:rPr>
          <w:sz w:val="12"/>
          <w:szCs w:val="12"/>
        </w:rPr>
      </w:pPr>
    </w:p>
    <w:p w14:paraId="1C577946" w14:textId="693C6FAA" w:rsidR="00E90075" w:rsidRDefault="00E90075" w:rsidP="008A4D01">
      <w:pPr>
        <w:spacing w:after="0" w:line="360" w:lineRule="auto"/>
        <w:ind w:firstLine="567"/>
        <w:jc w:val="both"/>
        <w:rPr>
          <w:bCs/>
          <w:lang w:val="en-US"/>
        </w:rPr>
      </w:pPr>
      <w:r>
        <w:rPr>
          <w:bCs/>
          <w:lang w:val="en-US"/>
        </w:rPr>
        <w:t xml:space="preserve">In contrast, </w:t>
      </w:r>
      <w:r w:rsidR="00AF07D5">
        <w:rPr>
          <w:bCs/>
          <w:lang w:val="en-US"/>
        </w:rPr>
        <w:t xml:space="preserve">newer and better </w:t>
      </w:r>
      <w:r w:rsidR="00E04D3B">
        <w:rPr>
          <w:bCs/>
          <w:lang w:val="en-US"/>
        </w:rPr>
        <w:t xml:space="preserve">data </w:t>
      </w:r>
      <w:r w:rsidR="00AF07D5">
        <w:rPr>
          <w:bCs/>
          <w:lang w:val="en-US"/>
        </w:rPr>
        <w:t>from the Visible Infrared Imaging Radiometer Suite (VIIRS)</w:t>
      </w:r>
      <w:r>
        <w:rPr>
          <w:bCs/>
          <w:lang w:val="en-US"/>
        </w:rPr>
        <w:t xml:space="preserve"> are available monthly, </w:t>
      </w:r>
      <w:r w:rsidR="007737A3">
        <w:rPr>
          <w:bCs/>
          <w:lang w:val="en-US"/>
        </w:rPr>
        <w:t xml:space="preserve">giving </w:t>
      </w:r>
      <w:r>
        <w:rPr>
          <w:bCs/>
          <w:lang w:val="en-US"/>
        </w:rPr>
        <w:t xml:space="preserve">an almost real-time measure of </w:t>
      </w:r>
      <w:r w:rsidR="007737A3">
        <w:rPr>
          <w:bCs/>
          <w:lang w:val="en-US"/>
        </w:rPr>
        <w:t xml:space="preserve">night-lit </w:t>
      </w:r>
      <w:r>
        <w:rPr>
          <w:bCs/>
          <w:lang w:val="en-US"/>
        </w:rPr>
        <w:t xml:space="preserve">economic activity. </w:t>
      </w:r>
      <w:r w:rsidR="00846DD6">
        <w:rPr>
          <w:bCs/>
          <w:lang w:val="en-US"/>
        </w:rPr>
        <w:t xml:space="preserve">The VIIRS data are much more accurate, with spatial resolution 45-times greater than for DMSP (Elvidge </w:t>
      </w:r>
      <w:r w:rsidR="008A4D01" w:rsidRPr="008A4D01">
        <w:rPr>
          <w:bCs/>
          <w:i/>
          <w:iCs/>
          <w:lang w:val="en-US"/>
        </w:rPr>
        <w:t>et al</w:t>
      </w:r>
      <w:r w:rsidR="008A4D01">
        <w:rPr>
          <w:bCs/>
          <w:lang w:val="en-US"/>
        </w:rPr>
        <w:t xml:space="preserve">. </w:t>
      </w:r>
      <w:r w:rsidR="00846DD6">
        <w:rPr>
          <w:bCs/>
          <w:lang w:val="en-US"/>
        </w:rPr>
        <w:t>2013) and have no blurring or geo-location errors.</w:t>
      </w:r>
      <w:r w:rsidR="003466ED">
        <w:rPr>
          <w:rStyle w:val="FootnoteReference"/>
          <w:bCs/>
          <w:lang w:val="en-US"/>
        </w:rPr>
        <w:footnoteReference w:id="1"/>
      </w:r>
      <w:r w:rsidR="00846DD6">
        <w:rPr>
          <w:bCs/>
          <w:lang w:val="en-US"/>
        </w:rPr>
        <w:t xml:space="preserve"> </w:t>
      </w:r>
      <w:r w:rsidR="00E04D3B">
        <w:rPr>
          <w:bCs/>
          <w:lang w:val="en-US"/>
        </w:rPr>
        <w:t>The VIIRS data consistently measure the radiance of light coming from earth, in a wide range of lighting conditions (covering almost seven orders of magnitude while DMSP covers less than two), and are not subject to any top-coding</w:t>
      </w:r>
      <w:r w:rsidR="007737A3">
        <w:rPr>
          <w:bCs/>
          <w:lang w:val="en-US"/>
        </w:rPr>
        <w:t xml:space="preserve"> or other </w:t>
      </w:r>
      <w:r w:rsidR="00D42E54">
        <w:rPr>
          <w:bCs/>
          <w:lang w:val="en-US"/>
        </w:rPr>
        <w:t>temporal and</w:t>
      </w:r>
      <w:r w:rsidR="007737A3">
        <w:rPr>
          <w:bCs/>
          <w:lang w:val="en-US"/>
        </w:rPr>
        <w:t xml:space="preserve"> spatial</w:t>
      </w:r>
      <w:r w:rsidR="00D42E54">
        <w:rPr>
          <w:bCs/>
          <w:lang w:val="en-US"/>
        </w:rPr>
        <w:t xml:space="preserve"> errors</w:t>
      </w:r>
      <w:r w:rsidR="00E04D3B">
        <w:rPr>
          <w:bCs/>
          <w:lang w:val="en-US"/>
        </w:rPr>
        <w:t>.</w:t>
      </w:r>
    </w:p>
    <w:p w14:paraId="703D2372" w14:textId="77777777" w:rsidR="0098402E" w:rsidRPr="0098402E" w:rsidRDefault="0098402E" w:rsidP="0098402E">
      <w:pPr>
        <w:spacing w:after="0" w:line="360" w:lineRule="auto"/>
        <w:ind w:firstLine="720"/>
        <w:jc w:val="both"/>
        <w:rPr>
          <w:bCs/>
          <w:sz w:val="12"/>
          <w:szCs w:val="12"/>
          <w:lang w:val="en-US"/>
        </w:rPr>
      </w:pPr>
    </w:p>
    <w:p w14:paraId="62D4284D" w14:textId="2EBEED6F" w:rsidR="009E0BDB" w:rsidRDefault="007737A3" w:rsidP="008A4D01">
      <w:pPr>
        <w:spacing w:after="0" w:line="360" w:lineRule="auto"/>
        <w:ind w:firstLine="567"/>
        <w:jc w:val="both"/>
        <w:rPr>
          <w:bCs/>
          <w:lang w:val="en-US"/>
        </w:rPr>
      </w:pPr>
      <w:r>
        <w:rPr>
          <w:bCs/>
          <w:lang w:val="en-US"/>
        </w:rPr>
        <w:t>In this paper we</w:t>
      </w:r>
      <w:r w:rsidR="0022401B">
        <w:rPr>
          <w:bCs/>
          <w:lang w:val="en-US"/>
        </w:rPr>
        <w:t xml:space="preserve"> use DMSP and VIIRS annual data to predict state-level GDP for the U</w:t>
      </w:r>
      <w:r w:rsidR="00D42E54">
        <w:rPr>
          <w:bCs/>
          <w:lang w:val="en-US"/>
        </w:rPr>
        <w:t xml:space="preserve">nited </w:t>
      </w:r>
      <w:r w:rsidR="0022401B">
        <w:rPr>
          <w:bCs/>
          <w:lang w:val="en-US"/>
        </w:rPr>
        <w:t>S</w:t>
      </w:r>
      <w:r w:rsidR="00D42E54">
        <w:rPr>
          <w:bCs/>
          <w:lang w:val="en-US"/>
        </w:rPr>
        <w:t>tates.</w:t>
      </w:r>
      <w:r w:rsidR="009E0BDB">
        <w:rPr>
          <w:bCs/>
          <w:lang w:val="en-US"/>
        </w:rPr>
        <w:t xml:space="preserve"> </w:t>
      </w:r>
      <w:r w:rsidR="00D42E54">
        <w:rPr>
          <w:bCs/>
          <w:lang w:val="en-US"/>
        </w:rPr>
        <w:t xml:space="preserve">The predictive power of </w:t>
      </w:r>
      <w:r w:rsidR="0022401B">
        <w:rPr>
          <w:bCs/>
          <w:lang w:val="en-US"/>
        </w:rPr>
        <w:t>VIIRS data is 60</w:t>
      </w:r>
      <w:r w:rsidR="00F12336">
        <w:rPr>
          <w:bCs/>
          <w:lang w:val="en-US"/>
        </w:rPr>
        <w:t xml:space="preserve"> percent</w:t>
      </w:r>
      <w:r w:rsidR="0022401B">
        <w:rPr>
          <w:bCs/>
          <w:lang w:val="en-US"/>
        </w:rPr>
        <w:t xml:space="preserve"> higher</w:t>
      </w:r>
      <w:r w:rsidR="0039259D">
        <w:rPr>
          <w:bCs/>
          <w:lang w:val="en-US"/>
        </w:rPr>
        <w:t xml:space="preserve"> than </w:t>
      </w:r>
      <w:r w:rsidR="00D42E54">
        <w:rPr>
          <w:bCs/>
          <w:lang w:val="en-US"/>
        </w:rPr>
        <w:t>DMSP</w:t>
      </w:r>
      <w:r w:rsidR="0039259D">
        <w:rPr>
          <w:bCs/>
          <w:lang w:val="en-US"/>
        </w:rPr>
        <w:t xml:space="preserve"> data</w:t>
      </w:r>
      <w:r w:rsidR="0022401B">
        <w:rPr>
          <w:bCs/>
          <w:lang w:val="en-US"/>
        </w:rPr>
        <w:t xml:space="preserve">. We also </w:t>
      </w:r>
      <w:r w:rsidR="00E63939">
        <w:rPr>
          <w:bCs/>
          <w:lang w:val="en-US"/>
        </w:rPr>
        <w:t>examine the lights-GDP relation</w:t>
      </w:r>
      <w:r w:rsidR="009E0BDB">
        <w:rPr>
          <w:bCs/>
          <w:lang w:val="en-US"/>
        </w:rPr>
        <w:t>s</w:t>
      </w:r>
      <w:r w:rsidR="00E63939">
        <w:rPr>
          <w:bCs/>
          <w:lang w:val="en-US"/>
        </w:rPr>
        <w:t>hip with</w:t>
      </w:r>
      <w:r w:rsidR="009E0BDB">
        <w:rPr>
          <w:bCs/>
          <w:lang w:val="en-US"/>
        </w:rPr>
        <w:t xml:space="preserve"> quarterly </w:t>
      </w:r>
      <w:r w:rsidR="0039259D">
        <w:rPr>
          <w:bCs/>
          <w:lang w:val="en-US"/>
        </w:rPr>
        <w:t xml:space="preserve">VIIRS </w:t>
      </w:r>
      <w:r w:rsidR="00E63939">
        <w:rPr>
          <w:bCs/>
          <w:lang w:val="en-US"/>
        </w:rPr>
        <w:t>data</w:t>
      </w:r>
      <w:r w:rsidR="0022401B">
        <w:rPr>
          <w:bCs/>
          <w:lang w:val="en-US"/>
        </w:rPr>
        <w:t xml:space="preserve"> and find </w:t>
      </w:r>
      <w:r w:rsidR="00E63939">
        <w:rPr>
          <w:bCs/>
          <w:lang w:val="en-US"/>
        </w:rPr>
        <w:t xml:space="preserve">slightly lower </w:t>
      </w:r>
      <w:r w:rsidR="003466ED">
        <w:rPr>
          <w:bCs/>
          <w:lang w:val="en-US"/>
        </w:rPr>
        <w:t xml:space="preserve">predictive power </w:t>
      </w:r>
      <w:r w:rsidR="00E63939">
        <w:rPr>
          <w:bCs/>
          <w:lang w:val="en-US"/>
        </w:rPr>
        <w:t xml:space="preserve">then </w:t>
      </w:r>
      <w:r w:rsidR="003466ED">
        <w:rPr>
          <w:bCs/>
          <w:lang w:val="en-US"/>
        </w:rPr>
        <w:t>with annual VIIRS data</w:t>
      </w:r>
      <w:r w:rsidR="0022401B">
        <w:rPr>
          <w:bCs/>
          <w:lang w:val="en-US"/>
        </w:rPr>
        <w:t xml:space="preserve">. </w:t>
      </w:r>
      <w:r w:rsidR="003C66B6">
        <w:rPr>
          <w:bCs/>
          <w:lang w:val="en-US"/>
        </w:rPr>
        <w:t xml:space="preserve">For both </w:t>
      </w:r>
      <w:r w:rsidR="0039259D">
        <w:rPr>
          <w:bCs/>
          <w:lang w:val="en-US"/>
        </w:rPr>
        <w:t xml:space="preserve">the </w:t>
      </w:r>
      <w:r w:rsidR="0022401B">
        <w:rPr>
          <w:bCs/>
          <w:lang w:val="en-US"/>
        </w:rPr>
        <w:t>annual and quarterly data</w:t>
      </w:r>
      <w:r w:rsidR="003C66B6">
        <w:rPr>
          <w:bCs/>
          <w:lang w:val="en-US"/>
        </w:rPr>
        <w:t>,</w:t>
      </w:r>
      <w:r w:rsidR="0022401B">
        <w:rPr>
          <w:bCs/>
          <w:lang w:val="en-US"/>
        </w:rPr>
        <w:t xml:space="preserve"> predictive </w:t>
      </w:r>
      <w:r w:rsidR="008065A8">
        <w:rPr>
          <w:bCs/>
          <w:lang w:val="en-US"/>
        </w:rPr>
        <w:t>power is much higher in the cross-section than for time-</w:t>
      </w:r>
      <w:r w:rsidR="0022401B">
        <w:rPr>
          <w:bCs/>
          <w:lang w:val="en-US"/>
        </w:rPr>
        <w:t>series changes.</w:t>
      </w:r>
      <w:r w:rsidR="003F2177">
        <w:rPr>
          <w:bCs/>
          <w:lang w:val="en-US"/>
        </w:rPr>
        <w:t xml:space="preserve"> We also find night lights </w:t>
      </w:r>
      <w:r w:rsidR="00E63939">
        <w:rPr>
          <w:bCs/>
          <w:lang w:val="en-US"/>
        </w:rPr>
        <w:t>to be weaker</w:t>
      </w:r>
      <w:r w:rsidR="003C66B6">
        <w:rPr>
          <w:bCs/>
          <w:lang w:val="en-US"/>
        </w:rPr>
        <w:t xml:space="preserve"> predictors for agricultural GDP </w:t>
      </w:r>
      <w:r w:rsidR="00E63939">
        <w:rPr>
          <w:bCs/>
          <w:lang w:val="en-US"/>
        </w:rPr>
        <w:t xml:space="preserve">than for </w:t>
      </w:r>
      <w:r w:rsidR="0039259D">
        <w:rPr>
          <w:bCs/>
          <w:lang w:val="en-US"/>
        </w:rPr>
        <w:t xml:space="preserve">GDP in </w:t>
      </w:r>
      <w:r w:rsidR="0022401B">
        <w:rPr>
          <w:bCs/>
          <w:lang w:val="en-US"/>
        </w:rPr>
        <w:t>manuf</w:t>
      </w:r>
      <w:r w:rsidR="00E63939">
        <w:rPr>
          <w:bCs/>
          <w:lang w:val="en-US"/>
        </w:rPr>
        <w:t>acturing and</w:t>
      </w:r>
      <w:r w:rsidR="003C66B6">
        <w:rPr>
          <w:bCs/>
          <w:lang w:val="en-US"/>
        </w:rPr>
        <w:t xml:space="preserve"> </w:t>
      </w:r>
      <w:r w:rsidR="00D42E54">
        <w:rPr>
          <w:bCs/>
          <w:lang w:val="en-US"/>
        </w:rPr>
        <w:t>other</w:t>
      </w:r>
      <w:r w:rsidR="00E63939">
        <w:rPr>
          <w:bCs/>
          <w:lang w:val="en-US"/>
        </w:rPr>
        <w:t xml:space="preserve"> industries</w:t>
      </w:r>
      <w:r w:rsidR="0022401B">
        <w:rPr>
          <w:bCs/>
          <w:lang w:val="en-US"/>
        </w:rPr>
        <w:t xml:space="preserve">. </w:t>
      </w:r>
    </w:p>
    <w:p w14:paraId="4C3E38C3" w14:textId="77777777" w:rsidR="0098402E" w:rsidRPr="0098402E" w:rsidRDefault="0098402E" w:rsidP="0098402E">
      <w:pPr>
        <w:spacing w:after="0" w:line="360" w:lineRule="auto"/>
        <w:ind w:firstLine="720"/>
        <w:jc w:val="both"/>
        <w:rPr>
          <w:bCs/>
          <w:sz w:val="12"/>
          <w:szCs w:val="12"/>
          <w:lang w:val="en-US"/>
        </w:rPr>
      </w:pPr>
    </w:p>
    <w:p w14:paraId="001B02D2" w14:textId="4F3A7D5E" w:rsidR="009E0BDB" w:rsidRDefault="009E0BDB" w:rsidP="008A4D01">
      <w:pPr>
        <w:widowControl w:val="0"/>
        <w:spacing w:after="0" w:line="360" w:lineRule="auto"/>
        <w:ind w:firstLine="567"/>
        <w:jc w:val="both"/>
        <w:rPr>
          <w:bCs/>
          <w:lang w:val="en-US"/>
        </w:rPr>
      </w:pPr>
      <w:r>
        <w:rPr>
          <w:bCs/>
          <w:lang w:val="en-US"/>
        </w:rPr>
        <w:t xml:space="preserve">Some of these patterns </w:t>
      </w:r>
      <w:r w:rsidR="00E63939">
        <w:rPr>
          <w:bCs/>
          <w:lang w:val="en-US"/>
        </w:rPr>
        <w:t xml:space="preserve">are </w:t>
      </w:r>
      <w:r>
        <w:rPr>
          <w:bCs/>
          <w:lang w:val="en-US"/>
        </w:rPr>
        <w:t>found previously</w:t>
      </w:r>
      <w:r w:rsidR="00D42E54">
        <w:rPr>
          <w:bCs/>
          <w:lang w:val="en-US"/>
        </w:rPr>
        <w:t xml:space="preserve"> but </w:t>
      </w:r>
      <w:r w:rsidR="008065A8">
        <w:rPr>
          <w:bCs/>
          <w:lang w:val="en-US"/>
        </w:rPr>
        <w:t xml:space="preserve">not with high frequency </w:t>
      </w:r>
      <w:r>
        <w:rPr>
          <w:bCs/>
          <w:lang w:val="en-US"/>
        </w:rPr>
        <w:t xml:space="preserve">VIIRS data. </w:t>
      </w:r>
      <w:r w:rsidR="00D42E54">
        <w:rPr>
          <w:bCs/>
          <w:lang w:val="en-US"/>
        </w:rPr>
        <w:t>Better prediction</w:t>
      </w:r>
      <w:r w:rsidR="008065A8">
        <w:rPr>
          <w:bCs/>
          <w:lang w:val="en-US"/>
        </w:rPr>
        <w:t xml:space="preserve"> cross-</w:t>
      </w:r>
      <w:r>
        <w:rPr>
          <w:bCs/>
          <w:lang w:val="en-US"/>
        </w:rPr>
        <w:t>section</w:t>
      </w:r>
      <w:r w:rsidR="008065A8">
        <w:rPr>
          <w:bCs/>
          <w:lang w:val="en-US"/>
        </w:rPr>
        <w:t>ally</w:t>
      </w:r>
      <w:r>
        <w:rPr>
          <w:bCs/>
          <w:lang w:val="en-US"/>
        </w:rPr>
        <w:t xml:space="preserve"> than for time-series changes </w:t>
      </w:r>
      <w:r w:rsidR="00E63939">
        <w:rPr>
          <w:bCs/>
          <w:lang w:val="en-US"/>
        </w:rPr>
        <w:t xml:space="preserve">is </w:t>
      </w:r>
      <w:r>
        <w:rPr>
          <w:bCs/>
          <w:lang w:val="en-US"/>
        </w:rPr>
        <w:t>found for DMSP (Nordhaus and Chen 2015</w:t>
      </w:r>
      <w:r w:rsidR="00C3408F">
        <w:rPr>
          <w:bCs/>
          <w:lang w:val="en-US"/>
        </w:rPr>
        <w:t>,</w:t>
      </w:r>
      <w:r w:rsidR="00D42E54">
        <w:rPr>
          <w:bCs/>
          <w:lang w:val="en-US"/>
        </w:rPr>
        <w:t xml:space="preserve"> Goldblatt </w:t>
      </w:r>
      <w:r w:rsidR="00D42E54" w:rsidRPr="00C3408F">
        <w:rPr>
          <w:bCs/>
          <w:i/>
          <w:iCs/>
          <w:lang w:val="en-US"/>
        </w:rPr>
        <w:t>et al</w:t>
      </w:r>
      <w:r w:rsidR="00C3408F">
        <w:rPr>
          <w:bCs/>
          <w:i/>
          <w:iCs/>
          <w:lang w:val="en-US"/>
        </w:rPr>
        <w:t>.</w:t>
      </w:r>
      <w:r w:rsidR="00D42E54">
        <w:rPr>
          <w:bCs/>
          <w:lang w:val="en-US"/>
        </w:rPr>
        <w:t xml:space="preserve"> 2019) and </w:t>
      </w:r>
      <w:r w:rsidR="00E72EE2">
        <w:rPr>
          <w:bCs/>
          <w:lang w:val="en-US"/>
        </w:rPr>
        <w:t xml:space="preserve">annual </w:t>
      </w:r>
      <w:r>
        <w:rPr>
          <w:bCs/>
          <w:lang w:val="en-US"/>
        </w:rPr>
        <w:t xml:space="preserve">VIIRS </w:t>
      </w:r>
      <w:r w:rsidR="00E72EE2">
        <w:rPr>
          <w:bCs/>
          <w:lang w:val="en-US"/>
        </w:rPr>
        <w:t xml:space="preserve">data </w:t>
      </w:r>
      <w:r>
        <w:rPr>
          <w:bCs/>
          <w:lang w:val="en-US"/>
        </w:rPr>
        <w:t xml:space="preserve">(Chen and Nordhaus 2019). </w:t>
      </w:r>
      <w:r w:rsidR="00D42E54">
        <w:rPr>
          <w:bCs/>
          <w:lang w:val="en-US"/>
        </w:rPr>
        <w:t>A</w:t>
      </w:r>
      <w:r w:rsidR="0018427F">
        <w:rPr>
          <w:bCs/>
          <w:lang w:val="en-US"/>
        </w:rPr>
        <w:t xml:space="preserve"> </w:t>
      </w:r>
      <w:r w:rsidR="008065A8">
        <w:rPr>
          <w:bCs/>
          <w:lang w:val="en-US"/>
        </w:rPr>
        <w:t xml:space="preserve">far </w:t>
      </w:r>
      <w:r w:rsidR="0018427F">
        <w:rPr>
          <w:bCs/>
          <w:lang w:val="en-US"/>
        </w:rPr>
        <w:t>weaker relationship between</w:t>
      </w:r>
      <w:r>
        <w:rPr>
          <w:bCs/>
          <w:lang w:val="en-US"/>
        </w:rPr>
        <w:t xml:space="preserve"> satellite-d</w:t>
      </w:r>
      <w:r w:rsidR="0018427F">
        <w:rPr>
          <w:bCs/>
          <w:lang w:val="en-US"/>
        </w:rPr>
        <w:t>etected night lights and GDP in</w:t>
      </w:r>
      <w:r>
        <w:rPr>
          <w:bCs/>
          <w:lang w:val="en-US"/>
        </w:rPr>
        <w:t xml:space="preserve"> the rural sector than the urban sector is found by Gibson </w:t>
      </w:r>
      <w:r w:rsidR="00C3408F" w:rsidRPr="00C3408F">
        <w:rPr>
          <w:bCs/>
          <w:i/>
          <w:iCs/>
          <w:lang w:val="en-US"/>
        </w:rPr>
        <w:t>et al</w:t>
      </w:r>
      <w:r w:rsidR="00C3408F">
        <w:rPr>
          <w:bCs/>
          <w:i/>
          <w:iCs/>
          <w:lang w:val="en-US"/>
        </w:rPr>
        <w:t>.</w:t>
      </w:r>
      <w:r>
        <w:rPr>
          <w:bCs/>
          <w:lang w:val="en-US"/>
        </w:rPr>
        <w:t xml:space="preserve"> (2019), who also show that the </w:t>
      </w:r>
      <w:r w:rsidR="00B24D38" w:rsidRPr="00B24D38">
        <w:rPr>
          <w:bCs/>
          <w:lang w:val="en-US"/>
        </w:rPr>
        <w:t xml:space="preserve">lights-GDP </w:t>
      </w:r>
      <w:r w:rsidR="00B24D38" w:rsidRPr="00B24D38">
        <w:rPr>
          <w:bCs/>
          <w:lang w:val="en-US"/>
        </w:rPr>
        <w:lastRenderedPageBreak/>
        <w:t xml:space="preserve">relationship is twice as noisy </w:t>
      </w:r>
      <w:r>
        <w:rPr>
          <w:bCs/>
          <w:lang w:val="en-US"/>
        </w:rPr>
        <w:t xml:space="preserve">for cities (in Indonesia) </w:t>
      </w:r>
      <w:r w:rsidR="001D52FC">
        <w:rPr>
          <w:bCs/>
          <w:lang w:val="en-US"/>
        </w:rPr>
        <w:t xml:space="preserve">if </w:t>
      </w:r>
      <w:r>
        <w:rPr>
          <w:bCs/>
          <w:lang w:val="en-US"/>
        </w:rPr>
        <w:t xml:space="preserve">using </w:t>
      </w:r>
      <w:r w:rsidR="00B24D38" w:rsidRPr="00B24D38">
        <w:rPr>
          <w:bCs/>
          <w:lang w:val="en-US"/>
        </w:rPr>
        <w:t xml:space="preserve">DMSP </w:t>
      </w:r>
      <w:r w:rsidR="001D52FC">
        <w:rPr>
          <w:bCs/>
          <w:lang w:val="en-US"/>
        </w:rPr>
        <w:t>data rathe</w:t>
      </w:r>
      <w:r w:rsidR="00BF7E70">
        <w:rPr>
          <w:bCs/>
          <w:lang w:val="en-US"/>
        </w:rPr>
        <w:t xml:space="preserve">r than </w:t>
      </w:r>
      <w:r w:rsidR="00D42E54">
        <w:rPr>
          <w:bCs/>
          <w:lang w:val="en-US"/>
        </w:rPr>
        <w:t xml:space="preserve">using </w:t>
      </w:r>
      <w:r w:rsidR="00BF7E70">
        <w:rPr>
          <w:bCs/>
          <w:lang w:val="en-US"/>
        </w:rPr>
        <w:t>VIIRS</w:t>
      </w:r>
      <w:r>
        <w:rPr>
          <w:bCs/>
          <w:lang w:val="en-US"/>
        </w:rPr>
        <w:t xml:space="preserve"> data</w:t>
      </w:r>
      <w:r w:rsidR="00BF7E70">
        <w:rPr>
          <w:bCs/>
          <w:lang w:val="en-US"/>
        </w:rPr>
        <w:t>.</w:t>
      </w:r>
    </w:p>
    <w:p w14:paraId="4D0CD67A" w14:textId="77777777" w:rsidR="00C3408F" w:rsidRPr="00C3408F" w:rsidRDefault="00C3408F" w:rsidP="0098402E">
      <w:pPr>
        <w:spacing w:after="0" w:line="360" w:lineRule="auto"/>
        <w:ind w:firstLine="720"/>
        <w:jc w:val="both"/>
        <w:rPr>
          <w:bCs/>
          <w:sz w:val="12"/>
          <w:szCs w:val="12"/>
          <w:lang w:val="en-US"/>
        </w:rPr>
      </w:pPr>
    </w:p>
    <w:p w14:paraId="2747D488" w14:textId="17FFD7F7" w:rsidR="00342A26" w:rsidRDefault="0018427F" w:rsidP="0098402E">
      <w:pPr>
        <w:spacing w:after="0" w:line="360" w:lineRule="auto"/>
        <w:ind w:firstLine="720"/>
        <w:jc w:val="both"/>
        <w:rPr>
          <w:bCs/>
          <w:lang w:val="en-US"/>
        </w:rPr>
      </w:pPr>
      <w:r>
        <w:rPr>
          <w:bCs/>
          <w:lang w:val="en-US"/>
        </w:rPr>
        <w:t>In building</w:t>
      </w:r>
      <w:r w:rsidR="00E63939">
        <w:rPr>
          <w:bCs/>
          <w:lang w:val="en-US"/>
        </w:rPr>
        <w:t xml:space="preserve"> on these patterns, our </w:t>
      </w:r>
      <w:r>
        <w:rPr>
          <w:bCs/>
          <w:lang w:val="en-US"/>
        </w:rPr>
        <w:t xml:space="preserve">results </w:t>
      </w:r>
      <w:r w:rsidR="00E63939">
        <w:rPr>
          <w:bCs/>
          <w:lang w:val="en-US"/>
        </w:rPr>
        <w:t xml:space="preserve">show </w:t>
      </w:r>
      <w:r w:rsidR="009E0BDB">
        <w:rPr>
          <w:bCs/>
          <w:lang w:val="en-US"/>
        </w:rPr>
        <w:t>economic</w:t>
      </w:r>
      <w:r w:rsidR="00E63939">
        <w:rPr>
          <w:bCs/>
          <w:lang w:val="en-US"/>
        </w:rPr>
        <w:t>s research w</w:t>
      </w:r>
      <w:r w:rsidR="009E0BDB">
        <w:rPr>
          <w:bCs/>
          <w:lang w:val="en-US"/>
        </w:rPr>
        <w:t>ould benefit by switch</w:t>
      </w:r>
      <w:r w:rsidR="003466ED">
        <w:rPr>
          <w:bCs/>
          <w:lang w:val="en-US"/>
        </w:rPr>
        <w:t>ing from using DMSP data to using VIIRS data</w:t>
      </w:r>
      <w:r w:rsidR="00E63939">
        <w:rPr>
          <w:bCs/>
          <w:lang w:val="en-US"/>
        </w:rPr>
        <w:t xml:space="preserve">. Notwithstanding </w:t>
      </w:r>
      <w:r w:rsidR="00D42E54">
        <w:rPr>
          <w:bCs/>
          <w:lang w:val="en-US"/>
        </w:rPr>
        <w:t>gains from such a switch</w:t>
      </w:r>
      <w:r w:rsidR="009E0BDB">
        <w:rPr>
          <w:bCs/>
          <w:lang w:val="en-US"/>
        </w:rPr>
        <w:t xml:space="preserve">, night lights data </w:t>
      </w:r>
      <w:r w:rsidR="00E63939">
        <w:rPr>
          <w:bCs/>
          <w:lang w:val="en-US"/>
        </w:rPr>
        <w:t>are better</w:t>
      </w:r>
      <w:r w:rsidR="00D42E54">
        <w:rPr>
          <w:bCs/>
          <w:lang w:val="en-US"/>
        </w:rPr>
        <w:t xml:space="preserve"> for </w:t>
      </w:r>
      <w:r w:rsidR="009E0BDB">
        <w:rPr>
          <w:bCs/>
          <w:lang w:val="en-US"/>
        </w:rPr>
        <w:t>studying cross-sectional differences than temporal changes</w:t>
      </w:r>
      <w:r w:rsidR="00D42E54">
        <w:rPr>
          <w:bCs/>
          <w:lang w:val="en-US"/>
        </w:rPr>
        <w:t xml:space="preserve">. Night lights data </w:t>
      </w:r>
      <w:r w:rsidR="00E63939">
        <w:rPr>
          <w:bCs/>
          <w:lang w:val="en-US"/>
        </w:rPr>
        <w:t xml:space="preserve">are poor </w:t>
      </w:r>
      <w:r w:rsidR="00D42E54">
        <w:rPr>
          <w:bCs/>
          <w:lang w:val="en-US"/>
        </w:rPr>
        <w:t xml:space="preserve">proxies for </w:t>
      </w:r>
      <w:r w:rsidR="009E0BDB">
        <w:rPr>
          <w:bCs/>
          <w:lang w:val="en-US"/>
        </w:rPr>
        <w:t>a</w:t>
      </w:r>
      <w:r w:rsidR="00D42E54">
        <w:rPr>
          <w:bCs/>
          <w:lang w:val="en-US"/>
        </w:rPr>
        <w:t xml:space="preserve">gricultural activity (or for </w:t>
      </w:r>
      <w:r w:rsidR="00E63939">
        <w:rPr>
          <w:bCs/>
          <w:lang w:val="en-US"/>
        </w:rPr>
        <w:t xml:space="preserve">places </w:t>
      </w:r>
      <w:r w:rsidR="009E0BDB">
        <w:rPr>
          <w:bCs/>
          <w:lang w:val="en-US"/>
        </w:rPr>
        <w:t xml:space="preserve">agriculture dominates). These three facts suggest </w:t>
      </w:r>
      <w:r w:rsidR="00D42E54">
        <w:rPr>
          <w:bCs/>
          <w:lang w:val="en-US"/>
        </w:rPr>
        <w:t xml:space="preserve">a need </w:t>
      </w:r>
      <w:r w:rsidR="009E0BDB">
        <w:rPr>
          <w:bCs/>
          <w:lang w:val="en-US"/>
        </w:rPr>
        <w:t xml:space="preserve">for caution in </w:t>
      </w:r>
      <w:r>
        <w:rPr>
          <w:bCs/>
          <w:lang w:val="en-US"/>
        </w:rPr>
        <w:t xml:space="preserve">some uses of </w:t>
      </w:r>
      <w:r w:rsidR="009E0BDB">
        <w:rPr>
          <w:bCs/>
          <w:lang w:val="en-US"/>
        </w:rPr>
        <w:t>night lights data.</w:t>
      </w:r>
    </w:p>
    <w:p w14:paraId="21076172" w14:textId="77777777" w:rsidR="0098402E" w:rsidRPr="0044662D" w:rsidRDefault="0098402E" w:rsidP="0098402E">
      <w:pPr>
        <w:spacing w:after="0" w:line="360" w:lineRule="auto"/>
        <w:ind w:firstLine="720"/>
        <w:jc w:val="both"/>
        <w:rPr>
          <w:bCs/>
          <w:lang w:val="en-US"/>
        </w:rPr>
      </w:pPr>
    </w:p>
    <w:p w14:paraId="09B13FA0" w14:textId="77777777" w:rsidR="00FE51E0" w:rsidRPr="0098402E" w:rsidRDefault="00CE27EF" w:rsidP="00C3408F">
      <w:pPr>
        <w:tabs>
          <w:tab w:val="left" w:pos="426"/>
        </w:tabs>
        <w:spacing w:after="0" w:line="360" w:lineRule="auto"/>
        <w:jc w:val="both"/>
        <w:rPr>
          <w:b/>
          <w:lang w:val="en-US"/>
        </w:rPr>
      </w:pPr>
      <w:r w:rsidRPr="0098402E">
        <w:rPr>
          <w:b/>
          <w:lang w:val="en-US"/>
        </w:rPr>
        <w:t>II.</w:t>
      </w:r>
      <w:r w:rsidRPr="0098402E">
        <w:rPr>
          <w:b/>
          <w:lang w:val="en-US"/>
        </w:rPr>
        <w:tab/>
      </w:r>
      <w:r w:rsidR="00E04D3B" w:rsidRPr="0098402E">
        <w:rPr>
          <w:b/>
          <w:lang w:val="en-US"/>
        </w:rPr>
        <w:t>Data and Econometric Results</w:t>
      </w:r>
      <w:r w:rsidR="00CC1F37" w:rsidRPr="0098402E">
        <w:rPr>
          <w:bCs/>
          <w:iCs/>
          <w:lang w:val="en-AU"/>
        </w:rPr>
        <w:tab/>
      </w:r>
    </w:p>
    <w:p w14:paraId="6FE2934C" w14:textId="41A10F18" w:rsidR="00025317" w:rsidRDefault="005A461C" w:rsidP="0098402E">
      <w:pPr>
        <w:spacing w:after="0" w:line="360" w:lineRule="auto"/>
        <w:jc w:val="both"/>
      </w:pPr>
      <w:r>
        <w:rPr>
          <w:rFonts w:asciiTheme="majorBidi" w:hAnsiTheme="majorBidi" w:cstheme="majorBidi"/>
        </w:rPr>
        <w:t>W</w:t>
      </w:r>
      <w:r w:rsidR="00C57C44">
        <w:rPr>
          <w:rFonts w:asciiTheme="majorBidi" w:hAnsiTheme="majorBidi" w:cstheme="majorBidi"/>
        </w:rPr>
        <w:t>e use four</w:t>
      </w:r>
      <w:r>
        <w:rPr>
          <w:rFonts w:asciiTheme="majorBidi" w:hAnsiTheme="majorBidi" w:cstheme="majorBidi"/>
        </w:rPr>
        <w:t xml:space="preserve"> data sources to test relationship</w:t>
      </w:r>
      <w:r w:rsidR="00C57C44">
        <w:rPr>
          <w:rFonts w:asciiTheme="majorBidi" w:hAnsiTheme="majorBidi" w:cstheme="majorBidi"/>
        </w:rPr>
        <w:t>s</w:t>
      </w:r>
      <w:r>
        <w:rPr>
          <w:rFonts w:asciiTheme="majorBidi" w:hAnsiTheme="majorBidi" w:cstheme="majorBidi"/>
        </w:rPr>
        <w:t xml:space="preserve"> between night lights and </w:t>
      </w:r>
      <w:r w:rsidR="00C57C44">
        <w:rPr>
          <w:rFonts w:asciiTheme="majorBidi" w:hAnsiTheme="majorBidi" w:cstheme="majorBidi"/>
        </w:rPr>
        <w:t xml:space="preserve">state-level </w:t>
      </w:r>
      <w:r>
        <w:rPr>
          <w:rFonts w:asciiTheme="majorBidi" w:hAnsiTheme="majorBidi" w:cstheme="majorBidi"/>
        </w:rPr>
        <w:t xml:space="preserve">GDP. </w:t>
      </w:r>
      <w:r w:rsidR="00025317">
        <w:t>The first is DMSP annual composites from satellite F18 that provides data from 2010 to 2013.</w:t>
      </w:r>
      <w:r w:rsidR="00025317">
        <w:rPr>
          <w:rStyle w:val="FootnoteReference"/>
        </w:rPr>
        <w:footnoteReference w:id="2"/>
      </w:r>
      <w:r w:rsidR="00025317">
        <w:t xml:space="preserve"> The DMSP data are 6-bit digital numbers, ranging from 0-63, with higher numbers indicating greater brightness. The digital numbers are not strictly comparable between places and years, as variation in sensor amplification and differences in how many nights are used in the annual composite for each pixel affect the annual averages (Gibson </w:t>
      </w:r>
      <w:r w:rsidR="00025317" w:rsidRPr="005361F0">
        <w:rPr>
          <w:i/>
          <w:iCs/>
        </w:rPr>
        <w:t>et al</w:t>
      </w:r>
      <w:r w:rsidR="005361F0">
        <w:rPr>
          <w:i/>
          <w:iCs/>
        </w:rPr>
        <w:t>.</w:t>
      </w:r>
      <w:r w:rsidR="00025317">
        <w:t xml:space="preserve"> 2020). Various ephemeral lights, such as from fires and gas flares, are </w:t>
      </w:r>
      <w:r w:rsidR="003F2177">
        <w:t xml:space="preserve">removed from </w:t>
      </w:r>
      <w:r w:rsidR="00025317">
        <w:t xml:space="preserve">annual composites and scientists at the </w:t>
      </w:r>
      <w:r w:rsidR="00025317">
        <w:rPr>
          <w:rFonts w:asciiTheme="majorBidi" w:hAnsiTheme="majorBidi" w:cstheme="majorBidi"/>
        </w:rPr>
        <w:t>National Oceanic and Atmospheric Administration</w:t>
      </w:r>
      <w:r w:rsidR="00025317">
        <w:t xml:space="preserve"> (NOAA) also </w:t>
      </w:r>
      <w:r w:rsidR="003F2177">
        <w:t xml:space="preserve">exclude (at pixel level) images for any nights affected by </w:t>
      </w:r>
      <w:r w:rsidR="00025317">
        <w:t xml:space="preserve">clouds, </w:t>
      </w:r>
      <w:r w:rsidR="003F2177">
        <w:t xml:space="preserve">moonlight, </w:t>
      </w:r>
      <w:r w:rsidR="00025317">
        <w:t>sunlight and other</w:t>
      </w:r>
      <w:r w:rsidR="003F2177">
        <w:t xml:space="preserve"> glare</w:t>
      </w:r>
      <w:r w:rsidR="00025317">
        <w:t>.</w:t>
      </w:r>
    </w:p>
    <w:p w14:paraId="169A3CA6" w14:textId="77777777" w:rsidR="0098402E" w:rsidRPr="0098402E" w:rsidRDefault="0098402E" w:rsidP="0098402E">
      <w:pPr>
        <w:spacing w:after="0" w:line="360" w:lineRule="auto"/>
        <w:jc w:val="both"/>
        <w:rPr>
          <w:rFonts w:asciiTheme="majorBidi" w:hAnsiTheme="majorBidi" w:cstheme="majorBidi"/>
          <w:sz w:val="12"/>
          <w:szCs w:val="12"/>
        </w:rPr>
      </w:pPr>
    </w:p>
    <w:p w14:paraId="6239B0F6" w14:textId="36156480" w:rsidR="005A461C" w:rsidRDefault="005A461C" w:rsidP="008A4D01">
      <w:pPr>
        <w:widowControl w:val="0"/>
        <w:spacing w:after="0" w:line="360" w:lineRule="auto"/>
        <w:ind w:firstLine="567"/>
        <w:jc w:val="both"/>
        <w:rPr>
          <w:rFonts w:asciiTheme="majorBidi" w:hAnsiTheme="majorBidi" w:cstheme="majorBidi"/>
        </w:rPr>
      </w:pPr>
      <w:r>
        <w:rPr>
          <w:rFonts w:asciiTheme="majorBidi" w:hAnsiTheme="majorBidi" w:cstheme="majorBidi"/>
        </w:rPr>
        <w:t xml:space="preserve">The </w:t>
      </w:r>
      <w:r w:rsidR="003F2177">
        <w:rPr>
          <w:rFonts w:asciiTheme="majorBidi" w:hAnsiTheme="majorBidi" w:cstheme="majorBidi"/>
        </w:rPr>
        <w:t xml:space="preserve">second data source </w:t>
      </w:r>
      <w:r>
        <w:rPr>
          <w:rFonts w:asciiTheme="majorBidi" w:hAnsiTheme="majorBidi" w:cstheme="majorBidi"/>
        </w:rPr>
        <w:t xml:space="preserve">is VIIRS annual composites </w:t>
      </w:r>
      <w:r w:rsidR="003F2177">
        <w:rPr>
          <w:rFonts w:asciiTheme="majorBidi" w:hAnsiTheme="majorBidi" w:cstheme="majorBidi"/>
        </w:rPr>
        <w:t>for 2015 and 2016;</w:t>
      </w:r>
      <w:r>
        <w:rPr>
          <w:rFonts w:asciiTheme="majorBidi" w:hAnsiTheme="majorBidi" w:cstheme="majorBidi"/>
        </w:rPr>
        <w:t xml:space="preserve"> the </w:t>
      </w:r>
      <w:r w:rsidR="003F2177">
        <w:rPr>
          <w:rFonts w:asciiTheme="majorBidi" w:hAnsiTheme="majorBidi" w:cstheme="majorBidi"/>
        </w:rPr>
        <w:t>only</w:t>
      </w:r>
      <w:r>
        <w:rPr>
          <w:rFonts w:asciiTheme="majorBidi" w:hAnsiTheme="majorBidi" w:cstheme="majorBidi"/>
        </w:rPr>
        <w:t xml:space="preserve"> annual composites</w:t>
      </w:r>
      <w:r w:rsidR="003F2177">
        <w:rPr>
          <w:rFonts w:asciiTheme="majorBidi" w:hAnsiTheme="majorBidi" w:cstheme="majorBidi"/>
        </w:rPr>
        <w:t xml:space="preserve"> yet released</w:t>
      </w:r>
      <w:r>
        <w:rPr>
          <w:rFonts w:asciiTheme="majorBidi" w:hAnsiTheme="majorBidi" w:cstheme="majorBidi"/>
        </w:rPr>
        <w:t>. We use the “vcm-orm-ntl”</w:t>
      </w:r>
      <w:r w:rsidRPr="00956EED">
        <w:rPr>
          <w:rFonts w:asciiTheme="majorBidi" w:hAnsiTheme="majorBidi" w:cstheme="majorBidi"/>
        </w:rPr>
        <w:t xml:space="preserve"> </w:t>
      </w:r>
      <w:r>
        <w:rPr>
          <w:rFonts w:asciiTheme="majorBidi" w:hAnsiTheme="majorBidi" w:cstheme="majorBidi"/>
        </w:rPr>
        <w:t>product that, at the pi</w:t>
      </w:r>
      <w:r w:rsidR="00E72EE2">
        <w:rPr>
          <w:rFonts w:asciiTheme="majorBidi" w:hAnsiTheme="majorBidi" w:cstheme="majorBidi"/>
        </w:rPr>
        <w:t>xel level, excludes nights if</w:t>
      </w:r>
      <w:r>
        <w:rPr>
          <w:rFonts w:asciiTheme="majorBidi" w:hAnsiTheme="majorBidi" w:cstheme="majorBidi"/>
        </w:rPr>
        <w:t xml:space="preserve"> images are affected by stray light or by clouds.</w:t>
      </w:r>
      <w:r w:rsidR="006D6658">
        <w:rPr>
          <w:rStyle w:val="FootnoteReference"/>
          <w:rFonts w:asciiTheme="majorBidi" w:hAnsiTheme="majorBidi" w:cstheme="majorBidi"/>
        </w:rPr>
        <w:footnoteReference w:id="3"/>
      </w:r>
      <w:r>
        <w:rPr>
          <w:rFonts w:asciiTheme="majorBidi" w:hAnsiTheme="majorBidi" w:cstheme="majorBidi"/>
        </w:rPr>
        <w:t xml:space="preserve"> </w:t>
      </w:r>
      <w:r w:rsidR="003F2177">
        <w:rPr>
          <w:rFonts w:asciiTheme="majorBidi" w:hAnsiTheme="majorBidi" w:cstheme="majorBidi"/>
        </w:rPr>
        <w:t>The</w:t>
      </w:r>
      <w:r>
        <w:rPr>
          <w:rFonts w:asciiTheme="majorBidi" w:hAnsiTheme="majorBidi" w:cstheme="majorBidi"/>
        </w:rPr>
        <w:t xml:space="preserve"> annual composites have o</w:t>
      </w:r>
      <w:r w:rsidRPr="00956EED">
        <w:rPr>
          <w:rFonts w:asciiTheme="majorBidi" w:hAnsiTheme="majorBidi" w:cstheme="majorBidi"/>
        </w:rPr>
        <w:t>utlier</w:t>
      </w:r>
      <w:r>
        <w:rPr>
          <w:rFonts w:asciiTheme="majorBidi" w:hAnsiTheme="majorBidi" w:cstheme="majorBidi"/>
        </w:rPr>
        <w:t xml:space="preserve">s </w:t>
      </w:r>
      <w:r w:rsidR="003F2177">
        <w:rPr>
          <w:rFonts w:asciiTheme="majorBidi" w:hAnsiTheme="majorBidi" w:cstheme="majorBidi"/>
        </w:rPr>
        <w:t xml:space="preserve">due to ephemeral lights </w:t>
      </w:r>
      <w:r>
        <w:rPr>
          <w:rFonts w:asciiTheme="majorBidi" w:hAnsiTheme="majorBidi" w:cstheme="majorBidi"/>
        </w:rPr>
        <w:t>r</w:t>
      </w:r>
      <w:r w:rsidRPr="00956EED">
        <w:rPr>
          <w:rFonts w:asciiTheme="majorBidi" w:hAnsiTheme="majorBidi" w:cstheme="majorBidi"/>
        </w:rPr>
        <w:t>emoved</w:t>
      </w:r>
      <w:r w:rsidR="00E63939">
        <w:rPr>
          <w:rFonts w:asciiTheme="majorBidi" w:hAnsiTheme="majorBidi" w:cstheme="majorBidi"/>
        </w:rPr>
        <w:t xml:space="preserve"> by NOAA</w:t>
      </w:r>
      <w:r>
        <w:rPr>
          <w:rFonts w:asciiTheme="majorBidi" w:hAnsiTheme="majorBidi" w:cstheme="majorBidi"/>
        </w:rPr>
        <w:t xml:space="preserve">, and </w:t>
      </w:r>
      <w:r w:rsidRPr="00956EED">
        <w:rPr>
          <w:rFonts w:asciiTheme="majorBidi" w:hAnsiTheme="majorBidi" w:cstheme="majorBidi"/>
        </w:rPr>
        <w:t xml:space="preserve">background (non-lights) </w:t>
      </w:r>
      <w:r>
        <w:rPr>
          <w:rFonts w:asciiTheme="majorBidi" w:hAnsiTheme="majorBidi" w:cstheme="majorBidi"/>
        </w:rPr>
        <w:t xml:space="preserve">is set </w:t>
      </w:r>
      <w:r w:rsidRPr="00956EED">
        <w:rPr>
          <w:rFonts w:asciiTheme="majorBidi" w:hAnsiTheme="majorBidi" w:cstheme="majorBidi"/>
        </w:rPr>
        <w:t>to zero.</w:t>
      </w:r>
      <w:r>
        <w:rPr>
          <w:rFonts w:asciiTheme="majorBidi" w:hAnsiTheme="majorBidi" w:cstheme="majorBidi"/>
        </w:rPr>
        <w:t xml:space="preserve"> The data are </w:t>
      </w:r>
      <w:r w:rsidRPr="00956EED">
        <w:rPr>
          <w:rFonts w:asciiTheme="majorBidi" w:hAnsiTheme="majorBidi" w:cstheme="majorBidi"/>
        </w:rPr>
        <w:t>radiance</w:t>
      </w:r>
      <w:r>
        <w:rPr>
          <w:rFonts w:asciiTheme="majorBidi" w:hAnsiTheme="majorBidi" w:cstheme="majorBidi"/>
        </w:rPr>
        <w:t xml:space="preserve"> values in units of nano Watts per square cm per </w:t>
      </w:r>
      <w:r w:rsidRPr="00AB72C3">
        <w:rPr>
          <w:rFonts w:asciiTheme="majorBidi" w:hAnsiTheme="majorBidi" w:cstheme="majorBidi"/>
        </w:rPr>
        <w:t>steradian</w:t>
      </w:r>
      <w:r>
        <w:rPr>
          <w:rFonts w:asciiTheme="majorBidi" w:hAnsiTheme="majorBidi" w:cstheme="majorBidi"/>
        </w:rPr>
        <w:t xml:space="preserve"> (nanoWatt/cm</w:t>
      </w:r>
      <w:r>
        <w:rPr>
          <w:rFonts w:asciiTheme="majorBidi" w:hAnsiTheme="majorBidi" w:cstheme="majorBidi"/>
          <w:vertAlign w:val="superscript"/>
        </w:rPr>
        <w:t>2</w:t>
      </w:r>
      <w:r>
        <w:rPr>
          <w:rFonts w:asciiTheme="majorBidi" w:hAnsiTheme="majorBidi" w:cstheme="majorBidi"/>
        </w:rPr>
        <w:t xml:space="preserve">/sr) and range from zero to about </w:t>
      </w:r>
      <w:r w:rsidR="003F2177">
        <w:rPr>
          <w:rFonts w:asciiTheme="majorBidi" w:hAnsiTheme="majorBidi" w:cstheme="majorBidi"/>
        </w:rPr>
        <w:t>5000</w:t>
      </w:r>
      <w:r w:rsidRPr="00DD2768">
        <w:rPr>
          <w:rFonts w:asciiTheme="majorBidi" w:hAnsiTheme="majorBidi" w:cstheme="majorBidi"/>
        </w:rPr>
        <w:t xml:space="preserve"> for</w:t>
      </w:r>
      <w:r>
        <w:rPr>
          <w:rFonts w:asciiTheme="majorBidi" w:hAnsiTheme="majorBidi" w:cstheme="majorBidi"/>
        </w:rPr>
        <w:t xml:space="preserve"> </w:t>
      </w:r>
      <w:r w:rsidR="003F2177">
        <w:rPr>
          <w:rFonts w:asciiTheme="majorBidi" w:hAnsiTheme="majorBidi" w:cstheme="majorBidi"/>
        </w:rPr>
        <w:t>the United States</w:t>
      </w:r>
      <w:r w:rsidRPr="00956EED">
        <w:rPr>
          <w:rFonts w:asciiTheme="majorBidi" w:hAnsiTheme="majorBidi" w:cstheme="majorBidi"/>
        </w:rPr>
        <w:t>.</w:t>
      </w:r>
    </w:p>
    <w:p w14:paraId="6DBD652E" w14:textId="77777777" w:rsidR="0098402E" w:rsidRPr="0098402E" w:rsidRDefault="0098402E" w:rsidP="0098402E">
      <w:pPr>
        <w:widowControl w:val="0"/>
        <w:spacing w:after="0" w:line="360" w:lineRule="auto"/>
        <w:ind w:firstLine="720"/>
        <w:jc w:val="both"/>
        <w:rPr>
          <w:rFonts w:asciiTheme="majorBidi" w:hAnsiTheme="majorBidi" w:cstheme="majorBidi"/>
          <w:sz w:val="12"/>
          <w:szCs w:val="12"/>
        </w:rPr>
      </w:pPr>
    </w:p>
    <w:p w14:paraId="5A46AC00" w14:textId="7C56FAB2" w:rsidR="003E7847" w:rsidRDefault="003E7847" w:rsidP="0098402E">
      <w:pPr>
        <w:spacing w:after="0" w:line="360" w:lineRule="auto"/>
        <w:ind w:firstLine="720"/>
        <w:jc w:val="both"/>
        <w:rPr>
          <w:rFonts w:asciiTheme="majorBidi" w:hAnsiTheme="majorBidi" w:cstheme="majorBidi"/>
        </w:rPr>
      </w:pPr>
      <w:r>
        <w:rPr>
          <w:rFonts w:asciiTheme="majorBidi" w:hAnsiTheme="majorBidi" w:cstheme="majorBidi"/>
        </w:rPr>
        <w:t xml:space="preserve">Our third </w:t>
      </w:r>
      <w:r w:rsidR="003F2177">
        <w:rPr>
          <w:rFonts w:asciiTheme="majorBidi" w:hAnsiTheme="majorBidi" w:cstheme="majorBidi"/>
        </w:rPr>
        <w:t>source is monthly VIIRS data</w:t>
      </w:r>
      <w:r w:rsidR="00025317">
        <w:rPr>
          <w:rFonts w:asciiTheme="majorBidi" w:hAnsiTheme="majorBidi" w:cstheme="majorBidi"/>
        </w:rPr>
        <w:t>.</w:t>
      </w:r>
      <w:r w:rsidR="00F360E8">
        <w:rPr>
          <w:rStyle w:val="FootnoteReference"/>
          <w:rFonts w:asciiTheme="majorBidi" w:hAnsiTheme="majorBidi" w:cstheme="majorBidi"/>
        </w:rPr>
        <w:footnoteReference w:id="4"/>
      </w:r>
      <w:r w:rsidR="00025317">
        <w:rPr>
          <w:rFonts w:asciiTheme="majorBidi" w:hAnsiTheme="majorBidi" w:cstheme="majorBidi"/>
        </w:rPr>
        <w:t xml:space="preserve"> </w:t>
      </w:r>
      <w:r w:rsidR="00AE6EED">
        <w:rPr>
          <w:rFonts w:asciiTheme="majorBidi" w:hAnsiTheme="majorBidi" w:cstheme="majorBidi"/>
        </w:rPr>
        <w:t>Outliers in t</w:t>
      </w:r>
      <w:r w:rsidR="00F360E8">
        <w:rPr>
          <w:rFonts w:asciiTheme="majorBidi" w:hAnsiTheme="majorBidi" w:cstheme="majorBidi"/>
        </w:rPr>
        <w:t xml:space="preserve">hese monthly composites </w:t>
      </w:r>
      <w:r w:rsidR="009009ED">
        <w:rPr>
          <w:rFonts w:asciiTheme="majorBidi" w:hAnsiTheme="majorBidi" w:cstheme="majorBidi"/>
        </w:rPr>
        <w:t>(</w:t>
      </w:r>
      <w:r w:rsidR="0039259D">
        <w:rPr>
          <w:rFonts w:asciiTheme="majorBidi" w:hAnsiTheme="majorBidi" w:cstheme="majorBidi"/>
        </w:rPr>
        <w:t xml:space="preserve">which may be </w:t>
      </w:r>
      <w:r w:rsidR="00AE6EED">
        <w:rPr>
          <w:rFonts w:asciiTheme="majorBidi" w:hAnsiTheme="majorBidi" w:cstheme="majorBidi"/>
        </w:rPr>
        <w:t xml:space="preserve">from </w:t>
      </w:r>
      <w:r w:rsidR="00F360E8">
        <w:rPr>
          <w:rFonts w:asciiTheme="majorBidi" w:hAnsiTheme="majorBidi" w:cstheme="majorBidi"/>
        </w:rPr>
        <w:t xml:space="preserve">ephemeral lights) </w:t>
      </w:r>
      <w:r w:rsidR="005722DC">
        <w:rPr>
          <w:rFonts w:asciiTheme="majorBidi" w:hAnsiTheme="majorBidi" w:cstheme="majorBidi"/>
        </w:rPr>
        <w:t xml:space="preserve">are not </w:t>
      </w:r>
      <w:r w:rsidR="00AE6EED">
        <w:rPr>
          <w:rFonts w:asciiTheme="majorBidi" w:hAnsiTheme="majorBidi" w:cstheme="majorBidi"/>
        </w:rPr>
        <w:t xml:space="preserve">corrected by NOAA, unlike </w:t>
      </w:r>
      <w:r w:rsidR="005722DC">
        <w:rPr>
          <w:rFonts w:asciiTheme="majorBidi" w:hAnsiTheme="majorBidi" w:cstheme="majorBidi"/>
        </w:rPr>
        <w:t xml:space="preserve">for </w:t>
      </w:r>
      <w:r w:rsidR="00F360E8">
        <w:rPr>
          <w:rFonts w:asciiTheme="majorBidi" w:hAnsiTheme="majorBidi" w:cstheme="majorBidi"/>
        </w:rPr>
        <w:t>annual composites</w:t>
      </w:r>
      <w:r w:rsidR="003466ED">
        <w:rPr>
          <w:rFonts w:asciiTheme="majorBidi" w:hAnsiTheme="majorBidi" w:cstheme="majorBidi"/>
        </w:rPr>
        <w:t>. Therefore</w:t>
      </w:r>
      <w:r w:rsidR="008A4D01">
        <w:rPr>
          <w:rFonts w:asciiTheme="majorBidi" w:hAnsiTheme="majorBidi" w:cstheme="majorBidi"/>
        </w:rPr>
        <w:t>,</w:t>
      </w:r>
      <w:r w:rsidR="003466ED">
        <w:rPr>
          <w:rFonts w:asciiTheme="majorBidi" w:hAnsiTheme="majorBidi" w:cstheme="majorBidi"/>
        </w:rPr>
        <w:t xml:space="preserve"> we cleaned these</w:t>
      </w:r>
      <w:r w:rsidR="005722DC">
        <w:rPr>
          <w:rFonts w:asciiTheme="majorBidi" w:hAnsiTheme="majorBidi" w:cstheme="majorBidi"/>
        </w:rPr>
        <w:t xml:space="preserve"> monthly </w:t>
      </w:r>
      <w:r w:rsidR="00F360E8">
        <w:rPr>
          <w:rFonts w:asciiTheme="majorBidi" w:hAnsiTheme="majorBidi" w:cstheme="majorBidi"/>
        </w:rPr>
        <w:t xml:space="preserve">data by removing observations for </w:t>
      </w:r>
      <w:r w:rsidR="00004403">
        <w:rPr>
          <w:rFonts w:asciiTheme="majorBidi" w:hAnsiTheme="majorBidi" w:cstheme="majorBidi"/>
        </w:rPr>
        <w:t xml:space="preserve">any </w:t>
      </w:r>
      <w:r w:rsidR="00F360E8">
        <w:rPr>
          <w:rFonts w:asciiTheme="majorBidi" w:hAnsiTheme="majorBidi" w:cstheme="majorBidi"/>
        </w:rPr>
        <w:t xml:space="preserve">pixels recorded as </w:t>
      </w:r>
      <w:r w:rsidR="00F360E8">
        <w:rPr>
          <w:rFonts w:asciiTheme="majorBidi" w:hAnsiTheme="majorBidi" w:cstheme="majorBidi"/>
        </w:rPr>
        <w:lastRenderedPageBreak/>
        <w:t>having no permanent lights in the cleaned annual composites. In o</w:t>
      </w:r>
      <w:r w:rsidR="00AE6EED">
        <w:rPr>
          <w:rFonts w:asciiTheme="majorBidi" w:hAnsiTheme="majorBidi" w:cstheme="majorBidi"/>
        </w:rPr>
        <w:t xml:space="preserve">ther words, we leverage off </w:t>
      </w:r>
      <w:r w:rsidR="0039259D">
        <w:rPr>
          <w:rFonts w:asciiTheme="majorBidi" w:hAnsiTheme="majorBidi" w:cstheme="majorBidi"/>
        </w:rPr>
        <w:t xml:space="preserve">the </w:t>
      </w:r>
      <w:r w:rsidR="00AE6EED">
        <w:rPr>
          <w:rFonts w:asciiTheme="majorBidi" w:hAnsiTheme="majorBidi" w:cstheme="majorBidi"/>
        </w:rPr>
        <w:t xml:space="preserve">earlier efforts of </w:t>
      </w:r>
      <w:r w:rsidR="00F360E8">
        <w:rPr>
          <w:rFonts w:asciiTheme="majorBidi" w:hAnsiTheme="majorBidi" w:cstheme="majorBidi"/>
        </w:rPr>
        <w:t>NOAA scientists</w:t>
      </w:r>
      <w:r w:rsidR="00AE6EED">
        <w:rPr>
          <w:rFonts w:asciiTheme="majorBidi" w:hAnsiTheme="majorBidi" w:cstheme="majorBidi"/>
        </w:rPr>
        <w:t>,</w:t>
      </w:r>
      <w:r w:rsidR="00F360E8">
        <w:rPr>
          <w:rFonts w:asciiTheme="majorBidi" w:hAnsiTheme="majorBidi" w:cstheme="majorBidi"/>
        </w:rPr>
        <w:t xml:space="preserve"> to </w:t>
      </w:r>
      <w:r w:rsidR="00004403">
        <w:rPr>
          <w:rFonts w:asciiTheme="majorBidi" w:hAnsiTheme="majorBidi" w:cstheme="majorBidi"/>
        </w:rPr>
        <w:t xml:space="preserve">set a background noise mask </w:t>
      </w:r>
      <w:r w:rsidR="00AE6EED">
        <w:rPr>
          <w:rFonts w:asciiTheme="majorBidi" w:hAnsiTheme="majorBidi" w:cstheme="majorBidi"/>
        </w:rPr>
        <w:t xml:space="preserve">that </w:t>
      </w:r>
      <w:r w:rsidR="00004403">
        <w:rPr>
          <w:rFonts w:asciiTheme="majorBidi" w:hAnsiTheme="majorBidi" w:cstheme="majorBidi"/>
        </w:rPr>
        <w:t xml:space="preserve">is then applied to the monthly data. From these cleaned monthly </w:t>
      </w:r>
      <w:proofErr w:type="gramStart"/>
      <w:r w:rsidR="00004403">
        <w:rPr>
          <w:rFonts w:asciiTheme="majorBidi" w:hAnsiTheme="majorBidi" w:cstheme="majorBidi"/>
        </w:rPr>
        <w:t>data</w:t>
      </w:r>
      <w:proofErr w:type="gramEnd"/>
      <w:r w:rsidR="00004403">
        <w:rPr>
          <w:rFonts w:asciiTheme="majorBidi" w:hAnsiTheme="majorBidi" w:cstheme="majorBidi"/>
        </w:rPr>
        <w:t xml:space="preserve"> we calculate the sum of lights, by state, for each quarter</w:t>
      </w:r>
      <w:r w:rsidR="00E72EE2">
        <w:rPr>
          <w:rFonts w:asciiTheme="majorBidi" w:hAnsiTheme="majorBidi" w:cstheme="majorBidi"/>
        </w:rPr>
        <w:t xml:space="preserve"> and year</w:t>
      </w:r>
      <w:r w:rsidR="00004403">
        <w:rPr>
          <w:rFonts w:asciiTheme="majorBidi" w:hAnsiTheme="majorBidi" w:cstheme="majorBidi"/>
        </w:rPr>
        <w:t>.</w:t>
      </w:r>
    </w:p>
    <w:p w14:paraId="390C1748" w14:textId="77777777" w:rsidR="0098402E" w:rsidRPr="0098402E" w:rsidRDefault="0098402E" w:rsidP="0098402E">
      <w:pPr>
        <w:spacing w:after="0" w:line="360" w:lineRule="auto"/>
        <w:ind w:firstLine="720"/>
        <w:jc w:val="both"/>
        <w:rPr>
          <w:rFonts w:asciiTheme="majorBidi" w:hAnsiTheme="majorBidi" w:cstheme="majorBidi"/>
          <w:sz w:val="12"/>
          <w:szCs w:val="12"/>
        </w:rPr>
      </w:pPr>
    </w:p>
    <w:p w14:paraId="644165A6" w14:textId="1FE5F93A" w:rsidR="00C57C44" w:rsidRDefault="006D6658" w:rsidP="008A4D01">
      <w:pPr>
        <w:spacing w:after="0" w:line="360" w:lineRule="auto"/>
        <w:ind w:firstLine="567"/>
        <w:jc w:val="both"/>
      </w:pPr>
      <w:r>
        <w:t>The f</w:t>
      </w:r>
      <w:r w:rsidR="00EC5BB4">
        <w:t xml:space="preserve">ourth data source is </w:t>
      </w:r>
      <w:r>
        <w:t xml:space="preserve">real </w:t>
      </w:r>
      <w:r w:rsidR="00EC5BB4">
        <w:t>GDP</w:t>
      </w:r>
      <w:r>
        <w:t xml:space="preserve"> in chained 2012 dollars</w:t>
      </w:r>
      <w:r w:rsidR="009F1C24">
        <w:t>, for each of the 50 states and</w:t>
      </w:r>
      <w:r>
        <w:t xml:space="preserve"> the District of Columbia, </w:t>
      </w:r>
      <w:r w:rsidR="009F1C24">
        <w:t xml:space="preserve">from </w:t>
      </w:r>
      <w:r>
        <w:t>the U.S. Bureau of Economic Analysis. We use annual and quarterly data</w:t>
      </w:r>
      <w:r w:rsidR="009F1C24">
        <w:t xml:space="preserve">, and also </w:t>
      </w:r>
      <w:r w:rsidR="00267618">
        <w:t>consider breakdowns by industry</w:t>
      </w:r>
      <w:r w:rsidR="009F1C24">
        <w:t xml:space="preserve"> for agriculture, manufacturing and other sectors. We</w:t>
      </w:r>
      <w:r w:rsidR="00267618">
        <w:t xml:space="preserve"> use a double-log specification</w:t>
      </w:r>
      <w:r w:rsidR="009F1C24">
        <w:t xml:space="preserve"> to examine how well GDP is predicted by the sum of lights (either DMSP or VIIRS) at the state level</w:t>
      </w:r>
      <w:r w:rsidR="00E72EE2">
        <w:t>, allowing for time</w:t>
      </w:r>
      <w:r w:rsidR="009F1C24">
        <w:t xml:space="preserve"> effects.</w:t>
      </w:r>
    </w:p>
    <w:p w14:paraId="5496F844" w14:textId="77777777" w:rsidR="0098402E" w:rsidRPr="0098402E" w:rsidRDefault="0098402E" w:rsidP="0098402E">
      <w:pPr>
        <w:spacing w:after="0" w:line="360" w:lineRule="auto"/>
        <w:ind w:firstLine="720"/>
        <w:jc w:val="both"/>
        <w:rPr>
          <w:sz w:val="12"/>
          <w:szCs w:val="12"/>
        </w:rPr>
      </w:pPr>
    </w:p>
    <w:p w14:paraId="3BE56F7D" w14:textId="00A49735" w:rsidR="00C57C44" w:rsidRDefault="009F1C24" w:rsidP="008A4D01">
      <w:pPr>
        <w:widowControl w:val="0"/>
        <w:spacing w:after="0" w:line="360" w:lineRule="auto"/>
        <w:ind w:firstLine="567"/>
        <w:jc w:val="both"/>
        <w:rPr>
          <w:rFonts w:asciiTheme="majorBidi" w:hAnsiTheme="majorBidi" w:cstheme="majorBidi"/>
        </w:rPr>
      </w:pPr>
      <w:r>
        <w:rPr>
          <w:rFonts w:asciiTheme="majorBidi" w:hAnsiTheme="majorBidi" w:cstheme="majorBidi"/>
        </w:rPr>
        <w:t xml:space="preserve">The results in </w:t>
      </w:r>
      <w:r w:rsidR="00C57C44">
        <w:rPr>
          <w:rFonts w:asciiTheme="majorBidi" w:hAnsiTheme="majorBidi" w:cstheme="majorBidi"/>
        </w:rPr>
        <w:t>Table 1</w:t>
      </w:r>
      <w:r w:rsidR="009009ED">
        <w:rPr>
          <w:rFonts w:asciiTheme="majorBidi" w:hAnsiTheme="majorBidi" w:cstheme="majorBidi"/>
        </w:rPr>
        <w:t xml:space="preserve"> use </w:t>
      </w:r>
      <w:r>
        <w:rPr>
          <w:rFonts w:asciiTheme="majorBidi" w:hAnsiTheme="majorBidi" w:cstheme="majorBidi"/>
        </w:rPr>
        <w:t>annual data, either from the c</w:t>
      </w:r>
      <w:r w:rsidR="0033209F">
        <w:rPr>
          <w:rFonts w:asciiTheme="majorBidi" w:hAnsiTheme="majorBidi" w:cstheme="majorBidi"/>
        </w:rPr>
        <w:t>omposites provided by NOAA (</w:t>
      </w:r>
      <w:r>
        <w:rPr>
          <w:rFonts w:asciiTheme="majorBidi" w:hAnsiTheme="majorBidi" w:cstheme="majorBidi"/>
        </w:rPr>
        <w:t>first four columns), or co</w:t>
      </w:r>
      <w:r w:rsidR="00F60D82">
        <w:rPr>
          <w:rFonts w:asciiTheme="majorBidi" w:hAnsiTheme="majorBidi" w:cstheme="majorBidi"/>
        </w:rPr>
        <w:t xml:space="preserve">nstructed by us from </w:t>
      </w:r>
      <w:r w:rsidR="0033209F">
        <w:rPr>
          <w:rFonts w:asciiTheme="majorBidi" w:hAnsiTheme="majorBidi" w:cstheme="majorBidi"/>
        </w:rPr>
        <w:t>monthly VIIRS data (</w:t>
      </w:r>
      <w:r>
        <w:rPr>
          <w:rFonts w:asciiTheme="majorBidi" w:hAnsiTheme="majorBidi" w:cstheme="majorBidi"/>
        </w:rPr>
        <w:t xml:space="preserve">last two columns). If DMSP data are used to predict GDP, </w:t>
      </w:r>
      <w:r w:rsidR="000150BC">
        <w:rPr>
          <w:rFonts w:asciiTheme="majorBidi" w:hAnsiTheme="majorBidi" w:cstheme="majorBidi"/>
        </w:rPr>
        <w:t>the adjusted-</w:t>
      </w:r>
      <w:r w:rsidR="000150BC">
        <w:rPr>
          <w:rFonts w:asciiTheme="majorBidi" w:hAnsiTheme="majorBidi" w:cstheme="majorBidi"/>
          <w:i/>
          <w:iCs/>
        </w:rPr>
        <w:t>R</w:t>
      </w:r>
      <w:r w:rsidR="000150BC">
        <w:rPr>
          <w:rFonts w:asciiTheme="majorBidi" w:hAnsiTheme="majorBidi" w:cstheme="majorBidi"/>
          <w:vertAlign w:val="superscript"/>
        </w:rPr>
        <w:t>2</w:t>
      </w:r>
      <w:r w:rsidR="000150BC">
        <w:rPr>
          <w:rFonts w:asciiTheme="majorBidi" w:hAnsiTheme="majorBidi" w:cstheme="majorBidi"/>
        </w:rPr>
        <w:t xml:space="preserve"> is 0.44 and the ela</w:t>
      </w:r>
      <w:r w:rsidR="0033209F">
        <w:rPr>
          <w:rFonts w:asciiTheme="majorBidi" w:hAnsiTheme="majorBidi" w:cstheme="majorBidi"/>
        </w:rPr>
        <w:t xml:space="preserve">sticity is 0.67. </w:t>
      </w:r>
      <w:r w:rsidR="0039259D">
        <w:rPr>
          <w:rFonts w:asciiTheme="majorBidi" w:hAnsiTheme="majorBidi" w:cstheme="majorBidi"/>
        </w:rPr>
        <w:t xml:space="preserve">Using </w:t>
      </w:r>
      <w:r w:rsidR="000150BC">
        <w:rPr>
          <w:rFonts w:asciiTheme="majorBidi" w:hAnsiTheme="majorBidi" w:cstheme="majorBidi"/>
        </w:rPr>
        <w:t xml:space="preserve">the </w:t>
      </w:r>
      <w:r w:rsidR="0033209F">
        <w:rPr>
          <w:rFonts w:asciiTheme="majorBidi" w:hAnsiTheme="majorBidi" w:cstheme="majorBidi"/>
        </w:rPr>
        <w:t>VIIRS annual composite</w:t>
      </w:r>
      <w:r w:rsidR="008528BF">
        <w:rPr>
          <w:rFonts w:asciiTheme="majorBidi" w:hAnsiTheme="majorBidi" w:cstheme="majorBidi"/>
        </w:rPr>
        <w:t>s</w:t>
      </w:r>
      <w:r w:rsidR="0033209F">
        <w:rPr>
          <w:rFonts w:asciiTheme="majorBidi" w:hAnsiTheme="majorBidi" w:cstheme="majorBidi"/>
        </w:rPr>
        <w:t xml:space="preserve"> </w:t>
      </w:r>
      <w:r w:rsidR="0039259D">
        <w:rPr>
          <w:rFonts w:asciiTheme="majorBidi" w:hAnsiTheme="majorBidi" w:cstheme="majorBidi"/>
        </w:rPr>
        <w:t>gives 60</w:t>
      </w:r>
      <w:r w:rsidR="00F12336">
        <w:rPr>
          <w:rFonts w:asciiTheme="majorBidi" w:hAnsiTheme="majorBidi" w:cstheme="majorBidi"/>
        </w:rPr>
        <w:t xml:space="preserve"> percent</w:t>
      </w:r>
      <w:r w:rsidR="0039259D">
        <w:rPr>
          <w:rFonts w:asciiTheme="majorBidi" w:hAnsiTheme="majorBidi" w:cstheme="majorBidi"/>
        </w:rPr>
        <w:t xml:space="preserve"> higher </w:t>
      </w:r>
      <w:r w:rsidR="000150BC">
        <w:rPr>
          <w:rFonts w:asciiTheme="majorBidi" w:hAnsiTheme="majorBidi" w:cstheme="majorBidi"/>
        </w:rPr>
        <w:t>predictive power, with an adjusted-</w:t>
      </w:r>
      <w:r w:rsidR="000150BC">
        <w:rPr>
          <w:rFonts w:asciiTheme="majorBidi" w:hAnsiTheme="majorBidi" w:cstheme="majorBidi"/>
          <w:i/>
          <w:iCs/>
        </w:rPr>
        <w:t>R</w:t>
      </w:r>
      <w:r w:rsidR="000150BC">
        <w:rPr>
          <w:rFonts w:asciiTheme="majorBidi" w:hAnsiTheme="majorBidi" w:cstheme="majorBidi"/>
          <w:vertAlign w:val="superscript"/>
        </w:rPr>
        <w:t>2</w:t>
      </w:r>
      <w:r w:rsidR="000150BC">
        <w:rPr>
          <w:rFonts w:asciiTheme="majorBidi" w:hAnsiTheme="majorBidi" w:cstheme="majorBidi"/>
        </w:rPr>
        <w:t xml:space="preserve"> of 0.71 and an elasticity of 0.86.</w:t>
      </w:r>
      <w:r w:rsidR="002E3741">
        <w:rPr>
          <w:rFonts w:asciiTheme="majorBidi" w:hAnsiTheme="majorBidi" w:cstheme="majorBidi"/>
        </w:rPr>
        <w:t xml:space="preserve"> </w:t>
      </w:r>
      <w:r w:rsidR="0033209F">
        <w:rPr>
          <w:rFonts w:asciiTheme="majorBidi" w:hAnsiTheme="majorBidi" w:cstheme="majorBidi"/>
        </w:rPr>
        <w:t>O</w:t>
      </w:r>
      <w:r w:rsidR="002E3741">
        <w:rPr>
          <w:rFonts w:asciiTheme="majorBidi" w:hAnsiTheme="majorBidi" w:cstheme="majorBidi"/>
        </w:rPr>
        <w:t>ur</w:t>
      </w:r>
      <w:r w:rsidR="00F60D82">
        <w:rPr>
          <w:rFonts w:asciiTheme="majorBidi" w:hAnsiTheme="majorBidi" w:cstheme="majorBidi"/>
        </w:rPr>
        <w:t xml:space="preserve"> constructed annual </w:t>
      </w:r>
      <w:r w:rsidR="0033209F">
        <w:rPr>
          <w:rFonts w:asciiTheme="majorBidi" w:hAnsiTheme="majorBidi" w:cstheme="majorBidi"/>
        </w:rPr>
        <w:t>value</w:t>
      </w:r>
      <w:r w:rsidR="00F60D82">
        <w:rPr>
          <w:rFonts w:asciiTheme="majorBidi" w:hAnsiTheme="majorBidi" w:cstheme="majorBidi"/>
        </w:rPr>
        <w:t>s for 2015 and 2016, based on the cleaned monthly</w:t>
      </w:r>
      <w:r w:rsidR="005722DC">
        <w:rPr>
          <w:rFonts w:asciiTheme="majorBidi" w:hAnsiTheme="majorBidi" w:cstheme="majorBidi"/>
        </w:rPr>
        <w:t xml:space="preserve"> data, yield </w:t>
      </w:r>
      <w:r w:rsidR="00F60D82">
        <w:rPr>
          <w:rFonts w:asciiTheme="majorBidi" w:hAnsiTheme="majorBidi" w:cstheme="majorBidi"/>
        </w:rPr>
        <w:t>adjusted-</w:t>
      </w:r>
      <w:r w:rsidR="00F60D82">
        <w:rPr>
          <w:rFonts w:asciiTheme="majorBidi" w:hAnsiTheme="majorBidi" w:cstheme="majorBidi"/>
          <w:i/>
          <w:iCs/>
        </w:rPr>
        <w:t>R</w:t>
      </w:r>
      <w:r w:rsidR="00F60D82">
        <w:rPr>
          <w:rFonts w:asciiTheme="majorBidi" w:hAnsiTheme="majorBidi" w:cstheme="majorBidi"/>
          <w:vertAlign w:val="superscript"/>
        </w:rPr>
        <w:t>2</w:t>
      </w:r>
      <w:r w:rsidR="0033209F">
        <w:rPr>
          <w:rFonts w:asciiTheme="majorBidi" w:hAnsiTheme="majorBidi" w:cstheme="majorBidi"/>
        </w:rPr>
        <w:t xml:space="preserve"> o</w:t>
      </w:r>
      <w:r w:rsidR="0033209F" w:rsidRPr="00CD5653">
        <w:rPr>
          <w:rFonts w:asciiTheme="majorBidi" w:hAnsiTheme="majorBidi" w:cstheme="majorBidi"/>
        </w:rPr>
        <w:t>f</w:t>
      </w:r>
      <w:r w:rsidR="00F60D82" w:rsidRPr="00CD5653">
        <w:rPr>
          <w:rFonts w:asciiTheme="majorBidi" w:hAnsiTheme="majorBidi" w:cstheme="majorBidi"/>
        </w:rPr>
        <w:t xml:space="preserve"> </w:t>
      </w:r>
      <w:r w:rsidR="00CD5653" w:rsidRPr="00CD5653">
        <w:rPr>
          <w:rFonts w:asciiTheme="majorBidi" w:hAnsiTheme="majorBidi" w:cstheme="majorBidi"/>
        </w:rPr>
        <w:t>0.69</w:t>
      </w:r>
      <w:r w:rsidR="0033209F" w:rsidRPr="00CD5653">
        <w:rPr>
          <w:rFonts w:asciiTheme="majorBidi" w:hAnsiTheme="majorBidi" w:cstheme="majorBidi"/>
        </w:rPr>
        <w:t xml:space="preserve"> and an elasticity of</w:t>
      </w:r>
      <w:r w:rsidR="00F60D82" w:rsidRPr="00CD5653">
        <w:rPr>
          <w:rFonts w:asciiTheme="majorBidi" w:hAnsiTheme="majorBidi" w:cstheme="majorBidi"/>
        </w:rPr>
        <w:t xml:space="preserve"> </w:t>
      </w:r>
      <w:r w:rsidR="00CD5653" w:rsidRPr="00CD5653">
        <w:rPr>
          <w:rFonts w:asciiTheme="majorBidi" w:hAnsiTheme="majorBidi" w:cstheme="majorBidi"/>
        </w:rPr>
        <w:t>0.82</w:t>
      </w:r>
      <w:r w:rsidR="00F60D82">
        <w:rPr>
          <w:rFonts w:asciiTheme="majorBidi" w:hAnsiTheme="majorBidi" w:cstheme="majorBidi"/>
        </w:rPr>
        <w:t>.</w:t>
      </w:r>
      <w:r w:rsidR="002E3741">
        <w:rPr>
          <w:rFonts w:asciiTheme="majorBidi" w:hAnsiTheme="majorBidi" w:cstheme="majorBidi"/>
        </w:rPr>
        <w:t xml:space="preserve"> Given </w:t>
      </w:r>
      <w:r w:rsidR="00F60D82">
        <w:rPr>
          <w:rFonts w:asciiTheme="majorBidi" w:hAnsiTheme="majorBidi" w:cstheme="majorBidi"/>
        </w:rPr>
        <w:t xml:space="preserve">similar results </w:t>
      </w:r>
      <w:r w:rsidR="002E3741">
        <w:rPr>
          <w:rFonts w:asciiTheme="majorBidi" w:hAnsiTheme="majorBidi" w:cstheme="majorBidi"/>
        </w:rPr>
        <w:t>for</w:t>
      </w:r>
      <w:r w:rsidR="008F7205">
        <w:rPr>
          <w:rFonts w:asciiTheme="majorBidi" w:hAnsiTheme="majorBidi" w:cstheme="majorBidi"/>
        </w:rPr>
        <w:t xml:space="preserve"> VIIRS</w:t>
      </w:r>
      <w:r w:rsidR="002E3741">
        <w:rPr>
          <w:rFonts w:asciiTheme="majorBidi" w:hAnsiTheme="majorBidi" w:cstheme="majorBidi"/>
        </w:rPr>
        <w:t xml:space="preserve"> </w:t>
      </w:r>
      <w:r w:rsidR="00F60D82">
        <w:rPr>
          <w:rFonts w:asciiTheme="majorBidi" w:hAnsiTheme="majorBidi" w:cstheme="majorBidi"/>
        </w:rPr>
        <w:t>annual estimates ba</w:t>
      </w:r>
      <w:r w:rsidR="0033209F">
        <w:rPr>
          <w:rFonts w:asciiTheme="majorBidi" w:hAnsiTheme="majorBidi" w:cstheme="majorBidi"/>
        </w:rPr>
        <w:t>sed on monthly data, versus</w:t>
      </w:r>
      <w:r w:rsidR="00F60D82">
        <w:rPr>
          <w:rFonts w:asciiTheme="majorBidi" w:hAnsiTheme="majorBidi" w:cstheme="majorBidi"/>
        </w:rPr>
        <w:t xml:space="preserve"> using </w:t>
      </w:r>
      <w:r w:rsidR="008F7205">
        <w:rPr>
          <w:rFonts w:asciiTheme="majorBidi" w:hAnsiTheme="majorBidi" w:cstheme="majorBidi"/>
        </w:rPr>
        <w:t xml:space="preserve">VIIRS </w:t>
      </w:r>
      <w:r w:rsidR="0033209F">
        <w:rPr>
          <w:rFonts w:asciiTheme="majorBidi" w:hAnsiTheme="majorBidi" w:cstheme="majorBidi"/>
        </w:rPr>
        <w:t>annual composites from</w:t>
      </w:r>
      <w:r w:rsidR="00F60D82">
        <w:rPr>
          <w:rFonts w:asciiTheme="majorBidi" w:hAnsiTheme="majorBidi" w:cstheme="majorBidi"/>
        </w:rPr>
        <w:t xml:space="preserve"> NOAA, we can </w:t>
      </w:r>
      <w:r w:rsidR="008065A8">
        <w:rPr>
          <w:rFonts w:asciiTheme="majorBidi" w:hAnsiTheme="majorBidi" w:cstheme="majorBidi"/>
        </w:rPr>
        <w:t xml:space="preserve">use the monthly data to </w:t>
      </w:r>
      <w:r w:rsidR="005722DC">
        <w:rPr>
          <w:rFonts w:asciiTheme="majorBidi" w:hAnsiTheme="majorBidi" w:cstheme="majorBidi"/>
        </w:rPr>
        <w:t>expand beyond the 2015-16 period</w:t>
      </w:r>
      <w:r w:rsidR="00F60D82">
        <w:rPr>
          <w:rFonts w:asciiTheme="majorBidi" w:hAnsiTheme="majorBidi" w:cstheme="majorBidi"/>
        </w:rPr>
        <w:t>.</w:t>
      </w:r>
    </w:p>
    <w:p w14:paraId="471B4EF8" w14:textId="77777777" w:rsidR="0098402E" w:rsidRPr="0098402E" w:rsidRDefault="0098402E" w:rsidP="0098402E">
      <w:pPr>
        <w:widowControl w:val="0"/>
        <w:spacing w:after="0" w:line="360" w:lineRule="auto"/>
        <w:ind w:firstLine="720"/>
        <w:jc w:val="both"/>
        <w:rPr>
          <w:rFonts w:asciiTheme="majorBidi" w:hAnsiTheme="majorBidi" w:cstheme="majorBidi"/>
          <w:sz w:val="12"/>
          <w:szCs w:val="12"/>
        </w:rPr>
      </w:pPr>
    </w:p>
    <w:p w14:paraId="6BF2F49C" w14:textId="0B228BC7" w:rsidR="002E3741" w:rsidRDefault="009009ED" w:rsidP="008F7205">
      <w:pPr>
        <w:spacing w:after="0" w:line="360" w:lineRule="auto"/>
        <w:ind w:firstLine="567"/>
        <w:jc w:val="both"/>
        <w:rPr>
          <w:rFonts w:asciiTheme="majorBidi" w:hAnsiTheme="majorBidi" w:cstheme="majorBidi"/>
        </w:rPr>
      </w:pPr>
      <w:r>
        <w:rPr>
          <w:rFonts w:asciiTheme="majorBidi" w:hAnsiTheme="majorBidi" w:cstheme="majorBidi"/>
        </w:rPr>
        <w:t>T</w:t>
      </w:r>
      <w:r w:rsidR="002E3741">
        <w:rPr>
          <w:rFonts w:asciiTheme="majorBidi" w:hAnsiTheme="majorBidi" w:cstheme="majorBidi"/>
        </w:rPr>
        <w:t>he 60</w:t>
      </w:r>
      <w:r w:rsidR="00025F48">
        <w:rPr>
          <w:rFonts w:asciiTheme="majorBidi" w:hAnsiTheme="majorBidi" w:cstheme="majorBidi"/>
        </w:rPr>
        <w:t xml:space="preserve"> percent</w:t>
      </w:r>
      <w:r w:rsidR="002E3741">
        <w:rPr>
          <w:rFonts w:asciiTheme="majorBidi" w:hAnsiTheme="majorBidi" w:cstheme="majorBidi"/>
        </w:rPr>
        <w:t xml:space="preserve"> better predictive performance when using annual VIIRS data </w:t>
      </w:r>
      <w:r w:rsidR="008F7205">
        <w:rPr>
          <w:rFonts w:asciiTheme="majorBidi" w:hAnsiTheme="majorBidi" w:cstheme="majorBidi"/>
        </w:rPr>
        <w:t xml:space="preserve">rather than DMSP data </w:t>
      </w:r>
      <w:r w:rsidR="002E3741">
        <w:rPr>
          <w:rFonts w:asciiTheme="majorBidi" w:hAnsiTheme="majorBidi" w:cstheme="majorBidi"/>
        </w:rPr>
        <w:t xml:space="preserve">persists in two robustness exercises. Restricting attention to the three possible two-year runs of </w:t>
      </w:r>
      <w:r w:rsidR="008904AC">
        <w:rPr>
          <w:rFonts w:asciiTheme="majorBidi" w:hAnsiTheme="majorBidi" w:cstheme="majorBidi"/>
        </w:rPr>
        <w:t xml:space="preserve">DMSP data, to </w:t>
      </w:r>
      <w:r w:rsidR="008F7205">
        <w:rPr>
          <w:rFonts w:asciiTheme="majorBidi" w:hAnsiTheme="majorBidi" w:cstheme="majorBidi"/>
        </w:rPr>
        <w:t xml:space="preserve">match the length of </w:t>
      </w:r>
      <w:r w:rsidR="002E3741">
        <w:rPr>
          <w:rFonts w:asciiTheme="majorBidi" w:hAnsiTheme="majorBidi" w:cstheme="majorBidi"/>
        </w:rPr>
        <w:t xml:space="preserve">the VIIRS time-series, </w:t>
      </w:r>
      <w:r w:rsidR="008904AC">
        <w:rPr>
          <w:rFonts w:asciiTheme="majorBidi" w:hAnsiTheme="majorBidi" w:cstheme="majorBidi"/>
        </w:rPr>
        <w:t xml:space="preserve">the </w:t>
      </w:r>
      <w:r w:rsidR="002E3741">
        <w:rPr>
          <w:rFonts w:asciiTheme="majorBidi" w:hAnsiTheme="majorBidi" w:cstheme="majorBidi"/>
        </w:rPr>
        <w:t>adjusted-</w:t>
      </w:r>
      <w:r w:rsidR="002E3741">
        <w:rPr>
          <w:rFonts w:asciiTheme="majorBidi" w:hAnsiTheme="majorBidi" w:cstheme="majorBidi"/>
          <w:i/>
          <w:iCs/>
        </w:rPr>
        <w:t>R</w:t>
      </w:r>
      <w:r w:rsidR="002E3741">
        <w:rPr>
          <w:rFonts w:asciiTheme="majorBidi" w:hAnsiTheme="majorBidi" w:cstheme="majorBidi"/>
          <w:vertAlign w:val="superscript"/>
        </w:rPr>
        <w:t>2</w:t>
      </w:r>
      <w:r>
        <w:rPr>
          <w:rFonts w:asciiTheme="majorBidi" w:hAnsiTheme="majorBidi" w:cstheme="majorBidi"/>
        </w:rPr>
        <w:t xml:space="preserve"> </w:t>
      </w:r>
      <w:r w:rsidR="002E3741">
        <w:rPr>
          <w:rFonts w:asciiTheme="majorBidi" w:hAnsiTheme="majorBidi" w:cstheme="majorBidi"/>
        </w:rPr>
        <w:t>range</w:t>
      </w:r>
      <w:r>
        <w:rPr>
          <w:rFonts w:asciiTheme="majorBidi" w:hAnsiTheme="majorBidi" w:cstheme="majorBidi"/>
        </w:rPr>
        <w:t>s</w:t>
      </w:r>
      <w:r w:rsidR="002E3741">
        <w:rPr>
          <w:rFonts w:asciiTheme="majorBidi" w:hAnsiTheme="majorBidi" w:cstheme="majorBidi"/>
        </w:rPr>
        <w:t xml:space="preserve"> from 0.432 to 0.456, and average</w:t>
      </w:r>
      <w:r>
        <w:rPr>
          <w:rFonts w:asciiTheme="majorBidi" w:hAnsiTheme="majorBidi" w:cstheme="majorBidi"/>
        </w:rPr>
        <w:t>s</w:t>
      </w:r>
      <w:r w:rsidR="002E3741">
        <w:rPr>
          <w:rFonts w:asciiTheme="majorBidi" w:hAnsiTheme="majorBidi" w:cstheme="majorBidi"/>
        </w:rPr>
        <w:t xml:space="preserve"> 0.446.</w:t>
      </w:r>
      <w:r w:rsidR="008904AC">
        <w:rPr>
          <w:rFonts w:asciiTheme="majorBidi" w:hAnsiTheme="majorBidi" w:cstheme="majorBidi"/>
        </w:rPr>
        <w:t xml:space="preserve"> For </w:t>
      </w:r>
      <w:r w:rsidR="002E3741">
        <w:rPr>
          <w:rFonts w:asciiTheme="majorBidi" w:hAnsiTheme="majorBidi" w:cstheme="majorBidi"/>
        </w:rPr>
        <w:t>the only overlapping year</w:t>
      </w:r>
      <w:r w:rsidR="0033209F">
        <w:rPr>
          <w:rFonts w:asciiTheme="majorBidi" w:hAnsiTheme="majorBidi" w:cstheme="majorBidi"/>
        </w:rPr>
        <w:t>,</w:t>
      </w:r>
      <w:r w:rsidR="002E3741">
        <w:rPr>
          <w:rFonts w:asciiTheme="majorBidi" w:hAnsiTheme="majorBidi" w:cstheme="majorBidi"/>
        </w:rPr>
        <w:t xml:space="preserve"> 2013</w:t>
      </w:r>
      <w:r w:rsidR="0033209F">
        <w:rPr>
          <w:rFonts w:asciiTheme="majorBidi" w:hAnsiTheme="majorBidi" w:cstheme="majorBidi"/>
        </w:rPr>
        <w:t xml:space="preserve">, </w:t>
      </w:r>
      <w:r w:rsidR="002E3741">
        <w:rPr>
          <w:rFonts w:asciiTheme="majorBidi" w:hAnsiTheme="majorBidi" w:cstheme="majorBidi"/>
        </w:rPr>
        <w:t>the adjusted-</w:t>
      </w:r>
      <w:r w:rsidR="002E3741" w:rsidRPr="0033209F">
        <w:rPr>
          <w:rFonts w:asciiTheme="majorBidi" w:hAnsiTheme="majorBidi" w:cstheme="majorBidi"/>
          <w:i/>
          <w:iCs/>
        </w:rPr>
        <w:t>R</w:t>
      </w:r>
      <w:r w:rsidR="002E3741" w:rsidRPr="0033209F">
        <w:rPr>
          <w:rFonts w:asciiTheme="majorBidi" w:hAnsiTheme="majorBidi" w:cstheme="majorBidi"/>
          <w:vertAlign w:val="superscript"/>
        </w:rPr>
        <w:t>2</w:t>
      </w:r>
      <w:r w:rsidR="0033209F">
        <w:rPr>
          <w:rFonts w:asciiTheme="majorBidi" w:hAnsiTheme="majorBidi" w:cstheme="majorBidi"/>
        </w:rPr>
        <w:t xml:space="preserve"> </w:t>
      </w:r>
      <w:r w:rsidR="008904AC">
        <w:rPr>
          <w:rFonts w:asciiTheme="majorBidi" w:hAnsiTheme="majorBidi" w:cstheme="majorBidi"/>
        </w:rPr>
        <w:t xml:space="preserve">with DMSP </w:t>
      </w:r>
      <w:r w:rsidR="0033209F">
        <w:rPr>
          <w:rFonts w:asciiTheme="majorBidi" w:hAnsiTheme="majorBidi" w:cstheme="majorBidi"/>
        </w:rPr>
        <w:t>is 0.468 and the elasticity is 0.68</w:t>
      </w:r>
      <w:r w:rsidR="00C97326">
        <w:rPr>
          <w:rFonts w:asciiTheme="majorBidi" w:hAnsiTheme="majorBidi" w:cstheme="majorBidi"/>
        </w:rPr>
        <w:t xml:space="preserve">, while </w:t>
      </w:r>
      <w:r w:rsidR="002E3741">
        <w:rPr>
          <w:rFonts w:asciiTheme="majorBidi" w:hAnsiTheme="majorBidi" w:cstheme="majorBidi"/>
        </w:rPr>
        <w:t xml:space="preserve">VIIRS (annual </w:t>
      </w:r>
      <w:r w:rsidR="00C97326">
        <w:rPr>
          <w:rFonts w:asciiTheme="majorBidi" w:hAnsiTheme="majorBidi" w:cstheme="majorBidi"/>
        </w:rPr>
        <w:t>sums of</w:t>
      </w:r>
      <w:r w:rsidR="008904AC">
        <w:rPr>
          <w:rFonts w:asciiTheme="majorBidi" w:hAnsiTheme="majorBidi" w:cstheme="majorBidi"/>
        </w:rPr>
        <w:t xml:space="preserve"> </w:t>
      </w:r>
      <w:r w:rsidR="00C97326">
        <w:rPr>
          <w:rFonts w:asciiTheme="majorBidi" w:hAnsiTheme="majorBidi" w:cstheme="majorBidi"/>
        </w:rPr>
        <w:t>monthly data) gives</w:t>
      </w:r>
      <w:r w:rsidR="0033209F">
        <w:rPr>
          <w:rFonts w:asciiTheme="majorBidi" w:hAnsiTheme="majorBidi" w:cstheme="majorBidi"/>
        </w:rPr>
        <w:t xml:space="preserve"> adjusted-</w:t>
      </w:r>
      <w:r w:rsidR="0033209F" w:rsidRPr="0033209F">
        <w:rPr>
          <w:rFonts w:asciiTheme="majorBidi" w:hAnsiTheme="majorBidi" w:cstheme="majorBidi"/>
          <w:i/>
          <w:iCs/>
        </w:rPr>
        <w:t>R</w:t>
      </w:r>
      <w:r w:rsidR="0033209F" w:rsidRPr="0033209F">
        <w:rPr>
          <w:rFonts w:asciiTheme="majorBidi" w:hAnsiTheme="majorBidi" w:cstheme="majorBidi"/>
          <w:vertAlign w:val="superscript"/>
        </w:rPr>
        <w:t>2</w:t>
      </w:r>
      <w:r w:rsidR="00C97326">
        <w:rPr>
          <w:rFonts w:asciiTheme="majorBidi" w:hAnsiTheme="majorBidi" w:cstheme="majorBidi"/>
        </w:rPr>
        <w:t xml:space="preserve"> of</w:t>
      </w:r>
      <w:r w:rsidR="0033209F">
        <w:rPr>
          <w:rFonts w:asciiTheme="majorBidi" w:hAnsiTheme="majorBidi" w:cstheme="majorBidi"/>
        </w:rPr>
        <w:t xml:space="preserve"> 0.</w:t>
      </w:r>
      <w:r w:rsidR="00C97326">
        <w:rPr>
          <w:rFonts w:asciiTheme="majorBidi" w:hAnsiTheme="majorBidi" w:cstheme="majorBidi"/>
        </w:rPr>
        <w:t>704 and an elasticity of</w:t>
      </w:r>
      <w:r w:rsidR="0033209F">
        <w:rPr>
          <w:rFonts w:asciiTheme="majorBidi" w:hAnsiTheme="majorBidi" w:cstheme="majorBidi"/>
        </w:rPr>
        <w:t xml:space="preserve"> 0.</w:t>
      </w:r>
      <w:r w:rsidR="00C97326">
        <w:rPr>
          <w:rFonts w:asciiTheme="majorBidi" w:hAnsiTheme="majorBidi" w:cstheme="majorBidi"/>
        </w:rPr>
        <w:t>81</w:t>
      </w:r>
      <w:r w:rsidR="0033209F">
        <w:rPr>
          <w:rFonts w:asciiTheme="majorBidi" w:hAnsiTheme="majorBidi" w:cstheme="majorBidi"/>
        </w:rPr>
        <w:t>.</w:t>
      </w:r>
      <w:r>
        <w:rPr>
          <w:rFonts w:asciiTheme="majorBidi" w:hAnsiTheme="majorBidi" w:cstheme="majorBidi"/>
        </w:rPr>
        <w:t xml:space="preserve"> </w:t>
      </w:r>
      <w:proofErr w:type="gramStart"/>
      <w:r>
        <w:rPr>
          <w:rFonts w:asciiTheme="majorBidi" w:hAnsiTheme="majorBidi" w:cstheme="majorBidi"/>
        </w:rPr>
        <w:t>So</w:t>
      </w:r>
      <w:proofErr w:type="gramEnd"/>
      <w:r>
        <w:rPr>
          <w:rFonts w:asciiTheme="majorBidi" w:hAnsiTheme="majorBidi" w:cstheme="majorBidi"/>
        </w:rPr>
        <w:t xml:space="preserve"> the 60</w:t>
      </w:r>
      <w:r w:rsidR="00F12336">
        <w:rPr>
          <w:rFonts w:asciiTheme="majorBidi" w:hAnsiTheme="majorBidi" w:cstheme="majorBidi"/>
        </w:rPr>
        <w:t xml:space="preserve"> percent</w:t>
      </w:r>
      <w:r>
        <w:rPr>
          <w:rFonts w:asciiTheme="majorBidi" w:hAnsiTheme="majorBidi" w:cstheme="majorBidi"/>
        </w:rPr>
        <w:t xml:space="preserve"> better predictive performance with VIIRS persists.</w:t>
      </w:r>
    </w:p>
    <w:p w14:paraId="161C2B49" w14:textId="77777777" w:rsidR="0098402E" w:rsidRPr="0098402E" w:rsidRDefault="0098402E" w:rsidP="0098402E">
      <w:pPr>
        <w:spacing w:after="0" w:line="360" w:lineRule="auto"/>
        <w:ind w:firstLine="720"/>
        <w:jc w:val="both"/>
        <w:rPr>
          <w:rFonts w:asciiTheme="majorBidi" w:hAnsiTheme="majorBidi" w:cstheme="majorBidi"/>
          <w:sz w:val="12"/>
          <w:szCs w:val="12"/>
        </w:rPr>
      </w:pPr>
    </w:p>
    <w:p w14:paraId="629EFB95" w14:textId="51B55354" w:rsidR="009009ED" w:rsidRDefault="009009ED" w:rsidP="008A4D01">
      <w:pPr>
        <w:spacing w:after="0" w:line="360" w:lineRule="auto"/>
        <w:ind w:firstLine="567"/>
        <w:jc w:val="both"/>
        <w:rPr>
          <w:rFonts w:asciiTheme="majorBidi" w:hAnsiTheme="majorBidi" w:cstheme="majorBidi"/>
        </w:rPr>
      </w:pPr>
      <w:r>
        <w:rPr>
          <w:rFonts w:asciiTheme="majorBidi" w:hAnsiTheme="majorBidi" w:cstheme="majorBidi"/>
        </w:rPr>
        <w:t>In contrast to results for levels, neither D</w:t>
      </w:r>
      <w:r w:rsidR="008904AC">
        <w:rPr>
          <w:rFonts w:asciiTheme="majorBidi" w:hAnsiTheme="majorBidi" w:cstheme="majorBidi"/>
        </w:rPr>
        <w:t xml:space="preserve">MSP nor VIIRS annual data </w:t>
      </w:r>
      <w:r w:rsidR="00CD5653">
        <w:rPr>
          <w:rFonts w:asciiTheme="majorBidi" w:hAnsiTheme="majorBidi" w:cstheme="majorBidi"/>
        </w:rPr>
        <w:t>predict</w:t>
      </w:r>
      <w:r>
        <w:rPr>
          <w:rFonts w:asciiTheme="majorBidi" w:hAnsiTheme="majorBidi" w:cstheme="majorBidi"/>
        </w:rPr>
        <w:t xml:space="preserve"> rates of change</w:t>
      </w:r>
      <w:r w:rsidR="00CD5653">
        <w:rPr>
          <w:rFonts w:asciiTheme="majorBidi" w:hAnsiTheme="majorBidi" w:cstheme="majorBidi"/>
        </w:rPr>
        <w:t xml:space="preserve"> with much accuracy</w:t>
      </w:r>
      <w:r>
        <w:rPr>
          <w:rFonts w:asciiTheme="majorBidi" w:hAnsiTheme="majorBidi" w:cstheme="majorBidi"/>
        </w:rPr>
        <w:t xml:space="preserve">. The elasticities </w:t>
      </w:r>
      <w:r w:rsidR="00AA4CD3">
        <w:rPr>
          <w:rFonts w:asciiTheme="majorBidi" w:hAnsiTheme="majorBidi" w:cstheme="majorBidi"/>
        </w:rPr>
        <w:t xml:space="preserve">for annual changes in Table 1 </w:t>
      </w:r>
      <w:r>
        <w:rPr>
          <w:rFonts w:asciiTheme="majorBidi" w:hAnsiTheme="majorBidi" w:cstheme="majorBidi"/>
        </w:rPr>
        <w:t>are only 0.025 to 0.</w:t>
      </w:r>
      <w:r w:rsidR="00CD5653">
        <w:rPr>
          <w:rFonts w:asciiTheme="majorBidi" w:hAnsiTheme="majorBidi" w:cstheme="majorBidi"/>
        </w:rPr>
        <w:t>059</w:t>
      </w:r>
      <w:r>
        <w:rPr>
          <w:rFonts w:asciiTheme="majorBidi" w:hAnsiTheme="majorBidi" w:cstheme="majorBidi"/>
        </w:rPr>
        <w:t xml:space="preserve"> and </w:t>
      </w:r>
      <w:r w:rsidR="0039259D">
        <w:rPr>
          <w:rFonts w:asciiTheme="majorBidi" w:hAnsiTheme="majorBidi" w:cstheme="majorBidi"/>
        </w:rPr>
        <w:t>most are</w:t>
      </w:r>
      <w:r w:rsidR="00CD5653">
        <w:rPr>
          <w:rFonts w:asciiTheme="majorBidi" w:hAnsiTheme="majorBidi" w:cstheme="majorBidi"/>
        </w:rPr>
        <w:t xml:space="preserve"> imprecise</w:t>
      </w:r>
      <w:r w:rsidR="0039259D">
        <w:rPr>
          <w:rFonts w:asciiTheme="majorBidi" w:hAnsiTheme="majorBidi" w:cstheme="majorBidi"/>
        </w:rPr>
        <w:t>ly estimated</w:t>
      </w:r>
      <w:r w:rsidR="00CD5653">
        <w:rPr>
          <w:rFonts w:asciiTheme="majorBidi" w:hAnsiTheme="majorBidi" w:cstheme="majorBidi"/>
        </w:rPr>
        <w:t>. Less than four</w:t>
      </w:r>
      <w:r>
        <w:rPr>
          <w:rFonts w:asciiTheme="majorBidi" w:hAnsiTheme="majorBidi" w:cstheme="majorBidi"/>
        </w:rPr>
        <w:t xml:space="preserve"> percen</w:t>
      </w:r>
      <w:r w:rsidR="00AA4CD3">
        <w:rPr>
          <w:rFonts w:asciiTheme="majorBidi" w:hAnsiTheme="majorBidi" w:cstheme="majorBidi"/>
        </w:rPr>
        <w:t xml:space="preserve">t of </w:t>
      </w:r>
      <w:r>
        <w:rPr>
          <w:rFonts w:asciiTheme="majorBidi" w:hAnsiTheme="majorBidi" w:cstheme="majorBidi"/>
        </w:rPr>
        <w:t>variation in annual rates of change in state-level GDP is explained by changes in annual lights.</w:t>
      </w:r>
    </w:p>
    <w:p w14:paraId="344AA61E" w14:textId="77777777" w:rsidR="0098402E" w:rsidRPr="0098402E" w:rsidRDefault="0098402E" w:rsidP="0098402E">
      <w:pPr>
        <w:spacing w:after="0" w:line="360" w:lineRule="auto"/>
        <w:ind w:firstLine="720"/>
        <w:jc w:val="both"/>
        <w:rPr>
          <w:rFonts w:asciiTheme="majorBidi" w:hAnsiTheme="majorBidi" w:cstheme="majorBidi"/>
          <w:sz w:val="12"/>
          <w:szCs w:val="12"/>
        </w:rPr>
      </w:pPr>
    </w:p>
    <w:p w14:paraId="1CA19171" w14:textId="77777777" w:rsidR="00C3408F" w:rsidRDefault="00C3408F">
      <w:pPr>
        <w:rPr>
          <w:rFonts w:asciiTheme="majorBidi" w:hAnsiTheme="majorBidi" w:cstheme="majorBidi"/>
        </w:rPr>
      </w:pPr>
      <w:r>
        <w:rPr>
          <w:rFonts w:asciiTheme="majorBidi" w:hAnsiTheme="majorBidi" w:cstheme="majorBidi"/>
        </w:rPr>
        <w:br w:type="page"/>
      </w:r>
    </w:p>
    <w:p w14:paraId="11C5572E" w14:textId="77777777" w:rsidR="002405A2" w:rsidRDefault="002405A2">
      <w:pPr>
        <w:rPr>
          <w:rFonts w:asciiTheme="majorBidi" w:hAnsiTheme="majorBidi" w:cstheme="majorBidi"/>
        </w:rPr>
        <w:sectPr w:rsidR="002405A2" w:rsidSect="00257D68">
          <w:footerReference w:type="default" r:id="rId7"/>
          <w:footerReference w:type="first" r:id="rId8"/>
          <w:pgSz w:w="11906" w:h="16838" w:code="9"/>
          <w:pgMar w:top="1440" w:right="1440" w:bottom="1440" w:left="1440" w:header="709" w:footer="709" w:gutter="0"/>
          <w:pgNumType w:start="1"/>
          <w:cols w:space="708"/>
          <w:titlePg/>
          <w:docGrid w:linePitch="360"/>
        </w:sectPr>
      </w:pPr>
    </w:p>
    <w:tbl>
      <w:tblPr>
        <w:tblStyle w:val="TableGrid"/>
        <w:tblW w:w="14005" w:type="dxa"/>
        <w:tblCellMar>
          <w:left w:w="0" w:type="dxa"/>
          <w:right w:w="0" w:type="dxa"/>
        </w:tblCellMar>
        <w:tblLook w:val="04A0" w:firstRow="1" w:lastRow="0" w:firstColumn="1" w:lastColumn="0" w:noHBand="0" w:noVBand="1"/>
      </w:tblPr>
      <w:tblGrid>
        <w:gridCol w:w="3296"/>
        <w:gridCol w:w="1697"/>
        <w:gridCol w:w="1695"/>
        <w:gridCol w:w="236"/>
        <w:gridCol w:w="1693"/>
        <w:gridCol w:w="1694"/>
        <w:gridCol w:w="236"/>
        <w:gridCol w:w="1693"/>
        <w:gridCol w:w="1694"/>
        <w:gridCol w:w="63"/>
        <w:gridCol w:w="8"/>
      </w:tblGrid>
      <w:tr w:rsidR="002405A2" w14:paraId="3E01D685" w14:textId="77777777" w:rsidTr="004E6E00">
        <w:trPr>
          <w:gridAfter w:val="2"/>
          <w:wAfter w:w="71" w:type="dxa"/>
        </w:trPr>
        <w:tc>
          <w:tcPr>
            <w:tcW w:w="13934" w:type="dxa"/>
            <w:gridSpan w:val="9"/>
            <w:tcBorders>
              <w:top w:val="nil"/>
              <w:left w:val="nil"/>
              <w:bottom w:val="single" w:sz="4" w:space="0" w:color="auto"/>
              <w:right w:val="nil"/>
            </w:tcBorders>
          </w:tcPr>
          <w:p w14:paraId="1FA84757" w14:textId="15C598A5" w:rsidR="004E6E00" w:rsidRDefault="002405A2" w:rsidP="004E6E00">
            <w:pPr>
              <w:spacing w:after="40"/>
              <w:jc w:val="center"/>
              <w:rPr>
                <w:rFonts w:eastAsia="Times New Roman"/>
                <w:b/>
                <w:sz w:val="22"/>
                <w:szCs w:val="22"/>
              </w:rPr>
            </w:pPr>
            <w:r w:rsidRPr="008A4D01">
              <w:rPr>
                <w:rFonts w:asciiTheme="majorBidi" w:hAnsiTheme="majorBidi" w:cstheme="majorBidi"/>
                <w:b/>
                <w:sz w:val="22"/>
                <w:szCs w:val="22"/>
              </w:rPr>
              <w:lastRenderedPageBreak/>
              <w:br w:type="page"/>
            </w:r>
            <w:r w:rsidRPr="008A4D01">
              <w:rPr>
                <w:rFonts w:eastAsia="Times New Roman"/>
                <w:b/>
                <w:sz w:val="22"/>
                <w:szCs w:val="22"/>
              </w:rPr>
              <w:t>Table 1: Predictive Power of Night Lights for State Annual GDP is Higher with VIIRS than with DMSP</w:t>
            </w:r>
          </w:p>
          <w:p w14:paraId="3893A4CA" w14:textId="77777777" w:rsidR="002405A2" w:rsidRDefault="002405A2" w:rsidP="004E6E00">
            <w:pPr>
              <w:spacing w:after="40"/>
              <w:jc w:val="center"/>
              <w:rPr>
                <w:rFonts w:eastAsia="Times New Roman"/>
                <w:b/>
                <w:sz w:val="22"/>
                <w:szCs w:val="22"/>
              </w:rPr>
            </w:pPr>
            <w:r w:rsidRPr="008A4D01">
              <w:rPr>
                <w:rFonts w:eastAsia="Times New Roman"/>
                <w:b/>
                <w:sz w:val="22"/>
                <w:szCs w:val="22"/>
              </w:rPr>
              <w:t xml:space="preserve"> and for Levels rather than Changes</w:t>
            </w:r>
          </w:p>
          <w:p w14:paraId="081F90C7" w14:textId="2A090F10" w:rsidR="00F12336" w:rsidRPr="00F12336" w:rsidRDefault="00F12336" w:rsidP="004E6E00">
            <w:pPr>
              <w:spacing w:after="40"/>
              <w:jc w:val="center"/>
              <w:rPr>
                <w:rFonts w:eastAsia="Times New Roman"/>
                <w:b/>
                <w:sz w:val="6"/>
                <w:szCs w:val="6"/>
              </w:rPr>
            </w:pPr>
          </w:p>
        </w:tc>
      </w:tr>
      <w:tr w:rsidR="002405A2" w14:paraId="5F2B42CC" w14:textId="77777777" w:rsidTr="004E6E00">
        <w:tc>
          <w:tcPr>
            <w:tcW w:w="3296" w:type="dxa"/>
            <w:tcBorders>
              <w:top w:val="single" w:sz="4" w:space="0" w:color="auto"/>
              <w:left w:val="nil"/>
              <w:bottom w:val="nil"/>
              <w:right w:val="nil"/>
            </w:tcBorders>
          </w:tcPr>
          <w:p w14:paraId="678F76F1" w14:textId="77777777" w:rsidR="002405A2" w:rsidRDefault="002405A2" w:rsidP="004E6E00">
            <w:pPr>
              <w:rPr>
                <w:rFonts w:eastAsia="Times New Roman"/>
                <w:bCs/>
                <w:sz w:val="22"/>
                <w:szCs w:val="22"/>
              </w:rPr>
            </w:pPr>
          </w:p>
        </w:tc>
        <w:tc>
          <w:tcPr>
            <w:tcW w:w="3392" w:type="dxa"/>
            <w:gridSpan w:val="2"/>
            <w:tcBorders>
              <w:top w:val="single" w:sz="4" w:space="0" w:color="auto"/>
              <w:left w:val="nil"/>
              <w:bottom w:val="nil"/>
              <w:right w:val="nil"/>
            </w:tcBorders>
          </w:tcPr>
          <w:p w14:paraId="05D2F876" w14:textId="77777777" w:rsidR="002405A2" w:rsidRDefault="002405A2" w:rsidP="004E6E00">
            <w:pPr>
              <w:spacing w:before="40"/>
              <w:jc w:val="center"/>
              <w:rPr>
                <w:rFonts w:eastAsia="Times New Roman"/>
                <w:bCs/>
                <w:sz w:val="22"/>
                <w:szCs w:val="22"/>
              </w:rPr>
            </w:pPr>
            <w:r>
              <w:rPr>
                <w:rFonts w:eastAsia="Times New Roman"/>
                <w:bCs/>
                <w:sz w:val="22"/>
                <w:szCs w:val="22"/>
              </w:rPr>
              <w:t>DMSP lights (2010-13)</w:t>
            </w:r>
          </w:p>
        </w:tc>
        <w:tc>
          <w:tcPr>
            <w:tcW w:w="236" w:type="dxa"/>
            <w:tcBorders>
              <w:top w:val="single" w:sz="4" w:space="0" w:color="auto"/>
              <w:left w:val="nil"/>
              <w:bottom w:val="nil"/>
              <w:right w:val="nil"/>
            </w:tcBorders>
          </w:tcPr>
          <w:p w14:paraId="0992727B" w14:textId="77777777" w:rsidR="002405A2" w:rsidRDefault="002405A2" w:rsidP="004E6E00">
            <w:pPr>
              <w:spacing w:before="40"/>
              <w:jc w:val="center"/>
              <w:rPr>
                <w:rFonts w:eastAsia="Times New Roman"/>
                <w:bCs/>
                <w:sz w:val="22"/>
                <w:szCs w:val="22"/>
              </w:rPr>
            </w:pPr>
          </w:p>
        </w:tc>
        <w:tc>
          <w:tcPr>
            <w:tcW w:w="3387" w:type="dxa"/>
            <w:gridSpan w:val="2"/>
            <w:tcBorders>
              <w:top w:val="single" w:sz="4" w:space="0" w:color="auto"/>
              <w:left w:val="nil"/>
              <w:bottom w:val="nil"/>
              <w:right w:val="nil"/>
            </w:tcBorders>
          </w:tcPr>
          <w:p w14:paraId="523E8138" w14:textId="77777777" w:rsidR="002405A2" w:rsidRDefault="002405A2" w:rsidP="004E6E00">
            <w:pPr>
              <w:spacing w:before="40"/>
              <w:jc w:val="center"/>
              <w:rPr>
                <w:rFonts w:eastAsia="Times New Roman"/>
                <w:bCs/>
                <w:sz w:val="22"/>
                <w:szCs w:val="22"/>
              </w:rPr>
            </w:pPr>
            <w:r>
              <w:rPr>
                <w:rFonts w:eastAsia="Times New Roman"/>
                <w:bCs/>
                <w:sz w:val="22"/>
                <w:szCs w:val="22"/>
              </w:rPr>
              <w:t>VIIRS annual composites (2015-16)</w:t>
            </w:r>
          </w:p>
        </w:tc>
        <w:tc>
          <w:tcPr>
            <w:tcW w:w="236" w:type="dxa"/>
            <w:tcBorders>
              <w:top w:val="single" w:sz="4" w:space="0" w:color="auto"/>
              <w:left w:val="nil"/>
              <w:bottom w:val="nil"/>
              <w:right w:val="nil"/>
            </w:tcBorders>
          </w:tcPr>
          <w:p w14:paraId="42F02573" w14:textId="77777777" w:rsidR="002405A2" w:rsidRDefault="002405A2" w:rsidP="004E6E00">
            <w:pPr>
              <w:spacing w:before="40"/>
              <w:jc w:val="center"/>
              <w:rPr>
                <w:rFonts w:eastAsia="Times New Roman"/>
                <w:bCs/>
                <w:sz w:val="22"/>
                <w:szCs w:val="22"/>
              </w:rPr>
            </w:pPr>
          </w:p>
        </w:tc>
        <w:tc>
          <w:tcPr>
            <w:tcW w:w="3458" w:type="dxa"/>
            <w:gridSpan w:val="4"/>
            <w:tcBorders>
              <w:top w:val="single" w:sz="4" w:space="0" w:color="auto"/>
              <w:left w:val="nil"/>
              <w:bottom w:val="nil"/>
              <w:right w:val="nil"/>
            </w:tcBorders>
          </w:tcPr>
          <w:p w14:paraId="11D97A08" w14:textId="77777777" w:rsidR="002405A2" w:rsidRDefault="002405A2" w:rsidP="004E6E00">
            <w:pPr>
              <w:spacing w:before="40"/>
              <w:jc w:val="center"/>
              <w:rPr>
                <w:rFonts w:eastAsia="Times New Roman"/>
                <w:bCs/>
                <w:sz w:val="22"/>
                <w:szCs w:val="22"/>
              </w:rPr>
            </w:pPr>
            <w:r>
              <w:rPr>
                <w:rFonts w:eastAsia="Times New Roman"/>
                <w:bCs/>
                <w:sz w:val="22"/>
                <w:szCs w:val="22"/>
              </w:rPr>
              <w:t>VIIRS annual 2015-16 (from monthly)</w:t>
            </w:r>
          </w:p>
        </w:tc>
      </w:tr>
      <w:tr w:rsidR="002405A2" w14:paraId="3CF3C4F6" w14:textId="77777777" w:rsidTr="004E6E00">
        <w:trPr>
          <w:gridAfter w:val="1"/>
          <w:wAfter w:w="8" w:type="dxa"/>
        </w:trPr>
        <w:tc>
          <w:tcPr>
            <w:tcW w:w="3296" w:type="dxa"/>
            <w:tcBorders>
              <w:top w:val="nil"/>
              <w:left w:val="nil"/>
              <w:bottom w:val="nil"/>
              <w:right w:val="nil"/>
            </w:tcBorders>
          </w:tcPr>
          <w:p w14:paraId="19AE674D" w14:textId="77777777" w:rsidR="002405A2" w:rsidRDefault="002405A2" w:rsidP="004E6E00">
            <w:pPr>
              <w:rPr>
                <w:rFonts w:eastAsia="Times New Roman"/>
                <w:bCs/>
                <w:sz w:val="22"/>
                <w:szCs w:val="22"/>
              </w:rPr>
            </w:pPr>
          </w:p>
        </w:tc>
        <w:tc>
          <w:tcPr>
            <w:tcW w:w="1697" w:type="dxa"/>
            <w:tcBorders>
              <w:top w:val="nil"/>
              <w:left w:val="nil"/>
              <w:bottom w:val="single" w:sz="4" w:space="0" w:color="auto"/>
              <w:right w:val="nil"/>
            </w:tcBorders>
          </w:tcPr>
          <w:p w14:paraId="52BDAA9F" w14:textId="77777777" w:rsidR="002405A2" w:rsidRDefault="002405A2" w:rsidP="004E6E00">
            <w:pPr>
              <w:spacing w:after="40"/>
              <w:jc w:val="center"/>
              <w:rPr>
                <w:rFonts w:eastAsia="Times New Roman"/>
                <w:bCs/>
                <w:sz w:val="22"/>
                <w:szCs w:val="22"/>
              </w:rPr>
            </w:pPr>
            <w:r>
              <w:rPr>
                <w:rFonts w:eastAsia="Times New Roman"/>
                <w:bCs/>
                <w:sz w:val="22"/>
                <w:szCs w:val="22"/>
              </w:rPr>
              <w:t>Levels</w:t>
            </w:r>
          </w:p>
        </w:tc>
        <w:tc>
          <w:tcPr>
            <w:tcW w:w="1695" w:type="dxa"/>
            <w:tcBorders>
              <w:top w:val="nil"/>
              <w:left w:val="nil"/>
              <w:bottom w:val="single" w:sz="4" w:space="0" w:color="auto"/>
              <w:right w:val="nil"/>
            </w:tcBorders>
          </w:tcPr>
          <w:p w14:paraId="514771B3" w14:textId="77777777" w:rsidR="002405A2" w:rsidRDefault="002405A2" w:rsidP="004E6E00">
            <w:pPr>
              <w:spacing w:after="40"/>
              <w:jc w:val="center"/>
              <w:rPr>
                <w:rFonts w:eastAsia="Times New Roman"/>
                <w:bCs/>
                <w:sz w:val="22"/>
                <w:szCs w:val="22"/>
              </w:rPr>
            </w:pPr>
            <w:r>
              <w:rPr>
                <w:rFonts w:eastAsia="Times New Roman"/>
                <w:bCs/>
                <w:sz w:val="22"/>
                <w:szCs w:val="22"/>
              </w:rPr>
              <w:t>Annual changes</w:t>
            </w:r>
          </w:p>
        </w:tc>
        <w:tc>
          <w:tcPr>
            <w:tcW w:w="236" w:type="dxa"/>
            <w:tcBorders>
              <w:top w:val="nil"/>
              <w:left w:val="nil"/>
              <w:bottom w:val="nil"/>
              <w:right w:val="nil"/>
            </w:tcBorders>
          </w:tcPr>
          <w:p w14:paraId="3CE1B4FF" w14:textId="77777777" w:rsidR="002405A2" w:rsidRDefault="002405A2" w:rsidP="004E6E00">
            <w:pPr>
              <w:spacing w:after="40"/>
              <w:jc w:val="center"/>
              <w:rPr>
                <w:rFonts w:eastAsia="Times New Roman"/>
                <w:bCs/>
                <w:sz w:val="22"/>
                <w:szCs w:val="22"/>
              </w:rPr>
            </w:pPr>
          </w:p>
        </w:tc>
        <w:tc>
          <w:tcPr>
            <w:tcW w:w="1693" w:type="dxa"/>
            <w:tcBorders>
              <w:top w:val="nil"/>
              <w:left w:val="nil"/>
              <w:bottom w:val="single" w:sz="4" w:space="0" w:color="auto"/>
              <w:right w:val="nil"/>
            </w:tcBorders>
          </w:tcPr>
          <w:p w14:paraId="39E973BA" w14:textId="77777777" w:rsidR="002405A2" w:rsidRDefault="002405A2" w:rsidP="004E6E00">
            <w:pPr>
              <w:spacing w:after="40"/>
              <w:jc w:val="center"/>
              <w:rPr>
                <w:rFonts w:eastAsia="Times New Roman"/>
                <w:bCs/>
                <w:sz w:val="22"/>
                <w:szCs w:val="22"/>
              </w:rPr>
            </w:pPr>
            <w:r>
              <w:rPr>
                <w:rFonts w:eastAsia="Times New Roman"/>
                <w:bCs/>
                <w:sz w:val="22"/>
                <w:szCs w:val="22"/>
              </w:rPr>
              <w:t>Levels</w:t>
            </w:r>
          </w:p>
        </w:tc>
        <w:tc>
          <w:tcPr>
            <w:tcW w:w="1694" w:type="dxa"/>
            <w:tcBorders>
              <w:top w:val="nil"/>
              <w:left w:val="nil"/>
              <w:bottom w:val="single" w:sz="4" w:space="0" w:color="auto"/>
              <w:right w:val="nil"/>
            </w:tcBorders>
          </w:tcPr>
          <w:p w14:paraId="4C097F49" w14:textId="77777777" w:rsidR="002405A2" w:rsidRDefault="002405A2" w:rsidP="004E6E00">
            <w:pPr>
              <w:spacing w:after="40"/>
              <w:jc w:val="center"/>
              <w:rPr>
                <w:rFonts w:eastAsia="Times New Roman"/>
                <w:bCs/>
                <w:sz w:val="22"/>
                <w:szCs w:val="22"/>
              </w:rPr>
            </w:pPr>
            <w:r>
              <w:rPr>
                <w:rFonts w:eastAsia="Times New Roman"/>
                <w:bCs/>
                <w:sz w:val="22"/>
                <w:szCs w:val="22"/>
              </w:rPr>
              <w:t>Annual changes</w:t>
            </w:r>
          </w:p>
        </w:tc>
        <w:tc>
          <w:tcPr>
            <w:tcW w:w="236" w:type="dxa"/>
            <w:tcBorders>
              <w:top w:val="nil"/>
              <w:left w:val="nil"/>
              <w:bottom w:val="nil"/>
              <w:right w:val="nil"/>
            </w:tcBorders>
          </w:tcPr>
          <w:p w14:paraId="2364EFC2" w14:textId="77777777" w:rsidR="002405A2" w:rsidRDefault="002405A2" w:rsidP="004E6E00">
            <w:pPr>
              <w:spacing w:after="40"/>
              <w:jc w:val="center"/>
              <w:rPr>
                <w:rFonts w:eastAsia="Times New Roman"/>
                <w:bCs/>
                <w:sz w:val="22"/>
                <w:szCs w:val="22"/>
              </w:rPr>
            </w:pPr>
          </w:p>
        </w:tc>
        <w:tc>
          <w:tcPr>
            <w:tcW w:w="1693" w:type="dxa"/>
            <w:tcBorders>
              <w:top w:val="nil"/>
              <w:left w:val="nil"/>
              <w:bottom w:val="single" w:sz="4" w:space="0" w:color="auto"/>
              <w:right w:val="nil"/>
            </w:tcBorders>
          </w:tcPr>
          <w:p w14:paraId="724EAFF4" w14:textId="77777777" w:rsidR="002405A2" w:rsidRDefault="002405A2" w:rsidP="004E6E00">
            <w:pPr>
              <w:spacing w:after="40"/>
              <w:jc w:val="center"/>
              <w:rPr>
                <w:rFonts w:eastAsia="Times New Roman"/>
                <w:bCs/>
                <w:sz w:val="22"/>
                <w:szCs w:val="22"/>
              </w:rPr>
            </w:pPr>
            <w:r>
              <w:rPr>
                <w:rFonts w:eastAsia="Times New Roman"/>
                <w:bCs/>
                <w:sz w:val="22"/>
                <w:szCs w:val="22"/>
              </w:rPr>
              <w:t>Levels</w:t>
            </w:r>
          </w:p>
        </w:tc>
        <w:tc>
          <w:tcPr>
            <w:tcW w:w="1757" w:type="dxa"/>
            <w:gridSpan w:val="2"/>
            <w:tcBorders>
              <w:top w:val="nil"/>
              <w:left w:val="nil"/>
              <w:bottom w:val="single" w:sz="4" w:space="0" w:color="auto"/>
              <w:right w:val="nil"/>
            </w:tcBorders>
          </w:tcPr>
          <w:p w14:paraId="4FC1129C" w14:textId="77777777" w:rsidR="002405A2" w:rsidRDefault="002405A2" w:rsidP="004E6E00">
            <w:pPr>
              <w:spacing w:after="40"/>
              <w:jc w:val="center"/>
              <w:rPr>
                <w:rFonts w:eastAsia="Times New Roman"/>
                <w:bCs/>
                <w:sz w:val="22"/>
                <w:szCs w:val="22"/>
              </w:rPr>
            </w:pPr>
            <w:r>
              <w:rPr>
                <w:rFonts w:eastAsia="Times New Roman"/>
                <w:bCs/>
                <w:sz w:val="22"/>
                <w:szCs w:val="22"/>
              </w:rPr>
              <w:t>Annual changes</w:t>
            </w:r>
          </w:p>
        </w:tc>
      </w:tr>
      <w:tr w:rsidR="002405A2" w14:paraId="4447C0AF" w14:textId="77777777" w:rsidTr="004E6E00">
        <w:trPr>
          <w:gridAfter w:val="2"/>
          <w:wAfter w:w="71" w:type="dxa"/>
        </w:trPr>
        <w:tc>
          <w:tcPr>
            <w:tcW w:w="3296" w:type="dxa"/>
            <w:tcBorders>
              <w:top w:val="nil"/>
              <w:left w:val="nil"/>
              <w:bottom w:val="nil"/>
              <w:right w:val="nil"/>
            </w:tcBorders>
          </w:tcPr>
          <w:p w14:paraId="6ED7E67C" w14:textId="77777777" w:rsidR="002405A2" w:rsidRPr="00540940" w:rsidRDefault="002405A2" w:rsidP="004E6E00">
            <w:pPr>
              <w:rPr>
                <w:rFonts w:eastAsia="Times New Roman"/>
                <w:bCs/>
                <w:sz w:val="22"/>
                <w:szCs w:val="22"/>
              </w:rPr>
            </w:pPr>
            <m:oMathPara>
              <m:oMathParaPr>
                <m:jc m:val="left"/>
              </m:oMathParaPr>
              <m:oMath>
                <m:r>
                  <w:rPr>
                    <w:rFonts w:ascii="Cambria Math" w:eastAsia="Times New Roman" w:hAnsi="Cambria Math"/>
                    <w:sz w:val="22"/>
                    <w:szCs w:val="22"/>
                  </w:rPr>
                  <m:t>ln</m:t>
                </m:r>
                <m:d>
                  <m:dPr>
                    <m:ctrlPr>
                      <w:rPr>
                        <w:rFonts w:ascii="Cambria Math" w:eastAsia="Times New Roman" w:hAnsi="Cambria Math"/>
                        <w:bCs/>
                        <w:i/>
                        <w:sz w:val="22"/>
                        <w:szCs w:val="22"/>
                      </w:rPr>
                    </m:ctrlPr>
                  </m:dPr>
                  <m:e>
                    <m:sSub>
                      <m:sSubPr>
                        <m:ctrlPr>
                          <w:rPr>
                            <w:rFonts w:ascii="Cambria Math" w:eastAsia="Times New Roman" w:hAnsi="Cambria Math"/>
                            <w:bCs/>
                            <w:i/>
                            <w:sz w:val="22"/>
                            <w:szCs w:val="22"/>
                          </w:rPr>
                        </m:ctrlPr>
                      </m:sSubPr>
                      <m:e>
                        <m:r>
                          <w:rPr>
                            <w:rFonts w:ascii="Cambria Math" w:eastAsia="Times New Roman" w:hAnsi="Cambria Math"/>
                            <w:sz w:val="22"/>
                            <w:szCs w:val="22"/>
                          </w:rPr>
                          <m:t>sum of lights</m:t>
                        </m:r>
                      </m:e>
                      <m:sub>
                        <m:r>
                          <w:rPr>
                            <w:rFonts w:ascii="Cambria Math" w:eastAsia="Times New Roman" w:hAnsi="Cambria Math"/>
                            <w:sz w:val="22"/>
                            <w:szCs w:val="22"/>
                          </w:rPr>
                          <m:t>it</m:t>
                        </m:r>
                      </m:sub>
                    </m:sSub>
                  </m:e>
                </m:d>
              </m:oMath>
            </m:oMathPara>
          </w:p>
        </w:tc>
        <w:tc>
          <w:tcPr>
            <w:tcW w:w="1697" w:type="dxa"/>
            <w:tcBorders>
              <w:top w:val="single" w:sz="4" w:space="0" w:color="auto"/>
              <w:left w:val="nil"/>
              <w:bottom w:val="nil"/>
              <w:right w:val="nil"/>
            </w:tcBorders>
          </w:tcPr>
          <w:p w14:paraId="6BB20A12" w14:textId="77777777" w:rsidR="002405A2" w:rsidRDefault="002405A2" w:rsidP="004E6E00">
            <w:pPr>
              <w:tabs>
                <w:tab w:val="decimal" w:pos="454"/>
              </w:tabs>
              <w:rPr>
                <w:rFonts w:eastAsia="Times New Roman"/>
                <w:bCs/>
                <w:sz w:val="22"/>
                <w:szCs w:val="22"/>
              </w:rPr>
            </w:pPr>
            <w:r>
              <w:rPr>
                <w:rFonts w:eastAsia="Times New Roman"/>
                <w:bCs/>
                <w:sz w:val="22"/>
                <w:szCs w:val="22"/>
              </w:rPr>
              <w:t>0.670***</w:t>
            </w:r>
          </w:p>
        </w:tc>
        <w:tc>
          <w:tcPr>
            <w:tcW w:w="1695" w:type="dxa"/>
            <w:tcBorders>
              <w:top w:val="single" w:sz="4" w:space="0" w:color="auto"/>
              <w:left w:val="nil"/>
              <w:bottom w:val="nil"/>
              <w:right w:val="nil"/>
            </w:tcBorders>
          </w:tcPr>
          <w:p w14:paraId="28394B74"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39105ECF"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4411F17B" w14:textId="77777777" w:rsidR="002405A2" w:rsidRDefault="002405A2" w:rsidP="004E6E00">
            <w:pPr>
              <w:tabs>
                <w:tab w:val="decimal" w:pos="454"/>
              </w:tabs>
              <w:rPr>
                <w:rFonts w:eastAsia="Times New Roman"/>
                <w:bCs/>
                <w:sz w:val="22"/>
                <w:szCs w:val="22"/>
              </w:rPr>
            </w:pPr>
            <w:r>
              <w:rPr>
                <w:rFonts w:eastAsia="Times New Roman"/>
                <w:bCs/>
                <w:sz w:val="22"/>
                <w:szCs w:val="22"/>
              </w:rPr>
              <w:t>0.857***</w:t>
            </w:r>
          </w:p>
        </w:tc>
        <w:tc>
          <w:tcPr>
            <w:tcW w:w="1694" w:type="dxa"/>
            <w:tcBorders>
              <w:top w:val="nil"/>
              <w:left w:val="nil"/>
              <w:bottom w:val="nil"/>
              <w:right w:val="nil"/>
            </w:tcBorders>
          </w:tcPr>
          <w:p w14:paraId="7F69E40E"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1C5EEE44" w14:textId="77777777" w:rsidR="002405A2" w:rsidRDefault="002405A2" w:rsidP="004E6E00">
            <w:pPr>
              <w:rPr>
                <w:rFonts w:eastAsia="Times New Roman"/>
                <w:bCs/>
                <w:sz w:val="22"/>
                <w:szCs w:val="22"/>
              </w:rPr>
            </w:pPr>
          </w:p>
        </w:tc>
        <w:tc>
          <w:tcPr>
            <w:tcW w:w="1693" w:type="dxa"/>
            <w:tcBorders>
              <w:top w:val="single" w:sz="4" w:space="0" w:color="auto"/>
              <w:left w:val="nil"/>
              <w:bottom w:val="nil"/>
              <w:right w:val="nil"/>
            </w:tcBorders>
          </w:tcPr>
          <w:p w14:paraId="00E75FE1" w14:textId="77777777" w:rsidR="002405A2" w:rsidRDefault="002405A2" w:rsidP="004E6E00">
            <w:pPr>
              <w:tabs>
                <w:tab w:val="decimal" w:pos="454"/>
              </w:tabs>
              <w:rPr>
                <w:rFonts w:eastAsia="Times New Roman"/>
                <w:bCs/>
                <w:sz w:val="22"/>
                <w:szCs w:val="22"/>
              </w:rPr>
            </w:pPr>
            <w:r>
              <w:rPr>
                <w:rFonts w:eastAsia="Times New Roman"/>
                <w:bCs/>
                <w:sz w:val="22"/>
                <w:szCs w:val="22"/>
              </w:rPr>
              <w:t>0.819***</w:t>
            </w:r>
          </w:p>
        </w:tc>
        <w:tc>
          <w:tcPr>
            <w:tcW w:w="1694" w:type="dxa"/>
            <w:tcBorders>
              <w:top w:val="single" w:sz="4" w:space="0" w:color="auto"/>
              <w:left w:val="nil"/>
              <w:bottom w:val="nil"/>
              <w:right w:val="nil"/>
            </w:tcBorders>
          </w:tcPr>
          <w:p w14:paraId="4755DE8E" w14:textId="77777777" w:rsidR="002405A2" w:rsidRDefault="002405A2" w:rsidP="004E6E00">
            <w:pPr>
              <w:rPr>
                <w:rFonts w:eastAsia="Times New Roman"/>
                <w:bCs/>
                <w:sz w:val="22"/>
                <w:szCs w:val="22"/>
              </w:rPr>
            </w:pPr>
          </w:p>
        </w:tc>
      </w:tr>
      <w:tr w:rsidR="002405A2" w14:paraId="0B34FD8C" w14:textId="77777777" w:rsidTr="004E6E00">
        <w:trPr>
          <w:gridAfter w:val="2"/>
          <w:wAfter w:w="71" w:type="dxa"/>
        </w:trPr>
        <w:tc>
          <w:tcPr>
            <w:tcW w:w="3296" w:type="dxa"/>
            <w:tcBorders>
              <w:top w:val="nil"/>
              <w:left w:val="nil"/>
              <w:bottom w:val="nil"/>
              <w:right w:val="nil"/>
            </w:tcBorders>
          </w:tcPr>
          <w:p w14:paraId="0FB7C960" w14:textId="77777777" w:rsidR="002405A2" w:rsidRDefault="002405A2" w:rsidP="004E6E00">
            <w:pPr>
              <w:rPr>
                <w:rFonts w:eastAsia="Times New Roman"/>
                <w:bCs/>
                <w:sz w:val="22"/>
                <w:szCs w:val="22"/>
              </w:rPr>
            </w:pPr>
          </w:p>
        </w:tc>
        <w:tc>
          <w:tcPr>
            <w:tcW w:w="1697" w:type="dxa"/>
            <w:tcBorders>
              <w:top w:val="nil"/>
              <w:left w:val="nil"/>
              <w:bottom w:val="nil"/>
              <w:right w:val="nil"/>
            </w:tcBorders>
          </w:tcPr>
          <w:p w14:paraId="18B52C83" w14:textId="77777777" w:rsidR="002405A2" w:rsidRDefault="002405A2" w:rsidP="004E6E00">
            <w:pPr>
              <w:tabs>
                <w:tab w:val="decimal" w:pos="454"/>
              </w:tabs>
              <w:rPr>
                <w:rFonts w:eastAsia="Times New Roman"/>
                <w:bCs/>
                <w:sz w:val="22"/>
                <w:szCs w:val="22"/>
              </w:rPr>
            </w:pPr>
            <w:r>
              <w:rPr>
                <w:rFonts w:eastAsia="Times New Roman"/>
                <w:bCs/>
                <w:sz w:val="22"/>
                <w:szCs w:val="22"/>
              </w:rPr>
              <w:t>(0.104)</w:t>
            </w:r>
          </w:p>
        </w:tc>
        <w:tc>
          <w:tcPr>
            <w:tcW w:w="1695" w:type="dxa"/>
            <w:tcBorders>
              <w:top w:val="nil"/>
              <w:left w:val="nil"/>
              <w:bottom w:val="nil"/>
              <w:right w:val="nil"/>
            </w:tcBorders>
          </w:tcPr>
          <w:p w14:paraId="79795FC0"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405B3180"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0586D2F2" w14:textId="77777777" w:rsidR="002405A2" w:rsidRDefault="002405A2" w:rsidP="004E6E00">
            <w:pPr>
              <w:tabs>
                <w:tab w:val="decimal" w:pos="454"/>
              </w:tabs>
              <w:rPr>
                <w:rFonts w:eastAsia="Times New Roman"/>
                <w:bCs/>
                <w:sz w:val="22"/>
                <w:szCs w:val="22"/>
              </w:rPr>
            </w:pPr>
            <w:r>
              <w:rPr>
                <w:rFonts w:eastAsia="Times New Roman"/>
                <w:bCs/>
                <w:sz w:val="22"/>
                <w:szCs w:val="22"/>
              </w:rPr>
              <w:t>(0.060)</w:t>
            </w:r>
          </w:p>
        </w:tc>
        <w:tc>
          <w:tcPr>
            <w:tcW w:w="1694" w:type="dxa"/>
            <w:tcBorders>
              <w:top w:val="nil"/>
              <w:left w:val="nil"/>
              <w:bottom w:val="nil"/>
              <w:right w:val="nil"/>
            </w:tcBorders>
          </w:tcPr>
          <w:p w14:paraId="2057406B"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4E4F0CAE"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49A657D0" w14:textId="77777777" w:rsidR="002405A2" w:rsidRDefault="002405A2" w:rsidP="004E6E00">
            <w:pPr>
              <w:tabs>
                <w:tab w:val="decimal" w:pos="454"/>
              </w:tabs>
              <w:rPr>
                <w:rFonts w:eastAsia="Times New Roman"/>
                <w:bCs/>
                <w:sz w:val="22"/>
                <w:szCs w:val="22"/>
              </w:rPr>
            </w:pPr>
            <w:r>
              <w:rPr>
                <w:rFonts w:eastAsia="Times New Roman"/>
                <w:bCs/>
                <w:sz w:val="22"/>
                <w:szCs w:val="22"/>
              </w:rPr>
              <w:t>(0.052)</w:t>
            </w:r>
          </w:p>
        </w:tc>
        <w:tc>
          <w:tcPr>
            <w:tcW w:w="1694" w:type="dxa"/>
            <w:tcBorders>
              <w:top w:val="nil"/>
              <w:left w:val="nil"/>
              <w:bottom w:val="nil"/>
              <w:right w:val="nil"/>
            </w:tcBorders>
          </w:tcPr>
          <w:p w14:paraId="0D838FEC" w14:textId="77777777" w:rsidR="002405A2" w:rsidRDefault="002405A2" w:rsidP="004E6E00">
            <w:pPr>
              <w:rPr>
                <w:rFonts w:eastAsia="Times New Roman"/>
                <w:bCs/>
                <w:sz w:val="22"/>
                <w:szCs w:val="22"/>
              </w:rPr>
            </w:pPr>
          </w:p>
        </w:tc>
      </w:tr>
      <w:tr w:rsidR="002405A2" w14:paraId="48382CCF" w14:textId="77777777" w:rsidTr="004E6E00">
        <w:trPr>
          <w:gridAfter w:val="2"/>
          <w:wAfter w:w="71" w:type="dxa"/>
        </w:trPr>
        <w:tc>
          <w:tcPr>
            <w:tcW w:w="3296" w:type="dxa"/>
            <w:tcBorders>
              <w:top w:val="nil"/>
              <w:left w:val="nil"/>
              <w:bottom w:val="nil"/>
              <w:right w:val="nil"/>
            </w:tcBorders>
          </w:tcPr>
          <w:p w14:paraId="0AEF88CD" w14:textId="77777777" w:rsidR="002405A2" w:rsidRPr="00540940" w:rsidRDefault="002405A2" w:rsidP="004E6E00">
            <w:pPr>
              <w:rPr>
                <w:rFonts w:eastAsia="Times New Roman"/>
                <w:bCs/>
                <w:sz w:val="6"/>
                <w:szCs w:val="6"/>
              </w:rPr>
            </w:pPr>
          </w:p>
        </w:tc>
        <w:tc>
          <w:tcPr>
            <w:tcW w:w="1697" w:type="dxa"/>
            <w:tcBorders>
              <w:top w:val="nil"/>
              <w:left w:val="nil"/>
              <w:bottom w:val="nil"/>
              <w:right w:val="nil"/>
            </w:tcBorders>
          </w:tcPr>
          <w:p w14:paraId="225FE901" w14:textId="77777777" w:rsidR="002405A2" w:rsidRPr="00540940" w:rsidRDefault="002405A2" w:rsidP="004E6E00">
            <w:pPr>
              <w:tabs>
                <w:tab w:val="decimal" w:pos="454"/>
              </w:tabs>
              <w:rPr>
                <w:rFonts w:eastAsia="Times New Roman"/>
                <w:bCs/>
                <w:sz w:val="6"/>
                <w:szCs w:val="6"/>
              </w:rPr>
            </w:pPr>
          </w:p>
        </w:tc>
        <w:tc>
          <w:tcPr>
            <w:tcW w:w="1695" w:type="dxa"/>
            <w:tcBorders>
              <w:top w:val="nil"/>
              <w:left w:val="nil"/>
              <w:bottom w:val="nil"/>
              <w:right w:val="nil"/>
            </w:tcBorders>
          </w:tcPr>
          <w:p w14:paraId="547A9E9C" w14:textId="77777777" w:rsidR="002405A2" w:rsidRPr="00540940" w:rsidRDefault="002405A2" w:rsidP="004E6E00">
            <w:pPr>
              <w:tabs>
                <w:tab w:val="decimal" w:pos="454"/>
              </w:tabs>
              <w:rPr>
                <w:rFonts w:eastAsia="Times New Roman"/>
                <w:bCs/>
                <w:sz w:val="6"/>
                <w:szCs w:val="6"/>
              </w:rPr>
            </w:pPr>
          </w:p>
        </w:tc>
        <w:tc>
          <w:tcPr>
            <w:tcW w:w="236" w:type="dxa"/>
            <w:tcBorders>
              <w:top w:val="nil"/>
              <w:left w:val="nil"/>
              <w:bottom w:val="nil"/>
              <w:right w:val="nil"/>
            </w:tcBorders>
          </w:tcPr>
          <w:p w14:paraId="7F2398F1" w14:textId="77777777" w:rsidR="002405A2" w:rsidRPr="00540940" w:rsidRDefault="002405A2" w:rsidP="004E6E00">
            <w:pPr>
              <w:rPr>
                <w:rFonts w:eastAsia="Times New Roman"/>
                <w:bCs/>
                <w:sz w:val="6"/>
                <w:szCs w:val="6"/>
              </w:rPr>
            </w:pPr>
          </w:p>
        </w:tc>
        <w:tc>
          <w:tcPr>
            <w:tcW w:w="1693" w:type="dxa"/>
            <w:tcBorders>
              <w:top w:val="nil"/>
              <w:left w:val="nil"/>
              <w:bottom w:val="nil"/>
              <w:right w:val="nil"/>
            </w:tcBorders>
          </w:tcPr>
          <w:p w14:paraId="13AF4054" w14:textId="77777777" w:rsidR="002405A2" w:rsidRPr="00540940" w:rsidRDefault="002405A2" w:rsidP="004E6E00">
            <w:pPr>
              <w:rPr>
                <w:rFonts w:eastAsia="Times New Roman"/>
                <w:bCs/>
                <w:sz w:val="6"/>
                <w:szCs w:val="6"/>
              </w:rPr>
            </w:pPr>
          </w:p>
        </w:tc>
        <w:tc>
          <w:tcPr>
            <w:tcW w:w="1694" w:type="dxa"/>
            <w:tcBorders>
              <w:top w:val="nil"/>
              <w:left w:val="nil"/>
              <w:bottom w:val="nil"/>
              <w:right w:val="nil"/>
            </w:tcBorders>
          </w:tcPr>
          <w:p w14:paraId="454383D9" w14:textId="77777777" w:rsidR="002405A2" w:rsidRPr="00540940" w:rsidRDefault="002405A2" w:rsidP="004E6E00">
            <w:pPr>
              <w:rPr>
                <w:rFonts w:eastAsia="Times New Roman"/>
                <w:bCs/>
                <w:sz w:val="6"/>
                <w:szCs w:val="6"/>
              </w:rPr>
            </w:pPr>
          </w:p>
        </w:tc>
        <w:tc>
          <w:tcPr>
            <w:tcW w:w="236" w:type="dxa"/>
            <w:tcBorders>
              <w:top w:val="nil"/>
              <w:left w:val="nil"/>
              <w:bottom w:val="nil"/>
              <w:right w:val="nil"/>
            </w:tcBorders>
          </w:tcPr>
          <w:p w14:paraId="4A25F18D" w14:textId="77777777" w:rsidR="002405A2" w:rsidRPr="00540940" w:rsidRDefault="002405A2" w:rsidP="004E6E00">
            <w:pPr>
              <w:rPr>
                <w:rFonts w:eastAsia="Times New Roman"/>
                <w:bCs/>
                <w:sz w:val="6"/>
                <w:szCs w:val="6"/>
              </w:rPr>
            </w:pPr>
          </w:p>
        </w:tc>
        <w:tc>
          <w:tcPr>
            <w:tcW w:w="1693" w:type="dxa"/>
            <w:tcBorders>
              <w:top w:val="nil"/>
              <w:left w:val="nil"/>
              <w:bottom w:val="nil"/>
              <w:right w:val="nil"/>
            </w:tcBorders>
          </w:tcPr>
          <w:p w14:paraId="2CB08045" w14:textId="77777777" w:rsidR="002405A2" w:rsidRPr="00540940" w:rsidRDefault="002405A2" w:rsidP="004E6E00">
            <w:pPr>
              <w:rPr>
                <w:rFonts w:eastAsia="Times New Roman"/>
                <w:bCs/>
                <w:sz w:val="6"/>
                <w:szCs w:val="6"/>
              </w:rPr>
            </w:pPr>
          </w:p>
        </w:tc>
        <w:tc>
          <w:tcPr>
            <w:tcW w:w="1694" w:type="dxa"/>
            <w:tcBorders>
              <w:top w:val="nil"/>
              <w:left w:val="nil"/>
              <w:bottom w:val="nil"/>
              <w:right w:val="nil"/>
            </w:tcBorders>
          </w:tcPr>
          <w:p w14:paraId="0A35ACF0" w14:textId="77777777" w:rsidR="002405A2" w:rsidRPr="00540940" w:rsidRDefault="002405A2" w:rsidP="004E6E00">
            <w:pPr>
              <w:rPr>
                <w:rFonts w:eastAsia="Times New Roman"/>
                <w:bCs/>
                <w:sz w:val="6"/>
                <w:szCs w:val="6"/>
              </w:rPr>
            </w:pPr>
          </w:p>
        </w:tc>
      </w:tr>
      <w:tr w:rsidR="002405A2" w14:paraId="3ACCCDA8" w14:textId="77777777" w:rsidTr="004E6E00">
        <w:trPr>
          <w:gridAfter w:val="2"/>
          <w:wAfter w:w="71" w:type="dxa"/>
        </w:trPr>
        <w:tc>
          <w:tcPr>
            <w:tcW w:w="3296" w:type="dxa"/>
            <w:tcBorders>
              <w:top w:val="nil"/>
              <w:left w:val="nil"/>
              <w:bottom w:val="nil"/>
              <w:right w:val="nil"/>
            </w:tcBorders>
          </w:tcPr>
          <w:p w14:paraId="2E1BCED4" w14:textId="77777777" w:rsidR="002405A2" w:rsidRPr="00540940" w:rsidRDefault="002405A2" w:rsidP="004E6E00">
            <w:pPr>
              <w:rPr>
                <w:rFonts w:eastAsia="Times New Roman"/>
                <w:bCs/>
                <w:sz w:val="22"/>
                <w:szCs w:val="22"/>
              </w:rPr>
            </w:pPr>
            <m:oMathPara>
              <m:oMathParaPr>
                <m:jc m:val="left"/>
              </m:oMathParaPr>
              <m:oMath>
                <m:r>
                  <w:rPr>
                    <w:rFonts w:ascii="Cambria Math" w:eastAsia="Times New Roman" w:hAnsi="Cambria Math"/>
                    <w:sz w:val="22"/>
                    <w:szCs w:val="22"/>
                  </w:rPr>
                  <m:t>ln</m:t>
                </m:r>
                <m:d>
                  <m:dPr>
                    <m:ctrlPr>
                      <w:rPr>
                        <w:rFonts w:ascii="Cambria Math" w:eastAsia="Times New Roman" w:hAnsi="Cambria Math"/>
                        <w:bCs/>
                        <w:i/>
                        <w:sz w:val="22"/>
                        <w:szCs w:val="22"/>
                      </w:rPr>
                    </m:ctrlPr>
                  </m:dPr>
                  <m:e>
                    <m:f>
                      <m:fPr>
                        <m:type m:val="lin"/>
                        <m:ctrlPr>
                          <w:rPr>
                            <w:rFonts w:ascii="Cambria Math" w:eastAsia="Times New Roman" w:hAnsi="Cambria Math"/>
                            <w:bCs/>
                            <w:i/>
                            <w:sz w:val="22"/>
                            <w:szCs w:val="22"/>
                          </w:rPr>
                        </m:ctrlPr>
                      </m:fPr>
                      <m:num>
                        <m:r>
                          <w:rPr>
                            <w:rFonts w:ascii="Cambria Math" w:eastAsia="Times New Roman" w:hAnsi="Cambria Math"/>
                            <w:sz w:val="22"/>
                            <w:szCs w:val="22"/>
                          </w:rPr>
                          <m:t xml:space="preserve">sum </m:t>
                        </m:r>
                        <m:sSub>
                          <m:sSubPr>
                            <m:ctrlPr>
                              <w:rPr>
                                <w:rFonts w:ascii="Cambria Math" w:eastAsia="Times New Roman" w:hAnsi="Cambria Math"/>
                                <w:bCs/>
                                <w:i/>
                                <w:sz w:val="22"/>
                                <w:szCs w:val="22"/>
                              </w:rPr>
                            </m:ctrlPr>
                          </m:sSubPr>
                          <m:e>
                            <m:r>
                              <w:rPr>
                                <w:rFonts w:ascii="Cambria Math" w:eastAsia="Times New Roman" w:hAnsi="Cambria Math"/>
                                <w:sz w:val="22"/>
                                <w:szCs w:val="22"/>
                              </w:rPr>
                              <m:t>lights</m:t>
                            </m:r>
                          </m:e>
                          <m:sub>
                            <m:r>
                              <w:rPr>
                                <w:rFonts w:ascii="Cambria Math" w:eastAsia="Times New Roman" w:hAnsi="Cambria Math"/>
                                <w:sz w:val="22"/>
                                <w:szCs w:val="22"/>
                              </w:rPr>
                              <m:t>it</m:t>
                            </m:r>
                          </m:sub>
                        </m:sSub>
                      </m:num>
                      <m:den>
                        <m:sSub>
                          <m:sSubPr>
                            <m:ctrlPr>
                              <w:rPr>
                                <w:rFonts w:ascii="Cambria Math" w:eastAsia="Times New Roman" w:hAnsi="Cambria Math"/>
                                <w:bCs/>
                                <w:i/>
                                <w:sz w:val="22"/>
                                <w:szCs w:val="22"/>
                              </w:rPr>
                            </m:ctrlPr>
                          </m:sSubPr>
                          <m:e>
                            <m:r>
                              <w:rPr>
                                <w:rFonts w:ascii="Cambria Math" w:eastAsia="Times New Roman" w:hAnsi="Cambria Math"/>
                                <w:sz w:val="22"/>
                                <w:szCs w:val="22"/>
                              </w:rPr>
                              <m:t>sum lights</m:t>
                            </m:r>
                          </m:e>
                          <m:sub>
                            <m:r>
                              <w:rPr>
                                <w:rFonts w:ascii="Cambria Math" w:eastAsia="Times New Roman" w:hAnsi="Cambria Math"/>
                                <w:sz w:val="22"/>
                                <w:szCs w:val="22"/>
                              </w:rPr>
                              <m:t>it-1</m:t>
                            </m:r>
                          </m:sub>
                        </m:sSub>
                      </m:den>
                    </m:f>
                  </m:e>
                </m:d>
              </m:oMath>
            </m:oMathPara>
          </w:p>
        </w:tc>
        <w:tc>
          <w:tcPr>
            <w:tcW w:w="1697" w:type="dxa"/>
            <w:tcBorders>
              <w:top w:val="nil"/>
              <w:left w:val="nil"/>
              <w:bottom w:val="nil"/>
              <w:right w:val="nil"/>
            </w:tcBorders>
          </w:tcPr>
          <w:p w14:paraId="7BDA5562" w14:textId="77777777" w:rsidR="002405A2" w:rsidRDefault="002405A2" w:rsidP="004E6E00">
            <w:pPr>
              <w:tabs>
                <w:tab w:val="decimal" w:pos="454"/>
              </w:tabs>
              <w:rPr>
                <w:rFonts w:eastAsia="Times New Roman"/>
                <w:bCs/>
                <w:sz w:val="22"/>
                <w:szCs w:val="22"/>
              </w:rPr>
            </w:pPr>
          </w:p>
        </w:tc>
        <w:tc>
          <w:tcPr>
            <w:tcW w:w="1695" w:type="dxa"/>
            <w:tcBorders>
              <w:top w:val="nil"/>
              <w:left w:val="nil"/>
              <w:bottom w:val="nil"/>
              <w:right w:val="nil"/>
            </w:tcBorders>
          </w:tcPr>
          <w:p w14:paraId="020A7D8D" w14:textId="77777777" w:rsidR="002405A2" w:rsidRDefault="002405A2" w:rsidP="004E6E00">
            <w:pPr>
              <w:tabs>
                <w:tab w:val="decimal" w:pos="454"/>
              </w:tabs>
              <w:rPr>
                <w:rFonts w:eastAsia="Times New Roman"/>
                <w:bCs/>
                <w:sz w:val="22"/>
                <w:szCs w:val="22"/>
              </w:rPr>
            </w:pPr>
            <w:r>
              <w:rPr>
                <w:rFonts w:eastAsia="Times New Roman"/>
                <w:bCs/>
                <w:sz w:val="22"/>
                <w:szCs w:val="22"/>
              </w:rPr>
              <w:t>0.025</w:t>
            </w:r>
          </w:p>
        </w:tc>
        <w:tc>
          <w:tcPr>
            <w:tcW w:w="236" w:type="dxa"/>
            <w:tcBorders>
              <w:top w:val="nil"/>
              <w:left w:val="nil"/>
              <w:bottom w:val="nil"/>
              <w:right w:val="nil"/>
            </w:tcBorders>
          </w:tcPr>
          <w:p w14:paraId="677F41E4"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180FC676"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303D664C" w14:textId="77777777" w:rsidR="002405A2" w:rsidRDefault="002405A2" w:rsidP="004E6E00">
            <w:pPr>
              <w:tabs>
                <w:tab w:val="decimal" w:pos="454"/>
              </w:tabs>
              <w:rPr>
                <w:rFonts w:eastAsia="Times New Roman"/>
                <w:bCs/>
                <w:sz w:val="22"/>
                <w:szCs w:val="22"/>
              </w:rPr>
            </w:pPr>
            <w:r>
              <w:rPr>
                <w:rFonts w:eastAsia="Times New Roman"/>
                <w:bCs/>
                <w:sz w:val="22"/>
                <w:szCs w:val="22"/>
              </w:rPr>
              <w:t>0.039</w:t>
            </w:r>
          </w:p>
        </w:tc>
        <w:tc>
          <w:tcPr>
            <w:tcW w:w="236" w:type="dxa"/>
            <w:tcBorders>
              <w:top w:val="nil"/>
              <w:left w:val="nil"/>
              <w:bottom w:val="nil"/>
              <w:right w:val="nil"/>
            </w:tcBorders>
          </w:tcPr>
          <w:p w14:paraId="3E8A4BC0"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5A88CBEE"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4D0458BB" w14:textId="77777777" w:rsidR="002405A2" w:rsidRDefault="002405A2" w:rsidP="004E6E00">
            <w:pPr>
              <w:tabs>
                <w:tab w:val="decimal" w:pos="454"/>
              </w:tabs>
              <w:rPr>
                <w:rFonts w:eastAsia="Times New Roman"/>
                <w:bCs/>
                <w:sz w:val="22"/>
                <w:szCs w:val="22"/>
              </w:rPr>
            </w:pPr>
            <w:r>
              <w:rPr>
                <w:rFonts w:eastAsia="Times New Roman"/>
                <w:bCs/>
                <w:sz w:val="22"/>
                <w:szCs w:val="22"/>
              </w:rPr>
              <w:t>0.059**</w:t>
            </w:r>
          </w:p>
        </w:tc>
      </w:tr>
      <w:tr w:rsidR="002405A2" w14:paraId="6555DD93" w14:textId="77777777" w:rsidTr="004E6E00">
        <w:trPr>
          <w:gridAfter w:val="2"/>
          <w:wAfter w:w="71" w:type="dxa"/>
        </w:trPr>
        <w:tc>
          <w:tcPr>
            <w:tcW w:w="3296" w:type="dxa"/>
            <w:tcBorders>
              <w:top w:val="nil"/>
              <w:left w:val="nil"/>
              <w:bottom w:val="nil"/>
              <w:right w:val="nil"/>
            </w:tcBorders>
          </w:tcPr>
          <w:p w14:paraId="5DFA8A0F" w14:textId="77777777" w:rsidR="002405A2" w:rsidRDefault="002405A2" w:rsidP="004E6E00">
            <w:pPr>
              <w:rPr>
                <w:rFonts w:eastAsia="Times New Roman"/>
                <w:bCs/>
                <w:sz w:val="22"/>
                <w:szCs w:val="22"/>
              </w:rPr>
            </w:pPr>
          </w:p>
        </w:tc>
        <w:tc>
          <w:tcPr>
            <w:tcW w:w="1697" w:type="dxa"/>
            <w:tcBorders>
              <w:top w:val="nil"/>
              <w:left w:val="nil"/>
              <w:bottom w:val="nil"/>
              <w:right w:val="nil"/>
            </w:tcBorders>
          </w:tcPr>
          <w:p w14:paraId="6F8F4E18" w14:textId="77777777" w:rsidR="002405A2" w:rsidRDefault="002405A2" w:rsidP="004E6E00">
            <w:pPr>
              <w:tabs>
                <w:tab w:val="decimal" w:pos="454"/>
              </w:tabs>
              <w:rPr>
                <w:rFonts w:eastAsia="Times New Roman"/>
                <w:bCs/>
                <w:sz w:val="22"/>
                <w:szCs w:val="22"/>
              </w:rPr>
            </w:pPr>
          </w:p>
        </w:tc>
        <w:tc>
          <w:tcPr>
            <w:tcW w:w="1695" w:type="dxa"/>
            <w:tcBorders>
              <w:top w:val="nil"/>
              <w:left w:val="nil"/>
              <w:bottom w:val="nil"/>
              <w:right w:val="nil"/>
            </w:tcBorders>
          </w:tcPr>
          <w:p w14:paraId="67B3D717" w14:textId="77777777" w:rsidR="002405A2" w:rsidRDefault="002405A2" w:rsidP="004E6E00">
            <w:pPr>
              <w:tabs>
                <w:tab w:val="decimal" w:pos="454"/>
              </w:tabs>
              <w:rPr>
                <w:rFonts w:eastAsia="Times New Roman"/>
                <w:bCs/>
                <w:sz w:val="22"/>
                <w:szCs w:val="22"/>
              </w:rPr>
            </w:pPr>
            <w:r>
              <w:rPr>
                <w:rFonts w:eastAsia="Times New Roman"/>
                <w:bCs/>
                <w:sz w:val="22"/>
                <w:szCs w:val="22"/>
              </w:rPr>
              <w:t>(0.044)</w:t>
            </w:r>
          </w:p>
        </w:tc>
        <w:tc>
          <w:tcPr>
            <w:tcW w:w="236" w:type="dxa"/>
            <w:tcBorders>
              <w:top w:val="nil"/>
              <w:left w:val="nil"/>
              <w:bottom w:val="nil"/>
              <w:right w:val="nil"/>
            </w:tcBorders>
          </w:tcPr>
          <w:p w14:paraId="794F8E9B"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7C1EB6CF"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41580F9F" w14:textId="77777777" w:rsidR="002405A2" w:rsidRDefault="002405A2" w:rsidP="004E6E00">
            <w:pPr>
              <w:tabs>
                <w:tab w:val="decimal" w:pos="454"/>
              </w:tabs>
              <w:rPr>
                <w:rFonts w:eastAsia="Times New Roman"/>
                <w:bCs/>
                <w:sz w:val="22"/>
                <w:szCs w:val="22"/>
              </w:rPr>
            </w:pPr>
            <w:r>
              <w:rPr>
                <w:rFonts w:eastAsia="Times New Roman"/>
                <w:bCs/>
                <w:sz w:val="22"/>
                <w:szCs w:val="22"/>
              </w:rPr>
              <w:t>(0.038)</w:t>
            </w:r>
          </w:p>
        </w:tc>
        <w:tc>
          <w:tcPr>
            <w:tcW w:w="236" w:type="dxa"/>
            <w:tcBorders>
              <w:top w:val="nil"/>
              <w:left w:val="nil"/>
              <w:bottom w:val="nil"/>
              <w:right w:val="nil"/>
            </w:tcBorders>
          </w:tcPr>
          <w:p w14:paraId="6A5C1A4E"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6A6A107A"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020718FA" w14:textId="77777777" w:rsidR="002405A2" w:rsidRDefault="002405A2" w:rsidP="004E6E00">
            <w:pPr>
              <w:tabs>
                <w:tab w:val="decimal" w:pos="454"/>
              </w:tabs>
              <w:rPr>
                <w:rFonts w:eastAsia="Times New Roman"/>
                <w:bCs/>
                <w:sz w:val="22"/>
                <w:szCs w:val="22"/>
              </w:rPr>
            </w:pPr>
            <w:r>
              <w:rPr>
                <w:rFonts w:eastAsia="Times New Roman"/>
                <w:bCs/>
                <w:sz w:val="22"/>
                <w:szCs w:val="22"/>
              </w:rPr>
              <w:t>(0.027)</w:t>
            </w:r>
          </w:p>
        </w:tc>
      </w:tr>
      <w:tr w:rsidR="002405A2" w14:paraId="38DC3CC2" w14:textId="77777777" w:rsidTr="004E6E00">
        <w:trPr>
          <w:gridAfter w:val="2"/>
          <w:wAfter w:w="71" w:type="dxa"/>
        </w:trPr>
        <w:tc>
          <w:tcPr>
            <w:tcW w:w="3296" w:type="dxa"/>
            <w:tcBorders>
              <w:top w:val="nil"/>
              <w:left w:val="nil"/>
              <w:bottom w:val="nil"/>
              <w:right w:val="nil"/>
            </w:tcBorders>
          </w:tcPr>
          <w:p w14:paraId="2A22376F" w14:textId="77777777" w:rsidR="002405A2" w:rsidRPr="00540940" w:rsidRDefault="002405A2" w:rsidP="004E6E00">
            <w:pPr>
              <w:rPr>
                <w:rFonts w:eastAsia="Times New Roman"/>
                <w:bCs/>
                <w:sz w:val="6"/>
                <w:szCs w:val="6"/>
              </w:rPr>
            </w:pPr>
          </w:p>
        </w:tc>
        <w:tc>
          <w:tcPr>
            <w:tcW w:w="1697" w:type="dxa"/>
            <w:tcBorders>
              <w:top w:val="nil"/>
              <w:left w:val="nil"/>
              <w:bottom w:val="nil"/>
              <w:right w:val="nil"/>
            </w:tcBorders>
          </w:tcPr>
          <w:p w14:paraId="7DB55E6F" w14:textId="77777777" w:rsidR="002405A2" w:rsidRPr="00540940" w:rsidRDefault="002405A2" w:rsidP="004E6E00">
            <w:pPr>
              <w:tabs>
                <w:tab w:val="decimal" w:pos="454"/>
              </w:tabs>
              <w:rPr>
                <w:rFonts w:eastAsia="Times New Roman"/>
                <w:bCs/>
                <w:sz w:val="6"/>
                <w:szCs w:val="6"/>
              </w:rPr>
            </w:pPr>
          </w:p>
        </w:tc>
        <w:tc>
          <w:tcPr>
            <w:tcW w:w="1695" w:type="dxa"/>
            <w:tcBorders>
              <w:top w:val="nil"/>
              <w:left w:val="nil"/>
              <w:bottom w:val="nil"/>
              <w:right w:val="nil"/>
            </w:tcBorders>
          </w:tcPr>
          <w:p w14:paraId="31F4C29C" w14:textId="77777777" w:rsidR="002405A2" w:rsidRPr="00540940" w:rsidRDefault="002405A2" w:rsidP="004E6E00">
            <w:pPr>
              <w:tabs>
                <w:tab w:val="decimal" w:pos="454"/>
              </w:tabs>
              <w:rPr>
                <w:rFonts w:eastAsia="Times New Roman"/>
                <w:bCs/>
                <w:sz w:val="6"/>
                <w:szCs w:val="6"/>
              </w:rPr>
            </w:pPr>
          </w:p>
        </w:tc>
        <w:tc>
          <w:tcPr>
            <w:tcW w:w="236" w:type="dxa"/>
            <w:tcBorders>
              <w:top w:val="nil"/>
              <w:left w:val="nil"/>
              <w:bottom w:val="nil"/>
              <w:right w:val="nil"/>
            </w:tcBorders>
          </w:tcPr>
          <w:p w14:paraId="15DA9EEF" w14:textId="77777777" w:rsidR="002405A2" w:rsidRPr="00540940" w:rsidRDefault="002405A2" w:rsidP="004E6E00">
            <w:pPr>
              <w:rPr>
                <w:rFonts w:eastAsia="Times New Roman"/>
                <w:bCs/>
                <w:sz w:val="6"/>
                <w:szCs w:val="6"/>
              </w:rPr>
            </w:pPr>
          </w:p>
        </w:tc>
        <w:tc>
          <w:tcPr>
            <w:tcW w:w="1693" w:type="dxa"/>
            <w:tcBorders>
              <w:top w:val="nil"/>
              <w:left w:val="nil"/>
              <w:bottom w:val="nil"/>
              <w:right w:val="nil"/>
            </w:tcBorders>
          </w:tcPr>
          <w:p w14:paraId="7F0FFC81" w14:textId="77777777" w:rsidR="002405A2" w:rsidRPr="00540940" w:rsidRDefault="002405A2" w:rsidP="004E6E00">
            <w:pPr>
              <w:rPr>
                <w:rFonts w:eastAsia="Times New Roman"/>
                <w:bCs/>
                <w:sz w:val="6"/>
                <w:szCs w:val="6"/>
              </w:rPr>
            </w:pPr>
          </w:p>
        </w:tc>
        <w:tc>
          <w:tcPr>
            <w:tcW w:w="1694" w:type="dxa"/>
            <w:tcBorders>
              <w:top w:val="nil"/>
              <w:left w:val="nil"/>
              <w:bottom w:val="nil"/>
              <w:right w:val="nil"/>
            </w:tcBorders>
          </w:tcPr>
          <w:p w14:paraId="2356DE38" w14:textId="77777777" w:rsidR="002405A2" w:rsidRPr="00540940" w:rsidRDefault="002405A2" w:rsidP="004E6E00">
            <w:pPr>
              <w:rPr>
                <w:rFonts w:eastAsia="Times New Roman"/>
                <w:bCs/>
                <w:sz w:val="6"/>
                <w:szCs w:val="6"/>
              </w:rPr>
            </w:pPr>
          </w:p>
        </w:tc>
        <w:tc>
          <w:tcPr>
            <w:tcW w:w="236" w:type="dxa"/>
            <w:tcBorders>
              <w:top w:val="nil"/>
              <w:left w:val="nil"/>
              <w:bottom w:val="nil"/>
              <w:right w:val="nil"/>
            </w:tcBorders>
          </w:tcPr>
          <w:p w14:paraId="5697DFD6" w14:textId="77777777" w:rsidR="002405A2" w:rsidRPr="00540940" w:rsidRDefault="002405A2" w:rsidP="004E6E00">
            <w:pPr>
              <w:rPr>
                <w:rFonts w:eastAsia="Times New Roman"/>
                <w:bCs/>
                <w:sz w:val="6"/>
                <w:szCs w:val="6"/>
              </w:rPr>
            </w:pPr>
          </w:p>
        </w:tc>
        <w:tc>
          <w:tcPr>
            <w:tcW w:w="1693" w:type="dxa"/>
            <w:tcBorders>
              <w:top w:val="nil"/>
              <w:left w:val="nil"/>
              <w:bottom w:val="nil"/>
              <w:right w:val="nil"/>
            </w:tcBorders>
          </w:tcPr>
          <w:p w14:paraId="1B72F840" w14:textId="77777777" w:rsidR="002405A2" w:rsidRPr="00540940" w:rsidRDefault="002405A2" w:rsidP="004E6E00">
            <w:pPr>
              <w:rPr>
                <w:rFonts w:eastAsia="Times New Roman"/>
                <w:bCs/>
                <w:sz w:val="6"/>
                <w:szCs w:val="6"/>
              </w:rPr>
            </w:pPr>
          </w:p>
        </w:tc>
        <w:tc>
          <w:tcPr>
            <w:tcW w:w="1694" w:type="dxa"/>
            <w:tcBorders>
              <w:top w:val="nil"/>
              <w:left w:val="nil"/>
              <w:bottom w:val="nil"/>
              <w:right w:val="nil"/>
            </w:tcBorders>
          </w:tcPr>
          <w:p w14:paraId="24AA6B1F" w14:textId="77777777" w:rsidR="002405A2" w:rsidRPr="00540940" w:rsidRDefault="002405A2" w:rsidP="004E6E00">
            <w:pPr>
              <w:rPr>
                <w:rFonts w:eastAsia="Times New Roman"/>
                <w:bCs/>
                <w:sz w:val="6"/>
                <w:szCs w:val="6"/>
              </w:rPr>
            </w:pPr>
          </w:p>
        </w:tc>
      </w:tr>
      <w:tr w:rsidR="002405A2" w14:paraId="3427B123" w14:textId="77777777" w:rsidTr="004E6E00">
        <w:trPr>
          <w:gridAfter w:val="2"/>
          <w:wAfter w:w="71" w:type="dxa"/>
        </w:trPr>
        <w:tc>
          <w:tcPr>
            <w:tcW w:w="3296" w:type="dxa"/>
            <w:tcBorders>
              <w:top w:val="nil"/>
              <w:left w:val="nil"/>
              <w:bottom w:val="nil"/>
              <w:right w:val="nil"/>
            </w:tcBorders>
          </w:tcPr>
          <w:p w14:paraId="7413B6AA" w14:textId="77777777" w:rsidR="002405A2" w:rsidRDefault="002405A2" w:rsidP="004E6E00">
            <w:pPr>
              <w:rPr>
                <w:rFonts w:eastAsia="Times New Roman"/>
                <w:bCs/>
                <w:sz w:val="22"/>
                <w:szCs w:val="22"/>
              </w:rPr>
            </w:pPr>
            <w:r>
              <w:rPr>
                <w:rFonts w:eastAsia="Times New Roman"/>
                <w:bCs/>
                <w:sz w:val="22"/>
                <w:szCs w:val="22"/>
              </w:rPr>
              <w:t>Year = 2011</w:t>
            </w:r>
          </w:p>
        </w:tc>
        <w:tc>
          <w:tcPr>
            <w:tcW w:w="1697" w:type="dxa"/>
            <w:tcBorders>
              <w:top w:val="nil"/>
              <w:left w:val="nil"/>
              <w:bottom w:val="nil"/>
              <w:right w:val="nil"/>
            </w:tcBorders>
          </w:tcPr>
          <w:p w14:paraId="33538FF2" w14:textId="77777777" w:rsidR="002405A2" w:rsidRDefault="002405A2" w:rsidP="004E6E00">
            <w:pPr>
              <w:tabs>
                <w:tab w:val="decimal" w:pos="454"/>
              </w:tabs>
              <w:rPr>
                <w:rFonts w:eastAsia="Times New Roman"/>
                <w:bCs/>
                <w:sz w:val="22"/>
                <w:szCs w:val="22"/>
              </w:rPr>
            </w:pPr>
            <w:r>
              <w:rPr>
                <w:rFonts w:eastAsia="Times New Roman"/>
                <w:bCs/>
                <w:sz w:val="22"/>
                <w:szCs w:val="22"/>
              </w:rPr>
              <w:t>0.124</w:t>
            </w:r>
          </w:p>
        </w:tc>
        <w:tc>
          <w:tcPr>
            <w:tcW w:w="1695" w:type="dxa"/>
            <w:tcBorders>
              <w:top w:val="nil"/>
              <w:left w:val="nil"/>
              <w:bottom w:val="nil"/>
              <w:right w:val="nil"/>
            </w:tcBorders>
          </w:tcPr>
          <w:p w14:paraId="27C5F7E1"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70C338B8"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0C63DDB6"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6E3D5420"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41D134A1"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11DCD8A3"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606F9804" w14:textId="77777777" w:rsidR="002405A2" w:rsidRDefault="002405A2" w:rsidP="004E6E00">
            <w:pPr>
              <w:rPr>
                <w:rFonts w:eastAsia="Times New Roman"/>
                <w:bCs/>
                <w:sz w:val="22"/>
                <w:szCs w:val="22"/>
              </w:rPr>
            </w:pPr>
          </w:p>
        </w:tc>
      </w:tr>
      <w:tr w:rsidR="002405A2" w14:paraId="71D52906" w14:textId="77777777" w:rsidTr="004E6E00">
        <w:trPr>
          <w:gridAfter w:val="2"/>
          <w:wAfter w:w="71" w:type="dxa"/>
        </w:trPr>
        <w:tc>
          <w:tcPr>
            <w:tcW w:w="3296" w:type="dxa"/>
            <w:tcBorders>
              <w:top w:val="nil"/>
              <w:left w:val="nil"/>
              <w:bottom w:val="nil"/>
              <w:right w:val="nil"/>
            </w:tcBorders>
          </w:tcPr>
          <w:p w14:paraId="71C363D4" w14:textId="77777777" w:rsidR="002405A2" w:rsidRDefault="002405A2" w:rsidP="004E6E00">
            <w:pPr>
              <w:rPr>
                <w:rFonts w:eastAsia="Times New Roman"/>
                <w:bCs/>
                <w:sz w:val="22"/>
                <w:szCs w:val="22"/>
              </w:rPr>
            </w:pPr>
          </w:p>
        </w:tc>
        <w:tc>
          <w:tcPr>
            <w:tcW w:w="1697" w:type="dxa"/>
            <w:tcBorders>
              <w:top w:val="nil"/>
              <w:left w:val="nil"/>
              <w:bottom w:val="nil"/>
              <w:right w:val="nil"/>
            </w:tcBorders>
          </w:tcPr>
          <w:p w14:paraId="6FD9AD3B" w14:textId="77777777" w:rsidR="002405A2" w:rsidRDefault="002405A2" w:rsidP="004E6E00">
            <w:pPr>
              <w:tabs>
                <w:tab w:val="decimal" w:pos="454"/>
              </w:tabs>
              <w:rPr>
                <w:rFonts w:eastAsia="Times New Roman"/>
                <w:bCs/>
                <w:sz w:val="22"/>
                <w:szCs w:val="22"/>
              </w:rPr>
            </w:pPr>
            <w:r>
              <w:rPr>
                <w:rFonts w:eastAsia="Times New Roman"/>
                <w:bCs/>
                <w:sz w:val="22"/>
                <w:szCs w:val="22"/>
              </w:rPr>
              <w:t>(0.152)</w:t>
            </w:r>
          </w:p>
        </w:tc>
        <w:tc>
          <w:tcPr>
            <w:tcW w:w="1695" w:type="dxa"/>
            <w:tcBorders>
              <w:top w:val="nil"/>
              <w:left w:val="nil"/>
              <w:bottom w:val="nil"/>
              <w:right w:val="nil"/>
            </w:tcBorders>
          </w:tcPr>
          <w:p w14:paraId="0CD79BF6"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4686D2A8"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3D4C49E7"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32BBF8B6"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70413721"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10ECE51A"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6B1DD083" w14:textId="77777777" w:rsidR="002405A2" w:rsidRDefault="002405A2" w:rsidP="004E6E00">
            <w:pPr>
              <w:rPr>
                <w:rFonts w:eastAsia="Times New Roman"/>
                <w:bCs/>
                <w:sz w:val="22"/>
                <w:szCs w:val="22"/>
              </w:rPr>
            </w:pPr>
          </w:p>
        </w:tc>
      </w:tr>
      <w:tr w:rsidR="002405A2" w14:paraId="6B0A0CE8" w14:textId="77777777" w:rsidTr="004E6E00">
        <w:trPr>
          <w:gridAfter w:val="2"/>
          <w:wAfter w:w="71" w:type="dxa"/>
        </w:trPr>
        <w:tc>
          <w:tcPr>
            <w:tcW w:w="3296" w:type="dxa"/>
            <w:tcBorders>
              <w:top w:val="nil"/>
              <w:left w:val="nil"/>
              <w:bottom w:val="nil"/>
              <w:right w:val="nil"/>
            </w:tcBorders>
          </w:tcPr>
          <w:p w14:paraId="1993B9B4" w14:textId="77777777" w:rsidR="002405A2" w:rsidRPr="00B85B32" w:rsidRDefault="002405A2" w:rsidP="004E6E00">
            <w:pPr>
              <w:rPr>
                <w:rFonts w:eastAsia="Times New Roman"/>
                <w:bCs/>
                <w:sz w:val="6"/>
                <w:szCs w:val="6"/>
              </w:rPr>
            </w:pPr>
          </w:p>
        </w:tc>
        <w:tc>
          <w:tcPr>
            <w:tcW w:w="1697" w:type="dxa"/>
            <w:tcBorders>
              <w:top w:val="nil"/>
              <w:left w:val="nil"/>
              <w:bottom w:val="nil"/>
              <w:right w:val="nil"/>
            </w:tcBorders>
          </w:tcPr>
          <w:p w14:paraId="5347DEDE" w14:textId="77777777" w:rsidR="002405A2" w:rsidRPr="00B85B32" w:rsidRDefault="002405A2" w:rsidP="004E6E00">
            <w:pPr>
              <w:tabs>
                <w:tab w:val="decimal" w:pos="454"/>
              </w:tabs>
              <w:rPr>
                <w:rFonts w:eastAsia="Times New Roman"/>
                <w:bCs/>
                <w:sz w:val="6"/>
                <w:szCs w:val="6"/>
              </w:rPr>
            </w:pPr>
          </w:p>
        </w:tc>
        <w:tc>
          <w:tcPr>
            <w:tcW w:w="1695" w:type="dxa"/>
            <w:tcBorders>
              <w:top w:val="nil"/>
              <w:left w:val="nil"/>
              <w:bottom w:val="nil"/>
              <w:right w:val="nil"/>
            </w:tcBorders>
          </w:tcPr>
          <w:p w14:paraId="073DD87F" w14:textId="77777777" w:rsidR="002405A2" w:rsidRPr="00B85B32" w:rsidRDefault="002405A2" w:rsidP="004E6E00">
            <w:pPr>
              <w:tabs>
                <w:tab w:val="decimal" w:pos="454"/>
              </w:tabs>
              <w:rPr>
                <w:rFonts w:eastAsia="Times New Roman"/>
                <w:bCs/>
                <w:sz w:val="6"/>
                <w:szCs w:val="6"/>
              </w:rPr>
            </w:pPr>
          </w:p>
        </w:tc>
        <w:tc>
          <w:tcPr>
            <w:tcW w:w="236" w:type="dxa"/>
            <w:tcBorders>
              <w:top w:val="nil"/>
              <w:left w:val="nil"/>
              <w:bottom w:val="nil"/>
              <w:right w:val="nil"/>
            </w:tcBorders>
          </w:tcPr>
          <w:p w14:paraId="6AA73E8D" w14:textId="77777777" w:rsidR="002405A2" w:rsidRPr="00B85B32" w:rsidRDefault="002405A2" w:rsidP="004E6E00">
            <w:pPr>
              <w:rPr>
                <w:rFonts w:eastAsia="Times New Roman"/>
                <w:bCs/>
                <w:sz w:val="6"/>
                <w:szCs w:val="6"/>
              </w:rPr>
            </w:pPr>
          </w:p>
        </w:tc>
        <w:tc>
          <w:tcPr>
            <w:tcW w:w="1693" w:type="dxa"/>
            <w:tcBorders>
              <w:top w:val="nil"/>
              <w:left w:val="nil"/>
              <w:bottom w:val="nil"/>
              <w:right w:val="nil"/>
            </w:tcBorders>
          </w:tcPr>
          <w:p w14:paraId="2D178CD4" w14:textId="77777777" w:rsidR="002405A2" w:rsidRPr="00B85B32" w:rsidRDefault="002405A2" w:rsidP="004E6E00">
            <w:pPr>
              <w:rPr>
                <w:rFonts w:eastAsia="Times New Roman"/>
                <w:bCs/>
                <w:sz w:val="6"/>
                <w:szCs w:val="6"/>
              </w:rPr>
            </w:pPr>
          </w:p>
        </w:tc>
        <w:tc>
          <w:tcPr>
            <w:tcW w:w="1694" w:type="dxa"/>
            <w:tcBorders>
              <w:top w:val="nil"/>
              <w:left w:val="nil"/>
              <w:bottom w:val="nil"/>
              <w:right w:val="nil"/>
            </w:tcBorders>
          </w:tcPr>
          <w:p w14:paraId="7B82602D" w14:textId="77777777" w:rsidR="002405A2" w:rsidRPr="00B85B32" w:rsidRDefault="002405A2" w:rsidP="004E6E00">
            <w:pPr>
              <w:rPr>
                <w:rFonts w:eastAsia="Times New Roman"/>
                <w:bCs/>
                <w:sz w:val="6"/>
                <w:szCs w:val="6"/>
              </w:rPr>
            </w:pPr>
          </w:p>
        </w:tc>
        <w:tc>
          <w:tcPr>
            <w:tcW w:w="236" w:type="dxa"/>
            <w:tcBorders>
              <w:top w:val="nil"/>
              <w:left w:val="nil"/>
              <w:bottom w:val="nil"/>
              <w:right w:val="nil"/>
            </w:tcBorders>
          </w:tcPr>
          <w:p w14:paraId="53B0A345" w14:textId="77777777" w:rsidR="002405A2" w:rsidRPr="00B85B32" w:rsidRDefault="002405A2" w:rsidP="004E6E00">
            <w:pPr>
              <w:rPr>
                <w:rFonts w:eastAsia="Times New Roman"/>
                <w:bCs/>
                <w:sz w:val="6"/>
                <w:szCs w:val="6"/>
              </w:rPr>
            </w:pPr>
          </w:p>
        </w:tc>
        <w:tc>
          <w:tcPr>
            <w:tcW w:w="1693" w:type="dxa"/>
            <w:tcBorders>
              <w:top w:val="nil"/>
              <w:left w:val="nil"/>
              <w:bottom w:val="nil"/>
              <w:right w:val="nil"/>
            </w:tcBorders>
          </w:tcPr>
          <w:p w14:paraId="3A7470E6" w14:textId="77777777" w:rsidR="002405A2" w:rsidRPr="00B85B32" w:rsidRDefault="002405A2" w:rsidP="004E6E00">
            <w:pPr>
              <w:rPr>
                <w:rFonts w:eastAsia="Times New Roman"/>
                <w:bCs/>
                <w:sz w:val="6"/>
                <w:szCs w:val="6"/>
              </w:rPr>
            </w:pPr>
          </w:p>
        </w:tc>
        <w:tc>
          <w:tcPr>
            <w:tcW w:w="1694" w:type="dxa"/>
            <w:tcBorders>
              <w:top w:val="nil"/>
              <w:left w:val="nil"/>
              <w:bottom w:val="nil"/>
              <w:right w:val="nil"/>
            </w:tcBorders>
          </w:tcPr>
          <w:p w14:paraId="201BF170" w14:textId="77777777" w:rsidR="002405A2" w:rsidRPr="00B85B32" w:rsidRDefault="002405A2" w:rsidP="004E6E00">
            <w:pPr>
              <w:rPr>
                <w:rFonts w:eastAsia="Times New Roman"/>
                <w:bCs/>
                <w:sz w:val="6"/>
                <w:szCs w:val="6"/>
              </w:rPr>
            </w:pPr>
          </w:p>
        </w:tc>
      </w:tr>
      <w:tr w:rsidR="002405A2" w14:paraId="6C7A2B9A" w14:textId="77777777" w:rsidTr="004E6E00">
        <w:trPr>
          <w:gridAfter w:val="2"/>
          <w:wAfter w:w="71" w:type="dxa"/>
        </w:trPr>
        <w:tc>
          <w:tcPr>
            <w:tcW w:w="3296" w:type="dxa"/>
            <w:tcBorders>
              <w:top w:val="nil"/>
              <w:left w:val="nil"/>
              <w:bottom w:val="nil"/>
              <w:right w:val="nil"/>
            </w:tcBorders>
          </w:tcPr>
          <w:p w14:paraId="7B9E1B76" w14:textId="77777777" w:rsidR="002405A2" w:rsidRDefault="002405A2" w:rsidP="004E6E00">
            <w:pPr>
              <w:rPr>
                <w:rFonts w:eastAsia="Times New Roman"/>
                <w:bCs/>
                <w:sz w:val="22"/>
                <w:szCs w:val="22"/>
              </w:rPr>
            </w:pPr>
            <w:r>
              <w:rPr>
                <w:rFonts w:eastAsia="Times New Roman"/>
                <w:bCs/>
                <w:sz w:val="22"/>
                <w:szCs w:val="22"/>
              </w:rPr>
              <w:t>Year = 2012</w:t>
            </w:r>
          </w:p>
        </w:tc>
        <w:tc>
          <w:tcPr>
            <w:tcW w:w="1697" w:type="dxa"/>
            <w:tcBorders>
              <w:top w:val="nil"/>
              <w:left w:val="nil"/>
              <w:bottom w:val="nil"/>
              <w:right w:val="nil"/>
            </w:tcBorders>
          </w:tcPr>
          <w:p w14:paraId="7B906F61" w14:textId="77777777" w:rsidR="002405A2" w:rsidRDefault="002405A2" w:rsidP="004E6E00">
            <w:pPr>
              <w:tabs>
                <w:tab w:val="decimal" w:pos="454"/>
              </w:tabs>
              <w:rPr>
                <w:rFonts w:eastAsia="Times New Roman"/>
                <w:bCs/>
                <w:sz w:val="22"/>
                <w:szCs w:val="22"/>
              </w:rPr>
            </w:pPr>
            <w:r>
              <w:rPr>
                <w:rFonts w:eastAsia="Times New Roman"/>
                <w:bCs/>
                <w:sz w:val="22"/>
                <w:szCs w:val="22"/>
              </w:rPr>
              <w:t>0.141</w:t>
            </w:r>
          </w:p>
        </w:tc>
        <w:tc>
          <w:tcPr>
            <w:tcW w:w="1695" w:type="dxa"/>
            <w:tcBorders>
              <w:top w:val="nil"/>
              <w:left w:val="nil"/>
              <w:bottom w:val="nil"/>
              <w:right w:val="nil"/>
            </w:tcBorders>
          </w:tcPr>
          <w:p w14:paraId="6F0DE3A2"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02E2A063"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4B2FA40C"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7DB52F08"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2ADA5279"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149ABC82"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0F3E84D2" w14:textId="77777777" w:rsidR="002405A2" w:rsidRDefault="002405A2" w:rsidP="004E6E00">
            <w:pPr>
              <w:rPr>
                <w:rFonts w:eastAsia="Times New Roman"/>
                <w:bCs/>
                <w:sz w:val="22"/>
                <w:szCs w:val="22"/>
              </w:rPr>
            </w:pPr>
          </w:p>
        </w:tc>
      </w:tr>
      <w:tr w:rsidR="002405A2" w14:paraId="70F24D32" w14:textId="77777777" w:rsidTr="004E6E00">
        <w:trPr>
          <w:gridAfter w:val="2"/>
          <w:wAfter w:w="71" w:type="dxa"/>
        </w:trPr>
        <w:tc>
          <w:tcPr>
            <w:tcW w:w="3296" w:type="dxa"/>
            <w:tcBorders>
              <w:top w:val="nil"/>
              <w:left w:val="nil"/>
              <w:bottom w:val="nil"/>
              <w:right w:val="nil"/>
            </w:tcBorders>
          </w:tcPr>
          <w:p w14:paraId="25E79F72" w14:textId="77777777" w:rsidR="002405A2" w:rsidRDefault="002405A2" w:rsidP="004E6E00">
            <w:pPr>
              <w:rPr>
                <w:rFonts w:eastAsia="Times New Roman"/>
                <w:bCs/>
                <w:sz w:val="22"/>
                <w:szCs w:val="22"/>
              </w:rPr>
            </w:pPr>
          </w:p>
        </w:tc>
        <w:tc>
          <w:tcPr>
            <w:tcW w:w="1697" w:type="dxa"/>
            <w:tcBorders>
              <w:top w:val="nil"/>
              <w:left w:val="nil"/>
              <w:bottom w:val="nil"/>
              <w:right w:val="nil"/>
            </w:tcBorders>
          </w:tcPr>
          <w:p w14:paraId="41DC8C7D" w14:textId="77777777" w:rsidR="002405A2" w:rsidRDefault="002405A2" w:rsidP="004E6E00">
            <w:pPr>
              <w:tabs>
                <w:tab w:val="decimal" w:pos="454"/>
              </w:tabs>
              <w:rPr>
                <w:rFonts w:eastAsia="Times New Roman"/>
                <w:bCs/>
                <w:sz w:val="22"/>
                <w:szCs w:val="22"/>
              </w:rPr>
            </w:pPr>
            <w:r>
              <w:rPr>
                <w:rFonts w:eastAsia="Times New Roman"/>
                <w:bCs/>
                <w:sz w:val="22"/>
                <w:szCs w:val="22"/>
              </w:rPr>
              <w:t>(0.152)</w:t>
            </w:r>
          </w:p>
        </w:tc>
        <w:tc>
          <w:tcPr>
            <w:tcW w:w="1695" w:type="dxa"/>
            <w:tcBorders>
              <w:top w:val="nil"/>
              <w:left w:val="nil"/>
              <w:bottom w:val="nil"/>
              <w:right w:val="nil"/>
            </w:tcBorders>
          </w:tcPr>
          <w:p w14:paraId="45067A77"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24950604"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041498AE"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2531FACB"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096EFE57"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021FF2C0"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1EB06A7F" w14:textId="77777777" w:rsidR="002405A2" w:rsidRDefault="002405A2" w:rsidP="004E6E00">
            <w:pPr>
              <w:rPr>
                <w:rFonts w:eastAsia="Times New Roman"/>
                <w:bCs/>
                <w:sz w:val="22"/>
                <w:szCs w:val="22"/>
              </w:rPr>
            </w:pPr>
          </w:p>
        </w:tc>
      </w:tr>
      <w:tr w:rsidR="002405A2" w14:paraId="16C26AD6" w14:textId="77777777" w:rsidTr="004E6E00">
        <w:trPr>
          <w:gridAfter w:val="2"/>
          <w:wAfter w:w="71" w:type="dxa"/>
        </w:trPr>
        <w:tc>
          <w:tcPr>
            <w:tcW w:w="3296" w:type="dxa"/>
            <w:tcBorders>
              <w:top w:val="nil"/>
              <w:left w:val="nil"/>
              <w:bottom w:val="nil"/>
              <w:right w:val="nil"/>
            </w:tcBorders>
          </w:tcPr>
          <w:p w14:paraId="1A887DD0" w14:textId="77777777" w:rsidR="002405A2" w:rsidRPr="00B85B32" w:rsidRDefault="002405A2" w:rsidP="004E6E00">
            <w:pPr>
              <w:rPr>
                <w:rFonts w:eastAsia="Times New Roman"/>
                <w:bCs/>
                <w:sz w:val="6"/>
                <w:szCs w:val="6"/>
              </w:rPr>
            </w:pPr>
          </w:p>
        </w:tc>
        <w:tc>
          <w:tcPr>
            <w:tcW w:w="1697" w:type="dxa"/>
            <w:tcBorders>
              <w:top w:val="nil"/>
              <w:left w:val="nil"/>
              <w:bottom w:val="nil"/>
              <w:right w:val="nil"/>
            </w:tcBorders>
          </w:tcPr>
          <w:p w14:paraId="014F57C7" w14:textId="77777777" w:rsidR="002405A2" w:rsidRPr="00B85B32" w:rsidRDefault="002405A2" w:rsidP="004E6E00">
            <w:pPr>
              <w:tabs>
                <w:tab w:val="decimal" w:pos="454"/>
              </w:tabs>
              <w:rPr>
                <w:rFonts w:eastAsia="Times New Roman"/>
                <w:bCs/>
                <w:sz w:val="6"/>
                <w:szCs w:val="6"/>
              </w:rPr>
            </w:pPr>
          </w:p>
        </w:tc>
        <w:tc>
          <w:tcPr>
            <w:tcW w:w="1695" w:type="dxa"/>
            <w:tcBorders>
              <w:top w:val="nil"/>
              <w:left w:val="nil"/>
              <w:bottom w:val="nil"/>
              <w:right w:val="nil"/>
            </w:tcBorders>
          </w:tcPr>
          <w:p w14:paraId="5BE71E25" w14:textId="77777777" w:rsidR="002405A2" w:rsidRPr="00B85B32" w:rsidRDefault="002405A2" w:rsidP="004E6E00">
            <w:pPr>
              <w:tabs>
                <w:tab w:val="decimal" w:pos="454"/>
              </w:tabs>
              <w:rPr>
                <w:rFonts w:eastAsia="Times New Roman"/>
                <w:bCs/>
                <w:sz w:val="6"/>
                <w:szCs w:val="6"/>
              </w:rPr>
            </w:pPr>
          </w:p>
        </w:tc>
        <w:tc>
          <w:tcPr>
            <w:tcW w:w="236" w:type="dxa"/>
            <w:tcBorders>
              <w:top w:val="nil"/>
              <w:left w:val="nil"/>
              <w:bottom w:val="nil"/>
              <w:right w:val="nil"/>
            </w:tcBorders>
          </w:tcPr>
          <w:p w14:paraId="4C7C5BC4" w14:textId="77777777" w:rsidR="002405A2" w:rsidRPr="00B85B32" w:rsidRDefault="002405A2" w:rsidP="004E6E00">
            <w:pPr>
              <w:rPr>
                <w:rFonts w:eastAsia="Times New Roman"/>
                <w:bCs/>
                <w:sz w:val="6"/>
                <w:szCs w:val="6"/>
              </w:rPr>
            </w:pPr>
          </w:p>
        </w:tc>
        <w:tc>
          <w:tcPr>
            <w:tcW w:w="1693" w:type="dxa"/>
            <w:tcBorders>
              <w:top w:val="nil"/>
              <w:left w:val="nil"/>
              <w:bottom w:val="nil"/>
              <w:right w:val="nil"/>
            </w:tcBorders>
          </w:tcPr>
          <w:p w14:paraId="59D949D7" w14:textId="77777777" w:rsidR="002405A2" w:rsidRPr="00B85B32" w:rsidRDefault="002405A2" w:rsidP="004E6E00">
            <w:pPr>
              <w:rPr>
                <w:rFonts w:eastAsia="Times New Roman"/>
                <w:bCs/>
                <w:sz w:val="6"/>
                <w:szCs w:val="6"/>
              </w:rPr>
            </w:pPr>
          </w:p>
        </w:tc>
        <w:tc>
          <w:tcPr>
            <w:tcW w:w="1694" w:type="dxa"/>
            <w:tcBorders>
              <w:top w:val="nil"/>
              <w:left w:val="nil"/>
              <w:bottom w:val="nil"/>
              <w:right w:val="nil"/>
            </w:tcBorders>
          </w:tcPr>
          <w:p w14:paraId="7FF29C8F" w14:textId="77777777" w:rsidR="002405A2" w:rsidRPr="00B85B32" w:rsidRDefault="002405A2" w:rsidP="004E6E00">
            <w:pPr>
              <w:rPr>
                <w:rFonts w:eastAsia="Times New Roman"/>
                <w:bCs/>
                <w:sz w:val="6"/>
                <w:szCs w:val="6"/>
              </w:rPr>
            </w:pPr>
          </w:p>
        </w:tc>
        <w:tc>
          <w:tcPr>
            <w:tcW w:w="236" w:type="dxa"/>
            <w:tcBorders>
              <w:top w:val="nil"/>
              <w:left w:val="nil"/>
              <w:bottom w:val="nil"/>
              <w:right w:val="nil"/>
            </w:tcBorders>
          </w:tcPr>
          <w:p w14:paraId="196D29E4" w14:textId="77777777" w:rsidR="002405A2" w:rsidRPr="00B85B32" w:rsidRDefault="002405A2" w:rsidP="004E6E00">
            <w:pPr>
              <w:rPr>
                <w:rFonts w:eastAsia="Times New Roman"/>
                <w:bCs/>
                <w:sz w:val="6"/>
                <w:szCs w:val="6"/>
              </w:rPr>
            </w:pPr>
          </w:p>
        </w:tc>
        <w:tc>
          <w:tcPr>
            <w:tcW w:w="1693" w:type="dxa"/>
            <w:tcBorders>
              <w:top w:val="nil"/>
              <w:left w:val="nil"/>
              <w:bottom w:val="nil"/>
              <w:right w:val="nil"/>
            </w:tcBorders>
          </w:tcPr>
          <w:p w14:paraId="0BECC0C3" w14:textId="77777777" w:rsidR="002405A2" w:rsidRPr="00B85B32" w:rsidRDefault="002405A2" w:rsidP="004E6E00">
            <w:pPr>
              <w:rPr>
                <w:rFonts w:eastAsia="Times New Roman"/>
                <w:bCs/>
                <w:sz w:val="6"/>
                <w:szCs w:val="6"/>
              </w:rPr>
            </w:pPr>
          </w:p>
        </w:tc>
        <w:tc>
          <w:tcPr>
            <w:tcW w:w="1694" w:type="dxa"/>
            <w:tcBorders>
              <w:top w:val="nil"/>
              <w:left w:val="nil"/>
              <w:bottom w:val="nil"/>
              <w:right w:val="nil"/>
            </w:tcBorders>
          </w:tcPr>
          <w:p w14:paraId="14AB9D68" w14:textId="77777777" w:rsidR="002405A2" w:rsidRPr="00B85B32" w:rsidRDefault="002405A2" w:rsidP="004E6E00">
            <w:pPr>
              <w:rPr>
                <w:rFonts w:eastAsia="Times New Roman"/>
                <w:bCs/>
                <w:sz w:val="6"/>
                <w:szCs w:val="6"/>
              </w:rPr>
            </w:pPr>
          </w:p>
        </w:tc>
      </w:tr>
      <w:tr w:rsidR="002405A2" w14:paraId="72A766A8" w14:textId="77777777" w:rsidTr="004E6E00">
        <w:trPr>
          <w:gridAfter w:val="2"/>
          <w:wAfter w:w="71" w:type="dxa"/>
        </w:trPr>
        <w:tc>
          <w:tcPr>
            <w:tcW w:w="3296" w:type="dxa"/>
            <w:tcBorders>
              <w:top w:val="nil"/>
              <w:left w:val="nil"/>
              <w:bottom w:val="nil"/>
              <w:right w:val="nil"/>
            </w:tcBorders>
          </w:tcPr>
          <w:p w14:paraId="3B89553B" w14:textId="77777777" w:rsidR="002405A2" w:rsidRDefault="002405A2" w:rsidP="004E6E00">
            <w:pPr>
              <w:rPr>
                <w:rFonts w:eastAsia="Times New Roman"/>
                <w:bCs/>
                <w:sz w:val="22"/>
                <w:szCs w:val="22"/>
              </w:rPr>
            </w:pPr>
            <w:r>
              <w:rPr>
                <w:rFonts w:eastAsia="Times New Roman"/>
                <w:bCs/>
                <w:sz w:val="22"/>
                <w:szCs w:val="22"/>
              </w:rPr>
              <w:t>Year = 2013</w:t>
            </w:r>
          </w:p>
        </w:tc>
        <w:tc>
          <w:tcPr>
            <w:tcW w:w="1697" w:type="dxa"/>
            <w:tcBorders>
              <w:top w:val="nil"/>
              <w:left w:val="nil"/>
              <w:bottom w:val="nil"/>
              <w:right w:val="nil"/>
            </w:tcBorders>
          </w:tcPr>
          <w:p w14:paraId="1E9788D6" w14:textId="77777777" w:rsidR="002405A2" w:rsidRDefault="002405A2" w:rsidP="004E6E00">
            <w:pPr>
              <w:tabs>
                <w:tab w:val="decimal" w:pos="454"/>
              </w:tabs>
              <w:rPr>
                <w:rFonts w:eastAsia="Times New Roman"/>
                <w:bCs/>
                <w:sz w:val="22"/>
                <w:szCs w:val="22"/>
              </w:rPr>
            </w:pPr>
            <w:r>
              <w:rPr>
                <w:rFonts w:eastAsia="Times New Roman"/>
                <w:bCs/>
                <w:sz w:val="22"/>
                <w:szCs w:val="22"/>
              </w:rPr>
              <w:t>0.150</w:t>
            </w:r>
          </w:p>
        </w:tc>
        <w:tc>
          <w:tcPr>
            <w:tcW w:w="1695" w:type="dxa"/>
            <w:tcBorders>
              <w:top w:val="nil"/>
              <w:left w:val="nil"/>
              <w:bottom w:val="nil"/>
              <w:right w:val="nil"/>
            </w:tcBorders>
          </w:tcPr>
          <w:p w14:paraId="36692966"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7B65F59C"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118C4D6C"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4E82E381"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0E5E9958"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5E2D7166"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10644B3F" w14:textId="77777777" w:rsidR="002405A2" w:rsidRDefault="002405A2" w:rsidP="004E6E00">
            <w:pPr>
              <w:rPr>
                <w:rFonts w:eastAsia="Times New Roman"/>
                <w:bCs/>
                <w:sz w:val="22"/>
                <w:szCs w:val="22"/>
              </w:rPr>
            </w:pPr>
          </w:p>
        </w:tc>
      </w:tr>
      <w:tr w:rsidR="002405A2" w14:paraId="2E644AB8" w14:textId="77777777" w:rsidTr="004E6E00">
        <w:trPr>
          <w:gridAfter w:val="2"/>
          <w:wAfter w:w="71" w:type="dxa"/>
        </w:trPr>
        <w:tc>
          <w:tcPr>
            <w:tcW w:w="3296" w:type="dxa"/>
            <w:tcBorders>
              <w:top w:val="nil"/>
              <w:left w:val="nil"/>
              <w:bottom w:val="nil"/>
              <w:right w:val="nil"/>
            </w:tcBorders>
          </w:tcPr>
          <w:p w14:paraId="1B1A32C5" w14:textId="77777777" w:rsidR="002405A2" w:rsidRDefault="002405A2" w:rsidP="004E6E00">
            <w:pPr>
              <w:rPr>
                <w:rFonts w:eastAsia="Times New Roman"/>
                <w:bCs/>
                <w:sz w:val="22"/>
                <w:szCs w:val="22"/>
              </w:rPr>
            </w:pPr>
          </w:p>
        </w:tc>
        <w:tc>
          <w:tcPr>
            <w:tcW w:w="1697" w:type="dxa"/>
            <w:tcBorders>
              <w:top w:val="nil"/>
              <w:left w:val="nil"/>
              <w:bottom w:val="nil"/>
              <w:right w:val="nil"/>
            </w:tcBorders>
          </w:tcPr>
          <w:p w14:paraId="571A6D3B" w14:textId="77777777" w:rsidR="002405A2" w:rsidRDefault="002405A2" w:rsidP="004E6E00">
            <w:pPr>
              <w:tabs>
                <w:tab w:val="decimal" w:pos="454"/>
              </w:tabs>
              <w:rPr>
                <w:rFonts w:eastAsia="Times New Roman"/>
                <w:bCs/>
                <w:sz w:val="22"/>
                <w:szCs w:val="22"/>
              </w:rPr>
            </w:pPr>
            <w:r>
              <w:rPr>
                <w:rFonts w:eastAsia="Times New Roman"/>
                <w:bCs/>
                <w:sz w:val="22"/>
                <w:szCs w:val="22"/>
              </w:rPr>
              <w:t>(0.152)</w:t>
            </w:r>
          </w:p>
        </w:tc>
        <w:tc>
          <w:tcPr>
            <w:tcW w:w="1695" w:type="dxa"/>
            <w:tcBorders>
              <w:top w:val="nil"/>
              <w:left w:val="nil"/>
              <w:bottom w:val="nil"/>
              <w:right w:val="nil"/>
            </w:tcBorders>
          </w:tcPr>
          <w:p w14:paraId="2BDD5D15"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6648B0A4"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0DAD5E65"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4F0B01DC"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74534576"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399CB954" w14:textId="77777777" w:rsidR="002405A2" w:rsidRDefault="002405A2" w:rsidP="004E6E00">
            <w:pPr>
              <w:rPr>
                <w:rFonts w:eastAsia="Times New Roman"/>
                <w:bCs/>
                <w:sz w:val="22"/>
                <w:szCs w:val="22"/>
              </w:rPr>
            </w:pPr>
          </w:p>
        </w:tc>
        <w:tc>
          <w:tcPr>
            <w:tcW w:w="1694" w:type="dxa"/>
            <w:tcBorders>
              <w:top w:val="nil"/>
              <w:left w:val="nil"/>
              <w:bottom w:val="nil"/>
              <w:right w:val="nil"/>
            </w:tcBorders>
          </w:tcPr>
          <w:p w14:paraId="4C7E8FED" w14:textId="77777777" w:rsidR="002405A2" w:rsidRDefault="002405A2" w:rsidP="004E6E00">
            <w:pPr>
              <w:rPr>
                <w:rFonts w:eastAsia="Times New Roman"/>
                <w:bCs/>
                <w:sz w:val="22"/>
                <w:szCs w:val="22"/>
              </w:rPr>
            </w:pPr>
          </w:p>
        </w:tc>
      </w:tr>
      <w:tr w:rsidR="002405A2" w14:paraId="7EE3797F" w14:textId="77777777" w:rsidTr="004E6E00">
        <w:trPr>
          <w:gridAfter w:val="2"/>
          <w:wAfter w:w="71" w:type="dxa"/>
        </w:trPr>
        <w:tc>
          <w:tcPr>
            <w:tcW w:w="3296" w:type="dxa"/>
            <w:tcBorders>
              <w:top w:val="nil"/>
              <w:left w:val="nil"/>
              <w:bottom w:val="nil"/>
              <w:right w:val="nil"/>
            </w:tcBorders>
          </w:tcPr>
          <w:p w14:paraId="58934398" w14:textId="77777777" w:rsidR="002405A2" w:rsidRPr="00B85B32" w:rsidRDefault="002405A2" w:rsidP="004E6E00">
            <w:pPr>
              <w:rPr>
                <w:rFonts w:eastAsia="Times New Roman"/>
                <w:bCs/>
                <w:sz w:val="6"/>
                <w:szCs w:val="6"/>
              </w:rPr>
            </w:pPr>
          </w:p>
        </w:tc>
        <w:tc>
          <w:tcPr>
            <w:tcW w:w="1697" w:type="dxa"/>
            <w:tcBorders>
              <w:top w:val="nil"/>
              <w:left w:val="nil"/>
              <w:bottom w:val="nil"/>
              <w:right w:val="nil"/>
            </w:tcBorders>
          </w:tcPr>
          <w:p w14:paraId="2494F463" w14:textId="77777777" w:rsidR="002405A2" w:rsidRPr="00B85B32" w:rsidRDefault="002405A2" w:rsidP="004E6E00">
            <w:pPr>
              <w:tabs>
                <w:tab w:val="decimal" w:pos="454"/>
              </w:tabs>
              <w:rPr>
                <w:rFonts w:eastAsia="Times New Roman"/>
                <w:bCs/>
                <w:sz w:val="6"/>
                <w:szCs w:val="6"/>
              </w:rPr>
            </w:pPr>
          </w:p>
        </w:tc>
        <w:tc>
          <w:tcPr>
            <w:tcW w:w="1695" w:type="dxa"/>
            <w:tcBorders>
              <w:top w:val="nil"/>
              <w:left w:val="nil"/>
              <w:bottom w:val="nil"/>
              <w:right w:val="nil"/>
            </w:tcBorders>
          </w:tcPr>
          <w:p w14:paraId="01704F76" w14:textId="77777777" w:rsidR="002405A2" w:rsidRPr="00B85B32" w:rsidRDefault="002405A2" w:rsidP="004E6E00">
            <w:pPr>
              <w:tabs>
                <w:tab w:val="decimal" w:pos="454"/>
              </w:tabs>
              <w:rPr>
                <w:rFonts w:eastAsia="Times New Roman"/>
                <w:bCs/>
                <w:sz w:val="6"/>
                <w:szCs w:val="6"/>
              </w:rPr>
            </w:pPr>
          </w:p>
        </w:tc>
        <w:tc>
          <w:tcPr>
            <w:tcW w:w="236" w:type="dxa"/>
            <w:tcBorders>
              <w:top w:val="nil"/>
              <w:left w:val="nil"/>
              <w:bottom w:val="nil"/>
              <w:right w:val="nil"/>
            </w:tcBorders>
          </w:tcPr>
          <w:p w14:paraId="4CA51F02" w14:textId="77777777" w:rsidR="002405A2" w:rsidRPr="00B85B32" w:rsidRDefault="002405A2" w:rsidP="004E6E00">
            <w:pPr>
              <w:rPr>
                <w:rFonts w:eastAsia="Times New Roman"/>
                <w:bCs/>
                <w:sz w:val="6"/>
                <w:szCs w:val="6"/>
              </w:rPr>
            </w:pPr>
          </w:p>
        </w:tc>
        <w:tc>
          <w:tcPr>
            <w:tcW w:w="1693" w:type="dxa"/>
            <w:tcBorders>
              <w:top w:val="nil"/>
              <w:left w:val="nil"/>
              <w:bottom w:val="nil"/>
              <w:right w:val="nil"/>
            </w:tcBorders>
          </w:tcPr>
          <w:p w14:paraId="75A371F5" w14:textId="77777777" w:rsidR="002405A2" w:rsidRPr="00B85B32" w:rsidRDefault="002405A2" w:rsidP="004E6E00">
            <w:pPr>
              <w:rPr>
                <w:rFonts w:eastAsia="Times New Roman"/>
                <w:bCs/>
                <w:sz w:val="6"/>
                <w:szCs w:val="6"/>
              </w:rPr>
            </w:pPr>
          </w:p>
        </w:tc>
        <w:tc>
          <w:tcPr>
            <w:tcW w:w="1694" w:type="dxa"/>
            <w:tcBorders>
              <w:top w:val="nil"/>
              <w:left w:val="nil"/>
              <w:bottom w:val="nil"/>
              <w:right w:val="nil"/>
            </w:tcBorders>
          </w:tcPr>
          <w:p w14:paraId="1A57AE54" w14:textId="77777777" w:rsidR="002405A2" w:rsidRPr="00B85B32" w:rsidRDefault="002405A2" w:rsidP="004E6E00">
            <w:pPr>
              <w:rPr>
                <w:rFonts w:eastAsia="Times New Roman"/>
                <w:bCs/>
                <w:sz w:val="6"/>
                <w:szCs w:val="6"/>
              </w:rPr>
            </w:pPr>
          </w:p>
        </w:tc>
        <w:tc>
          <w:tcPr>
            <w:tcW w:w="236" w:type="dxa"/>
            <w:tcBorders>
              <w:top w:val="nil"/>
              <w:left w:val="nil"/>
              <w:bottom w:val="nil"/>
              <w:right w:val="nil"/>
            </w:tcBorders>
          </w:tcPr>
          <w:p w14:paraId="30C79CC4" w14:textId="77777777" w:rsidR="002405A2" w:rsidRPr="00B85B32" w:rsidRDefault="002405A2" w:rsidP="004E6E00">
            <w:pPr>
              <w:rPr>
                <w:rFonts w:eastAsia="Times New Roman"/>
                <w:bCs/>
                <w:sz w:val="6"/>
                <w:szCs w:val="6"/>
              </w:rPr>
            </w:pPr>
          </w:p>
        </w:tc>
        <w:tc>
          <w:tcPr>
            <w:tcW w:w="1693" w:type="dxa"/>
            <w:tcBorders>
              <w:top w:val="nil"/>
              <w:left w:val="nil"/>
              <w:bottom w:val="nil"/>
              <w:right w:val="nil"/>
            </w:tcBorders>
          </w:tcPr>
          <w:p w14:paraId="74D5D348" w14:textId="77777777" w:rsidR="002405A2" w:rsidRPr="00B85B32" w:rsidRDefault="002405A2" w:rsidP="004E6E00">
            <w:pPr>
              <w:rPr>
                <w:rFonts w:eastAsia="Times New Roman"/>
                <w:bCs/>
                <w:sz w:val="6"/>
                <w:szCs w:val="6"/>
              </w:rPr>
            </w:pPr>
          </w:p>
        </w:tc>
        <w:tc>
          <w:tcPr>
            <w:tcW w:w="1694" w:type="dxa"/>
            <w:tcBorders>
              <w:top w:val="nil"/>
              <w:left w:val="nil"/>
              <w:bottom w:val="nil"/>
              <w:right w:val="nil"/>
            </w:tcBorders>
          </w:tcPr>
          <w:p w14:paraId="4A176751" w14:textId="77777777" w:rsidR="002405A2" w:rsidRPr="00B85B32" w:rsidRDefault="002405A2" w:rsidP="004E6E00">
            <w:pPr>
              <w:rPr>
                <w:rFonts w:eastAsia="Times New Roman"/>
                <w:bCs/>
                <w:sz w:val="6"/>
                <w:szCs w:val="6"/>
              </w:rPr>
            </w:pPr>
          </w:p>
        </w:tc>
      </w:tr>
      <w:tr w:rsidR="002405A2" w14:paraId="4B78FECE" w14:textId="77777777" w:rsidTr="004E6E00">
        <w:trPr>
          <w:gridAfter w:val="2"/>
          <w:wAfter w:w="71" w:type="dxa"/>
        </w:trPr>
        <w:tc>
          <w:tcPr>
            <w:tcW w:w="3296" w:type="dxa"/>
            <w:tcBorders>
              <w:top w:val="nil"/>
              <w:left w:val="nil"/>
              <w:bottom w:val="nil"/>
              <w:right w:val="nil"/>
            </w:tcBorders>
          </w:tcPr>
          <w:p w14:paraId="77B8ECA0" w14:textId="77777777" w:rsidR="002405A2" w:rsidRDefault="002405A2" w:rsidP="004E6E00">
            <w:pPr>
              <w:rPr>
                <w:rFonts w:eastAsia="Times New Roman"/>
                <w:bCs/>
                <w:sz w:val="22"/>
                <w:szCs w:val="22"/>
              </w:rPr>
            </w:pPr>
            <w:r>
              <w:rPr>
                <w:rFonts w:eastAsia="Times New Roman"/>
                <w:bCs/>
                <w:sz w:val="22"/>
                <w:szCs w:val="22"/>
              </w:rPr>
              <w:t>Year = 2016</w:t>
            </w:r>
          </w:p>
        </w:tc>
        <w:tc>
          <w:tcPr>
            <w:tcW w:w="1697" w:type="dxa"/>
            <w:tcBorders>
              <w:top w:val="nil"/>
              <w:left w:val="nil"/>
              <w:bottom w:val="nil"/>
              <w:right w:val="nil"/>
            </w:tcBorders>
          </w:tcPr>
          <w:p w14:paraId="0C5AC11F" w14:textId="77777777" w:rsidR="002405A2" w:rsidRDefault="002405A2" w:rsidP="004E6E00">
            <w:pPr>
              <w:tabs>
                <w:tab w:val="decimal" w:pos="454"/>
              </w:tabs>
              <w:rPr>
                <w:rFonts w:eastAsia="Times New Roman"/>
                <w:bCs/>
                <w:sz w:val="22"/>
                <w:szCs w:val="22"/>
              </w:rPr>
            </w:pPr>
          </w:p>
        </w:tc>
        <w:tc>
          <w:tcPr>
            <w:tcW w:w="1695" w:type="dxa"/>
            <w:tcBorders>
              <w:top w:val="nil"/>
              <w:left w:val="nil"/>
              <w:bottom w:val="nil"/>
              <w:right w:val="nil"/>
            </w:tcBorders>
          </w:tcPr>
          <w:p w14:paraId="10AF73A5"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35F428F4"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72D3F254" w14:textId="77777777" w:rsidR="002405A2" w:rsidRDefault="002405A2" w:rsidP="004E6E00">
            <w:pPr>
              <w:tabs>
                <w:tab w:val="decimal" w:pos="454"/>
              </w:tabs>
              <w:rPr>
                <w:rFonts w:eastAsia="Times New Roman"/>
                <w:bCs/>
                <w:sz w:val="22"/>
                <w:szCs w:val="22"/>
              </w:rPr>
            </w:pPr>
            <w:r>
              <w:rPr>
                <w:rFonts w:eastAsia="Times New Roman"/>
                <w:bCs/>
                <w:sz w:val="22"/>
                <w:szCs w:val="22"/>
              </w:rPr>
              <w:t>0.076</w:t>
            </w:r>
          </w:p>
        </w:tc>
        <w:tc>
          <w:tcPr>
            <w:tcW w:w="1694" w:type="dxa"/>
            <w:tcBorders>
              <w:top w:val="nil"/>
              <w:left w:val="nil"/>
              <w:bottom w:val="nil"/>
              <w:right w:val="nil"/>
            </w:tcBorders>
          </w:tcPr>
          <w:p w14:paraId="48046A9D"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6C7AEAAA"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42896F99" w14:textId="77777777" w:rsidR="002405A2" w:rsidRDefault="002405A2" w:rsidP="004E6E00">
            <w:pPr>
              <w:tabs>
                <w:tab w:val="decimal" w:pos="454"/>
              </w:tabs>
              <w:rPr>
                <w:rFonts w:eastAsia="Times New Roman"/>
                <w:bCs/>
                <w:sz w:val="22"/>
                <w:szCs w:val="22"/>
              </w:rPr>
            </w:pPr>
            <w:r>
              <w:rPr>
                <w:rFonts w:eastAsia="Times New Roman"/>
                <w:bCs/>
                <w:sz w:val="22"/>
                <w:szCs w:val="22"/>
              </w:rPr>
              <w:t>0.012</w:t>
            </w:r>
          </w:p>
        </w:tc>
        <w:tc>
          <w:tcPr>
            <w:tcW w:w="1694" w:type="dxa"/>
            <w:tcBorders>
              <w:top w:val="nil"/>
              <w:left w:val="nil"/>
              <w:bottom w:val="nil"/>
              <w:right w:val="nil"/>
            </w:tcBorders>
          </w:tcPr>
          <w:p w14:paraId="2D8B1387" w14:textId="77777777" w:rsidR="002405A2" w:rsidRDefault="002405A2" w:rsidP="004E6E00">
            <w:pPr>
              <w:rPr>
                <w:rFonts w:eastAsia="Times New Roman"/>
                <w:bCs/>
                <w:sz w:val="22"/>
                <w:szCs w:val="22"/>
              </w:rPr>
            </w:pPr>
          </w:p>
        </w:tc>
      </w:tr>
      <w:tr w:rsidR="002405A2" w14:paraId="3D626F83" w14:textId="77777777" w:rsidTr="004E6E00">
        <w:trPr>
          <w:gridAfter w:val="2"/>
          <w:wAfter w:w="71" w:type="dxa"/>
        </w:trPr>
        <w:tc>
          <w:tcPr>
            <w:tcW w:w="3296" w:type="dxa"/>
            <w:tcBorders>
              <w:top w:val="nil"/>
              <w:left w:val="nil"/>
              <w:bottom w:val="nil"/>
              <w:right w:val="nil"/>
            </w:tcBorders>
          </w:tcPr>
          <w:p w14:paraId="7BD3F9BA" w14:textId="77777777" w:rsidR="002405A2" w:rsidRDefault="002405A2" w:rsidP="004E6E00">
            <w:pPr>
              <w:rPr>
                <w:rFonts w:eastAsia="Times New Roman"/>
                <w:bCs/>
                <w:sz w:val="22"/>
                <w:szCs w:val="22"/>
              </w:rPr>
            </w:pPr>
          </w:p>
        </w:tc>
        <w:tc>
          <w:tcPr>
            <w:tcW w:w="1697" w:type="dxa"/>
            <w:tcBorders>
              <w:top w:val="nil"/>
              <w:left w:val="nil"/>
              <w:bottom w:val="nil"/>
              <w:right w:val="nil"/>
            </w:tcBorders>
          </w:tcPr>
          <w:p w14:paraId="0E204D0F" w14:textId="77777777" w:rsidR="002405A2" w:rsidRDefault="002405A2" w:rsidP="004E6E00">
            <w:pPr>
              <w:tabs>
                <w:tab w:val="decimal" w:pos="454"/>
              </w:tabs>
              <w:rPr>
                <w:rFonts w:eastAsia="Times New Roman"/>
                <w:bCs/>
                <w:sz w:val="22"/>
                <w:szCs w:val="22"/>
              </w:rPr>
            </w:pPr>
          </w:p>
        </w:tc>
        <w:tc>
          <w:tcPr>
            <w:tcW w:w="1695" w:type="dxa"/>
            <w:tcBorders>
              <w:top w:val="nil"/>
              <w:left w:val="nil"/>
              <w:bottom w:val="nil"/>
              <w:right w:val="nil"/>
            </w:tcBorders>
          </w:tcPr>
          <w:p w14:paraId="0838EEED" w14:textId="77777777" w:rsidR="002405A2" w:rsidRDefault="002405A2" w:rsidP="004E6E00">
            <w:pPr>
              <w:tabs>
                <w:tab w:val="decimal" w:pos="454"/>
              </w:tabs>
              <w:rPr>
                <w:rFonts w:eastAsia="Times New Roman"/>
                <w:bCs/>
                <w:sz w:val="22"/>
                <w:szCs w:val="22"/>
              </w:rPr>
            </w:pPr>
          </w:p>
        </w:tc>
        <w:tc>
          <w:tcPr>
            <w:tcW w:w="236" w:type="dxa"/>
            <w:tcBorders>
              <w:top w:val="nil"/>
              <w:left w:val="nil"/>
              <w:bottom w:val="nil"/>
              <w:right w:val="nil"/>
            </w:tcBorders>
          </w:tcPr>
          <w:p w14:paraId="0B32AF9A"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32874E95" w14:textId="77777777" w:rsidR="002405A2" w:rsidRDefault="002405A2" w:rsidP="004E6E00">
            <w:pPr>
              <w:tabs>
                <w:tab w:val="decimal" w:pos="454"/>
              </w:tabs>
              <w:rPr>
                <w:rFonts w:eastAsia="Times New Roman"/>
                <w:bCs/>
                <w:sz w:val="22"/>
                <w:szCs w:val="22"/>
              </w:rPr>
            </w:pPr>
            <w:r>
              <w:rPr>
                <w:rFonts w:eastAsia="Times New Roman"/>
                <w:bCs/>
                <w:sz w:val="22"/>
                <w:szCs w:val="22"/>
              </w:rPr>
              <w:t>(0.111)</w:t>
            </w:r>
          </w:p>
        </w:tc>
        <w:tc>
          <w:tcPr>
            <w:tcW w:w="1694" w:type="dxa"/>
            <w:tcBorders>
              <w:top w:val="nil"/>
              <w:left w:val="nil"/>
              <w:bottom w:val="nil"/>
              <w:right w:val="nil"/>
            </w:tcBorders>
          </w:tcPr>
          <w:p w14:paraId="0BDE8758" w14:textId="77777777" w:rsidR="002405A2" w:rsidRDefault="002405A2" w:rsidP="004E6E00">
            <w:pPr>
              <w:rPr>
                <w:rFonts w:eastAsia="Times New Roman"/>
                <w:bCs/>
                <w:sz w:val="22"/>
                <w:szCs w:val="22"/>
              </w:rPr>
            </w:pPr>
          </w:p>
        </w:tc>
        <w:tc>
          <w:tcPr>
            <w:tcW w:w="236" w:type="dxa"/>
            <w:tcBorders>
              <w:top w:val="nil"/>
              <w:left w:val="nil"/>
              <w:bottom w:val="nil"/>
              <w:right w:val="nil"/>
            </w:tcBorders>
          </w:tcPr>
          <w:p w14:paraId="72FAECF1"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1F60DFAD" w14:textId="77777777" w:rsidR="002405A2" w:rsidRDefault="002405A2" w:rsidP="004E6E00">
            <w:pPr>
              <w:tabs>
                <w:tab w:val="decimal" w:pos="454"/>
              </w:tabs>
              <w:rPr>
                <w:rFonts w:eastAsia="Times New Roman"/>
                <w:bCs/>
                <w:sz w:val="22"/>
                <w:szCs w:val="22"/>
              </w:rPr>
            </w:pPr>
            <w:r>
              <w:rPr>
                <w:rFonts w:eastAsia="Times New Roman"/>
                <w:bCs/>
                <w:sz w:val="22"/>
                <w:szCs w:val="22"/>
              </w:rPr>
              <w:t>(0.113)</w:t>
            </w:r>
          </w:p>
        </w:tc>
        <w:tc>
          <w:tcPr>
            <w:tcW w:w="1694" w:type="dxa"/>
            <w:tcBorders>
              <w:top w:val="nil"/>
              <w:left w:val="nil"/>
              <w:bottom w:val="nil"/>
              <w:right w:val="nil"/>
            </w:tcBorders>
          </w:tcPr>
          <w:p w14:paraId="6271A8B7" w14:textId="77777777" w:rsidR="002405A2" w:rsidRDefault="002405A2" w:rsidP="004E6E00">
            <w:pPr>
              <w:rPr>
                <w:rFonts w:eastAsia="Times New Roman"/>
                <w:bCs/>
                <w:sz w:val="22"/>
                <w:szCs w:val="22"/>
              </w:rPr>
            </w:pPr>
          </w:p>
        </w:tc>
      </w:tr>
      <w:tr w:rsidR="002405A2" w:rsidRPr="006A6529" w14:paraId="0099B325" w14:textId="77777777" w:rsidTr="004E6E00">
        <w:trPr>
          <w:gridAfter w:val="2"/>
          <w:wAfter w:w="71" w:type="dxa"/>
        </w:trPr>
        <w:tc>
          <w:tcPr>
            <w:tcW w:w="3296" w:type="dxa"/>
            <w:tcBorders>
              <w:top w:val="nil"/>
              <w:left w:val="nil"/>
              <w:bottom w:val="nil"/>
              <w:right w:val="nil"/>
            </w:tcBorders>
          </w:tcPr>
          <w:p w14:paraId="045CD82C" w14:textId="77777777" w:rsidR="002405A2" w:rsidRPr="006A6529" w:rsidRDefault="002405A2" w:rsidP="004E6E00">
            <w:pPr>
              <w:rPr>
                <w:rFonts w:eastAsia="Times New Roman"/>
                <w:bCs/>
                <w:sz w:val="6"/>
                <w:szCs w:val="6"/>
              </w:rPr>
            </w:pPr>
          </w:p>
        </w:tc>
        <w:tc>
          <w:tcPr>
            <w:tcW w:w="1697" w:type="dxa"/>
            <w:tcBorders>
              <w:top w:val="nil"/>
              <w:left w:val="nil"/>
              <w:bottom w:val="nil"/>
              <w:right w:val="nil"/>
            </w:tcBorders>
          </w:tcPr>
          <w:p w14:paraId="78DDD2D1" w14:textId="77777777" w:rsidR="002405A2" w:rsidRPr="006A6529" w:rsidRDefault="002405A2" w:rsidP="004E6E00">
            <w:pPr>
              <w:tabs>
                <w:tab w:val="decimal" w:pos="454"/>
              </w:tabs>
              <w:rPr>
                <w:rFonts w:eastAsia="Times New Roman"/>
                <w:bCs/>
                <w:sz w:val="6"/>
                <w:szCs w:val="6"/>
              </w:rPr>
            </w:pPr>
          </w:p>
        </w:tc>
        <w:tc>
          <w:tcPr>
            <w:tcW w:w="1695" w:type="dxa"/>
            <w:tcBorders>
              <w:top w:val="nil"/>
              <w:left w:val="nil"/>
              <w:bottom w:val="nil"/>
              <w:right w:val="nil"/>
            </w:tcBorders>
          </w:tcPr>
          <w:p w14:paraId="70ED9D06" w14:textId="77777777" w:rsidR="002405A2" w:rsidRPr="006A6529" w:rsidRDefault="002405A2" w:rsidP="004E6E00">
            <w:pPr>
              <w:tabs>
                <w:tab w:val="decimal" w:pos="454"/>
              </w:tabs>
              <w:rPr>
                <w:rFonts w:eastAsia="Times New Roman"/>
                <w:bCs/>
                <w:sz w:val="6"/>
                <w:szCs w:val="6"/>
              </w:rPr>
            </w:pPr>
          </w:p>
        </w:tc>
        <w:tc>
          <w:tcPr>
            <w:tcW w:w="236" w:type="dxa"/>
            <w:tcBorders>
              <w:top w:val="nil"/>
              <w:left w:val="nil"/>
              <w:bottom w:val="nil"/>
              <w:right w:val="nil"/>
            </w:tcBorders>
          </w:tcPr>
          <w:p w14:paraId="66ADEE2E" w14:textId="77777777" w:rsidR="002405A2" w:rsidRPr="006A6529" w:rsidRDefault="002405A2" w:rsidP="004E6E00">
            <w:pPr>
              <w:rPr>
                <w:rFonts w:eastAsia="Times New Roman"/>
                <w:bCs/>
                <w:sz w:val="6"/>
                <w:szCs w:val="6"/>
              </w:rPr>
            </w:pPr>
          </w:p>
        </w:tc>
        <w:tc>
          <w:tcPr>
            <w:tcW w:w="1693" w:type="dxa"/>
            <w:tcBorders>
              <w:top w:val="nil"/>
              <w:left w:val="nil"/>
              <w:bottom w:val="nil"/>
              <w:right w:val="nil"/>
            </w:tcBorders>
          </w:tcPr>
          <w:p w14:paraId="3997566B" w14:textId="77777777" w:rsidR="002405A2" w:rsidRPr="006A6529" w:rsidRDefault="002405A2" w:rsidP="004E6E00">
            <w:pPr>
              <w:tabs>
                <w:tab w:val="decimal" w:pos="454"/>
              </w:tabs>
              <w:rPr>
                <w:rFonts w:eastAsia="Times New Roman"/>
                <w:bCs/>
                <w:sz w:val="6"/>
                <w:szCs w:val="6"/>
              </w:rPr>
            </w:pPr>
          </w:p>
        </w:tc>
        <w:tc>
          <w:tcPr>
            <w:tcW w:w="1694" w:type="dxa"/>
            <w:tcBorders>
              <w:top w:val="nil"/>
              <w:left w:val="nil"/>
              <w:bottom w:val="nil"/>
              <w:right w:val="nil"/>
            </w:tcBorders>
          </w:tcPr>
          <w:p w14:paraId="7DDB1C70" w14:textId="77777777" w:rsidR="002405A2" w:rsidRPr="006A6529" w:rsidRDefault="002405A2" w:rsidP="004E6E00">
            <w:pPr>
              <w:rPr>
                <w:rFonts w:eastAsia="Times New Roman"/>
                <w:bCs/>
                <w:sz w:val="6"/>
                <w:szCs w:val="6"/>
              </w:rPr>
            </w:pPr>
          </w:p>
        </w:tc>
        <w:tc>
          <w:tcPr>
            <w:tcW w:w="236" w:type="dxa"/>
            <w:tcBorders>
              <w:top w:val="nil"/>
              <w:left w:val="nil"/>
              <w:bottom w:val="nil"/>
              <w:right w:val="nil"/>
            </w:tcBorders>
          </w:tcPr>
          <w:p w14:paraId="59DEDF29" w14:textId="77777777" w:rsidR="002405A2" w:rsidRPr="006A6529" w:rsidRDefault="002405A2" w:rsidP="004E6E00">
            <w:pPr>
              <w:rPr>
                <w:rFonts w:eastAsia="Times New Roman"/>
                <w:bCs/>
                <w:sz w:val="6"/>
                <w:szCs w:val="6"/>
              </w:rPr>
            </w:pPr>
          </w:p>
        </w:tc>
        <w:tc>
          <w:tcPr>
            <w:tcW w:w="1693" w:type="dxa"/>
            <w:tcBorders>
              <w:top w:val="nil"/>
              <w:left w:val="nil"/>
              <w:bottom w:val="nil"/>
              <w:right w:val="nil"/>
            </w:tcBorders>
          </w:tcPr>
          <w:p w14:paraId="56240614" w14:textId="77777777" w:rsidR="002405A2" w:rsidRPr="006A6529" w:rsidRDefault="002405A2" w:rsidP="004E6E00">
            <w:pPr>
              <w:tabs>
                <w:tab w:val="decimal" w:pos="454"/>
              </w:tabs>
              <w:rPr>
                <w:rFonts w:eastAsia="Times New Roman"/>
                <w:bCs/>
                <w:sz w:val="6"/>
                <w:szCs w:val="6"/>
              </w:rPr>
            </w:pPr>
          </w:p>
        </w:tc>
        <w:tc>
          <w:tcPr>
            <w:tcW w:w="1694" w:type="dxa"/>
            <w:tcBorders>
              <w:top w:val="nil"/>
              <w:left w:val="nil"/>
              <w:bottom w:val="nil"/>
              <w:right w:val="nil"/>
            </w:tcBorders>
          </w:tcPr>
          <w:p w14:paraId="3F0A1378" w14:textId="77777777" w:rsidR="002405A2" w:rsidRPr="006A6529" w:rsidRDefault="002405A2" w:rsidP="004E6E00">
            <w:pPr>
              <w:rPr>
                <w:rFonts w:eastAsia="Times New Roman"/>
                <w:bCs/>
                <w:sz w:val="6"/>
                <w:szCs w:val="6"/>
              </w:rPr>
            </w:pPr>
          </w:p>
        </w:tc>
      </w:tr>
      <w:tr w:rsidR="002405A2" w14:paraId="2DB125C1" w14:textId="77777777" w:rsidTr="004E6E00">
        <w:trPr>
          <w:gridAfter w:val="2"/>
          <w:wAfter w:w="71" w:type="dxa"/>
        </w:trPr>
        <w:tc>
          <w:tcPr>
            <w:tcW w:w="3296" w:type="dxa"/>
            <w:tcBorders>
              <w:top w:val="nil"/>
              <w:left w:val="nil"/>
              <w:bottom w:val="nil"/>
              <w:right w:val="nil"/>
            </w:tcBorders>
          </w:tcPr>
          <w:p w14:paraId="237A5009" w14:textId="77777777" w:rsidR="002405A2" w:rsidRDefault="002405A2" w:rsidP="004E6E00">
            <w:pPr>
              <w:rPr>
                <w:rFonts w:eastAsia="Times New Roman"/>
                <w:bCs/>
                <w:sz w:val="22"/>
                <w:szCs w:val="22"/>
              </w:rPr>
            </w:pPr>
            <w:r>
              <w:rPr>
                <w:rFonts w:eastAsia="Times New Roman"/>
                <w:bCs/>
                <w:sz w:val="22"/>
                <w:szCs w:val="22"/>
              </w:rPr>
              <w:t>Constant</w:t>
            </w:r>
          </w:p>
        </w:tc>
        <w:tc>
          <w:tcPr>
            <w:tcW w:w="1697" w:type="dxa"/>
            <w:tcBorders>
              <w:top w:val="nil"/>
              <w:left w:val="nil"/>
              <w:bottom w:val="nil"/>
              <w:right w:val="nil"/>
            </w:tcBorders>
          </w:tcPr>
          <w:p w14:paraId="265D2896" w14:textId="77777777" w:rsidR="002405A2" w:rsidRDefault="002405A2" w:rsidP="004E6E00">
            <w:pPr>
              <w:tabs>
                <w:tab w:val="decimal" w:pos="454"/>
              </w:tabs>
              <w:rPr>
                <w:rFonts w:eastAsia="Times New Roman"/>
                <w:bCs/>
                <w:sz w:val="22"/>
                <w:szCs w:val="22"/>
              </w:rPr>
            </w:pPr>
            <w:r>
              <w:rPr>
                <w:rFonts w:eastAsia="Times New Roman"/>
                <w:bCs/>
                <w:sz w:val="22"/>
                <w:szCs w:val="22"/>
              </w:rPr>
              <w:t>4.137***</w:t>
            </w:r>
          </w:p>
        </w:tc>
        <w:tc>
          <w:tcPr>
            <w:tcW w:w="1695" w:type="dxa"/>
            <w:tcBorders>
              <w:top w:val="nil"/>
              <w:left w:val="nil"/>
              <w:bottom w:val="nil"/>
              <w:right w:val="nil"/>
            </w:tcBorders>
          </w:tcPr>
          <w:p w14:paraId="5EEAD420" w14:textId="77777777" w:rsidR="002405A2" w:rsidRDefault="002405A2" w:rsidP="004E6E00">
            <w:pPr>
              <w:tabs>
                <w:tab w:val="decimal" w:pos="454"/>
              </w:tabs>
              <w:rPr>
                <w:rFonts w:eastAsia="Times New Roman"/>
                <w:bCs/>
                <w:sz w:val="22"/>
                <w:szCs w:val="22"/>
              </w:rPr>
            </w:pPr>
            <w:r>
              <w:rPr>
                <w:rFonts w:eastAsia="Times New Roman"/>
                <w:bCs/>
                <w:sz w:val="22"/>
                <w:szCs w:val="22"/>
              </w:rPr>
              <w:t>0.015***</w:t>
            </w:r>
          </w:p>
        </w:tc>
        <w:tc>
          <w:tcPr>
            <w:tcW w:w="236" w:type="dxa"/>
            <w:tcBorders>
              <w:top w:val="nil"/>
              <w:left w:val="nil"/>
              <w:bottom w:val="nil"/>
              <w:right w:val="nil"/>
            </w:tcBorders>
          </w:tcPr>
          <w:p w14:paraId="71D8B8B6"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223301A0" w14:textId="77777777" w:rsidR="002405A2" w:rsidRDefault="002405A2" w:rsidP="004E6E00">
            <w:pPr>
              <w:tabs>
                <w:tab w:val="decimal" w:pos="454"/>
              </w:tabs>
              <w:rPr>
                <w:rFonts w:eastAsia="Times New Roman"/>
                <w:bCs/>
                <w:sz w:val="22"/>
                <w:szCs w:val="22"/>
              </w:rPr>
            </w:pPr>
            <w:r>
              <w:rPr>
                <w:rFonts w:eastAsia="Times New Roman"/>
                <w:bCs/>
                <w:sz w:val="22"/>
                <w:szCs w:val="22"/>
              </w:rPr>
              <w:t>2.200***</w:t>
            </w:r>
          </w:p>
        </w:tc>
        <w:tc>
          <w:tcPr>
            <w:tcW w:w="1694" w:type="dxa"/>
            <w:tcBorders>
              <w:top w:val="nil"/>
              <w:left w:val="nil"/>
              <w:bottom w:val="nil"/>
              <w:right w:val="nil"/>
            </w:tcBorders>
          </w:tcPr>
          <w:p w14:paraId="19D212FF" w14:textId="77777777" w:rsidR="002405A2" w:rsidRDefault="002405A2" w:rsidP="004E6E00">
            <w:pPr>
              <w:tabs>
                <w:tab w:val="decimal" w:pos="454"/>
              </w:tabs>
              <w:rPr>
                <w:rFonts w:eastAsia="Times New Roman"/>
                <w:bCs/>
                <w:sz w:val="22"/>
                <w:szCs w:val="22"/>
              </w:rPr>
            </w:pPr>
            <w:r>
              <w:rPr>
                <w:rFonts w:eastAsia="Times New Roman"/>
                <w:bCs/>
                <w:sz w:val="22"/>
                <w:szCs w:val="22"/>
              </w:rPr>
              <w:t>0.012***</w:t>
            </w:r>
          </w:p>
        </w:tc>
        <w:tc>
          <w:tcPr>
            <w:tcW w:w="236" w:type="dxa"/>
            <w:tcBorders>
              <w:top w:val="nil"/>
              <w:left w:val="nil"/>
              <w:bottom w:val="nil"/>
              <w:right w:val="nil"/>
            </w:tcBorders>
          </w:tcPr>
          <w:p w14:paraId="2B2F7922"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5746E58B" w14:textId="77777777" w:rsidR="002405A2" w:rsidRDefault="002405A2" w:rsidP="004E6E00">
            <w:pPr>
              <w:tabs>
                <w:tab w:val="decimal" w:pos="454"/>
              </w:tabs>
              <w:rPr>
                <w:rFonts w:eastAsia="Times New Roman"/>
                <w:bCs/>
                <w:sz w:val="22"/>
                <w:szCs w:val="22"/>
              </w:rPr>
            </w:pPr>
            <w:r>
              <w:rPr>
                <w:rFonts w:eastAsia="Times New Roman"/>
                <w:bCs/>
                <w:sz w:val="22"/>
                <w:szCs w:val="22"/>
              </w:rPr>
              <w:t>0.831***</w:t>
            </w:r>
          </w:p>
        </w:tc>
        <w:tc>
          <w:tcPr>
            <w:tcW w:w="1694" w:type="dxa"/>
            <w:tcBorders>
              <w:top w:val="nil"/>
              <w:left w:val="nil"/>
              <w:bottom w:val="nil"/>
              <w:right w:val="nil"/>
            </w:tcBorders>
          </w:tcPr>
          <w:p w14:paraId="55E0D751" w14:textId="77777777" w:rsidR="002405A2" w:rsidRDefault="002405A2" w:rsidP="004E6E00">
            <w:pPr>
              <w:tabs>
                <w:tab w:val="decimal" w:pos="454"/>
              </w:tabs>
              <w:rPr>
                <w:rFonts w:eastAsia="Times New Roman"/>
                <w:bCs/>
                <w:sz w:val="22"/>
                <w:szCs w:val="22"/>
              </w:rPr>
            </w:pPr>
            <w:r>
              <w:rPr>
                <w:rFonts w:eastAsia="Times New Roman"/>
                <w:bCs/>
                <w:sz w:val="22"/>
                <w:szCs w:val="22"/>
              </w:rPr>
              <w:t>0.009***</w:t>
            </w:r>
          </w:p>
        </w:tc>
      </w:tr>
      <w:tr w:rsidR="002405A2" w14:paraId="126CB037" w14:textId="77777777" w:rsidTr="004E6E00">
        <w:trPr>
          <w:gridAfter w:val="2"/>
          <w:wAfter w:w="71" w:type="dxa"/>
        </w:trPr>
        <w:tc>
          <w:tcPr>
            <w:tcW w:w="3296" w:type="dxa"/>
            <w:tcBorders>
              <w:top w:val="nil"/>
              <w:left w:val="nil"/>
              <w:bottom w:val="nil"/>
              <w:right w:val="nil"/>
            </w:tcBorders>
          </w:tcPr>
          <w:p w14:paraId="0002231A" w14:textId="77777777" w:rsidR="002405A2" w:rsidRDefault="002405A2" w:rsidP="004E6E00">
            <w:pPr>
              <w:rPr>
                <w:rFonts w:eastAsia="Times New Roman"/>
                <w:bCs/>
                <w:sz w:val="22"/>
                <w:szCs w:val="22"/>
              </w:rPr>
            </w:pPr>
          </w:p>
        </w:tc>
        <w:tc>
          <w:tcPr>
            <w:tcW w:w="1697" w:type="dxa"/>
            <w:tcBorders>
              <w:top w:val="nil"/>
              <w:left w:val="nil"/>
              <w:bottom w:val="nil"/>
              <w:right w:val="nil"/>
            </w:tcBorders>
          </w:tcPr>
          <w:p w14:paraId="6D094295" w14:textId="77777777" w:rsidR="002405A2" w:rsidRDefault="002405A2" w:rsidP="004E6E00">
            <w:pPr>
              <w:tabs>
                <w:tab w:val="decimal" w:pos="454"/>
              </w:tabs>
              <w:rPr>
                <w:rFonts w:eastAsia="Times New Roman"/>
                <w:bCs/>
                <w:sz w:val="22"/>
                <w:szCs w:val="22"/>
              </w:rPr>
            </w:pPr>
            <w:r>
              <w:rPr>
                <w:rFonts w:eastAsia="Times New Roman"/>
                <w:bCs/>
                <w:sz w:val="22"/>
                <w:szCs w:val="22"/>
              </w:rPr>
              <w:t>(1.427)</w:t>
            </w:r>
          </w:p>
        </w:tc>
        <w:tc>
          <w:tcPr>
            <w:tcW w:w="1695" w:type="dxa"/>
            <w:tcBorders>
              <w:top w:val="nil"/>
              <w:left w:val="nil"/>
              <w:bottom w:val="nil"/>
              <w:right w:val="nil"/>
            </w:tcBorders>
          </w:tcPr>
          <w:p w14:paraId="174C396E" w14:textId="77777777" w:rsidR="002405A2" w:rsidRDefault="002405A2" w:rsidP="004E6E00">
            <w:pPr>
              <w:tabs>
                <w:tab w:val="decimal" w:pos="454"/>
              </w:tabs>
              <w:rPr>
                <w:rFonts w:eastAsia="Times New Roman"/>
                <w:bCs/>
                <w:sz w:val="22"/>
                <w:szCs w:val="22"/>
              </w:rPr>
            </w:pPr>
            <w:r>
              <w:rPr>
                <w:rFonts w:eastAsia="Times New Roman"/>
                <w:bCs/>
                <w:sz w:val="22"/>
                <w:szCs w:val="22"/>
              </w:rPr>
              <w:t>(0.004)</w:t>
            </w:r>
          </w:p>
        </w:tc>
        <w:tc>
          <w:tcPr>
            <w:tcW w:w="236" w:type="dxa"/>
            <w:tcBorders>
              <w:top w:val="nil"/>
              <w:left w:val="nil"/>
              <w:bottom w:val="nil"/>
              <w:right w:val="nil"/>
            </w:tcBorders>
          </w:tcPr>
          <w:p w14:paraId="6243F691"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64570F10" w14:textId="77777777" w:rsidR="002405A2" w:rsidRDefault="002405A2" w:rsidP="004E6E00">
            <w:pPr>
              <w:tabs>
                <w:tab w:val="decimal" w:pos="454"/>
              </w:tabs>
              <w:rPr>
                <w:rFonts w:eastAsia="Times New Roman"/>
                <w:bCs/>
                <w:sz w:val="22"/>
                <w:szCs w:val="22"/>
              </w:rPr>
            </w:pPr>
            <w:r>
              <w:rPr>
                <w:rFonts w:eastAsia="Times New Roman"/>
                <w:bCs/>
                <w:sz w:val="22"/>
                <w:szCs w:val="22"/>
              </w:rPr>
              <w:t>(0.807)</w:t>
            </w:r>
          </w:p>
        </w:tc>
        <w:tc>
          <w:tcPr>
            <w:tcW w:w="1694" w:type="dxa"/>
            <w:tcBorders>
              <w:top w:val="nil"/>
              <w:left w:val="nil"/>
              <w:bottom w:val="nil"/>
              <w:right w:val="nil"/>
            </w:tcBorders>
          </w:tcPr>
          <w:p w14:paraId="7AE9B259" w14:textId="77777777" w:rsidR="002405A2" w:rsidRDefault="002405A2" w:rsidP="004E6E00">
            <w:pPr>
              <w:tabs>
                <w:tab w:val="decimal" w:pos="454"/>
              </w:tabs>
              <w:rPr>
                <w:rFonts w:eastAsia="Times New Roman"/>
                <w:bCs/>
                <w:sz w:val="22"/>
                <w:szCs w:val="22"/>
              </w:rPr>
            </w:pPr>
            <w:r>
              <w:rPr>
                <w:rFonts w:eastAsia="Times New Roman"/>
                <w:bCs/>
                <w:sz w:val="22"/>
                <w:szCs w:val="22"/>
              </w:rPr>
              <w:t>(0.004)</w:t>
            </w:r>
          </w:p>
        </w:tc>
        <w:tc>
          <w:tcPr>
            <w:tcW w:w="236" w:type="dxa"/>
            <w:tcBorders>
              <w:top w:val="nil"/>
              <w:left w:val="nil"/>
              <w:bottom w:val="nil"/>
              <w:right w:val="nil"/>
            </w:tcBorders>
          </w:tcPr>
          <w:p w14:paraId="726C02DB"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34B67595" w14:textId="77777777" w:rsidR="002405A2" w:rsidRDefault="002405A2" w:rsidP="004E6E00">
            <w:pPr>
              <w:tabs>
                <w:tab w:val="decimal" w:pos="454"/>
              </w:tabs>
              <w:rPr>
                <w:rFonts w:eastAsia="Times New Roman"/>
                <w:bCs/>
                <w:sz w:val="22"/>
                <w:szCs w:val="22"/>
              </w:rPr>
            </w:pPr>
            <w:r>
              <w:rPr>
                <w:rFonts w:eastAsia="Times New Roman"/>
                <w:bCs/>
                <w:sz w:val="22"/>
                <w:szCs w:val="22"/>
              </w:rPr>
              <w:t>(0.052)</w:t>
            </w:r>
          </w:p>
        </w:tc>
        <w:tc>
          <w:tcPr>
            <w:tcW w:w="1694" w:type="dxa"/>
            <w:tcBorders>
              <w:top w:val="nil"/>
              <w:left w:val="nil"/>
              <w:bottom w:val="nil"/>
              <w:right w:val="nil"/>
            </w:tcBorders>
          </w:tcPr>
          <w:p w14:paraId="56C9AFDE" w14:textId="77777777" w:rsidR="002405A2" w:rsidRDefault="002405A2" w:rsidP="004E6E00">
            <w:pPr>
              <w:tabs>
                <w:tab w:val="decimal" w:pos="454"/>
              </w:tabs>
              <w:rPr>
                <w:rFonts w:eastAsia="Times New Roman"/>
                <w:bCs/>
                <w:sz w:val="22"/>
                <w:szCs w:val="22"/>
              </w:rPr>
            </w:pPr>
            <w:r>
              <w:rPr>
                <w:rFonts w:eastAsia="Times New Roman"/>
                <w:bCs/>
                <w:sz w:val="22"/>
                <w:szCs w:val="22"/>
              </w:rPr>
              <w:t>(0.003)</w:t>
            </w:r>
          </w:p>
        </w:tc>
      </w:tr>
      <w:tr w:rsidR="002405A2" w14:paraId="28C73F0B" w14:textId="77777777" w:rsidTr="004E6E00">
        <w:trPr>
          <w:gridAfter w:val="2"/>
          <w:wAfter w:w="71" w:type="dxa"/>
        </w:trPr>
        <w:tc>
          <w:tcPr>
            <w:tcW w:w="3296" w:type="dxa"/>
            <w:tcBorders>
              <w:top w:val="nil"/>
              <w:left w:val="nil"/>
              <w:bottom w:val="nil"/>
              <w:right w:val="nil"/>
            </w:tcBorders>
          </w:tcPr>
          <w:p w14:paraId="6EB0FC47" w14:textId="77777777" w:rsidR="002405A2" w:rsidRPr="00B85B32" w:rsidRDefault="002405A2" w:rsidP="004E6E00">
            <w:pPr>
              <w:rPr>
                <w:rFonts w:eastAsia="Times New Roman"/>
                <w:bCs/>
                <w:sz w:val="6"/>
                <w:szCs w:val="6"/>
              </w:rPr>
            </w:pPr>
          </w:p>
        </w:tc>
        <w:tc>
          <w:tcPr>
            <w:tcW w:w="1697" w:type="dxa"/>
            <w:tcBorders>
              <w:top w:val="nil"/>
              <w:left w:val="nil"/>
              <w:bottom w:val="nil"/>
              <w:right w:val="nil"/>
            </w:tcBorders>
          </w:tcPr>
          <w:p w14:paraId="16CB28E1" w14:textId="77777777" w:rsidR="002405A2" w:rsidRPr="00B85B32" w:rsidRDefault="002405A2" w:rsidP="004E6E00">
            <w:pPr>
              <w:tabs>
                <w:tab w:val="decimal" w:pos="454"/>
              </w:tabs>
              <w:rPr>
                <w:rFonts w:eastAsia="Times New Roman"/>
                <w:bCs/>
                <w:sz w:val="6"/>
                <w:szCs w:val="6"/>
              </w:rPr>
            </w:pPr>
          </w:p>
        </w:tc>
        <w:tc>
          <w:tcPr>
            <w:tcW w:w="1695" w:type="dxa"/>
            <w:tcBorders>
              <w:top w:val="nil"/>
              <w:left w:val="nil"/>
              <w:bottom w:val="nil"/>
              <w:right w:val="nil"/>
            </w:tcBorders>
          </w:tcPr>
          <w:p w14:paraId="0AEC0799" w14:textId="77777777" w:rsidR="002405A2" w:rsidRPr="00B85B32" w:rsidRDefault="002405A2" w:rsidP="004E6E00">
            <w:pPr>
              <w:tabs>
                <w:tab w:val="decimal" w:pos="454"/>
              </w:tabs>
              <w:rPr>
                <w:rFonts w:eastAsia="Times New Roman"/>
                <w:bCs/>
                <w:sz w:val="6"/>
                <w:szCs w:val="6"/>
              </w:rPr>
            </w:pPr>
          </w:p>
        </w:tc>
        <w:tc>
          <w:tcPr>
            <w:tcW w:w="236" w:type="dxa"/>
            <w:tcBorders>
              <w:top w:val="nil"/>
              <w:left w:val="nil"/>
              <w:bottom w:val="nil"/>
              <w:right w:val="nil"/>
            </w:tcBorders>
          </w:tcPr>
          <w:p w14:paraId="1BEC337A" w14:textId="77777777" w:rsidR="002405A2" w:rsidRPr="00B85B32" w:rsidRDefault="002405A2" w:rsidP="004E6E00">
            <w:pPr>
              <w:rPr>
                <w:rFonts w:eastAsia="Times New Roman"/>
                <w:bCs/>
                <w:sz w:val="6"/>
                <w:szCs w:val="6"/>
              </w:rPr>
            </w:pPr>
          </w:p>
        </w:tc>
        <w:tc>
          <w:tcPr>
            <w:tcW w:w="1693" w:type="dxa"/>
            <w:tcBorders>
              <w:top w:val="nil"/>
              <w:left w:val="nil"/>
              <w:bottom w:val="nil"/>
              <w:right w:val="nil"/>
            </w:tcBorders>
          </w:tcPr>
          <w:p w14:paraId="4F7FA051" w14:textId="77777777" w:rsidR="002405A2" w:rsidRPr="00B85B32" w:rsidRDefault="002405A2" w:rsidP="004E6E00">
            <w:pPr>
              <w:rPr>
                <w:rFonts w:eastAsia="Times New Roman"/>
                <w:bCs/>
                <w:sz w:val="6"/>
                <w:szCs w:val="6"/>
              </w:rPr>
            </w:pPr>
          </w:p>
        </w:tc>
        <w:tc>
          <w:tcPr>
            <w:tcW w:w="1694" w:type="dxa"/>
            <w:tcBorders>
              <w:top w:val="nil"/>
              <w:left w:val="nil"/>
              <w:bottom w:val="nil"/>
              <w:right w:val="nil"/>
            </w:tcBorders>
          </w:tcPr>
          <w:p w14:paraId="6E362AD3" w14:textId="77777777" w:rsidR="002405A2" w:rsidRPr="00B85B32" w:rsidRDefault="002405A2" w:rsidP="004E6E00">
            <w:pPr>
              <w:rPr>
                <w:rFonts w:eastAsia="Times New Roman"/>
                <w:bCs/>
                <w:sz w:val="6"/>
                <w:szCs w:val="6"/>
              </w:rPr>
            </w:pPr>
          </w:p>
        </w:tc>
        <w:tc>
          <w:tcPr>
            <w:tcW w:w="236" w:type="dxa"/>
            <w:tcBorders>
              <w:top w:val="nil"/>
              <w:left w:val="nil"/>
              <w:bottom w:val="nil"/>
              <w:right w:val="nil"/>
            </w:tcBorders>
          </w:tcPr>
          <w:p w14:paraId="2F15D3F8" w14:textId="77777777" w:rsidR="002405A2" w:rsidRPr="00B85B32" w:rsidRDefault="002405A2" w:rsidP="004E6E00">
            <w:pPr>
              <w:rPr>
                <w:rFonts w:eastAsia="Times New Roman"/>
                <w:bCs/>
                <w:sz w:val="6"/>
                <w:szCs w:val="6"/>
              </w:rPr>
            </w:pPr>
          </w:p>
        </w:tc>
        <w:tc>
          <w:tcPr>
            <w:tcW w:w="1693" w:type="dxa"/>
            <w:tcBorders>
              <w:top w:val="nil"/>
              <w:left w:val="nil"/>
              <w:bottom w:val="nil"/>
              <w:right w:val="nil"/>
            </w:tcBorders>
          </w:tcPr>
          <w:p w14:paraId="7371998C" w14:textId="77777777" w:rsidR="002405A2" w:rsidRPr="00B85B32" w:rsidRDefault="002405A2" w:rsidP="004E6E00">
            <w:pPr>
              <w:rPr>
                <w:rFonts w:eastAsia="Times New Roman"/>
                <w:bCs/>
                <w:sz w:val="6"/>
                <w:szCs w:val="6"/>
              </w:rPr>
            </w:pPr>
          </w:p>
        </w:tc>
        <w:tc>
          <w:tcPr>
            <w:tcW w:w="1694" w:type="dxa"/>
            <w:tcBorders>
              <w:top w:val="nil"/>
              <w:left w:val="nil"/>
              <w:bottom w:val="nil"/>
              <w:right w:val="nil"/>
            </w:tcBorders>
          </w:tcPr>
          <w:p w14:paraId="681C827F" w14:textId="77777777" w:rsidR="002405A2" w:rsidRPr="00B85B32" w:rsidRDefault="002405A2" w:rsidP="004E6E00">
            <w:pPr>
              <w:rPr>
                <w:rFonts w:eastAsia="Times New Roman"/>
                <w:bCs/>
                <w:sz w:val="6"/>
                <w:szCs w:val="6"/>
              </w:rPr>
            </w:pPr>
          </w:p>
        </w:tc>
      </w:tr>
      <w:tr w:rsidR="002405A2" w14:paraId="5D3A762C" w14:textId="77777777" w:rsidTr="004E6E00">
        <w:trPr>
          <w:gridAfter w:val="2"/>
          <w:wAfter w:w="71" w:type="dxa"/>
        </w:trPr>
        <w:tc>
          <w:tcPr>
            <w:tcW w:w="3296" w:type="dxa"/>
            <w:tcBorders>
              <w:top w:val="nil"/>
              <w:left w:val="nil"/>
              <w:bottom w:val="nil"/>
              <w:right w:val="nil"/>
            </w:tcBorders>
          </w:tcPr>
          <w:p w14:paraId="7ECA5AF7" w14:textId="77777777" w:rsidR="002405A2" w:rsidRDefault="002405A2" w:rsidP="004E6E00">
            <w:pPr>
              <w:rPr>
                <w:rFonts w:eastAsia="Times New Roman"/>
                <w:bCs/>
                <w:sz w:val="22"/>
                <w:szCs w:val="22"/>
              </w:rPr>
            </w:pPr>
            <w:r>
              <w:rPr>
                <w:rFonts w:eastAsia="Times New Roman"/>
                <w:bCs/>
                <w:sz w:val="22"/>
                <w:szCs w:val="22"/>
              </w:rPr>
              <w:t>Number of observations</w:t>
            </w:r>
          </w:p>
        </w:tc>
        <w:tc>
          <w:tcPr>
            <w:tcW w:w="1697" w:type="dxa"/>
            <w:tcBorders>
              <w:top w:val="nil"/>
              <w:left w:val="nil"/>
              <w:bottom w:val="nil"/>
              <w:right w:val="nil"/>
            </w:tcBorders>
          </w:tcPr>
          <w:p w14:paraId="3410AAFF" w14:textId="77777777" w:rsidR="002405A2" w:rsidRDefault="002405A2" w:rsidP="004E6E00">
            <w:pPr>
              <w:tabs>
                <w:tab w:val="decimal" w:pos="454"/>
              </w:tabs>
              <w:ind w:right="170"/>
              <w:jc w:val="center"/>
              <w:rPr>
                <w:rFonts w:eastAsia="Times New Roman"/>
                <w:bCs/>
                <w:sz w:val="22"/>
                <w:szCs w:val="22"/>
              </w:rPr>
            </w:pPr>
            <w:r>
              <w:rPr>
                <w:rFonts w:eastAsia="Times New Roman"/>
                <w:bCs/>
                <w:sz w:val="22"/>
                <w:szCs w:val="22"/>
              </w:rPr>
              <w:t>204</w:t>
            </w:r>
          </w:p>
        </w:tc>
        <w:tc>
          <w:tcPr>
            <w:tcW w:w="1695" w:type="dxa"/>
            <w:tcBorders>
              <w:top w:val="nil"/>
              <w:left w:val="nil"/>
              <w:bottom w:val="nil"/>
              <w:right w:val="nil"/>
            </w:tcBorders>
          </w:tcPr>
          <w:p w14:paraId="7E7CB673" w14:textId="77777777" w:rsidR="002405A2" w:rsidRDefault="002405A2" w:rsidP="004E6E00">
            <w:pPr>
              <w:tabs>
                <w:tab w:val="decimal" w:pos="454"/>
              </w:tabs>
              <w:ind w:right="170"/>
              <w:jc w:val="center"/>
              <w:rPr>
                <w:rFonts w:eastAsia="Times New Roman"/>
                <w:bCs/>
                <w:sz w:val="22"/>
                <w:szCs w:val="22"/>
              </w:rPr>
            </w:pPr>
            <w:r>
              <w:rPr>
                <w:rFonts w:eastAsia="Times New Roman"/>
                <w:bCs/>
                <w:sz w:val="22"/>
                <w:szCs w:val="22"/>
              </w:rPr>
              <w:t>153</w:t>
            </w:r>
          </w:p>
        </w:tc>
        <w:tc>
          <w:tcPr>
            <w:tcW w:w="236" w:type="dxa"/>
            <w:tcBorders>
              <w:top w:val="nil"/>
              <w:left w:val="nil"/>
              <w:bottom w:val="nil"/>
              <w:right w:val="nil"/>
            </w:tcBorders>
          </w:tcPr>
          <w:p w14:paraId="1170545D" w14:textId="77777777" w:rsidR="002405A2" w:rsidRDefault="002405A2" w:rsidP="004E6E00">
            <w:pPr>
              <w:ind w:right="170"/>
              <w:jc w:val="center"/>
              <w:rPr>
                <w:rFonts w:eastAsia="Times New Roman"/>
                <w:bCs/>
                <w:sz w:val="22"/>
                <w:szCs w:val="22"/>
              </w:rPr>
            </w:pPr>
          </w:p>
        </w:tc>
        <w:tc>
          <w:tcPr>
            <w:tcW w:w="1693" w:type="dxa"/>
            <w:tcBorders>
              <w:top w:val="nil"/>
              <w:left w:val="nil"/>
              <w:bottom w:val="nil"/>
              <w:right w:val="nil"/>
            </w:tcBorders>
          </w:tcPr>
          <w:p w14:paraId="1D612D8F" w14:textId="77777777" w:rsidR="002405A2" w:rsidRDefault="002405A2" w:rsidP="004E6E00">
            <w:pPr>
              <w:ind w:right="170"/>
              <w:jc w:val="center"/>
              <w:rPr>
                <w:rFonts w:eastAsia="Times New Roman"/>
                <w:bCs/>
                <w:sz w:val="22"/>
                <w:szCs w:val="22"/>
              </w:rPr>
            </w:pPr>
            <w:r>
              <w:rPr>
                <w:rFonts w:eastAsia="Times New Roman"/>
                <w:bCs/>
                <w:sz w:val="22"/>
                <w:szCs w:val="22"/>
              </w:rPr>
              <w:t>102</w:t>
            </w:r>
          </w:p>
        </w:tc>
        <w:tc>
          <w:tcPr>
            <w:tcW w:w="1694" w:type="dxa"/>
            <w:tcBorders>
              <w:top w:val="nil"/>
              <w:left w:val="nil"/>
              <w:bottom w:val="nil"/>
              <w:right w:val="nil"/>
            </w:tcBorders>
          </w:tcPr>
          <w:p w14:paraId="341D7C26" w14:textId="77777777" w:rsidR="002405A2" w:rsidRDefault="002405A2" w:rsidP="004E6E00">
            <w:pPr>
              <w:ind w:right="170"/>
              <w:jc w:val="center"/>
              <w:rPr>
                <w:rFonts w:eastAsia="Times New Roman"/>
                <w:bCs/>
                <w:sz w:val="22"/>
                <w:szCs w:val="22"/>
              </w:rPr>
            </w:pPr>
            <w:r>
              <w:rPr>
                <w:rFonts w:eastAsia="Times New Roman"/>
                <w:bCs/>
                <w:sz w:val="22"/>
                <w:szCs w:val="22"/>
              </w:rPr>
              <w:t>51</w:t>
            </w:r>
          </w:p>
        </w:tc>
        <w:tc>
          <w:tcPr>
            <w:tcW w:w="236" w:type="dxa"/>
            <w:tcBorders>
              <w:top w:val="nil"/>
              <w:left w:val="nil"/>
              <w:bottom w:val="nil"/>
              <w:right w:val="nil"/>
            </w:tcBorders>
          </w:tcPr>
          <w:p w14:paraId="6A30964B" w14:textId="77777777" w:rsidR="002405A2" w:rsidRDefault="002405A2" w:rsidP="004E6E00">
            <w:pPr>
              <w:ind w:right="170"/>
              <w:jc w:val="center"/>
              <w:rPr>
                <w:rFonts w:eastAsia="Times New Roman"/>
                <w:bCs/>
                <w:sz w:val="22"/>
                <w:szCs w:val="22"/>
              </w:rPr>
            </w:pPr>
          </w:p>
        </w:tc>
        <w:tc>
          <w:tcPr>
            <w:tcW w:w="1693" w:type="dxa"/>
            <w:tcBorders>
              <w:top w:val="nil"/>
              <w:left w:val="nil"/>
              <w:bottom w:val="nil"/>
              <w:right w:val="nil"/>
            </w:tcBorders>
          </w:tcPr>
          <w:p w14:paraId="6502A8F0" w14:textId="77777777" w:rsidR="002405A2" w:rsidRDefault="002405A2" w:rsidP="004E6E00">
            <w:pPr>
              <w:ind w:right="170"/>
              <w:jc w:val="center"/>
              <w:rPr>
                <w:rFonts w:eastAsia="Times New Roman"/>
                <w:bCs/>
                <w:sz w:val="22"/>
                <w:szCs w:val="22"/>
              </w:rPr>
            </w:pPr>
            <w:r>
              <w:rPr>
                <w:rFonts w:eastAsia="Times New Roman"/>
                <w:bCs/>
                <w:sz w:val="22"/>
                <w:szCs w:val="22"/>
              </w:rPr>
              <w:t>102</w:t>
            </w:r>
          </w:p>
        </w:tc>
        <w:tc>
          <w:tcPr>
            <w:tcW w:w="1694" w:type="dxa"/>
            <w:tcBorders>
              <w:top w:val="nil"/>
              <w:left w:val="nil"/>
              <w:bottom w:val="nil"/>
              <w:right w:val="nil"/>
            </w:tcBorders>
          </w:tcPr>
          <w:p w14:paraId="3217FC65" w14:textId="77777777" w:rsidR="002405A2" w:rsidRDefault="002405A2" w:rsidP="004E6E00">
            <w:pPr>
              <w:ind w:right="170"/>
              <w:jc w:val="center"/>
              <w:rPr>
                <w:rFonts w:eastAsia="Times New Roman"/>
                <w:bCs/>
                <w:sz w:val="22"/>
                <w:szCs w:val="22"/>
              </w:rPr>
            </w:pPr>
            <w:r>
              <w:rPr>
                <w:rFonts w:eastAsia="Times New Roman"/>
                <w:bCs/>
                <w:sz w:val="22"/>
                <w:szCs w:val="22"/>
              </w:rPr>
              <w:t>51</w:t>
            </w:r>
          </w:p>
        </w:tc>
      </w:tr>
      <w:tr w:rsidR="002405A2" w14:paraId="6DDA341C" w14:textId="77777777" w:rsidTr="004E6E00">
        <w:trPr>
          <w:gridAfter w:val="2"/>
          <w:wAfter w:w="71" w:type="dxa"/>
        </w:trPr>
        <w:tc>
          <w:tcPr>
            <w:tcW w:w="3296" w:type="dxa"/>
            <w:tcBorders>
              <w:top w:val="nil"/>
              <w:left w:val="nil"/>
              <w:bottom w:val="nil"/>
              <w:right w:val="nil"/>
            </w:tcBorders>
          </w:tcPr>
          <w:p w14:paraId="26D45AC4" w14:textId="77777777" w:rsidR="002405A2" w:rsidRPr="00171B42" w:rsidRDefault="002405A2" w:rsidP="004E6E00">
            <w:pPr>
              <w:rPr>
                <w:rFonts w:eastAsia="Times New Roman"/>
                <w:bCs/>
                <w:sz w:val="22"/>
                <w:szCs w:val="22"/>
              </w:rPr>
            </w:pPr>
            <w:r>
              <w:rPr>
                <w:rFonts w:eastAsia="Times New Roman"/>
                <w:bCs/>
                <w:sz w:val="22"/>
                <w:szCs w:val="22"/>
              </w:rPr>
              <w:t xml:space="preserve">Adjusted </w:t>
            </w:r>
            <w:r>
              <w:rPr>
                <w:rFonts w:eastAsia="Times New Roman"/>
                <w:bCs/>
                <w:i/>
                <w:iCs/>
                <w:sz w:val="22"/>
                <w:szCs w:val="22"/>
              </w:rPr>
              <w:t>R</w:t>
            </w:r>
            <w:r>
              <w:rPr>
                <w:rFonts w:eastAsia="Times New Roman"/>
                <w:bCs/>
                <w:sz w:val="22"/>
                <w:szCs w:val="22"/>
              </w:rPr>
              <w:t>-squared</w:t>
            </w:r>
          </w:p>
        </w:tc>
        <w:tc>
          <w:tcPr>
            <w:tcW w:w="1697" w:type="dxa"/>
            <w:tcBorders>
              <w:top w:val="nil"/>
              <w:left w:val="nil"/>
              <w:bottom w:val="nil"/>
              <w:right w:val="nil"/>
            </w:tcBorders>
          </w:tcPr>
          <w:p w14:paraId="3BAAD071" w14:textId="77777777" w:rsidR="002405A2" w:rsidRDefault="002405A2" w:rsidP="004E6E00">
            <w:pPr>
              <w:tabs>
                <w:tab w:val="decimal" w:pos="454"/>
              </w:tabs>
              <w:rPr>
                <w:rFonts w:eastAsia="Times New Roman"/>
                <w:bCs/>
                <w:sz w:val="22"/>
                <w:szCs w:val="22"/>
              </w:rPr>
            </w:pPr>
            <w:r>
              <w:rPr>
                <w:rFonts w:eastAsia="Times New Roman"/>
                <w:bCs/>
                <w:sz w:val="22"/>
                <w:szCs w:val="22"/>
              </w:rPr>
              <w:t>0.443</w:t>
            </w:r>
          </w:p>
        </w:tc>
        <w:tc>
          <w:tcPr>
            <w:tcW w:w="1695" w:type="dxa"/>
            <w:tcBorders>
              <w:top w:val="nil"/>
              <w:left w:val="nil"/>
              <w:bottom w:val="nil"/>
              <w:right w:val="nil"/>
            </w:tcBorders>
          </w:tcPr>
          <w:p w14:paraId="230B6495" w14:textId="77777777" w:rsidR="002405A2" w:rsidRDefault="002405A2" w:rsidP="004E6E00">
            <w:pPr>
              <w:tabs>
                <w:tab w:val="decimal" w:pos="454"/>
              </w:tabs>
              <w:rPr>
                <w:rFonts w:eastAsia="Times New Roman"/>
                <w:bCs/>
                <w:sz w:val="22"/>
                <w:szCs w:val="22"/>
              </w:rPr>
            </w:pPr>
            <w:r>
              <w:rPr>
                <w:rFonts w:eastAsia="Times New Roman"/>
                <w:bCs/>
                <w:sz w:val="22"/>
                <w:szCs w:val="22"/>
              </w:rPr>
              <w:t>0.003</w:t>
            </w:r>
          </w:p>
        </w:tc>
        <w:tc>
          <w:tcPr>
            <w:tcW w:w="236" w:type="dxa"/>
            <w:tcBorders>
              <w:top w:val="nil"/>
              <w:left w:val="nil"/>
              <w:bottom w:val="nil"/>
              <w:right w:val="nil"/>
            </w:tcBorders>
          </w:tcPr>
          <w:p w14:paraId="071E6054"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336232D6" w14:textId="77777777" w:rsidR="002405A2" w:rsidRDefault="002405A2" w:rsidP="004E6E00">
            <w:pPr>
              <w:tabs>
                <w:tab w:val="decimal" w:pos="454"/>
              </w:tabs>
              <w:rPr>
                <w:rFonts w:eastAsia="Times New Roman"/>
                <w:bCs/>
                <w:sz w:val="22"/>
                <w:szCs w:val="22"/>
              </w:rPr>
            </w:pPr>
            <w:r>
              <w:rPr>
                <w:rFonts w:eastAsia="Times New Roman"/>
                <w:bCs/>
                <w:sz w:val="22"/>
                <w:szCs w:val="22"/>
              </w:rPr>
              <w:t>0.705</w:t>
            </w:r>
          </w:p>
        </w:tc>
        <w:tc>
          <w:tcPr>
            <w:tcW w:w="1694" w:type="dxa"/>
            <w:tcBorders>
              <w:top w:val="nil"/>
              <w:left w:val="nil"/>
              <w:bottom w:val="nil"/>
              <w:right w:val="nil"/>
            </w:tcBorders>
          </w:tcPr>
          <w:p w14:paraId="5944F7AF" w14:textId="77777777" w:rsidR="002405A2" w:rsidRDefault="002405A2" w:rsidP="004E6E00">
            <w:pPr>
              <w:tabs>
                <w:tab w:val="decimal" w:pos="454"/>
              </w:tabs>
              <w:rPr>
                <w:rFonts w:eastAsia="Times New Roman"/>
                <w:bCs/>
                <w:sz w:val="22"/>
                <w:szCs w:val="22"/>
              </w:rPr>
            </w:pPr>
            <w:r>
              <w:rPr>
                <w:rFonts w:eastAsia="Times New Roman"/>
                <w:bCs/>
                <w:sz w:val="22"/>
                <w:szCs w:val="22"/>
              </w:rPr>
              <w:t>0.001</w:t>
            </w:r>
          </w:p>
        </w:tc>
        <w:tc>
          <w:tcPr>
            <w:tcW w:w="236" w:type="dxa"/>
            <w:tcBorders>
              <w:top w:val="nil"/>
              <w:left w:val="nil"/>
              <w:bottom w:val="nil"/>
              <w:right w:val="nil"/>
            </w:tcBorders>
          </w:tcPr>
          <w:p w14:paraId="45DEDA67" w14:textId="77777777" w:rsidR="002405A2" w:rsidRDefault="002405A2" w:rsidP="004E6E00">
            <w:pPr>
              <w:rPr>
                <w:rFonts w:eastAsia="Times New Roman"/>
                <w:bCs/>
                <w:sz w:val="22"/>
                <w:szCs w:val="22"/>
              </w:rPr>
            </w:pPr>
          </w:p>
        </w:tc>
        <w:tc>
          <w:tcPr>
            <w:tcW w:w="1693" w:type="dxa"/>
            <w:tcBorders>
              <w:top w:val="nil"/>
              <w:left w:val="nil"/>
              <w:bottom w:val="nil"/>
              <w:right w:val="nil"/>
            </w:tcBorders>
          </w:tcPr>
          <w:p w14:paraId="116D757E" w14:textId="77777777" w:rsidR="002405A2" w:rsidRDefault="002405A2" w:rsidP="004E6E00">
            <w:pPr>
              <w:tabs>
                <w:tab w:val="decimal" w:pos="454"/>
              </w:tabs>
              <w:rPr>
                <w:rFonts w:eastAsia="Times New Roman"/>
                <w:bCs/>
                <w:sz w:val="22"/>
                <w:szCs w:val="22"/>
              </w:rPr>
            </w:pPr>
            <w:r>
              <w:rPr>
                <w:rFonts w:eastAsia="Times New Roman"/>
                <w:bCs/>
                <w:sz w:val="22"/>
                <w:szCs w:val="22"/>
              </w:rPr>
              <w:t>0.692</w:t>
            </w:r>
          </w:p>
        </w:tc>
        <w:tc>
          <w:tcPr>
            <w:tcW w:w="1694" w:type="dxa"/>
            <w:tcBorders>
              <w:top w:val="nil"/>
              <w:left w:val="nil"/>
              <w:bottom w:val="nil"/>
              <w:right w:val="nil"/>
            </w:tcBorders>
          </w:tcPr>
          <w:p w14:paraId="2F410E9C" w14:textId="77777777" w:rsidR="002405A2" w:rsidRDefault="002405A2" w:rsidP="004E6E00">
            <w:pPr>
              <w:tabs>
                <w:tab w:val="decimal" w:pos="454"/>
              </w:tabs>
              <w:rPr>
                <w:rFonts w:eastAsia="Times New Roman"/>
                <w:bCs/>
                <w:sz w:val="22"/>
                <w:szCs w:val="22"/>
              </w:rPr>
            </w:pPr>
            <w:r>
              <w:rPr>
                <w:rFonts w:eastAsia="Times New Roman"/>
                <w:bCs/>
                <w:sz w:val="22"/>
                <w:szCs w:val="22"/>
              </w:rPr>
              <w:t>0.038</w:t>
            </w:r>
          </w:p>
        </w:tc>
      </w:tr>
      <w:tr w:rsidR="002405A2" w14:paraId="27BACA0A" w14:textId="77777777" w:rsidTr="004E6E00">
        <w:trPr>
          <w:gridAfter w:val="2"/>
          <w:wAfter w:w="71" w:type="dxa"/>
        </w:trPr>
        <w:tc>
          <w:tcPr>
            <w:tcW w:w="3296" w:type="dxa"/>
            <w:tcBorders>
              <w:top w:val="nil"/>
              <w:left w:val="nil"/>
              <w:bottom w:val="single" w:sz="4" w:space="0" w:color="auto"/>
              <w:right w:val="nil"/>
            </w:tcBorders>
          </w:tcPr>
          <w:p w14:paraId="670E1446" w14:textId="77777777" w:rsidR="002405A2" w:rsidRDefault="002405A2" w:rsidP="004E6E00">
            <w:pPr>
              <w:rPr>
                <w:rFonts w:eastAsia="Times New Roman"/>
                <w:bCs/>
                <w:sz w:val="22"/>
                <w:szCs w:val="22"/>
              </w:rPr>
            </w:pPr>
            <w:r>
              <w:rPr>
                <w:rFonts w:eastAsia="Times New Roman"/>
                <w:bCs/>
                <w:sz w:val="22"/>
                <w:szCs w:val="22"/>
              </w:rPr>
              <w:t>RMSE</w:t>
            </w:r>
          </w:p>
        </w:tc>
        <w:tc>
          <w:tcPr>
            <w:tcW w:w="1697" w:type="dxa"/>
            <w:tcBorders>
              <w:top w:val="nil"/>
              <w:left w:val="nil"/>
              <w:bottom w:val="single" w:sz="4" w:space="0" w:color="auto"/>
              <w:right w:val="nil"/>
            </w:tcBorders>
          </w:tcPr>
          <w:p w14:paraId="222CB63F" w14:textId="77777777" w:rsidR="002405A2" w:rsidRDefault="002405A2" w:rsidP="004E6E00">
            <w:pPr>
              <w:tabs>
                <w:tab w:val="decimal" w:pos="454"/>
              </w:tabs>
              <w:rPr>
                <w:rFonts w:eastAsia="Times New Roman"/>
                <w:bCs/>
                <w:sz w:val="22"/>
                <w:szCs w:val="22"/>
              </w:rPr>
            </w:pPr>
            <w:r>
              <w:rPr>
                <w:rFonts w:eastAsia="Times New Roman"/>
                <w:bCs/>
                <w:sz w:val="22"/>
                <w:szCs w:val="22"/>
              </w:rPr>
              <w:t>0.754</w:t>
            </w:r>
          </w:p>
        </w:tc>
        <w:tc>
          <w:tcPr>
            <w:tcW w:w="1695" w:type="dxa"/>
            <w:tcBorders>
              <w:top w:val="nil"/>
              <w:left w:val="nil"/>
              <w:bottom w:val="single" w:sz="4" w:space="0" w:color="auto"/>
              <w:right w:val="nil"/>
            </w:tcBorders>
          </w:tcPr>
          <w:p w14:paraId="2858492F" w14:textId="77777777" w:rsidR="002405A2" w:rsidRDefault="002405A2" w:rsidP="004E6E00">
            <w:pPr>
              <w:tabs>
                <w:tab w:val="decimal" w:pos="454"/>
              </w:tabs>
              <w:rPr>
                <w:rFonts w:eastAsia="Times New Roman"/>
                <w:bCs/>
                <w:sz w:val="22"/>
                <w:szCs w:val="22"/>
              </w:rPr>
            </w:pPr>
            <w:r>
              <w:rPr>
                <w:rFonts w:eastAsia="Times New Roman"/>
                <w:bCs/>
                <w:sz w:val="22"/>
                <w:szCs w:val="22"/>
              </w:rPr>
              <w:t>0.024</w:t>
            </w:r>
          </w:p>
        </w:tc>
        <w:tc>
          <w:tcPr>
            <w:tcW w:w="236" w:type="dxa"/>
            <w:tcBorders>
              <w:top w:val="nil"/>
              <w:left w:val="nil"/>
              <w:bottom w:val="single" w:sz="4" w:space="0" w:color="auto"/>
              <w:right w:val="nil"/>
            </w:tcBorders>
          </w:tcPr>
          <w:p w14:paraId="5DFC4FB0" w14:textId="77777777" w:rsidR="002405A2" w:rsidRDefault="002405A2" w:rsidP="004E6E00">
            <w:pPr>
              <w:rPr>
                <w:rFonts w:eastAsia="Times New Roman"/>
                <w:bCs/>
                <w:sz w:val="22"/>
                <w:szCs w:val="22"/>
              </w:rPr>
            </w:pPr>
          </w:p>
        </w:tc>
        <w:tc>
          <w:tcPr>
            <w:tcW w:w="1693" w:type="dxa"/>
            <w:tcBorders>
              <w:top w:val="nil"/>
              <w:left w:val="nil"/>
              <w:bottom w:val="single" w:sz="4" w:space="0" w:color="auto"/>
              <w:right w:val="nil"/>
            </w:tcBorders>
          </w:tcPr>
          <w:p w14:paraId="3389F4F2" w14:textId="77777777" w:rsidR="002405A2" w:rsidRDefault="002405A2" w:rsidP="004E6E00">
            <w:pPr>
              <w:tabs>
                <w:tab w:val="decimal" w:pos="454"/>
              </w:tabs>
              <w:rPr>
                <w:rFonts w:eastAsia="Times New Roman"/>
                <w:bCs/>
                <w:sz w:val="22"/>
                <w:szCs w:val="22"/>
              </w:rPr>
            </w:pPr>
            <w:r>
              <w:rPr>
                <w:rFonts w:eastAsia="Times New Roman"/>
                <w:bCs/>
                <w:sz w:val="22"/>
                <w:szCs w:val="22"/>
              </w:rPr>
              <w:t>0.559</w:t>
            </w:r>
          </w:p>
        </w:tc>
        <w:tc>
          <w:tcPr>
            <w:tcW w:w="1694" w:type="dxa"/>
            <w:tcBorders>
              <w:top w:val="nil"/>
              <w:left w:val="nil"/>
              <w:bottom w:val="single" w:sz="4" w:space="0" w:color="auto"/>
              <w:right w:val="nil"/>
            </w:tcBorders>
          </w:tcPr>
          <w:p w14:paraId="4E86B1DE" w14:textId="77777777" w:rsidR="002405A2" w:rsidRDefault="002405A2" w:rsidP="004E6E00">
            <w:pPr>
              <w:tabs>
                <w:tab w:val="decimal" w:pos="454"/>
              </w:tabs>
              <w:rPr>
                <w:rFonts w:eastAsia="Times New Roman"/>
                <w:bCs/>
                <w:sz w:val="22"/>
                <w:szCs w:val="22"/>
              </w:rPr>
            </w:pPr>
            <w:r>
              <w:rPr>
                <w:rFonts w:eastAsia="Times New Roman"/>
                <w:bCs/>
                <w:sz w:val="22"/>
                <w:szCs w:val="22"/>
              </w:rPr>
              <w:t>0.022</w:t>
            </w:r>
          </w:p>
        </w:tc>
        <w:tc>
          <w:tcPr>
            <w:tcW w:w="236" w:type="dxa"/>
            <w:tcBorders>
              <w:top w:val="nil"/>
              <w:left w:val="nil"/>
              <w:bottom w:val="single" w:sz="4" w:space="0" w:color="auto"/>
              <w:right w:val="nil"/>
            </w:tcBorders>
          </w:tcPr>
          <w:p w14:paraId="20627634" w14:textId="77777777" w:rsidR="002405A2" w:rsidRDefault="002405A2" w:rsidP="004E6E00">
            <w:pPr>
              <w:rPr>
                <w:rFonts w:eastAsia="Times New Roman"/>
                <w:bCs/>
                <w:sz w:val="22"/>
                <w:szCs w:val="22"/>
              </w:rPr>
            </w:pPr>
          </w:p>
        </w:tc>
        <w:tc>
          <w:tcPr>
            <w:tcW w:w="1693" w:type="dxa"/>
            <w:tcBorders>
              <w:top w:val="nil"/>
              <w:left w:val="nil"/>
              <w:bottom w:val="single" w:sz="4" w:space="0" w:color="auto"/>
              <w:right w:val="nil"/>
            </w:tcBorders>
          </w:tcPr>
          <w:p w14:paraId="7C5D7996" w14:textId="77777777" w:rsidR="002405A2" w:rsidRDefault="002405A2" w:rsidP="004E6E00">
            <w:pPr>
              <w:tabs>
                <w:tab w:val="decimal" w:pos="454"/>
              </w:tabs>
              <w:rPr>
                <w:rFonts w:eastAsia="Times New Roman"/>
                <w:bCs/>
                <w:sz w:val="22"/>
                <w:szCs w:val="22"/>
              </w:rPr>
            </w:pPr>
            <w:r>
              <w:rPr>
                <w:rFonts w:eastAsia="Times New Roman"/>
                <w:bCs/>
                <w:sz w:val="22"/>
                <w:szCs w:val="22"/>
              </w:rPr>
              <w:t>0.571</w:t>
            </w:r>
          </w:p>
        </w:tc>
        <w:tc>
          <w:tcPr>
            <w:tcW w:w="1694" w:type="dxa"/>
            <w:tcBorders>
              <w:top w:val="nil"/>
              <w:left w:val="nil"/>
              <w:bottom w:val="single" w:sz="4" w:space="0" w:color="auto"/>
              <w:right w:val="nil"/>
            </w:tcBorders>
          </w:tcPr>
          <w:p w14:paraId="290E6163" w14:textId="77777777" w:rsidR="002405A2" w:rsidRDefault="002405A2" w:rsidP="004E6E00">
            <w:pPr>
              <w:tabs>
                <w:tab w:val="decimal" w:pos="454"/>
              </w:tabs>
              <w:rPr>
                <w:rFonts w:eastAsia="Times New Roman"/>
                <w:bCs/>
                <w:sz w:val="22"/>
                <w:szCs w:val="22"/>
              </w:rPr>
            </w:pPr>
            <w:r>
              <w:rPr>
                <w:rFonts w:eastAsia="Times New Roman"/>
                <w:bCs/>
                <w:sz w:val="22"/>
                <w:szCs w:val="22"/>
              </w:rPr>
              <w:t>0.022</w:t>
            </w:r>
          </w:p>
        </w:tc>
      </w:tr>
      <w:tr w:rsidR="002405A2" w14:paraId="5C7EA359" w14:textId="77777777" w:rsidTr="004E6E00">
        <w:trPr>
          <w:gridAfter w:val="2"/>
          <w:wAfter w:w="71" w:type="dxa"/>
        </w:trPr>
        <w:tc>
          <w:tcPr>
            <w:tcW w:w="13934" w:type="dxa"/>
            <w:gridSpan w:val="9"/>
            <w:tcBorders>
              <w:top w:val="single" w:sz="4" w:space="0" w:color="auto"/>
              <w:left w:val="nil"/>
              <w:bottom w:val="nil"/>
              <w:right w:val="nil"/>
            </w:tcBorders>
          </w:tcPr>
          <w:p w14:paraId="6A536347" w14:textId="5DDE568E" w:rsidR="008A4D01" w:rsidRDefault="002405A2" w:rsidP="004E6E00">
            <w:pPr>
              <w:spacing w:before="40"/>
              <w:rPr>
                <w:rFonts w:eastAsia="Times New Roman"/>
                <w:bCs/>
                <w:sz w:val="20"/>
                <w:szCs w:val="20"/>
              </w:rPr>
            </w:pPr>
            <w:r w:rsidRPr="0037219C">
              <w:rPr>
                <w:rFonts w:eastAsia="Times New Roman"/>
                <w:bCs/>
                <w:i/>
                <w:iCs/>
                <w:sz w:val="20"/>
                <w:szCs w:val="20"/>
              </w:rPr>
              <w:t>Notes</w:t>
            </w:r>
          </w:p>
          <w:p w14:paraId="372D296D" w14:textId="77777777" w:rsidR="004E6E00" w:rsidRDefault="002405A2" w:rsidP="004E6E00">
            <w:pPr>
              <w:spacing w:before="40"/>
              <w:rPr>
                <w:rFonts w:eastAsia="Times New Roman"/>
                <w:bCs/>
                <w:sz w:val="20"/>
                <w:szCs w:val="20"/>
              </w:rPr>
            </w:pPr>
            <w:r>
              <w:rPr>
                <w:rFonts w:eastAsia="Times New Roman"/>
                <w:bCs/>
                <w:sz w:val="20"/>
                <w:szCs w:val="20"/>
              </w:rPr>
              <w:t xml:space="preserve">The dependent variable is log real state GDP (in chained 2012 dollars). </w:t>
            </w:r>
          </w:p>
          <w:p w14:paraId="07D99BFB" w14:textId="77777777" w:rsidR="004E6E00" w:rsidRDefault="002405A2" w:rsidP="004E6E00">
            <w:pPr>
              <w:spacing w:before="40"/>
              <w:rPr>
                <w:rFonts w:eastAsia="Times New Roman"/>
                <w:bCs/>
                <w:sz w:val="20"/>
                <w:szCs w:val="20"/>
              </w:rPr>
            </w:pPr>
            <w:r>
              <w:rPr>
                <w:rFonts w:eastAsia="Times New Roman"/>
                <w:bCs/>
                <w:sz w:val="20"/>
                <w:szCs w:val="20"/>
              </w:rPr>
              <w:t xml:space="preserve">Robust standard errors in </w:t>
            </w:r>
            <w:proofErr w:type="gramStart"/>
            <w:r>
              <w:rPr>
                <w:rFonts w:eastAsia="Times New Roman"/>
                <w:bCs/>
                <w:sz w:val="20"/>
                <w:szCs w:val="20"/>
              </w:rPr>
              <w:t>( )</w:t>
            </w:r>
            <w:proofErr w:type="gramEnd"/>
            <w:r>
              <w:rPr>
                <w:rFonts w:eastAsia="Times New Roman"/>
                <w:bCs/>
                <w:sz w:val="20"/>
                <w:szCs w:val="20"/>
              </w:rPr>
              <w:t xml:space="preserve">, </w:t>
            </w:r>
          </w:p>
          <w:p w14:paraId="43E5A884" w14:textId="5A9B0347" w:rsidR="002405A2" w:rsidRDefault="002405A2" w:rsidP="004E6E00">
            <w:pPr>
              <w:spacing w:before="40"/>
              <w:rPr>
                <w:rFonts w:eastAsia="Times New Roman"/>
                <w:bCs/>
                <w:sz w:val="22"/>
                <w:szCs w:val="22"/>
              </w:rPr>
            </w:pPr>
            <w:r w:rsidRPr="00C122A2">
              <w:rPr>
                <w:rFonts w:eastAsia="Times New Roman"/>
                <w:bCs/>
                <w:sz w:val="20"/>
                <w:szCs w:val="20"/>
                <w:vertAlign w:val="superscript"/>
              </w:rPr>
              <w:t>***</w:t>
            </w:r>
            <w:r>
              <w:rPr>
                <w:rFonts w:eastAsia="Times New Roman"/>
                <w:bCs/>
                <w:sz w:val="20"/>
                <w:szCs w:val="20"/>
              </w:rPr>
              <w:t xml:space="preserve">, </w:t>
            </w:r>
            <w:r w:rsidRPr="00C122A2">
              <w:rPr>
                <w:rFonts w:eastAsia="Times New Roman"/>
                <w:bCs/>
                <w:sz w:val="20"/>
                <w:szCs w:val="20"/>
                <w:vertAlign w:val="superscript"/>
              </w:rPr>
              <w:t>**</w:t>
            </w:r>
            <w:r>
              <w:rPr>
                <w:rFonts w:eastAsia="Times New Roman"/>
                <w:bCs/>
                <w:sz w:val="20"/>
                <w:szCs w:val="20"/>
              </w:rPr>
              <w:t xml:space="preserve">, and </w:t>
            </w:r>
            <w:r w:rsidRPr="00C122A2">
              <w:rPr>
                <w:rFonts w:eastAsia="Times New Roman"/>
                <w:bCs/>
                <w:sz w:val="20"/>
                <w:szCs w:val="20"/>
                <w:vertAlign w:val="superscript"/>
              </w:rPr>
              <w:t>*</w:t>
            </w:r>
            <w:r>
              <w:rPr>
                <w:rFonts w:eastAsia="Times New Roman"/>
                <w:bCs/>
                <w:sz w:val="20"/>
                <w:szCs w:val="20"/>
              </w:rPr>
              <w:t xml:space="preserve"> denote statistical significance at 1%, 5% and 10%.</w:t>
            </w:r>
          </w:p>
        </w:tc>
      </w:tr>
    </w:tbl>
    <w:p w14:paraId="3B6E5DBD" w14:textId="54930CEB" w:rsidR="002405A2" w:rsidRDefault="002405A2">
      <w:pPr>
        <w:rPr>
          <w:rFonts w:asciiTheme="majorBidi" w:hAnsiTheme="majorBidi" w:cstheme="majorBidi"/>
        </w:rPr>
      </w:pPr>
    </w:p>
    <w:tbl>
      <w:tblPr>
        <w:tblStyle w:val="TableGrid"/>
        <w:tblW w:w="13699" w:type="dxa"/>
        <w:tblCellMar>
          <w:left w:w="28" w:type="dxa"/>
          <w:right w:w="28" w:type="dxa"/>
        </w:tblCellMar>
        <w:tblLook w:val="04A0" w:firstRow="1" w:lastRow="0" w:firstColumn="1" w:lastColumn="0" w:noHBand="0" w:noVBand="1"/>
      </w:tblPr>
      <w:tblGrid>
        <w:gridCol w:w="3295"/>
        <w:gridCol w:w="1697"/>
        <w:gridCol w:w="1695"/>
        <w:gridCol w:w="1694"/>
        <w:gridCol w:w="236"/>
        <w:gridCol w:w="1694"/>
        <w:gridCol w:w="1694"/>
        <w:gridCol w:w="1694"/>
      </w:tblGrid>
      <w:tr w:rsidR="004E6E00" w14:paraId="6EEF98C6" w14:textId="77777777" w:rsidTr="00B26889">
        <w:tc>
          <w:tcPr>
            <w:tcW w:w="13699" w:type="dxa"/>
            <w:gridSpan w:val="8"/>
            <w:tcBorders>
              <w:top w:val="nil"/>
              <w:left w:val="nil"/>
              <w:bottom w:val="nil"/>
              <w:right w:val="nil"/>
            </w:tcBorders>
          </w:tcPr>
          <w:p w14:paraId="57D27E91" w14:textId="77777777" w:rsidR="00BC487F" w:rsidRDefault="002405A2" w:rsidP="00B26889">
            <w:pPr>
              <w:spacing w:after="40"/>
              <w:jc w:val="center"/>
              <w:rPr>
                <w:rFonts w:asciiTheme="majorBidi" w:hAnsiTheme="majorBidi" w:cstheme="majorBidi"/>
              </w:rPr>
            </w:pPr>
            <w:r>
              <w:rPr>
                <w:rFonts w:asciiTheme="majorBidi" w:hAnsiTheme="majorBidi" w:cstheme="majorBidi"/>
              </w:rPr>
              <w:br w:type="page"/>
            </w:r>
            <w:r w:rsidR="004E6E00">
              <w:rPr>
                <w:rFonts w:asciiTheme="majorBidi" w:hAnsiTheme="majorBidi" w:cstheme="majorBidi"/>
              </w:rPr>
              <w:br w:type="page"/>
            </w:r>
          </w:p>
          <w:p w14:paraId="78579013" w14:textId="77777777" w:rsidR="00BC487F" w:rsidRDefault="00BC487F" w:rsidP="00B26889">
            <w:pPr>
              <w:spacing w:after="40"/>
              <w:jc w:val="center"/>
              <w:rPr>
                <w:rFonts w:asciiTheme="majorBidi" w:hAnsiTheme="majorBidi" w:cstheme="majorBidi"/>
                <w:bCs/>
              </w:rPr>
            </w:pPr>
          </w:p>
          <w:p w14:paraId="5CB6DB84" w14:textId="77777777" w:rsidR="00BC487F" w:rsidRDefault="00BC487F" w:rsidP="00B26889">
            <w:pPr>
              <w:spacing w:after="40"/>
              <w:jc w:val="center"/>
              <w:rPr>
                <w:rFonts w:asciiTheme="majorBidi" w:hAnsiTheme="majorBidi" w:cstheme="majorBidi"/>
                <w:bCs/>
              </w:rPr>
            </w:pPr>
          </w:p>
          <w:p w14:paraId="00B93011" w14:textId="77777777" w:rsidR="00BC487F" w:rsidRDefault="00BC487F" w:rsidP="00B26889">
            <w:pPr>
              <w:spacing w:after="40"/>
              <w:jc w:val="center"/>
              <w:rPr>
                <w:rFonts w:asciiTheme="majorBidi" w:hAnsiTheme="majorBidi" w:cstheme="majorBidi"/>
                <w:bCs/>
              </w:rPr>
            </w:pPr>
          </w:p>
          <w:p w14:paraId="620B34D4" w14:textId="77777777" w:rsidR="00F12336" w:rsidRDefault="004E6E00" w:rsidP="00B26889">
            <w:pPr>
              <w:spacing w:after="40"/>
              <w:jc w:val="center"/>
              <w:rPr>
                <w:rFonts w:eastAsia="Times New Roman"/>
                <w:b/>
                <w:sz w:val="22"/>
                <w:szCs w:val="22"/>
              </w:rPr>
            </w:pPr>
            <w:r w:rsidRPr="003871FF">
              <w:rPr>
                <w:rFonts w:eastAsia="Times New Roman"/>
                <w:b/>
                <w:sz w:val="22"/>
                <w:szCs w:val="22"/>
              </w:rPr>
              <w:lastRenderedPageBreak/>
              <w:t xml:space="preserve">Table 2: Lights-GDP Relationships </w:t>
            </w:r>
            <w:r w:rsidR="00F12336">
              <w:rPr>
                <w:rFonts w:eastAsia="Times New Roman"/>
                <w:b/>
                <w:sz w:val="22"/>
                <w:szCs w:val="22"/>
              </w:rPr>
              <w:t>w</w:t>
            </w:r>
            <w:r w:rsidRPr="003871FF">
              <w:rPr>
                <w:rFonts w:eastAsia="Times New Roman"/>
                <w:b/>
                <w:sz w:val="22"/>
                <w:szCs w:val="22"/>
              </w:rPr>
              <w:t xml:space="preserve">ith Quarterly VIIRS Data </w:t>
            </w:r>
          </w:p>
          <w:p w14:paraId="49DFEFC8" w14:textId="62F69D9A" w:rsidR="004E6E00" w:rsidRDefault="004E6E00" w:rsidP="00B26889">
            <w:pPr>
              <w:spacing w:after="40"/>
              <w:jc w:val="center"/>
              <w:rPr>
                <w:rFonts w:eastAsia="Times New Roman"/>
                <w:b/>
                <w:sz w:val="22"/>
                <w:szCs w:val="22"/>
              </w:rPr>
            </w:pPr>
            <w:r w:rsidRPr="003871FF">
              <w:rPr>
                <w:rFonts w:eastAsia="Times New Roman"/>
                <w:b/>
                <w:sz w:val="22"/>
                <w:szCs w:val="22"/>
              </w:rPr>
              <w:t>Q1 2014 to Q3 2019</w:t>
            </w:r>
          </w:p>
          <w:p w14:paraId="3896094D" w14:textId="11CB9355" w:rsidR="003871FF" w:rsidRPr="00025F48" w:rsidRDefault="003871FF" w:rsidP="00B26889">
            <w:pPr>
              <w:spacing w:after="40"/>
              <w:jc w:val="center"/>
              <w:rPr>
                <w:rFonts w:eastAsia="Times New Roman"/>
                <w:b/>
                <w:sz w:val="4"/>
                <w:szCs w:val="4"/>
              </w:rPr>
            </w:pPr>
          </w:p>
        </w:tc>
      </w:tr>
      <w:tr w:rsidR="004E6E00" w14:paraId="075E797C" w14:textId="77777777" w:rsidTr="00B26889">
        <w:tc>
          <w:tcPr>
            <w:tcW w:w="3295" w:type="dxa"/>
            <w:tcBorders>
              <w:top w:val="single" w:sz="4" w:space="0" w:color="auto"/>
              <w:left w:val="nil"/>
              <w:bottom w:val="nil"/>
              <w:right w:val="nil"/>
            </w:tcBorders>
          </w:tcPr>
          <w:p w14:paraId="78C4E0E8" w14:textId="77777777" w:rsidR="004E6E00" w:rsidRPr="000A7729" w:rsidRDefault="004E6E00" w:rsidP="00B26889">
            <w:pPr>
              <w:rPr>
                <w:rFonts w:eastAsia="Times New Roman"/>
                <w:bCs/>
                <w:sz w:val="4"/>
                <w:szCs w:val="4"/>
              </w:rPr>
            </w:pPr>
          </w:p>
        </w:tc>
        <w:tc>
          <w:tcPr>
            <w:tcW w:w="5086" w:type="dxa"/>
            <w:gridSpan w:val="3"/>
            <w:tcBorders>
              <w:top w:val="single" w:sz="4" w:space="0" w:color="auto"/>
              <w:left w:val="nil"/>
              <w:bottom w:val="nil"/>
              <w:right w:val="nil"/>
            </w:tcBorders>
          </w:tcPr>
          <w:p w14:paraId="33F52396" w14:textId="77777777" w:rsidR="004E6E00" w:rsidRPr="000A7729" w:rsidRDefault="004E6E00" w:rsidP="00B26889">
            <w:pPr>
              <w:jc w:val="center"/>
              <w:rPr>
                <w:rFonts w:eastAsia="Times New Roman"/>
                <w:bCs/>
                <w:sz w:val="4"/>
                <w:szCs w:val="4"/>
              </w:rPr>
            </w:pPr>
          </w:p>
        </w:tc>
        <w:tc>
          <w:tcPr>
            <w:tcW w:w="236" w:type="dxa"/>
            <w:tcBorders>
              <w:top w:val="single" w:sz="4" w:space="0" w:color="auto"/>
              <w:left w:val="nil"/>
              <w:bottom w:val="nil"/>
              <w:right w:val="nil"/>
            </w:tcBorders>
          </w:tcPr>
          <w:p w14:paraId="5E62FC58" w14:textId="77777777" w:rsidR="004E6E00" w:rsidRPr="000A7729" w:rsidRDefault="004E6E00" w:rsidP="00B26889">
            <w:pPr>
              <w:jc w:val="center"/>
              <w:rPr>
                <w:rFonts w:eastAsia="Times New Roman"/>
                <w:bCs/>
                <w:sz w:val="4"/>
                <w:szCs w:val="4"/>
              </w:rPr>
            </w:pPr>
          </w:p>
        </w:tc>
        <w:tc>
          <w:tcPr>
            <w:tcW w:w="5082" w:type="dxa"/>
            <w:gridSpan w:val="3"/>
            <w:tcBorders>
              <w:top w:val="single" w:sz="4" w:space="0" w:color="auto"/>
              <w:left w:val="nil"/>
              <w:bottom w:val="nil"/>
              <w:right w:val="nil"/>
            </w:tcBorders>
          </w:tcPr>
          <w:p w14:paraId="1677A76B" w14:textId="77777777" w:rsidR="004E6E00" w:rsidRPr="000A7729" w:rsidRDefault="004E6E00" w:rsidP="00B26889">
            <w:pPr>
              <w:jc w:val="center"/>
              <w:rPr>
                <w:rFonts w:eastAsia="Times New Roman"/>
                <w:bCs/>
                <w:sz w:val="4"/>
                <w:szCs w:val="4"/>
              </w:rPr>
            </w:pPr>
          </w:p>
        </w:tc>
      </w:tr>
      <w:tr w:rsidR="004E6E00" w14:paraId="7EEDEE41" w14:textId="77777777" w:rsidTr="00B26889">
        <w:tc>
          <w:tcPr>
            <w:tcW w:w="3295" w:type="dxa"/>
            <w:tcBorders>
              <w:top w:val="nil"/>
              <w:left w:val="nil"/>
              <w:bottom w:val="nil"/>
              <w:right w:val="nil"/>
            </w:tcBorders>
          </w:tcPr>
          <w:p w14:paraId="4E6733B5" w14:textId="77777777" w:rsidR="004E6E00" w:rsidRDefault="004E6E00" w:rsidP="00B26889">
            <w:pPr>
              <w:rPr>
                <w:rFonts w:eastAsia="Times New Roman"/>
                <w:bCs/>
                <w:sz w:val="22"/>
                <w:szCs w:val="22"/>
              </w:rPr>
            </w:pPr>
          </w:p>
        </w:tc>
        <w:tc>
          <w:tcPr>
            <w:tcW w:w="1697" w:type="dxa"/>
            <w:tcBorders>
              <w:top w:val="nil"/>
              <w:left w:val="nil"/>
              <w:bottom w:val="single" w:sz="4" w:space="0" w:color="auto"/>
              <w:right w:val="nil"/>
            </w:tcBorders>
          </w:tcPr>
          <w:p w14:paraId="6837804B" w14:textId="77777777" w:rsidR="004E6E00" w:rsidRDefault="004E6E00" w:rsidP="00B26889">
            <w:pPr>
              <w:spacing w:after="40"/>
              <w:jc w:val="center"/>
              <w:rPr>
                <w:rFonts w:eastAsia="Times New Roman"/>
                <w:bCs/>
                <w:sz w:val="22"/>
                <w:szCs w:val="22"/>
              </w:rPr>
            </w:pPr>
            <w:r>
              <w:rPr>
                <w:rFonts w:eastAsia="Times New Roman"/>
                <w:bCs/>
                <w:sz w:val="22"/>
                <w:szCs w:val="22"/>
              </w:rPr>
              <w:t>Levels</w:t>
            </w:r>
          </w:p>
        </w:tc>
        <w:tc>
          <w:tcPr>
            <w:tcW w:w="1695" w:type="dxa"/>
            <w:tcBorders>
              <w:top w:val="nil"/>
              <w:left w:val="nil"/>
              <w:bottom w:val="single" w:sz="4" w:space="0" w:color="auto"/>
              <w:right w:val="nil"/>
            </w:tcBorders>
          </w:tcPr>
          <w:p w14:paraId="34419969" w14:textId="77777777" w:rsidR="004E6E00" w:rsidRDefault="004E6E00" w:rsidP="00B26889">
            <w:pPr>
              <w:spacing w:after="40"/>
              <w:jc w:val="center"/>
              <w:rPr>
                <w:rFonts w:eastAsia="Times New Roman"/>
                <w:bCs/>
                <w:sz w:val="22"/>
                <w:szCs w:val="22"/>
              </w:rPr>
            </w:pPr>
            <w:r>
              <w:rPr>
                <w:rFonts w:eastAsia="Times New Roman"/>
                <w:bCs/>
                <w:sz w:val="22"/>
                <w:szCs w:val="22"/>
              </w:rPr>
              <w:t>Quarterly changes</w:t>
            </w:r>
          </w:p>
        </w:tc>
        <w:tc>
          <w:tcPr>
            <w:tcW w:w="1694" w:type="dxa"/>
            <w:tcBorders>
              <w:top w:val="nil"/>
              <w:left w:val="nil"/>
              <w:bottom w:val="single" w:sz="4" w:space="0" w:color="auto"/>
              <w:right w:val="nil"/>
            </w:tcBorders>
          </w:tcPr>
          <w:p w14:paraId="53A714A7" w14:textId="77777777" w:rsidR="004E6E00" w:rsidRDefault="004E6E00" w:rsidP="00B26889">
            <w:pPr>
              <w:spacing w:after="40"/>
              <w:jc w:val="center"/>
              <w:rPr>
                <w:rFonts w:eastAsia="Times New Roman"/>
                <w:bCs/>
                <w:sz w:val="22"/>
                <w:szCs w:val="22"/>
              </w:rPr>
            </w:pPr>
            <w:r>
              <w:rPr>
                <w:rFonts w:eastAsia="Times New Roman"/>
                <w:bCs/>
                <w:sz w:val="22"/>
                <w:szCs w:val="22"/>
              </w:rPr>
              <w:t>Annual changes</w:t>
            </w:r>
          </w:p>
        </w:tc>
        <w:tc>
          <w:tcPr>
            <w:tcW w:w="236" w:type="dxa"/>
            <w:tcBorders>
              <w:top w:val="nil"/>
              <w:left w:val="nil"/>
              <w:bottom w:val="nil"/>
              <w:right w:val="nil"/>
            </w:tcBorders>
          </w:tcPr>
          <w:p w14:paraId="4BD03DC2" w14:textId="77777777" w:rsidR="004E6E00" w:rsidRDefault="004E6E00" w:rsidP="00B26889">
            <w:pPr>
              <w:spacing w:after="40"/>
              <w:jc w:val="center"/>
              <w:rPr>
                <w:rFonts w:eastAsia="Times New Roman"/>
                <w:bCs/>
                <w:sz w:val="22"/>
                <w:szCs w:val="22"/>
              </w:rPr>
            </w:pPr>
          </w:p>
        </w:tc>
        <w:tc>
          <w:tcPr>
            <w:tcW w:w="1694" w:type="dxa"/>
            <w:tcBorders>
              <w:top w:val="nil"/>
              <w:left w:val="nil"/>
              <w:bottom w:val="single" w:sz="4" w:space="0" w:color="auto"/>
              <w:right w:val="nil"/>
            </w:tcBorders>
          </w:tcPr>
          <w:p w14:paraId="0EDE1552" w14:textId="77777777" w:rsidR="004E6E00" w:rsidRDefault="004E6E00" w:rsidP="00B26889">
            <w:pPr>
              <w:spacing w:after="40"/>
              <w:jc w:val="center"/>
              <w:rPr>
                <w:rFonts w:eastAsia="Times New Roman"/>
                <w:bCs/>
                <w:sz w:val="22"/>
                <w:szCs w:val="22"/>
              </w:rPr>
            </w:pPr>
            <w:r>
              <w:rPr>
                <w:rFonts w:eastAsia="Times New Roman"/>
                <w:bCs/>
                <w:sz w:val="22"/>
                <w:szCs w:val="22"/>
              </w:rPr>
              <w:t>Agriculture</w:t>
            </w:r>
          </w:p>
        </w:tc>
        <w:tc>
          <w:tcPr>
            <w:tcW w:w="1694" w:type="dxa"/>
            <w:tcBorders>
              <w:top w:val="nil"/>
              <w:left w:val="nil"/>
              <w:bottom w:val="single" w:sz="4" w:space="0" w:color="auto"/>
              <w:right w:val="nil"/>
            </w:tcBorders>
          </w:tcPr>
          <w:p w14:paraId="78E49618" w14:textId="77777777" w:rsidR="004E6E00" w:rsidRDefault="004E6E00" w:rsidP="00B26889">
            <w:pPr>
              <w:spacing w:after="40"/>
              <w:jc w:val="center"/>
              <w:rPr>
                <w:rFonts w:eastAsia="Times New Roman"/>
                <w:bCs/>
                <w:sz w:val="22"/>
                <w:szCs w:val="22"/>
              </w:rPr>
            </w:pPr>
            <w:r>
              <w:rPr>
                <w:rFonts w:eastAsia="Times New Roman"/>
                <w:bCs/>
                <w:sz w:val="22"/>
                <w:szCs w:val="22"/>
              </w:rPr>
              <w:t>Manufacturing</w:t>
            </w:r>
          </w:p>
        </w:tc>
        <w:tc>
          <w:tcPr>
            <w:tcW w:w="1694" w:type="dxa"/>
            <w:tcBorders>
              <w:top w:val="nil"/>
              <w:left w:val="nil"/>
              <w:bottom w:val="single" w:sz="4" w:space="0" w:color="auto"/>
              <w:right w:val="nil"/>
            </w:tcBorders>
          </w:tcPr>
          <w:p w14:paraId="745F1678" w14:textId="77777777" w:rsidR="004E6E00" w:rsidRDefault="004E6E00" w:rsidP="00B26889">
            <w:pPr>
              <w:spacing w:after="40"/>
              <w:jc w:val="center"/>
              <w:rPr>
                <w:rFonts w:eastAsia="Times New Roman"/>
                <w:bCs/>
                <w:sz w:val="22"/>
                <w:szCs w:val="22"/>
              </w:rPr>
            </w:pPr>
            <w:r>
              <w:rPr>
                <w:rFonts w:eastAsia="Times New Roman"/>
                <w:bCs/>
                <w:sz w:val="22"/>
                <w:szCs w:val="22"/>
              </w:rPr>
              <w:t>Other industries</w:t>
            </w:r>
          </w:p>
        </w:tc>
      </w:tr>
      <w:tr w:rsidR="004E6E00" w14:paraId="4699FECB" w14:textId="77777777" w:rsidTr="00B26889">
        <w:tc>
          <w:tcPr>
            <w:tcW w:w="3295" w:type="dxa"/>
            <w:tcBorders>
              <w:top w:val="nil"/>
              <w:left w:val="nil"/>
              <w:bottom w:val="nil"/>
              <w:right w:val="nil"/>
            </w:tcBorders>
          </w:tcPr>
          <w:p w14:paraId="08DA2CC7" w14:textId="77777777" w:rsidR="004E6E00" w:rsidRPr="00540940" w:rsidRDefault="004E6E00" w:rsidP="00B26889">
            <w:pPr>
              <w:rPr>
                <w:rFonts w:eastAsia="Times New Roman"/>
                <w:bCs/>
                <w:sz w:val="22"/>
                <w:szCs w:val="22"/>
              </w:rPr>
            </w:pPr>
            <m:oMathPara>
              <m:oMathParaPr>
                <m:jc m:val="left"/>
              </m:oMathParaPr>
              <m:oMath>
                <m:r>
                  <w:rPr>
                    <w:rFonts w:ascii="Cambria Math" w:eastAsia="Times New Roman" w:hAnsi="Cambria Math"/>
                    <w:sz w:val="22"/>
                    <w:szCs w:val="22"/>
                  </w:rPr>
                  <m:t>ln</m:t>
                </m:r>
                <m:d>
                  <m:dPr>
                    <m:ctrlPr>
                      <w:rPr>
                        <w:rFonts w:ascii="Cambria Math" w:eastAsia="Times New Roman" w:hAnsi="Cambria Math"/>
                        <w:bCs/>
                        <w:i/>
                        <w:sz w:val="22"/>
                        <w:szCs w:val="22"/>
                      </w:rPr>
                    </m:ctrlPr>
                  </m:dPr>
                  <m:e>
                    <m:sSub>
                      <m:sSubPr>
                        <m:ctrlPr>
                          <w:rPr>
                            <w:rFonts w:ascii="Cambria Math" w:eastAsia="Times New Roman" w:hAnsi="Cambria Math"/>
                            <w:bCs/>
                            <w:i/>
                            <w:sz w:val="22"/>
                            <w:szCs w:val="22"/>
                          </w:rPr>
                        </m:ctrlPr>
                      </m:sSubPr>
                      <m:e>
                        <m:r>
                          <w:rPr>
                            <w:rFonts w:ascii="Cambria Math" w:eastAsia="Times New Roman" w:hAnsi="Cambria Math"/>
                            <w:sz w:val="22"/>
                            <w:szCs w:val="22"/>
                          </w:rPr>
                          <m:t>sum of lights</m:t>
                        </m:r>
                      </m:e>
                      <m:sub>
                        <m:r>
                          <w:rPr>
                            <w:rFonts w:ascii="Cambria Math" w:eastAsia="Times New Roman" w:hAnsi="Cambria Math"/>
                            <w:sz w:val="22"/>
                            <w:szCs w:val="22"/>
                          </w:rPr>
                          <m:t>it</m:t>
                        </m:r>
                      </m:sub>
                    </m:sSub>
                  </m:e>
                </m:d>
              </m:oMath>
            </m:oMathPara>
          </w:p>
        </w:tc>
        <w:tc>
          <w:tcPr>
            <w:tcW w:w="1697" w:type="dxa"/>
            <w:tcBorders>
              <w:top w:val="single" w:sz="4" w:space="0" w:color="auto"/>
              <w:left w:val="nil"/>
              <w:bottom w:val="nil"/>
              <w:right w:val="nil"/>
            </w:tcBorders>
          </w:tcPr>
          <w:p w14:paraId="34F476D5" w14:textId="77777777" w:rsidR="004E6E00" w:rsidRDefault="004E6E00" w:rsidP="00B26889">
            <w:pPr>
              <w:tabs>
                <w:tab w:val="decimal" w:pos="454"/>
              </w:tabs>
              <w:rPr>
                <w:rFonts w:eastAsia="Times New Roman"/>
                <w:bCs/>
                <w:sz w:val="22"/>
                <w:szCs w:val="22"/>
              </w:rPr>
            </w:pPr>
            <w:r>
              <w:rPr>
                <w:rFonts w:eastAsia="Times New Roman"/>
                <w:bCs/>
                <w:sz w:val="22"/>
                <w:szCs w:val="22"/>
              </w:rPr>
              <w:t>0.818***</w:t>
            </w:r>
          </w:p>
        </w:tc>
        <w:tc>
          <w:tcPr>
            <w:tcW w:w="1695" w:type="dxa"/>
            <w:tcBorders>
              <w:top w:val="single" w:sz="4" w:space="0" w:color="auto"/>
              <w:left w:val="nil"/>
              <w:bottom w:val="nil"/>
              <w:right w:val="nil"/>
            </w:tcBorders>
          </w:tcPr>
          <w:p w14:paraId="217F871F" w14:textId="77777777" w:rsidR="004E6E00" w:rsidRDefault="004E6E00" w:rsidP="00B26889">
            <w:pPr>
              <w:tabs>
                <w:tab w:val="decimal" w:pos="454"/>
              </w:tabs>
              <w:rPr>
                <w:rFonts w:eastAsia="Times New Roman"/>
                <w:bCs/>
                <w:sz w:val="22"/>
                <w:szCs w:val="22"/>
              </w:rPr>
            </w:pPr>
          </w:p>
        </w:tc>
        <w:tc>
          <w:tcPr>
            <w:tcW w:w="1694" w:type="dxa"/>
            <w:tcBorders>
              <w:top w:val="nil"/>
              <w:left w:val="nil"/>
              <w:bottom w:val="nil"/>
              <w:right w:val="nil"/>
            </w:tcBorders>
          </w:tcPr>
          <w:p w14:paraId="346F7D84" w14:textId="77777777" w:rsidR="004E6E00" w:rsidRDefault="004E6E00" w:rsidP="00B26889">
            <w:pPr>
              <w:rPr>
                <w:rFonts w:eastAsia="Times New Roman"/>
                <w:bCs/>
                <w:sz w:val="22"/>
                <w:szCs w:val="22"/>
              </w:rPr>
            </w:pPr>
          </w:p>
        </w:tc>
        <w:tc>
          <w:tcPr>
            <w:tcW w:w="236" w:type="dxa"/>
            <w:tcBorders>
              <w:top w:val="nil"/>
              <w:left w:val="nil"/>
              <w:bottom w:val="nil"/>
              <w:right w:val="nil"/>
            </w:tcBorders>
          </w:tcPr>
          <w:p w14:paraId="342EEED8" w14:textId="77777777" w:rsidR="004E6E00" w:rsidRDefault="004E6E00" w:rsidP="00B26889">
            <w:pPr>
              <w:rPr>
                <w:rFonts w:eastAsia="Times New Roman"/>
                <w:bCs/>
                <w:sz w:val="22"/>
                <w:szCs w:val="22"/>
              </w:rPr>
            </w:pPr>
          </w:p>
        </w:tc>
        <w:tc>
          <w:tcPr>
            <w:tcW w:w="1694" w:type="dxa"/>
            <w:tcBorders>
              <w:top w:val="single" w:sz="4" w:space="0" w:color="auto"/>
              <w:left w:val="nil"/>
              <w:bottom w:val="nil"/>
              <w:right w:val="nil"/>
            </w:tcBorders>
          </w:tcPr>
          <w:p w14:paraId="078DAFA9" w14:textId="77777777" w:rsidR="004E6E00" w:rsidRDefault="004E6E00" w:rsidP="00B26889">
            <w:pPr>
              <w:tabs>
                <w:tab w:val="decimal" w:pos="454"/>
              </w:tabs>
              <w:rPr>
                <w:rFonts w:eastAsia="Times New Roman"/>
                <w:bCs/>
                <w:sz w:val="22"/>
                <w:szCs w:val="22"/>
              </w:rPr>
            </w:pPr>
            <w:r>
              <w:rPr>
                <w:rFonts w:eastAsia="Times New Roman"/>
                <w:bCs/>
                <w:sz w:val="22"/>
                <w:szCs w:val="22"/>
              </w:rPr>
              <w:t>1.011***</w:t>
            </w:r>
          </w:p>
        </w:tc>
        <w:tc>
          <w:tcPr>
            <w:tcW w:w="1694" w:type="dxa"/>
            <w:tcBorders>
              <w:top w:val="single" w:sz="4" w:space="0" w:color="auto"/>
              <w:left w:val="nil"/>
              <w:bottom w:val="nil"/>
              <w:right w:val="nil"/>
            </w:tcBorders>
          </w:tcPr>
          <w:p w14:paraId="61989C0B" w14:textId="77777777" w:rsidR="004E6E00" w:rsidRDefault="004E6E00" w:rsidP="00B26889">
            <w:pPr>
              <w:tabs>
                <w:tab w:val="decimal" w:pos="454"/>
              </w:tabs>
              <w:rPr>
                <w:rFonts w:eastAsia="Times New Roman"/>
                <w:bCs/>
                <w:sz w:val="22"/>
                <w:szCs w:val="22"/>
              </w:rPr>
            </w:pPr>
            <w:r>
              <w:rPr>
                <w:rFonts w:eastAsia="Times New Roman"/>
                <w:bCs/>
                <w:sz w:val="22"/>
                <w:szCs w:val="22"/>
              </w:rPr>
              <w:t>1.117***</w:t>
            </w:r>
          </w:p>
        </w:tc>
        <w:tc>
          <w:tcPr>
            <w:tcW w:w="1694" w:type="dxa"/>
            <w:tcBorders>
              <w:top w:val="single" w:sz="4" w:space="0" w:color="auto"/>
              <w:left w:val="nil"/>
              <w:bottom w:val="nil"/>
              <w:right w:val="nil"/>
            </w:tcBorders>
          </w:tcPr>
          <w:p w14:paraId="36A72DEF" w14:textId="77777777" w:rsidR="004E6E00" w:rsidRDefault="004E6E00" w:rsidP="00B26889">
            <w:pPr>
              <w:tabs>
                <w:tab w:val="decimal" w:pos="454"/>
              </w:tabs>
              <w:rPr>
                <w:rFonts w:eastAsia="Times New Roman"/>
                <w:bCs/>
                <w:sz w:val="22"/>
                <w:szCs w:val="22"/>
              </w:rPr>
            </w:pPr>
            <w:r>
              <w:rPr>
                <w:rFonts w:eastAsia="Times New Roman"/>
                <w:bCs/>
                <w:sz w:val="22"/>
                <w:szCs w:val="22"/>
              </w:rPr>
              <w:t>0.811***</w:t>
            </w:r>
          </w:p>
        </w:tc>
      </w:tr>
      <w:tr w:rsidR="004E6E00" w14:paraId="407E23C8" w14:textId="77777777" w:rsidTr="00B26889">
        <w:tc>
          <w:tcPr>
            <w:tcW w:w="3295" w:type="dxa"/>
            <w:tcBorders>
              <w:top w:val="nil"/>
              <w:left w:val="nil"/>
              <w:bottom w:val="nil"/>
              <w:right w:val="nil"/>
            </w:tcBorders>
          </w:tcPr>
          <w:p w14:paraId="1CD08AD7" w14:textId="77777777" w:rsidR="004E6E00" w:rsidRDefault="004E6E00" w:rsidP="00B26889">
            <w:pPr>
              <w:rPr>
                <w:rFonts w:eastAsia="Times New Roman"/>
                <w:bCs/>
                <w:sz w:val="22"/>
                <w:szCs w:val="22"/>
              </w:rPr>
            </w:pPr>
          </w:p>
        </w:tc>
        <w:tc>
          <w:tcPr>
            <w:tcW w:w="1697" w:type="dxa"/>
            <w:tcBorders>
              <w:top w:val="nil"/>
              <w:left w:val="nil"/>
              <w:bottom w:val="nil"/>
              <w:right w:val="nil"/>
            </w:tcBorders>
          </w:tcPr>
          <w:p w14:paraId="076B0C76" w14:textId="77777777" w:rsidR="004E6E00" w:rsidRDefault="004E6E00" w:rsidP="00B26889">
            <w:pPr>
              <w:tabs>
                <w:tab w:val="decimal" w:pos="454"/>
              </w:tabs>
              <w:rPr>
                <w:rFonts w:eastAsia="Times New Roman"/>
                <w:bCs/>
                <w:sz w:val="22"/>
                <w:szCs w:val="22"/>
              </w:rPr>
            </w:pPr>
            <w:r>
              <w:rPr>
                <w:rFonts w:eastAsia="Times New Roman"/>
                <w:bCs/>
                <w:sz w:val="22"/>
                <w:szCs w:val="22"/>
              </w:rPr>
              <w:t>(0.018)</w:t>
            </w:r>
          </w:p>
        </w:tc>
        <w:tc>
          <w:tcPr>
            <w:tcW w:w="1695" w:type="dxa"/>
            <w:tcBorders>
              <w:top w:val="nil"/>
              <w:left w:val="nil"/>
              <w:bottom w:val="nil"/>
              <w:right w:val="nil"/>
            </w:tcBorders>
          </w:tcPr>
          <w:p w14:paraId="30C9C0BE" w14:textId="77777777" w:rsidR="004E6E00" w:rsidRDefault="004E6E00" w:rsidP="00B26889">
            <w:pPr>
              <w:tabs>
                <w:tab w:val="decimal" w:pos="454"/>
              </w:tabs>
              <w:rPr>
                <w:rFonts w:eastAsia="Times New Roman"/>
                <w:bCs/>
                <w:sz w:val="22"/>
                <w:szCs w:val="22"/>
              </w:rPr>
            </w:pPr>
          </w:p>
        </w:tc>
        <w:tc>
          <w:tcPr>
            <w:tcW w:w="1694" w:type="dxa"/>
            <w:tcBorders>
              <w:top w:val="nil"/>
              <w:left w:val="nil"/>
              <w:bottom w:val="nil"/>
              <w:right w:val="nil"/>
            </w:tcBorders>
          </w:tcPr>
          <w:p w14:paraId="46F40381" w14:textId="77777777" w:rsidR="004E6E00" w:rsidRDefault="004E6E00" w:rsidP="00B26889">
            <w:pPr>
              <w:rPr>
                <w:rFonts w:eastAsia="Times New Roman"/>
                <w:bCs/>
                <w:sz w:val="22"/>
                <w:szCs w:val="22"/>
              </w:rPr>
            </w:pPr>
          </w:p>
        </w:tc>
        <w:tc>
          <w:tcPr>
            <w:tcW w:w="236" w:type="dxa"/>
            <w:tcBorders>
              <w:top w:val="nil"/>
              <w:left w:val="nil"/>
              <w:bottom w:val="nil"/>
              <w:right w:val="nil"/>
            </w:tcBorders>
          </w:tcPr>
          <w:p w14:paraId="1A373479"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52E4B9CE" w14:textId="77777777" w:rsidR="004E6E00" w:rsidRDefault="004E6E00" w:rsidP="00B26889">
            <w:pPr>
              <w:tabs>
                <w:tab w:val="decimal" w:pos="454"/>
              </w:tabs>
              <w:rPr>
                <w:rFonts w:eastAsia="Times New Roman"/>
                <w:bCs/>
                <w:sz w:val="22"/>
                <w:szCs w:val="22"/>
              </w:rPr>
            </w:pPr>
            <w:r>
              <w:rPr>
                <w:rFonts w:eastAsia="Times New Roman"/>
                <w:bCs/>
                <w:sz w:val="22"/>
                <w:szCs w:val="22"/>
              </w:rPr>
              <w:t>(0.059)</w:t>
            </w:r>
          </w:p>
        </w:tc>
        <w:tc>
          <w:tcPr>
            <w:tcW w:w="1694" w:type="dxa"/>
            <w:tcBorders>
              <w:top w:val="nil"/>
              <w:left w:val="nil"/>
              <w:bottom w:val="nil"/>
              <w:right w:val="nil"/>
            </w:tcBorders>
          </w:tcPr>
          <w:p w14:paraId="2BB9085A" w14:textId="77777777" w:rsidR="004E6E00" w:rsidRDefault="004E6E00" w:rsidP="00B26889">
            <w:pPr>
              <w:tabs>
                <w:tab w:val="decimal" w:pos="454"/>
              </w:tabs>
              <w:rPr>
                <w:rFonts w:eastAsia="Times New Roman"/>
                <w:bCs/>
                <w:sz w:val="22"/>
                <w:szCs w:val="22"/>
              </w:rPr>
            </w:pPr>
            <w:r>
              <w:rPr>
                <w:rFonts w:eastAsia="Times New Roman"/>
                <w:bCs/>
                <w:sz w:val="22"/>
                <w:szCs w:val="22"/>
              </w:rPr>
              <w:t>(0.025)</w:t>
            </w:r>
          </w:p>
        </w:tc>
        <w:tc>
          <w:tcPr>
            <w:tcW w:w="1694" w:type="dxa"/>
            <w:tcBorders>
              <w:top w:val="nil"/>
              <w:left w:val="nil"/>
              <w:bottom w:val="nil"/>
              <w:right w:val="nil"/>
            </w:tcBorders>
          </w:tcPr>
          <w:p w14:paraId="7482297A" w14:textId="77777777" w:rsidR="004E6E00" w:rsidRDefault="004E6E00" w:rsidP="00B26889">
            <w:pPr>
              <w:tabs>
                <w:tab w:val="decimal" w:pos="454"/>
              </w:tabs>
              <w:rPr>
                <w:rFonts w:eastAsia="Times New Roman"/>
                <w:bCs/>
                <w:sz w:val="22"/>
                <w:szCs w:val="22"/>
              </w:rPr>
            </w:pPr>
            <w:r>
              <w:rPr>
                <w:rFonts w:eastAsia="Times New Roman"/>
                <w:bCs/>
                <w:sz w:val="22"/>
                <w:szCs w:val="22"/>
              </w:rPr>
              <w:t>(0.021)</w:t>
            </w:r>
          </w:p>
        </w:tc>
      </w:tr>
      <w:tr w:rsidR="004E6E00" w14:paraId="68C32F19" w14:textId="77777777" w:rsidTr="00B26889">
        <w:tc>
          <w:tcPr>
            <w:tcW w:w="3295" w:type="dxa"/>
            <w:tcBorders>
              <w:top w:val="nil"/>
              <w:left w:val="nil"/>
              <w:bottom w:val="nil"/>
              <w:right w:val="nil"/>
            </w:tcBorders>
          </w:tcPr>
          <w:p w14:paraId="422F903D" w14:textId="77777777" w:rsidR="004E6E00" w:rsidRPr="00540940" w:rsidRDefault="004E6E00" w:rsidP="00B26889">
            <w:pPr>
              <w:rPr>
                <w:rFonts w:eastAsia="Times New Roman"/>
                <w:bCs/>
                <w:sz w:val="6"/>
                <w:szCs w:val="6"/>
              </w:rPr>
            </w:pPr>
          </w:p>
        </w:tc>
        <w:tc>
          <w:tcPr>
            <w:tcW w:w="1697" w:type="dxa"/>
            <w:tcBorders>
              <w:top w:val="nil"/>
              <w:left w:val="nil"/>
              <w:bottom w:val="nil"/>
              <w:right w:val="nil"/>
            </w:tcBorders>
          </w:tcPr>
          <w:p w14:paraId="35BD532C" w14:textId="77777777" w:rsidR="004E6E00" w:rsidRPr="00540940" w:rsidRDefault="004E6E00" w:rsidP="00B26889">
            <w:pPr>
              <w:tabs>
                <w:tab w:val="decimal" w:pos="454"/>
              </w:tabs>
              <w:rPr>
                <w:rFonts w:eastAsia="Times New Roman"/>
                <w:bCs/>
                <w:sz w:val="6"/>
                <w:szCs w:val="6"/>
              </w:rPr>
            </w:pPr>
          </w:p>
        </w:tc>
        <w:tc>
          <w:tcPr>
            <w:tcW w:w="1695" w:type="dxa"/>
            <w:tcBorders>
              <w:top w:val="nil"/>
              <w:left w:val="nil"/>
              <w:bottom w:val="nil"/>
              <w:right w:val="nil"/>
            </w:tcBorders>
          </w:tcPr>
          <w:p w14:paraId="3B2C7EC0" w14:textId="77777777" w:rsidR="004E6E00" w:rsidRPr="00540940" w:rsidRDefault="004E6E00" w:rsidP="00B26889">
            <w:pPr>
              <w:tabs>
                <w:tab w:val="decimal" w:pos="454"/>
              </w:tabs>
              <w:rPr>
                <w:rFonts w:eastAsia="Times New Roman"/>
                <w:bCs/>
                <w:sz w:val="6"/>
                <w:szCs w:val="6"/>
              </w:rPr>
            </w:pPr>
          </w:p>
        </w:tc>
        <w:tc>
          <w:tcPr>
            <w:tcW w:w="1694" w:type="dxa"/>
            <w:tcBorders>
              <w:top w:val="nil"/>
              <w:left w:val="nil"/>
              <w:bottom w:val="nil"/>
              <w:right w:val="nil"/>
            </w:tcBorders>
          </w:tcPr>
          <w:p w14:paraId="35075555" w14:textId="77777777" w:rsidR="004E6E00" w:rsidRPr="00540940" w:rsidRDefault="004E6E00" w:rsidP="00B26889">
            <w:pPr>
              <w:rPr>
                <w:rFonts w:eastAsia="Times New Roman"/>
                <w:bCs/>
                <w:sz w:val="6"/>
                <w:szCs w:val="6"/>
              </w:rPr>
            </w:pPr>
          </w:p>
        </w:tc>
        <w:tc>
          <w:tcPr>
            <w:tcW w:w="236" w:type="dxa"/>
            <w:tcBorders>
              <w:top w:val="nil"/>
              <w:left w:val="nil"/>
              <w:bottom w:val="nil"/>
              <w:right w:val="nil"/>
            </w:tcBorders>
          </w:tcPr>
          <w:p w14:paraId="75615F97" w14:textId="77777777" w:rsidR="004E6E00" w:rsidRPr="00540940" w:rsidRDefault="004E6E00" w:rsidP="00B26889">
            <w:pPr>
              <w:rPr>
                <w:rFonts w:eastAsia="Times New Roman"/>
                <w:bCs/>
                <w:sz w:val="6"/>
                <w:szCs w:val="6"/>
              </w:rPr>
            </w:pPr>
          </w:p>
        </w:tc>
        <w:tc>
          <w:tcPr>
            <w:tcW w:w="1694" w:type="dxa"/>
            <w:tcBorders>
              <w:top w:val="nil"/>
              <w:left w:val="nil"/>
              <w:bottom w:val="nil"/>
              <w:right w:val="nil"/>
            </w:tcBorders>
          </w:tcPr>
          <w:p w14:paraId="339D0929" w14:textId="77777777" w:rsidR="004E6E00" w:rsidRPr="00540940" w:rsidRDefault="004E6E00" w:rsidP="00B26889">
            <w:pPr>
              <w:rPr>
                <w:rFonts w:eastAsia="Times New Roman"/>
                <w:bCs/>
                <w:sz w:val="6"/>
                <w:szCs w:val="6"/>
              </w:rPr>
            </w:pPr>
          </w:p>
        </w:tc>
        <w:tc>
          <w:tcPr>
            <w:tcW w:w="1694" w:type="dxa"/>
            <w:tcBorders>
              <w:top w:val="nil"/>
              <w:left w:val="nil"/>
              <w:bottom w:val="nil"/>
              <w:right w:val="nil"/>
            </w:tcBorders>
          </w:tcPr>
          <w:p w14:paraId="2A75338D" w14:textId="77777777" w:rsidR="004E6E00" w:rsidRPr="00540940" w:rsidRDefault="004E6E00" w:rsidP="00B26889">
            <w:pPr>
              <w:rPr>
                <w:rFonts w:eastAsia="Times New Roman"/>
                <w:bCs/>
                <w:sz w:val="6"/>
                <w:szCs w:val="6"/>
              </w:rPr>
            </w:pPr>
          </w:p>
        </w:tc>
        <w:tc>
          <w:tcPr>
            <w:tcW w:w="1694" w:type="dxa"/>
            <w:tcBorders>
              <w:top w:val="nil"/>
              <w:left w:val="nil"/>
              <w:bottom w:val="nil"/>
              <w:right w:val="nil"/>
            </w:tcBorders>
          </w:tcPr>
          <w:p w14:paraId="6D4770E7" w14:textId="77777777" w:rsidR="004E6E00" w:rsidRPr="00540940" w:rsidRDefault="004E6E00" w:rsidP="00B26889">
            <w:pPr>
              <w:rPr>
                <w:rFonts w:eastAsia="Times New Roman"/>
                <w:bCs/>
                <w:sz w:val="6"/>
                <w:szCs w:val="6"/>
              </w:rPr>
            </w:pPr>
          </w:p>
        </w:tc>
      </w:tr>
      <w:tr w:rsidR="004E6E00" w14:paraId="405B1ACA" w14:textId="77777777" w:rsidTr="00B26889">
        <w:tc>
          <w:tcPr>
            <w:tcW w:w="3295" w:type="dxa"/>
            <w:tcBorders>
              <w:top w:val="nil"/>
              <w:left w:val="nil"/>
              <w:bottom w:val="nil"/>
              <w:right w:val="nil"/>
            </w:tcBorders>
          </w:tcPr>
          <w:p w14:paraId="22F2C28D" w14:textId="77777777" w:rsidR="004E6E00" w:rsidRPr="00540940" w:rsidRDefault="004E6E00" w:rsidP="00B26889">
            <w:pPr>
              <w:rPr>
                <w:rFonts w:eastAsia="Times New Roman"/>
                <w:bCs/>
                <w:sz w:val="22"/>
                <w:szCs w:val="22"/>
              </w:rPr>
            </w:pPr>
            <m:oMathPara>
              <m:oMathParaPr>
                <m:jc m:val="left"/>
              </m:oMathParaPr>
              <m:oMath>
                <m:r>
                  <w:rPr>
                    <w:rFonts w:ascii="Cambria Math" w:eastAsia="Times New Roman" w:hAnsi="Cambria Math"/>
                    <w:sz w:val="22"/>
                    <w:szCs w:val="22"/>
                  </w:rPr>
                  <m:t>ln</m:t>
                </m:r>
                <m:d>
                  <m:dPr>
                    <m:ctrlPr>
                      <w:rPr>
                        <w:rFonts w:ascii="Cambria Math" w:eastAsia="Times New Roman" w:hAnsi="Cambria Math"/>
                        <w:bCs/>
                        <w:i/>
                        <w:sz w:val="22"/>
                        <w:szCs w:val="22"/>
                      </w:rPr>
                    </m:ctrlPr>
                  </m:dPr>
                  <m:e>
                    <m:f>
                      <m:fPr>
                        <m:type m:val="lin"/>
                        <m:ctrlPr>
                          <w:rPr>
                            <w:rFonts w:ascii="Cambria Math" w:eastAsia="Times New Roman" w:hAnsi="Cambria Math"/>
                            <w:bCs/>
                            <w:i/>
                            <w:sz w:val="22"/>
                            <w:szCs w:val="22"/>
                          </w:rPr>
                        </m:ctrlPr>
                      </m:fPr>
                      <m:num>
                        <m:r>
                          <w:rPr>
                            <w:rFonts w:ascii="Cambria Math" w:eastAsia="Times New Roman" w:hAnsi="Cambria Math"/>
                            <w:sz w:val="22"/>
                            <w:szCs w:val="22"/>
                          </w:rPr>
                          <m:t xml:space="preserve">sum </m:t>
                        </m:r>
                        <m:sSub>
                          <m:sSubPr>
                            <m:ctrlPr>
                              <w:rPr>
                                <w:rFonts w:ascii="Cambria Math" w:eastAsia="Times New Roman" w:hAnsi="Cambria Math"/>
                                <w:bCs/>
                                <w:i/>
                                <w:sz w:val="22"/>
                                <w:szCs w:val="22"/>
                              </w:rPr>
                            </m:ctrlPr>
                          </m:sSubPr>
                          <m:e>
                            <m:r>
                              <w:rPr>
                                <w:rFonts w:ascii="Cambria Math" w:eastAsia="Times New Roman" w:hAnsi="Cambria Math"/>
                                <w:sz w:val="22"/>
                                <w:szCs w:val="22"/>
                              </w:rPr>
                              <m:t>lights</m:t>
                            </m:r>
                          </m:e>
                          <m:sub>
                            <m:r>
                              <w:rPr>
                                <w:rFonts w:ascii="Cambria Math" w:eastAsia="Times New Roman" w:hAnsi="Cambria Math"/>
                                <w:sz w:val="22"/>
                                <w:szCs w:val="22"/>
                              </w:rPr>
                              <m:t>it</m:t>
                            </m:r>
                          </m:sub>
                        </m:sSub>
                      </m:num>
                      <m:den>
                        <m:sSub>
                          <m:sSubPr>
                            <m:ctrlPr>
                              <w:rPr>
                                <w:rFonts w:ascii="Cambria Math" w:eastAsia="Times New Roman" w:hAnsi="Cambria Math"/>
                                <w:bCs/>
                                <w:i/>
                                <w:sz w:val="22"/>
                                <w:szCs w:val="22"/>
                              </w:rPr>
                            </m:ctrlPr>
                          </m:sSubPr>
                          <m:e>
                            <m:r>
                              <w:rPr>
                                <w:rFonts w:ascii="Cambria Math" w:eastAsia="Times New Roman" w:hAnsi="Cambria Math"/>
                                <w:sz w:val="22"/>
                                <w:szCs w:val="22"/>
                              </w:rPr>
                              <m:t>sum lights</m:t>
                            </m:r>
                          </m:e>
                          <m:sub>
                            <m:r>
                              <w:rPr>
                                <w:rFonts w:ascii="Cambria Math" w:eastAsia="Times New Roman" w:hAnsi="Cambria Math"/>
                                <w:sz w:val="22"/>
                                <w:szCs w:val="22"/>
                              </w:rPr>
                              <m:t>it-1</m:t>
                            </m:r>
                          </m:sub>
                        </m:sSub>
                      </m:den>
                    </m:f>
                  </m:e>
                </m:d>
              </m:oMath>
            </m:oMathPara>
          </w:p>
        </w:tc>
        <w:tc>
          <w:tcPr>
            <w:tcW w:w="1697" w:type="dxa"/>
            <w:tcBorders>
              <w:top w:val="nil"/>
              <w:left w:val="nil"/>
              <w:bottom w:val="nil"/>
              <w:right w:val="nil"/>
            </w:tcBorders>
          </w:tcPr>
          <w:p w14:paraId="561E6759" w14:textId="77777777" w:rsidR="004E6E00" w:rsidRDefault="004E6E00" w:rsidP="00B26889">
            <w:pPr>
              <w:tabs>
                <w:tab w:val="decimal" w:pos="454"/>
              </w:tabs>
              <w:rPr>
                <w:rFonts w:eastAsia="Times New Roman"/>
                <w:bCs/>
                <w:sz w:val="22"/>
                <w:szCs w:val="22"/>
              </w:rPr>
            </w:pPr>
          </w:p>
        </w:tc>
        <w:tc>
          <w:tcPr>
            <w:tcW w:w="1695" w:type="dxa"/>
            <w:tcBorders>
              <w:top w:val="nil"/>
              <w:left w:val="nil"/>
              <w:bottom w:val="nil"/>
              <w:right w:val="nil"/>
            </w:tcBorders>
          </w:tcPr>
          <w:p w14:paraId="676FB026" w14:textId="77777777" w:rsidR="004E6E00" w:rsidRDefault="004E6E00" w:rsidP="00B26889">
            <w:pPr>
              <w:tabs>
                <w:tab w:val="decimal" w:pos="454"/>
              </w:tabs>
              <w:rPr>
                <w:rFonts w:eastAsia="Times New Roman"/>
                <w:bCs/>
                <w:sz w:val="22"/>
                <w:szCs w:val="22"/>
              </w:rPr>
            </w:pPr>
            <w:r>
              <w:rPr>
                <w:rFonts w:eastAsia="Times New Roman"/>
                <w:bCs/>
                <w:sz w:val="22"/>
                <w:szCs w:val="22"/>
              </w:rPr>
              <w:t>-0.002</w:t>
            </w:r>
          </w:p>
        </w:tc>
        <w:tc>
          <w:tcPr>
            <w:tcW w:w="1694" w:type="dxa"/>
            <w:tcBorders>
              <w:top w:val="nil"/>
              <w:left w:val="nil"/>
              <w:bottom w:val="nil"/>
              <w:right w:val="nil"/>
            </w:tcBorders>
          </w:tcPr>
          <w:p w14:paraId="42C59472" w14:textId="77777777" w:rsidR="004E6E00" w:rsidRDefault="004E6E00" w:rsidP="00B26889">
            <w:pPr>
              <w:tabs>
                <w:tab w:val="decimal" w:pos="454"/>
              </w:tabs>
              <w:rPr>
                <w:rFonts w:eastAsia="Times New Roman"/>
                <w:bCs/>
                <w:sz w:val="22"/>
                <w:szCs w:val="22"/>
              </w:rPr>
            </w:pPr>
          </w:p>
        </w:tc>
        <w:tc>
          <w:tcPr>
            <w:tcW w:w="236" w:type="dxa"/>
            <w:tcBorders>
              <w:top w:val="nil"/>
              <w:left w:val="nil"/>
              <w:bottom w:val="nil"/>
              <w:right w:val="nil"/>
            </w:tcBorders>
          </w:tcPr>
          <w:p w14:paraId="30DCAFCF"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1D515C3D"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554C40F0"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69641A8A" w14:textId="77777777" w:rsidR="004E6E00" w:rsidRDefault="004E6E00" w:rsidP="00B26889">
            <w:pPr>
              <w:rPr>
                <w:rFonts w:eastAsia="Times New Roman"/>
                <w:bCs/>
                <w:sz w:val="22"/>
                <w:szCs w:val="22"/>
              </w:rPr>
            </w:pPr>
          </w:p>
        </w:tc>
      </w:tr>
      <w:tr w:rsidR="004E6E00" w14:paraId="751E2FB5" w14:textId="77777777" w:rsidTr="00B26889">
        <w:tc>
          <w:tcPr>
            <w:tcW w:w="3295" w:type="dxa"/>
            <w:tcBorders>
              <w:top w:val="nil"/>
              <w:left w:val="nil"/>
              <w:bottom w:val="nil"/>
              <w:right w:val="nil"/>
            </w:tcBorders>
          </w:tcPr>
          <w:p w14:paraId="021F9E7D" w14:textId="77777777" w:rsidR="004E6E00" w:rsidRDefault="004E6E00" w:rsidP="00B26889">
            <w:pPr>
              <w:rPr>
                <w:rFonts w:eastAsia="Times New Roman"/>
                <w:bCs/>
                <w:sz w:val="22"/>
                <w:szCs w:val="22"/>
              </w:rPr>
            </w:pPr>
          </w:p>
        </w:tc>
        <w:tc>
          <w:tcPr>
            <w:tcW w:w="1697" w:type="dxa"/>
            <w:tcBorders>
              <w:top w:val="nil"/>
              <w:left w:val="nil"/>
              <w:bottom w:val="nil"/>
              <w:right w:val="nil"/>
            </w:tcBorders>
          </w:tcPr>
          <w:p w14:paraId="120FD27E" w14:textId="77777777" w:rsidR="004E6E00" w:rsidRDefault="004E6E00" w:rsidP="00B26889">
            <w:pPr>
              <w:tabs>
                <w:tab w:val="decimal" w:pos="454"/>
              </w:tabs>
              <w:rPr>
                <w:rFonts w:eastAsia="Times New Roman"/>
                <w:bCs/>
                <w:sz w:val="22"/>
                <w:szCs w:val="22"/>
              </w:rPr>
            </w:pPr>
          </w:p>
        </w:tc>
        <w:tc>
          <w:tcPr>
            <w:tcW w:w="1695" w:type="dxa"/>
            <w:tcBorders>
              <w:top w:val="nil"/>
              <w:left w:val="nil"/>
              <w:bottom w:val="nil"/>
              <w:right w:val="nil"/>
            </w:tcBorders>
          </w:tcPr>
          <w:p w14:paraId="040ADE48" w14:textId="77777777" w:rsidR="004E6E00" w:rsidRDefault="004E6E00" w:rsidP="00B26889">
            <w:pPr>
              <w:tabs>
                <w:tab w:val="decimal" w:pos="454"/>
              </w:tabs>
              <w:rPr>
                <w:rFonts w:eastAsia="Times New Roman"/>
                <w:bCs/>
                <w:sz w:val="22"/>
                <w:szCs w:val="22"/>
              </w:rPr>
            </w:pPr>
            <w:r>
              <w:rPr>
                <w:rFonts w:eastAsia="Times New Roman"/>
                <w:bCs/>
                <w:sz w:val="22"/>
                <w:szCs w:val="22"/>
              </w:rPr>
              <w:t>(0.001)</w:t>
            </w:r>
          </w:p>
        </w:tc>
        <w:tc>
          <w:tcPr>
            <w:tcW w:w="1694" w:type="dxa"/>
            <w:tcBorders>
              <w:top w:val="nil"/>
              <w:left w:val="nil"/>
              <w:bottom w:val="nil"/>
              <w:right w:val="nil"/>
            </w:tcBorders>
          </w:tcPr>
          <w:p w14:paraId="2FFE249B" w14:textId="77777777" w:rsidR="004E6E00" w:rsidRDefault="004E6E00" w:rsidP="00B26889">
            <w:pPr>
              <w:tabs>
                <w:tab w:val="decimal" w:pos="454"/>
              </w:tabs>
              <w:rPr>
                <w:rFonts w:eastAsia="Times New Roman"/>
                <w:bCs/>
                <w:sz w:val="22"/>
                <w:szCs w:val="22"/>
              </w:rPr>
            </w:pPr>
          </w:p>
        </w:tc>
        <w:tc>
          <w:tcPr>
            <w:tcW w:w="236" w:type="dxa"/>
            <w:tcBorders>
              <w:top w:val="nil"/>
              <w:left w:val="nil"/>
              <w:bottom w:val="nil"/>
              <w:right w:val="nil"/>
            </w:tcBorders>
          </w:tcPr>
          <w:p w14:paraId="43CF2DD8"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7E1E81A5"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73609066"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5A9083D4" w14:textId="77777777" w:rsidR="004E6E00" w:rsidRDefault="004E6E00" w:rsidP="00B26889">
            <w:pPr>
              <w:rPr>
                <w:rFonts w:eastAsia="Times New Roman"/>
                <w:bCs/>
                <w:sz w:val="22"/>
                <w:szCs w:val="22"/>
              </w:rPr>
            </w:pPr>
          </w:p>
        </w:tc>
      </w:tr>
      <w:tr w:rsidR="004E6E00" w14:paraId="37609384" w14:textId="77777777" w:rsidTr="00B26889">
        <w:tc>
          <w:tcPr>
            <w:tcW w:w="3295" w:type="dxa"/>
            <w:tcBorders>
              <w:top w:val="nil"/>
              <w:left w:val="nil"/>
              <w:bottom w:val="nil"/>
              <w:right w:val="nil"/>
            </w:tcBorders>
          </w:tcPr>
          <w:p w14:paraId="22192ED6" w14:textId="77777777" w:rsidR="004E6E00" w:rsidRPr="00540940" w:rsidRDefault="004E6E00" w:rsidP="00B26889">
            <w:pPr>
              <w:rPr>
                <w:rFonts w:eastAsia="Times New Roman"/>
                <w:bCs/>
                <w:sz w:val="6"/>
                <w:szCs w:val="6"/>
              </w:rPr>
            </w:pPr>
          </w:p>
        </w:tc>
        <w:tc>
          <w:tcPr>
            <w:tcW w:w="1697" w:type="dxa"/>
            <w:tcBorders>
              <w:top w:val="nil"/>
              <w:left w:val="nil"/>
              <w:bottom w:val="nil"/>
              <w:right w:val="nil"/>
            </w:tcBorders>
          </w:tcPr>
          <w:p w14:paraId="3B2699CA" w14:textId="77777777" w:rsidR="004E6E00" w:rsidRPr="00540940" w:rsidRDefault="004E6E00" w:rsidP="00B26889">
            <w:pPr>
              <w:tabs>
                <w:tab w:val="decimal" w:pos="454"/>
              </w:tabs>
              <w:rPr>
                <w:rFonts w:eastAsia="Times New Roman"/>
                <w:bCs/>
                <w:sz w:val="6"/>
                <w:szCs w:val="6"/>
              </w:rPr>
            </w:pPr>
          </w:p>
        </w:tc>
        <w:tc>
          <w:tcPr>
            <w:tcW w:w="1695" w:type="dxa"/>
            <w:tcBorders>
              <w:top w:val="nil"/>
              <w:left w:val="nil"/>
              <w:bottom w:val="nil"/>
              <w:right w:val="nil"/>
            </w:tcBorders>
          </w:tcPr>
          <w:p w14:paraId="52E6B040" w14:textId="77777777" w:rsidR="004E6E00" w:rsidRPr="00540940" w:rsidRDefault="004E6E00" w:rsidP="00B26889">
            <w:pPr>
              <w:tabs>
                <w:tab w:val="decimal" w:pos="454"/>
              </w:tabs>
              <w:rPr>
                <w:rFonts w:eastAsia="Times New Roman"/>
                <w:bCs/>
                <w:sz w:val="6"/>
                <w:szCs w:val="6"/>
              </w:rPr>
            </w:pPr>
          </w:p>
        </w:tc>
        <w:tc>
          <w:tcPr>
            <w:tcW w:w="1694" w:type="dxa"/>
            <w:tcBorders>
              <w:top w:val="nil"/>
              <w:left w:val="nil"/>
              <w:bottom w:val="nil"/>
              <w:right w:val="nil"/>
            </w:tcBorders>
          </w:tcPr>
          <w:p w14:paraId="7704673B" w14:textId="77777777" w:rsidR="004E6E00" w:rsidRPr="00540940" w:rsidRDefault="004E6E00" w:rsidP="00B26889">
            <w:pPr>
              <w:rPr>
                <w:rFonts w:eastAsia="Times New Roman"/>
                <w:bCs/>
                <w:sz w:val="6"/>
                <w:szCs w:val="6"/>
              </w:rPr>
            </w:pPr>
          </w:p>
        </w:tc>
        <w:tc>
          <w:tcPr>
            <w:tcW w:w="236" w:type="dxa"/>
            <w:tcBorders>
              <w:top w:val="nil"/>
              <w:left w:val="nil"/>
              <w:bottom w:val="nil"/>
              <w:right w:val="nil"/>
            </w:tcBorders>
          </w:tcPr>
          <w:p w14:paraId="7EF9366B" w14:textId="77777777" w:rsidR="004E6E00" w:rsidRPr="00540940" w:rsidRDefault="004E6E00" w:rsidP="00B26889">
            <w:pPr>
              <w:rPr>
                <w:rFonts w:eastAsia="Times New Roman"/>
                <w:bCs/>
                <w:sz w:val="6"/>
                <w:szCs w:val="6"/>
              </w:rPr>
            </w:pPr>
          </w:p>
        </w:tc>
        <w:tc>
          <w:tcPr>
            <w:tcW w:w="1694" w:type="dxa"/>
            <w:tcBorders>
              <w:top w:val="nil"/>
              <w:left w:val="nil"/>
              <w:bottom w:val="nil"/>
              <w:right w:val="nil"/>
            </w:tcBorders>
          </w:tcPr>
          <w:p w14:paraId="39A9ADF8" w14:textId="77777777" w:rsidR="004E6E00" w:rsidRPr="00540940" w:rsidRDefault="004E6E00" w:rsidP="00B26889">
            <w:pPr>
              <w:rPr>
                <w:rFonts w:eastAsia="Times New Roman"/>
                <w:bCs/>
                <w:sz w:val="6"/>
                <w:szCs w:val="6"/>
              </w:rPr>
            </w:pPr>
          </w:p>
        </w:tc>
        <w:tc>
          <w:tcPr>
            <w:tcW w:w="1694" w:type="dxa"/>
            <w:tcBorders>
              <w:top w:val="nil"/>
              <w:left w:val="nil"/>
              <w:bottom w:val="nil"/>
              <w:right w:val="nil"/>
            </w:tcBorders>
          </w:tcPr>
          <w:p w14:paraId="3D83C9C0" w14:textId="77777777" w:rsidR="004E6E00" w:rsidRPr="00540940" w:rsidRDefault="004E6E00" w:rsidP="00B26889">
            <w:pPr>
              <w:rPr>
                <w:rFonts w:eastAsia="Times New Roman"/>
                <w:bCs/>
                <w:sz w:val="6"/>
                <w:szCs w:val="6"/>
              </w:rPr>
            </w:pPr>
          </w:p>
        </w:tc>
        <w:tc>
          <w:tcPr>
            <w:tcW w:w="1694" w:type="dxa"/>
            <w:tcBorders>
              <w:top w:val="nil"/>
              <w:left w:val="nil"/>
              <w:bottom w:val="nil"/>
              <w:right w:val="nil"/>
            </w:tcBorders>
          </w:tcPr>
          <w:p w14:paraId="03DFAF9C" w14:textId="77777777" w:rsidR="004E6E00" w:rsidRPr="00540940" w:rsidRDefault="004E6E00" w:rsidP="00B26889">
            <w:pPr>
              <w:rPr>
                <w:rFonts w:eastAsia="Times New Roman"/>
                <w:bCs/>
                <w:sz w:val="6"/>
                <w:szCs w:val="6"/>
              </w:rPr>
            </w:pPr>
          </w:p>
        </w:tc>
      </w:tr>
      <w:tr w:rsidR="004E6E00" w14:paraId="69BD3DAC" w14:textId="77777777" w:rsidTr="00B26889">
        <w:tc>
          <w:tcPr>
            <w:tcW w:w="3295" w:type="dxa"/>
            <w:tcBorders>
              <w:top w:val="nil"/>
              <w:left w:val="nil"/>
              <w:bottom w:val="nil"/>
              <w:right w:val="nil"/>
            </w:tcBorders>
          </w:tcPr>
          <w:p w14:paraId="0F08105D" w14:textId="77777777" w:rsidR="004E6E00" w:rsidRPr="00540940" w:rsidRDefault="004E6E00" w:rsidP="00B26889">
            <w:pPr>
              <w:rPr>
                <w:rFonts w:eastAsia="Times New Roman"/>
                <w:bCs/>
                <w:sz w:val="22"/>
                <w:szCs w:val="22"/>
              </w:rPr>
            </w:pPr>
            <m:oMathPara>
              <m:oMathParaPr>
                <m:jc m:val="left"/>
              </m:oMathParaPr>
              <m:oMath>
                <m:r>
                  <w:rPr>
                    <w:rFonts w:ascii="Cambria Math" w:eastAsia="Times New Roman" w:hAnsi="Cambria Math"/>
                    <w:sz w:val="22"/>
                    <w:szCs w:val="22"/>
                  </w:rPr>
                  <m:t>ln</m:t>
                </m:r>
                <m:d>
                  <m:dPr>
                    <m:ctrlPr>
                      <w:rPr>
                        <w:rFonts w:ascii="Cambria Math" w:eastAsia="Times New Roman" w:hAnsi="Cambria Math"/>
                        <w:bCs/>
                        <w:i/>
                        <w:sz w:val="22"/>
                        <w:szCs w:val="22"/>
                      </w:rPr>
                    </m:ctrlPr>
                  </m:dPr>
                  <m:e>
                    <m:f>
                      <m:fPr>
                        <m:type m:val="lin"/>
                        <m:ctrlPr>
                          <w:rPr>
                            <w:rFonts w:ascii="Cambria Math" w:eastAsia="Times New Roman" w:hAnsi="Cambria Math"/>
                            <w:bCs/>
                            <w:i/>
                            <w:sz w:val="22"/>
                            <w:szCs w:val="22"/>
                          </w:rPr>
                        </m:ctrlPr>
                      </m:fPr>
                      <m:num>
                        <m:r>
                          <w:rPr>
                            <w:rFonts w:ascii="Cambria Math" w:eastAsia="Times New Roman" w:hAnsi="Cambria Math"/>
                            <w:sz w:val="22"/>
                            <w:szCs w:val="22"/>
                          </w:rPr>
                          <m:t xml:space="preserve">sum </m:t>
                        </m:r>
                        <m:sSub>
                          <m:sSubPr>
                            <m:ctrlPr>
                              <w:rPr>
                                <w:rFonts w:ascii="Cambria Math" w:eastAsia="Times New Roman" w:hAnsi="Cambria Math"/>
                                <w:bCs/>
                                <w:i/>
                                <w:sz w:val="22"/>
                                <w:szCs w:val="22"/>
                              </w:rPr>
                            </m:ctrlPr>
                          </m:sSubPr>
                          <m:e>
                            <m:r>
                              <w:rPr>
                                <w:rFonts w:ascii="Cambria Math" w:eastAsia="Times New Roman" w:hAnsi="Cambria Math"/>
                                <w:sz w:val="22"/>
                                <w:szCs w:val="22"/>
                              </w:rPr>
                              <m:t>lights</m:t>
                            </m:r>
                          </m:e>
                          <m:sub>
                            <m:r>
                              <w:rPr>
                                <w:rFonts w:ascii="Cambria Math" w:eastAsia="Times New Roman" w:hAnsi="Cambria Math"/>
                                <w:sz w:val="22"/>
                                <w:szCs w:val="22"/>
                              </w:rPr>
                              <m:t>it</m:t>
                            </m:r>
                          </m:sub>
                        </m:sSub>
                      </m:num>
                      <m:den>
                        <m:sSub>
                          <m:sSubPr>
                            <m:ctrlPr>
                              <w:rPr>
                                <w:rFonts w:ascii="Cambria Math" w:eastAsia="Times New Roman" w:hAnsi="Cambria Math"/>
                                <w:bCs/>
                                <w:i/>
                                <w:sz w:val="22"/>
                                <w:szCs w:val="22"/>
                              </w:rPr>
                            </m:ctrlPr>
                          </m:sSubPr>
                          <m:e>
                            <m:r>
                              <w:rPr>
                                <w:rFonts w:ascii="Cambria Math" w:eastAsia="Times New Roman" w:hAnsi="Cambria Math"/>
                                <w:sz w:val="22"/>
                                <w:szCs w:val="22"/>
                              </w:rPr>
                              <m:t>sum lights</m:t>
                            </m:r>
                          </m:e>
                          <m:sub>
                            <m:r>
                              <w:rPr>
                                <w:rFonts w:ascii="Cambria Math" w:eastAsia="Times New Roman" w:hAnsi="Cambria Math"/>
                                <w:sz w:val="22"/>
                                <w:szCs w:val="22"/>
                              </w:rPr>
                              <m:t>it-4</m:t>
                            </m:r>
                          </m:sub>
                        </m:sSub>
                      </m:den>
                    </m:f>
                  </m:e>
                </m:d>
              </m:oMath>
            </m:oMathPara>
          </w:p>
        </w:tc>
        <w:tc>
          <w:tcPr>
            <w:tcW w:w="1697" w:type="dxa"/>
            <w:tcBorders>
              <w:top w:val="nil"/>
              <w:left w:val="nil"/>
              <w:bottom w:val="nil"/>
              <w:right w:val="nil"/>
            </w:tcBorders>
          </w:tcPr>
          <w:p w14:paraId="4368785B" w14:textId="77777777" w:rsidR="004E6E00" w:rsidRDefault="004E6E00" w:rsidP="00B26889">
            <w:pPr>
              <w:tabs>
                <w:tab w:val="decimal" w:pos="454"/>
              </w:tabs>
              <w:rPr>
                <w:rFonts w:eastAsia="Times New Roman"/>
                <w:bCs/>
                <w:sz w:val="22"/>
                <w:szCs w:val="22"/>
              </w:rPr>
            </w:pPr>
          </w:p>
        </w:tc>
        <w:tc>
          <w:tcPr>
            <w:tcW w:w="1695" w:type="dxa"/>
            <w:tcBorders>
              <w:top w:val="nil"/>
              <w:left w:val="nil"/>
              <w:bottom w:val="nil"/>
              <w:right w:val="nil"/>
            </w:tcBorders>
          </w:tcPr>
          <w:p w14:paraId="19DE1A38" w14:textId="77777777" w:rsidR="004E6E00" w:rsidRDefault="004E6E00" w:rsidP="00B26889">
            <w:pPr>
              <w:tabs>
                <w:tab w:val="decimal" w:pos="454"/>
              </w:tabs>
              <w:rPr>
                <w:rFonts w:eastAsia="Times New Roman"/>
                <w:bCs/>
                <w:sz w:val="22"/>
                <w:szCs w:val="22"/>
              </w:rPr>
            </w:pPr>
          </w:p>
        </w:tc>
        <w:tc>
          <w:tcPr>
            <w:tcW w:w="1694" w:type="dxa"/>
            <w:tcBorders>
              <w:top w:val="nil"/>
              <w:left w:val="nil"/>
              <w:bottom w:val="nil"/>
              <w:right w:val="nil"/>
            </w:tcBorders>
          </w:tcPr>
          <w:p w14:paraId="78A0A40B" w14:textId="77777777" w:rsidR="004E6E00" w:rsidRDefault="004E6E00" w:rsidP="00B26889">
            <w:pPr>
              <w:tabs>
                <w:tab w:val="decimal" w:pos="454"/>
              </w:tabs>
              <w:rPr>
                <w:rFonts w:eastAsia="Times New Roman"/>
                <w:bCs/>
                <w:sz w:val="22"/>
                <w:szCs w:val="22"/>
              </w:rPr>
            </w:pPr>
            <w:r>
              <w:rPr>
                <w:rFonts w:eastAsia="Times New Roman"/>
                <w:bCs/>
                <w:sz w:val="22"/>
                <w:szCs w:val="22"/>
              </w:rPr>
              <w:t>-0.006***</w:t>
            </w:r>
          </w:p>
        </w:tc>
        <w:tc>
          <w:tcPr>
            <w:tcW w:w="236" w:type="dxa"/>
            <w:tcBorders>
              <w:top w:val="nil"/>
              <w:left w:val="nil"/>
              <w:bottom w:val="nil"/>
              <w:right w:val="nil"/>
            </w:tcBorders>
          </w:tcPr>
          <w:p w14:paraId="45C221B2"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4393927D"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0F67A3AC"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15FEC44B" w14:textId="77777777" w:rsidR="004E6E00" w:rsidRDefault="004E6E00" w:rsidP="00B26889">
            <w:pPr>
              <w:rPr>
                <w:rFonts w:eastAsia="Times New Roman"/>
                <w:bCs/>
                <w:sz w:val="22"/>
                <w:szCs w:val="22"/>
              </w:rPr>
            </w:pPr>
          </w:p>
        </w:tc>
      </w:tr>
      <w:tr w:rsidR="004E6E00" w14:paraId="5A49583A" w14:textId="77777777" w:rsidTr="00B26889">
        <w:tc>
          <w:tcPr>
            <w:tcW w:w="3295" w:type="dxa"/>
            <w:tcBorders>
              <w:top w:val="nil"/>
              <w:left w:val="nil"/>
              <w:bottom w:val="nil"/>
              <w:right w:val="nil"/>
            </w:tcBorders>
          </w:tcPr>
          <w:p w14:paraId="1BF3D3D1" w14:textId="77777777" w:rsidR="004E6E00" w:rsidRDefault="004E6E00" w:rsidP="00B26889">
            <w:pPr>
              <w:rPr>
                <w:rFonts w:eastAsia="Times New Roman"/>
                <w:bCs/>
                <w:sz w:val="22"/>
                <w:szCs w:val="22"/>
              </w:rPr>
            </w:pPr>
          </w:p>
        </w:tc>
        <w:tc>
          <w:tcPr>
            <w:tcW w:w="1697" w:type="dxa"/>
            <w:tcBorders>
              <w:top w:val="nil"/>
              <w:left w:val="nil"/>
              <w:bottom w:val="nil"/>
              <w:right w:val="nil"/>
            </w:tcBorders>
          </w:tcPr>
          <w:p w14:paraId="7411B4B7" w14:textId="77777777" w:rsidR="004E6E00" w:rsidRDefault="004E6E00" w:rsidP="00B26889">
            <w:pPr>
              <w:tabs>
                <w:tab w:val="decimal" w:pos="454"/>
              </w:tabs>
              <w:rPr>
                <w:rFonts w:eastAsia="Times New Roman"/>
                <w:bCs/>
                <w:sz w:val="22"/>
                <w:szCs w:val="22"/>
              </w:rPr>
            </w:pPr>
          </w:p>
        </w:tc>
        <w:tc>
          <w:tcPr>
            <w:tcW w:w="1695" w:type="dxa"/>
            <w:tcBorders>
              <w:top w:val="nil"/>
              <w:left w:val="nil"/>
              <w:bottom w:val="nil"/>
              <w:right w:val="nil"/>
            </w:tcBorders>
          </w:tcPr>
          <w:p w14:paraId="664ECEBC" w14:textId="77777777" w:rsidR="004E6E00" w:rsidRDefault="004E6E00" w:rsidP="00B26889">
            <w:pPr>
              <w:tabs>
                <w:tab w:val="decimal" w:pos="454"/>
              </w:tabs>
              <w:rPr>
                <w:rFonts w:eastAsia="Times New Roman"/>
                <w:bCs/>
                <w:sz w:val="22"/>
                <w:szCs w:val="22"/>
              </w:rPr>
            </w:pPr>
          </w:p>
        </w:tc>
        <w:tc>
          <w:tcPr>
            <w:tcW w:w="1694" w:type="dxa"/>
            <w:tcBorders>
              <w:top w:val="nil"/>
              <w:left w:val="nil"/>
              <w:bottom w:val="nil"/>
              <w:right w:val="nil"/>
            </w:tcBorders>
          </w:tcPr>
          <w:p w14:paraId="785DDEAE" w14:textId="77777777" w:rsidR="004E6E00" w:rsidRDefault="004E6E00" w:rsidP="00B26889">
            <w:pPr>
              <w:tabs>
                <w:tab w:val="decimal" w:pos="454"/>
              </w:tabs>
              <w:rPr>
                <w:rFonts w:eastAsia="Times New Roman"/>
                <w:bCs/>
                <w:sz w:val="22"/>
                <w:szCs w:val="22"/>
              </w:rPr>
            </w:pPr>
            <w:r>
              <w:rPr>
                <w:rFonts w:eastAsia="Times New Roman"/>
                <w:bCs/>
                <w:sz w:val="22"/>
                <w:szCs w:val="22"/>
              </w:rPr>
              <w:t>(0.002)</w:t>
            </w:r>
          </w:p>
        </w:tc>
        <w:tc>
          <w:tcPr>
            <w:tcW w:w="236" w:type="dxa"/>
            <w:tcBorders>
              <w:top w:val="nil"/>
              <w:left w:val="nil"/>
              <w:bottom w:val="nil"/>
              <w:right w:val="nil"/>
            </w:tcBorders>
          </w:tcPr>
          <w:p w14:paraId="4434B7FD"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35834BA3"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08F9872E"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67C3B6D1" w14:textId="77777777" w:rsidR="004E6E00" w:rsidRDefault="004E6E00" w:rsidP="00B26889">
            <w:pPr>
              <w:rPr>
                <w:rFonts w:eastAsia="Times New Roman"/>
                <w:bCs/>
                <w:sz w:val="22"/>
                <w:szCs w:val="22"/>
              </w:rPr>
            </w:pPr>
          </w:p>
        </w:tc>
      </w:tr>
      <w:tr w:rsidR="004E6E00" w14:paraId="72D4E121" w14:textId="77777777" w:rsidTr="00B26889">
        <w:tc>
          <w:tcPr>
            <w:tcW w:w="3295" w:type="dxa"/>
            <w:tcBorders>
              <w:top w:val="nil"/>
              <w:left w:val="nil"/>
              <w:bottom w:val="nil"/>
              <w:right w:val="nil"/>
            </w:tcBorders>
          </w:tcPr>
          <w:p w14:paraId="4ACA7CEA" w14:textId="77777777" w:rsidR="004E6E00" w:rsidRPr="00B85B32" w:rsidRDefault="004E6E00" w:rsidP="00B26889">
            <w:pPr>
              <w:rPr>
                <w:rFonts w:eastAsia="Times New Roman"/>
                <w:bCs/>
                <w:sz w:val="6"/>
                <w:szCs w:val="6"/>
              </w:rPr>
            </w:pPr>
          </w:p>
        </w:tc>
        <w:tc>
          <w:tcPr>
            <w:tcW w:w="1697" w:type="dxa"/>
            <w:tcBorders>
              <w:top w:val="nil"/>
              <w:left w:val="nil"/>
              <w:bottom w:val="nil"/>
              <w:right w:val="nil"/>
            </w:tcBorders>
          </w:tcPr>
          <w:p w14:paraId="552700A9" w14:textId="77777777" w:rsidR="004E6E00" w:rsidRPr="00B85B32" w:rsidRDefault="004E6E00" w:rsidP="00B26889">
            <w:pPr>
              <w:tabs>
                <w:tab w:val="decimal" w:pos="454"/>
              </w:tabs>
              <w:rPr>
                <w:rFonts w:eastAsia="Times New Roman"/>
                <w:bCs/>
                <w:sz w:val="6"/>
                <w:szCs w:val="6"/>
              </w:rPr>
            </w:pPr>
          </w:p>
        </w:tc>
        <w:tc>
          <w:tcPr>
            <w:tcW w:w="1695" w:type="dxa"/>
            <w:tcBorders>
              <w:top w:val="nil"/>
              <w:left w:val="nil"/>
              <w:bottom w:val="nil"/>
              <w:right w:val="nil"/>
            </w:tcBorders>
          </w:tcPr>
          <w:p w14:paraId="54514390" w14:textId="77777777" w:rsidR="004E6E00" w:rsidRPr="00B85B32" w:rsidRDefault="004E6E00" w:rsidP="00B26889">
            <w:pPr>
              <w:tabs>
                <w:tab w:val="decimal" w:pos="454"/>
              </w:tabs>
              <w:rPr>
                <w:rFonts w:eastAsia="Times New Roman"/>
                <w:bCs/>
                <w:sz w:val="6"/>
                <w:szCs w:val="6"/>
              </w:rPr>
            </w:pPr>
          </w:p>
        </w:tc>
        <w:tc>
          <w:tcPr>
            <w:tcW w:w="1694" w:type="dxa"/>
            <w:tcBorders>
              <w:top w:val="nil"/>
              <w:left w:val="nil"/>
              <w:bottom w:val="nil"/>
              <w:right w:val="nil"/>
            </w:tcBorders>
          </w:tcPr>
          <w:p w14:paraId="4C99C1EE" w14:textId="77777777" w:rsidR="004E6E00" w:rsidRPr="00B85B32" w:rsidRDefault="004E6E00" w:rsidP="00B26889">
            <w:pPr>
              <w:rPr>
                <w:rFonts w:eastAsia="Times New Roman"/>
                <w:bCs/>
                <w:sz w:val="6"/>
                <w:szCs w:val="6"/>
              </w:rPr>
            </w:pPr>
          </w:p>
        </w:tc>
        <w:tc>
          <w:tcPr>
            <w:tcW w:w="236" w:type="dxa"/>
            <w:tcBorders>
              <w:top w:val="nil"/>
              <w:left w:val="nil"/>
              <w:bottom w:val="nil"/>
              <w:right w:val="nil"/>
            </w:tcBorders>
          </w:tcPr>
          <w:p w14:paraId="41B1A067" w14:textId="77777777" w:rsidR="004E6E00" w:rsidRPr="00B85B32" w:rsidRDefault="004E6E00" w:rsidP="00B26889">
            <w:pPr>
              <w:rPr>
                <w:rFonts w:eastAsia="Times New Roman"/>
                <w:bCs/>
                <w:sz w:val="6"/>
                <w:szCs w:val="6"/>
              </w:rPr>
            </w:pPr>
          </w:p>
        </w:tc>
        <w:tc>
          <w:tcPr>
            <w:tcW w:w="1694" w:type="dxa"/>
            <w:tcBorders>
              <w:top w:val="nil"/>
              <w:left w:val="nil"/>
              <w:bottom w:val="nil"/>
              <w:right w:val="nil"/>
            </w:tcBorders>
          </w:tcPr>
          <w:p w14:paraId="56635A32" w14:textId="77777777" w:rsidR="004E6E00" w:rsidRPr="00B85B32" w:rsidRDefault="004E6E00" w:rsidP="00B26889">
            <w:pPr>
              <w:rPr>
                <w:rFonts w:eastAsia="Times New Roman"/>
                <w:bCs/>
                <w:sz w:val="6"/>
                <w:szCs w:val="6"/>
              </w:rPr>
            </w:pPr>
          </w:p>
        </w:tc>
        <w:tc>
          <w:tcPr>
            <w:tcW w:w="1694" w:type="dxa"/>
            <w:tcBorders>
              <w:top w:val="nil"/>
              <w:left w:val="nil"/>
              <w:bottom w:val="nil"/>
              <w:right w:val="nil"/>
            </w:tcBorders>
          </w:tcPr>
          <w:p w14:paraId="3C8814A5" w14:textId="77777777" w:rsidR="004E6E00" w:rsidRPr="00B85B32" w:rsidRDefault="004E6E00" w:rsidP="00B26889">
            <w:pPr>
              <w:rPr>
                <w:rFonts w:eastAsia="Times New Roman"/>
                <w:bCs/>
                <w:sz w:val="6"/>
                <w:szCs w:val="6"/>
              </w:rPr>
            </w:pPr>
          </w:p>
        </w:tc>
        <w:tc>
          <w:tcPr>
            <w:tcW w:w="1694" w:type="dxa"/>
            <w:tcBorders>
              <w:top w:val="nil"/>
              <w:left w:val="nil"/>
              <w:bottom w:val="nil"/>
              <w:right w:val="nil"/>
            </w:tcBorders>
          </w:tcPr>
          <w:p w14:paraId="4B8CC7AC" w14:textId="77777777" w:rsidR="004E6E00" w:rsidRPr="00B85B32" w:rsidRDefault="004E6E00" w:rsidP="00B26889">
            <w:pPr>
              <w:rPr>
                <w:rFonts w:eastAsia="Times New Roman"/>
                <w:bCs/>
                <w:sz w:val="6"/>
                <w:szCs w:val="6"/>
              </w:rPr>
            </w:pPr>
          </w:p>
        </w:tc>
      </w:tr>
      <w:tr w:rsidR="004E6E00" w14:paraId="4611DD6B" w14:textId="77777777" w:rsidTr="00B26889">
        <w:tc>
          <w:tcPr>
            <w:tcW w:w="3295" w:type="dxa"/>
            <w:tcBorders>
              <w:top w:val="nil"/>
              <w:left w:val="nil"/>
              <w:bottom w:val="nil"/>
              <w:right w:val="nil"/>
            </w:tcBorders>
          </w:tcPr>
          <w:p w14:paraId="6BCDB269" w14:textId="77777777" w:rsidR="004E6E00" w:rsidRPr="00B85B32" w:rsidRDefault="004E6E00" w:rsidP="00B26889">
            <w:pPr>
              <w:rPr>
                <w:rFonts w:eastAsia="Times New Roman"/>
                <w:bCs/>
                <w:sz w:val="6"/>
                <w:szCs w:val="6"/>
              </w:rPr>
            </w:pPr>
          </w:p>
        </w:tc>
        <w:tc>
          <w:tcPr>
            <w:tcW w:w="1697" w:type="dxa"/>
            <w:tcBorders>
              <w:top w:val="nil"/>
              <w:left w:val="nil"/>
              <w:bottom w:val="nil"/>
              <w:right w:val="nil"/>
            </w:tcBorders>
          </w:tcPr>
          <w:p w14:paraId="4D425710" w14:textId="77777777" w:rsidR="004E6E00" w:rsidRPr="00B85B32" w:rsidRDefault="004E6E00" w:rsidP="00B26889">
            <w:pPr>
              <w:tabs>
                <w:tab w:val="decimal" w:pos="454"/>
              </w:tabs>
              <w:rPr>
                <w:rFonts w:eastAsia="Times New Roman"/>
                <w:bCs/>
                <w:sz w:val="6"/>
                <w:szCs w:val="6"/>
              </w:rPr>
            </w:pPr>
          </w:p>
        </w:tc>
        <w:tc>
          <w:tcPr>
            <w:tcW w:w="1695" w:type="dxa"/>
            <w:tcBorders>
              <w:top w:val="nil"/>
              <w:left w:val="nil"/>
              <w:bottom w:val="nil"/>
              <w:right w:val="nil"/>
            </w:tcBorders>
          </w:tcPr>
          <w:p w14:paraId="0512D077" w14:textId="77777777" w:rsidR="004E6E00" w:rsidRPr="00B85B32" w:rsidRDefault="004E6E00" w:rsidP="00B26889">
            <w:pPr>
              <w:tabs>
                <w:tab w:val="decimal" w:pos="454"/>
              </w:tabs>
              <w:rPr>
                <w:rFonts w:eastAsia="Times New Roman"/>
                <w:bCs/>
                <w:sz w:val="6"/>
                <w:szCs w:val="6"/>
              </w:rPr>
            </w:pPr>
          </w:p>
        </w:tc>
        <w:tc>
          <w:tcPr>
            <w:tcW w:w="1694" w:type="dxa"/>
            <w:tcBorders>
              <w:top w:val="nil"/>
              <w:left w:val="nil"/>
              <w:bottom w:val="nil"/>
              <w:right w:val="nil"/>
            </w:tcBorders>
          </w:tcPr>
          <w:p w14:paraId="3DD41BEE" w14:textId="77777777" w:rsidR="004E6E00" w:rsidRPr="00B85B32" w:rsidRDefault="004E6E00" w:rsidP="00B26889">
            <w:pPr>
              <w:rPr>
                <w:rFonts w:eastAsia="Times New Roman"/>
                <w:bCs/>
                <w:sz w:val="6"/>
                <w:szCs w:val="6"/>
              </w:rPr>
            </w:pPr>
          </w:p>
        </w:tc>
        <w:tc>
          <w:tcPr>
            <w:tcW w:w="236" w:type="dxa"/>
            <w:tcBorders>
              <w:top w:val="nil"/>
              <w:left w:val="nil"/>
              <w:bottom w:val="nil"/>
              <w:right w:val="nil"/>
            </w:tcBorders>
          </w:tcPr>
          <w:p w14:paraId="0D4043DE" w14:textId="77777777" w:rsidR="004E6E00" w:rsidRPr="00B85B32" w:rsidRDefault="004E6E00" w:rsidP="00B26889">
            <w:pPr>
              <w:rPr>
                <w:rFonts w:eastAsia="Times New Roman"/>
                <w:bCs/>
                <w:sz w:val="6"/>
                <w:szCs w:val="6"/>
              </w:rPr>
            </w:pPr>
          </w:p>
        </w:tc>
        <w:tc>
          <w:tcPr>
            <w:tcW w:w="1694" w:type="dxa"/>
            <w:tcBorders>
              <w:top w:val="nil"/>
              <w:left w:val="nil"/>
              <w:bottom w:val="nil"/>
              <w:right w:val="nil"/>
            </w:tcBorders>
          </w:tcPr>
          <w:p w14:paraId="75785D48" w14:textId="77777777" w:rsidR="004E6E00" w:rsidRPr="00B85B32" w:rsidRDefault="004E6E00" w:rsidP="00B26889">
            <w:pPr>
              <w:rPr>
                <w:rFonts w:eastAsia="Times New Roman"/>
                <w:bCs/>
                <w:sz w:val="6"/>
                <w:szCs w:val="6"/>
              </w:rPr>
            </w:pPr>
          </w:p>
        </w:tc>
        <w:tc>
          <w:tcPr>
            <w:tcW w:w="1694" w:type="dxa"/>
            <w:tcBorders>
              <w:top w:val="nil"/>
              <w:left w:val="nil"/>
              <w:bottom w:val="nil"/>
              <w:right w:val="nil"/>
            </w:tcBorders>
          </w:tcPr>
          <w:p w14:paraId="259F97DB" w14:textId="77777777" w:rsidR="004E6E00" w:rsidRPr="00B85B32" w:rsidRDefault="004E6E00" w:rsidP="00B26889">
            <w:pPr>
              <w:rPr>
                <w:rFonts w:eastAsia="Times New Roman"/>
                <w:bCs/>
                <w:sz w:val="6"/>
                <w:szCs w:val="6"/>
              </w:rPr>
            </w:pPr>
          </w:p>
        </w:tc>
        <w:tc>
          <w:tcPr>
            <w:tcW w:w="1694" w:type="dxa"/>
            <w:tcBorders>
              <w:top w:val="nil"/>
              <w:left w:val="nil"/>
              <w:bottom w:val="nil"/>
              <w:right w:val="nil"/>
            </w:tcBorders>
          </w:tcPr>
          <w:p w14:paraId="76917A68" w14:textId="77777777" w:rsidR="004E6E00" w:rsidRPr="00B85B32" w:rsidRDefault="004E6E00" w:rsidP="00B26889">
            <w:pPr>
              <w:rPr>
                <w:rFonts w:eastAsia="Times New Roman"/>
                <w:bCs/>
                <w:sz w:val="6"/>
                <w:szCs w:val="6"/>
              </w:rPr>
            </w:pPr>
          </w:p>
        </w:tc>
      </w:tr>
      <w:tr w:rsidR="004E6E00" w14:paraId="0818674A" w14:textId="77777777" w:rsidTr="00B26889">
        <w:tc>
          <w:tcPr>
            <w:tcW w:w="3295" w:type="dxa"/>
            <w:tcBorders>
              <w:top w:val="nil"/>
              <w:left w:val="nil"/>
              <w:bottom w:val="nil"/>
              <w:right w:val="nil"/>
            </w:tcBorders>
          </w:tcPr>
          <w:p w14:paraId="3668329B" w14:textId="77777777" w:rsidR="004E6E00" w:rsidRDefault="004E6E00" w:rsidP="00B26889">
            <w:pPr>
              <w:rPr>
                <w:rFonts w:eastAsia="Times New Roman"/>
                <w:bCs/>
                <w:sz w:val="22"/>
                <w:szCs w:val="22"/>
              </w:rPr>
            </w:pPr>
            <w:r>
              <w:rPr>
                <w:rFonts w:eastAsia="Times New Roman"/>
                <w:bCs/>
                <w:sz w:val="22"/>
                <w:szCs w:val="22"/>
              </w:rPr>
              <w:t>Number of observations</w:t>
            </w:r>
          </w:p>
        </w:tc>
        <w:tc>
          <w:tcPr>
            <w:tcW w:w="1697" w:type="dxa"/>
            <w:tcBorders>
              <w:top w:val="nil"/>
              <w:left w:val="nil"/>
              <w:bottom w:val="nil"/>
              <w:right w:val="nil"/>
            </w:tcBorders>
          </w:tcPr>
          <w:p w14:paraId="566A2AE4" w14:textId="77777777" w:rsidR="004E6E00" w:rsidRDefault="004E6E00" w:rsidP="00B26889">
            <w:pPr>
              <w:tabs>
                <w:tab w:val="decimal" w:pos="454"/>
              </w:tabs>
              <w:ind w:right="284"/>
              <w:jc w:val="center"/>
              <w:rPr>
                <w:rFonts w:eastAsia="Times New Roman"/>
                <w:bCs/>
                <w:sz w:val="22"/>
                <w:szCs w:val="22"/>
              </w:rPr>
            </w:pPr>
            <w:r>
              <w:rPr>
                <w:rFonts w:eastAsia="Times New Roman"/>
                <w:bCs/>
                <w:sz w:val="22"/>
                <w:szCs w:val="22"/>
              </w:rPr>
              <w:t>1173</w:t>
            </w:r>
          </w:p>
        </w:tc>
        <w:tc>
          <w:tcPr>
            <w:tcW w:w="1695" w:type="dxa"/>
            <w:tcBorders>
              <w:top w:val="nil"/>
              <w:left w:val="nil"/>
              <w:bottom w:val="nil"/>
              <w:right w:val="nil"/>
            </w:tcBorders>
          </w:tcPr>
          <w:p w14:paraId="41FC4AB7" w14:textId="77777777" w:rsidR="004E6E00" w:rsidRDefault="004E6E00" w:rsidP="00B26889">
            <w:pPr>
              <w:tabs>
                <w:tab w:val="decimal" w:pos="454"/>
              </w:tabs>
              <w:ind w:right="284"/>
              <w:jc w:val="center"/>
              <w:rPr>
                <w:rFonts w:eastAsia="Times New Roman"/>
                <w:bCs/>
                <w:sz w:val="22"/>
                <w:szCs w:val="22"/>
              </w:rPr>
            </w:pPr>
            <w:r>
              <w:rPr>
                <w:rFonts w:eastAsia="Times New Roman"/>
                <w:bCs/>
                <w:sz w:val="22"/>
                <w:szCs w:val="22"/>
              </w:rPr>
              <w:t>1122</w:t>
            </w:r>
          </w:p>
        </w:tc>
        <w:tc>
          <w:tcPr>
            <w:tcW w:w="1694" w:type="dxa"/>
            <w:tcBorders>
              <w:top w:val="nil"/>
              <w:left w:val="nil"/>
              <w:bottom w:val="nil"/>
              <w:right w:val="nil"/>
            </w:tcBorders>
          </w:tcPr>
          <w:p w14:paraId="06CB18D0" w14:textId="77777777" w:rsidR="004E6E00" w:rsidRDefault="004E6E00" w:rsidP="00B26889">
            <w:pPr>
              <w:ind w:right="284"/>
              <w:jc w:val="center"/>
              <w:rPr>
                <w:rFonts w:eastAsia="Times New Roman"/>
                <w:bCs/>
                <w:sz w:val="22"/>
                <w:szCs w:val="22"/>
              </w:rPr>
            </w:pPr>
            <w:r>
              <w:rPr>
                <w:rFonts w:eastAsia="Times New Roman"/>
                <w:bCs/>
                <w:sz w:val="22"/>
                <w:szCs w:val="22"/>
              </w:rPr>
              <w:t>969</w:t>
            </w:r>
          </w:p>
        </w:tc>
        <w:tc>
          <w:tcPr>
            <w:tcW w:w="236" w:type="dxa"/>
            <w:tcBorders>
              <w:top w:val="nil"/>
              <w:left w:val="nil"/>
              <w:bottom w:val="nil"/>
              <w:right w:val="nil"/>
            </w:tcBorders>
          </w:tcPr>
          <w:p w14:paraId="38839E3B" w14:textId="77777777" w:rsidR="004E6E00" w:rsidRDefault="004E6E00" w:rsidP="00B26889">
            <w:pPr>
              <w:ind w:right="170"/>
              <w:jc w:val="center"/>
              <w:rPr>
                <w:rFonts w:eastAsia="Times New Roman"/>
                <w:bCs/>
                <w:sz w:val="22"/>
                <w:szCs w:val="22"/>
              </w:rPr>
            </w:pPr>
          </w:p>
        </w:tc>
        <w:tc>
          <w:tcPr>
            <w:tcW w:w="1694" w:type="dxa"/>
            <w:tcBorders>
              <w:top w:val="nil"/>
              <w:left w:val="nil"/>
              <w:bottom w:val="nil"/>
              <w:right w:val="nil"/>
            </w:tcBorders>
          </w:tcPr>
          <w:p w14:paraId="2C5A1FE4" w14:textId="77777777" w:rsidR="004E6E00" w:rsidRDefault="004E6E00" w:rsidP="00B26889">
            <w:pPr>
              <w:ind w:right="340"/>
              <w:jc w:val="center"/>
              <w:rPr>
                <w:rFonts w:eastAsia="Times New Roman"/>
                <w:bCs/>
                <w:sz w:val="22"/>
                <w:szCs w:val="22"/>
              </w:rPr>
            </w:pPr>
            <w:r>
              <w:rPr>
                <w:rFonts w:eastAsia="Times New Roman"/>
                <w:bCs/>
                <w:sz w:val="22"/>
                <w:szCs w:val="22"/>
              </w:rPr>
              <w:t>1123</w:t>
            </w:r>
          </w:p>
        </w:tc>
        <w:tc>
          <w:tcPr>
            <w:tcW w:w="1694" w:type="dxa"/>
            <w:tcBorders>
              <w:top w:val="nil"/>
              <w:left w:val="nil"/>
              <w:bottom w:val="nil"/>
              <w:right w:val="nil"/>
            </w:tcBorders>
          </w:tcPr>
          <w:p w14:paraId="18863B3B" w14:textId="77777777" w:rsidR="004E6E00" w:rsidRDefault="004E6E00" w:rsidP="00B26889">
            <w:pPr>
              <w:ind w:right="340"/>
              <w:jc w:val="center"/>
              <w:rPr>
                <w:rFonts w:eastAsia="Times New Roman"/>
                <w:bCs/>
                <w:sz w:val="22"/>
                <w:szCs w:val="22"/>
              </w:rPr>
            </w:pPr>
            <w:r>
              <w:rPr>
                <w:rFonts w:eastAsia="Times New Roman"/>
                <w:bCs/>
                <w:sz w:val="22"/>
                <w:szCs w:val="22"/>
              </w:rPr>
              <w:t>1165</w:t>
            </w:r>
          </w:p>
        </w:tc>
        <w:tc>
          <w:tcPr>
            <w:tcW w:w="1694" w:type="dxa"/>
            <w:tcBorders>
              <w:top w:val="nil"/>
              <w:left w:val="nil"/>
              <w:bottom w:val="nil"/>
              <w:right w:val="nil"/>
            </w:tcBorders>
          </w:tcPr>
          <w:p w14:paraId="709B1242" w14:textId="77777777" w:rsidR="004E6E00" w:rsidRDefault="004E6E00" w:rsidP="00B26889">
            <w:pPr>
              <w:ind w:right="340"/>
              <w:jc w:val="center"/>
              <w:rPr>
                <w:rFonts w:eastAsia="Times New Roman"/>
                <w:bCs/>
                <w:sz w:val="22"/>
                <w:szCs w:val="22"/>
              </w:rPr>
            </w:pPr>
            <w:r>
              <w:rPr>
                <w:rFonts w:eastAsia="Times New Roman"/>
                <w:bCs/>
                <w:sz w:val="22"/>
                <w:szCs w:val="22"/>
              </w:rPr>
              <w:t>1119</w:t>
            </w:r>
          </w:p>
        </w:tc>
      </w:tr>
      <w:tr w:rsidR="004E6E00" w14:paraId="7550DB32" w14:textId="77777777" w:rsidTr="00B26889">
        <w:tc>
          <w:tcPr>
            <w:tcW w:w="3295" w:type="dxa"/>
            <w:tcBorders>
              <w:top w:val="nil"/>
              <w:left w:val="nil"/>
              <w:bottom w:val="nil"/>
              <w:right w:val="nil"/>
            </w:tcBorders>
          </w:tcPr>
          <w:p w14:paraId="2B3F385B" w14:textId="77777777" w:rsidR="004E6E00" w:rsidRPr="00171B42" w:rsidRDefault="004E6E00" w:rsidP="00B26889">
            <w:pPr>
              <w:rPr>
                <w:rFonts w:eastAsia="Times New Roman"/>
                <w:bCs/>
                <w:sz w:val="22"/>
                <w:szCs w:val="22"/>
              </w:rPr>
            </w:pPr>
            <w:r>
              <w:rPr>
                <w:rFonts w:eastAsia="Times New Roman"/>
                <w:bCs/>
                <w:sz w:val="22"/>
                <w:szCs w:val="22"/>
              </w:rPr>
              <w:t xml:space="preserve">Adjusted </w:t>
            </w:r>
            <w:r>
              <w:rPr>
                <w:rFonts w:eastAsia="Times New Roman"/>
                <w:bCs/>
                <w:i/>
                <w:iCs/>
                <w:sz w:val="22"/>
                <w:szCs w:val="22"/>
              </w:rPr>
              <w:t>R</w:t>
            </w:r>
            <w:r>
              <w:rPr>
                <w:rFonts w:eastAsia="Times New Roman"/>
                <w:bCs/>
                <w:sz w:val="22"/>
                <w:szCs w:val="22"/>
              </w:rPr>
              <w:t>-squared</w:t>
            </w:r>
          </w:p>
        </w:tc>
        <w:tc>
          <w:tcPr>
            <w:tcW w:w="1697" w:type="dxa"/>
            <w:tcBorders>
              <w:top w:val="nil"/>
              <w:left w:val="nil"/>
              <w:bottom w:val="nil"/>
              <w:right w:val="nil"/>
            </w:tcBorders>
          </w:tcPr>
          <w:p w14:paraId="3361D6EC" w14:textId="77777777" w:rsidR="004E6E00" w:rsidRDefault="004E6E00" w:rsidP="00B26889">
            <w:pPr>
              <w:tabs>
                <w:tab w:val="decimal" w:pos="454"/>
              </w:tabs>
              <w:rPr>
                <w:rFonts w:eastAsia="Times New Roman"/>
                <w:bCs/>
                <w:sz w:val="22"/>
                <w:szCs w:val="22"/>
              </w:rPr>
            </w:pPr>
            <w:r>
              <w:rPr>
                <w:rFonts w:eastAsia="Times New Roman"/>
                <w:bCs/>
                <w:sz w:val="22"/>
                <w:szCs w:val="22"/>
              </w:rPr>
              <w:t>0.664</w:t>
            </w:r>
          </w:p>
        </w:tc>
        <w:tc>
          <w:tcPr>
            <w:tcW w:w="1695" w:type="dxa"/>
            <w:tcBorders>
              <w:top w:val="nil"/>
              <w:left w:val="nil"/>
              <w:bottom w:val="nil"/>
              <w:right w:val="nil"/>
            </w:tcBorders>
          </w:tcPr>
          <w:p w14:paraId="4B7EE9BC" w14:textId="77777777" w:rsidR="004E6E00" w:rsidRDefault="004E6E00" w:rsidP="00B26889">
            <w:pPr>
              <w:tabs>
                <w:tab w:val="decimal" w:pos="454"/>
              </w:tabs>
              <w:rPr>
                <w:rFonts w:eastAsia="Times New Roman"/>
                <w:bCs/>
                <w:sz w:val="22"/>
                <w:szCs w:val="22"/>
              </w:rPr>
            </w:pPr>
            <w:r>
              <w:rPr>
                <w:rFonts w:eastAsia="Times New Roman"/>
                <w:bCs/>
                <w:sz w:val="22"/>
                <w:szCs w:val="22"/>
              </w:rPr>
              <w:t>0.085</w:t>
            </w:r>
          </w:p>
        </w:tc>
        <w:tc>
          <w:tcPr>
            <w:tcW w:w="1694" w:type="dxa"/>
            <w:tcBorders>
              <w:top w:val="nil"/>
              <w:left w:val="nil"/>
              <w:bottom w:val="nil"/>
              <w:right w:val="nil"/>
            </w:tcBorders>
          </w:tcPr>
          <w:p w14:paraId="5ED9AE82" w14:textId="77777777" w:rsidR="004E6E00" w:rsidRDefault="004E6E00" w:rsidP="00B26889">
            <w:pPr>
              <w:tabs>
                <w:tab w:val="decimal" w:pos="454"/>
              </w:tabs>
              <w:rPr>
                <w:rFonts w:eastAsia="Times New Roman"/>
                <w:bCs/>
                <w:sz w:val="22"/>
                <w:szCs w:val="22"/>
              </w:rPr>
            </w:pPr>
            <w:r>
              <w:rPr>
                <w:rFonts w:eastAsia="Times New Roman"/>
                <w:bCs/>
                <w:sz w:val="22"/>
                <w:szCs w:val="22"/>
              </w:rPr>
              <w:t>0.017</w:t>
            </w:r>
          </w:p>
        </w:tc>
        <w:tc>
          <w:tcPr>
            <w:tcW w:w="236" w:type="dxa"/>
            <w:tcBorders>
              <w:top w:val="nil"/>
              <w:left w:val="nil"/>
              <w:bottom w:val="nil"/>
              <w:right w:val="nil"/>
            </w:tcBorders>
          </w:tcPr>
          <w:p w14:paraId="60088991" w14:textId="77777777" w:rsidR="004E6E00" w:rsidRDefault="004E6E00" w:rsidP="00B26889">
            <w:pPr>
              <w:rPr>
                <w:rFonts w:eastAsia="Times New Roman"/>
                <w:bCs/>
                <w:sz w:val="22"/>
                <w:szCs w:val="22"/>
              </w:rPr>
            </w:pPr>
          </w:p>
        </w:tc>
        <w:tc>
          <w:tcPr>
            <w:tcW w:w="1694" w:type="dxa"/>
            <w:tcBorders>
              <w:top w:val="nil"/>
              <w:left w:val="nil"/>
              <w:bottom w:val="nil"/>
              <w:right w:val="nil"/>
            </w:tcBorders>
          </w:tcPr>
          <w:p w14:paraId="42925F6F" w14:textId="77777777" w:rsidR="004E6E00" w:rsidRDefault="004E6E00" w:rsidP="00B26889">
            <w:pPr>
              <w:tabs>
                <w:tab w:val="decimal" w:pos="454"/>
              </w:tabs>
              <w:rPr>
                <w:rFonts w:eastAsia="Times New Roman"/>
                <w:bCs/>
                <w:sz w:val="22"/>
                <w:szCs w:val="22"/>
              </w:rPr>
            </w:pPr>
            <w:r>
              <w:rPr>
                <w:rFonts w:eastAsia="Times New Roman"/>
                <w:bCs/>
                <w:sz w:val="22"/>
                <w:szCs w:val="22"/>
              </w:rPr>
              <w:t>0.398</w:t>
            </w:r>
          </w:p>
        </w:tc>
        <w:tc>
          <w:tcPr>
            <w:tcW w:w="1694" w:type="dxa"/>
            <w:tcBorders>
              <w:top w:val="nil"/>
              <w:left w:val="nil"/>
              <w:bottom w:val="nil"/>
              <w:right w:val="nil"/>
            </w:tcBorders>
          </w:tcPr>
          <w:p w14:paraId="0464046A" w14:textId="77777777" w:rsidR="004E6E00" w:rsidRDefault="004E6E00" w:rsidP="00B26889">
            <w:pPr>
              <w:tabs>
                <w:tab w:val="decimal" w:pos="454"/>
              </w:tabs>
              <w:rPr>
                <w:rFonts w:eastAsia="Times New Roman"/>
                <w:bCs/>
                <w:sz w:val="22"/>
                <w:szCs w:val="22"/>
              </w:rPr>
            </w:pPr>
            <w:r>
              <w:rPr>
                <w:rFonts w:eastAsia="Times New Roman"/>
                <w:bCs/>
                <w:sz w:val="22"/>
                <w:szCs w:val="22"/>
              </w:rPr>
              <w:t>0.689</w:t>
            </w:r>
          </w:p>
        </w:tc>
        <w:tc>
          <w:tcPr>
            <w:tcW w:w="1694" w:type="dxa"/>
            <w:tcBorders>
              <w:top w:val="nil"/>
              <w:left w:val="nil"/>
              <w:bottom w:val="nil"/>
              <w:right w:val="nil"/>
            </w:tcBorders>
          </w:tcPr>
          <w:p w14:paraId="0C09F6E1" w14:textId="77777777" w:rsidR="004E6E00" w:rsidRDefault="004E6E00" w:rsidP="00B26889">
            <w:pPr>
              <w:tabs>
                <w:tab w:val="decimal" w:pos="454"/>
              </w:tabs>
              <w:rPr>
                <w:rFonts w:eastAsia="Times New Roman"/>
                <w:bCs/>
                <w:sz w:val="22"/>
                <w:szCs w:val="22"/>
              </w:rPr>
            </w:pPr>
            <w:r>
              <w:rPr>
                <w:rFonts w:eastAsia="Times New Roman"/>
                <w:bCs/>
                <w:sz w:val="22"/>
                <w:szCs w:val="22"/>
              </w:rPr>
              <w:t>0.615</w:t>
            </w:r>
          </w:p>
        </w:tc>
      </w:tr>
      <w:tr w:rsidR="004E6E00" w14:paraId="5E1BB25D" w14:textId="77777777" w:rsidTr="00B26889">
        <w:tc>
          <w:tcPr>
            <w:tcW w:w="3295" w:type="dxa"/>
            <w:tcBorders>
              <w:top w:val="nil"/>
              <w:left w:val="nil"/>
              <w:bottom w:val="single" w:sz="4" w:space="0" w:color="auto"/>
              <w:right w:val="nil"/>
            </w:tcBorders>
          </w:tcPr>
          <w:p w14:paraId="39F5F59D" w14:textId="77777777" w:rsidR="004E6E00" w:rsidRDefault="004E6E00" w:rsidP="00B26889">
            <w:pPr>
              <w:rPr>
                <w:rFonts w:eastAsia="Times New Roman"/>
                <w:bCs/>
                <w:sz w:val="22"/>
                <w:szCs w:val="22"/>
              </w:rPr>
            </w:pPr>
            <w:r>
              <w:rPr>
                <w:rFonts w:eastAsia="Times New Roman"/>
                <w:bCs/>
                <w:sz w:val="22"/>
                <w:szCs w:val="22"/>
              </w:rPr>
              <w:t>RMSE</w:t>
            </w:r>
          </w:p>
        </w:tc>
        <w:tc>
          <w:tcPr>
            <w:tcW w:w="1697" w:type="dxa"/>
            <w:tcBorders>
              <w:top w:val="nil"/>
              <w:left w:val="nil"/>
              <w:bottom w:val="single" w:sz="4" w:space="0" w:color="auto"/>
              <w:right w:val="nil"/>
            </w:tcBorders>
          </w:tcPr>
          <w:p w14:paraId="2BDC69F8" w14:textId="77777777" w:rsidR="004E6E00" w:rsidRDefault="004E6E00" w:rsidP="00B26889">
            <w:pPr>
              <w:tabs>
                <w:tab w:val="decimal" w:pos="454"/>
              </w:tabs>
              <w:rPr>
                <w:rFonts w:eastAsia="Times New Roman"/>
                <w:bCs/>
                <w:sz w:val="22"/>
                <w:szCs w:val="22"/>
              </w:rPr>
            </w:pPr>
            <w:r>
              <w:rPr>
                <w:rFonts w:eastAsia="Times New Roman"/>
                <w:bCs/>
                <w:sz w:val="22"/>
                <w:szCs w:val="22"/>
              </w:rPr>
              <w:t>0.597</w:t>
            </w:r>
          </w:p>
        </w:tc>
        <w:tc>
          <w:tcPr>
            <w:tcW w:w="1695" w:type="dxa"/>
            <w:tcBorders>
              <w:top w:val="nil"/>
              <w:left w:val="nil"/>
              <w:bottom w:val="single" w:sz="4" w:space="0" w:color="auto"/>
              <w:right w:val="nil"/>
            </w:tcBorders>
          </w:tcPr>
          <w:p w14:paraId="41DA1214" w14:textId="77777777" w:rsidR="004E6E00" w:rsidRDefault="004E6E00" w:rsidP="00B26889">
            <w:pPr>
              <w:tabs>
                <w:tab w:val="decimal" w:pos="454"/>
              </w:tabs>
              <w:rPr>
                <w:rFonts w:eastAsia="Times New Roman"/>
                <w:bCs/>
                <w:sz w:val="22"/>
                <w:szCs w:val="22"/>
              </w:rPr>
            </w:pPr>
            <w:r>
              <w:rPr>
                <w:rFonts w:eastAsia="Times New Roman"/>
                <w:bCs/>
                <w:sz w:val="22"/>
                <w:szCs w:val="22"/>
              </w:rPr>
              <w:t>0.008</w:t>
            </w:r>
          </w:p>
        </w:tc>
        <w:tc>
          <w:tcPr>
            <w:tcW w:w="1694" w:type="dxa"/>
            <w:tcBorders>
              <w:top w:val="nil"/>
              <w:left w:val="nil"/>
              <w:bottom w:val="single" w:sz="4" w:space="0" w:color="auto"/>
              <w:right w:val="nil"/>
            </w:tcBorders>
          </w:tcPr>
          <w:p w14:paraId="65F471F0" w14:textId="77777777" w:rsidR="004E6E00" w:rsidRDefault="004E6E00" w:rsidP="00B26889">
            <w:pPr>
              <w:tabs>
                <w:tab w:val="decimal" w:pos="454"/>
              </w:tabs>
              <w:rPr>
                <w:rFonts w:eastAsia="Times New Roman"/>
                <w:bCs/>
                <w:sz w:val="22"/>
                <w:szCs w:val="22"/>
              </w:rPr>
            </w:pPr>
            <w:r>
              <w:rPr>
                <w:rFonts w:eastAsia="Times New Roman"/>
                <w:bCs/>
                <w:sz w:val="22"/>
                <w:szCs w:val="22"/>
              </w:rPr>
              <w:t>0.035</w:t>
            </w:r>
          </w:p>
        </w:tc>
        <w:tc>
          <w:tcPr>
            <w:tcW w:w="236" w:type="dxa"/>
            <w:tcBorders>
              <w:top w:val="nil"/>
              <w:left w:val="nil"/>
              <w:bottom w:val="single" w:sz="4" w:space="0" w:color="auto"/>
              <w:right w:val="nil"/>
            </w:tcBorders>
          </w:tcPr>
          <w:p w14:paraId="6DC3FADF" w14:textId="77777777" w:rsidR="004E6E00" w:rsidRDefault="004E6E00" w:rsidP="00B26889">
            <w:pPr>
              <w:rPr>
                <w:rFonts w:eastAsia="Times New Roman"/>
                <w:bCs/>
                <w:sz w:val="22"/>
                <w:szCs w:val="22"/>
              </w:rPr>
            </w:pPr>
          </w:p>
        </w:tc>
        <w:tc>
          <w:tcPr>
            <w:tcW w:w="1694" w:type="dxa"/>
            <w:tcBorders>
              <w:top w:val="nil"/>
              <w:left w:val="nil"/>
              <w:bottom w:val="single" w:sz="4" w:space="0" w:color="auto"/>
              <w:right w:val="nil"/>
            </w:tcBorders>
          </w:tcPr>
          <w:p w14:paraId="127C326D" w14:textId="77777777" w:rsidR="004E6E00" w:rsidRDefault="004E6E00" w:rsidP="00B26889">
            <w:pPr>
              <w:tabs>
                <w:tab w:val="decimal" w:pos="454"/>
              </w:tabs>
              <w:rPr>
                <w:rFonts w:eastAsia="Times New Roman"/>
                <w:bCs/>
                <w:sz w:val="22"/>
                <w:szCs w:val="22"/>
              </w:rPr>
            </w:pPr>
            <w:r>
              <w:rPr>
                <w:rFonts w:eastAsia="Times New Roman"/>
                <w:bCs/>
                <w:sz w:val="22"/>
                <w:szCs w:val="22"/>
              </w:rPr>
              <w:t>1.224</w:t>
            </w:r>
          </w:p>
        </w:tc>
        <w:tc>
          <w:tcPr>
            <w:tcW w:w="1694" w:type="dxa"/>
            <w:tcBorders>
              <w:top w:val="nil"/>
              <w:left w:val="nil"/>
              <w:bottom w:val="single" w:sz="4" w:space="0" w:color="auto"/>
              <w:right w:val="nil"/>
            </w:tcBorders>
          </w:tcPr>
          <w:p w14:paraId="41A74B5A" w14:textId="77777777" w:rsidR="004E6E00" w:rsidRDefault="004E6E00" w:rsidP="00B26889">
            <w:pPr>
              <w:tabs>
                <w:tab w:val="decimal" w:pos="454"/>
              </w:tabs>
              <w:rPr>
                <w:rFonts w:eastAsia="Times New Roman"/>
                <w:bCs/>
                <w:sz w:val="22"/>
                <w:szCs w:val="22"/>
              </w:rPr>
            </w:pPr>
            <w:r>
              <w:rPr>
                <w:rFonts w:eastAsia="Times New Roman"/>
                <w:bCs/>
                <w:sz w:val="22"/>
                <w:szCs w:val="22"/>
              </w:rPr>
              <w:t>0.768</w:t>
            </w:r>
          </w:p>
        </w:tc>
        <w:tc>
          <w:tcPr>
            <w:tcW w:w="1694" w:type="dxa"/>
            <w:tcBorders>
              <w:top w:val="nil"/>
              <w:left w:val="nil"/>
              <w:bottom w:val="single" w:sz="4" w:space="0" w:color="auto"/>
              <w:right w:val="nil"/>
            </w:tcBorders>
          </w:tcPr>
          <w:p w14:paraId="4A0287AC" w14:textId="77777777" w:rsidR="004E6E00" w:rsidRDefault="004E6E00" w:rsidP="00B26889">
            <w:pPr>
              <w:tabs>
                <w:tab w:val="decimal" w:pos="454"/>
              </w:tabs>
              <w:rPr>
                <w:rFonts w:eastAsia="Times New Roman"/>
                <w:bCs/>
                <w:sz w:val="22"/>
                <w:szCs w:val="22"/>
              </w:rPr>
            </w:pPr>
            <w:r>
              <w:rPr>
                <w:rFonts w:eastAsia="Times New Roman"/>
                <w:bCs/>
                <w:sz w:val="22"/>
                <w:szCs w:val="22"/>
              </w:rPr>
              <w:t>0.631</w:t>
            </w:r>
          </w:p>
        </w:tc>
      </w:tr>
    </w:tbl>
    <w:p w14:paraId="668CF7CF" w14:textId="77777777" w:rsidR="00BC487F" w:rsidRDefault="00BC487F" w:rsidP="00BC487F">
      <w:pPr>
        <w:spacing w:before="40" w:after="0" w:line="240" w:lineRule="auto"/>
        <w:rPr>
          <w:rFonts w:eastAsia="Times New Roman"/>
          <w:bCs/>
          <w:i/>
          <w:iCs/>
          <w:sz w:val="22"/>
          <w:szCs w:val="22"/>
        </w:rPr>
      </w:pPr>
      <w:r>
        <w:rPr>
          <w:rFonts w:eastAsia="Times New Roman"/>
          <w:bCs/>
          <w:i/>
          <w:iCs/>
          <w:sz w:val="22"/>
          <w:szCs w:val="22"/>
        </w:rPr>
        <w:t>Notes</w:t>
      </w:r>
    </w:p>
    <w:p w14:paraId="5F6BA8EC" w14:textId="77777777" w:rsidR="00BC487F" w:rsidRDefault="00BC487F" w:rsidP="00BC487F">
      <w:pPr>
        <w:spacing w:before="40" w:after="0" w:line="240" w:lineRule="auto"/>
        <w:rPr>
          <w:rFonts w:eastAsia="Times New Roman"/>
          <w:bCs/>
          <w:sz w:val="22"/>
          <w:szCs w:val="22"/>
        </w:rPr>
      </w:pPr>
      <w:r>
        <w:rPr>
          <w:rFonts w:eastAsia="Times New Roman"/>
          <w:bCs/>
          <w:sz w:val="22"/>
          <w:szCs w:val="22"/>
        </w:rPr>
        <w:t xml:space="preserve">Regressions all include quarter and year dummies. </w:t>
      </w:r>
    </w:p>
    <w:p w14:paraId="54F33F8B" w14:textId="490BA953" w:rsidR="00BC487F" w:rsidRPr="00520C02" w:rsidRDefault="00BC487F" w:rsidP="00BC487F">
      <w:pPr>
        <w:spacing w:before="40" w:after="0" w:line="240" w:lineRule="auto"/>
        <w:rPr>
          <w:rFonts w:eastAsia="Times New Roman"/>
          <w:bCs/>
          <w:sz w:val="22"/>
          <w:szCs w:val="22"/>
        </w:rPr>
      </w:pPr>
      <w:r>
        <w:rPr>
          <w:rFonts w:eastAsia="Times New Roman"/>
          <w:bCs/>
          <w:sz w:val="22"/>
          <w:szCs w:val="22"/>
        </w:rPr>
        <w:t>Other notes, see Table 1.</w:t>
      </w:r>
    </w:p>
    <w:p w14:paraId="1CDBC1F3" w14:textId="4B48B145" w:rsidR="004E6E00" w:rsidRDefault="004E6E00">
      <w:pPr>
        <w:rPr>
          <w:rFonts w:asciiTheme="majorBidi" w:hAnsiTheme="majorBidi" w:cstheme="majorBidi"/>
        </w:rPr>
      </w:pPr>
    </w:p>
    <w:p w14:paraId="6838635A" w14:textId="77777777" w:rsidR="002405A2" w:rsidRDefault="002405A2">
      <w:pPr>
        <w:rPr>
          <w:rFonts w:asciiTheme="majorBidi" w:hAnsiTheme="majorBidi" w:cstheme="majorBidi"/>
        </w:rPr>
      </w:pPr>
    </w:p>
    <w:p w14:paraId="6980F800" w14:textId="77777777" w:rsidR="002405A2" w:rsidRDefault="002405A2" w:rsidP="0098402E">
      <w:pPr>
        <w:spacing w:after="0" w:line="360" w:lineRule="auto"/>
        <w:ind w:firstLine="720"/>
        <w:jc w:val="both"/>
        <w:rPr>
          <w:rFonts w:asciiTheme="majorBidi" w:hAnsiTheme="majorBidi" w:cstheme="majorBidi"/>
        </w:rPr>
        <w:sectPr w:rsidR="002405A2" w:rsidSect="00257D68">
          <w:pgSz w:w="16838" w:h="11906" w:orient="landscape"/>
          <w:pgMar w:top="1440" w:right="1440" w:bottom="1440" w:left="1440" w:header="709" w:footer="709" w:gutter="0"/>
          <w:pgNumType w:start="6"/>
          <w:cols w:space="708"/>
          <w:docGrid w:linePitch="360"/>
        </w:sectPr>
      </w:pPr>
    </w:p>
    <w:p w14:paraId="08266729" w14:textId="5F1BD795" w:rsidR="008065A8" w:rsidRDefault="005722DC" w:rsidP="00025F48">
      <w:pPr>
        <w:spacing w:after="0" w:line="360" w:lineRule="auto"/>
        <w:ind w:firstLine="567"/>
        <w:jc w:val="both"/>
        <w:rPr>
          <w:rFonts w:asciiTheme="majorBidi" w:hAnsiTheme="majorBidi" w:cstheme="majorBidi"/>
        </w:rPr>
      </w:pPr>
      <w:r>
        <w:rPr>
          <w:rFonts w:asciiTheme="majorBidi" w:hAnsiTheme="majorBidi" w:cstheme="majorBidi"/>
        </w:rPr>
        <w:lastRenderedPageBreak/>
        <w:t xml:space="preserve">Using quarterly </w:t>
      </w:r>
      <w:r w:rsidR="00AC4D37">
        <w:rPr>
          <w:rFonts w:asciiTheme="majorBidi" w:hAnsiTheme="majorBidi" w:cstheme="majorBidi"/>
        </w:rPr>
        <w:t xml:space="preserve">VIIRS data from 2014 to 2019 </w:t>
      </w:r>
      <w:r>
        <w:rPr>
          <w:rFonts w:asciiTheme="majorBidi" w:hAnsiTheme="majorBidi" w:cstheme="majorBidi"/>
        </w:rPr>
        <w:t>gives a lights-GDP elasticity of 0.82, with adjusted-</w:t>
      </w:r>
      <w:r w:rsidRPr="005722DC">
        <w:rPr>
          <w:rFonts w:asciiTheme="majorBidi" w:hAnsiTheme="majorBidi" w:cstheme="majorBidi"/>
          <w:i/>
          <w:iCs/>
        </w:rPr>
        <w:t>R</w:t>
      </w:r>
      <w:r w:rsidRPr="005722DC">
        <w:rPr>
          <w:rFonts w:asciiTheme="majorBidi" w:hAnsiTheme="majorBidi" w:cstheme="majorBidi"/>
          <w:vertAlign w:val="superscript"/>
        </w:rPr>
        <w:t>2</w:t>
      </w:r>
      <w:r>
        <w:rPr>
          <w:rFonts w:asciiTheme="majorBidi" w:hAnsiTheme="majorBidi" w:cstheme="majorBidi"/>
        </w:rPr>
        <w:t xml:space="preserve"> of 0.664</w:t>
      </w:r>
      <w:r w:rsidR="00AC4D37">
        <w:rPr>
          <w:rFonts w:asciiTheme="majorBidi" w:hAnsiTheme="majorBidi" w:cstheme="majorBidi"/>
        </w:rPr>
        <w:t xml:space="preserve"> </w:t>
      </w:r>
      <w:r>
        <w:rPr>
          <w:rFonts w:asciiTheme="majorBidi" w:hAnsiTheme="majorBidi" w:cstheme="majorBidi"/>
        </w:rPr>
        <w:t xml:space="preserve">(Table 2). </w:t>
      </w:r>
      <w:r w:rsidR="008528BF">
        <w:rPr>
          <w:rFonts w:asciiTheme="majorBidi" w:hAnsiTheme="majorBidi" w:cstheme="majorBidi"/>
        </w:rPr>
        <w:t>This</w:t>
      </w:r>
      <w:r w:rsidR="0039259D">
        <w:rPr>
          <w:rFonts w:asciiTheme="majorBidi" w:hAnsiTheme="majorBidi" w:cstheme="majorBidi"/>
        </w:rPr>
        <w:t xml:space="preserve"> elasticity </w:t>
      </w:r>
      <w:r w:rsidR="008528BF">
        <w:rPr>
          <w:rFonts w:asciiTheme="majorBidi" w:hAnsiTheme="majorBidi" w:cstheme="majorBidi"/>
        </w:rPr>
        <w:t xml:space="preserve">is </w:t>
      </w:r>
      <w:r w:rsidR="0039259D">
        <w:rPr>
          <w:rFonts w:asciiTheme="majorBidi" w:hAnsiTheme="majorBidi" w:cstheme="majorBidi"/>
        </w:rPr>
        <w:t>equal to that from the VIIRS annual estimates for 2015-16 (derived from the cleaned monthly data)</w:t>
      </w:r>
      <w:r w:rsidR="008528BF">
        <w:rPr>
          <w:rFonts w:asciiTheme="majorBidi" w:hAnsiTheme="majorBidi" w:cstheme="majorBidi"/>
        </w:rPr>
        <w:t xml:space="preserve"> but</w:t>
      </w:r>
      <w:r w:rsidR="0039259D">
        <w:rPr>
          <w:rFonts w:asciiTheme="majorBidi" w:hAnsiTheme="majorBidi" w:cstheme="majorBidi"/>
        </w:rPr>
        <w:t xml:space="preserve"> predictive power is slightly lower </w:t>
      </w:r>
      <w:r w:rsidR="008528BF">
        <w:rPr>
          <w:rFonts w:asciiTheme="majorBidi" w:hAnsiTheme="majorBidi" w:cstheme="majorBidi"/>
        </w:rPr>
        <w:t xml:space="preserve">with </w:t>
      </w:r>
      <w:r w:rsidR="0039259D">
        <w:rPr>
          <w:rFonts w:asciiTheme="majorBidi" w:hAnsiTheme="majorBidi" w:cstheme="majorBidi"/>
        </w:rPr>
        <w:t xml:space="preserve">quarterly data. </w:t>
      </w:r>
      <w:r>
        <w:rPr>
          <w:rFonts w:asciiTheme="majorBidi" w:hAnsiTheme="majorBidi" w:cstheme="majorBidi"/>
        </w:rPr>
        <w:t>For either quarterly changes, or annual changes from the same quarter last year, the elasticity is almost zero and the adjusted-</w:t>
      </w:r>
      <w:r w:rsidRPr="005722DC">
        <w:rPr>
          <w:rFonts w:asciiTheme="majorBidi" w:hAnsiTheme="majorBidi" w:cstheme="majorBidi"/>
          <w:i/>
          <w:iCs/>
        </w:rPr>
        <w:t>R</w:t>
      </w:r>
      <w:r w:rsidRPr="005722DC">
        <w:rPr>
          <w:rFonts w:asciiTheme="majorBidi" w:hAnsiTheme="majorBidi" w:cstheme="majorBidi"/>
          <w:vertAlign w:val="superscript"/>
        </w:rPr>
        <w:t>2</w:t>
      </w:r>
      <w:r>
        <w:rPr>
          <w:rFonts w:asciiTheme="majorBidi" w:hAnsiTheme="majorBidi" w:cstheme="majorBidi"/>
        </w:rPr>
        <w:t xml:space="preserve"> is less than 0.09. </w:t>
      </w:r>
      <w:r w:rsidR="004C5EA1">
        <w:rPr>
          <w:rFonts w:asciiTheme="majorBidi" w:hAnsiTheme="majorBidi" w:cstheme="majorBidi"/>
        </w:rPr>
        <w:t>Thus, e</w:t>
      </w:r>
      <w:r w:rsidR="008065A8">
        <w:rPr>
          <w:rFonts w:asciiTheme="majorBidi" w:hAnsiTheme="majorBidi" w:cstheme="majorBidi"/>
        </w:rPr>
        <w:t xml:space="preserve">ven with newer, more accurate, and higher frequency VIIRS data, predicting </w:t>
      </w:r>
      <w:r w:rsidR="008528BF">
        <w:rPr>
          <w:rFonts w:asciiTheme="majorBidi" w:hAnsiTheme="majorBidi" w:cstheme="majorBidi"/>
        </w:rPr>
        <w:t xml:space="preserve">short-term </w:t>
      </w:r>
      <w:r w:rsidR="008065A8">
        <w:rPr>
          <w:rFonts w:asciiTheme="majorBidi" w:hAnsiTheme="majorBidi" w:cstheme="majorBidi"/>
        </w:rPr>
        <w:t xml:space="preserve">temporal changes in economic activity is something </w:t>
      </w:r>
      <w:r w:rsidR="004C5EA1">
        <w:rPr>
          <w:rFonts w:asciiTheme="majorBidi" w:hAnsiTheme="majorBidi" w:cstheme="majorBidi"/>
        </w:rPr>
        <w:t xml:space="preserve">that </w:t>
      </w:r>
      <w:r w:rsidR="008065A8">
        <w:rPr>
          <w:rFonts w:asciiTheme="majorBidi" w:hAnsiTheme="majorBidi" w:cstheme="majorBidi"/>
        </w:rPr>
        <w:t xml:space="preserve">satellite-detected night lights data </w:t>
      </w:r>
      <w:r w:rsidR="008528BF">
        <w:rPr>
          <w:rFonts w:asciiTheme="majorBidi" w:hAnsiTheme="majorBidi" w:cstheme="majorBidi"/>
        </w:rPr>
        <w:t xml:space="preserve">do </w:t>
      </w:r>
      <w:r w:rsidR="008065A8">
        <w:rPr>
          <w:rFonts w:asciiTheme="majorBidi" w:hAnsiTheme="majorBidi" w:cstheme="majorBidi"/>
        </w:rPr>
        <w:t xml:space="preserve">poorly, even as they are powerful </w:t>
      </w:r>
      <w:r w:rsidR="00AC4D37">
        <w:rPr>
          <w:rFonts w:asciiTheme="majorBidi" w:hAnsiTheme="majorBidi" w:cstheme="majorBidi"/>
        </w:rPr>
        <w:t>cross-sectional predictors.</w:t>
      </w:r>
    </w:p>
    <w:p w14:paraId="78735995" w14:textId="77777777" w:rsidR="0098402E" w:rsidRPr="0098402E" w:rsidRDefault="0098402E" w:rsidP="0098402E">
      <w:pPr>
        <w:spacing w:after="0" w:line="360" w:lineRule="auto"/>
        <w:ind w:firstLine="720"/>
        <w:jc w:val="both"/>
        <w:rPr>
          <w:rFonts w:asciiTheme="majorBidi" w:hAnsiTheme="majorBidi" w:cstheme="majorBidi"/>
          <w:sz w:val="12"/>
          <w:szCs w:val="12"/>
        </w:rPr>
      </w:pPr>
    </w:p>
    <w:p w14:paraId="4450562D" w14:textId="4F56DFAA" w:rsidR="00F60D82" w:rsidRDefault="00AC4D37" w:rsidP="008F7205">
      <w:pPr>
        <w:spacing w:after="0" w:line="360" w:lineRule="auto"/>
        <w:ind w:firstLine="567"/>
        <w:jc w:val="both"/>
        <w:rPr>
          <w:rFonts w:asciiTheme="majorBidi" w:hAnsiTheme="majorBidi" w:cstheme="majorBidi"/>
        </w:rPr>
      </w:pPr>
      <w:r>
        <w:rPr>
          <w:rFonts w:asciiTheme="majorBidi" w:hAnsiTheme="majorBidi" w:cstheme="majorBidi"/>
        </w:rPr>
        <w:t>The last three columns of Table 2 show results for different industries. A</w:t>
      </w:r>
      <w:r w:rsidR="005722DC">
        <w:rPr>
          <w:rFonts w:asciiTheme="majorBidi" w:hAnsiTheme="majorBidi" w:cstheme="majorBidi"/>
        </w:rPr>
        <w:t>gricultural GDP</w:t>
      </w:r>
      <w:r>
        <w:rPr>
          <w:rFonts w:asciiTheme="majorBidi" w:hAnsiTheme="majorBidi" w:cstheme="majorBidi"/>
        </w:rPr>
        <w:t xml:space="preserve"> is poorly predicted by night lights, with an adjusted-</w:t>
      </w:r>
      <w:r w:rsidRPr="00AC4D37">
        <w:rPr>
          <w:rFonts w:asciiTheme="majorBidi" w:hAnsiTheme="majorBidi" w:cstheme="majorBidi"/>
          <w:i/>
          <w:iCs/>
        </w:rPr>
        <w:t>R</w:t>
      </w:r>
      <w:r w:rsidRPr="00AC4D37">
        <w:rPr>
          <w:rFonts w:asciiTheme="majorBidi" w:hAnsiTheme="majorBidi" w:cstheme="majorBidi"/>
          <w:vertAlign w:val="superscript"/>
        </w:rPr>
        <w:t>2</w:t>
      </w:r>
      <w:r>
        <w:rPr>
          <w:rFonts w:asciiTheme="majorBidi" w:hAnsiTheme="majorBidi" w:cstheme="majorBidi"/>
        </w:rPr>
        <w:t xml:space="preserve"> below </w:t>
      </w:r>
      <w:r w:rsidR="005722DC">
        <w:rPr>
          <w:rFonts w:asciiTheme="majorBidi" w:hAnsiTheme="majorBidi" w:cstheme="majorBidi"/>
        </w:rPr>
        <w:t>40</w:t>
      </w:r>
      <w:r w:rsidR="00025F48">
        <w:rPr>
          <w:rFonts w:asciiTheme="majorBidi" w:hAnsiTheme="majorBidi" w:cstheme="majorBidi"/>
        </w:rPr>
        <w:t xml:space="preserve"> percent</w:t>
      </w:r>
      <w:r w:rsidR="005722DC">
        <w:rPr>
          <w:rFonts w:asciiTheme="majorBidi" w:hAnsiTheme="majorBidi" w:cstheme="majorBidi"/>
        </w:rPr>
        <w:t xml:space="preserve"> </w:t>
      </w:r>
      <w:r>
        <w:rPr>
          <w:rFonts w:asciiTheme="majorBidi" w:hAnsiTheme="majorBidi" w:cstheme="majorBidi"/>
        </w:rPr>
        <w:t>and an RMSE about 60</w:t>
      </w:r>
      <w:r w:rsidR="00025F48">
        <w:rPr>
          <w:rFonts w:asciiTheme="majorBidi" w:hAnsiTheme="majorBidi" w:cstheme="majorBidi"/>
        </w:rPr>
        <w:t xml:space="preserve"> percent</w:t>
      </w:r>
      <w:r>
        <w:rPr>
          <w:rFonts w:asciiTheme="majorBidi" w:hAnsiTheme="majorBidi" w:cstheme="majorBidi"/>
        </w:rPr>
        <w:t xml:space="preserve"> higher than </w:t>
      </w:r>
      <w:r w:rsidR="005722DC">
        <w:rPr>
          <w:rFonts w:asciiTheme="majorBidi" w:hAnsiTheme="majorBidi" w:cstheme="majorBidi"/>
        </w:rPr>
        <w:t xml:space="preserve">for manufacturing </w:t>
      </w:r>
      <w:r>
        <w:rPr>
          <w:rFonts w:asciiTheme="majorBidi" w:hAnsiTheme="majorBidi" w:cstheme="majorBidi"/>
        </w:rPr>
        <w:t>and 90</w:t>
      </w:r>
      <w:r w:rsidR="00025F48">
        <w:rPr>
          <w:rFonts w:asciiTheme="majorBidi" w:hAnsiTheme="majorBidi" w:cstheme="majorBidi"/>
        </w:rPr>
        <w:t xml:space="preserve"> percent</w:t>
      </w:r>
      <w:r>
        <w:rPr>
          <w:rFonts w:asciiTheme="majorBidi" w:hAnsiTheme="majorBidi" w:cstheme="majorBidi"/>
        </w:rPr>
        <w:t xml:space="preserve"> higher than for </w:t>
      </w:r>
      <w:r w:rsidR="005722DC">
        <w:rPr>
          <w:rFonts w:asciiTheme="majorBidi" w:hAnsiTheme="majorBidi" w:cstheme="majorBidi"/>
        </w:rPr>
        <w:t>other industries.</w:t>
      </w:r>
      <w:r>
        <w:rPr>
          <w:rFonts w:asciiTheme="majorBidi" w:hAnsiTheme="majorBidi" w:cstheme="majorBidi"/>
        </w:rPr>
        <w:t xml:space="preserve"> These patterns </w:t>
      </w:r>
      <w:r w:rsidR="008F7205">
        <w:rPr>
          <w:rFonts w:asciiTheme="majorBidi" w:hAnsiTheme="majorBidi" w:cstheme="majorBidi"/>
        </w:rPr>
        <w:t xml:space="preserve">reflect the fact </w:t>
      </w:r>
      <w:r>
        <w:rPr>
          <w:rFonts w:asciiTheme="majorBidi" w:hAnsiTheme="majorBidi" w:cstheme="majorBidi"/>
        </w:rPr>
        <w:t>that agricultural activity can increase without much increase in night lights, which is less true for other industries.</w:t>
      </w:r>
    </w:p>
    <w:p w14:paraId="0EC538B0" w14:textId="77777777" w:rsidR="0098402E" w:rsidRPr="0098402E" w:rsidRDefault="0098402E" w:rsidP="0098402E">
      <w:pPr>
        <w:spacing w:after="0" w:line="360" w:lineRule="auto"/>
        <w:ind w:firstLine="720"/>
        <w:jc w:val="both"/>
        <w:rPr>
          <w:rFonts w:asciiTheme="majorBidi" w:hAnsiTheme="majorBidi" w:cstheme="majorBidi"/>
          <w:sz w:val="12"/>
          <w:szCs w:val="12"/>
        </w:rPr>
      </w:pPr>
    </w:p>
    <w:p w14:paraId="5906E4B9" w14:textId="5ED77C6A" w:rsidR="000679C1" w:rsidRDefault="00C933A5" w:rsidP="004E6E00">
      <w:pPr>
        <w:keepNext/>
        <w:tabs>
          <w:tab w:val="left" w:pos="426"/>
        </w:tabs>
        <w:spacing w:after="0" w:line="360" w:lineRule="auto"/>
        <w:jc w:val="both"/>
        <w:rPr>
          <w:b/>
          <w:lang w:val="en-US"/>
        </w:rPr>
      </w:pPr>
      <w:r w:rsidRPr="0098402E">
        <w:rPr>
          <w:b/>
          <w:lang w:val="en-US"/>
        </w:rPr>
        <w:t>III.</w:t>
      </w:r>
      <w:r w:rsidR="0090187B" w:rsidRPr="0098402E">
        <w:rPr>
          <w:b/>
          <w:lang w:val="en-US"/>
        </w:rPr>
        <w:tab/>
      </w:r>
      <w:r w:rsidR="00E04D3B" w:rsidRPr="0098402E">
        <w:rPr>
          <w:b/>
          <w:lang w:val="en-US"/>
        </w:rPr>
        <w:t>Conclusions</w:t>
      </w:r>
    </w:p>
    <w:p w14:paraId="0BCCCF3E" w14:textId="77777777" w:rsidR="00025F48" w:rsidRPr="00025F48" w:rsidRDefault="00025F48" w:rsidP="004E6E00">
      <w:pPr>
        <w:keepNext/>
        <w:tabs>
          <w:tab w:val="left" w:pos="426"/>
        </w:tabs>
        <w:spacing w:after="0" w:line="360" w:lineRule="auto"/>
        <w:jc w:val="both"/>
        <w:rPr>
          <w:b/>
          <w:sz w:val="6"/>
          <w:szCs w:val="6"/>
          <w:lang w:val="en-US"/>
        </w:rPr>
      </w:pPr>
    </w:p>
    <w:p w14:paraId="78816804" w14:textId="08B7F2B7" w:rsidR="004B4D63" w:rsidRDefault="004C5EA1" w:rsidP="008F7205">
      <w:pPr>
        <w:widowControl w:val="0"/>
        <w:spacing w:after="0" w:line="360" w:lineRule="auto"/>
        <w:jc w:val="both"/>
        <w:rPr>
          <w:bCs/>
          <w:lang w:val="en-AU"/>
        </w:rPr>
      </w:pPr>
      <w:r>
        <w:rPr>
          <w:bCs/>
          <w:lang w:val="en-AU"/>
        </w:rPr>
        <w:t xml:space="preserve">Our results for the United States show that </w:t>
      </w:r>
      <w:r w:rsidR="002F23D5">
        <w:rPr>
          <w:bCs/>
          <w:lang w:val="en-AU"/>
        </w:rPr>
        <w:t xml:space="preserve">VIIRS </w:t>
      </w:r>
      <w:r w:rsidR="008D63A2">
        <w:rPr>
          <w:bCs/>
          <w:lang w:val="en-AU"/>
        </w:rPr>
        <w:t xml:space="preserve">night lights data </w:t>
      </w:r>
      <w:r w:rsidR="002F23D5">
        <w:rPr>
          <w:bCs/>
          <w:lang w:val="en-AU"/>
        </w:rPr>
        <w:t xml:space="preserve">are a </w:t>
      </w:r>
      <w:r w:rsidR="008528BF">
        <w:rPr>
          <w:bCs/>
          <w:lang w:val="en-AU"/>
        </w:rPr>
        <w:t xml:space="preserve">far </w:t>
      </w:r>
      <w:r w:rsidR="008D63A2">
        <w:rPr>
          <w:bCs/>
          <w:lang w:val="en-AU"/>
        </w:rPr>
        <w:t xml:space="preserve">better proxy for economic activity than </w:t>
      </w:r>
      <w:r w:rsidR="002F23D5">
        <w:rPr>
          <w:bCs/>
          <w:lang w:val="en-AU"/>
        </w:rPr>
        <w:t xml:space="preserve">are </w:t>
      </w:r>
      <w:r w:rsidR="008D63A2">
        <w:rPr>
          <w:bCs/>
          <w:lang w:val="en-AU"/>
        </w:rPr>
        <w:t>the mor</w:t>
      </w:r>
      <w:r w:rsidR="00A22BAB">
        <w:rPr>
          <w:bCs/>
          <w:lang w:val="en-AU"/>
        </w:rPr>
        <w:t>e widely used</w:t>
      </w:r>
      <w:r w:rsidR="002F23D5">
        <w:rPr>
          <w:bCs/>
          <w:lang w:val="en-AU"/>
        </w:rPr>
        <w:t xml:space="preserve"> </w:t>
      </w:r>
      <w:r w:rsidR="00A22BAB">
        <w:rPr>
          <w:bCs/>
          <w:lang w:val="en-AU"/>
        </w:rPr>
        <w:t xml:space="preserve">DMSP </w:t>
      </w:r>
      <w:r w:rsidR="008D63A2">
        <w:rPr>
          <w:bCs/>
          <w:lang w:val="en-AU"/>
        </w:rPr>
        <w:t>data</w:t>
      </w:r>
      <w:r w:rsidR="004A3AE2">
        <w:rPr>
          <w:bCs/>
          <w:lang w:val="en-AU"/>
        </w:rPr>
        <w:t>.</w:t>
      </w:r>
      <w:r>
        <w:rPr>
          <w:bCs/>
          <w:lang w:val="en-AU"/>
        </w:rPr>
        <w:t xml:space="preserve"> The predictive power of the VIIRS data is 60</w:t>
      </w:r>
      <w:r w:rsidR="00025F48">
        <w:rPr>
          <w:bCs/>
          <w:lang w:val="en-AU"/>
        </w:rPr>
        <w:t xml:space="preserve"> percent</w:t>
      </w:r>
      <w:r>
        <w:rPr>
          <w:bCs/>
          <w:lang w:val="en-AU"/>
        </w:rPr>
        <w:t xml:space="preserve"> higher for regressions with state-level GDP. </w:t>
      </w:r>
      <w:r w:rsidR="00025F48">
        <w:rPr>
          <w:bCs/>
          <w:lang w:val="en-AU"/>
        </w:rPr>
        <w:t xml:space="preserve"> In addition</w:t>
      </w:r>
      <w:r w:rsidR="008528BF">
        <w:rPr>
          <w:bCs/>
          <w:lang w:val="en-AU"/>
        </w:rPr>
        <w:t xml:space="preserve">, </w:t>
      </w:r>
      <w:r>
        <w:rPr>
          <w:bCs/>
          <w:lang w:val="en-AU"/>
        </w:rPr>
        <w:t xml:space="preserve">VIIRS data are up-to-date, while the </w:t>
      </w:r>
      <w:r w:rsidR="008528BF">
        <w:rPr>
          <w:bCs/>
          <w:lang w:val="en-AU"/>
        </w:rPr>
        <w:t xml:space="preserve">DMSP </w:t>
      </w:r>
      <w:r>
        <w:rPr>
          <w:bCs/>
          <w:lang w:val="en-AU"/>
        </w:rPr>
        <w:t xml:space="preserve">data are at least seven years old and </w:t>
      </w:r>
      <w:r w:rsidR="00025F48">
        <w:rPr>
          <w:bCs/>
          <w:lang w:val="en-AU"/>
        </w:rPr>
        <w:t>becoming</w:t>
      </w:r>
      <w:r>
        <w:rPr>
          <w:bCs/>
          <w:lang w:val="en-AU"/>
        </w:rPr>
        <w:t xml:space="preserve"> ever more dated. While there would be gains in the accuracy and timeliness of economics research </w:t>
      </w:r>
      <w:r w:rsidR="008528BF">
        <w:rPr>
          <w:bCs/>
          <w:lang w:val="en-AU"/>
        </w:rPr>
        <w:t xml:space="preserve">from </w:t>
      </w:r>
      <w:r>
        <w:rPr>
          <w:bCs/>
          <w:lang w:val="en-AU"/>
        </w:rPr>
        <w:t xml:space="preserve">switching to VIIRS data, </w:t>
      </w:r>
      <w:r w:rsidR="008528BF">
        <w:rPr>
          <w:bCs/>
          <w:lang w:val="en-AU"/>
        </w:rPr>
        <w:t xml:space="preserve">researchers should </w:t>
      </w:r>
      <w:r>
        <w:rPr>
          <w:bCs/>
          <w:lang w:val="en-AU"/>
        </w:rPr>
        <w:t xml:space="preserve">note that satellite-detected </w:t>
      </w:r>
      <w:r w:rsidR="00114D29">
        <w:rPr>
          <w:bCs/>
          <w:lang w:val="en-AU"/>
        </w:rPr>
        <w:t>night lights</w:t>
      </w:r>
      <w:r>
        <w:rPr>
          <w:bCs/>
          <w:lang w:val="en-AU"/>
        </w:rPr>
        <w:t xml:space="preserve"> poorly predict</w:t>
      </w:r>
      <w:r w:rsidR="00114D29">
        <w:rPr>
          <w:bCs/>
          <w:lang w:val="en-AU"/>
        </w:rPr>
        <w:t xml:space="preserve"> time-series changes in economics variables, even as they </w:t>
      </w:r>
      <w:r>
        <w:rPr>
          <w:bCs/>
          <w:lang w:val="en-AU"/>
        </w:rPr>
        <w:t xml:space="preserve">are good </w:t>
      </w:r>
      <w:r w:rsidR="00530FC8">
        <w:rPr>
          <w:bCs/>
          <w:lang w:val="en-AU"/>
        </w:rPr>
        <w:t>c</w:t>
      </w:r>
      <w:r>
        <w:rPr>
          <w:bCs/>
          <w:lang w:val="en-AU"/>
        </w:rPr>
        <w:t>ross-sectional predictors</w:t>
      </w:r>
      <w:r w:rsidR="008F7205">
        <w:rPr>
          <w:bCs/>
          <w:lang w:val="en-AU"/>
        </w:rPr>
        <w:t xml:space="preserve">. These night lights data also </w:t>
      </w:r>
      <w:r w:rsidR="008528BF">
        <w:rPr>
          <w:bCs/>
          <w:lang w:val="en-AU"/>
        </w:rPr>
        <w:t>are poor predictors for agricultural activity</w:t>
      </w:r>
      <w:r w:rsidR="00114D29">
        <w:rPr>
          <w:bCs/>
          <w:lang w:val="en-AU"/>
        </w:rPr>
        <w:t>.</w:t>
      </w:r>
      <w:r w:rsidR="008528BF">
        <w:rPr>
          <w:bCs/>
          <w:lang w:val="en-AU"/>
        </w:rPr>
        <w:t xml:space="preserve"> </w:t>
      </w:r>
      <w:r w:rsidR="008528BF">
        <w:rPr>
          <w:bCs/>
          <w:lang w:val="en-US"/>
        </w:rPr>
        <w:t>These three facts suggest a need for caution in some uses of night lights data.</w:t>
      </w:r>
    </w:p>
    <w:p w14:paraId="3409B1F3" w14:textId="6E8CB8BB" w:rsidR="006D28EA" w:rsidRPr="0098402E" w:rsidRDefault="000053DA" w:rsidP="00F12336">
      <w:pPr>
        <w:spacing w:after="0" w:line="360" w:lineRule="auto"/>
        <w:jc w:val="both"/>
        <w:rPr>
          <w:b/>
        </w:rPr>
      </w:pPr>
      <w:r>
        <w:rPr>
          <w:b/>
          <w:sz w:val="28"/>
          <w:szCs w:val="28"/>
        </w:rPr>
        <w:br w:type="page"/>
      </w:r>
      <w:r w:rsidR="006D28EA" w:rsidRPr="0098402E">
        <w:rPr>
          <w:b/>
        </w:rPr>
        <w:lastRenderedPageBreak/>
        <w:t>References</w:t>
      </w:r>
    </w:p>
    <w:p w14:paraId="72FC9157" w14:textId="77777777" w:rsidR="009760A6" w:rsidRPr="0098402E" w:rsidRDefault="00EA4854" w:rsidP="00025F48">
      <w:pPr>
        <w:spacing w:after="200" w:line="240" w:lineRule="auto"/>
        <w:ind w:left="567" w:hanging="567"/>
        <w:jc w:val="both"/>
        <w:rPr>
          <w:rFonts w:eastAsia="Times New Roman" w:cs="Arial"/>
          <w:sz w:val="22"/>
          <w:szCs w:val="22"/>
          <w:lang w:bidi="he-IL"/>
        </w:rPr>
      </w:pPr>
      <w:r w:rsidRPr="0098402E">
        <w:rPr>
          <w:rFonts w:eastAsia="Times New Roman" w:cs="Arial"/>
          <w:sz w:val="22"/>
          <w:szCs w:val="22"/>
          <w:lang w:bidi="he-IL"/>
        </w:rPr>
        <w:t xml:space="preserve">Abrahams, Alexei, </w:t>
      </w:r>
      <w:r w:rsidR="00735A9C" w:rsidRPr="0098402E">
        <w:rPr>
          <w:rFonts w:eastAsia="Times New Roman" w:cs="Arial"/>
          <w:sz w:val="22"/>
          <w:szCs w:val="22"/>
          <w:lang w:bidi="he-IL"/>
        </w:rPr>
        <w:t>Christopher Oram and Nancy Lozano-Gracia (2018</w:t>
      </w:r>
      <w:r w:rsidRPr="0098402E">
        <w:rPr>
          <w:rFonts w:eastAsia="Times New Roman" w:cs="Arial"/>
          <w:sz w:val="22"/>
          <w:szCs w:val="22"/>
          <w:lang w:bidi="he-IL"/>
        </w:rPr>
        <w:t xml:space="preserve">) </w:t>
      </w:r>
      <w:r w:rsidR="009D6EB8" w:rsidRPr="0098402E">
        <w:rPr>
          <w:rFonts w:eastAsia="Times New Roman" w:cs="Arial"/>
          <w:sz w:val="22"/>
          <w:szCs w:val="22"/>
          <w:lang w:bidi="he-IL"/>
        </w:rPr>
        <w:t>Deblur</w:t>
      </w:r>
      <w:r w:rsidR="00735A9C" w:rsidRPr="0098402E">
        <w:rPr>
          <w:rFonts w:eastAsia="Times New Roman" w:cs="Arial"/>
          <w:sz w:val="22"/>
          <w:szCs w:val="22"/>
          <w:lang w:bidi="he-IL"/>
        </w:rPr>
        <w:t>ring DMSP night</w:t>
      </w:r>
      <w:r w:rsidR="00047C60" w:rsidRPr="0098402E">
        <w:rPr>
          <w:rFonts w:eastAsia="Times New Roman" w:cs="Arial"/>
          <w:sz w:val="22"/>
          <w:szCs w:val="22"/>
          <w:lang w:bidi="he-IL"/>
        </w:rPr>
        <w:t>-</w:t>
      </w:r>
      <w:r w:rsidR="00735A9C" w:rsidRPr="0098402E">
        <w:rPr>
          <w:rFonts w:eastAsia="Times New Roman" w:cs="Arial"/>
          <w:sz w:val="22"/>
          <w:szCs w:val="22"/>
          <w:lang w:bidi="he-IL"/>
        </w:rPr>
        <w:t xml:space="preserve">time lights: A new method using Gaussian filters and frequencies of illumination. </w:t>
      </w:r>
      <w:r w:rsidR="00735A9C" w:rsidRPr="0098402E">
        <w:rPr>
          <w:rFonts w:eastAsia="Times New Roman" w:cs="Arial"/>
          <w:i/>
          <w:iCs/>
          <w:sz w:val="22"/>
          <w:szCs w:val="22"/>
          <w:lang w:bidi="he-IL"/>
        </w:rPr>
        <w:t>Remote Sensing of Environment</w:t>
      </w:r>
      <w:r w:rsidR="00735A9C" w:rsidRPr="0098402E">
        <w:rPr>
          <w:rFonts w:eastAsia="Times New Roman" w:cs="Arial"/>
          <w:sz w:val="22"/>
          <w:szCs w:val="22"/>
          <w:lang w:bidi="he-IL"/>
        </w:rPr>
        <w:t xml:space="preserve"> 210(1): 242-258.</w:t>
      </w:r>
    </w:p>
    <w:p w14:paraId="5E609D2E" w14:textId="77777777" w:rsidR="004A3EAC" w:rsidRPr="0098402E" w:rsidRDefault="004A3EAC" w:rsidP="00025F48">
      <w:pPr>
        <w:spacing w:after="200" w:line="240" w:lineRule="auto"/>
        <w:ind w:left="567" w:hanging="567"/>
        <w:jc w:val="both"/>
        <w:rPr>
          <w:rFonts w:eastAsia="Times New Roman" w:cs="Arial"/>
          <w:sz w:val="22"/>
          <w:szCs w:val="22"/>
          <w:lang w:bidi="he-IL"/>
        </w:rPr>
      </w:pPr>
      <w:r w:rsidRPr="0098402E">
        <w:rPr>
          <w:rFonts w:eastAsia="Times New Roman" w:cs="Arial"/>
          <w:sz w:val="22"/>
          <w:szCs w:val="22"/>
          <w:lang w:bidi="he-IL"/>
        </w:rPr>
        <w:t>Bluhm</w:t>
      </w:r>
      <w:r w:rsidR="00007A41" w:rsidRPr="0098402E">
        <w:rPr>
          <w:rFonts w:eastAsia="Times New Roman" w:cs="Arial"/>
          <w:sz w:val="22"/>
          <w:szCs w:val="22"/>
          <w:lang w:bidi="he-IL"/>
        </w:rPr>
        <w:t>, Richard, and Melanie Krause (2018) Top l</w:t>
      </w:r>
      <w:r w:rsidRPr="0098402E">
        <w:rPr>
          <w:rFonts w:eastAsia="Times New Roman" w:cs="Arial"/>
          <w:sz w:val="22"/>
          <w:szCs w:val="22"/>
          <w:lang w:bidi="he-IL"/>
        </w:rPr>
        <w:t>ights</w:t>
      </w:r>
      <w:r w:rsidR="00007A41" w:rsidRPr="0098402E">
        <w:rPr>
          <w:rFonts w:eastAsia="Times New Roman" w:cs="Arial"/>
          <w:sz w:val="22"/>
          <w:szCs w:val="22"/>
          <w:lang w:bidi="he-IL"/>
        </w:rPr>
        <w:t xml:space="preserve"> </w:t>
      </w:r>
      <w:r w:rsidRPr="0098402E">
        <w:rPr>
          <w:rFonts w:eastAsia="Times New Roman" w:cs="Arial"/>
          <w:sz w:val="22"/>
          <w:szCs w:val="22"/>
          <w:lang w:bidi="he-IL"/>
        </w:rPr>
        <w:t>-</w:t>
      </w:r>
      <w:r w:rsidR="00007A41" w:rsidRPr="0098402E">
        <w:rPr>
          <w:rFonts w:eastAsia="Times New Roman" w:cs="Arial"/>
          <w:sz w:val="22"/>
          <w:szCs w:val="22"/>
          <w:lang w:bidi="he-IL"/>
        </w:rPr>
        <w:t xml:space="preserve"> bright cities and </w:t>
      </w:r>
      <w:r w:rsidR="00A3690A" w:rsidRPr="0098402E">
        <w:rPr>
          <w:rFonts w:eastAsia="Times New Roman" w:cs="Arial"/>
          <w:sz w:val="22"/>
          <w:szCs w:val="22"/>
          <w:lang w:bidi="he-IL"/>
        </w:rPr>
        <w:t>their contribution to economic d</w:t>
      </w:r>
      <w:r w:rsidR="00007A41" w:rsidRPr="0098402E">
        <w:rPr>
          <w:rFonts w:eastAsia="Times New Roman" w:cs="Arial"/>
          <w:sz w:val="22"/>
          <w:szCs w:val="22"/>
          <w:lang w:bidi="he-IL"/>
        </w:rPr>
        <w:t xml:space="preserve">evelopment. </w:t>
      </w:r>
      <w:r w:rsidR="00007A41" w:rsidRPr="0098402E">
        <w:rPr>
          <w:rFonts w:eastAsia="Times New Roman" w:cs="Arial"/>
          <w:i/>
          <w:iCs/>
          <w:sz w:val="22"/>
          <w:szCs w:val="22"/>
          <w:lang w:bidi="he-IL"/>
        </w:rPr>
        <w:t xml:space="preserve">CESifo Working Paper </w:t>
      </w:r>
      <w:r w:rsidR="00007A41" w:rsidRPr="0098402E">
        <w:rPr>
          <w:rFonts w:eastAsia="Times New Roman" w:cs="Arial"/>
          <w:sz w:val="22"/>
          <w:szCs w:val="22"/>
          <w:lang w:bidi="he-IL"/>
        </w:rPr>
        <w:t>No. 7411.</w:t>
      </w:r>
    </w:p>
    <w:p w14:paraId="3B7AE12D" w14:textId="77777777" w:rsidR="00A15972" w:rsidRPr="0098402E" w:rsidRDefault="00A15972" w:rsidP="00025F48">
      <w:pPr>
        <w:spacing w:after="200" w:line="240" w:lineRule="auto"/>
        <w:ind w:left="567" w:hanging="567"/>
        <w:jc w:val="both"/>
        <w:rPr>
          <w:rFonts w:eastAsia="Times New Roman" w:cs="Arial"/>
          <w:sz w:val="22"/>
          <w:szCs w:val="22"/>
          <w:lang w:bidi="he-IL"/>
        </w:rPr>
      </w:pPr>
      <w:r w:rsidRPr="0098402E">
        <w:rPr>
          <w:rFonts w:eastAsia="Times New Roman" w:cs="Arial"/>
          <w:sz w:val="22"/>
          <w:szCs w:val="22"/>
          <w:lang w:bidi="he-IL"/>
        </w:rPr>
        <w:t>Chen, Xi, and William Nordhaus (2019) VIIRS night time lights in the estimation of cross-sectional and time-series GDP. </w:t>
      </w:r>
      <w:r w:rsidRPr="0098402E">
        <w:rPr>
          <w:rFonts w:eastAsia="Times New Roman" w:cs="Arial"/>
          <w:i/>
          <w:iCs/>
          <w:sz w:val="22"/>
          <w:szCs w:val="22"/>
          <w:lang w:bidi="he-IL"/>
        </w:rPr>
        <w:t>Remote Sensing</w:t>
      </w:r>
      <w:r w:rsidRPr="0098402E">
        <w:rPr>
          <w:rFonts w:eastAsia="Times New Roman" w:cs="Arial"/>
          <w:sz w:val="22"/>
          <w:szCs w:val="22"/>
          <w:lang w:bidi="he-IL"/>
        </w:rPr>
        <w:t> 11(9): 1057-1068.</w:t>
      </w:r>
    </w:p>
    <w:p w14:paraId="741D51AA" w14:textId="77777777" w:rsidR="008B0E66" w:rsidRPr="0098402E" w:rsidRDefault="008B0E66" w:rsidP="00025F48">
      <w:pPr>
        <w:spacing w:after="200" w:line="240" w:lineRule="auto"/>
        <w:ind w:left="567" w:hanging="567"/>
        <w:jc w:val="both"/>
        <w:rPr>
          <w:rFonts w:eastAsia="Times New Roman" w:cs="Arial"/>
          <w:sz w:val="22"/>
          <w:szCs w:val="22"/>
          <w:lang w:bidi="he-IL"/>
        </w:rPr>
      </w:pPr>
      <w:r w:rsidRPr="0098402E">
        <w:rPr>
          <w:rFonts w:eastAsia="Times New Roman" w:cs="Arial"/>
          <w:sz w:val="22"/>
          <w:szCs w:val="22"/>
          <w:lang w:bidi="he-IL"/>
        </w:rPr>
        <w:t xml:space="preserve">Elvidge, Christopher, Kimberly Baugh, Mikhail Zhizhin, and Feng-Chi Hsu (2013) Why VIIRS data are superior to DMSP for mapping night time lights. </w:t>
      </w:r>
      <w:r w:rsidRPr="0098402E">
        <w:rPr>
          <w:rFonts w:eastAsia="Times New Roman" w:cs="Arial"/>
          <w:i/>
          <w:iCs/>
          <w:sz w:val="22"/>
          <w:szCs w:val="22"/>
          <w:lang w:bidi="he-IL"/>
        </w:rPr>
        <w:t>Proceedings of the Asia-Pacific Advanced Network</w:t>
      </w:r>
      <w:r w:rsidRPr="0098402E">
        <w:rPr>
          <w:rFonts w:eastAsia="Times New Roman" w:cs="Arial"/>
          <w:sz w:val="22"/>
          <w:szCs w:val="22"/>
          <w:lang w:bidi="he-IL"/>
        </w:rPr>
        <w:t> 35(1): 62-69.</w:t>
      </w:r>
    </w:p>
    <w:p w14:paraId="23D2CA31" w14:textId="77777777" w:rsidR="009D6EB8" w:rsidRPr="0098402E" w:rsidRDefault="009D6EB8" w:rsidP="00025F48">
      <w:pPr>
        <w:spacing w:after="200" w:line="240" w:lineRule="auto"/>
        <w:ind w:left="567" w:hanging="567"/>
        <w:jc w:val="both"/>
        <w:rPr>
          <w:rFonts w:eastAsia="Times New Roman" w:cs="Arial"/>
          <w:sz w:val="22"/>
          <w:szCs w:val="22"/>
          <w:lang w:bidi="he-IL"/>
        </w:rPr>
      </w:pPr>
      <w:r w:rsidRPr="0098402E">
        <w:rPr>
          <w:rFonts w:eastAsia="Times New Roman" w:cs="Arial"/>
          <w:sz w:val="22"/>
          <w:szCs w:val="22"/>
          <w:lang w:bidi="he-IL"/>
        </w:rPr>
        <w:t xml:space="preserve">Gibson, John, Susan Olivia, and Geua Boe-Gibson (2019) Which night lights data should we use in economics, and where? </w:t>
      </w:r>
      <w:r w:rsidRPr="0098402E">
        <w:rPr>
          <w:rFonts w:eastAsia="Times New Roman" w:cs="Arial"/>
          <w:i/>
          <w:iCs/>
          <w:sz w:val="22"/>
          <w:szCs w:val="22"/>
          <w:lang w:bidi="he-IL"/>
        </w:rPr>
        <w:t>MPRA Paper</w:t>
      </w:r>
      <w:r w:rsidRPr="0098402E">
        <w:rPr>
          <w:rFonts w:eastAsia="Times New Roman" w:cs="Arial"/>
          <w:sz w:val="22"/>
          <w:szCs w:val="22"/>
          <w:lang w:bidi="he-IL"/>
        </w:rPr>
        <w:t xml:space="preserve"> No. 97582. University of Munich.</w:t>
      </w:r>
    </w:p>
    <w:p w14:paraId="68A36EC6" w14:textId="77777777" w:rsidR="00070934" w:rsidRPr="0098402E" w:rsidRDefault="00070934" w:rsidP="00025F48">
      <w:pPr>
        <w:tabs>
          <w:tab w:val="left" w:pos="-1440"/>
          <w:tab w:val="left" w:pos="-720"/>
          <w:tab w:val="left" w:pos="0"/>
          <w:tab w:val="left" w:pos="720"/>
          <w:tab w:val="left" w:pos="1440"/>
          <w:tab w:val="left" w:pos="2160"/>
          <w:tab w:val="left" w:pos="2995"/>
          <w:tab w:val="left" w:pos="3600"/>
        </w:tabs>
        <w:suppressAutoHyphens/>
        <w:spacing w:after="200" w:line="240" w:lineRule="auto"/>
        <w:ind w:left="567" w:hanging="567"/>
        <w:jc w:val="both"/>
        <w:rPr>
          <w:rFonts w:eastAsia="Batang"/>
          <w:sz w:val="22"/>
          <w:szCs w:val="22"/>
          <w:lang w:val="en-US"/>
        </w:rPr>
      </w:pPr>
      <w:r w:rsidRPr="0098402E">
        <w:rPr>
          <w:rFonts w:eastAsia="Batang"/>
          <w:sz w:val="22"/>
          <w:szCs w:val="22"/>
          <w:lang w:val="en-US"/>
        </w:rPr>
        <w:t xml:space="preserve">Gibson, John, Susan </w:t>
      </w:r>
      <w:r w:rsidR="00661687" w:rsidRPr="0098402E">
        <w:rPr>
          <w:rFonts w:eastAsia="Batang"/>
          <w:sz w:val="22"/>
          <w:szCs w:val="22"/>
          <w:lang w:val="en-US"/>
        </w:rPr>
        <w:t>Olivia and Geua Boe-Gibson (2020</w:t>
      </w:r>
      <w:r w:rsidRPr="0098402E">
        <w:rPr>
          <w:rFonts w:eastAsia="Batang"/>
          <w:sz w:val="22"/>
          <w:szCs w:val="22"/>
          <w:lang w:val="en-US"/>
        </w:rPr>
        <w:t xml:space="preserve">) Night lights in economics: Sources and uses. </w:t>
      </w:r>
      <w:r w:rsidR="00661687" w:rsidRPr="0098402E">
        <w:rPr>
          <w:rFonts w:eastAsia="Batang"/>
          <w:i/>
          <w:iCs/>
          <w:sz w:val="22"/>
          <w:szCs w:val="22"/>
        </w:rPr>
        <w:t>Working Paper</w:t>
      </w:r>
      <w:r w:rsidR="00661687" w:rsidRPr="0098402E">
        <w:rPr>
          <w:rFonts w:eastAsia="Batang"/>
          <w:sz w:val="22"/>
          <w:szCs w:val="22"/>
        </w:rPr>
        <w:t xml:space="preserve"> No. WPS 2020-</w:t>
      </w:r>
      <w:r w:rsidR="00661687" w:rsidRPr="0098402E">
        <w:rPr>
          <w:rFonts w:eastAsia="Batang"/>
          <w:sz w:val="22"/>
          <w:szCs w:val="22"/>
        </w:rPr>
        <w:softHyphen/>
        <w:t xml:space="preserve">01, Centre for the Study of African Economies, </w:t>
      </w:r>
      <w:r w:rsidR="00EA273E" w:rsidRPr="0098402E">
        <w:rPr>
          <w:rFonts w:eastAsia="Batang"/>
          <w:sz w:val="22"/>
          <w:szCs w:val="22"/>
          <w:lang w:val="en-US"/>
        </w:rPr>
        <w:t>University of Oxford.</w:t>
      </w:r>
    </w:p>
    <w:p w14:paraId="60DD8BE0" w14:textId="77777777" w:rsidR="00DA58F1" w:rsidRPr="0098402E" w:rsidRDefault="00DA58F1" w:rsidP="00025F48">
      <w:pPr>
        <w:tabs>
          <w:tab w:val="left" w:pos="-1440"/>
          <w:tab w:val="left" w:pos="-720"/>
          <w:tab w:val="left" w:pos="0"/>
          <w:tab w:val="left" w:pos="720"/>
          <w:tab w:val="left" w:pos="1440"/>
          <w:tab w:val="left" w:pos="2160"/>
          <w:tab w:val="left" w:pos="2995"/>
          <w:tab w:val="left" w:pos="3600"/>
        </w:tabs>
        <w:suppressAutoHyphens/>
        <w:spacing w:after="200" w:line="240" w:lineRule="auto"/>
        <w:ind w:left="567" w:hanging="567"/>
        <w:jc w:val="both"/>
        <w:rPr>
          <w:rFonts w:eastAsia="Batang"/>
          <w:sz w:val="22"/>
          <w:szCs w:val="22"/>
          <w:lang w:val="en-US"/>
        </w:rPr>
      </w:pPr>
      <w:r w:rsidRPr="0098402E">
        <w:rPr>
          <w:rFonts w:eastAsia="Batang"/>
          <w:sz w:val="22"/>
          <w:szCs w:val="22"/>
        </w:rPr>
        <w:t>Goldblatt, Ran, Kilian Heilmann and Yonatan Vaizman (2019) Can Medium-Resolution Satellite Imagery Measure Economic Activity at Small Geographies? Evidence from Landsat in Vietnam. </w:t>
      </w:r>
      <w:r w:rsidRPr="0098402E">
        <w:rPr>
          <w:rFonts w:eastAsia="Batang"/>
          <w:i/>
          <w:iCs/>
          <w:sz w:val="22"/>
          <w:szCs w:val="22"/>
        </w:rPr>
        <w:t>The World Bank Economic Review</w:t>
      </w:r>
      <w:r w:rsidRPr="0098402E">
        <w:rPr>
          <w:rFonts w:eastAsia="Batang"/>
          <w:sz w:val="22"/>
          <w:szCs w:val="22"/>
        </w:rPr>
        <w:t xml:space="preserve">. </w:t>
      </w:r>
      <w:hyperlink r:id="rId9" w:history="1">
        <w:r w:rsidRPr="0098402E">
          <w:rPr>
            <w:rStyle w:val="Hyperlink"/>
            <w:rFonts w:eastAsia="Batang"/>
            <w:sz w:val="22"/>
            <w:szCs w:val="22"/>
          </w:rPr>
          <w:t>doi.org/10.1093/wber/lhz001</w:t>
        </w:r>
      </w:hyperlink>
    </w:p>
    <w:p w14:paraId="2E4C0A6F" w14:textId="77777777" w:rsidR="004D26F5" w:rsidRPr="0098402E" w:rsidRDefault="000F1892" w:rsidP="00025F48">
      <w:pPr>
        <w:tabs>
          <w:tab w:val="left" w:pos="-1440"/>
          <w:tab w:val="left" w:pos="-720"/>
          <w:tab w:val="left" w:pos="0"/>
          <w:tab w:val="left" w:pos="720"/>
          <w:tab w:val="left" w:pos="1440"/>
          <w:tab w:val="left" w:pos="2160"/>
          <w:tab w:val="left" w:pos="2995"/>
          <w:tab w:val="left" w:pos="3600"/>
        </w:tabs>
        <w:suppressAutoHyphens/>
        <w:spacing w:after="200" w:line="240" w:lineRule="auto"/>
        <w:ind w:left="567" w:hanging="567"/>
        <w:jc w:val="both"/>
        <w:rPr>
          <w:rFonts w:eastAsia="Batang"/>
          <w:sz w:val="22"/>
          <w:szCs w:val="22"/>
        </w:rPr>
      </w:pPr>
      <w:r w:rsidRPr="0098402E">
        <w:rPr>
          <w:rFonts w:eastAsia="Batang"/>
          <w:sz w:val="22"/>
          <w:szCs w:val="22"/>
        </w:rPr>
        <w:t xml:space="preserve">Henderson, </w:t>
      </w:r>
      <w:r w:rsidR="004D26F5" w:rsidRPr="0098402E">
        <w:rPr>
          <w:rFonts w:eastAsia="Batang"/>
          <w:sz w:val="22"/>
          <w:szCs w:val="22"/>
        </w:rPr>
        <w:t>Vernon, Adam Storeygard, and David Weil (2012</w:t>
      </w:r>
      <w:proofErr w:type="gramStart"/>
      <w:r w:rsidR="004D26F5" w:rsidRPr="0098402E">
        <w:rPr>
          <w:rFonts w:eastAsia="Batang"/>
          <w:sz w:val="22"/>
          <w:szCs w:val="22"/>
        </w:rPr>
        <w:t>)  Measuring</w:t>
      </w:r>
      <w:proofErr w:type="gramEnd"/>
      <w:r w:rsidR="004D26F5" w:rsidRPr="0098402E">
        <w:rPr>
          <w:rFonts w:eastAsia="Batang"/>
          <w:sz w:val="22"/>
          <w:szCs w:val="22"/>
        </w:rPr>
        <w:t xml:space="preserve"> economic growth from outer space. </w:t>
      </w:r>
      <w:r w:rsidR="004D26F5" w:rsidRPr="0098402E">
        <w:rPr>
          <w:rFonts w:eastAsia="Batang"/>
          <w:i/>
          <w:iCs/>
          <w:sz w:val="22"/>
          <w:szCs w:val="22"/>
        </w:rPr>
        <w:t>American Economic Review</w:t>
      </w:r>
      <w:r w:rsidR="004D26F5" w:rsidRPr="0098402E">
        <w:rPr>
          <w:rFonts w:eastAsia="Batang"/>
          <w:sz w:val="22"/>
          <w:szCs w:val="22"/>
        </w:rPr>
        <w:t> 102(2): 994-1028.</w:t>
      </w:r>
    </w:p>
    <w:p w14:paraId="56F09C6A" w14:textId="77777777" w:rsidR="00370FE8" w:rsidRDefault="0020283B" w:rsidP="00370FE8">
      <w:pPr>
        <w:spacing w:after="200" w:line="240" w:lineRule="auto"/>
        <w:ind w:left="567" w:hanging="567"/>
        <w:jc w:val="both"/>
        <w:rPr>
          <w:i/>
          <w:iCs/>
          <w:sz w:val="22"/>
          <w:szCs w:val="22"/>
          <w:lang w:eastAsia="en-NZ"/>
        </w:rPr>
      </w:pPr>
      <w:r w:rsidRPr="0098402E">
        <w:rPr>
          <w:sz w:val="22"/>
          <w:szCs w:val="22"/>
          <w:lang w:eastAsia="en-NZ"/>
        </w:rPr>
        <w:t xml:space="preserve">Nordhaus, William and Xi Chen (2015) A sharper image? Estimates of the precision of night time lights as a proxy for economic statistics. </w:t>
      </w:r>
      <w:r w:rsidRPr="0098402E">
        <w:rPr>
          <w:i/>
          <w:iCs/>
          <w:sz w:val="22"/>
          <w:szCs w:val="22"/>
          <w:lang w:eastAsia="en-NZ"/>
        </w:rPr>
        <w:t xml:space="preserve">Journal of Economic Geography </w:t>
      </w:r>
      <w:r w:rsidRPr="0098402E">
        <w:rPr>
          <w:sz w:val="22"/>
          <w:szCs w:val="22"/>
          <w:lang w:eastAsia="en-NZ"/>
        </w:rPr>
        <w:t>15(1): 217-246.</w:t>
      </w:r>
      <w:r w:rsidRPr="0098402E">
        <w:rPr>
          <w:i/>
          <w:iCs/>
          <w:sz w:val="22"/>
          <w:szCs w:val="22"/>
          <w:lang w:eastAsia="en-NZ"/>
        </w:rPr>
        <w:t xml:space="preserve"> </w:t>
      </w:r>
    </w:p>
    <w:p w14:paraId="18035775" w14:textId="1EC3C1DA" w:rsidR="00433461" w:rsidRPr="00370FE8" w:rsidRDefault="0028356F" w:rsidP="00370FE8">
      <w:pPr>
        <w:spacing w:after="200" w:line="240" w:lineRule="auto"/>
        <w:ind w:left="567" w:hanging="567"/>
        <w:jc w:val="both"/>
        <w:rPr>
          <w:i/>
          <w:iCs/>
          <w:sz w:val="22"/>
          <w:szCs w:val="22"/>
          <w:lang w:eastAsia="en-NZ"/>
        </w:rPr>
      </w:pPr>
      <w:r w:rsidRPr="00370FE8">
        <w:rPr>
          <w:sz w:val="22"/>
          <w:szCs w:val="22"/>
          <w:shd w:val="clear" w:color="auto" w:fill="FFFFFF"/>
        </w:rPr>
        <w:t>Tuttle, Benjamin, Sharolyn Anderson, Paul Sutton, Christopher Elvidge, and Kim Baugh (2013) It used to be dark here. </w:t>
      </w:r>
      <w:r w:rsidRPr="00370FE8">
        <w:rPr>
          <w:i/>
          <w:iCs/>
          <w:sz w:val="22"/>
          <w:szCs w:val="22"/>
          <w:shd w:val="clear" w:color="auto" w:fill="FFFFFF"/>
        </w:rPr>
        <w:t xml:space="preserve">Photogrammetric Engineering &amp; Remote Sensing </w:t>
      </w:r>
      <w:r w:rsidRPr="00370FE8">
        <w:rPr>
          <w:sz w:val="22"/>
          <w:szCs w:val="22"/>
          <w:shd w:val="clear" w:color="auto" w:fill="FFFFFF"/>
        </w:rPr>
        <w:t>79(3): 287-297.</w:t>
      </w:r>
      <w:r w:rsidRPr="00370FE8">
        <w:rPr>
          <w:rFonts w:eastAsia="Times New Roman"/>
          <w:sz w:val="22"/>
          <w:szCs w:val="22"/>
          <w:lang w:bidi="he-IL"/>
        </w:rPr>
        <w:t xml:space="preserve"> </w:t>
      </w:r>
    </w:p>
    <w:sectPr w:rsidR="00433461" w:rsidRPr="00370FE8" w:rsidSect="0055627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B4D45" w14:textId="77777777" w:rsidR="00ED12B5" w:rsidRDefault="00ED12B5" w:rsidP="00A97771">
      <w:pPr>
        <w:spacing w:after="0" w:line="240" w:lineRule="auto"/>
      </w:pPr>
      <w:r>
        <w:separator/>
      </w:r>
    </w:p>
  </w:endnote>
  <w:endnote w:type="continuationSeparator" w:id="0">
    <w:p w14:paraId="288CD880" w14:textId="77777777" w:rsidR="00ED12B5" w:rsidRDefault="00ED12B5" w:rsidP="00A9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9238527"/>
      <w:docPartObj>
        <w:docPartGallery w:val="Page Numbers (Bottom of Page)"/>
        <w:docPartUnique/>
      </w:docPartObj>
    </w:sdtPr>
    <w:sdtEndPr>
      <w:rPr>
        <w:noProof/>
      </w:rPr>
    </w:sdtEndPr>
    <w:sdtContent>
      <w:p w14:paraId="10DAACE5" w14:textId="11B217A0" w:rsidR="00556276" w:rsidRDefault="00556276">
        <w:pPr>
          <w:pStyle w:val="Footer"/>
          <w:jc w:val="center"/>
        </w:pPr>
        <w:r>
          <w:fldChar w:fldCharType="begin"/>
        </w:r>
        <w:r>
          <w:instrText xml:space="preserve"> PAGE   \* MERGEFORMAT </w:instrText>
        </w:r>
        <w:r>
          <w:fldChar w:fldCharType="separate"/>
        </w:r>
        <w:r w:rsidR="008F7205">
          <w:rPr>
            <w:noProof/>
          </w:rPr>
          <w:t>9</w:t>
        </w:r>
        <w:r>
          <w:rPr>
            <w:noProof/>
          </w:rPr>
          <w:fldChar w:fldCharType="end"/>
        </w:r>
      </w:p>
    </w:sdtContent>
  </w:sdt>
  <w:p w14:paraId="3B0F85F6" w14:textId="547043A4" w:rsidR="004E6E00" w:rsidRDefault="004E6E00" w:rsidP="00FE28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2251072"/>
      <w:docPartObj>
        <w:docPartGallery w:val="Page Numbers (Bottom of Page)"/>
        <w:docPartUnique/>
      </w:docPartObj>
    </w:sdtPr>
    <w:sdtEndPr>
      <w:rPr>
        <w:noProof/>
      </w:rPr>
    </w:sdtEndPr>
    <w:sdtContent>
      <w:p w14:paraId="7974DFF4" w14:textId="265A1476" w:rsidR="00257D68" w:rsidRDefault="00ED12B5" w:rsidP="00257D68">
        <w:pPr>
          <w:pStyle w:val="Footer"/>
          <w:jc w:val="center"/>
        </w:pPr>
      </w:p>
    </w:sdtContent>
  </w:sdt>
  <w:p w14:paraId="6C94B4AE" w14:textId="77777777" w:rsidR="0045612D" w:rsidRDefault="0045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B74F2" w14:textId="77777777" w:rsidR="00ED12B5" w:rsidRDefault="00ED12B5" w:rsidP="00A97771">
      <w:pPr>
        <w:spacing w:after="0" w:line="240" w:lineRule="auto"/>
      </w:pPr>
      <w:r>
        <w:separator/>
      </w:r>
    </w:p>
  </w:footnote>
  <w:footnote w:type="continuationSeparator" w:id="0">
    <w:p w14:paraId="295C4730" w14:textId="77777777" w:rsidR="00ED12B5" w:rsidRDefault="00ED12B5" w:rsidP="00A97771">
      <w:pPr>
        <w:spacing w:after="0" w:line="240" w:lineRule="auto"/>
      </w:pPr>
      <w:r>
        <w:continuationSeparator/>
      </w:r>
    </w:p>
  </w:footnote>
  <w:footnote w:id="1">
    <w:p w14:paraId="129458D3" w14:textId="05CB1E53" w:rsidR="004E6E00" w:rsidRPr="0098402E" w:rsidRDefault="004E6E00" w:rsidP="00F12336">
      <w:pPr>
        <w:pStyle w:val="FootnoteText"/>
        <w:ind w:left="284" w:hanging="284"/>
        <w:jc w:val="both"/>
        <w:rPr>
          <w:sz w:val="22"/>
          <w:szCs w:val="22"/>
        </w:rPr>
      </w:pPr>
      <w:r w:rsidRPr="0098402E">
        <w:rPr>
          <w:rStyle w:val="FootnoteReference"/>
          <w:sz w:val="22"/>
          <w:szCs w:val="22"/>
        </w:rPr>
        <w:footnoteRef/>
      </w:r>
      <w:r w:rsidRPr="0098402E">
        <w:rPr>
          <w:sz w:val="22"/>
          <w:szCs w:val="22"/>
        </w:rPr>
        <w:t xml:space="preserve"> </w:t>
      </w:r>
      <w:r w:rsidR="00F12336">
        <w:rPr>
          <w:sz w:val="22"/>
          <w:szCs w:val="22"/>
        </w:rPr>
        <w:tab/>
      </w:r>
      <w:r w:rsidRPr="0098402E">
        <w:rPr>
          <w:sz w:val="22"/>
          <w:szCs w:val="22"/>
        </w:rPr>
        <w:t>VIIRS data are allocated to grids, of about 0.3×0.2 miles for typical U.S. latitudes. For DMSP, the grids are 0.6×0.5 miles but underlying spatial resolution of the DMSP sensor is much coarser than this downscaled grid.</w:t>
      </w:r>
    </w:p>
  </w:footnote>
  <w:footnote w:id="2">
    <w:p w14:paraId="60204542" w14:textId="324BAAFA" w:rsidR="004E6E00" w:rsidRDefault="004E6E00" w:rsidP="00F12336">
      <w:pPr>
        <w:pStyle w:val="FootnoteText"/>
        <w:ind w:left="284" w:hanging="284"/>
        <w:jc w:val="both"/>
        <w:rPr>
          <w:rStyle w:val="Hyperlink"/>
          <w:sz w:val="22"/>
          <w:szCs w:val="22"/>
        </w:rPr>
      </w:pPr>
      <w:r w:rsidRPr="0098402E">
        <w:rPr>
          <w:rStyle w:val="FootnoteReference"/>
          <w:sz w:val="22"/>
          <w:szCs w:val="22"/>
        </w:rPr>
        <w:footnoteRef/>
      </w:r>
      <w:r w:rsidRPr="0098402E">
        <w:rPr>
          <w:sz w:val="22"/>
          <w:szCs w:val="22"/>
        </w:rPr>
        <w:t xml:space="preserve"> </w:t>
      </w:r>
      <w:r>
        <w:rPr>
          <w:sz w:val="22"/>
          <w:szCs w:val="22"/>
        </w:rPr>
        <w:tab/>
      </w:r>
      <w:r w:rsidRPr="0098402E">
        <w:rPr>
          <w:sz w:val="22"/>
          <w:szCs w:val="22"/>
        </w:rPr>
        <w:t xml:space="preserve">These data can be downloaded from </w:t>
      </w:r>
      <w:hyperlink r:id="rId1" w:history="1">
        <w:r w:rsidRPr="0098402E">
          <w:rPr>
            <w:rStyle w:val="Hyperlink"/>
            <w:sz w:val="22"/>
            <w:szCs w:val="22"/>
          </w:rPr>
          <w:t>https://ngdc.noaa.gov/eog/dmsp/downloadV4composites.html</w:t>
        </w:r>
      </w:hyperlink>
    </w:p>
    <w:p w14:paraId="40059029" w14:textId="77777777" w:rsidR="004E6E00" w:rsidRPr="0098402E" w:rsidRDefault="004E6E00" w:rsidP="00F12336">
      <w:pPr>
        <w:pStyle w:val="FootnoteText"/>
        <w:ind w:left="284" w:hanging="284"/>
        <w:jc w:val="both"/>
        <w:rPr>
          <w:sz w:val="22"/>
          <w:szCs w:val="22"/>
        </w:rPr>
      </w:pPr>
    </w:p>
  </w:footnote>
  <w:footnote w:id="3">
    <w:p w14:paraId="510DCE11" w14:textId="1BEB088C" w:rsidR="004E6E00" w:rsidRDefault="004E6E00" w:rsidP="00F12336">
      <w:pPr>
        <w:pStyle w:val="FootnoteText"/>
        <w:ind w:left="284" w:hanging="284"/>
        <w:jc w:val="both"/>
        <w:rPr>
          <w:sz w:val="22"/>
          <w:szCs w:val="22"/>
        </w:rPr>
      </w:pPr>
      <w:r w:rsidRPr="0098402E">
        <w:rPr>
          <w:rStyle w:val="FootnoteReference"/>
          <w:sz w:val="22"/>
          <w:szCs w:val="22"/>
        </w:rPr>
        <w:footnoteRef/>
      </w:r>
      <w:r w:rsidRPr="0098402E">
        <w:rPr>
          <w:sz w:val="22"/>
          <w:szCs w:val="22"/>
        </w:rPr>
        <w:t xml:space="preserve"> </w:t>
      </w:r>
      <w:r>
        <w:rPr>
          <w:sz w:val="22"/>
          <w:szCs w:val="22"/>
        </w:rPr>
        <w:tab/>
      </w:r>
      <w:r w:rsidRPr="0098402E">
        <w:rPr>
          <w:sz w:val="22"/>
          <w:szCs w:val="22"/>
        </w:rPr>
        <w:t>The number of nights used in annual composites averages 98 for the U.S. (in 2015), varying from 70 for cloudy, northern, states like Washington to 140 for clearer, southern, states like Arizona.</w:t>
      </w:r>
    </w:p>
    <w:p w14:paraId="1029E53A" w14:textId="77777777" w:rsidR="004E6E00" w:rsidRPr="0098402E" w:rsidRDefault="004E6E00" w:rsidP="00F12336">
      <w:pPr>
        <w:pStyle w:val="FootnoteText"/>
        <w:ind w:left="284" w:hanging="284"/>
        <w:jc w:val="both"/>
        <w:rPr>
          <w:sz w:val="22"/>
          <w:szCs w:val="22"/>
        </w:rPr>
      </w:pPr>
    </w:p>
  </w:footnote>
  <w:footnote w:id="4">
    <w:p w14:paraId="19A73AE5" w14:textId="22B3A087" w:rsidR="004E6E00" w:rsidRPr="0098402E" w:rsidRDefault="004E6E00" w:rsidP="00F12336">
      <w:pPr>
        <w:pStyle w:val="FootnoteText"/>
        <w:ind w:left="284" w:hanging="284"/>
        <w:jc w:val="both"/>
        <w:rPr>
          <w:sz w:val="22"/>
          <w:szCs w:val="22"/>
        </w:rPr>
      </w:pPr>
      <w:r w:rsidRPr="0098402E">
        <w:rPr>
          <w:rStyle w:val="FootnoteReference"/>
          <w:sz w:val="22"/>
          <w:szCs w:val="22"/>
        </w:rPr>
        <w:footnoteRef/>
      </w:r>
      <w:r w:rsidRPr="0098402E">
        <w:rPr>
          <w:sz w:val="22"/>
          <w:szCs w:val="22"/>
        </w:rPr>
        <w:t xml:space="preserve"> </w:t>
      </w:r>
      <w:r>
        <w:rPr>
          <w:sz w:val="22"/>
          <w:szCs w:val="22"/>
        </w:rPr>
        <w:tab/>
      </w:r>
      <w:r w:rsidRPr="0098402E">
        <w:rPr>
          <w:sz w:val="22"/>
          <w:szCs w:val="22"/>
        </w:rPr>
        <w:t xml:space="preserve">Data from April 2012 (or stray-light corrected data from January 2014) until December 2019 are available from: </w:t>
      </w:r>
      <w:hyperlink r:id="rId2" w:history="1">
        <w:r w:rsidRPr="0098402E">
          <w:rPr>
            <w:rStyle w:val="Hyperlink"/>
            <w:sz w:val="22"/>
            <w:szCs w:val="22"/>
          </w:rPr>
          <w:t>https://eogdata.mines.edu/download_dnb_composites.html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8B"/>
    <w:rsid w:val="00002279"/>
    <w:rsid w:val="00004403"/>
    <w:rsid w:val="00004567"/>
    <w:rsid w:val="000053DA"/>
    <w:rsid w:val="000065F2"/>
    <w:rsid w:val="00007462"/>
    <w:rsid w:val="00007A41"/>
    <w:rsid w:val="00012246"/>
    <w:rsid w:val="00013328"/>
    <w:rsid w:val="0001424F"/>
    <w:rsid w:val="000150BC"/>
    <w:rsid w:val="000158EB"/>
    <w:rsid w:val="00016A72"/>
    <w:rsid w:val="000200EC"/>
    <w:rsid w:val="00020BEC"/>
    <w:rsid w:val="00023ED8"/>
    <w:rsid w:val="0002469C"/>
    <w:rsid w:val="0002493E"/>
    <w:rsid w:val="00025317"/>
    <w:rsid w:val="00025F48"/>
    <w:rsid w:val="000271F1"/>
    <w:rsid w:val="00027ABC"/>
    <w:rsid w:val="000302A6"/>
    <w:rsid w:val="00031CE0"/>
    <w:rsid w:val="00032873"/>
    <w:rsid w:val="00032B6E"/>
    <w:rsid w:val="000359F4"/>
    <w:rsid w:val="00036F59"/>
    <w:rsid w:val="00041814"/>
    <w:rsid w:val="00041C56"/>
    <w:rsid w:val="000430B4"/>
    <w:rsid w:val="00044576"/>
    <w:rsid w:val="0004457F"/>
    <w:rsid w:val="00044689"/>
    <w:rsid w:val="00047C60"/>
    <w:rsid w:val="0005182B"/>
    <w:rsid w:val="00051CFA"/>
    <w:rsid w:val="00052401"/>
    <w:rsid w:val="00055721"/>
    <w:rsid w:val="00056FE0"/>
    <w:rsid w:val="00057774"/>
    <w:rsid w:val="00066616"/>
    <w:rsid w:val="00066A91"/>
    <w:rsid w:val="000679C1"/>
    <w:rsid w:val="00070934"/>
    <w:rsid w:val="00070E29"/>
    <w:rsid w:val="00071E99"/>
    <w:rsid w:val="000728C5"/>
    <w:rsid w:val="00072F37"/>
    <w:rsid w:val="00073CA7"/>
    <w:rsid w:val="00074ECB"/>
    <w:rsid w:val="00075D6D"/>
    <w:rsid w:val="000766F8"/>
    <w:rsid w:val="00080123"/>
    <w:rsid w:val="0008015C"/>
    <w:rsid w:val="00081B74"/>
    <w:rsid w:val="00082C92"/>
    <w:rsid w:val="0008350E"/>
    <w:rsid w:val="00084D97"/>
    <w:rsid w:val="000875B9"/>
    <w:rsid w:val="00087C02"/>
    <w:rsid w:val="000900CE"/>
    <w:rsid w:val="00091BAC"/>
    <w:rsid w:val="00092079"/>
    <w:rsid w:val="000A3580"/>
    <w:rsid w:val="000A3E9C"/>
    <w:rsid w:val="000A5474"/>
    <w:rsid w:val="000A7729"/>
    <w:rsid w:val="000B11EE"/>
    <w:rsid w:val="000B26C3"/>
    <w:rsid w:val="000B384A"/>
    <w:rsid w:val="000B69D0"/>
    <w:rsid w:val="000B78E9"/>
    <w:rsid w:val="000B7C0F"/>
    <w:rsid w:val="000C0044"/>
    <w:rsid w:val="000C004D"/>
    <w:rsid w:val="000C096F"/>
    <w:rsid w:val="000C0A63"/>
    <w:rsid w:val="000C1545"/>
    <w:rsid w:val="000C1DA7"/>
    <w:rsid w:val="000C2DBE"/>
    <w:rsid w:val="000C368B"/>
    <w:rsid w:val="000C5757"/>
    <w:rsid w:val="000C6826"/>
    <w:rsid w:val="000D727D"/>
    <w:rsid w:val="000D79D7"/>
    <w:rsid w:val="000E00AD"/>
    <w:rsid w:val="000E1BF8"/>
    <w:rsid w:val="000E4023"/>
    <w:rsid w:val="000E4879"/>
    <w:rsid w:val="000E4A01"/>
    <w:rsid w:val="000E5AC1"/>
    <w:rsid w:val="000E5ACF"/>
    <w:rsid w:val="000E6DC9"/>
    <w:rsid w:val="000E752E"/>
    <w:rsid w:val="000E75E5"/>
    <w:rsid w:val="000E7DE0"/>
    <w:rsid w:val="000F06D5"/>
    <w:rsid w:val="000F0817"/>
    <w:rsid w:val="000F0884"/>
    <w:rsid w:val="000F0F9C"/>
    <w:rsid w:val="000F170D"/>
    <w:rsid w:val="000F180D"/>
    <w:rsid w:val="000F1892"/>
    <w:rsid w:val="000F199B"/>
    <w:rsid w:val="000F5A73"/>
    <w:rsid w:val="000F5EB6"/>
    <w:rsid w:val="000F622A"/>
    <w:rsid w:val="00100D22"/>
    <w:rsid w:val="00101073"/>
    <w:rsid w:val="0010124A"/>
    <w:rsid w:val="00101C23"/>
    <w:rsid w:val="00104131"/>
    <w:rsid w:val="00104533"/>
    <w:rsid w:val="001046FC"/>
    <w:rsid w:val="001106A9"/>
    <w:rsid w:val="00110C8B"/>
    <w:rsid w:val="00112AC7"/>
    <w:rsid w:val="001145EC"/>
    <w:rsid w:val="00114D29"/>
    <w:rsid w:val="001224B2"/>
    <w:rsid w:val="00123084"/>
    <w:rsid w:val="00126BFD"/>
    <w:rsid w:val="00126FD2"/>
    <w:rsid w:val="00134337"/>
    <w:rsid w:val="00137DC8"/>
    <w:rsid w:val="00144B68"/>
    <w:rsid w:val="00144D60"/>
    <w:rsid w:val="001514FA"/>
    <w:rsid w:val="001521B9"/>
    <w:rsid w:val="00152B75"/>
    <w:rsid w:val="00156B76"/>
    <w:rsid w:val="00161EE3"/>
    <w:rsid w:val="001629B2"/>
    <w:rsid w:val="00163B89"/>
    <w:rsid w:val="00170A57"/>
    <w:rsid w:val="00171B42"/>
    <w:rsid w:val="001745CF"/>
    <w:rsid w:val="0018220C"/>
    <w:rsid w:val="00182DF0"/>
    <w:rsid w:val="0018427F"/>
    <w:rsid w:val="00184897"/>
    <w:rsid w:val="00184EBC"/>
    <w:rsid w:val="001879DA"/>
    <w:rsid w:val="0019091C"/>
    <w:rsid w:val="00191F05"/>
    <w:rsid w:val="001936B0"/>
    <w:rsid w:val="00194405"/>
    <w:rsid w:val="00194DE6"/>
    <w:rsid w:val="001953B5"/>
    <w:rsid w:val="00196DEE"/>
    <w:rsid w:val="0019712A"/>
    <w:rsid w:val="00197D19"/>
    <w:rsid w:val="001A1111"/>
    <w:rsid w:val="001A1E83"/>
    <w:rsid w:val="001A3F51"/>
    <w:rsid w:val="001A7193"/>
    <w:rsid w:val="001B0B56"/>
    <w:rsid w:val="001B0EFF"/>
    <w:rsid w:val="001B4E73"/>
    <w:rsid w:val="001B5F59"/>
    <w:rsid w:val="001C1F4D"/>
    <w:rsid w:val="001D52FC"/>
    <w:rsid w:val="001D68E2"/>
    <w:rsid w:val="001E0F73"/>
    <w:rsid w:val="001E1D87"/>
    <w:rsid w:val="001E7B15"/>
    <w:rsid w:val="001F0D09"/>
    <w:rsid w:val="001F76DE"/>
    <w:rsid w:val="0020283B"/>
    <w:rsid w:val="00202E7E"/>
    <w:rsid w:val="00206140"/>
    <w:rsid w:val="002113A9"/>
    <w:rsid w:val="00213A18"/>
    <w:rsid w:val="00213C1D"/>
    <w:rsid w:val="00213D13"/>
    <w:rsid w:val="00214622"/>
    <w:rsid w:val="00214726"/>
    <w:rsid w:val="002147F0"/>
    <w:rsid w:val="00214A7D"/>
    <w:rsid w:val="00214D94"/>
    <w:rsid w:val="00220548"/>
    <w:rsid w:val="00221253"/>
    <w:rsid w:val="002235D3"/>
    <w:rsid w:val="0022401B"/>
    <w:rsid w:val="00225D79"/>
    <w:rsid w:val="00227BD1"/>
    <w:rsid w:val="00235687"/>
    <w:rsid w:val="00235A3B"/>
    <w:rsid w:val="002405A2"/>
    <w:rsid w:val="00242CDB"/>
    <w:rsid w:val="00243BE9"/>
    <w:rsid w:val="00244069"/>
    <w:rsid w:val="00244F1A"/>
    <w:rsid w:val="002466E8"/>
    <w:rsid w:val="00250584"/>
    <w:rsid w:val="00250D8F"/>
    <w:rsid w:val="00251D61"/>
    <w:rsid w:val="002520F7"/>
    <w:rsid w:val="00254DE6"/>
    <w:rsid w:val="00257D68"/>
    <w:rsid w:val="00261AB7"/>
    <w:rsid w:val="00267618"/>
    <w:rsid w:val="00272D4F"/>
    <w:rsid w:val="00274481"/>
    <w:rsid w:val="00275508"/>
    <w:rsid w:val="00275D16"/>
    <w:rsid w:val="0028356F"/>
    <w:rsid w:val="002858B5"/>
    <w:rsid w:val="00291A78"/>
    <w:rsid w:val="00291F25"/>
    <w:rsid w:val="002920BD"/>
    <w:rsid w:val="0029226C"/>
    <w:rsid w:val="00293F73"/>
    <w:rsid w:val="00294D67"/>
    <w:rsid w:val="00296C04"/>
    <w:rsid w:val="00296F29"/>
    <w:rsid w:val="002A1F76"/>
    <w:rsid w:val="002A21F3"/>
    <w:rsid w:val="002A2603"/>
    <w:rsid w:val="002A423A"/>
    <w:rsid w:val="002A5E2D"/>
    <w:rsid w:val="002A6B07"/>
    <w:rsid w:val="002B06A5"/>
    <w:rsid w:val="002B1F34"/>
    <w:rsid w:val="002B7418"/>
    <w:rsid w:val="002C1C8A"/>
    <w:rsid w:val="002C1FBF"/>
    <w:rsid w:val="002C2413"/>
    <w:rsid w:val="002C25F9"/>
    <w:rsid w:val="002C3EE7"/>
    <w:rsid w:val="002C44AA"/>
    <w:rsid w:val="002C5554"/>
    <w:rsid w:val="002C5B8B"/>
    <w:rsid w:val="002C6994"/>
    <w:rsid w:val="002D0466"/>
    <w:rsid w:val="002D05F2"/>
    <w:rsid w:val="002D2D8E"/>
    <w:rsid w:val="002D31C8"/>
    <w:rsid w:val="002D50DC"/>
    <w:rsid w:val="002D59F7"/>
    <w:rsid w:val="002E09AF"/>
    <w:rsid w:val="002E115F"/>
    <w:rsid w:val="002E13C3"/>
    <w:rsid w:val="002E25B7"/>
    <w:rsid w:val="002E3247"/>
    <w:rsid w:val="002E3741"/>
    <w:rsid w:val="002F1C9E"/>
    <w:rsid w:val="002F23D5"/>
    <w:rsid w:val="002F35F1"/>
    <w:rsid w:val="002F6CD4"/>
    <w:rsid w:val="0030131B"/>
    <w:rsid w:val="00303F15"/>
    <w:rsid w:val="00304E9C"/>
    <w:rsid w:val="00307CB8"/>
    <w:rsid w:val="00310A4D"/>
    <w:rsid w:val="00312C8D"/>
    <w:rsid w:val="003226F2"/>
    <w:rsid w:val="00322983"/>
    <w:rsid w:val="0032325D"/>
    <w:rsid w:val="0032699D"/>
    <w:rsid w:val="003270BE"/>
    <w:rsid w:val="00327A5A"/>
    <w:rsid w:val="0033098D"/>
    <w:rsid w:val="0033209F"/>
    <w:rsid w:val="0033214C"/>
    <w:rsid w:val="00332AAD"/>
    <w:rsid w:val="0034053E"/>
    <w:rsid w:val="00342A26"/>
    <w:rsid w:val="003466ED"/>
    <w:rsid w:val="00346E44"/>
    <w:rsid w:val="00351228"/>
    <w:rsid w:val="00351695"/>
    <w:rsid w:val="00357070"/>
    <w:rsid w:val="003639E3"/>
    <w:rsid w:val="0036420A"/>
    <w:rsid w:val="003651D8"/>
    <w:rsid w:val="0036596F"/>
    <w:rsid w:val="00367361"/>
    <w:rsid w:val="003705EA"/>
    <w:rsid w:val="00370FE8"/>
    <w:rsid w:val="00372189"/>
    <w:rsid w:val="0037219C"/>
    <w:rsid w:val="00373DC9"/>
    <w:rsid w:val="00374734"/>
    <w:rsid w:val="00377520"/>
    <w:rsid w:val="00377714"/>
    <w:rsid w:val="003802F8"/>
    <w:rsid w:val="00381D95"/>
    <w:rsid w:val="00385A0E"/>
    <w:rsid w:val="00385E02"/>
    <w:rsid w:val="00387156"/>
    <w:rsid w:val="003871FF"/>
    <w:rsid w:val="00387464"/>
    <w:rsid w:val="0038767B"/>
    <w:rsid w:val="0039140B"/>
    <w:rsid w:val="00391E8D"/>
    <w:rsid w:val="0039259D"/>
    <w:rsid w:val="00392A11"/>
    <w:rsid w:val="003965EC"/>
    <w:rsid w:val="003967E9"/>
    <w:rsid w:val="003A0386"/>
    <w:rsid w:val="003A1456"/>
    <w:rsid w:val="003A36C0"/>
    <w:rsid w:val="003A56CD"/>
    <w:rsid w:val="003A75AA"/>
    <w:rsid w:val="003A7F49"/>
    <w:rsid w:val="003B042D"/>
    <w:rsid w:val="003B0607"/>
    <w:rsid w:val="003B0C66"/>
    <w:rsid w:val="003B1580"/>
    <w:rsid w:val="003B427C"/>
    <w:rsid w:val="003B4381"/>
    <w:rsid w:val="003B4D8E"/>
    <w:rsid w:val="003B5740"/>
    <w:rsid w:val="003B7672"/>
    <w:rsid w:val="003B7A69"/>
    <w:rsid w:val="003C2496"/>
    <w:rsid w:val="003C24DF"/>
    <w:rsid w:val="003C5D9F"/>
    <w:rsid w:val="003C60B8"/>
    <w:rsid w:val="003C66B6"/>
    <w:rsid w:val="003C7709"/>
    <w:rsid w:val="003D2AA7"/>
    <w:rsid w:val="003D33C9"/>
    <w:rsid w:val="003D33D2"/>
    <w:rsid w:val="003D4B34"/>
    <w:rsid w:val="003D5189"/>
    <w:rsid w:val="003D5D8A"/>
    <w:rsid w:val="003E023A"/>
    <w:rsid w:val="003E1DEE"/>
    <w:rsid w:val="003E2175"/>
    <w:rsid w:val="003E642B"/>
    <w:rsid w:val="003E73FE"/>
    <w:rsid w:val="003E7847"/>
    <w:rsid w:val="003F0198"/>
    <w:rsid w:val="003F1BC3"/>
    <w:rsid w:val="003F2177"/>
    <w:rsid w:val="003F3282"/>
    <w:rsid w:val="003F490C"/>
    <w:rsid w:val="003F4B87"/>
    <w:rsid w:val="003F4C23"/>
    <w:rsid w:val="003F6961"/>
    <w:rsid w:val="004001ED"/>
    <w:rsid w:val="00405EAA"/>
    <w:rsid w:val="0041000D"/>
    <w:rsid w:val="004101BE"/>
    <w:rsid w:val="00410ABE"/>
    <w:rsid w:val="00413C37"/>
    <w:rsid w:val="0041438D"/>
    <w:rsid w:val="004148FF"/>
    <w:rsid w:val="00420BEF"/>
    <w:rsid w:val="004327EE"/>
    <w:rsid w:val="00433461"/>
    <w:rsid w:val="004355AB"/>
    <w:rsid w:val="00437255"/>
    <w:rsid w:val="004378F9"/>
    <w:rsid w:val="00446258"/>
    <w:rsid w:val="0044662D"/>
    <w:rsid w:val="00451C9A"/>
    <w:rsid w:val="00451CD2"/>
    <w:rsid w:val="00452061"/>
    <w:rsid w:val="004527A1"/>
    <w:rsid w:val="004529B6"/>
    <w:rsid w:val="00453EAA"/>
    <w:rsid w:val="0045572F"/>
    <w:rsid w:val="0045612D"/>
    <w:rsid w:val="00456343"/>
    <w:rsid w:val="00456E61"/>
    <w:rsid w:val="00456F71"/>
    <w:rsid w:val="0045731C"/>
    <w:rsid w:val="00457FE2"/>
    <w:rsid w:val="004640A5"/>
    <w:rsid w:val="00464B9C"/>
    <w:rsid w:val="00467A48"/>
    <w:rsid w:val="00467E26"/>
    <w:rsid w:val="00470B2C"/>
    <w:rsid w:val="00475F32"/>
    <w:rsid w:val="00477CC3"/>
    <w:rsid w:val="0048060A"/>
    <w:rsid w:val="00482133"/>
    <w:rsid w:val="0048292E"/>
    <w:rsid w:val="0048381D"/>
    <w:rsid w:val="0048394C"/>
    <w:rsid w:val="004839DE"/>
    <w:rsid w:val="004855B9"/>
    <w:rsid w:val="004872D2"/>
    <w:rsid w:val="00493EE6"/>
    <w:rsid w:val="00494324"/>
    <w:rsid w:val="00496EA0"/>
    <w:rsid w:val="004976CA"/>
    <w:rsid w:val="004A1E78"/>
    <w:rsid w:val="004A2068"/>
    <w:rsid w:val="004A3AE2"/>
    <w:rsid w:val="004A3EAC"/>
    <w:rsid w:val="004A5144"/>
    <w:rsid w:val="004A621D"/>
    <w:rsid w:val="004B0257"/>
    <w:rsid w:val="004B0396"/>
    <w:rsid w:val="004B0F83"/>
    <w:rsid w:val="004B1019"/>
    <w:rsid w:val="004B1A5C"/>
    <w:rsid w:val="004B2158"/>
    <w:rsid w:val="004B4D63"/>
    <w:rsid w:val="004B6CCC"/>
    <w:rsid w:val="004C1709"/>
    <w:rsid w:val="004C21C8"/>
    <w:rsid w:val="004C43EE"/>
    <w:rsid w:val="004C5EA1"/>
    <w:rsid w:val="004C6DA3"/>
    <w:rsid w:val="004D26F5"/>
    <w:rsid w:val="004D2BD7"/>
    <w:rsid w:val="004D5A97"/>
    <w:rsid w:val="004D5CDB"/>
    <w:rsid w:val="004E6525"/>
    <w:rsid w:val="004E6E00"/>
    <w:rsid w:val="004F3C54"/>
    <w:rsid w:val="004F612E"/>
    <w:rsid w:val="004F7B6C"/>
    <w:rsid w:val="004F7F1B"/>
    <w:rsid w:val="005017BD"/>
    <w:rsid w:val="00501E32"/>
    <w:rsid w:val="005046F4"/>
    <w:rsid w:val="005063EA"/>
    <w:rsid w:val="00506830"/>
    <w:rsid w:val="00510E58"/>
    <w:rsid w:val="0052077C"/>
    <w:rsid w:val="00520C02"/>
    <w:rsid w:val="00526A0C"/>
    <w:rsid w:val="00527085"/>
    <w:rsid w:val="0052796B"/>
    <w:rsid w:val="00530D91"/>
    <w:rsid w:val="00530FC8"/>
    <w:rsid w:val="005321E5"/>
    <w:rsid w:val="0053301E"/>
    <w:rsid w:val="005336B5"/>
    <w:rsid w:val="005338E9"/>
    <w:rsid w:val="005361F0"/>
    <w:rsid w:val="00536611"/>
    <w:rsid w:val="00537144"/>
    <w:rsid w:val="00537736"/>
    <w:rsid w:val="005378DF"/>
    <w:rsid w:val="00540940"/>
    <w:rsid w:val="0054147B"/>
    <w:rsid w:val="00541F35"/>
    <w:rsid w:val="005435AF"/>
    <w:rsid w:val="00544901"/>
    <w:rsid w:val="00547562"/>
    <w:rsid w:val="00547B30"/>
    <w:rsid w:val="005503B6"/>
    <w:rsid w:val="005523DF"/>
    <w:rsid w:val="00555CD4"/>
    <w:rsid w:val="00556276"/>
    <w:rsid w:val="00560CD2"/>
    <w:rsid w:val="00561DAD"/>
    <w:rsid w:val="00564EA6"/>
    <w:rsid w:val="00566909"/>
    <w:rsid w:val="00566FA7"/>
    <w:rsid w:val="005722DC"/>
    <w:rsid w:val="005741F4"/>
    <w:rsid w:val="0057675C"/>
    <w:rsid w:val="005769F7"/>
    <w:rsid w:val="00576CF1"/>
    <w:rsid w:val="005775C2"/>
    <w:rsid w:val="005811DF"/>
    <w:rsid w:val="00582836"/>
    <w:rsid w:val="00582C7C"/>
    <w:rsid w:val="00582FD6"/>
    <w:rsid w:val="00583170"/>
    <w:rsid w:val="00583A9D"/>
    <w:rsid w:val="00584009"/>
    <w:rsid w:val="00586929"/>
    <w:rsid w:val="00587A31"/>
    <w:rsid w:val="00590169"/>
    <w:rsid w:val="005922B7"/>
    <w:rsid w:val="0059408F"/>
    <w:rsid w:val="005977D7"/>
    <w:rsid w:val="005A0260"/>
    <w:rsid w:val="005A1042"/>
    <w:rsid w:val="005A243F"/>
    <w:rsid w:val="005A461C"/>
    <w:rsid w:val="005A4794"/>
    <w:rsid w:val="005A4B57"/>
    <w:rsid w:val="005A545A"/>
    <w:rsid w:val="005B3645"/>
    <w:rsid w:val="005B4C84"/>
    <w:rsid w:val="005B6B2D"/>
    <w:rsid w:val="005B7948"/>
    <w:rsid w:val="005B7D6B"/>
    <w:rsid w:val="005C2836"/>
    <w:rsid w:val="005C3C5E"/>
    <w:rsid w:val="005C51A6"/>
    <w:rsid w:val="005C6074"/>
    <w:rsid w:val="005C777B"/>
    <w:rsid w:val="005C7A41"/>
    <w:rsid w:val="005D1361"/>
    <w:rsid w:val="005D1A93"/>
    <w:rsid w:val="005D1F08"/>
    <w:rsid w:val="005D2698"/>
    <w:rsid w:val="005E0399"/>
    <w:rsid w:val="005E6824"/>
    <w:rsid w:val="005E7897"/>
    <w:rsid w:val="005F11CF"/>
    <w:rsid w:val="005F7860"/>
    <w:rsid w:val="006004F8"/>
    <w:rsid w:val="00600B4D"/>
    <w:rsid w:val="0060230A"/>
    <w:rsid w:val="00602CB3"/>
    <w:rsid w:val="00603843"/>
    <w:rsid w:val="00604524"/>
    <w:rsid w:val="00605454"/>
    <w:rsid w:val="0061099C"/>
    <w:rsid w:val="0061127D"/>
    <w:rsid w:val="00611B1C"/>
    <w:rsid w:val="00612E4D"/>
    <w:rsid w:val="0061317E"/>
    <w:rsid w:val="00615CB9"/>
    <w:rsid w:val="00616F31"/>
    <w:rsid w:val="00622006"/>
    <w:rsid w:val="00623641"/>
    <w:rsid w:val="00630706"/>
    <w:rsid w:val="006351C8"/>
    <w:rsid w:val="00637B96"/>
    <w:rsid w:val="00641F5D"/>
    <w:rsid w:val="0064256F"/>
    <w:rsid w:val="00642C8D"/>
    <w:rsid w:val="006430B8"/>
    <w:rsid w:val="006432D6"/>
    <w:rsid w:val="00645D7F"/>
    <w:rsid w:val="00646F3E"/>
    <w:rsid w:val="00647F65"/>
    <w:rsid w:val="0065168B"/>
    <w:rsid w:val="00652EB5"/>
    <w:rsid w:val="00655ADB"/>
    <w:rsid w:val="00656259"/>
    <w:rsid w:val="006579F2"/>
    <w:rsid w:val="00657A8F"/>
    <w:rsid w:val="00661687"/>
    <w:rsid w:val="00663AEB"/>
    <w:rsid w:val="00665FB1"/>
    <w:rsid w:val="006702A7"/>
    <w:rsid w:val="00670698"/>
    <w:rsid w:val="0067241A"/>
    <w:rsid w:val="00673043"/>
    <w:rsid w:val="006741F0"/>
    <w:rsid w:val="00675115"/>
    <w:rsid w:val="00680335"/>
    <w:rsid w:val="0068603E"/>
    <w:rsid w:val="00692DA7"/>
    <w:rsid w:val="006932DE"/>
    <w:rsid w:val="00695332"/>
    <w:rsid w:val="00695ACB"/>
    <w:rsid w:val="00695E2D"/>
    <w:rsid w:val="006A0942"/>
    <w:rsid w:val="006A1853"/>
    <w:rsid w:val="006A49CA"/>
    <w:rsid w:val="006A5436"/>
    <w:rsid w:val="006A6529"/>
    <w:rsid w:val="006A7104"/>
    <w:rsid w:val="006A7767"/>
    <w:rsid w:val="006A7F30"/>
    <w:rsid w:val="006B23E4"/>
    <w:rsid w:val="006B396D"/>
    <w:rsid w:val="006B4336"/>
    <w:rsid w:val="006B7C93"/>
    <w:rsid w:val="006C482B"/>
    <w:rsid w:val="006C52D9"/>
    <w:rsid w:val="006C6424"/>
    <w:rsid w:val="006D18AA"/>
    <w:rsid w:val="006D1D0A"/>
    <w:rsid w:val="006D28EA"/>
    <w:rsid w:val="006D49D1"/>
    <w:rsid w:val="006D5069"/>
    <w:rsid w:val="006D6658"/>
    <w:rsid w:val="006E6EA7"/>
    <w:rsid w:val="006F0748"/>
    <w:rsid w:val="006F1946"/>
    <w:rsid w:val="006F26DF"/>
    <w:rsid w:val="006F29EE"/>
    <w:rsid w:val="006F2CD4"/>
    <w:rsid w:val="006F4F14"/>
    <w:rsid w:val="006F6526"/>
    <w:rsid w:val="006F6B8E"/>
    <w:rsid w:val="006F799B"/>
    <w:rsid w:val="00700872"/>
    <w:rsid w:val="00703ED8"/>
    <w:rsid w:val="007114A4"/>
    <w:rsid w:val="00711B5B"/>
    <w:rsid w:val="0071265F"/>
    <w:rsid w:val="00714DA8"/>
    <w:rsid w:val="00715ECB"/>
    <w:rsid w:val="007177A8"/>
    <w:rsid w:val="0071780B"/>
    <w:rsid w:val="00717F08"/>
    <w:rsid w:val="00723937"/>
    <w:rsid w:val="00725EE4"/>
    <w:rsid w:val="00727528"/>
    <w:rsid w:val="00734351"/>
    <w:rsid w:val="00735A9C"/>
    <w:rsid w:val="0073600F"/>
    <w:rsid w:val="00740A96"/>
    <w:rsid w:val="00741202"/>
    <w:rsid w:val="00741776"/>
    <w:rsid w:val="007437F7"/>
    <w:rsid w:val="00744BAC"/>
    <w:rsid w:val="00745450"/>
    <w:rsid w:val="007468AF"/>
    <w:rsid w:val="00747049"/>
    <w:rsid w:val="00747BA5"/>
    <w:rsid w:val="00751316"/>
    <w:rsid w:val="00757943"/>
    <w:rsid w:val="0076032F"/>
    <w:rsid w:val="007632DB"/>
    <w:rsid w:val="007729F5"/>
    <w:rsid w:val="00772E71"/>
    <w:rsid w:val="007737A3"/>
    <w:rsid w:val="00773D1F"/>
    <w:rsid w:val="007744BE"/>
    <w:rsid w:val="0077567C"/>
    <w:rsid w:val="007760BF"/>
    <w:rsid w:val="007766CE"/>
    <w:rsid w:val="0078068C"/>
    <w:rsid w:val="007813CB"/>
    <w:rsid w:val="00790CFD"/>
    <w:rsid w:val="0079186E"/>
    <w:rsid w:val="00791ABA"/>
    <w:rsid w:val="00791BEA"/>
    <w:rsid w:val="00793B70"/>
    <w:rsid w:val="007957AB"/>
    <w:rsid w:val="007968C5"/>
    <w:rsid w:val="00796B00"/>
    <w:rsid w:val="00796DC9"/>
    <w:rsid w:val="00796F7E"/>
    <w:rsid w:val="007A415D"/>
    <w:rsid w:val="007A4302"/>
    <w:rsid w:val="007A5055"/>
    <w:rsid w:val="007B0726"/>
    <w:rsid w:val="007B1338"/>
    <w:rsid w:val="007B45F3"/>
    <w:rsid w:val="007B5F42"/>
    <w:rsid w:val="007C0060"/>
    <w:rsid w:val="007C2C05"/>
    <w:rsid w:val="007C3222"/>
    <w:rsid w:val="007C3E25"/>
    <w:rsid w:val="007C4988"/>
    <w:rsid w:val="007C6206"/>
    <w:rsid w:val="007C6C7B"/>
    <w:rsid w:val="007D0313"/>
    <w:rsid w:val="007D1FD1"/>
    <w:rsid w:val="007D4367"/>
    <w:rsid w:val="007D670F"/>
    <w:rsid w:val="007D716A"/>
    <w:rsid w:val="007E2BC4"/>
    <w:rsid w:val="007E3A94"/>
    <w:rsid w:val="007E3C3D"/>
    <w:rsid w:val="007E6A7D"/>
    <w:rsid w:val="007F23E7"/>
    <w:rsid w:val="007F4B11"/>
    <w:rsid w:val="007F7137"/>
    <w:rsid w:val="0080262D"/>
    <w:rsid w:val="00802A80"/>
    <w:rsid w:val="00803C8B"/>
    <w:rsid w:val="00804449"/>
    <w:rsid w:val="008065A8"/>
    <w:rsid w:val="00806D4F"/>
    <w:rsid w:val="00807E7C"/>
    <w:rsid w:val="0081286D"/>
    <w:rsid w:val="00813802"/>
    <w:rsid w:val="008168B6"/>
    <w:rsid w:val="00817218"/>
    <w:rsid w:val="00822078"/>
    <w:rsid w:val="00822860"/>
    <w:rsid w:val="0082626C"/>
    <w:rsid w:val="008268F1"/>
    <w:rsid w:val="00832B4A"/>
    <w:rsid w:val="008335F6"/>
    <w:rsid w:val="00833CB7"/>
    <w:rsid w:val="00836317"/>
    <w:rsid w:val="00837F99"/>
    <w:rsid w:val="00837F9B"/>
    <w:rsid w:val="0084159F"/>
    <w:rsid w:val="008419DE"/>
    <w:rsid w:val="00841BCF"/>
    <w:rsid w:val="00842746"/>
    <w:rsid w:val="008463EB"/>
    <w:rsid w:val="00846DD6"/>
    <w:rsid w:val="0085025E"/>
    <w:rsid w:val="008528BF"/>
    <w:rsid w:val="00853925"/>
    <w:rsid w:val="00854C0C"/>
    <w:rsid w:val="00855250"/>
    <w:rsid w:val="00860C38"/>
    <w:rsid w:val="00860F17"/>
    <w:rsid w:val="0086182F"/>
    <w:rsid w:val="00863034"/>
    <w:rsid w:val="00865E08"/>
    <w:rsid w:val="008673D0"/>
    <w:rsid w:val="0087183B"/>
    <w:rsid w:val="00880F72"/>
    <w:rsid w:val="0088156A"/>
    <w:rsid w:val="00881831"/>
    <w:rsid w:val="00882924"/>
    <w:rsid w:val="00884525"/>
    <w:rsid w:val="00885FF3"/>
    <w:rsid w:val="00886096"/>
    <w:rsid w:val="008866A2"/>
    <w:rsid w:val="008904AC"/>
    <w:rsid w:val="008976CE"/>
    <w:rsid w:val="00897E09"/>
    <w:rsid w:val="008A070C"/>
    <w:rsid w:val="008A08FC"/>
    <w:rsid w:val="008A1FCF"/>
    <w:rsid w:val="008A34A9"/>
    <w:rsid w:val="008A4D01"/>
    <w:rsid w:val="008A6487"/>
    <w:rsid w:val="008A6CA9"/>
    <w:rsid w:val="008B0E66"/>
    <w:rsid w:val="008B16CA"/>
    <w:rsid w:val="008B34B3"/>
    <w:rsid w:val="008B6E69"/>
    <w:rsid w:val="008C2B5E"/>
    <w:rsid w:val="008C40E6"/>
    <w:rsid w:val="008D0CCD"/>
    <w:rsid w:val="008D36D0"/>
    <w:rsid w:val="008D4729"/>
    <w:rsid w:val="008D4CA7"/>
    <w:rsid w:val="008D63A2"/>
    <w:rsid w:val="008D6BA3"/>
    <w:rsid w:val="008E07BD"/>
    <w:rsid w:val="008E5462"/>
    <w:rsid w:val="008E5EBA"/>
    <w:rsid w:val="008E6427"/>
    <w:rsid w:val="008F08C9"/>
    <w:rsid w:val="008F58AB"/>
    <w:rsid w:val="008F5DB8"/>
    <w:rsid w:val="008F627B"/>
    <w:rsid w:val="008F7205"/>
    <w:rsid w:val="009009ED"/>
    <w:rsid w:val="0090187B"/>
    <w:rsid w:val="00901F58"/>
    <w:rsid w:val="00904060"/>
    <w:rsid w:val="0091339E"/>
    <w:rsid w:val="00915AD8"/>
    <w:rsid w:val="0091664F"/>
    <w:rsid w:val="00920210"/>
    <w:rsid w:val="00920E18"/>
    <w:rsid w:val="009238F5"/>
    <w:rsid w:val="009254ED"/>
    <w:rsid w:val="00925695"/>
    <w:rsid w:val="00926FDA"/>
    <w:rsid w:val="00927D43"/>
    <w:rsid w:val="009302E0"/>
    <w:rsid w:val="00933546"/>
    <w:rsid w:val="0093367E"/>
    <w:rsid w:val="00933E9A"/>
    <w:rsid w:val="00935460"/>
    <w:rsid w:val="00936B60"/>
    <w:rsid w:val="00936FE4"/>
    <w:rsid w:val="00937089"/>
    <w:rsid w:val="009376CD"/>
    <w:rsid w:val="00937A04"/>
    <w:rsid w:val="00937D8B"/>
    <w:rsid w:val="009457EF"/>
    <w:rsid w:val="009472D2"/>
    <w:rsid w:val="009509B4"/>
    <w:rsid w:val="00952701"/>
    <w:rsid w:val="00952F3C"/>
    <w:rsid w:val="00955FCE"/>
    <w:rsid w:val="00956EED"/>
    <w:rsid w:val="0096039C"/>
    <w:rsid w:val="00960511"/>
    <w:rsid w:val="0096670D"/>
    <w:rsid w:val="00967384"/>
    <w:rsid w:val="0096772C"/>
    <w:rsid w:val="00970235"/>
    <w:rsid w:val="0097064A"/>
    <w:rsid w:val="00970860"/>
    <w:rsid w:val="00972651"/>
    <w:rsid w:val="00974AEA"/>
    <w:rsid w:val="00975662"/>
    <w:rsid w:val="009760A6"/>
    <w:rsid w:val="0098105F"/>
    <w:rsid w:val="00981CAB"/>
    <w:rsid w:val="0098402E"/>
    <w:rsid w:val="00991DF9"/>
    <w:rsid w:val="009928CA"/>
    <w:rsid w:val="0099494D"/>
    <w:rsid w:val="009954ED"/>
    <w:rsid w:val="00995DE9"/>
    <w:rsid w:val="009969BD"/>
    <w:rsid w:val="009979C0"/>
    <w:rsid w:val="00997F40"/>
    <w:rsid w:val="009A0C91"/>
    <w:rsid w:val="009A152E"/>
    <w:rsid w:val="009A15CD"/>
    <w:rsid w:val="009A2126"/>
    <w:rsid w:val="009A3C97"/>
    <w:rsid w:val="009A4271"/>
    <w:rsid w:val="009A62B9"/>
    <w:rsid w:val="009B03C5"/>
    <w:rsid w:val="009B1E94"/>
    <w:rsid w:val="009B4576"/>
    <w:rsid w:val="009B47E4"/>
    <w:rsid w:val="009B5F78"/>
    <w:rsid w:val="009B64F1"/>
    <w:rsid w:val="009B68FA"/>
    <w:rsid w:val="009B6960"/>
    <w:rsid w:val="009C0A86"/>
    <w:rsid w:val="009C1234"/>
    <w:rsid w:val="009C1A97"/>
    <w:rsid w:val="009C399B"/>
    <w:rsid w:val="009C50B9"/>
    <w:rsid w:val="009C54B6"/>
    <w:rsid w:val="009D29A5"/>
    <w:rsid w:val="009D3011"/>
    <w:rsid w:val="009D4771"/>
    <w:rsid w:val="009D6AAB"/>
    <w:rsid w:val="009D6EB8"/>
    <w:rsid w:val="009E0BDB"/>
    <w:rsid w:val="009E1F26"/>
    <w:rsid w:val="009E3BAC"/>
    <w:rsid w:val="009E4750"/>
    <w:rsid w:val="009E5FD5"/>
    <w:rsid w:val="009F0F6F"/>
    <w:rsid w:val="009F1C24"/>
    <w:rsid w:val="009F2468"/>
    <w:rsid w:val="009F309D"/>
    <w:rsid w:val="009F5929"/>
    <w:rsid w:val="009F5AE6"/>
    <w:rsid w:val="00A04EEE"/>
    <w:rsid w:val="00A07280"/>
    <w:rsid w:val="00A07708"/>
    <w:rsid w:val="00A1336E"/>
    <w:rsid w:val="00A135CD"/>
    <w:rsid w:val="00A13ABC"/>
    <w:rsid w:val="00A15570"/>
    <w:rsid w:val="00A157E3"/>
    <w:rsid w:val="00A15972"/>
    <w:rsid w:val="00A21D41"/>
    <w:rsid w:val="00A22BAB"/>
    <w:rsid w:val="00A247A1"/>
    <w:rsid w:val="00A25CCA"/>
    <w:rsid w:val="00A25F4E"/>
    <w:rsid w:val="00A312F3"/>
    <w:rsid w:val="00A320FC"/>
    <w:rsid w:val="00A3690A"/>
    <w:rsid w:val="00A419CC"/>
    <w:rsid w:val="00A43367"/>
    <w:rsid w:val="00A4478D"/>
    <w:rsid w:val="00A47B1B"/>
    <w:rsid w:val="00A50826"/>
    <w:rsid w:val="00A53B58"/>
    <w:rsid w:val="00A547B2"/>
    <w:rsid w:val="00A55DA9"/>
    <w:rsid w:val="00A55FF2"/>
    <w:rsid w:val="00A57C1A"/>
    <w:rsid w:val="00A60D4A"/>
    <w:rsid w:val="00A62CED"/>
    <w:rsid w:val="00A63080"/>
    <w:rsid w:val="00A6622D"/>
    <w:rsid w:val="00A7220C"/>
    <w:rsid w:val="00A7229C"/>
    <w:rsid w:val="00A73ECA"/>
    <w:rsid w:val="00A76ED8"/>
    <w:rsid w:val="00A82C8D"/>
    <w:rsid w:val="00A82D8A"/>
    <w:rsid w:val="00A84E22"/>
    <w:rsid w:val="00A86049"/>
    <w:rsid w:val="00A86AF2"/>
    <w:rsid w:val="00A87A02"/>
    <w:rsid w:val="00A9155A"/>
    <w:rsid w:val="00A93490"/>
    <w:rsid w:val="00A94CA5"/>
    <w:rsid w:val="00A97771"/>
    <w:rsid w:val="00AA2444"/>
    <w:rsid w:val="00AA25FD"/>
    <w:rsid w:val="00AA39EC"/>
    <w:rsid w:val="00AA3F1F"/>
    <w:rsid w:val="00AA4CD3"/>
    <w:rsid w:val="00AA4ECC"/>
    <w:rsid w:val="00AA4FA0"/>
    <w:rsid w:val="00AA5625"/>
    <w:rsid w:val="00AB0E57"/>
    <w:rsid w:val="00AB2207"/>
    <w:rsid w:val="00AB2378"/>
    <w:rsid w:val="00AB595B"/>
    <w:rsid w:val="00AB7015"/>
    <w:rsid w:val="00AB72C3"/>
    <w:rsid w:val="00AC21C2"/>
    <w:rsid w:val="00AC290E"/>
    <w:rsid w:val="00AC3E52"/>
    <w:rsid w:val="00AC4D37"/>
    <w:rsid w:val="00AC50B1"/>
    <w:rsid w:val="00AC5685"/>
    <w:rsid w:val="00AC7E1F"/>
    <w:rsid w:val="00AD0A3C"/>
    <w:rsid w:val="00AD35AC"/>
    <w:rsid w:val="00AE131F"/>
    <w:rsid w:val="00AE404C"/>
    <w:rsid w:val="00AE40F5"/>
    <w:rsid w:val="00AE6EED"/>
    <w:rsid w:val="00AF07D5"/>
    <w:rsid w:val="00AF0C78"/>
    <w:rsid w:val="00AF2CB8"/>
    <w:rsid w:val="00AF32B3"/>
    <w:rsid w:val="00AF33F8"/>
    <w:rsid w:val="00AF478A"/>
    <w:rsid w:val="00AF51C8"/>
    <w:rsid w:val="00B00AA3"/>
    <w:rsid w:val="00B01003"/>
    <w:rsid w:val="00B01B5E"/>
    <w:rsid w:val="00B05871"/>
    <w:rsid w:val="00B0656D"/>
    <w:rsid w:val="00B107FD"/>
    <w:rsid w:val="00B1094A"/>
    <w:rsid w:val="00B13A4D"/>
    <w:rsid w:val="00B15348"/>
    <w:rsid w:val="00B15458"/>
    <w:rsid w:val="00B15D84"/>
    <w:rsid w:val="00B16101"/>
    <w:rsid w:val="00B21CCC"/>
    <w:rsid w:val="00B2284D"/>
    <w:rsid w:val="00B24D38"/>
    <w:rsid w:val="00B254CE"/>
    <w:rsid w:val="00B25AD0"/>
    <w:rsid w:val="00B2616F"/>
    <w:rsid w:val="00B3232F"/>
    <w:rsid w:val="00B33662"/>
    <w:rsid w:val="00B34841"/>
    <w:rsid w:val="00B36FAF"/>
    <w:rsid w:val="00B430F1"/>
    <w:rsid w:val="00B43ADD"/>
    <w:rsid w:val="00B43FED"/>
    <w:rsid w:val="00B44491"/>
    <w:rsid w:val="00B45DE7"/>
    <w:rsid w:val="00B46CE8"/>
    <w:rsid w:val="00B5041D"/>
    <w:rsid w:val="00B52546"/>
    <w:rsid w:val="00B53744"/>
    <w:rsid w:val="00B566E2"/>
    <w:rsid w:val="00B576E4"/>
    <w:rsid w:val="00B5790D"/>
    <w:rsid w:val="00B61E16"/>
    <w:rsid w:val="00B63294"/>
    <w:rsid w:val="00B6383A"/>
    <w:rsid w:val="00B650E7"/>
    <w:rsid w:val="00B654A3"/>
    <w:rsid w:val="00B65675"/>
    <w:rsid w:val="00B65938"/>
    <w:rsid w:val="00B67E99"/>
    <w:rsid w:val="00B7141B"/>
    <w:rsid w:val="00B71CDD"/>
    <w:rsid w:val="00B72AEE"/>
    <w:rsid w:val="00B732CF"/>
    <w:rsid w:val="00B762C6"/>
    <w:rsid w:val="00B83E10"/>
    <w:rsid w:val="00B85B32"/>
    <w:rsid w:val="00B86F7F"/>
    <w:rsid w:val="00B910AE"/>
    <w:rsid w:val="00B91BC9"/>
    <w:rsid w:val="00B95BFD"/>
    <w:rsid w:val="00B97C47"/>
    <w:rsid w:val="00BA04BD"/>
    <w:rsid w:val="00BA1121"/>
    <w:rsid w:val="00BA2AD7"/>
    <w:rsid w:val="00BA2BFB"/>
    <w:rsid w:val="00BA38DC"/>
    <w:rsid w:val="00BA4D9B"/>
    <w:rsid w:val="00BA5778"/>
    <w:rsid w:val="00BA66D2"/>
    <w:rsid w:val="00BA7790"/>
    <w:rsid w:val="00BB2BAA"/>
    <w:rsid w:val="00BB525F"/>
    <w:rsid w:val="00BB5B2E"/>
    <w:rsid w:val="00BB6CD3"/>
    <w:rsid w:val="00BB70A4"/>
    <w:rsid w:val="00BB766F"/>
    <w:rsid w:val="00BB7F49"/>
    <w:rsid w:val="00BC038A"/>
    <w:rsid w:val="00BC0811"/>
    <w:rsid w:val="00BC222A"/>
    <w:rsid w:val="00BC38B5"/>
    <w:rsid w:val="00BC487F"/>
    <w:rsid w:val="00BC4E80"/>
    <w:rsid w:val="00BC5145"/>
    <w:rsid w:val="00BD103E"/>
    <w:rsid w:val="00BD25C3"/>
    <w:rsid w:val="00BD56E7"/>
    <w:rsid w:val="00BD5D45"/>
    <w:rsid w:val="00BD6111"/>
    <w:rsid w:val="00BD6660"/>
    <w:rsid w:val="00BD6E8A"/>
    <w:rsid w:val="00BD7E64"/>
    <w:rsid w:val="00BE12E6"/>
    <w:rsid w:val="00BE1A47"/>
    <w:rsid w:val="00BE4C3E"/>
    <w:rsid w:val="00BE534D"/>
    <w:rsid w:val="00BE6B4B"/>
    <w:rsid w:val="00BF5CB7"/>
    <w:rsid w:val="00BF7E70"/>
    <w:rsid w:val="00C03265"/>
    <w:rsid w:val="00C03B42"/>
    <w:rsid w:val="00C063AC"/>
    <w:rsid w:val="00C079FA"/>
    <w:rsid w:val="00C1162C"/>
    <w:rsid w:val="00C122A2"/>
    <w:rsid w:val="00C15A41"/>
    <w:rsid w:val="00C167EA"/>
    <w:rsid w:val="00C16A67"/>
    <w:rsid w:val="00C16FBB"/>
    <w:rsid w:val="00C1755C"/>
    <w:rsid w:val="00C2056D"/>
    <w:rsid w:val="00C21F7A"/>
    <w:rsid w:val="00C224CE"/>
    <w:rsid w:val="00C23955"/>
    <w:rsid w:val="00C241D9"/>
    <w:rsid w:val="00C27525"/>
    <w:rsid w:val="00C3408F"/>
    <w:rsid w:val="00C37ADB"/>
    <w:rsid w:val="00C37F68"/>
    <w:rsid w:val="00C40E8E"/>
    <w:rsid w:val="00C41B68"/>
    <w:rsid w:val="00C43A0B"/>
    <w:rsid w:val="00C461E6"/>
    <w:rsid w:val="00C513B4"/>
    <w:rsid w:val="00C5177A"/>
    <w:rsid w:val="00C52D82"/>
    <w:rsid w:val="00C56785"/>
    <w:rsid w:val="00C573B4"/>
    <w:rsid w:val="00C57C44"/>
    <w:rsid w:val="00C602AA"/>
    <w:rsid w:val="00C7195D"/>
    <w:rsid w:val="00C723B3"/>
    <w:rsid w:val="00C72511"/>
    <w:rsid w:val="00C75BF2"/>
    <w:rsid w:val="00C768FB"/>
    <w:rsid w:val="00C7708E"/>
    <w:rsid w:val="00C8047A"/>
    <w:rsid w:val="00C81443"/>
    <w:rsid w:val="00C81E8C"/>
    <w:rsid w:val="00C8503F"/>
    <w:rsid w:val="00C854E2"/>
    <w:rsid w:val="00C86204"/>
    <w:rsid w:val="00C90E88"/>
    <w:rsid w:val="00C933A5"/>
    <w:rsid w:val="00C94C9F"/>
    <w:rsid w:val="00C97326"/>
    <w:rsid w:val="00CA32C7"/>
    <w:rsid w:val="00CA3CF1"/>
    <w:rsid w:val="00CB216E"/>
    <w:rsid w:val="00CB34D3"/>
    <w:rsid w:val="00CB5D16"/>
    <w:rsid w:val="00CC1295"/>
    <w:rsid w:val="00CC1BCF"/>
    <w:rsid w:val="00CC1F37"/>
    <w:rsid w:val="00CC4092"/>
    <w:rsid w:val="00CC6FB3"/>
    <w:rsid w:val="00CC746F"/>
    <w:rsid w:val="00CD1075"/>
    <w:rsid w:val="00CD1F79"/>
    <w:rsid w:val="00CD23FF"/>
    <w:rsid w:val="00CD2588"/>
    <w:rsid w:val="00CD2CD3"/>
    <w:rsid w:val="00CD5653"/>
    <w:rsid w:val="00CD62A6"/>
    <w:rsid w:val="00CE09ED"/>
    <w:rsid w:val="00CE27EF"/>
    <w:rsid w:val="00CE5774"/>
    <w:rsid w:val="00CE6708"/>
    <w:rsid w:val="00CE6D4F"/>
    <w:rsid w:val="00CF3D5C"/>
    <w:rsid w:val="00CF55C0"/>
    <w:rsid w:val="00CF5788"/>
    <w:rsid w:val="00D00213"/>
    <w:rsid w:val="00D01563"/>
    <w:rsid w:val="00D01924"/>
    <w:rsid w:val="00D04893"/>
    <w:rsid w:val="00D04B9C"/>
    <w:rsid w:val="00D04BBB"/>
    <w:rsid w:val="00D07231"/>
    <w:rsid w:val="00D07FD2"/>
    <w:rsid w:val="00D11745"/>
    <w:rsid w:val="00D1202F"/>
    <w:rsid w:val="00D121C1"/>
    <w:rsid w:val="00D12B69"/>
    <w:rsid w:val="00D14111"/>
    <w:rsid w:val="00D15381"/>
    <w:rsid w:val="00D1721C"/>
    <w:rsid w:val="00D20FE3"/>
    <w:rsid w:val="00D22234"/>
    <w:rsid w:val="00D24303"/>
    <w:rsid w:val="00D3100C"/>
    <w:rsid w:val="00D3503B"/>
    <w:rsid w:val="00D36BF8"/>
    <w:rsid w:val="00D37747"/>
    <w:rsid w:val="00D40362"/>
    <w:rsid w:val="00D40416"/>
    <w:rsid w:val="00D409F8"/>
    <w:rsid w:val="00D41DB6"/>
    <w:rsid w:val="00D42E54"/>
    <w:rsid w:val="00D47958"/>
    <w:rsid w:val="00D47B5A"/>
    <w:rsid w:val="00D5356D"/>
    <w:rsid w:val="00D5359A"/>
    <w:rsid w:val="00D55187"/>
    <w:rsid w:val="00D571E6"/>
    <w:rsid w:val="00D573D0"/>
    <w:rsid w:val="00D57494"/>
    <w:rsid w:val="00D61AC1"/>
    <w:rsid w:val="00D61BB3"/>
    <w:rsid w:val="00D633AE"/>
    <w:rsid w:val="00D63E54"/>
    <w:rsid w:val="00D646D5"/>
    <w:rsid w:val="00D676AD"/>
    <w:rsid w:val="00D71713"/>
    <w:rsid w:val="00D73C64"/>
    <w:rsid w:val="00D808C0"/>
    <w:rsid w:val="00D81873"/>
    <w:rsid w:val="00D825C4"/>
    <w:rsid w:val="00D85381"/>
    <w:rsid w:val="00D865EC"/>
    <w:rsid w:val="00D86BF6"/>
    <w:rsid w:val="00D903FA"/>
    <w:rsid w:val="00D9131E"/>
    <w:rsid w:val="00D92CF8"/>
    <w:rsid w:val="00D93F18"/>
    <w:rsid w:val="00D964B0"/>
    <w:rsid w:val="00DA0B00"/>
    <w:rsid w:val="00DA0EA5"/>
    <w:rsid w:val="00DA561D"/>
    <w:rsid w:val="00DA58F1"/>
    <w:rsid w:val="00DB03A4"/>
    <w:rsid w:val="00DB3261"/>
    <w:rsid w:val="00DB47D3"/>
    <w:rsid w:val="00DB58E0"/>
    <w:rsid w:val="00DB6F71"/>
    <w:rsid w:val="00DB7E64"/>
    <w:rsid w:val="00DC0191"/>
    <w:rsid w:val="00DC0ECC"/>
    <w:rsid w:val="00DD2768"/>
    <w:rsid w:val="00DD6F8E"/>
    <w:rsid w:val="00DE3E20"/>
    <w:rsid w:val="00DE4D7F"/>
    <w:rsid w:val="00DE65D2"/>
    <w:rsid w:val="00DE6734"/>
    <w:rsid w:val="00DE7627"/>
    <w:rsid w:val="00DF10AE"/>
    <w:rsid w:val="00DF2E71"/>
    <w:rsid w:val="00DF3147"/>
    <w:rsid w:val="00DF465F"/>
    <w:rsid w:val="00DF5DA3"/>
    <w:rsid w:val="00E00C60"/>
    <w:rsid w:val="00E00D7C"/>
    <w:rsid w:val="00E04D3B"/>
    <w:rsid w:val="00E05CCA"/>
    <w:rsid w:val="00E07E8C"/>
    <w:rsid w:val="00E103CA"/>
    <w:rsid w:val="00E11630"/>
    <w:rsid w:val="00E11DD1"/>
    <w:rsid w:val="00E137C3"/>
    <w:rsid w:val="00E20602"/>
    <w:rsid w:val="00E2232B"/>
    <w:rsid w:val="00E24720"/>
    <w:rsid w:val="00E26DB3"/>
    <w:rsid w:val="00E32486"/>
    <w:rsid w:val="00E34CD1"/>
    <w:rsid w:val="00E35903"/>
    <w:rsid w:val="00E405EE"/>
    <w:rsid w:val="00E41003"/>
    <w:rsid w:val="00E43B33"/>
    <w:rsid w:val="00E43D61"/>
    <w:rsid w:val="00E45228"/>
    <w:rsid w:val="00E46AD0"/>
    <w:rsid w:val="00E47E1D"/>
    <w:rsid w:val="00E5009B"/>
    <w:rsid w:val="00E5156B"/>
    <w:rsid w:val="00E54150"/>
    <w:rsid w:val="00E5469A"/>
    <w:rsid w:val="00E56EF1"/>
    <w:rsid w:val="00E573A3"/>
    <w:rsid w:val="00E60104"/>
    <w:rsid w:val="00E63939"/>
    <w:rsid w:val="00E63F84"/>
    <w:rsid w:val="00E64A99"/>
    <w:rsid w:val="00E64D5E"/>
    <w:rsid w:val="00E66958"/>
    <w:rsid w:val="00E72AC4"/>
    <w:rsid w:val="00E72EE2"/>
    <w:rsid w:val="00E741A9"/>
    <w:rsid w:val="00E74ADA"/>
    <w:rsid w:val="00E759C1"/>
    <w:rsid w:val="00E75A17"/>
    <w:rsid w:val="00E80FD9"/>
    <w:rsid w:val="00E81246"/>
    <w:rsid w:val="00E8144F"/>
    <w:rsid w:val="00E81C59"/>
    <w:rsid w:val="00E87829"/>
    <w:rsid w:val="00E90075"/>
    <w:rsid w:val="00E90B98"/>
    <w:rsid w:val="00E90EC3"/>
    <w:rsid w:val="00E916D5"/>
    <w:rsid w:val="00E92CE4"/>
    <w:rsid w:val="00E95FC6"/>
    <w:rsid w:val="00E97FF1"/>
    <w:rsid w:val="00EA1E0B"/>
    <w:rsid w:val="00EA273E"/>
    <w:rsid w:val="00EA41A0"/>
    <w:rsid w:val="00EA4854"/>
    <w:rsid w:val="00EA5114"/>
    <w:rsid w:val="00EA7090"/>
    <w:rsid w:val="00EA7427"/>
    <w:rsid w:val="00EA769E"/>
    <w:rsid w:val="00EB221F"/>
    <w:rsid w:val="00EB3B0A"/>
    <w:rsid w:val="00EC12CF"/>
    <w:rsid w:val="00EC595B"/>
    <w:rsid w:val="00EC5BB4"/>
    <w:rsid w:val="00EC735B"/>
    <w:rsid w:val="00EC7FE5"/>
    <w:rsid w:val="00ED12B5"/>
    <w:rsid w:val="00ED1EB5"/>
    <w:rsid w:val="00ED5CD1"/>
    <w:rsid w:val="00ED5E9B"/>
    <w:rsid w:val="00EE1EF4"/>
    <w:rsid w:val="00EE3270"/>
    <w:rsid w:val="00EE4F21"/>
    <w:rsid w:val="00EF4291"/>
    <w:rsid w:val="00EF4F66"/>
    <w:rsid w:val="00EF5434"/>
    <w:rsid w:val="00EF6CE3"/>
    <w:rsid w:val="00EF7482"/>
    <w:rsid w:val="00F03DB3"/>
    <w:rsid w:val="00F12336"/>
    <w:rsid w:val="00F16FC9"/>
    <w:rsid w:val="00F201CD"/>
    <w:rsid w:val="00F212A8"/>
    <w:rsid w:val="00F221A0"/>
    <w:rsid w:val="00F23BE4"/>
    <w:rsid w:val="00F24828"/>
    <w:rsid w:val="00F24BA6"/>
    <w:rsid w:val="00F2521C"/>
    <w:rsid w:val="00F25298"/>
    <w:rsid w:val="00F2581B"/>
    <w:rsid w:val="00F3005F"/>
    <w:rsid w:val="00F327D7"/>
    <w:rsid w:val="00F33527"/>
    <w:rsid w:val="00F360E8"/>
    <w:rsid w:val="00F40B31"/>
    <w:rsid w:val="00F43497"/>
    <w:rsid w:val="00F4471B"/>
    <w:rsid w:val="00F4565A"/>
    <w:rsid w:val="00F47232"/>
    <w:rsid w:val="00F47606"/>
    <w:rsid w:val="00F52159"/>
    <w:rsid w:val="00F54EF0"/>
    <w:rsid w:val="00F5611B"/>
    <w:rsid w:val="00F60D82"/>
    <w:rsid w:val="00F6666B"/>
    <w:rsid w:val="00F66849"/>
    <w:rsid w:val="00F67582"/>
    <w:rsid w:val="00F734B1"/>
    <w:rsid w:val="00F74D9D"/>
    <w:rsid w:val="00F770AD"/>
    <w:rsid w:val="00F77E67"/>
    <w:rsid w:val="00F80469"/>
    <w:rsid w:val="00F84335"/>
    <w:rsid w:val="00F914C4"/>
    <w:rsid w:val="00F92B7B"/>
    <w:rsid w:val="00F95057"/>
    <w:rsid w:val="00FA265F"/>
    <w:rsid w:val="00FA3849"/>
    <w:rsid w:val="00FB0DFC"/>
    <w:rsid w:val="00FB532F"/>
    <w:rsid w:val="00FC1095"/>
    <w:rsid w:val="00FC1242"/>
    <w:rsid w:val="00FC3E2B"/>
    <w:rsid w:val="00FC6A49"/>
    <w:rsid w:val="00FC74F0"/>
    <w:rsid w:val="00FD0052"/>
    <w:rsid w:val="00FD5C43"/>
    <w:rsid w:val="00FD7FB0"/>
    <w:rsid w:val="00FE1BE3"/>
    <w:rsid w:val="00FE225D"/>
    <w:rsid w:val="00FE2861"/>
    <w:rsid w:val="00FE38C9"/>
    <w:rsid w:val="00FE3CD4"/>
    <w:rsid w:val="00FE4C55"/>
    <w:rsid w:val="00FE51E0"/>
    <w:rsid w:val="00FE56C8"/>
    <w:rsid w:val="00FE7970"/>
    <w:rsid w:val="00FF295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7D4A2"/>
  <w14:defaultImageDpi w14:val="330"/>
  <w15:docId w15:val="{8B27B79A-E8CB-4BFF-A50D-920BEA7F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CD"/>
  </w:style>
  <w:style w:type="paragraph" w:styleId="Heading1">
    <w:name w:val="heading 1"/>
    <w:basedOn w:val="Normal"/>
    <w:next w:val="Normal"/>
    <w:link w:val="Heading1Char"/>
    <w:uiPriority w:val="9"/>
    <w:qFormat/>
    <w:rsid w:val="00AA5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A4F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2C5B8B"/>
    <w:pPr>
      <w:widowControl w:val="0"/>
      <w:tabs>
        <w:tab w:val="left" w:pos="720"/>
      </w:tabs>
      <w:spacing w:after="0" w:line="240" w:lineRule="auto"/>
      <w:ind w:left="720" w:hanging="720"/>
      <w:jc w:val="both"/>
    </w:pPr>
    <w:rPr>
      <w:rFonts w:eastAsia="Times New Roman"/>
      <w:snapToGrid w:val="0"/>
      <w:szCs w:val="20"/>
      <w:lang w:val="en-AU"/>
    </w:rPr>
  </w:style>
  <w:style w:type="paragraph" w:styleId="BalloonText">
    <w:name w:val="Balloon Text"/>
    <w:basedOn w:val="Normal"/>
    <w:link w:val="BalloonTextChar"/>
    <w:uiPriority w:val="99"/>
    <w:semiHidden/>
    <w:unhideWhenUsed/>
    <w:rsid w:val="00E10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CA"/>
    <w:rPr>
      <w:rFonts w:ascii="Segoe UI" w:hAnsi="Segoe UI" w:cs="Segoe UI"/>
      <w:sz w:val="18"/>
      <w:szCs w:val="18"/>
    </w:rPr>
  </w:style>
  <w:style w:type="paragraph" w:styleId="FootnoteText">
    <w:name w:val="footnote text"/>
    <w:aliases w:val="single space,FOOTNOTES,ft,footnote text,Footnote Text Char2 Char,Footnote Text Char1 Char Char,Footnote Text Char Char Char Char,Footnote Text Char2 Char Char Char Char,Footnote Text Char Char Char Char Char Char,ADB"/>
    <w:basedOn w:val="Normal"/>
    <w:link w:val="FootnoteTextChar"/>
    <w:uiPriority w:val="99"/>
    <w:unhideWhenUsed/>
    <w:qFormat/>
    <w:rsid w:val="00A97771"/>
    <w:pPr>
      <w:spacing w:after="0" w:line="240" w:lineRule="auto"/>
    </w:pPr>
    <w:rPr>
      <w:sz w:val="20"/>
      <w:szCs w:val="20"/>
    </w:rPr>
  </w:style>
  <w:style w:type="character" w:customStyle="1" w:styleId="FootnoteTextChar">
    <w:name w:val="Footnote Text Char"/>
    <w:aliases w:val="single space Char,FOOTNOTES Char,ft Char,footnote text Char,Footnote Text Char2 Char Char,Footnote Text Char1 Char Char Char,Footnote Text Char Char Char Char Char,Footnote Text Char2 Char Char Char Char Char,ADB Char"/>
    <w:basedOn w:val="DefaultParagraphFont"/>
    <w:link w:val="FootnoteText"/>
    <w:uiPriority w:val="99"/>
    <w:rsid w:val="00A97771"/>
    <w:rPr>
      <w:sz w:val="20"/>
      <w:szCs w:val="20"/>
    </w:rPr>
  </w:style>
  <w:style w:type="character" w:styleId="FootnoteReference">
    <w:name w:val="footnote reference"/>
    <w:aliases w:val="ftref,Error-Fußnotenzeichen5,Error-Fußnotenzeichen6,Error-Fußnotenzeichen3,Footnote Reference1,referencia nota al pie,Знак сноски 1,Footnote Reference Number,Footnote Reference_LVL6,Footnote Reference_LVL61,Footnote Reference_LVL62"/>
    <w:basedOn w:val="DefaultParagraphFont"/>
    <w:uiPriority w:val="99"/>
    <w:unhideWhenUsed/>
    <w:rsid w:val="00A97771"/>
    <w:rPr>
      <w:vertAlign w:val="superscript"/>
    </w:rPr>
  </w:style>
  <w:style w:type="character" w:styleId="Hyperlink">
    <w:name w:val="Hyperlink"/>
    <w:basedOn w:val="DefaultParagraphFont"/>
    <w:uiPriority w:val="99"/>
    <w:unhideWhenUsed/>
    <w:rsid w:val="00FE56C8"/>
    <w:rPr>
      <w:color w:val="0563C1" w:themeColor="hyperlink"/>
      <w:u w:val="single"/>
    </w:rPr>
  </w:style>
  <w:style w:type="character" w:customStyle="1" w:styleId="Heading1Char">
    <w:name w:val="Heading 1 Char"/>
    <w:basedOn w:val="DefaultParagraphFont"/>
    <w:link w:val="Heading1"/>
    <w:uiPriority w:val="9"/>
    <w:rsid w:val="00AA562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8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1DF"/>
  </w:style>
  <w:style w:type="paragraph" w:styleId="Footer">
    <w:name w:val="footer"/>
    <w:basedOn w:val="Normal"/>
    <w:link w:val="FooterChar"/>
    <w:uiPriority w:val="99"/>
    <w:unhideWhenUsed/>
    <w:rsid w:val="0058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1DF"/>
  </w:style>
  <w:style w:type="paragraph" w:styleId="ListParagraph">
    <w:name w:val="List Paragraph"/>
    <w:basedOn w:val="Normal"/>
    <w:uiPriority w:val="34"/>
    <w:qFormat/>
    <w:rsid w:val="004327EE"/>
    <w:pPr>
      <w:ind w:left="720"/>
      <w:contextualSpacing/>
    </w:pPr>
  </w:style>
  <w:style w:type="paragraph" w:styleId="BodyText3">
    <w:name w:val="Body Text 3"/>
    <w:basedOn w:val="Normal"/>
    <w:link w:val="BodyText3Char"/>
    <w:rsid w:val="0032699D"/>
    <w:pPr>
      <w:spacing w:after="120" w:line="240" w:lineRule="auto"/>
    </w:pPr>
    <w:rPr>
      <w:rFonts w:eastAsia="Times New Roman"/>
      <w:sz w:val="16"/>
      <w:szCs w:val="20"/>
      <w:lang w:val="en-US"/>
    </w:rPr>
  </w:style>
  <w:style w:type="character" w:customStyle="1" w:styleId="BodyText3Char">
    <w:name w:val="Body Text 3 Char"/>
    <w:basedOn w:val="DefaultParagraphFont"/>
    <w:link w:val="BodyText3"/>
    <w:rsid w:val="0032699D"/>
    <w:rPr>
      <w:rFonts w:eastAsia="Times New Roman"/>
      <w:sz w:val="16"/>
      <w:szCs w:val="20"/>
      <w:lang w:val="en-US"/>
    </w:rPr>
  </w:style>
  <w:style w:type="character" w:styleId="HTMLCite">
    <w:name w:val="HTML Cite"/>
    <w:basedOn w:val="DefaultParagraphFont"/>
    <w:uiPriority w:val="99"/>
    <w:semiHidden/>
    <w:unhideWhenUsed/>
    <w:rsid w:val="00467A48"/>
    <w:rPr>
      <w:i/>
      <w:iCs/>
    </w:rPr>
  </w:style>
  <w:style w:type="paragraph" w:styleId="PlainText">
    <w:name w:val="Plain Text"/>
    <w:basedOn w:val="Normal"/>
    <w:link w:val="PlainTextChar"/>
    <w:uiPriority w:val="99"/>
    <w:unhideWhenUsed/>
    <w:rsid w:val="00FE28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2861"/>
    <w:rPr>
      <w:rFonts w:ascii="Consolas" w:hAnsi="Consolas"/>
      <w:sz w:val="21"/>
      <w:szCs w:val="21"/>
    </w:rPr>
  </w:style>
  <w:style w:type="table" w:styleId="TableGrid">
    <w:name w:val="Table Grid"/>
    <w:basedOn w:val="TableNormal"/>
    <w:uiPriority w:val="59"/>
    <w:rsid w:val="00FE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author">
    <w:name w:val="post-author"/>
    <w:basedOn w:val="DefaultParagraphFont"/>
    <w:rsid w:val="001A3F51"/>
  </w:style>
  <w:style w:type="character" w:customStyle="1" w:styleId="apple-converted-space">
    <w:name w:val="apple-converted-space"/>
    <w:basedOn w:val="DefaultParagraphFont"/>
    <w:rsid w:val="001A3F51"/>
  </w:style>
  <w:style w:type="character" w:styleId="CommentReference">
    <w:name w:val="annotation reference"/>
    <w:basedOn w:val="DefaultParagraphFont"/>
    <w:uiPriority w:val="99"/>
    <w:semiHidden/>
    <w:unhideWhenUsed/>
    <w:rsid w:val="00C43A0B"/>
    <w:rPr>
      <w:sz w:val="16"/>
      <w:szCs w:val="16"/>
    </w:rPr>
  </w:style>
  <w:style w:type="paragraph" w:styleId="CommentText">
    <w:name w:val="annotation text"/>
    <w:basedOn w:val="Normal"/>
    <w:link w:val="CommentTextChar"/>
    <w:uiPriority w:val="99"/>
    <w:unhideWhenUsed/>
    <w:rsid w:val="00C43A0B"/>
    <w:pPr>
      <w:spacing w:line="240" w:lineRule="auto"/>
    </w:pPr>
    <w:rPr>
      <w:sz w:val="20"/>
      <w:szCs w:val="20"/>
    </w:rPr>
  </w:style>
  <w:style w:type="character" w:customStyle="1" w:styleId="CommentTextChar">
    <w:name w:val="Comment Text Char"/>
    <w:basedOn w:val="DefaultParagraphFont"/>
    <w:link w:val="CommentText"/>
    <w:uiPriority w:val="99"/>
    <w:rsid w:val="00C43A0B"/>
    <w:rPr>
      <w:sz w:val="20"/>
      <w:szCs w:val="20"/>
    </w:rPr>
  </w:style>
  <w:style w:type="paragraph" w:styleId="CommentSubject">
    <w:name w:val="annotation subject"/>
    <w:basedOn w:val="CommentText"/>
    <w:next w:val="CommentText"/>
    <w:link w:val="CommentSubjectChar"/>
    <w:uiPriority w:val="99"/>
    <w:semiHidden/>
    <w:unhideWhenUsed/>
    <w:rsid w:val="00C43A0B"/>
    <w:rPr>
      <w:b/>
      <w:bCs/>
    </w:rPr>
  </w:style>
  <w:style w:type="character" w:customStyle="1" w:styleId="CommentSubjectChar">
    <w:name w:val="Comment Subject Char"/>
    <w:basedOn w:val="CommentTextChar"/>
    <w:link w:val="CommentSubject"/>
    <w:uiPriority w:val="99"/>
    <w:semiHidden/>
    <w:rsid w:val="00C43A0B"/>
    <w:rPr>
      <w:b/>
      <w:bCs/>
      <w:sz w:val="20"/>
      <w:szCs w:val="20"/>
    </w:rPr>
  </w:style>
  <w:style w:type="character" w:styleId="PlaceholderText">
    <w:name w:val="Placeholder Text"/>
    <w:basedOn w:val="DefaultParagraphFont"/>
    <w:uiPriority w:val="99"/>
    <w:semiHidden/>
    <w:rsid w:val="00CF3D5C"/>
    <w:rPr>
      <w:color w:val="808080"/>
    </w:rPr>
  </w:style>
  <w:style w:type="paragraph" w:styleId="NormalWeb">
    <w:name w:val="Normal (Web)"/>
    <w:basedOn w:val="Normal"/>
    <w:uiPriority w:val="99"/>
    <w:unhideWhenUsed/>
    <w:rsid w:val="00B16101"/>
    <w:pPr>
      <w:spacing w:before="100" w:beforeAutospacing="1" w:after="100" w:afterAutospacing="1" w:line="240" w:lineRule="auto"/>
    </w:pPr>
    <w:rPr>
      <w:rFonts w:eastAsia="Times New Roman"/>
      <w:lang w:val="en-US"/>
    </w:rPr>
  </w:style>
  <w:style w:type="character" w:customStyle="1" w:styleId="Heading5Char">
    <w:name w:val="Heading 5 Char"/>
    <w:basedOn w:val="DefaultParagraphFont"/>
    <w:link w:val="Heading5"/>
    <w:uiPriority w:val="9"/>
    <w:semiHidden/>
    <w:rsid w:val="00AA4FA0"/>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semiHidden/>
    <w:unhideWhenUsed/>
    <w:rsid w:val="00F476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7606"/>
    <w:rPr>
      <w:rFonts w:ascii="Consolas" w:hAnsi="Consolas"/>
      <w:sz w:val="20"/>
      <w:szCs w:val="20"/>
    </w:rPr>
  </w:style>
  <w:style w:type="character" w:customStyle="1" w:styleId="PlainTextChar1">
    <w:name w:val="Plain Text Char1"/>
    <w:basedOn w:val="DefaultParagraphFont"/>
    <w:uiPriority w:val="99"/>
    <w:rsid w:val="005B7D6B"/>
    <w:rPr>
      <w:rFonts w:ascii="Consolas" w:hAnsi="Consolas" w:cs="Consolas"/>
      <w:sz w:val="21"/>
      <w:szCs w:val="21"/>
    </w:rPr>
  </w:style>
  <w:style w:type="paragraph" w:styleId="Title">
    <w:name w:val="Title"/>
    <w:basedOn w:val="Normal"/>
    <w:next w:val="Normal"/>
    <w:link w:val="TitleChar"/>
    <w:qFormat/>
    <w:rsid w:val="00D22234"/>
    <w:pPr>
      <w:spacing w:before="240" w:after="60" w:line="240" w:lineRule="auto"/>
      <w:jc w:val="center"/>
      <w:outlineLvl w:val="0"/>
    </w:pPr>
    <w:rPr>
      <w:rFonts w:asciiTheme="majorHAnsi" w:eastAsiaTheme="majorEastAsia" w:hAnsiTheme="majorHAnsi"/>
      <w:b/>
      <w:bCs/>
      <w:kern w:val="28"/>
      <w:sz w:val="32"/>
      <w:szCs w:val="32"/>
      <w:lang w:val="en-US" w:bidi="en-US"/>
    </w:rPr>
  </w:style>
  <w:style w:type="character" w:customStyle="1" w:styleId="TitleChar">
    <w:name w:val="Title Char"/>
    <w:basedOn w:val="DefaultParagraphFont"/>
    <w:link w:val="Title"/>
    <w:rsid w:val="00D22234"/>
    <w:rPr>
      <w:rFonts w:asciiTheme="majorHAnsi" w:eastAsiaTheme="majorEastAsia" w:hAnsiTheme="majorHAnsi"/>
      <w:b/>
      <w:bCs/>
      <w:kern w:val="28"/>
      <w:sz w:val="32"/>
      <w:szCs w:val="32"/>
      <w:lang w:val="en-US" w:bidi="en-US"/>
    </w:rPr>
  </w:style>
  <w:style w:type="paragraph" w:customStyle="1" w:styleId="Default">
    <w:name w:val="Default"/>
    <w:rsid w:val="00D22234"/>
    <w:pPr>
      <w:autoSpaceDE w:val="0"/>
      <w:autoSpaceDN w:val="0"/>
      <w:adjustRightInd w:val="0"/>
      <w:spacing w:after="0" w:line="240" w:lineRule="auto"/>
    </w:pPr>
    <w:rPr>
      <w:rFonts w:ascii="Cambria" w:eastAsia="Calibri" w:hAnsi="Cambria" w:cs="Cambria"/>
      <w:color w:val="000000"/>
      <w:lang w:eastAsia="en-NZ"/>
    </w:rPr>
  </w:style>
  <w:style w:type="paragraph" w:customStyle="1" w:styleId="CM1">
    <w:name w:val="CM1"/>
    <w:basedOn w:val="Default"/>
    <w:next w:val="Default"/>
    <w:rsid w:val="00D22234"/>
    <w:pPr>
      <w:widowControl w:val="0"/>
      <w:spacing w:line="323" w:lineRule="atLeast"/>
    </w:pPr>
    <w:rPr>
      <w:rFonts w:ascii="Times New Roman" w:eastAsia="Times New Roman" w:hAnsi="Times New Roman" w:cs="Times New Roman"/>
      <w:color w:val="auto"/>
      <w:lang w:val="en-US" w:eastAsia="en-US"/>
    </w:rPr>
  </w:style>
  <w:style w:type="paragraph" w:customStyle="1" w:styleId="CM20">
    <w:name w:val="CM20"/>
    <w:basedOn w:val="Default"/>
    <w:next w:val="Default"/>
    <w:rsid w:val="00D22234"/>
    <w:pPr>
      <w:widowControl w:val="0"/>
      <w:spacing w:after="1503"/>
    </w:pPr>
    <w:rPr>
      <w:rFonts w:ascii="Times New Roman" w:eastAsia="Times New Roman" w:hAnsi="Times New Roman" w:cs="Times New Roman"/>
      <w:color w:val="auto"/>
      <w:lang w:val="en-US" w:eastAsia="en-US"/>
    </w:rPr>
  </w:style>
  <w:style w:type="paragraph" w:customStyle="1" w:styleId="CM3">
    <w:name w:val="CM3"/>
    <w:basedOn w:val="Default"/>
    <w:next w:val="Default"/>
    <w:rsid w:val="00D22234"/>
    <w:pPr>
      <w:widowControl w:val="0"/>
    </w:pPr>
    <w:rPr>
      <w:rFonts w:ascii="Times New Roman" w:eastAsia="Times New Roman" w:hAnsi="Times New Roman" w:cs="Times New Roman"/>
      <w:color w:val="auto"/>
      <w:lang w:val="en-US" w:eastAsia="en-US"/>
    </w:rPr>
  </w:style>
  <w:style w:type="paragraph" w:customStyle="1" w:styleId="CM22">
    <w:name w:val="CM22"/>
    <w:basedOn w:val="Default"/>
    <w:next w:val="Default"/>
    <w:rsid w:val="00D22234"/>
    <w:pPr>
      <w:widowControl w:val="0"/>
      <w:spacing w:after="65"/>
    </w:pPr>
    <w:rPr>
      <w:rFonts w:ascii="Times New Roman" w:eastAsia="Times New Roman" w:hAnsi="Times New Roman" w:cs="Times New Roman"/>
      <w:color w:val="auto"/>
      <w:lang w:val="en-US" w:eastAsia="en-US"/>
    </w:rPr>
  </w:style>
  <w:style w:type="paragraph" w:customStyle="1" w:styleId="CM4">
    <w:name w:val="CM4"/>
    <w:basedOn w:val="Default"/>
    <w:next w:val="Default"/>
    <w:rsid w:val="00D22234"/>
    <w:pPr>
      <w:widowControl w:val="0"/>
      <w:spacing w:line="253" w:lineRule="atLeast"/>
    </w:pPr>
    <w:rPr>
      <w:rFonts w:ascii="Times New Roman" w:eastAsia="Times New Roman" w:hAnsi="Times New Roman" w:cs="Times New Roman"/>
      <w:color w:val="auto"/>
      <w:lang w:val="en-US" w:eastAsia="en-US"/>
    </w:rPr>
  </w:style>
  <w:style w:type="paragraph" w:customStyle="1" w:styleId="CM23">
    <w:name w:val="CM23"/>
    <w:basedOn w:val="Default"/>
    <w:next w:val="Default"/>
    <w:rsid w:val="00D22234"/>
    <w:pPr>
      <w:widowControl w:val="0"/>
      <w:spacing w:after="233"/>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884796">
      <w:bodyDiv w:val="1"/>
      <w:marLeft w:val="0"/>
      <w:marRight w:val="0"/>
      <w:marTop w:val="0"/>
      <w:marBottom w:val="0"/>
      <w:divBdr>
        <w:top w:val="none" w:sz="0" w:space="0" w:color="auto"/>
        <w:left w:val="none" w:sz="0" w:space="0" w:color="auto"/>
        <w:bottom w:val="none" w:sz="0" w:space="0" w:color="auto"/>
        <w:right w:val="none" w:sz="0" w:space="0" w:color="auto"/>
      </w:divBdr>
    </w:div>
    <w:div w:id="477308404">
      <w:bodyDiv w:val="1"/>
      <w:marLeft w:val="0"/>
      <w:marRight w:val="0"/>
      <w:marTop w:val="0"/>
      <w:marBottom w:val="0"/>
      <w:divBdr>
        <w:top w:val="none" w:sz="0" w:space="0" w:color="auto"/>
        <w:left w:val="none" w:sz="0" w:space="0" w:color="auto"/>
        <w:bottom w:val="none" w:sz="0" w:space="0" w:color="auto"/>
        <w:right w:val="none" w:sz="0" w:space="0" w:color="auto"/>
      </w:divBdr>
    </w:div>
    <w:div w:id="619651659">
      <w:bodyDiv w:val="1"/>
      <w:marLeft w:val="0"/>
      <w:marRight w:val="0"/>
      <w:marTop w:val="0"/>
      <w:marBottom w:val="0"/>
      <w:divBdr>
        <w:top w:val="none" w:sz="0" w:space="0" w:color="auto"/>
        <w:left w:val="none" w:sz="0" w:space="0" w:color="auto"/>
        <w:bottom w:val="none" w:sz="0" w:space="0" w:color="auto"/>
        <w:right w:val="none" w:sz="0" w:space="0" w:color="auto"/>
      </w:divBdr>
    </w:div>
    <w:div w:id="871965759">
      <w:bodyDiv w:val="1"/>
      <w:marLeft w:val="0"/>
      <w:marRight w:val="0"/>
      <w:marTop w:val="0"/>
      <w:marBottom w:val="0"/>
      <w:divBdr>
        <w:top w:val="none" w:sz="0" w:space="0" w:color="auto"/>
        <w:left w:val="none" w:sz="0" w:space="0" w:color="auto"/>
        <w:bottom w:val="none" w:sz="0" w:space="0" w:color="auto"/>
        <w:right w:val="none" w:sz="0" w:space="0" w:color="auto"/>
      </w:divBdr>
      <w:divsChild>
        <w:div w:id="607080256">
          <w:marLeft w:val="0"/>
          <w:marRight w:val="0"/>
          <w:marTop w:val="0"/>
          <w:marBottom w:val="0"/>
          <w:divBdr>
            <w:top w:val="none" w:sz="0" w:space="0" w:color="auto"/>
            <w:left w:val="none" w:sz="0" w:space="0" w:color="auto"/>
            <w:bottom w:val="none" w:sz="0" w:space="0" w:color="auto"/>
            <w:right w:val="none" w:sz="0" w:space="0" w:color="auto"/>
          </w:divBdr>
        </w:div>
        <w:div w:id="1927416874">
          <w:marLeft w:val="0"/>
          <w:marRight w:val="0"/>
          <w:marTop w:val="0"/>
          <w:marBottom w:val="0"/>
          <w:divBdr>
            <w:top w:val="none" w:sz="0" w:space="0" w:color="auto"/>
            <w:left w:val="none" w:sz="0" w:space="0" w:color="auto"/>
            <w:bottom w:val="none" w:sz="0" w:space="0" w:color="auto"/>
            <w:right w:val="none" w:sz="0" w:space="0" w:color="auto"/>
          </w:divBdr>
        </w:div>
        <w:div w:id="698699032">
          <w:marLeft w:val="0"/>
          <w:marRight w:val="0"/>
          <w:marTop w:val="0"/>
          <w:marBottom w:val="0"/>
          <w:divBdr>
            <w:top w:val="none" w:sz="0" w:space="0" w:color="auto"/>
            <w:left w:val="none" w:sz="0" w:space="0" w:color="auto"/>
            <w:bottom w:val="none" w:sz="0" w:space="0" w:color="auto"/>
            <w:right w:val="none" w:sz="0" w:space="0" w:color="auto"/>
          </w:divBdr>
        </w:div>
      </w:divsChild>
    </w:div>
    <w:div w:id="1140876714">
      <w:bodyDiv w:val="1"/>
      <w:marLeft w:val="0"/>
      <w:marRight w:val="0"/>
      <w:marTop w:val="0"/>
      <w:marBottom w:val="0"/>
      <w:divBdr>
        <w:top w:val="none" w:sz="0" w:space="0" w:color="auto"/>
        <w:left w:val="none" w:sz="0" w:space="0" w:color="auto"/>
        <w:bottom w:val="none" w:sz="0" w:space="0" w:color="auto"/>
        <w:right w:val="none" w:sz="0" w:space="0" w:color="auto"/>
      </w:divBdr>
    </w:div>
    <w:div w:id="1254127886">
      <w:bodyDiv w:val="1"/>
      <w:marLeft w:val="0"/>
      <w:marRight w:val="0"/>
      <w:marTop w:val="0"/>
      <w:marBottom w:val="0"/>
      <w:divBdr>
        <w:top w:val="none" w:sz="0" w:space="0" w:color="auto"/>
        <w:left w:val="none" w:sz="0" w:space="0" w:color="auto"/>
        <w:bottom w:val="none" w:sz="0" w:space="0" w:color="auto"/>
        <w:right w:val="none" w:sz="0" w:space="0" w:color="auto"/>
      </w:divBdr>
    </w:div>
    <w:div w:id="1486430863">
      <w:bodyDiv w:val="1"/>
      <w:marLeft w:val="0"/>
      <w:marRight w:val="0"/>
      <w:marTop w:val="0"/>
      <w:marBottom w:val="0"/>
      <w:divBdr>
        <w:top w:val="none" w:sz="0" w:space="0" w:color="auto"/>
        <w:left w:val="none" w:sz="0" w:space="0" w:color="auto"/>
        <w:bottom w:val="none" w:sz="0" w:space="0" w:color="auto"/>
        <w:right w:val="none" w:sz="0" w:space="0" w:color="auto"/>
      </w:divBdr>
      <w:divsChild>
        <w:div w:id="117336757">
          <w:marLeft w:val="0"/>
          <w:marRight w:val="0"/>
          <w:marTop w:val="0"/>
          <w:marBottom w:val="0"/>
          <w:divBdr>
            <w:top w:val="none" w:sz="0" w:space="0" w:color="auto"/>
            <w:left w:val="none" w:sz="0" w:space="0" w:color="auto"/>
            <w:bottom w:val="none" w:sz="0" w:space="0" w:color="auto"/>
            <w:right w:val="none" w:sz="0" w:space="0" w:color="auto"/>
          </w:divBdr>
        </w:div>
        <w:div w:id="1384409518">
          <w:marLeft w:val="0"/>
          <w:marRight w:val="0"/>
          <w:marTop w:val="0"/>
          <w:marBottom w:val="0"/>
          <w:divBdr>
            <w:top w:val="none" w:sz="0" w:space="0" w:color="auto"/>
            <w:left w:val="none" w:sz="0" w:space="0" w:color="auto"/>
            <w:bottom w:val="none" w:sz="0" w:space="0" w:color="auto"/>
            <w:right w:val="none" w:sz="0" w:space="0" w:color="auto"/>
          </w:divBdr>
        </w:div>
        <w:div w:id="1751462381">
          <w:marLeft w:val="0"/>
          <w:marRight w:val="0"/>
          <w:marTop w:val="0"/>
          <w:marBottom w:val="0"/>
          <w:divBdr>
            <w:top w:val="none" w:sz="0" w:space="0" w:color="auto"/>
            <w:left w:val="none" w:sz="0" w:space="0" w:color="auto"/>
            <w:bottom w:val="none" w:sz="0" w:space="0" w:color="auto"/>
            <w:right w:val="none" w:sz="0" w:space="0" w:color="auto"/>
          </w:divBdr>
        </w:div>
      </w:divsChild>
    </w:div>
    <w:div w:id="1492671403">
      <w:bodyDiv w:val="1"/>
      <w:marLeft w:val="0"/>
      <w:marRight w:val="0"/>
      <w:marTop w:val="0"/>
      <w:marBottom w:val="0"/>
      <w:divBdr>
        <w:top w:val="none" w:sz="0" w:space="0" w:color="auto"/>
        <w:left w:val="none" w:sz="0" w:space="0" w:color="auto"/>
        <w:bottom w:val="none" w:sz="0" w:space="0" w:color="auto"/>
        <w:right w:val="none" w:sz="0" w:space="0" w:color="auto"/>
      </w:divBdr>
    </w:div>
    <w:div w:id="1505197990">
      <w:bodyDiv w:val="1"/>
      <w:marLeft w:val="0"/>
      <w:marRight w:val="0"/>
      <w:marTop w:val="0"/>
      <w:marBottom w:val="0"/>
      <w:divBdr>
        <w:top w:val="none" w:sz="0" w:space="0" w:color="auto"/>
        <w:left w:val="none" w:sz="0" w:space="0" w:color="auto"/>
        <w:bottom w:val="none" w:sz="0" w:space="0" w:color="auto"/>
        <w:right w:val="none" w:sz="0" w:space="0" w:color="auto"/>
      </w:divBdr>
      <w:divsChild>
        <w:div w:id="1366251374">
          <w:marLeft w:val="0"/>
          <w:marRight w:val="0"/>
          <w:marTop w:val="0"/>
          <w:marBottom w:val="0"/>
          <w:divBdr>
            <w:top w:val="none" w:sz="0" w:space="0" w:color="auto"/>
            <w:left w:val="none" w:sz="0" w:space="0" w:color="auto"/>
            <w:bottom w:val="none" w:sz="0" w:space="0" w:color="auto"/>
            <w:right w:val="none" w:sz="0" w:space="0" w:color="auto"/>
          </w:divBdr>
        </w:div>
        <w:div w:id="834342753">
          <w:marLeft w:val="0"/>
          <w:marRight w:val="0"/>
          <w:marTop w:val="0"/>
          <w:marBottom w:val="0"/>
          <w:divBdr>
            <w:top w:val="none" w:sz="0" w:space="0" w:color="auto"/>
            <w:left w:val="none" w:sz="0" w:space="0" w:color="auto"/>
            <w:bottom w:val="none" w:sz="0" w:space="0" w:color="auto"/>
            <w:right w:val="none" w:sz="0" w:space="0" w:color="auto"/>
          </w:divBdr>
        </w:div>
        <w:div w:id="2140493335">
          <w:marLeft w:val="0"/>
          <w:marRight w:val="0"/>
          <w:marTop w:val="0"/>
          <w:marBottom w:val="0"/>
          <w:divBdr>
            <w:top w:val="none" w:sz="0" w:space="0" w:color="auto"/>
            <w:left w:val="none" w:sz="0" w:space="0" w:color="auto"/>
            <w:bottom w:val="none" w:sz="0" w:space="0" w:color="auto"/>
            <w:right w:val="none" w:sz="0" w:space="0" w:color="auto"/>
          </w:divBdr>
        </w:div>
      </w:divsChild>
    </w:div>
    <w:div w:id="1677151941">
      <w:bodyDiv w:val="1"/>
      <w:marLeft w:val="0"/>
      <w:marRight w:val="0"/>
      <w:marTop w:val="0"/>
      <w:marBottom w:val="0"/>
      <w:divBdr>
        <w:top w:val="none" w:sz="0" w:space="0" w:color="auto"/>
        <w:left w:val="none" w:sz="0" w:space="0" w:color="auto"/>
        <w:bottom w:val="none" w:sz="0" w:space="0" w:color="auto"/>
        <w:right w:val="none" w:sz="0" w:space="0" w:color="auto"/>
      </w:divBdr>
    </w:div>
    <w:div w:id="1717895521">
      <w:bodyDiv w:val="1"/>
      <w:marLeft w:val="0"/>
      <w:marRight w:val="0"/>
      <w:marTop w:val="0"/>
      <w:marBottom w:val="0"/>
      <w:divBdr>
        <w:top w:val="none" w:sz="0" w:space="0" w:color="auto"/>
        <w:left w:val="none" w:sz="0" w:space="0" w:color="auto"/>
        <w:bottom w:val="none" w:sz="0" w:space="0" w:color="auto"/>
        <w:right w:val="none" w:sz="0" w:space="0" w:color="auto"/>
      </w:divBdr>
      <w:divsChild>
        <w:div w:id="9764953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wber/lhz0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ogdata.mines.edu/download_dnb_composites.html" TargetMode="External"/><Relationship Id="rId1" Type="http://schemas.openxmlformats.org/officeDocument/2006/relationships/hyperlink" Target="https://ngdc.noaa.gov/eog/dmsp/downloadV4composi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6F81-E4A1-4DC4-BB38-8271E0F8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Gibson</dc:creator>
  <cp:lastModifiedBy>silverab71@gmail.com</cp:lastModifiedBy>
  <cp:revision>5</cp:revision>
  <cp:lastPrinted>2020-04-10T02:15:00Z</cp:lastPrinted>
  <dcterms:created xsi:type="dcterms:W3CDTF">2020-04-10T01:57:00Z</dcterms:created>
  <dcterms:modified xsi:type="dcterms:W3CDTF">2020-04-10T22:03:00Z</dcterms:modified>
</cp:coreProperties>
</file>