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325B" w14:textId="1B6B856F" w:rsidR="0097146A" w:rsidRDefault="0097146A" w:rsidP="0097146A">
      <w:pPr>
        <w:jc w:val="center"/>
        <w:rPr>
          <w:rFonts w:asciiTheme="majorBidi" w:hAnsiTheme="majorBidi" w:cstheme="majorBidi"/>
          <w:b/>
          <w:sz w:val="28"/>
        </w:rPr>
      </w:pPr>
    </w:p>
    <w:p w14:paraId="23240C0F" w14:textId="77777777" w:rsidR="00C85B86" w:rsidRDefault="00C85B86" w:rsidP="0097146A">
      <w:pPr>
        <w:jc w:val="center"/>
        <w:rPr>
          <w:rFonts w:asciiTheme="majorBidi" w:hAnsiTheme="majorBidi" w:cstheme="majorBidi"/>
          <w:b/>
          <w:sz w:val="28"/>
        </w:rPr>
      </w:pPr>
    </w:p>
    <w:p w14:paraId="1F3A9E35" w14:textId="4DF74BCE" w:rsidR="0097146A" w:rsidRPr="00FF1F9E" w:rsidRDefault="0097146A" w:rsidP="0097146A">
      <w:pPr>
        <w:jc w:val="center"/>
        <w:rPr>
          <w:rFonts w:asciiTheme="majorBidi" w:hAnsiTheme="majorBidi" w:cstheme="majorBidi"/>
          <w:b/>
          <w:sz w:val="28"/>
        </w:rPr>
      </w:pPr>
      <w:r w:rsidRPr="00FF1F9E">
        <w:rPr>
          <w:rFonts w:asciiTheme="majorBidi" w:hAnsiTheme="majorBidi" w:cstheme="majorBidi"/>
          <w:b/>
          <w:sz w:val="28"/>
        </w:rPr>
        <w:t>UNIVERSITY OF WAIKATO</w:t>
      </w:r>
    </w:p>
    <w:p w14:paraId="26D4263B"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sz w:val="14"/>
          <w:szCs w:val="14"/>
        </w:rPr>
      </w:pPr>
    </w:p>
    <w:p w14:paraId="33CB6A25"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FF1F9E">
            <w:rPr>
              <w:rFonts w:asciiTheme="majorBidi" w:hAnsiTheme="majorBidi" w:cstheme="majorBidi"/>
              <w:b/>
              <w:sz w:val="28"/>
            </w:rPr>
            <w:t>Hamilton</w:t>
          </w:r>
        </w:smartTag>
      </w:smartTag>
    </w:p>
    <w:p w14:paraId="1DB3D693"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FF1F9E">
            <w:rPr>
              <w:rFonts w:asciiTheme="majorBidi" w:hAnsiTheme="majorBidi" w:cstheme="majorBidi"/>
              <w:b/>
              <w:sz w:val="28"/>
            </w:rPr>
            <w:t>New Zealand</w:t>
          </w:r>
        </w:smartTag>
      </w:smartTag>
    </w:p>
    <w:p w14:paraId="173B83AC"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sz w:val="28"/>
        </w:rPr>
      </w:pPr>
    </w:p>
    <w:p w14:paraId="61370EC9" w14:textId="77777777" w:rsidR="0097146A" w:rsidRPr="00FF1F9E" w:rsidRDefault="0097146A" w:rsidP="0097146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183F22CB" w14:textId="087C142C" w:rsidR="0097146A" w:rsidRDefault="00F132C5" w:rsidP="0097146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Pr>
          <w:rFonts w:asciiTheme="majorBidi" w:hAnsiTheme="majorBidi" w:cstheme="majorBidi"/>
          <w:b/>
          <w:sz w:val="28"/>
          <w:szCs w:val="28"/>
        </w:rPr>
        <w:t>Corporate Governance, Institutions,</w:t>
      </w:r>
    </w:p>
    <w:p w14:paraId="1B1E96CE" w14:textId="536ED42B" w:rsidR="00F132C5" w:rsidRPr="00A20156" w:rsidRDefault="00F132C5" w:rsidP="0097146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Pr>
          <w:rFonts w:asciiTheme="majorBidi" w:hAnsiTheme="majorBidi" w:cstheme="majorBidi"/>
          <w:b/>
          <w:sz w:val="28"/>
          <w:szCs w:val="28"/>
        </w:rPr>
        <w:t>Markets and Social Factors</w:t>
      </w:r>
    </w:p>
    <w:p w14:paraId="0FA3BBD6" w14:textId="77777777" w:rsidR="0097146A" w:rsidRPr="00F00EE1" w:rsidRDefault="0097146A" w:rsidP="0097146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14"/>
          <w:szCs w:val="14"/>
        </w:rPr>
      </w:pPr>
    </w:p>
    <w:p w14:paraId="1769BC76" w14:textId="162F2BE0" w:rsidR="0097146A" w:rsidRPr="00FF1F9E" w:rsidRDefault="00F132C5" w:rsidP="0097146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Pr>
          <w:rFonts w:asciiTheme="majorBidi" w:hAnsiTheme="majorBidi" w:cstheme="majorBidi"/>
          <w:bCs/>
          <w:sz w:val="28"/>
          <w:szCs w:val="28"/>
        </w:rPr>
        <w:t>Nawaf Al</w:t>
      </w:r>
      <w:r w:rsidR="00296AA4">
        <w:rPr>
          <w:rFonts w:asciiTheme="majorBidi" w:hAnsiTheme="majorBidi" w:cstheme="majorBidi"/>
          <w:bCs/>
          <w:sz w:val="28"/>
          <w:szCs w:val="28"/>
        </w:rPr>
        <w:t>m</w:t>
      </w:r>
      <w:r>
        <w:rPr>
          <w:rFonts w:asciiTheme="majorBidi" w:hAnsiTheme="majorBidi" w:cstheme="majorBidi"/>
          <w:bCs/>
          <w:sz w:val="28"/>
          <w:szCs w:val="28"/>
        </w:rPr>
        <w:t xml:space="preserve">askati,  Ron Bird </w:t>
      </w:r>
      <w:r w:rsidR="00586581">
        <w:rPr>
          <w:rFonts w:asciiTheme="majorBidi" w:hAnsiTheme="majorBidi" w:cstheme="majorBidi"/>
          <w:bCs/>
          <w:sz w:val="28"/>
          <w:szCs w:val="28"/>
        </w:rPr>
        <w:t xml:space="preserve"> </w:t>
      </w:r>
      <w:r>
        <w:rPr>
          <w:rFonts w:asciiTheme="majorBidi" w:hAnsiTheme="majorBidi" w:cstheme="majorBidi"/>
          <w:bCs/>
          <w:sz w:val="28"/>
          <w:szCs w:val="28"/>
        </w:rPr>
        <w:t>and  Susanna Lu</w:t>
      </w:r>
    </w:p>
    <w:p w14:paraId="4E6FCBCA" w14:textId="77777777" w:rsidR="0097146A" w:rsidRPr="00FF1F9E" w:rsidRDefault="0097146A" w:rsidP="0097146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31E9E4D1" w14:textId="77777777" w:rsidR="0097146A" w:rsidRPr="00FF1F9E" w:rsidRDefault="0097146A" w:rsidP="0097146A">
      <w:pPr>
        <w:pStyle w:val="PlainText"/>
        <w:tabs>
          <w:tab w:val="left" w:pos="284"/>
          <w:tab w:val="left" w:pos="426"/>
        </w:tabs>
        <w:spacing w:line="288" w:lineRule="auto"/>
        <w:jc w:val="both"/>
        <w:rPr>
          <w:rFonts w:asciiTheme="majorBidi" w:hAnsiTheme="majorBidi" w:cstheme="majorBidi"/>
          <w:b/>
        </w:rPr>
      </w:pPr>
    </w:p>
    <w:p w14:paraId="74FBF6FF"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bCs/>
          <w:sz w:val="28"/>
        </w:rPr>
      </w:pPr>
    </w:p>
    <w:p w14:paraId="013F8303"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bCs/>
          <w:sz w:val="28"/>
        </w:rPr>
      </w:pPr>
    </w:p>
    <w:p w14:paraId="7C91ACA1" w14:textId="728B17FA" w:rsidR="0097146A" w:rsidRPr="00FF1F9E" w:rsidRDefault="0097146A" w:rsidP="0097146A">
      <w:pPr>
        <w:pStyle w:val="PlainText"/>
        <w:tabs>
          <w:tab w:val="left" w:pos="284"/>
          <w:tab w:val="left" w:pos="426"/>
        </w:tabs>
        <w:spacing w:line="288" w:lineRule="auto"/>
        <w:jc w:val="center"/>
        <w:rPr>
          <w:rFonts w:asciiTheme="majorBidi" w:hAnsiTheme="majorBidi" w:cstheme="majorBidi"/>
          <w:b/>
          <w:bCs/>
          <w:sz w:val="28"/>
        </w:rPr>
      </w:pPr>
      <w:r w:rsidRPr="00FF1F9E">
        <w:rPr>
          <w:rFonts w:asciiTheme="majorBidi" w:hAnsiTheme="majorBidi" w:cstheme="majorBidi"/>
          <w:b/>
          <w:bCs/>
          <w:sz w:val="28"/>
        </w:rPr>
        <w:t xml:space="preserve">Working Paper in Economics </w:t>
      </w:r>
      <w:r w:rsidR="00D67A33">
        <w:rPr>
          <w:rFonts w:asciiTheme="majorBidi" w:hAnsiTheme="majorBidi" w:cstheme="majorBidi"/>
          <w:b/>
          <w:bCs/>
          <w:sz w:val="28"/>
        </w:rPr>
        <w:t>09</w:t>
      </w:r>
      <w:bookmarkStart w:id="0" w:name="_GoBack"/>
      <w:bookmarkEnd w:id="0"/>
      <w:r w:rsidRPr="00BF2AB8">
        <w:rPr>
          <w:rFonts w:asciiTheme="majorBidi" w:hAnsiTheme="majorBidi" w:cstheme="majorBidi"/>
          <w:b/>
          <w:bCs/>
          <w:sz w:val="28"/>
        </w:rPr>
        <w:t>/1</w:t>
      </w:r>
      <w:r>
        <w:rPr>
          <w:rFonts w:asciiTheme="majorBidi" w:hAnsiTheme="majorBidi" w:cstheme="majorBidi"/>
          <w:b/>
          <w:bCs/>
          <w:sz w:val="28"/>
        </w:rPr>
        <w:t>9</w:t>
      </w:r>
    </w:p>
    <w:p w14:paraId="7B989293"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b/>
          <w:bCs/>
          <w:sz w:val="28"/>
        </w:rPr>
      </w:pPr>
    </w:p>
    <w:p w14:paraId="273C00F9" w14:textId="32E411E7" w:rsidR="0097146A" w:rsidRPr="00FF1F9E" w:rsidRDefault="0097146A" w:rsidP="0097146A">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Ju</w:t>
      </w:r>
      <w:r w:rsidR="00F132C5">
        <w:rPr>
          <w:rFonts w:asciiTheme="majorBidi" w:hAnsiTheme="majorBidi" w:cstheme="majorBidi"/>
          <w:sz w:val="28"/>
        </w:rPr>
        <w:t>ly</w:t>
      </w:r>
      <w:r w:rsidRPr="00FF1F9E">
        <w:rPr>
          <w:rFonts w:asciiTheme="majorBidi" w:hAnsiTheme="majorBidi" w:cstheme="majorBidi"/>
          <w:sz w:val="28"/>
        </w:rPr>
        <w:t xml:space="preserve"> 201</w:t>
      </w:r>
      <w:r>
        <w:rPr>
          <w:rFonts w:asciiTheme="majorBidi" w:hAnsiTheme="majorBidi" w:cstheme="majorBidi"/>
          <w:sz w:val="28"/>
        </w:rPr>
        <w:t>9</w:t>
      </w:r>
    </w:p>
    <w:p w14:paraId="43FE15C4" w14:textId="77777777" w:rsidR="0097146A" w:rsidRPr="00FF1F9E" w:rsidRDefault="0097146A" w:rsidP="0097146A">
      <w:pPr>
        <w:pStyle w:val="PlainText"/>
        <w:tabs>
          <w:tab w:val="left" w:pos="284"/>
          <w:tab w:val="left" w:pos="426"/>
        </w:tabs>
        <w:spacing w:line="288" w:lineRule="auto"/>
        <w:jc w:val="center"/>
        <w:rPr>
          <w:rFonts w:asciiTheme="majorBidi" w:hAnsiTheme="majorBidi" w:cstheme="majorBidi"/>
          <w:sz w:val="28"/>
        </w:rPr>
      </w:pPr>
    </w:p>
    <w:p w14:paraId="0595DAB8" w14:textId="77777777" w:rsidR="0097146A" w:rsidRPr="004905BA" w:rsidRDefault="0097146A" w:rsidP="0097146A">
      <w:pPr>
        <w:pStyle w:val="PlainText"/>
        <w:tabs>
          <w:tab w:val="left" w:pos="284"/>
          <w:tab w:val="left" w:pos="567"/>
        </w:tabs>
        <w:jc w:val="center"/>
        <w:rPr>
          <w:rFonts w:asciiTheme="majorBidi" w:hAnsiTheme="majorBidi" w:cstheme="majorBidi"/>
          <w:bCs/>
          <w:i/>
          <w:sz w:val="24"/>
          <w:szCs w:val="24"/>
        </w:rPr>
      </w:pPr>
      <w:r w:rsidRPr="004905BA">
        <w:rPr>
          <w:rFonts w:asciiTheme="majorBidi" w:hAnsiTheme="majorBidi" w:cstheme="majorBidi"/>
          <w:bCs/>
          <w:i/>
          <w:sz w:val="24"/>
          <w:szCs w:val="24"/>
        </w:rPr>
        <w:t>Corresponding Author</w:t>
      </w:r>
    </w:p>
    <w:p w14:paraId="60F48881" w14:textId="77777777" w:rsidR="0097146A" w:rsidRPr="00507A35" w:rsidRDefault="0097146A" w:rsidP="0097146A">
      <w:pPr>
        <w:pStyle w:val="PlainText"/>
        <w:tabs>
          <w:tab w:val="left" w:pos="284"/>
          <w:tab w:val="left" w:pos="567"/>
        </w:tabs>
        <w:jc w:val="center"/>
        <w:rPr>
          <w:rFonts w:asciiTheme="majorBidi" w:hAnsiTheme="majorBidi" w:cstheme="majorBidi"/>
          <w:b/>
          <w:bCs/>
          <w:sz w:val="8"/>
          <w:szCs w:val="8"/>
        </w:rPr>
      </w:pPr>
    </w:p>
    <w:p w14:paraId="1F493F59" w14:textId="1A42AF7C" w:rsidR="0097146A" w:rsidRPr="00586581" w:rsidRDefault="00F132C5" w:rsidP="0097146A">
      <w:pPr>
        <w:pStyle w:val="PlainText"/>
        <w:tabs>
          <w:tab w:val="left" w:pos="284"/>
          <w:tab w:val="left" w:pos="567"/>
        </w:tabs>
        <w:jc w:val="center"/>
        <w:rPr>
          <w:rFonts w:asciiTheme="majorBidi" w:hAnsiTheme="majorBidi" w:cstheme="majorBidi"/>
          <w:b/>
          <w:bCs/>
          <w:sz w:val="24"/>
          <w:szCs w:val="24"/>
        </w:rPr>
      </w:pPr>
      <w:r w:rsidRPr="00586581">
        <w:rPr>
          <w:rFonts w:asciiTheme="majorBidi" w:hAnsiTheme="majorBidi" w:cstheme="majorBidi"/>
          <w:bCs/>
          <w:sz w:val="24"/>
          <w:szCs w:val="24"/>
        </w:rPr>
        <w:t>Nawaf Al</w:t>
      </w:r>
      <w:r w:rsidR="00296AA4">
        <w:rPr>
          <w:rFonts w:asciiTheme="majorBidi" w:hAnsiTheme="majorBidi" w:cstheme="majorBidi"/>
          <w:bCs/>
          <w:sz w:val="24"/>
          <w:szCs w:val="24"/>
        </w:rPr>
        <w:t>m</w:t>
      </w:r>
      <w:r w:rsidRPr="00586581">
        <w:rPr>
          <w:rFonts w:asciiTheme="majorBidi" w:hAnsiTheme="majorBidi" w:cstheme="majorBidi"/>
          <w:bCs/>
          <w:sz w:val="24"/>
          <w:szCs w:val="24"/>
        </w:rPr>
        <w:t>askati,</w:t>
      </w:r>
    </w:p>
    <w:p w14:paraId="05712457" w14:textId="30ACDB57" w:rsidR="00BA48FD" w:rsidRPr="009C65A6" w:rsidRDefault="00EC3451" w:rsidP="00BA48FD">
      <w:pPr>
        <w:spacing w:after="0" w:line="240" w:lineRule="auto"/>
        <w:jc w:val="center"/>
        <w:rPr>
          <w:rFonts w:ascii="Times New Roman" w:hAnsi="Times New Roman" w:cs="Times New Roman"/>
          <w:sz w:val="24"/>
          <w:szCs w:val="24"/>
        </w:rPr>
      </w:pPr>
      <w:hyperlink r:id="rId8" w:history="1">
        <w:r w:rsidR="00BA48FD" w:rsidRPr="009C65A6">
          <w:rPr>
            <w:rStyle w:val="Hyperlink"/>
            <w:rFonts w:ascii="Times New Roman" w:hAnsi="Times New Roman" w:cs="Times New Roman"/>
            <w:color w:val="auto"/>
            <w:sz w:val="24"/>
            <w:szCs w:val="24"/>
            <w:u w:val="none"/>
          </w:rPr>
          <w:t>nawafmask@hotmail.com</w:t>
        </w:r>
      </w:hyperlink>
    </w:p>
    <w:p w14:paraId="1440D8E4" w14:textId="77777777" w:rsidR="009C65A6" w:rsidRPr="009C65A6" w:rsidRDefault="009C65A6" w:rsidP="009C65A6">
      <w:pPr>
        <w:pStyle w:val="PlainText"/>
        <w:tabs>
          <w:tab w:val="left" w:pos="284"/>
          <w:tab w:val="left" w:pos="567"/>
        </w:tabs>
        <w:jc w:val="center"/>
        <w:rPr>
          <w:rFonts w:asciiTheme="majorBidi" w:hAnsiTheme="majorBidi" w:cstheme="majorBidi"/>
          <w:bCs/>
          <w:sz w:val="24"/>
          <w:szCs w:val="24"/>
        </w:rPr>
      </w:pPr>
    </w:p>
    <w:p w14:paraId="040DD7DB" w14:textId="0E66AE7E" w:rsidR="009C65A6" w:rsidRPr="004905BA" w:rsidRDefault="009C65A6" w:rsidP="009C65A6">
      <w:pPr>
        <w:pStyle w:val="PlainText"/>
        <w:tabs>
          <w:tab w:val="left" w:pos="284"/>
          <w:tab w:val="left" w:pos="567"/>
        </w:tabs>
        <w:jc w:val="center"/>
        <w:rPr>
          <w:rFonts w:asciiTheme="majorBidi" w:hAnsiTheme="majorBidi" w:cstheme="majorBidi"/>
          <w:b/>
          <w:bCs/>
          <w:sz w:val="24"/>
          <w:szCs w:val="24"/>
        </w:rPr>
      </w:pPr>
      <w:r w:rsidRPr="009C65A6">
        <w:rPr>
          <w:rFonts w:asciiTheme="majorBidi" w:hAnsiTheme="majorBidi" w:cstheme="majorBidi"/>
          <w:bCs/>
          <w:sz w:val="24"/>
          <w:szCs w:val="24"/>
        </w:rPr>
        <w:t>Ron B</w:t>
      </w:r>
      <w:r>
        <w:rPr>
          <w:rFonts w:asciiTheme="majorBidi" w:hAnsiTheme="majorBidi" w:cstheme="majorBidi"/>
          <w:bCs/>
          <w:sz w:val="24"/>
          <w:szCs w:val="24"/>
        </w:rPr>
        <w:t>ird</w:t>
      </w:r>
    </w:p>
    <w:p w14:paraId="221EB085" w14:textId="77777777" w:rsidR="009C65A6" w:rsidRPr="004905BA" w:rsidRDefault="009C65A6" w:rsidP="009C65A6">
      <w:pPr>
        <w:tabs>
          <w:tab w:val="left" w:pos="567"/>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ronbird</w:t>
      </w:r>
      <w:r w:rsidRPr="004905BA">
        <w:rPr>
          <w:rFonts w:asciiTheme="majorBidi" w:hAnsiTheme="majorBidi" w:cstheme="majorBidi"/>
          <w:sz w:val="24"/>
          <w:szCs w:val="24"/>
        </w:rPr>
        <w:t xml:space="preserve">@waikato.ac.nz </w:t>
      </w:r>
    </w:p>
    <w:p w14:paraId="75B01989" w14:textId="77777777" w:rsidR="00E26AE6" w:rsidRPr="00F132C5" w:rsidRDefault="00E26AE6" w:rsidP="00E26AE6">
      <w:pPr>
        <w:pStyle w:val="PlainText"/>
        <w:tabs>
          <w:tab w:val="left" w:pos="284"/>
          <w:tab w:val="left" w:pos="567"/>
        </w:tabs>
        <w:jc w:val="center"/>
        <w:rPr>
          <w:rFonts w:asciiTheme="majorBidi" w:hAnsiTheme="majorBidi" w:cstheme="majorBidi"/>
          <w:b/>
          <w:bCs/>
          <w:sz w:val="24"/>
          <w:szCs w:val="24"/>
        </w:rPr>
      </w:pPr>
      <w:r w:rsidRPr="00F132C5">
        <w:rPr>
          <w:rFonts w:asciiTheme="majorBidi" w:hAnsiTheme="majorBidi" w:cstheme="majorBidi"/>
          <w:bCs/>
          <w:sz w:val="24"/>
          <w:szCs w:val="24"/>
        </w:rPr>
        <w:t>Susanna Lu</w:t>
      </w:r>
    </w:p>
    <w:p w14:paraId="7FD097D6" w14:textId="77777777" w:rsidR="00E26AE6" w:rsidRPr="004905BA" w:rsidRDefault="00E26AE6" w:rsidP="00E26AE6">
      <w:pPr>
        <w:tabs>
          <w:tab w:val="left" w:pos="567"/>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susanna</w:t>
      </w:r>
      <w:r w:rsidRPr="004905BA">
        <w:rPr>
          <w:rFonts w:asciiTheme="majorBidi" w:hAnsiTheme="majorBidi" w:cstheme="majorBidi"/>
          <w:sz w:val="24"/>
          <w:szCs w:val="24"/>
        </w:rPr>
        <w:t>@waikato.ac.nz</w:t>
      </w:r>
    </w:p>
    <w:p w14:paraId="19684B68" w14:textId="77777777" w:rsidR="0097146A" w:rsidRPr="004905BA" w:rsidRDefault="0097146A" w:rsidP="0097146A">
      <w:pPr>
        <w:pStyle w:val="PlainText"/>
        <w:tabs>
          <w:tab w:val="left" w:pos="284"/>
          <w:tab w:val="left" w:pos="567"/>
        </w:tabs>
        <w:jc w:val="center"/>
        <w:rPr>
          <w:rFonts w:asciiTheme="majorBidi" w:hAnsiTheme="majorBidi" w:cstheme="majorBidi"/>
          <w:b/>
          <w:bCs/>
          <w:sz w:val="24"/>
          <w:szCs w:val="24"/>
        </w:rPr>
      </w:pPr>
    </w:p>
    <w:p w14:paraId="1035897A" w14:textId="77777777" w:rsidR="0097146A" w:rsidRPr="004905BA" w:rsidRDefault="0097146A" w:rsidP="0097146A">
      <w:pPr>
        <w:pStyle w:val="PlainText"/>
        <w:tabs>
          <w:tab w:val="left" w:pos="284"/>
          <w:tab w:val="left" w:pos="567"/>
        </w:tabs>
        <w:jc w:val="center"/>
        <w:rPr>
          <w:rFonts w:asciiTheme="majorBidi" w:hAnsiTheme="majorBidi" w:cstheme="majorBidi"/>
          <w:sz w:val="24"/>
          <w:szCs w:val="24"/>
        </w:rPr>
      </w:pPr>
      <w:r w:rsidRPr="004905BA">
        <w:rPr>
          <w:rFonts w:asciiTheme="majorBidi" w:hAnsiTheme="majorBidi" w:cstheme="majorBidi"/>
          <w:sz w:val="24"/>
          <w:szCs w:val="24"/>
        </w:rPr>
        <w:t xml:space="preserve">School of Accounting, Finance and Economics </w:t>
      </w:r>
    </w:p>
    <w:p w14:paraId="70E7C9A3" w14:textId="77777777" w:rsidR="0097146A" w:rsidRPr="004905BA" w:rsidRDefault="0097146A" w:rsidP="0097146A">
      <w:pPr>
        <w:pStyle w:val="PlainText"/>
        <w:tabs>
          <w:tab w:val="left" w:pos="284"/>
          <w:tab w:val="left" w:pos="567"/>
        </w:tabs>
        <w:jc w:val="center"/>
        <w:rPr>
          <w:rFonts w:asciiTheme="majorBidi" w:hAnsiTheme="majorBidi" w:cstheme="majorBidi"/>
          <w:sz w:val="24"/>
          <w:szCs w:val="24"/>
        </w:rPr>
      </w:pPr>
      <w:r w:rsidRPr="004905BA">
        <w:rPr>
          <w:rFonts w:asciiTheme="majorBidi" w:hAnsiTheme="majorBidi" w:cstheme="majorBidi"/>
          <w:sz w:val="24"/>
          <w:szCs w:val="24"/>
        </w:rPr>
        <w:t xml:space="preserve">University of Waikato </w:t>
      </w:r>
    </w:p>
    <w:p w14:paraId="072F5486" w14:textId="77777777" w:rsidR="0097146A" w:rsidRPr="004905BA" w:rsidRDefault="0097146A" w:rsidP="0097146A">
      <w:pPr>
        <w:pStyle w:val="PlainText"/>
        <w:tabs>
          <w:tab w:val="left" w:pos="284"/>
          <w:tab w:val="left" w:pos="567"/>
        </w:tabs>
        <w:jc w:val="center"/>
        <w:rPr>
          <w:rFonts w:asciiTheme="majorBidi" w:hAnsiTheme="majorBidi" w:cstheme="majorBidi"/>
          <w:sz w:val="24"/>
          <w:szCs w:val="24"/>
        </w:rPr>
      </w:pPr>
      <w:r w:rsidRPr="004905BA">
        <w:rPr>
          <w:rFonts w:asciiTheme="majorBidi" w:hAnsiTheme="majorBidi" w:cstheme="majorBidi"/>
          <w:sz w:val="24"/>
          <w:szCs w:val="24"/>
        </w:rPr>
        <w:t>Private Bag 3105</w:t>
      </w:r>
    </w:p>
    <w:p w14:paraId="3DCA5825" w14:textId="77777777" w:rsidR="0097146A" w:rsidRPr="004905BA" w:rsidRDefault="0097146A" w:rsidP="0097146A">
      <w:pPr>
        <w:pStyle w:val="PlainText"/>
        <w:tabs>
          <w:tab w:val="left" w:pos="284"/>
          <w:tab w:val="left" w:pos="567"/>
        </w:tabs>
        <w:jc w:val="center"/>
        <w:rPr>
          <w:rFonts w:asciiTheme="majorBidi" w:hAnsiTheme="majorBidi" w:cstheme="majorBidi"/>
          <w:sz w:val="24"/>
          <w:szCs w:val="24"/>
        </w:rPr>
      </w:pPr>
      <w:r w:rsidRPr="004905BA">
        <w:rPr>
          <w:rFonts w:asciiTheme="majorBidi" w:hAnsiTheme="majorBidi" w:cstheme="majorBidi"/>
          <w:sz w:val="24"/>
          <w:szCs w:val="24"/>
        </w:rPr>
        <w:t>Hamilton 3240</w:t>
      </w:r>
    </w:p>
    <w:p w14:paraId="16A45784" w14:textId="77777777" w:rsidR="0097146A" w:rsidRPr="00FF1F9E" w:rsidRDefault="0097146A" w:rsidP="0097146A">
      <w:pPr>
        <w:pStyle w:val="PlainText"/>
        <w:tabs>
          <w:tab w:val="left" w:pos="284"/>
          <w:tab w:val="left" w:pos="567"/>
        </w:tabs>
        <w:jc w:val="center"/>
        <w:rPr>
          <w:rFonts w:asciiTheme="majorBidi" w:hAnsiTheme="majorBidi" w:cstheme="majorBidi"/>
          <w:sz w:val="24"/>
          <w:szCs w:val="24"/>
        </w:rPr>
      </w:pPr>
      <w:r w:rsidRPr="004905BA">
        <w:rPr>
          <w:rFonts w:asciiTheme="majorBidi" w:hAnsiTheme="majorBidi" w:cstheme="majorBidi"/>
          <w:sz w:val="24"/>
          <w:szCs w:val="24"/>
        </w:rPr>
        <w:t>NEW ZEALAND</w:t>
      </w:r>
    </w:p>
    <w:p w14:paraId="39BE0EC9" w14:textId="77777777" w:rsidR="0097146A" w:rsidRDefault="0097146A" w:rsidP="0097146A">
      <w:pPr>
        <w:pStyle w:val="NormalWeb"/>
        <w:spacing w:before="0" w:beforeAutospacing="0" w:after="0" w:afterAutospacing="0" w:line="288" w:lineRule="auto"/>
        <w:jc w:val="center"/>
        <w:rPr>
          <w:bCs/>
          <w:sz w:val="28"/>
          <w:szCs w:val="28"/>
        </w:rPr>
      </w:pPr>
    </w:p>
    <w:p w14:paraId="4B4A18D3" w14:textId="77777777" w:rsidR="0097146A" w:rsidRPr="0045105E" w:rsidRDefault="0097146A" w:rsidP="0097146A">
      <w:pPr>
        <w:spacing w:line="288" w:lineRule="auto"/>
        <w:jc w:val="right"/>
        <w:rPr>
          <w:rFonts w:ascii="Times New Roman" w:hAnsi="Times New Roman" w:cs="Times New Roman"/>
          <w:b/>
          <w:iCs/>
          <w:sz w:val="24"/>
          <w:szCs w:val="24"/>
        </w:rPr>
      </w:pPr>
    </w:p>
    <w:p w14:paraId="74A72E64" w14:textId="2796E649" w:rsidR="0097146A" w:rsidRDefault="0097146A" w:rsidP="0097146A">
      <w:pPr>
        <w:rPr>
          <w:rFonts w:ascii="Times New Roman" w:hAnsi="Times New Roman" w:cs="Times New Roman"/>
          <w:b/>
          <w:color w:val="000000"/>
          <w:sz w:val="24"/>
          <w:szCs w:val="24"/>
        </w:rPr>
      </w:pPr>
    </w:p>
    <w:p w14:paraId="630D4506" w14:textId="0F1DF477" w:rsidR="009C65A6" w:rsidRDefault="009C65A6" w:rsidP="0097146A">
      <w:pPr>
        <w:rPr>
          <w:rFonts w:ascii="Times New Roman" w:hAnsi="Times New Roman" w:cs="Times New Roman"/>
          <w:b/>
          <w:color w:val="000000"/>
          <w:sz w:val="24"/>
          <w:szCs w:val="24"/>
        </w:rPr>
      </w:pPr>
    </w:p>
    <w:p w14:paraId="0B382152" w14:textId="03630116" w:rsidR="009C65A6" w:rsidRDefault="009C65A6" w:rsidP="0097146A">
      <w:pPr>
        <w:rPr>
          <w:rFonts w:ascii="Times New Roman" w:hAnsi="Times New Roman" w:cs="Times New Roman"/>
          <w:b/>
          <w:color w:val="000000"/>
          <w:sz w:val="24"/>
          <w:szCs w:val="24"/>
        </w:rPr>
      </w:pPr>
    </w:p>
    <w:p w14:paraId="082D689C" w14:textId="77777777" w:rsidR="009C65A6" w:rsidRDefault="009C65A6" w:rsidP="0097146A">
      <w:pPr>
        <w:rPr>
          <w:rFonts w:ascii="Times New Roman" w:hAnsi="Times New Roman" w:cs="Times New Roman"/>
          <w:b/>
          <w:color w:val="000000"/>
          <w:sz w:val="24"/>
          <w:szCs w:val="24"/>
        </w:rPr>
      </w:pPr>
    </w:p>
    <w:p w14:paraId="5CCDC161" w14:textId="77777777" w:rsidR="009C65A6" w:rsidRDefault="009C65A6" w:rsidP="00C85B86">
      <w:pPr>
        <w:spacing w:after="100" w:line="240" w:lineRule="auto"/>
        <w:jc w:val="center"/>
        <w:rPr>
          <w:rFonts w:ascii="Times New Roman" w:hAnsi="Times New Roman" w:cs="Times New Roman"/>
          <w:b/>
          <w:color w:val="000000"/>
          <w:sz w:val="24"/>
          <w:szCs w:val="24"/>
        </w:rPr>
      </w:pPr>
    </w:p>
    <w:p w14:paraId="5D91AA39" w14:textId="77777777" w:rsidR="009C65A6" w:rsidRDefault="009C65A6" w:rsidP="00C85B86">
      <w:pPr>
        <w:spacing w:after="100" w:line="240" w:lineRule="auto"/>
        <w:jc w:val="center"/>
        <w:rPr>
          <w:rFonts w:ascii="Times New Roman" w:hAnsi="Times New Roman" w:cs="Times New Roman"/>
          <w:b/>
          <w:color w:val="000000"/>
          <w:sz w:val="24"/>
          <w:szCs w:val="24"/>
        </w:rPr>
      </w:pPr>
    </w:p>
    <w:p w14:paraId="630ADD2A" w14:textId="16CD5063" w:rsidR="0097146A" w:rsidRDefault="0097146A" w:rsidP="00C85B86">
      <w:pPr>
        <w:spacing w:after="10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Abstract</w:t>
      </w:r>
    </w:p>
    <w:p w14:paraId="53D59143" w14:textId="1E3B8C43" w:rsidR="00586581" w:rsidRDefault="00586581" w:rsidP="00586581">
      <w:pPr>
        <w:tabs>
          <w:tab w:val="left" w:pos="426"/>
        </w:tabs>
        <w:spacing w:after="0" w:line="360" w:lineRule="auto"/>
        <w:jc w:val="both"/>
        <w:rPr>
          <w:rFonts w:asciiTheme="majorBidi" w:hAnsiTheme="majorBidi" w:cstheme="majorBidi"/>
          <w:sz w:val="24"/>
          <w:szCs w:val="24"/>
        </w:rPr>
      </w:pPr>
      <w:r w:rsidRPr="00AA4760">
        <w:rPr>
          <w:rFonts w:asciiTheme="majorBidi" w:hAnsiTheme="majorBidi" w:cstheme="majorBidi"/>
          <w:sz w:val="24"/>
          <w:szCs w:val="24"/>
        </w:rPr>
        <w:t xml:space="preserve">We </w:t>
      </w:r>
      <w:r>
        <w:rPr>
          <w:rFonts w:asciiTheme="majorBidi" w:hAnsiTheme="majorBidi" w:cstheme="majorBidi"/>
          <w:sz w:val="24"/>
          <w:szCs w:val="24"/>
        </w:rPr>
        <w:t xml:space="preserve">use a comprehensive set of country-level social and institutional measures to study the relationship between country-level factors and firm-level governance. We also examine the roles of the country’s financial development status and the firm’s external financing needs in influencing the firm’s governance framework. Using a sample of 43 countries and 3301 firms, we find </w:t>
      </w:r>
      <w:r w:rsidRPr="005D11DD">
        <w:rPr>
          <w:rFonts w:asciiTheme="majorBidi" w:hAnsiTheme="majorBidi" w:cstheme="majorBidi"/>
          <w:sz w:val="24"/>
          <w:szCs w:val="24"/>
        </w:rPr>
        <w:t xml:space="preserve">that country-level factors explain a large part of the variation in firm-level governance across </w:t>
      </w:r>
      <w:r>
        <w:rPr>
          <w:rFonts w:asciiTheme="majorBidi" w:hAnsiTheme="majorBidi" w:cstheme="majorBidi"/>
          <w:sz w:val="24"/>
          <w:szCs w:val="24"/>
        </w:rPr>
        <w:t>countr</w:t>
      </w:r>
      <w:r w:rsidRPr="005D11DD">
        <w:rPr>
          <w:rFonts w:asciiTheme="majorBidi" w:hAnsiTheme="majorBidi" w:cstheme="majorBidi"/>
          <w:sz w:val="24"/>
          <w:szCs w:val="24"/>
        </w:rPr>
        <w:t>ies</w:t>
      </w:r>
      <w:r>
        <w:rPr>
          <w:rFonts w:asciiTheme="majorBidi" w:hAnsiTheme="majorBidi" w:cstheme="majorBidi"/>
          <w:sz w:val="24"/>
          <w:szCs w:val="24"/>
        </w:rPr>
        <w:t xml:space="preserve">. We also find evidence that the relationship between country-level factors and firm-level mechanisms is best represented as a moderating relationship. </w:t>
      </w:r>
      <w:r w:rsidRPr="005D11DD">
        <w:rPr>
          <w:rFonts w:asciiTheme="majorBidi" w:hAnsiTheme="majorBidi" w:cstheme="majorBidi"/>
          <w:sz w:val="24"/>
          <w:szCs w:val="24"/>
        </w:rPr>
        <w:t>The results also indicate the presence of a complementary relationship</w:t>
      </w:r>
      <w:r>
        <w:rPr>
          <w:rFonts w:asciiTheme="majorBidi" w:hAnsiTheme="majorBidi" w:cstheme="majorBidi"/>
          <w:sz w:val="24"/>
          <w:szCs w:val="24"/>
        </w:rPr>
        <w:t>, albeit sometimes insignificant,</w:t>
      </w:r>
      <w:r w:rsidRPr="005D11DD">
        <w:rPr>
          <w:rFonts w:asciiTheme="majorBidi" w:hAnsiTheme="majorBidi" w:cstheme="majorBidi"/>
          <w:sz w:val="24"/>
          <w:szCs w:val="24"/>
        </w:rPr>
        <w:t xml:space="preserve"> between firm-level governance and all the country-level variables included in our stud</w:t>
      </w:r>
      <w:r>
        <w:rPr>
          <w:rFonts w:asciiTheme="majorBidi" w:hAnsiTheme="majorBidi" w:cstheme="majorBidi"/>
          <w:sz w:val="24"/>
          <w:szCs w:val="24"/>
        </w:rPr>
        <w:t>y</w:t>
      </w:r>
      <w:r w:rsidRPr="005D11DD">
        <w:rPr>
          <w:rFonts w:asciiTheme="majorBidi" w:hAnsiTheme="majorBidi" w:cstheme="majorBidi"/>
          <w:sz w:val="24"/>
          <w:szCs w:val="24"/>
        </w:rPr>
        <w:t>. When accounting for the effect of</w:t>
      </w:r>
      <w:r>
        <w:rPr>
          <w:rFonts w:asciiTheme="majorBidi" w:hAnsiTheme="majorBidi" w:cstheme="majorBidi"/>
          <w:sz w:val="24"/>
          <w:szCs w:val="24"/>
        </w:rPr>
        <w:t xml:space="preserve"> a country’s</w:t>
      </w:r>
      <w:r w:rsidRPr="005D11DD">
        <w:rPr>
          <w:rFonts w:asciiTheme="majorBidi" w:hAnsiTheme="majorBidi" w:cstheme="majorBidi"/>
          <w:sz w:val="24"/>
          <w:szCs w:val="24"/>
        </w:rPr>
        <w:t xml:space="preserve"> financial development</w:t>
      </w:r>
      <w:r>
        <w:rPr>
          <w:rFonts w:asciiTheme="majorBidi" w:hAnsiTheme="majorBidi" w:cstheme="majorBidi"/>
          <w:sz w:val="24"/>
          <w:szCs w:val="24"/>
        </w:rPr>
        <w:t xml:space="preserve"> status and a firm’s external financing needs, we</w:t>
      </w:r>
      <w:r w:rsidRPr="005D11DD">
        <w:rPr>
          <w:rFonts w:asciiTheme="majorBidi" w:hAnsiTheme="majorBidi" w:cstheme="majorBidi"/>
          <w:sz w:val="24"/>
          <w:szCs w:val="24"/>
        </w:rPr>
        <w:t xml:space="preserve"> find evidence </w:t>
      </w:r>
      <w:r>
        <w:rPr>
          <w:rFonts w:asciiTheme="majorBidi" w:hAnsiTheme="majorBidi" w:cstheme="majorBidi"/>
          <w:sz w:val="24"/>
          <w:szCs w:val="24"/>
        </w:rPr>
        <w:t xml:space="preserve">of a positive relationship between </w:t>
      </w:r>
      <w:r w:rsidRPr="005D11DD">
        <w:rPr>
          <w:rFonts w:asciiTheme="majorBidi" w:hAnsiTheme="majorBidi" w:cstheme="majorBidi"/>
          <w:sz w:val="24"/>
          <w:szCs w:val="24"/>
        </w:rPr>
        <w:t xml:space="preserve">firm-level governance </w:t>
      </w:r>
      <w:r>
        <w:rPr>
          <w:rFonts w:asciiTheme="majorBidi" w:hAnsiTheme="majorBidi" w:cstheme="majorBidi"/>
          <w:sz w:val="24"/>
          <w:szCs w:val="24"/>
        </w:rPr>
        <w:t>and firm returns and value for</w:t>
      </w:r>
      <w:r w:rsidRPr="005D11DD">
        <w:rPr>
          <w:rFonts w:asciiTheme="majorBidi" w:hAnsiTheme="majorBidi" w:cstheme="majorBidi"/>
          <w:sz w:val="24"/>
          <w:szCs w:val="24"/>
        </w:rPr>
        <w:t xml:space="preserve"> firms with high financing needs which operate in </w:t>
      </w:r>
      <w:r>
        <w:rPr>
          <w:rFonts w:asciiTheme="majorBidi" w:hAnsiTheme="majorBidi" w:cstheme="majorBidi"/>
          <w:sz w:val="24"/>
          <w:szCs w:val="24"/>
        </w:rPr>
        <w:t>countr</w:t>
      </w:r>
      <w:r w:rsidRPr="005D11DD">
        <w:rPr>
          <w:rFonts w:asciiTheme="majorBidi" w:hAnsiTheme="majorBidi" w:cstheme="majorBidi"/>
          <w:sz w:val="24"/>
          <w:szCs w:val="24"/>
        </w:rPr>
        <w:t>ies with high financial development</w:t>
      </w:r>
      <w:r>
        <w:rPr>
          <w:rFonts w:asciiTheme="majorBidi" w:hAnsiTheme="majorBidi" w:cstheme="majorBidi"/>
          <w:sz w:val="24"/>
          <w:szCs w:val="24"/>
        </w:rPr>
        <w:t xml:space="preserve">. </w:t>
      </w:r>
    </w:p>
    <w:p w14:paraId="2AB3C888" w14:textId="77777777" w:rsidR="00586581" w:rsidRDefault="00586581" w:rsidP="0097146A">
      <w:pPr>
        <w:jc w:val="center"/>
        <w:rPr>
          <w:rFonts w:ascii="Times New Roman" w:hAnsi="Times New Roman" w:cs="Times New Roman"/>
          <w:b/>
          <w:sz w:val="24"/>
          <w:szCs w:val="24"/>
        </w:rPr>
      </w:pPr>
    </w:p>
    <w:p w14:paraId="31ABF32A" w14:textId="77777777" w:rsidR="002A1A6A" w:rsidRDefault="002A1A6A" w:rsidP="0097146A">
      <w:pPr>
        <w:jc w:val="center"/>
        <w:rPr>
          <w:rFonts w:ascii="Times New Roman" w:hAnsi="Times New Roman" w:cs="Times New Roman"/>
          <w:b/>
          <w:bCs/>
          <w:sz w:val="24"/>
          <w:szCs w:val="24"/>
        </w:rPr>
      </w:pPr>
    </w:p>
    <w:p w14:paraId="0AD8EDF5" w14:textId="6C20D490" w:rsidR="0097146A" w:rsidRDefault="0097146A" w:rsidP="0097146A">
      <w:pPr>
        <w:jc w:val="center"/>
        <w:rPr>
          <w:rFonts w:ascii="Times New Roman" w:hAnsi="Times New Roman" w:cs="Times New Roman"/>
          <w:b/>
          <w:bCs/>
          <w:sz w:val="24"/>
          <w:szCs w:val="24"/>
        </w:rPr>
      </w:pPr>
      <w:r w:rsidRPr="001B33E4">
        <w:rPr>
          <w:rFonts w:ascii="Times New Roman" w:hAnsi="Times New Roman" w:cs="Times New Roman"/>
          <w:b/>
          <w:bCs/>
          <w:sz w:val="24"/>
          <w:szCs w:val="24"/>
        </w:rPr>
        <w:t>Keywords</w:t>
      </w:r>
    </w:p>
    <w:p w14:paraId="41F42DB2" w14:textId="77777777" w:rsidR="00586581" w:rsidRDefault="00586581" w:rsidP="00586581">
      <w:pPr>
        <w:tabs>
          <w:tab w:val="left" w:pos="42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c</w:t>
      </w:r>
      <w:r w:rsidRPr="00586581">
        <w:rPr>
          <w:rFonts w:asciiTheme="majorBidi" w:hAnsiTheme="majorBidi" w:cstheme="majorBidi"/>
          <w:bCs/>
          <w:sz w:val="24"/>
          <w:szCs w:val="24"/>
        </w:rPr>
        <w:t>ountry-level governanc</w:t>
      </w:r>
      <w:r>
        <w:rPr>
          <w:rFonts w:asciiTheme="majorBidi" w:hAnsiTheme="majorBidi" w:cstheme="majorBidi"/>
          <w:bCs/>
          <w:sz w:val="24"/>
          <w:szCs w:val="24"/>
        </w:rPr>
        <w:t>e</w:t>
      </w:r>
    </w:p>
    <w:p w14:paraId="7507C507" w14:textId="77777777" w:rsidR="00586581" w:rsidRDefault="00586581" w:rsidP="00586581">
      <w:pPr>
        <w:tabs>
          <w:tab w:val="left" w:pos="42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f</w:t>
      </w:r>
      <w:r w:rsidRPr="00586581">
        <w:rPr>
          <w:rFonts w:asciiTheme="majorBidi" w:hAnsiTheme="majorBidi" w:cstheme="majorBidi"/>
          <w:bCs/>
          <w:sz w:val="24"/>
          <w:szCs w:val="24"/>
        </w:rPr>
        <w:t>irm-level governance</w:t>
      </w:r>
    </w:p>
    <w:p w14:paraId="6949FAB1" w14:textId="77777777" w:rsidR="00586581" w:rsidRDefault="00586581" w:rsidP="00586581">
      <w:pPr>
        <w:tabs>
          <w:tab w:val="left" w:pos="42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c</w:t>
      </w:r>
      <w:r w:rsidRPr="00586581">
        <w:rPr>
          <w:rFonts w:asciiTheme="majorBidi" w:hAnsiTheme="majorBidi" w:cstheme="majorBidi"/>
          <w:bCs/>
          <w:sz w:val="24"/>
          <w:szCs w:val="24"/>
        </w:rPr>
        <w:t>omplementary relationship</w:t>
      </w:r>
    </w:p>
    <w:p w14:paraId="618D475A" w14:textId="77777777" w:rsidR="00586581" w:rsidRDefault="00586581" w:rsidP="00586581">
      <w:pPr>
        <w:tabs>
          <w:tab w:val="left" w:pos="42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f</w:t>
      </w:r>
      <w:r w:rsidRPr="00586581">
        <w:rPr>
          <w:rFonts w:asciiTheme="majorBidi" w:hAnsiTheme="majorBidi" w:cstheme="majorBidi"/>
          <w:bCs/>
          <w:sz w:val="24"/>
          <w:szCs w:val="24"/>
        </w:rPr>
        <w:t>inancial development</w:t>
      </w:r>
    </w:p>
    <w:p w14:paraId="3B2C144B" w14:textId="7C63D8F0" w:rsidR="00586581" w:rsidRPr="00586581" w:rsidRDefault="00586581" w:rsidP="00586581">
      <w:pPr>
        <w:tabs>
          <w:tab w:val="left" w:pos="42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e</w:t>
      </w:r>
      <w:r w:rsidRPr="00586581">
        <w:rPr>
          <w:rFonts w:asciiTheme="majorBidi" w:hAnsiTheme="majorBidi" w:cstheme="majorBidi"/>
          <w:bCs/>
          <w:sz w:val="24"/>
          <w:szCs w:val="24"/>
        </w:rPr>
        <w:t>xternal financing needs</w:t>
      </w:r>
    </w:p>
    <w:p w14:paraId="7F85ACF4" w14:textId="77777777" w:rsidR="0097146A" w:rsidRPr="002F57A6" w:rsidRDefault="0097146A" w:rsidP="0097146A">
      <w:pPr>
        <w:spacing w:line="288" w:lineRule="auto"/>
        <w:jc w:val="both"/>
        <w:rPr>
          <w:rStyle w:val="Hyperlink"/>
          <w:rFonts w:ascii="Times New Roman" w:hAnsi="Times New Roman" w:cs="Times New Roman"/>
          <w:sz w:val="4"/>
          <w:szCs w:val="4"/>
          <w:lang w:val="en-NZ"/>
        </w:rPr>
      </w:pPr>
    </w:p>
    <w:p w14:paraId="46490BF2" w14:textId="77777777" w:rsidR="0097146A" w:rsidRPr="002F57A6" w:rsidRDefault="0097146A" w:rsidP="0097146A">
      <w:pPr>
        <w:spacing w:line="288" w:lineRule="auto"/>
        <w:jc w:val="both"/>
        <w:rPr>
          <w:rStyle w:val="Hyperlink"/>
          <w:rFonts w:ascii="Times New Roman" w:hAnsi="Times New Roman" w:cs="Times New Roman"/>
          <w:sz w:val="4"/>
          <w:szCs w:val="4"/>
          <w:lang w:val="en-NZ"/>
        </w:rPr>
      </w:pPr>
    </w:p>
    <w:p w14:paraId="7B5C0DC4" w14:textId="77777777" w:rsidR="0097146A" w:rsidRPr="002F57A6" w:rsidRDefault="0097146A" w:rsidP="0097146A">
      <w:pPr>
        <w:spacing w:line="288" w:lineRule="auto"/>
        <w:jc w:val="both"/>
        <w:rPr>
          <w:rStyle w:val="Hyperlink"/>
          <w:rFonts w:ascii="Times New Roman" w:hAnsi="Times New Roman" w:cs="Times New Roman"/>
          <w:sz w:val="4"/>
          <w:szCs w:val="4"/>
          <w:lang w:val="en-NZ"/>
        </w:rPr>
      </w:pPr>
    </w:p>
    <w:p w14:paraId="158903A7" w14:textId="77777777" w:rsidR="0097146A" w:rsidRPr="002F57A6" w:rsidRDefault="0097146A" w:rsidP="0097146A">
      <w:pPr>
        <w:spacing w:line="288" w:lineRule="auto"/>
        <w:jc w:val="both"/>
        <w:rPr>
          <w:rStyle w:val="Hyperlink"/>
          <w:rFonts w:ascii="Times New Roman" w:hAnsi="Times New Roman" w:cs="Times New Roman"/>
          <w:sz w:val="4"/>
          <w:szCs w:val="4"/>
          <w:lang w:val="en-NZ"/>
        </w:rPr>
      </w:pPr>
    </w:p>
    <w:p w14:paraId="445DE36D" w14:textId="77777777" w:rsidR="0097146A" w:rsidRPr="002F57A6" w:rsidRDefault="0097146A" w:rsidP="0097146A">
      <w:pPr>
        <w:spacing w:line="288" w:lineRule="auto"/>
        <w:jc w:val="both"/>
        <w:rPr>
          <w:rStyle w:val="Hyperlink"/>
          <w:rFonts w:ascii="Times New Roman" w:hAnsi="Times New Roman" w:cs="Times New Roman"/>
          <w:sz w:val="4"/>
          <w:szCs w:val="4"/>
          <w:lang w:val="en-NZ"/>
        </w:rPr>
      </w:pPr>
    </w:p>
    <w:p w14:paraId="259E0140" w14:textId="77777777" w:rsidR="0097146A" w:rsidRPr="00D94F3E" w:rsidRDefault="0097146A" w:rsidP="0097146A">
      <w:pPr>
        <w:spacing w:line="288" w:lineRule="auto"/>
        <w:jc w:val="center"/>
        <w:rPr>
          <w:rFonts w:ascii="Times New Roman" w:hAnsi="Times New Roman" w:cs="Times New Roman"/>
          <w:b/>
          <w:bCs/>
          <w:sz w:val="10"/>
          <w:szCs w:val="10"/>
        </w:rPr>
      </w:pPr>
    </w:p>
    <w:p w14:paraId="5C7681B1" w14:textId="77777777" w:rsidR="00586581" w:rsidRDefault="00586581">
      <w:pPr>
        <w:rPr>
          <w:rFonts w:asciiTheme="majorBidi" w:hAnsiTheme="majorBidi" w:cstheme="majorBidi"/>
          <w:b/>
          <w:bCs/>
          <w:sz w:val="24"/>
          <w:szCs w:val="24"/>
        </w:rPr>
      </w:pPr>
      <w:r>
        <w:rPr>
          <w:rFonts w:asciiTheme="majorBidi" w:hAnsiTheme="majorBidi" w:cstheme="majorBidi"/>
          <w:b/>
          <w:bCs/>
          <w:sz w:val="24"/>
          <w:szCs w:val="24"/>
        </w:rPr>
        <w:br w:type="page"/>
      </w:r>
    </w:p>
    <w:p w14:paraId="7A8D1E29" w14:textId="246F49FF" w:rsidR="00BF2605" w:rsidRPr="00BF2605" w:rsidRDefault="00BF2605" w:rsidP="00BF2605">
      <w:pPr>
        <w:tabs>
          <w:tab w:val="left" w:pos="426"/>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w:t>
      </w:r>
      <w:r w:rsidRPr="00BF2605">
        <w:rPr>
          <w:rFonts w:asciiTheme="majorBidi" w:hAnsiTheme="majorBidi" w:cstheme="majorBidi"/>
          <w:b/>
          <w:bCs/>
          <w:sz w:val="24"/>
          <w:szCs w:val="24"/>
        </w:rPr>
        <w:t>.</w:t>
      </w:r>
      <w:r w:rsidR="00586581">
        <w:rPr>
          <w:rFonts w:asciiTheme="majorBidi" w:hAnsiTheme="majorBidi" w:cstheme="majorBidi"/>
          <w:b/>
          <w:bCs/>
          <w:sz w:val="24"/>
          <w:szCs w:val="24"/>
        </w:rPr>
        <w:t xml:space="preserve"> </w:t>
      </w:r>
      <w:r w:rsidRPr="00BF2605">
        <w:rPr>
          <w:rFonts w:asciiTheme="majorBidi" w:hAnsiTheme="majorBidi" w:cstheme="majorBidi"/>
          <w:b/>
          <w:bCs/>
          <w:sz w:val="24"/>
          <w:szCs w:val="24"/>
        </w:rPr>
        <w:t xml:space="preserve"> Introduction</w:t>
      </w:r>
    </w:p>
    <w:p w14:paraId="24B19060" w14:textId="77777777" w:rsidR="00BF2605" w:rsidRPr="00BF2605" w:rsidRDefault="00BF2605" w:rsidP="00BF2605">
      <w:pPr>
        <w:tabs>
          <w:tab w:val="left" w:pos="426"/>
        </w:tabs>
        <w:spacing w:after="0" w:line="288" w:lineRule="auto"/>
        <w:jc w:val="both"/>
        <w:rPr>
          <w:rFonts w:asciiTheme="majorBidi" w:hAnsiTheme="majorBidi" w:cstheme="majorBidi"/>
          <w:sz w:val="12"/>
          <w:szCs w:val="12"/>
        </w:rPr>
      </w:pPr>
    </w:p>
    <w:p w14:paraId="12AC44A4" w14:textId="1716CA66" w:rsidR="006010BD" w:rsidRPr="006912C5" w:rsidRDefault="007753FF" w:rsidP="00BF2605">
      <w:pPr>
        <w:tabs>
          <w:tab w:val="left" w:pos="426"/>
        </w:tabs>
        <w:spacing w:after="0" w:line="288" w:lineRule="auto"/>
        <w:jc w:val="both"/>
        <w:rPr>
          <w:rFonts w:ascii="Times New Roman" w:hAnsi="Times New Roman" w:cs="Times New Roman"/>
          <w:sz w:val="24"/>
          <w:szCs w:val="24"/>
        </w:rPr>
      </w:pPr>
      <w:r>
        <w:rPr>
          <w:rFonts w:asciiTheme="majorBidi" w:hAnsiTheme="majorBidi" w:cstheme="majorBidi"/>
          <w:sz w:val="24"/>
          <w:szCs w:val="24"/>
        </w:rPr>
        <w:t>T</w:t>
      </w:r>
      <w:r w:rsidRPr="007753FF">
        <w:rPr>
          <w:rFonts w:asciiTheme="majorBidi" w:hAnsiTheme="majorBidi" w:cstheme="majorBidi"/>
          <w:sz w:val="24"/>
          <w:szCs w:val="24"/>
        </w:rPr>
        <w:t xml:space="preserve">he level of protection provided to </w:t>
      </w:r>
      <w:r w:rsidR="008B6B33">
        <w:rPr>
          <w:rFonts w:asciiTheme="majorBidi" w:hAnsiTheme="majorBidi" w:cstheme="majorBidi"/>
          <w:sz w:val="24"/>
          <w:szCs w:val="24"/>
        </w:rPr>
        <w:t>a</w:t>
      </w:r>
      <w:r w:rsidRPr="007753FF">
        <w:rPr>
          <w:rFonts w:asciiTheme="majorBidi" w:hAnsiTheme="majorBidi" w:cstheme="majorBidi"/>
          <w:sz w:val="24"/>
          <w:szCs w:val="24"/>
        </w:rPr>
        <w:t xml:space="preserve"> firm’s investors and other stakeholders.</w:t>
      </w:r>
      <w:r w:rsidR="0006527E">
        <w:rPr>
          <w:rFonts w:asciiTheme="majorBidi" w:hAnsiTheme="majorBidi" w:cstheme="majorBidi"/>
          <w:sz w:val="24"/>
          <w:szCs w:val="24"/>
        </w:rPr>
        <w:t xml:space="preserve">is impacted by both </w:t>
      </w:r>
      <w:r w:rsidR="00C928FD">
        <w:rPr>
          <w:rFonts w:asciiTheme="majorBidi" w:hAnsiTheme="majorBidi" w:cstheme="majorBidi"/>
          <w:sz w:val="24"/>
          <w:szCs w:val="24"/>
        </w:rPr>
        <w:t>external</w:t>
      </w:r>
      <w:r w:rsidR="00C928FD" w:rsidRPr="00C928FD">
        <w:rPr>
          <w:rFonts w:asciiTheme="majorBidi" w:hAnsiTheme="majorBidi" w:cstheme="majorBidi"/>
          <w:sz w:val="24"/>
          <w:szCs w:val="24"/>
        </w:rPr>
        <w:t xml:space="preserve"> </w:t>
      </w:r>
      <w:r w:rsidR="00C928FD">
        <w:rPr>
          <w:rFonts w:asciiTheme="majorBidi" w:hAnsiTheme="majorBidi" w:cstheme="majorBidi"/>
          <w:sz w:val="24"/>
          <w:szCs w:val="24"/>
        </w:rPr>
        <w:t>(</w:t>
      </w:r>
      <w:r w:rsidR="006010BD" w:rsidRPr="00C928FD">
        <w:rPr>
          <w:rFonts w:asciiTheme="majorBidi" w:hAnsiTheme="majorBidi" w:cstheme="majorBidi"/>
          <w:sz w:val="24"/>
          <w:szCs w:val="24"/>
        </w:rPr>
        <w:t>country-level</w:t>
      </w:r>
      <w:r w:rsidR="00C928FD">
        <w:rPr>
          <w:rFonts w:asciiTheme="majorBidi" w:hAnsiTheme="majorBidi" w:cstheme="majorBidi"/>
          <w:sz w:val="24"/>
          <w:szCs w:val="24"/>
        </w:rPr>
        <w:t>)</w:t>
      </w:r>
      <w:r w:rsidR="00C928FD" w:rsidRPr="00C928FD">
        <w:rPr>
          <w:rFonts w:asciiTheme="majorBidi" w:hAnsiTheme="majorBidi" w:cstheme="majorBidi"/>
          <w:sz w:val="24"/>
          <w:szCs w:val="24"/>
        </w:rPr>
        <w:t xml:space="preserve"> and</w:t>
      </w:r>
      <w:r w:rsidR="00C928FD">
        <w:rPr>
          <w:rFonts w:asciiTheme="majorBidi" w:hAnsiTheme="majorBidi" w:cstheme="majorBidi"/>
          <w:sz w:val="24"/>
          <w:szCs w:val="24"/>
        </w:rPr>
        <w:t xml:space="preserve"> internal</w:t>
      </w:r>
      <w:r w:rsidR="00C928FD" w:rsidRPr="00C928FD">
        <w:rPr>
          <w:rFonts w:asciiTheme="majorBidi" w:hAnsiTheme="majorBidi" w:cstheme="majorBidi"/>
          <w:sz w:val="24"/>
          <w:szCs w:val="24"/>
        </w:rPr>
        <w:t xml:space="preserve"> </w:t>
      </w:r>
      <w:r w:rsidR="00C928FD">
        <w:rPr>
          <w:rFonts w:asciiTheme="majorBidi" w:hAnsiTheme="majorBidi" w:cstheme="majorBidi"/>
          <w:sz w:val="24"/>
          <w:szCs w:val="24"/>
        </w:rPr>
        <w:t>(</w:t>
      </w:r>
      <w:r w:rsidR="006010BD" w:rsidRPr="00C928FD">
        <w:rPr>
          <w:rFonts w:asciiTheme="majorBidi" w:hAnsiTheme="majorBidi" w:cstheme="majorBidi"/>
          <w:sz w:val="24"/>
          <w:szCs w:val="24"/>
        </w:rPr>
        <w:t>firm-level</w:t>
      </w:r>
      <w:r w:rsidR="00C928FD">
        <w:rPr>
          <w:rFonts w:asciiTheme="majorBidi" w:hAnsiTheme="majorBidi" w:cstheme="majorBidi"/>
          <w:sz w:val="24"/>
          <w:szCs w:val="24"/>
        </w:rPr>
        <w:t>)</w:t>
      </w:r>
      <w:r w:rsidR="00C928FD" w:rsidRPr="00C928FD">
        <w:rPr>
          <w:rFonts w:asciiTheme="majorBidi" w:hAnsiTheme="majorBidi" w:cstheme="majorBidi"/>
          <w:sz w:val="24"/>
          <w:szCs w:val="24"/>
        </w:rPr>
        <w:t xml:space="preserve"> </w:t>
      </w:r>
      <w:r w:rsidR="008B6B33">
        <w:rPr>
          <w:rFonts w:asciiTheme="majorBidi" w:hAnsiTheme="majorBidi" w:cstheme="majorBidi"/>
          <w:sz w:val="24"/>
          <w:szCs w:val="24"/>
        </w:rPr>
        <w:t xml:space="preserve">governance </w:t>
      </w:r>
      <w:r w:rsidR="0006527E">
        <w:rPr>
          <w:rFonts w:asciiTheme="majorBidi" w:hAnsiTheme="majorBidi" w:cstheme="majorBidi"/>
          <w:sz w:val="24"/>
          <w:szCs w:val="24"/>
        </w:rPr>
        <w:t>mechanisms</w:t>
      </w:r>
      <w:r w:rsidR="00C928FD">
        <w:rPr>
          <w:rFonts w:asciiTheme="majorBidi" w:hAnsiTheme="majorBidi" w:cstheme="majorBidi"/>
          <w:sz w:val="24"/>
          <w:szCs w:val="24"/>
        </w:rPr>
        <w:t xml:space="preserve">. The interaction between these two </w:t>
      </w:r>
      <w:r w:rsidR="00630CF5">
        <w:rPr>
          <w:rFonts w:asciiTheme="majorBidi" w:hAnsiTheme="majorBidi" w:cstheme="majorBidi"/>
          <w:sz w:val="24"/>
          <w:szCs w:val="24"/>
        </w:rPr>
        <w:t>sets</w:t>
      </w:r>
      <w:r w:rsidR="00C928FD">
        <w:rPr>
          <w:rFonts w:asciiTheme="majorBidi" w:hAnsiTheme="majorBidi" w:cstheme="majorBidi"/>
          <w:sz w:val="24"/>
          <w:szCs w:val="24"/>
        </w:rPr>
        <w:t xml:space="preserve"> of mechanisms </w:t>
      </w:r>
      <w:r w:rsidR="008B4978">
        <w:rPr>
          <w:rFonts w:asciiTheme="majorBidi" w:hAnsiTheme="majorBidi" w:cstheme="majorBidi"/>
          <w:sz w:val="24"/>
          <w:szCs w:val="24"/>
        </w:rPr>
        <w:t xml:space="preserve">can </w:t>
      </w:r>
      <w:r w:rsidR="00300818">
        <w:rPr>
          <w:rFonts w:asciiTheme="majorBidi" w:hAnsiTheme="majorBidi" w:cstheme="majorBidi"/>
          <w:sz w:val="24"/>
          <w:szCs w:val="24"/>
        </w:rPr>
        <w:t>influence</w:t>
      </w:r>
      <w:r w:rsidR="00C928FD">
        <w:rPr>
          <w:rFonts w:asciiTheme="majorBidi" w:hAnsiTheme="majorBidi" w:cstheme="majorBidi"/>
          <w:sz w:val="24"/>
          <w:szCs w:val="24"/>
        </w:rPr>
        <w:t xml:space="preserve"> </w:t>
      </w:r>
      <w:r w:rsidR="002F619E">
        <w:rPr>
          <w:rFonts w:asciiTheme="majorBidi" w:hAnsiTheme="majorBidi" w:cstheme="majorBidi"/>
          <w:sz w:val="24"/>
          <w:szCs w:val="24"/>
        </w:rPr>
        <w:t xml:space="preserve">the </w:t>
      </w:r>
      <w:r w:rsidR="00A44CA0">
        <w:rPr>
          <w:rFonts w:asciiTheme="majorBidi" w:hAnsiTheme="majorBidi" w:cstheme="majorBidi"/>
          <w:sz w:val="24"/>
          <w:szCs w:val="24"/>
        </w:rPr>
        <w:t>selection process</w:t>
      </w:r>
      <w:r w:rsidR="002F619E">
        <w:rPr>
          <w:rFonts w:asciiTheme="majorBidi" w:hAnsiTheme="majorBidi" w:cstheme="majorBidi"/>
          <w:sz w:val="24"/>
          <w:szCs w:val="24"/>
        </w:rPr>
        <w:t xml:space="preserve"> of the firm’s directors and executives</w:t>
      </w:r>
      <w:r w:rsidR="00A44CA0">
        <w:rPr>
          <w:rFonts w:asciiTheme="majorBidi" w:hAnsiTheme="majorBidi" w:cstheme="majorBidi"/>
          <w:sz w:val="24"/>
          <w:szCs w:val="24"/>
        </w:rPr>
        <w:t xml:space="preserve">, </w:t>
      </w:r>
      <w:r w:rsidR="002F619E">
        <w:rPr>
          <w:rFonts w:asciiTheme="majorBidi" w:hAnsiTheme="majorBidi" w:cstheme="majorBidi"/>
          <w:sz w:val="24"/>
          <w:szCs w:val="24"/>
        </w:rPr>
        <w:t>the structure of its</w:t>
      </w:r>
      <w:r w:rsidR="00A44CA0">
        <w:rPr>
          <w:rFonts w:asciiTheme="majorBidi" w:hAnsiTheme="majorBidi" w:cstheme="majorBidi"/>
          <w:sz w:val="24"/>
          <w:szCs w:val="24"/>
        </w:rPr>
        <w:t xml:space="preserve"> board, </w:t>
      </w:r>
      <w:r w:rsidR="002F619E">
        <w:rPr>
          <w:rFonts w:asciiTheme="majorBidi" w:hAnsiTheme="majorBidi" w:cstheme="majorBidi"/>
          <w:sz w:val="24"/>
          <w:szCs w:val="24"/>
        </w:rPr>
        <w:t>its</w:t>
      </w:r>
      <w:r w:rsidR="00A44CA0">
        <w:rPr>
          <w:rFonts w:asciiTheme="majorBidi" w:hAnsiTheme="majorBidi" w:cstheme="majorBidi"/>
          <w:sz w:val="24"/>
          <w:szCs w:val="24"/>
        </w:rPr>
        <w:t xml:space="preserve"> compensation schem</w:t>
      </w:r>
      <w:r w:rsidR="002F619E">
        <w:rPr>
          <w:rFonts w:asciiTheme="majorBidi" w:hAnsiTheme="majorBidi" w:cstheme="majorBidi"/>
          <w:sz w:val="24"/>
          <w:szCs w:val="24"/>
        </w:rPr>
        <w:t>e</w:t>
      </w:r>
      <w:r w:rsidR="00A44CA0">
        <w:rPr>
          <w:rFonts w:asciiTheme="majorBidi" w:hAnsiTheme="majorBidi" w:cstheme="majorBidi"/>
          <w:sz w:val="24"/>
          <w:szCs w:val="24"/>
        </w:rPr>
        <w:t xml:space="preserve"> and any other incentives alignment mechanisms</w:t>
      </w:r>
      <w:r w:rsidR="002F619E">
        <w:rPr>
          <w:rFonts w:asciiTheme="majorBidi" w:hAnsiTheme="majorBidi" w:cstheme="majorBidi"/>
          <w:sz w:val="24"/>
          <w:szCs w:val="24"/>
        </w:rPr>
        <w:t xml:space="preserve">, and the protections given to its creditors and minority shareholders. As a result, </w:t>
      </w:r>
      <w:r w:rsidR="00300818">
        <w:rPr>
          <w:rFonts w:asciiTheme="majorBidi" w:hAnsiTheme="majorBidi" w:cstheme="majorBidi"/>
          <w:sz w:val="24"/>
          <w:szCs w:val="24"/>
        </w:rPr>
        <w:t>t</w:t>
      </w:r>
      <w:r w:rsidR="00300818" w:rsidRPr="00300818">
        <w:rPr>
          <w:rFonts w:asciiTheme="majorBidi" w:hAnsiTheme="majorBidi" w:cstheme="majorBidi"/>
          <w:sz w:val="24"/>
          <w:szCs w:val="24"/>
        </w:rPr>
        <w:t>hese mechanisms have a major impact on the daily operations of a firm</w:t>
      </w:r>
      <w:r w:rsidR="00300818">
        <w:rPr>
          <w:rFonts w:asciiTheme="majorBidi" w:hAnsiTheme="majorBidi" w:cstheme="majorBidi"/>
          <w:sz w:val="24"/>
          <w:szCs w:val="24"/>
        </w:rPr>
        <w:t xml:space="preserve"> </w:t>
      </w:r>
      <w:r w:rsidR="002F619E">
        <w:rPr>
          <w:rFonts w:asciiTheme="majorBidi" w:hAnsiTheme="majorBidi" w:cstheme="majorBidi"/>
          <w:sz w:val="24"/>
          <w:szCs w:val="24"/>
        </w:rPr>
        <w:t xml:space="preserve">and </w:t>
      </w:r>
      <w:r w:rsidR="00300818">
        <w:rPr>
          <w:rFonts w:asciiTheme="majorBidi" w:hAnsiTheme="majorBidi" w:cstheme="majorBidi"/>
          <w:sz w:val="24"/>
          <w:szCs w:val="24"/>
        </w:rPr>
        <w:t>its value</w:t>
      </w:r>
      <w:r w:rsidR="002F619E">
        <w:rPr>
          <w:rFonts w:asciiTheme="majorBidi" w:hAnsiTheme="majorBidi" w:cstheme="majorBidi"/>
          <w:sz w:val="24"/>
          <w:szCs w:val="24"/>
        </w:rPr>
        <w:t xml:space="preserve"> (</w:t>
      </w:r>
      <w:r w:rsidR="002F619E">
        <w:rPr>
          <w:rFonts w:ascii="Times New Roman" w:hAnsi="Times New Roman" w:cs="Times New Roman"/>
          <w:sz w:val="24"/>
          <w:szCs w:val="24"/>
        </w:rPr>
        <w:t xml:space="preserve">Daily </w:t>
      </w:r>
      <w:r w:rsidR="009372D2" w:rsidRPr="009372D2">
        <w:rPr>
          <w:rFonts w:ascii="Times New Roman" w:hAnsi="Times New Roman" w:cs="Times New Roman"/>
          <w:i/>
          <w:iCs/>
          <w:sz w:val="24"/>
          <w:szCs w:val="24"/>
        </w:rPr>
        <w:t xml:space="preserve">et al. </w:t>
      </w:r>
      <w:r w:rsidR="002F619E">
        <w:rPr>
          <w:rFonts w:ascii="Times New Roman" w:hAnsi="Times New Roman" w:cs="Times New Roman"/>
          <w:sz w:val="24"/>
          <w:szCs w:val="24"/>
        </w:rPr>
        <w:t>2003</w:t>
      </w:r>
      <w:r w:rsidR="006912C5">
        <w:rPr>
          <w:rFonts w:ascii="Times New Roman" w:hAnsi="Times New Roman" w:cs="Times New Roman"/>
          <w:sz w:val="24"/>
          <w:szCs w:val="24"/>
        </w:rPr>
        <w:t>,</w:t>
      </w:r>
      <w:r w:rsidR="002F619E">
        <w:rPr>
          <w:rFonts w:ascii="Times New Roman" w:hAnsi="Times New Roman" w:cs="Times New Roman"/>
          <w:sz w:val="24"/>
          <w:szCs w:val="24"/>
        </w:rPr>
        <w:t xml:space="preserve"> Shleifer and Vishny 1997 Walsh</w:t>
      </w:r>
      <w:r w:rsidR="002F619E" w:rsidRPr="00D3147F">
        <w:t xml:space="preserve"> </w:t>
      </w:r>
      <w:r w:rsidR="002F619E">
        <w:rPr>
          <w:rFonts w:ascii="Times New Roman" w:hAnsi="Times New Roman" w:cs="Times New Roman"/>
          <w:sz w:val="24"/>
          <w:szCs w:val="24"/>
        </w:rPr>
        <w:t xml:space="preserve">and Seward, </w:t>
      </w:r>
      <w:r w:rsidR="002F619E" w:rsidRPr="00D3147F">
        <w:rPr>
          <w:rFonts w:ascii="Times New Roman" w:hAnsi="Times New Roman" w:cs="Times New Roman"/>
          <w:sz w:val="24"/>
          <w:szCs w:val="24"/>
        </w:rPr>
        <w:t>1990</w:t>
      </w:r>
      <w:r w:rsidR="002F619E">
        <w:rPr>
          <w:rFonts w:asciiTheme="majorBidi" w:hAnsiTheme="majorBidi" w:cstheme="majorBidi"/>
          <w:sz w:val="24"/>
          <w:szCs w:val="24"/>
        </w:rPr>
        <w:t xml:space="preserve">). </w:t>
      </w:r>
    </w:p>
    <w:p w14:paraId="51062FD2" w14:textId="77777777" w:rsidR="00BF2605" w:rsidRPr="00C928FD" w:rsidRDefault="00BF2605" w:rsidP="00BF2605">
      <w:pPr>
        <w:tabs>
          <w:tab w:val="left" w:pos="426"/>
        </w:tabs>
        <w:spacing w:after="0" w:line="288" w:lineRule="auto"/>
        <w:jc w:val="both"/>
        <w:rPr>
          <w:rFonts w:asciiTheme="majorBidi" w:hAnsiTheme="majorBidi" w:cstheme="majorBidi"/>
          <w:sz w:val="24"/>
          <w:szCs w:val="24"/>
        </w:rPr>
      </w:pPr>
    </w:p>
    <w:p w14:paraId="0AC777C0" w14:textId="6CF2AA30" w:rsidR="0023059F" w:rsidRDefault="00BF2605"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C5099">
        <w:rPr>
          <w:rFonts w:ascii="Times New Roman" w:hAnsi="Times New Roman" w:cs="Times New Roman"/>
          <w:sz w:val="24"/>
          <w:szCs w:val="24"/>
        </w:rPr>
        <w:t>T</w:t>
      </w:r>
      <w:r w:rsidR="00637C3A">
        <w:rPr>
          <w:rFonts w:ascii="Times New Roman" w:hAnsi="Times New Roman" w:cs="Times New Roman"/>
          <w:sz w:val="24"/>
          <w:szCs w:val="24"/>
        </w:rPr>
        <w:t>here are many direct benefits that a firm can extract from the adoption of good governance practices</w:t>
      </w:r>
      <w:r w:rsidR="00246BC9" w:rsidRPr="00246BC9">
        <w:t xml:space="preserve"> </w:t>
      </w:r>
      <w:r w:rsidR="00246BC9" w:rsidRPr="00246BC9">
        <w:rPr>
          <w:rFonts w:ascii="Times New Roman" w:hAnsi="Times New Roman" w:cs="Times New Roman"/>
          <w:sz w:val="24"/>
          <w:szCs w:val="24"/>
        </w:rPr>
        <w:t>with one of them being to</w:t>
      </w:r>
      <w:r w:rsidR="00246BC9">
        <w:rPr>
          <w:rFonts w:ascii="Times New Roman" w:hAnsi="Times New Roman" w:cs="Times New Roman"/>
          <w:sz w:val="24"/>
          <w:szCs w:val="24"/>
        </w:rPr>
        <w:t xml:space="preserve"> have</w:t>
      </w:r>
      <w:r w:rsidR="00637C3A">
        <w:rPr>
          <w:rFonts w:ascii="Times New Roman" w:hAnsi="Times New Roman" w:cs="Times New Roman"/>
          <w:sz w:val="24"/>
          <w:szCs w:val="24"/>
        </w:rPr>
        <w:t xml:space="preserve"> bette</w:t>
      </w:r>
      <w:r w:rsidR="00987DA3">
        <w:rPr>
          <w:rFonts w:ascii="Times New Roman" w:hAnsi="Times New Roman" w:cs="Times New Roman"/>
          <w:sz w:val="24"/>
          <w:szCs w:val="24"/>
        </w:rPr>
        <w:t xml:space="preserve">r access to capital markets </w:t>
      </w:r>
      <w:r w:rsidR="00654B6B">
        <w:rPr>
          <w:rFonts w:ascii="Times New Roman" w:hAnsi="Times New Roman" w:cs="Times New Roman"/>
          <w:sz w:val="24"/>
          <w:szCs w:val="24"/>
        </w:rPr>
        <w:t>leading to</w:t>
      </w:r>
      <w:r w:rsidR="00987DA3">
        <w:rPr>
          <w:rFonts w:ascii="Times New Roman" w:hAnsi="Times New Roman" w:cs="Times New Roman"/>
          <w:sz w:val="24"/>
          <w:szCs w:val="24"/>
        </w:rPr>
        <w:t xml:space="preserve"> </w:t>
      </w:r>
      <w:r w:rsidR="00637C3A">
        <w:rPr>
          <w:rFonts w:ascii="Times New Roman" w:hAnsi="Times New Roman" w:cs="Times New Roman"/>
          <w:sz w:val="24"/>
          <w:szCs w:val="24"/>
        </w:rPr>
        <w:t xml:space="preserve">improved terms of financing. </w:t>
      </w:r>
      <w:r w:rsidR="00654B6B">
        <w:rPr>
          <w:rFonts w:ascii="Times New Roman" w:hAnsi="Times New Roman" w:cs="Times New Roman"/>
          <w:sz w:val="24"/>
          <w:szCs w:val="24"/>
        </w:rPr>
        <w:t>Th</w:t>
      </w:r>
      <w:r w:rsidR="00DF2ADD">
        <w:rPr>
          <w:rFonts w:ascii="Times New Roman" w:hAnsi="Times New Roman" w:cs="Times New Roman"/>
          <w:sz w:val="24"/>
          <w:szCs w:val="24"/>
        </w:rPr>
        <w:t xml:space="preserve">is </w:t>
      </w:r>
      <w:r w:rsidR="007F3A88">
        <w:rPr>
          <w:rFonts w:ascii="Times New Roman" w:hAnsi="Times New Roman" w:cs="Times New Roman"/>
          <w:sz w:val="24"/>
          <w:szCs w:val="24"/>
        </w:rPr>
        <w:t xml:space="preserve">benefit </w:t>
      </w:r>
      <w:r w:rsidR="00654B6B">
        <w:rPr>
          <w:rFonts w:ascii="Times New Roman" w:hAnsi="Times New Roman" w:cs="Times New Roman"/>
          <w:sz w:val="24"/>
          <w:szCs w:val="24"/>
        </w:rPr>
        <w:t>will</w:t>
      </w:r>
      <w:r w:rsidR="004B4DED">
        <w:rPr>
          <w:rFonts w:ascii="Times New Roman" w:hAnsi="Times New Roman" w:cs="Times New Roman"/>
          <w:sz w:val="24"/>
          <w:szCs w:val="24"/>
        </w:rPr>
        <w:t xml:space="preserve"> differ </w:t>
      </w:r>
      <w:r w:rsidR="004B4DED" w:rsidRPr="00654B6B">
        <w:rPr>
          <w:rFonts w:ascii="Times New Roman" w:hAnsi="Times New Roman" w:cs="Times New Roman"/>
          <w:i/>
          <w:sz w:val="24"/>
          <w:szCs w:val="24"/>
        </w:rPr>
        <w:t>across countries</w:t>
      </w:r>
      <w:r w:rsidR="004F6739">
        <w:rPr>
          <w:rFonts w:ascii="Times New Roman" w:hAnsi="Times New Roman" w:cs="Times New Roman"/>
          <w:sz w:val="24"/>
          <w:szCs w:val="24"/>
        </w:rPr>
        <w:t xml:space="preserve"> for reasons such as </w:t>
      </w:r>
      <w:r w:rsidR="00282EF0">
        <w:rPr>
          <w:rFonts w:ascii="Times New Roman" w:hAnsi="Times New Roman" w:cs="Times New Roman"/>
          <w:sz w:val="24"/>
          <w:szCs w:val="24"/>
        </w:rPr>
        <w:t xml:space="preserve">that </w:t>
      </w:r>
      <w:r w:rsidR="004F6739">
        <w:rPr>
          <w:rFonts w:ascii="Times New Roman" w:hAnsi="Times New Roman" w:cs="Times New Roman"/>
          <w:sz w:val="24"/>
          <w:szCs w:val="24"/>
        </w:rPr>
        <w:t xml:space="preserve">good governance brings less benefits to firms operating </w:t>
      </w:r>
      <w:r w:rsidR="00987DA3">
        <w:rPr>
          <w:rFonts w:ascii="Times New Roman" w:hAnsi="Times New Roman" w:cs="Times New Roman"/>
          <w:sz w:val="24"/>
          <w:szCs w:val="24"/>
        </w:rPr>
        <w:t>in l</w:t>
      </w:r>
      <w:r w:rsidR="004B4DED">
        <w:rPr>
          <w:rFonts w:ascii="Times New Roman" w:hAnsi="Times New Roman" w:cs="Times New Roman"/>
          <w:sz w:val="24"/>
          <w:szCs w:val="24"/>
        </w:rPr>
        <w:t xml:space="preserve">ess developed markets </w:t>
      </w:r>
      <w:r w:rsidR="00282EF0">
        <w:rPr>
          <w:rFonts w:ascii="Times New Roman" w:hAnsi="Times New Roman" w:cs="Times New Roman"/>
          <w:sz w:val="24"/>
          <w:szCs w:val="24"/>
        </w:rPr>
        <w:t>due to the limited</w:t>
      </w:r>
      <w:r w:rsidR="004F6739">
        <w:rPr>
          <w:rFonts w:ascii="Times New Roman" w:hAnsi="Times New Roman" w:cs="Times New Roman"/>
          <w:sz w:val="24"/>
          <w:szCs w:val="24"/>
        </w:rPr>
        <w:t xml:space="preserve"> </w:t>
      </w:r>
      <w:r w:rsidR="00282EF0">
        <w:rPr>
          <w:rFonts w:ascii="Times New Roman" w:hAnsi="Times New Roman" w:cs="Times New Roman"/>
          <w:sz w:val="24"/>
          <w:szCs w:val="24"/>
        </w:rPr>
        <w:t xml:space="preserve">financing expected from the </w:t>
      </w:r>
      <w:r w:rsidR="004F6739">
        <w:rPr>
          <w:rFonts w:ascii="Times New Roman" w:hAnsi="Times New Roman" w:cs="Times New Roman"/>
          <w:sz w:val="24"/>
          <w:szCs w:val="24"/>
        </w:rPr>
        <w:t>capital markets</w:t>
      </w:r>
      <w:r w:rsidR="00322C40">
        <w:rPr>
          <w:rFonts w:ascii="Times New Roman" w:hAnsi="Times New Roman" w:cs="Times New Roman"/>
          <w:sz w:val="24"/>
          <w:szCs w:val="24"/>
        </w:rPr>
        <w:t xml:space="preserve"> (Aggarwal </w:t>
      </w:r>
      <w:r w:rsidR="00322C40" w:rsidRPr="009372D2">
        <w:rPr>
          <w:rFonts w:ascii="Times New Roman" w:hAnsi="Times New Roman" w:cs="Times New Roman"/>
          <w:i/>
          <w:iCs/>
          <w:sz w:val="24"/>
          <w:szCs w:val="24"/>
        </w:rPr>
        <w:t xml:space="preserve">et al. </w:t>
      </w:r>
      <w:r w:rsidR="00322C40">
        <w:rPr>
          <w:rFonts w:ascii="Times New Roman" w:hAnsi="Times New Roman" w:cs="Times New Roman"/>
          <w:sz w:val="24"/>
          <w:szCs w:val="24"/>
        </w:rPr>
        <w:t>2010</w:t>
      </w:r>
      <w:r w:rsidR="00682D1F">
        <w:rPr>
          <w:rFonts w:ascii="Times New Roman" w:hAnsi="Times New Roman" w:cs="Times New Roman"/>
          <w:sz w:val="24"/>
          <w:szCs w:val="24"/>
        </w:rPr>
        <w:t>,</w:t>
      </w:r>
      <w:r w:rsidR="00322C40">
        <w:rPr>
          <w:rFonts w:ascii="Times New Roman" w:hAnsi="Times New Roman" w:cs="Times New Roman"/>
          <w:sz w:val="24"/>
          <w:szCs w:val="24"/>
        </w:rPr>
        <w:t xml:space="preserve"> </w:t>
      </w:r>
      <w:r w:rsidR="00322C40" w:rsidRPr="008D7840">
        <w:rPr>
          <w:rFonts w:ascii="Times New Roman" w:hAnsi="Times New Roman" w:cs="Times New Roman"/>
          <w:sz w:val="24"/>
          <w:szCs w:val="24"/>
        </w:rPr>
        <w:t>Doidge</w:t>
      </w:r>
      <w:r w:rsidR="00322C40">
        <w:rPr>
          <w:rFonts w:ascii="Times New Roman" w:hAnsi="Times New Roman" w:cs="Times New Roman"/>
          <w:sz w:val="24"/>
          <w:szCs w:val="24"/>
        </w:rPr>
        <w:t xml:space="preserve"> </w:t>
      </w:r>
      <w:r w:rsidR="009372D2" w:rsidRPr="009372D2">
        <w:rPr>
          <w:rFonts w:ascii="Times New Roman" w:hAnsi="Times New Roman" w:cs="Times New Roman"/>
          <w:i/>
          <w:iCs/>
          <w:sz w:val="24"/>
          <w:szCs w:val="24"/>
        </w:rPr>
        <w:t xml:space="preserve">et al. </w:t>
      </w:r>
      <w:r w:rsidR="00322C40" w:rsidRPr="008D7840">
        <w:rPr>
          <w:rFonts w:ascii="Times New Roman" w:hAnsi="Times New Roman" w:cs="Times New Roman"/>
          <w:sz w:val="24"/>
          <w:szCs w:val="24"/>
        </w:rPr>
        <w:t>2007</w:t>
      </w:r>
      <w:r w:rsidR="00322C40">
        <w:rPr>
          <w:rFonts w:ascii="Times New Roman" w:hAnsi="Times New Roman" w:cs="Times New Roman"/>
          <w:sz w:val="24"/>
          <w:szCs w:val="24"/>
        </w:rPr>
        <w:t>)</w:t>
      </w:r>
      <w:r w:rsidR="004F6739">
        <w:rPr>
          <w:rFonts w:ascii="Times New Roman" w:hAnsi="Times New Roman" w:cs="Times New Roman"/>
          <w:sz w:val="24"/>
          <w:szCs w:val="24"/>
        </w:rPr>
        <w:t>.</w:t>
      </w:r>
      <w:r w:rsidR="004B4DED">
        <w:rPr>
          <w:rFonts w:ascii="Times New Roman" w:hAnsi="Times New Roman" w:cs="Times New Roman"/>
          <w:sz w:val="24"/>
          <w:szCs w:val="24"/>
        </w:rPr>
        <w:t xml:space="preserve"> </w:t>
      </w:r>
      <w:r w:rsidR="00DF2ADD">
        <w:rPr>
          <w:rFonts w:ascii="Times New Roman" w:hAnsi="Times New Roman" w:cs="Times New Roman"/>
          <w:sz w:val="24"/>
          <w:szCs w:val="24"/>
        </w:rPr>
        <w:t>They will also be greater for firms that require more frequent access to external funding opportunities</w:t>
      </w:r>
      <w:r w:rsidR="00282EF0">
        <w:rPr>
          <w:rFonts w:ascii="Times New Roman" w:hAnsi="Times New Roman" w:cs="Times New Roman"/>
          <w:sz w:val="24"/>
          <w:szCs w:val="24"/>
        </w:rPr>
        <w:t xml:space="preserve"> (Aggarwal </w:t>
      </w:r>
      <w:r w:rsidR="00512789" w:rsidRPr="009372D2">
        <w:rPr>
          <w:rFonts w:ascii="Times New Roman" w:hAnsi="Times New Roman" w:cs="Times New Roman"/>
          <w:i/>
          <w:iCs/>
          <w:sz w:val="24"/>
          <w:szCs w:val="24"/>
        </w:rPr>
        <w:t>et al.</w:t>
      </w:r>
      <w:r w:rsidR="00282EF0">
        <w:rPr>
          <w:rFonts w:ascii="Times New Roman" w:hAnsi="Times New Roman" w:cs="Times New Roman"/>
          <w:sz w:val="24"/>
          <w:szCs w:val="24"/>
        </w:rPr>
        <w:t xml:space="preserve"> 2010</w:t>
      </w:r>
      <w:r w:rsidR="00682D1F">
        <w:rPr>
          <w:rFonts w:ascii="Times New Roman" w:hAnsi="Times New Roman" w:cs="Times New Roman"/>
          <w:sz w:val="24"/>
          <w:szCs w:val="24"/>
        </w:rPr>
        <w:t>,</w:t>
      </w:r>
      <w:r w:rsidR="00282EF0">
        <w:rPr>
          <w:rFonts w:ascii="Times New Roman" w:hAnsi="Times New Roman" w:cs="Times New Roman"/>
          <w:sz w:val="24"/>
          <w:szCs w:val="24"/>
        </w:rPr>
        <w:t xml:space="preserve"> </w:t>
      </w:r>
      <w:r w:rsidR="00282EF0" w:rsidRPr="008D7840">
        <w:rPr>
          <w:rFonts w:ascii="Times New Roman" w:hAnsi="Times New Roman" w:cs="Times New Roman"/>
          <w:sz w:val="24"/>
          <w:szCs w:val="24"/>
        </w:rPr>
        <w:t>Doidge</w:t>
      </w:r>
      <w:r w:rsidR="00282EF0">
        <w:rPr>
          <w:rFonts w:ascii="Times New Roman" w:hAnsi="Times New Roman" w:cs="Times New Roman"/>
          <w:sz w:val="24"/>
          <w:szCs w:val="24"/>
        </w:rPr>
        <w:t xml:space="preserve"> </w:t>
      </w:r>
      <w:r w:rsidR="00512789" w:rsidRPr="009372D2">
        <w:rPr>
          <w:rFonts w:ascii="Times New Roman" w:hAnsi="Times New Roman" w:cs="Times New Roman"/>
          <w:i/>
          <w:iCs/>
          <w:sz w:val="24"/>
          <w:szCs w:val="24"/>
        </w:rPr>
        <w:t>et al.</w:t>
      </w:r>
      <w:r w:rsidR="00282EF0" w:rsidRPr="008D7840">
        <w:rPr>
          <w:rFonts w:ascii="Times New Roman" w:hAnsi="Times New Roman" w:cs="Times New Roman"/>
          <w:sz w:val="24"/>
          <w:szCs w:val="24"/>
        </w:rPr>
        <w:t>2007</w:t>
      </w:r>
      <w:r w:rsidR="00282EF0">
        <w:rPr>
          <w:rFonts w:ascii="Times New Roman" w:hAnsi="Times New Roman" w:cs="Times New Roman"/>
          <w:sz w:val="24"/>
          <w:szCs w:val="24"/>
        </w:rPr>
        <w:t>)</w:t>
      </w:r>
      <w:r w:rsidR="004F6739">
        <w:rPr>
          <w:rFonts w:ascii="Times New Roman" w:hAnsi="Times New Roman" w:cs="Times New Roman"/>
          <w:sz w:val="24"/>
          <w:szCs w:val="24"/>
        </w:rPr>
        <w:t xml:space="preserve">. </w:t>
      </w:r>
    </w:p>
    <w:p w14:paraId="604B6B4C" w14:textId="77777777" w:rsidR="00BF2605" w:rsidRDefault="00BF2605" w:rsidP="00BF2605">
      <w:pPr>
        <w:tabs>
          <w:tab w:val="left" w:pos="426"/>
        </w:tabs>
        <w:spacing w:after="0" w:line="288" w:lineRule="auto"/>
        <w:jc w:val="both"/>
        <w:rPr>
          <w:rFonts w:ascii="Times New Roman" w:hAnsi="Times New Roman" w:cs="Times New Roman"/>
          <w:sz w:val="24"/>
          <w:szCs w:val="24"/>
        </w:rPr>
      </w:pPr>
    </w:p>
    <w:p w14:paraId="13375E28" w14:textId="17DD93F8" w:rsidR="00683892" w:rsidRDefault="00BF2605" w:rsidP="00BF2605">
      <w:pPr>
        <w:tabs>
          <w:tab w:val="left" w:pos="426"/>
        </w:tabs>
        <w:spacing w:after="0" w:line="288" w:lineRule="auto"/>
        <w:jc w:val="both"/>
      </w:pPr>
      <w:r>
        <w:rPr>
          <w:rFonts w:ascii="Times New Roman" w:hAnsi="Times New Roman" w:cs="Times New Roman"/>
          <w:sz w:val="24"/>
          <w:szCs w:val="24"/>
        </w:rPr>
        <w:tab/>
      </w:r>
      <w:r w:rsidR="008E0243">
        <w:rPr>
          <w:rFonts w:ascii="Times New Roman" w:hAnsi="Times New Roman" w:cs="Times New Roman"/>
          <w:sz w:val="24"/>
          <w:szCs w:val="24"/>
        </w:rPr>
        <w:t>A</w:t>
      </w:r>
      <w:r w:rsidR="003C5099">
        <w:rPr>
          <w:rFonts w:ascii="Times New Roman" w:hAnsi="Times New Roman" w:cs="Times New Roman"/>
          <w:sz w:val="24"/>
          <w:szCs w:val="24"/>
        </w:rPr>
        <w:t xml:space="preserve">gency theory </w:t>
      </w:r>
      <w:r w:rsidR="004F6739">
        <w:rPr>
          <w:rFonts w:ascii="Times New Roman" w:hAnsi="Times New Roman" w:cs="Times New Roman"/>
          <w:sz w:val="24"/>
          <w:szCs w:val="24"/>
        </w:rPr>
        <w:t>highlights that</w:t>
      </w:r>
      <w:r w:rsidR="004B4DED">
        <w:rPr>
          <w:rFonts w:ascii="Times New Roman" w:hAnsi="Times New Roman" w:cs="Times New Roman"/>
          <w:sz w:val="24"/>
          <w:szCs w:val="24"/>
        </w:rPr>
        <w:t xml:space="preserve"> the adoptio</w:t>
      </w:r>
      <w:r w:rsidR="00683892">
        <w:rPr>
          <w:rFonts w:ascii="Times New Roman" w:hAnsi="Times New Roman" w:cs="Times New Roman"/>
          <w:sz w:val="24"/>
          <w:szCs w:val="24"/>
        </w:rPr>
        <w:t>n of firm-</w:t>
      </w:r>
      <w:r w:rsidR="00683892" w:rsidRPr="00DB6484">
        <w:rPr>
          <w:rFonts w:ascii="Times New Roman" w:hAnsi="Times New Roman" w:cs="Times New Roman"/>
          <w:sz w:val="24"/>
          <w:szCs w:val="24"/>
        </w:rPr>
        <w:t>level</w:t>
      </w:r>
      <w:r w:rsidR="00683892">
        <w:rPr>
          <w:rFonts w:ascii="Times New Roman" w:hAnsi="Times New Roman" w:cs="Times New Roman"/>
          <w:sz w:val="24"/>
          <w:szCs w:val="24"/>
        </w:rPr>
        <w:t xml:space="preserve"> mechanisms </w:t>
      </w:r>
      <w:r w:rsidR="004F6739">
        <w:rPr>
          <w:rFonts w:ascii="Times New Roman" w:hAnsi="Times New Roman" w:cs="Times New Roman"/>
          <w:sz w:val="24"/>
          <w:szCs w:val="24"/>
        </w:rPr>
        <w:t>is</w:t>
      </w:r>
      <w:r w:rsidR="00683892">
        <w:rPr>
          <w:rFonts w:ascii="Times New Roman" w:hAnsi="Times New Roman" w:cs="Times New Roman"/>
          <w:sz w:val="24"/>
          <w:szCs w:val="24"/>
        </w:rPr>
        <w:t xml:space="preserve"> a costly investment that the firm undertakes to protect the rights of </w:t>
      </w:r>
      <w:r w:rsidR="00F86534">
        <w:rPr>
          <w:rFonts w:ascii="Times New Roman" w:hAnsi="Times New Roman" w:cs="Times New Roman"/>
          <w:sz w:val="24"/>
          <w:szCs w:val="24"/>
        </w:rPr>
        <w:t>its</w:t>
      </w:r>
      <w:r w:rsidR="00683892">
        <w:rPr>
          <w:rFonts w:ascii="Times New Roman" w:hAnsi="Times New Roman" w:cs="Times New Roman"/>
          <w:sz w:val="24"/>
          <w:szCs w:val="24"/>
        </w:rPr>
        <w:t xml:space="preserve"> shareholders (Aggarwal </w:t>
      </w:r>
      <w:r w:rsidR="00512789" w:rsidRPr="009372D2">
        <w:rPr>
          <w:rFonts w:ascii="Times New Roman" w:hAnsi="Times New Roman" w:cs="Times New Roman"/>
          <w:i/>
          <w:iCs/>
          <w:sz w:val="24"/>
          <w:szCs w:val="24"/>
        </w:rPr>
        <w:t>et al.</w:t>
      </w:r>
      <w:r w:rsidR="00683892">
        <w:rPr>
          <w:rFonts w:ascii="Times New Roman" w:hAnsi="Times New Roman" w:cs="Times New Roman"/>
          <w:sz w:val="24"/>
          <w:szCs w:val="24"/>
        </w:rPr>
        <w:t xml:space="preserve"> 2010</w:t>
      </w:r>
      <w:r w:rsidR="00682D1F">
        <w:rPr>
          <w:rFonts w:ascii="Times New Roman" w:hAnsi="Times New Roman" w:cs="Times New Roman"/>
          <w:sz w:val="24"/>
          <w:szCs w:val="24"/>
        </w:rPr>
        <w:t>,</w:t>
      </w:r>
      <w:r w:rsidR="003C5099">
        <w:rPr>
          <w:rFonts w:ascii="Times New Roman" w:hAnsi="Times New Roman" w:cs="Times New Roman"/>
          <w:sz w:val="24"/>
          <w:szCs w:val="24"/>
        </w:rPr>
        <w:t xml:space="preserve"> Jensen and Meckling 1976</w:t>
      </w:r>
      <w:r w:rsidR="00683892">
        <w:rPr>
          <w:rFonts w:ascii="Times New Roman" w:hAnsi="Times New Roman" w:cs="Times New Roman"/>
          <w:sz w:val="24"/>
          <w:szCs w:val="24"/>
        </w:rPr>
        <w:t xml:space="preserve">). As a result, the differences in the benefits </w:t>
      </w:r>
      <w:r w:rsidR="00D057FC">
        <w:rPr>
          <w:rFonts w:ascii="Times New Roman" w:hAnsi="Times New Roman" w:cs="Times New Roman"/>
          <w:sz w:val="24"/>
          <w:szCs w:val="24"/>
        </w:rPr>
        <w:t>and</w:t>
      </w:r>
      <w:r w:rsidR="00683892">
        <w:rPr>
          <w:rFonts w:ascii="Times New Roman" w:hAnsi="Times New Roman" w:cs="Times New Roman"/>
          <w:sz w:val="24"/>
          <w:szCs w:val="24"/>
        </w:rPr>
        <w:t xml:space="preserve"> the costs </w:t>
      </w:r>
      <w:r w:rsidR="00D057FC">
        <w:rPr>
          <w:rFonts w:ascii="Times New Roman" w:hAnsi="Times New Roman" w:cs="Times New Roman"/>
          <w:sz w:val="24"/>
          <w:szCs w:val="24"/>
        </w:rPr>
        <w:t>of</w:t>
      </w:r>
      <w:r w:rsidR="00683892">
        <w:rPr>
          <w:rFonts w:ascii="Times New Roman" w:hAnsi="Times New Roman" w:cs="Times New Roman"/>
          <w:sz w:val="24"/>
          <w:szCs w:val="24"/>
        </w:rPr>
        <w:t xml:space="preserve"> adopting good governance practices acro</w:t>
      </w:r>
      <w:r w:rsidR="00D057FC">
        <w:rPr>
          <w:rFonts w:ascii="Times New Roman" w:hAnsi="Times New Roman" w:cs="Times New Roman"/>
          <w:sz w:val="24"/>
          <w:szCs w:val="24"/>
        </w:rPr>
        <w:t>ss countries as well as</w:t>
      </w:r>
      <w:r w:rsidR="00683892">
        <w:rPr>
          <w:rFonts w:ascii="Times New Roman" w:hAnsi="Times New Roman" w:cs="Times New Roman"/>
          <w:sz w:val="24"/>
          <w:szCs w:val="24"/>
        </w:rPr>
        <w:t xml:space="preserve"> the </w:t>
      </w:r>
      <w:r w:rsidR="00322C40">
        <w:rPr>
          <w:rFonts w:ascii="Times New Roman" w:hAnsi="Times New Roman" w:cs="Times New Roman"/>
          <w:sz w:val="24"/>
          <w:szCs w:val="24"/>
        </w:rPr>
        <w:t xml:space="preserve">possibility </w:t>
      </w:r>
      <w:r w:rsidR="00683892">
        <w:rPr>
          <w:rFonts w:ascii="Times New Roman" w:hAnsi="Times New Roman" w:cs="Times New Roman"/>
          <w:sz w:val="24"/>
          <w:szCs w:val="24"/>
        </w:rPr>
        <w:t xml:space="preserve">that firm-level mechanisms are not complete substitutes for country-level mechanisms, could explain to a large extent the observed differences in governance practices across countries </w:t>
      </w:r>
      <w:r w:rsidR="002C785A">
        <w:rPr>
          <w:rFonts w:ascii="Times New Roman" w:hAnsi="Times New Roman" w:cs="Times New Roman"/>
          <w:sz w:val="24"/>
          <w:szCs w:val="24"/>
        </w:rPr>
        <w:t>(Aggarwal</w:t>
      </w:r>
      <w:r w:rsidR="00512789" w:rsidRPr="00512789">
        <w:rPr>
          <w:rFonts w:ascii="Times New Roman" w:hAnsi="Times New Roman" w:cs="Times New Roman"/>
          <w:i/>
          <w:iCs/>
          <w:sz w:val="24"/>
          <w:szCs w:val="24"/>
        </w:rPr>
        <w:t xml:space="preserve"> </w:t>
      </w:r>
      <w:r w:rsidR="00512789" w:rsidRPr="009372D2">
        <w:rPr>
          <w:rFonts w:ascii="Times New Roman" w:hAnsi="Times New Roman" w:cs="Times New Roman"/>
          <w:i/>
          <w:iCs/>
          <w:sz w:val="24"/>
          <w:szCs w:val="24"/>
        </w:rPr>
        <w:t>et al.</w:t>
      </w:r>
      <w:r w:rsidR="002C785A">
        <w:rPr>
          <w:rFonts w:ascii="Times New Roman" w:hAnsi="Times New Roman" w:cs="Times New Roman"/>
          <w:sz w:val="24"/>
          <w:szCs w:val="24"/>
        </w:rPr>
        <w:t xml:space="preserve"> 2010</w:t>
      </w:r>
      <w:r w:rsidR="00682D1F">
        <w:rPr>
          <w:rFonts w:ascii="Times New Roman" w:hAnsi="Times New Roman" w:cs="Times New Roman"/>
          <w:sz w:val="24"/>
          <w:szCs w:val="24"/>
        </w:rPr>
        <w:t>,</w:t>
      </w:r>
      <w:r w:rsidR="002C785A">
        <w:rPr>
          <w:rFonts w:ascii="Times New Roman" w:hAnsi="Times New Roman" w:cs="Times New Roman"/>
          <w:sz w:val="24"/>
          <w:szCs w:val="24"/>
        </w:rPr>
        <w:t xml:space="preserve"> </w:t>
      </w:r>
      <w:r w:rsidR="002C785A" w:rsidRPr="008D7840">
        <w:rPr>
          <w:rFonts w:ascii="Times New Roman" w:hAnsi="Times New Roman" w:cs="Times New Roman"/>
          <w:sz w:val="24"/>
          <w:szCs w:val="24"/>
        </w:rPr>
        <w:t>Doidge</w:t>
      </w:r>
      <w:r w:rsidR="00512789" w:rsidRPr="00512789">
        <w:rPr>
          <w:rFonts w:ascii="Times New Roman" w:hAnsi="Times New Roman" w:cs="Times New Roman"/>
          <w:i/>
          <w:iCs/>
          <w:sz w:val="24"/>
          <w:szCs w:val="24"/>
        </w:rPr>
        <w:t xml:space="preserve"> </w:t>
      </w:r>
      <w:r w:rsidR="00512789" w:rsidRPr="009372D2">
        <w:rPr>
          <w:rFonts w:ascii="Times New Roman" w:hAnsi="Times New Roman" w:cs="Times New Roman"/>
          <w:i/>
          <w:iCs/>
          <w:sz w:val="24"/>
          <w:szCs w:val="24"/>
        </w:rPr>
        <w:t>et al.</w:t>
      </w:r>
      <w:r w:rsidR="002C785A">
        <w:rPr>
          <w:rFonts w:ascii="Times New Roman" w:hAnsi="Times New Roman" w:cs="Times New Roman"/>
          <w:sz w:val="24"/>
          <w:szCs w:val="24"/>
        </w:rPr>
        <w:t xml:space="preserve"> </w:t>
      </w:r>
      <w:r w:rsidR="002C785A" w:rsidRPr="008D7840">
        <w:rPr>
          <w:rFonts w:ascii="Times New Roman" w:hAnsi="Times New Roman" w:cs="Times New Roman"/>
          <w:sz w:val="24"/>
          <w:szCs w:val="24"/>
        </w:rPr>
        <w:t>2007</w:t>
      </w:r>
      <w:r w:rsidR="002C785A">
        <w:rPr>
          <w:rFonts w:ascii="Times New Roman" w:hAnsi="Times New Roman" w:cs="Times New Roman"/>
          <w:sz w:val="24"/>
          <w:szCs w:val="24"/>
        </w:rPr>
        <w:t>).</w:t>
      </w:r>
      <w:r w:rsidR="008E0243">
        <w:rPr>
          <w:rFonts w:ascii="Times New Roman" w:hAnsi="Times New Roman" w:cs="Times New Roman"/>
          <w:sz w:val="24"/>
          <w:szCs w:val="24"/>
        </w:rPr>
        <w:t xml:space="preserve"> </w:t>
      </w:r>
      <w:r w:rsidR="0071208E">
        <w:rPr>
          <w:rFonts w:ascii="Times New Roman" w:hAnsi="Times New Roman" w:cs="Times New Roman"/>
          <w:sz w:val="24"/>
          <w:szCs w:val="24"/>
        </w:rPr>
        <w:t xml:space="preserve">There appears to be no clear consensus on the nature </w:t>
      </w:r>
      <w:r w:rsidR="00996724">
        <w:rPr>
          <w:rFonts w:ascii="Times New Roman" w:hAnsi="Times New Roman" w:cs="Times New Roman"/>
          <w:sz w:val="24"/>
          <w:szCs w:val="24"/>
        </w:rPr>
        <w:t xml:space="preserve">or the form </w:t>
      </w:r>
      <w:r w:rsidR="0071208E">
        <w:rPr>
          <w:rFonts w:ascii="Times New Roman" w:hAnsi="Times New Roman" w:cs="Times New Roman"/>
          <w:sz w:val="24"/>
          <w:szCs w:val="24"/>
        </w:rPr>
        <w:t>of the relationship between country-level factors and firm-level mechanisms</w:t>
      </w:r>
      <w:r w:rsidR="00996724">
        <w:rPr>
          <w:rFonts w:ascii="Times New Roman" w:hAnsi="Times New Roman" w:cs="Times New Roman"/>
          <w:sz w:val="24"/>
          <w:szCs w:val="24"/>
        </w:rPr>
        <w:t xml:space="preserve"> (</w:t>
      </w:r>
      <w:r w:rsidR="00996724" w:rsidRPr="005A00BA">
        <w:rPr>
          <w:rFonts w:ascii="Times New Roman" w:hAnsi="Times New Roman" w:cs="Times New Roman"/>
          <w:sz w:val="24"/>
          <w:szCs w:val="24"/>
        </w:rPr>
        <w:t>Schiehll and</w:t>
      </w:r>
      <w:r w:rsidR="00996724">
        <w:rPr>
          <w:rFonts w:ascii="Times New Roman" w:hAnsi="Times New Roman" w:cs="Times New Roman"/>
          <w:sz w:val="24"/>
          <w:szCs w:val="24"/>
        </w:rPr>
        <w:t xml:space="preserve"> Martin </w:t>
      </w:r>
      <w:r w:rsidR="00996724" w:rsidRPr="005A00BA">
        <w:rPr>
          <w:rFonts w:ascii="Times New Roman" w:hAnsi="Times New Roman" w:cs="Times New Roman"/>
          <w:sz w:val="24"/>
          <w:szCs w:val="24"/>
        </w:rPr>
        <w:t>2016</w:t>
      </w:r>
      <w:r w:rsidR="00996724">
        <w:rPr>
          <w:rFonts w:ascii="Times New Roman" w:hAnsi="Times New Roman" w:cs="Times New Roman"/>
          <w:sz w:val="24"/>
          <w:szCs w:val="24"/>
        </w:rPr>
        <w:t>)</w:t>
      </w:r>
      <w:r w:rsidR="0071208E">
        <w:rPr>
          <w:rFonts w:ascii="Times New Roman" w:hAnsi="Times New Roman" w:cs="Times New Roman"/>
          <w:sz w:val="24"/>
          <w:szCs w:val="24"/>
        </w:rPr>
        <w:t xml:space="preserve">. </w:t>
      </w:r>
      <w:r w:rsidR="008E0243">
        <w:rPr>
          <w:rFonts w:ascii="Times New Roman" w:hAnsi="Times New Roman" w:cs="Times New Roman"/>
          <w:sz w:val="24"/>
          <w:szCs w:val="24"/>
        </w:rPr>
        <w:t xml:space="preserve">While several studies report that firm-level governance complements country-level factors (Aggarwal </w:t>
      </w:r>
      <w:r w:rsidR="00512789" w:rsidRPr="009372D2">
        <w:rPr>
          <w:rFonts w:ascii="Times New Roman" w:hAnsi="Times New Roman" w:cs="Times New Roman"/>
          <w:i/>
          <w:iCs/>
          <w:sz w:val="24"/>
          <w:szCs w:val="24"/>
        </w:rPr>
        <w:t>et al.</w:t>
      </w:r>
      <w:r w:rsidR="008E0243">
        <w:rPr>
          <w:rFonts w:ascii="Times New Roman" w:hAnsi="Times New Roman" w:cs="Times New Roman"/>
          <w:sz w:val="24"/>
          <w:szCs w:val="24"/>
        </w:rPr>
        <w:t xml:space="preserve"> 2010</w:t>
      </w:r>
      <w:r w:rsidR="00682D1F">
        <w:rPr>
          <w:rFonts w:ascii="Times New Roman" w:hAnsi="Times New Roman" w:cs="Times New Roman"/>
          <w:sz w:val="24"/>
          <w:szCs w:val="24"/>
        </w:rPr>
        <w:t>,</w:t>
      </w:r>
      <w:r w:rsidR="008E0243" w:rsidRPr="008D7840">
        <w:t xml:space="preserve"> </w:t>
      </w:r>
      <w:r w:rsidR="008E0243">
        <w:rPr>
          <w:rFonts w:ascii="Times New Roman" w:hAnsi="Times New Roman" w:cs="Times New Roman"/>
          <w:sz w:val="24"/>
          <w:szCs w:val="24"/>
        </w:rPr>
        <w:t xml:space="preserve">Anderson and Gupta </w:t>
      </w:r>
      <w:r w:rsidR="008E0243" w:rsidRPr="008D7840">
        <w:rPr>
          <w:rFonts w:ascii="Times New Roman" w:hAnsi="Times New Roman" w:cs="Times New Roman"/>
          <w:sz w:val="24"/>
          <w:szCs w:val="24"/>
        </w:rPr>
        <w:t>2009</w:t>
      </w:r>
      <w:r w:rsidR="00682D1F">
        <w:rPr>
          <w:rFonts w:ascii="Times New Roman" w:hAnsi="Times New Roman" w:cs="Times New Roman"/>
          <w:sz w:val="24"/>
          <w:szCs w:val="24"/>
        </w:rPr>
        <w:t>,</w:t>
      </w:r>
      <w:r w:rsidR="008E0243">
        <w:rPr>
          <w:rFonts w:ascii="Times New Roman" w:hAnsi="Times New Roman" w:cs="Times New Roman"/>
          <w:sz w:val="24"/>
          <w:szCs w:val="24"/>
        </w:rPr>
        <w:t xml:space="preserve"> </w:t>
      </w:r>
      <w:r w:rsidR="008E0243" w:rsidRPr="008D7840">
        <w:rPr>
          <w:rFonts w:ascii="Times New Roman" w:hAnsi="Times New Roman" w:cs="Times New Roman"/>
          <w:sz w:val="24"/>
          <w:szCs w:val="24"/>
        </w:rPr>
        <w:t>Doidge</w:t>
      </w:r>
      <w:r w:rsidR="00512789" w:rsidRPr="00512789">
        <w:rPr>
          <w:rFonts w:ascii="Times New Roman" w:hAnsi="Times New Roman" w:cs="Times New Roman"/>
          <w:i/>
          <w:iCs/>
          <w:sz w:val="24"/>
          <w:szCs w:val="24"/>
        </w:rPr>
        <w:t xml:space="preserve"> </w:t>
      </w:r>
      <w:r w:rsidR="00512789" w:rsidRPr="009372D2">
        <w:rPr>
          <w:rFonts w:ascii="Times New Roman" w:hAnsi="Times New Roman" w:cs="Times New Roman"/>
          <w:i/>
          <w:iCs/>
          <w:sz w:val="24"/>
          <w:szCs w:val="24"/>
        </w:rPr>
        <w:t>et al.</w:t>
      </w:r>
      <w:r w:rsidR="008E0243">
        <w:rPr>
          <w:rFonts w:ascii="Times New Roman" w:hAnsi="Times New Roman" w:cs="Times New Roman"/>
          <w:sz w:val="24"/>
          <w:szCs w:val="24"/>
        </w:rPr>
        <w:t xml:space="preserve"> </w:t>
      </w:r>
      <w:r w:rsidR="008E0243" w:rsidRPr="008D7840">
        <w:rPr>
          <w:rFonts w:ascii="Times New Roman" w:hAnsi="Times New Roman" w:cs="Times New Roman"/>
          <w:sz w:val="24"/>
          <w:szCs w:val="24"/>
        </w:rPr>
        <w:t>2007</w:t>
      </w:r>
      <w:r w:rsidR="008E0243">
        <w:rPr>
          <w:rFonts w:ascii="Times New Roman" w:hAnsi="Times New Roman" w:cs="Times New Roman"/>
          <w:sz w:val="24"/>
          <w:szCs w:val="24"/>
        </w:rPr>
        <w:t xml:space="preserve">), another group of studies find that firm-level governance substitutes for country-level mechanisms (Chen </w:t>
      </w:r>
      <w:r w:rsidR="00512789" w:rsidRPr="009372D2">
        <w:rPr>
          <w:rFonts w:ascii="Times New Roman" w:hAnsi="Times New Roman" w:cs="Times New Roman"/>
          <w:i/>
          <w:iCs/>
          <w:sz w:val="24"/>
          <w:szCs w:val="24"/>
        </w:rPr>
        <w:t>et al.</w:t>
      </w:r>
      <w:r w:rsidR="008E0243">
        <w:rPr>
          <w:rFonts w:ascii="Times New Roman" w:hAnsi="Times New Roman" w:cs="Times New Roman"/>
          <w:sz w:val="24"/>
          <w:szCs w:val="24"/>
        </w:rPr>
        <w:t xml:space="preserve"> </w:t>
      </w:r>
      <w:r w:rsidR="008E0243" w:rsidRPr="008D7840">
        <w:rPr>
          <w:rFonts w:ascii="Times New Roman" w:hAnsi="Times New Roman" w:cs="Times New Roman"/>
          <w:sz w:val="24"/>
          <w:szCs w:val="24"/>
        </w:rPr>
        <w:t>2009</w:t>
      </w:r>
      <w:r w:rsidR="00682D1F">
        <w:rPr>
          <w:rFonts w:ascii="Times New Roman" w:hAnsi="Times New Roman" w:cs="Times New Roman"/>
          <w:sz w:val="24"/>
          <w:szCs w:val="24"/>
        </w:rPr>
        <w:t>,</w:t>
      </w:r>
      <w:r w:rsidR="008E0243" w:rsidRPr="008D7840">
        <w:rPr>
          <w:rFonts w:ascii="Times New Roman" w:hAnsi="Times New Roman" w:cs="Times New Roman"/>
          <w:sz w:val="24"/>
          <w:szCs w:val="24"/>
        </w:rPr>
        <w:t xml:space="preserve"> </w:t>
      </w:r>
      <w:r w:rsidR="008E0243">
        <w:rPr>
          <w:rFonts w:ascii="Times New Roman" w:hAnsi="Times New Roman" w:cs="Times New Roman"/>
          <w:sz w:val="24"/>
          <w:szCs w:val="24"/>
        </w:rPr>
        <w:t xml:space="preserve">Chou </w:t>
      </w:r>
      <w:r w:rsidR="00512789" w:rsidRPr="009372D2">
        <w:rPr>
          <w:rFonts w:ascii="Times New Roman" w:hAnsi="Times New Roman" w:cs="Times New Roman"/>
          <w:i/>
          <w:iCs/>
          <w:sz w:val="24"/>
          <w:szCs w:val="24"/>
        </w:rPr>
        <w:t>et al.</w:t>
      </w:r>
      <w:r w:rsidR="008E0243">
        <w:rPr>
          <w:rFonts w:ascii="Times New Roman" w:hAnsi="Times New Roman" w:cs="Times New Roman"/>
          <w:sz w:val="24"/>
          <w:szCs w:val="24"/>
        </w:rPr>
        <w:t xml:space="preserve"> </w:t>
      </w:r>
      <w:r w:rsidR="008E0243" w:rsidRPr="00A3363D">
        <w:rPr>
          <w:rFonts w:ascii="Times New Roman" w:hAnsi="Times New Roman" w:cs="Times New Roman"/>
          <w:sz w:val="24"/>
          <w:szCs w:val="24"/>
        </w:rPr>
        <w:t>2011</w:t>
      </w:r>
      <w:r w:rsidR="00682D1F">
        <w:rPr>
          <w:rFonts w:ascii="Times New Roman" w:hAnsi="Times New Roman" w:cs="Times New Roman"/>
          <w:sz w:val="24"/>
          <w:szCs w:val="24"/>
        </w:rPr>
        <w:t>,</w:t>
      </w:r>
      <w:r w:rsidR="008E0243">
        <w:rPr>
          <w:rFonts w:ascii="Times New Roman" w:hAnsi="Times New Roman" w:cs="Times New Roman"/>
          <w:sz w:val="24"/>
          <w:szCs w:val="24"/>
        </w:rPr>
        <w:t xml:space="preserve"> </w:t>
      </w:r>
      <w:r w:rsidR="008E0243" w:rsidRPr="008D7840">
        <w:rPr>
          <w:rFonts w:ascii="Times New Roman" w:hAnsi="Times New Roman" w:cs="Times New Roman"/>
          <w:sz w:val="24"/>
          <w:szCs w:val="24"/>
        </w:rPr>
        <w:t>Klapper and Lo</w:t>
      </w:r>
      <w:r w:rsidR="008E0243">
        <w:rPr>
          <w:rFonts w:ascii="Times New Roman" w:hAnsi="Times New Roman" w:cs="Times New Roman"/>
          <w:sz w:val="24"/>
          <w:szCs w:val="24"/>
        </w:rPr>
        <w:t xml:space="preserve">ve </w:t>
      </w:r>
      <w:r w:rsidR="008E0243" w:rsidRPr="008D7840">
        <w:rPr>
          <w:rFonts w:ascii="Times New Roman" w:hAnsi="Times New Roman" w:cs="Times New Roman"/>
          <w:sz w:val="24"/>
          <w:szCs w:val="24"/>
        </w:rPr>
        <w:t>2004</w:t>
      </w:r>
      <w:r w:rsidR="00682D1F">
        <w:rPr>
          <w:rFonts w:ascii="Times New Roman" w:hAnsi="Times New Roman" w:cs="Times New Roman"/>
          <w:sz w:val="24"/>
          <w:szCs w:val="24"/>
        </w:rPr>
        <w:t>,</w:t>
      </w:r>
      <w:r w:rsidR="008E0243">
        <w:rPr>
          <w:rFonts w:ascii="Times New Roman" w:hAnsi="Times New Roman" w:cs="Times New Roman"/>
          <w:sz w:val="24"/>
          <w:szCs w:val="24"/>
        </w:rPr>
        <w:t xml:space="preserve"> Renders</w:t>
      </w:r>
      <w:r w:rsidR="00512789" w:rsidRPr="00512789">
        <w:rPr>
          <w:rFonts w:ascii="Times New Roman" w:hAnsi="Times New Roman" w:cs="Times New Roman"/>
          <w:i/>
          <w:iCs/>
          <w:sz w:val="24"/>
          <w:szCs w:val="24"/>
        </w:rPr>
        <w:t xml:space="preserve"> </w:t>
      </w:r>
      <w:r w:rsidR="00512789" w:rsidRPr="009372D2">
        <w:rPr>
          <w:rFonts w:ascii="Times New Roman" w:hAnsi="Times New Roman" w:cs="Times New Roman"/>
          <w:i/>
          <w:iCs/>
          <w:sz w:val="24"/>
          <w:szCs w:val="24"/>
        </w:rPr>
        <w:t>et al.</w:t>
      </w:r>
      <w:r w:rsidR="008E0243">
        <w:rPr>
          <w:rFonts w:ascii="Times New Roman" w:hAnsi="Times New Roman" w:cs="Times New Roman"/>
          <w:sz w:val="24"/>
          <w:szCs w:val="24"/>
        </w:rPr>
        <w:t xml:space="preserve"> </w:t>
      </w:r>
      <w:r w:rsidR="008E0243" w:rsidRPr="008D7840">
        <w:rPr>
          <w:rFonts w:ascii="Times New Roman" w:hAnsi="Times New Roman" w:cs="Times New Roman"/>
          <w:sz w:val="24"/>
          <w:szCs w:val="24"/>
        </w:rPr>
        <w:t>2010</w:t>
      </w:r>
      <w:r w:rsidR="00682D1F">
        <w:rPr>
          <w:rFonts w:ascii="Times New Roman" w:hAnsi="Times New Roman" w:cs="Times New Roman"/>
          <w:sz w:val="24"/>
          <w:szCs w:val="24"/>
        </w:rPr>
        <w:t>,</w:t>
      </w:r>
      <w:r w:rsidR="008E0243">
        <w:rPr>
          <w:rFonts w:ascii="Times New Roman" w:hAnsi="Times New Roman" w:cs="Times New Roman"/>
          <w:sz w:val="24"/>
          <w:szCs w:val="24"/>
        </w:rPr>
        <w:t xml:space="preserve"> </w:t>
      </w:r>
      <w:r w:rsidR="008E0243" w:rsidRPr="00A3363D">
        <w:rPr>
          <w:rFonts w:ascii="Times New Roman" w:hAnsi="Times New Roman" w:cs="Times New Roman"/>
          <w:sz w:val="24"/>
          <w:szCs w:val="24"/>
        </w:rPr>
        <w:t>Tian and Twit</w:t>
      </w:r>
      <w:r w:rsidR="008E0243">
        <w:rPr>
          <w:rFonts w:ascii="Times New Roman" w:hAnsi="Times New Roman" w:cs="Times New Roman"/>
          <w:sz w:val="24"/>
          <w:szCs w:val="24"/>
        </w:rPr>
        <w:t>e 2011).</w:t>
      </w:r>
      <w:r w:rsidR="000139BB" w:rsidRPr="000139BB">
        <w:t xml:space="preserve"> </w:t>
      </w:r>
    </w:p>
    <w:p w14:paraId="3DBE2CFB" w14:textId="77777777" w:rsidR="00BF2605" w:rsidRDefault="00BF2605" w:rsidP="00BF2605">
      <w:pPr>
        <w:tabs>
          <w:tab w:val="left" w:pos="426"/>
        </w:tabs>
        <w:spacing w:after="0" w:line="288" w:lineRule="auto"/>
        <w:jc w:val="both"/>
        <w:rPr>
          <w:rFonts w:ascii="Times New Roman" w:hAnsi="Times New Roman" w:cs="Times New Roman"/>
          <w:sz w:val="24"/>
          <w:szCs w:val="24"/>
        </w:rPr>
      </w:pPr>
    </w:p>
    <w:p w14:paraId="4E23F095" w14:textId="2A825AC0" w:rsidR="003C5099" w:rsidRDefault="00BF2605"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C5099">
        <w:rPr>
          <w:rFonts w:ascii="Times New Roman" w:hAnsi="Times New Roman" w:cs="Times New Roman"/>
          <w:sz w:val="24"/>
          <w:szCs w:val="24"/>
        </w:rPr>
        <w:t>This paper</w:t>
      </w:r>
      <w:r w:rsidR="003C5099" w:rsidRPr="00E702F2">
        <w:rPr>
          <w:rFonts w:ascii="Times New Roman" w:hAnsi="Times New Roman" w:cs="Times New Roman"/>
          <w:sz w:val="24"/>
          <w:szCs w:val="24"/>
        </w:rPr>
        <w:t xml:space="preserve"> </w:t>
      </w:r>
      <w:r w:rsidR="003C5099">
        <w:rPr>
          <w:rFonts w:ascii="Times New Roman" w:hAnsi="Times New Roman" w:cs="Times New Roman"/>
          <w:sz w:val="24"/>
          <w:szCs w:val="24"/>
        </w:rPr>
        <w:t>studies the</w:t>
      </w:r>
      <w:r w:rsidR="003C5099" w:rsidRPr="00E702F2">
        <w:rPr>
          <w:rFonts w:ascii="Times New Roman" w:hAnsi="Times New Roman" w:cs="Times New Roman"/>
          <w:sz w:val="24"/>
          <w:szCs w:val="24"/>
        </w:rPr>
        <w:t xml:space="preserve"> role played by country-level factors in determining the characteristics of the corporate governance framework in each country. It also examines whether firm-level corporate governance mechanisms act as substitutes or complements</w:t>
      </w:r>
      <w:r w:rsidR="003C5099">
        <w:rPr>
          <w:rFonts w:ascii="Times New Roman" w:hAnsi="Times New Roman" w:cs="Times New Roman"/>
          <w:sz w:val="24"/>
          <w:szCs w:val="24"/>
        </w:rPr>
        <w:t xml:space="preserve"> to these country-level factors with special attention to the role of financial development and firm-level financing needs in influencing the firm’s governance framework</w:t>
      </w:r>
      <w:r w:rsidR="00E26A5D">
        <w:rPr>
          <w:rFonts w:ascii="Times New Roman" w:hAnsi="Times New Roman" w:cs="Times New Roman"/>
          <w:sz w:val="24"/>
          <w:szCs w:val="24"/>
        </w:rPr>
        <w:t>.</w:t>
      </w:r>
      <w:r w:rsidR="00996724">
        <w:rPr>
          <w:rFonts w:ascii="Times New Roman" w:hAnsi="Times New Roman" w:cs="Times New Roman"/>
          <w:sz w:val="24"/>
          <w:szCs w:val="24"/>
        </w:rPr>
        <w:t xml:space="preserve"> To our knowledge this is the first study that examines the different </w:t>
      </w:r>
      <w:r w:rsidR="00996724" w:rsidRPr="00996724">
        <w:rPr>
          <w:rFonts w:ascii="Times New Roman" w:hAnsi="Times New Roman" w:cs="Times New Roman"/>
          <w:sz w:val="24"/>
          <w:szCs w:val="24"/>
        </w:rPr>
        <w:t>causal-relationship model</w:t>
      </w:r>
      <w:r w:rsidR="00996724">
        <w:rPr>
          <w:rFonts w:ascii="Times New Roman" w:hAnsi="Times New Roman" w:cs="Times New Roman"/>
          <w:sz w:val="24"/>
          <w:szCs w:val="24"/>
        </w:rPr>
        <w:t xml:space="preserve">s used in the literature </w:t>
      </w:r>
      <w:r w:rsidR="00775121">
        <w:rPr>
          <w:rFonts w:ascii="Times New Roman" w:hAnsi="Times New Roman" w:cs="Times New Roman"/>
          <w:sz w:val="24"/>
          <w:szCs w:val="24"/>
        </w:rPr>
        <w:t xml:space="preserve">in order to </w:t>
      </w:r>
      <w:r w:rsidR="00996724">
        <w:rPr>
          <w:rFonts w:ascii="Times New Roman" w:hAnsi="Times New Roman" w:cs="Times New Roman"/>
          <w:sz w:val="24"/>
          <w:szCs w:val="24"/>
        </w:rPr>
        <w:t>answer the question of how</w:t>
      </w:r>
      <w:r w:rsidR="00775121">
        <w:rPr>
          <w:rFonts w:ascii="Times New Roman" w:hAnsi="Times New Roman" w:cs="Times New Roman"/>
          <w:sz w:val="24"/>
          <w:szCs w:val="24"/>
        </w:rPr>
        <w:t xml:space="preserve"> </w:t>
      </w:r>
      <w:r w:rsidR="00996724">
        <w:rPr>
          <w:rFonts w:ascii="Times New Roman" w:hAnsi="Times New Roman" w:cs="Times New Roman"/>
          <w:sz w:val="24"/>
          <w:szCs w:val="24"/>
        </w:rPr>
        <w:t>to</w:t>
      </w:r>
      <w:r w:rsidR="00775121">
        <w:rPr>
          <w:rFonts w:ascii="Times New Roman" w:hAnsi="Times New Roman" w:cs="Times New Roman"/>
          <w:sz w:val="24"/>
          <w:szCs w:val="24"/>
        </w:rPr>
        <w:t xml:space="preserve"> best</w:t>
      </w:r>
      <w:r w:rsidR="00996724">
        <w:rPr>
          <w:rFonts w:ascii="Times New Roman" w:hAnsi="Times New Roman" w:cs="Times New Roman"/>
          <w:sz w:val="24"/>
          <w:szCs w:val="24"/>
        </w:rPr>
        <w:t xml:space="preserve"> represent </w:t>
      </w:r>
      <w:r w:rsidR="00996724" w:rsidRPr="00996724">
        <w:rPr>
          <w:rFonts w:ascii="Times New Roman" w:hAnsi="Times New Roman" w:cs="Times New Roman"/>
          <w:sz w:val="24"/>
          <w:szCs w:val="24"/>
        </w:rPr>
        <w:t>the relationship between country-level factors and firm-level governance mechanisms</w:t>
      </w:r>
      <w:r w:rsidR="00775121">
        <w:rPr>
          <w:rFonts w:ascii="Times New Roman" w:hAnsi="Times New Roman" w:cs="Times New Roman"/>
          <w:sz w:val="24"/>
          <w:szCs w:val="24"/>
        </w:rPr>
        <w:t xml:space="preserve"> and their joint-effect on firm value and performance. Furthermore, o</w:t>
      </w:r>
      <w:r w:rsidR="0096555E">
        <w:rPr>
          <w:rFonts w:ascii="Times New Roman" w:hAnsi="Times New Roman" w:cs="Times New Roman"/>
          <w:sz w:val="24"/>
          <w:szCs w:val="24"/>
        </w:rPr>
        <w:t xml:space="preserve">ur </w:t>
      </w:r>
      <w:r w:rsidR="0096555E">
        <w:rPr>
          <w:rFonts w:ascii="Times New Roman" w:hAnsi="Times New Roman" w:cs="Times New Roman"/>
          <w:sz w:val="24"/>
          <w:szCs w:val="24"/>
        </w:rPr>
        <w:lastRenderedPageBreak/>
        <w:t>study differs from previous studies in the field through employing</w:t>
      </w:r>
      <w:r w:rsidR="00C17533">
        <w:rPr>
          <w:rFonts w:ascii="Times New Roman" w:hAnsi="Times New Roman" w:cs="Times New Roman"/>
          <w:sz w:val="24"/>
          <w:szCs w:val="24"/>
        </w:rPr>
        <w:t xml:space="preserve"> a wide range of publicly available indices as country-level factors to explain cross country variation in firm-level governance.</w:t>
      </w:r>
      <w:r w:rsidR="001362E9">
        <w:rPr>
          <w:rFonts w:ascii="Times New Roman" w:hAnsi="Times New Roman" w:cs="Times New Roman"/>
          <w:sz w:val="24"/>
          <w:szCs w:val="24"/>
        </w:rPr>
        <w:t xml:space="preserve"> The</w:t>
      </w:r>
      <w:r w:rsidR="003C5099">
        <w:rPr>
          <w:rFonts w:ascii="Times New Roman" w:hAnsi="Times New Roman" w:cs="Times New Roman"/>
          <w:sz w:val="24"/>
          <w:szCs w:val="24"/>
        </w:rPr>
        <w:t xml:space="preserve"> study </w:t>
      </w:r>
      <w:r w:rsidR="009C6867">
        <w:rPr>
          <w:rFonts w:ascii="Times New Roman" w:hAnsi="Times New Roman" w:cs="Times New Roman"/>
          <w:sz w:val="24"/>
          <w:szCs w:val="24"/>
        </w:rPr>
        <w:t xml:space="preserve">also </w:t>
      </w:r>
      <w:r w:rsidR="003C5099" w:rsidRPr="001F49A1">
        <w:rPr>
          <w:rFonts w:ascii="Times New Roman" w:hAnsi="Times New Roman" w:cs="Times New Roman"/>
          <w:sz w:val="24"/>
          <w:szCs w:val="24"/>
        </w:rPr>
        <w:t xml:space="preserve">addresses </w:t>
      </w:r>
      <w:r w:rsidR="00775121">
        <w:rPr>
          <w:rFonts w:ascii="Times New Roman" w:hAnsi="Times New Roman" w:cs="Times New Roman"/>
          <w:sz w:val="24"/>
          <w:szCs w:val="24"/>
        </w:rPr>
        <w:t xml:space="preserve">several pitfalls and </w:t>
      </w:r>
      <w:r w:rsidR="003C5099">
        <w:rPr>
          <w:rFonts w:ascii="Times New Roman" w:hAnsi="Times New Roman" w:cs="Times New Roman"/>
          <w:sz w:val="24"/>
          <w:szCs w:val="24"/>
        </w:rPr>
        <w:t>methodological issues with prior studies by focusing on outcome-based external governance indicators and through employing the</w:t>
      </w:r>
      <w:r w:rsidR="00AA4045">
        <w:rPr>
          <w:rFonts w:ascii="Times New Roman" w:hAnsi="Times New Roman" w:cs="Times New Roman"/>
          <w:sz w:val="24"/>
          <w:szCs w:val="24"/>
        </w:rPr>
        <w:t xml:space="preserve"> </w:t>
      </w:r>
      <w:r w:rsidR="00AA4045" w:rsidRPr="00687457">
        <w:rPr>
          <w:rFonts w:ascii="Times New Roman" w:hAnsi="Times New Roman" w:cs="Times New Roman"/>
          <w:sz w:val="24"/>
          <w:szCs w:val="24"/>
        </w:rPr>
        <w:t>hierarchical linear modeling (HLM) approach</w:t>
      </w:r>
      <w:r w:rsidR="00AA4045">
        <w:rPr>
          <w:rFonts w:ascii="Times New Roman" w:hAnsi="Times New Roman" w:cs="Times New Roman"/>
          <w:sz w:val="24"/>
          <w:szCs w:val="24"/>
        </w:rPr>
        <w:t xml:space="preserve"> and the </w:t>
      </w:r>
      <w:r w:rsidR="003C5099">
        <w:rPr>
          <w:rFonts w:ascii="Times New Roman" w:hAnsi="Times New Roman" w:cs="Times New Roman"/>
          <w:sz w:val="24"/>
          <w:szCs w:val="24"/>
        </w:rPr>
        <w:t>Generalized Method of Moments (GMM) technique to account</w:t>
      </w:r>
      <w:r w:rsidR="00AA4045">
        <w:rPr>
          <w:rFonts w:ascii="Times New Roman" w:hAnsi="Times New Roman" w:cs="Times New Roman"/>
          <w:sz w:val="24"/>
          <w:szCs w:val="24"/>
        </w:rPr>
        <w:t xml:space="preserve"> for the nested nature of the data and</w:t>
      </w:r>
      <w:r w:rsidR="003C5099">
        <w:rPr>
          <w:rFonts w:ascii="Times New Roman" w:hAnsi="Times New Roman" w:cs="Times New Roman"/>
          <w:sz w:val="24"/>
          <w:szCs w:val="24"/>
        </w:rPr>
        <w:t xml:space="preserve"> for potential endogeneity issues</w:t>
      </w:r>
      <w:r w:rsidR="00AA4045">
        <w:rPr>
          <w:rFonts w:ascii="Times New Roman" w:hAnsi="Times New Roman" w:cs="Times New Roman"/>
          <w:sz w:val="24"/>
          <w:szCs w:val="24"/>
        </w:rPr>
        <w:t>, respectively</w:t>
      </w:r>
      <w:r w:rsidR="00E74471">
        <w:rPr>
          <w:rFonts w:ascii="Times New Roman" w:hAnsi="Times New Roman" w:cs="Times New Roman"/>
          <w:sz w:val="24"/>
          <w:szCs w:val="24"/>
        </w:rPr>
        <w:t xml:space="preserve"> (</w:t>
      </w:r>
      <w:r w:rsidR="00E74471" w:rsidRPr="009C65A6">
        <w:rPr>
          <w:rFonts w:ascii="Times New Roman" w:hAnsi="Times New Roman" w:cs="Times New Roman"/>
          <w:sz w:val="24"/>
          <w:szCs w:val="24"/>
        </w:rPr>
        <w:t>see</w:t>
      </w:r>
      <w:r w:rsidR="00E74471">
        <w:rPr>
          <w:rFonts w:ascii="Times New Roman" w:hAnsi="Times New Roman" w:cs="Times New Roman"/>
          <w:sz w:val="24"/>
          <w:szCs w:val="24"/>
        </w:rPr>
        <w:t xml:space="preserve"> </w:t>
      </w:r>
      <w:r w:rsidR="00E74471" w:rsidRPr="001239F0">
        <w:rPr>
          <w:rFonts w:ascii="Times New Roman" w:hAnsi="Times New Roman" w:cs="Times New Roman"/>
          <w:sz w:val="24"/>
          <w:szCs w:val="24"/>
        </w:rPr>
        <w:t xml:space="preserve">Aguilera </w:t>
      </w:r>
      <w:r w:rsidR="00512789" w:rsidRPr="009372D2">
        <w:rPr>
          <w:rFonts w:ascii="Times New Roman" w:hAnsi="Times New Roman" w:cs="Times New Roman"/>
          <w:i/>
          <w:iCs/>
          <w:sz w:val="24"/>
          <w:szCs w:val="24"/>
        </w:rPr>
        <w:t>et al.</w:t>
      </w:r>
      <w:r w:rsidR="00E74471">
        <w:rPr>
          <w:rFonts w:ascii="Times New Roman" w:hAnsi="Times New Roman" w:cs="Times New Roman"/>
          <w:sz w:val="24"/>
          <w:szCs w:val="24"/>
        </w:rPr>
        <w:t xml:space="preserve"> </w:t>
      </w:r>
      <w:r w:rsidR="00E74471" w:rsidRPr="001239F0">
        <w:rPr>
          <w:rFonts w:ascii="Times New Roman" w:hAnsi="Times New Roman" w:cs="Times New Roman"/>
          <w:sz w:val="24"/>
          <w:szCs w:val="24"/>
        </w:rPr>
        <w:t>2015</w:t>
      </w:r>
      <w:r w:rsidR="00682D1F">
        <w:rPr>
          <w:rFonts w:ascii="Times New Roman" w:hAnsi="Times New Roman" w:cs="Times New Roman"/>
          <w:sz w:val="24"/>
          <w:szCs w:val="24"/>
        </w:rPr>
        <w:t>,</w:t>
      </w:r>
      <w:r w:rsidR="00E74471">
        <w:rPr>
          <w:rFonts w:ascii="Times New Roman" w:hAnsi="Times New Roman" w:cs="Times New Roman"/>
          <w:sz w:val="24"/>
          <w:szCs w:val="24"/>
        </w:rPr>
        <w:t xml:space="preserve"> Essen </w:t>
      </w:r>
      <w:r w:rsidR="00512789" w:rsidRPr="009372D2">
        <w:rPr>
          <w:rFonts w:ascii="Times New Roman" w:hAnsi="Times New Roman" w:cs="Times New Roman"/>
          <w:i/>
          <w:iCs/>
          <w:sz w:val="24"/>
          <w:szCs w:val="24"/>
        </w:rPr>
        <w:t>et al.</w:t>
      </w:r>
      <w:r w:rsidR="00E74471" w:rsidRPr="00C83031">
        <w:rPr>
          <w:rFonts w:ascii="Times New Roman" w:hAnsi="Times New Roman" w:cs="Times New Roman"/>
          <w:sz w:val="24"/>
          <w:szCs w:val="24"/>
        </w:rPr>
        <w:t>2013</w:t>
      </w:r>
      <w:r w:rsidR="00682D1F">
        <w:rPr>
          <w:rFonts w:ascii="Times New Roman" w:hAnsi="Times New Roman" w:cs="Times New Roman"/>
          <w:sz w:val="24"/>
          <w:szCs w:val="24"/>
        </w:rPr>
        <w:t>,</w:t>
      </w:r>
      <w:r w:rsidR="00E74471">
        <w:rPr>
          <w:rFonts w:ascii="Times New Roman" w:hAnsi="Times New Roman" w:cs="Times New Roman"/>
          <w:sz w:val="24"/>
          <w:szCs w:val="24"/>
        </w:rPr>
        <w:t xml:space="preserve"> </w:t>
      </w:r>
      <w:r w:rsidR="00E74471" w:rsidRPr="005A00BA">
        <w:rPr>
          <w:rFonts w:ascii="Times New Roman" w:hAnsi="Times New Roman" w:cs="Times New Roman"/>
          <w:sz w:val="24"/>
          <w:szCs w:val="24"/>
        </w:rPr>
        <w:t>Schiehll and</w:t>
      </w:r>
      <w:r w:rsidR="00E74471">
        <w:rPr>
          <w:rFonts w:ascii="Times New Roman" w:hAnsi="Times New Roman" w:cs="Times New Roman"/>
          <w:sz w:val="24"/>
          <w:szCs w:val="24"/>
        </w:rPr>
        <w:t xml:space="preserve"> Martin </w:t>
      </w:r>
      <w:r w:rsidR="00E74471" w:rsidRPr="005A00BA">
        <w:rPr>
          <w:rFonts w:ascii="Times New Roman" w:hAnsi="Times New Roman" w:cs="Times New Roman"/>
          <w:sz w:val="24"/>
          <w:szCs w:val="24"/>
        </w:rPr>
        <w:t>2016</w:t>
      </w:r>
      <w:r w:rsidR="00E74471">
        <w:rPr>
          <w:rFonts w:ascii="Times New Roman" w:hAnsi="Times New Roman" w:cs="Times New Roman"/>
          <w:sz w:val="24"/>
          <w:szCs w:val="24"/>
        </w:rPr>
        <w:t>)</w:t>
      </w:r>
      <w:r w:rsidR="003C5099">
        <w:rPr>
          <w:rFonts w:ascii="Times New Roman" w:hAnsi="Times New Roman" w:cs="Times New Roman"/>
          <w:sz w:val="24"/>
          <w:szCs w:val="24"/>
        </w:rPr>
        <w:t xml:space="preserve">. </w:t>
      </w:r>
      <w:r w:rsidR="00775121">
        <w:rPr>
          <w:rFonts w:ascii="Times New Roman" w:hAnsi="Times New Roman" w:cs="Times New Roman"/>
          <w:sz w:val="24"/>
          <w:szCs w:val="24"/>
        </w:rPr>
        <w:t>Overall, the study contributes to the</w:t>
      </w:r>
      <w:r w:rsidR="00D20017">
        <w:rPr>
          <w:rFonts w:ascii="Times New Roman" w:hAnsi="Times New Roman" w:cs="Times New Roman"/>
          <w:sz w:val="24"/>
          <w:szCs w:val="24"/>
        </w:rPr>
        <w:t xml:space="preserve"> ongoing</w:t>
      </w:r>
      <w:r w:rsidR="00775121">
        <w:rPr>
          <w:rFonts w:ascii="Times New Roman" w:hAnsi="Times New Roman" w:cs="Times New Roman"/>
          <w:sz w:val="24"/>
          <w:szCs w:val="24"/>
        </w:rPr>
        <w:t xml:space="preserve"> debate on the nature of the relationship between country-level and firm-level factors</w:t>
      </w:r>
      <w:r w:rsidR="00D20017">
        <w:rPr>
          <w:rFonts w:ascii="Times New Roman" w:hAnsi="Times New Roman" w:cs="Times New Roman"/>
          <w:sz w:val="24"/>
          <w:szCs w:val="24"/>
        </w:rPr>
        <w:t xml:space="preserve"> and the effect of such relationship on firm value and performance. </w:t>
      </w:r>
    </w:p>
    <w:p w14:paraId="322DFB84" w14:textId="77777777" w:rsidR="00BF2605" w:rsidRPr="00564296" w:rsidRDefault="00BF2605" w:rsidP="00BF2605">
      <w:pPr>
        <w:tabs>
          <w:tab w:val="left" w:pos="426"/>
        </w:tabs>
        <w:spacing w:after="0" w:line="288" w:lineRule="auto"/>
        <w:jc w:val="both"/>
        <w:rPr>
          <w:rFonts w:ascii="Times New Roman" w:hAnsi="Times New Roman" w:cs="Times New Roman"/>
          <w:sz w:val="24"/>
          <w:szCs w:val="24"/>
        </w:rPr>
      </w:pPr>
    </w:p>
    <w:p w14:paraId="53D16BFB" w14:textId="65E0406E" w:rsidR="005D74C8" w:rsidRDefault="00BF2605"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64296">
        <w:rPr>
          <w:rFonts w:ascii="Times New Roman" w:hAnsi="Times New Roman" w:cs="Times New Roman"/>
          <w:sz w:val="24"/>
          <w:szCs w:val="24"/>
        </w:rPr>
        <w:t>W</w:t>
      </w:r>
      <w:r w:rsidR="005D74C8">
        <w:rPr>
          <w:rFonts w:ascii="Times New Roman" w:hAnsi="Times New Roman" w:cs="Times New Roman"/>
          <w:sz w:val="24"/>
          <w:szCs w:val="24"/>
        </w:rPr>
        <w:t xml:space="preserve">e find that </w:t>
      </w:r>
      <w:r w:rsidR="005D74C8" w:rsidRPr="005D74C8">
        <w:rPr>
          <w:rFonts w:ascii="Times New Roman" w:hAnsi="Times New Roman" w:cs="Times New Roman"/>
          <w:sz w:val="24"/>
          <w:szCs w:val="24"/>
        </w:rPr>
        <w:t xml:space="preserve">country-level factors explain a </w:t>
      </w:r>
      <w:r w:rsidR="005D74C8">
        <w:rPr>
          <w:rFonts w:ascii="Times New Roman" w:hAnsi="Times New Roman" w:cs="Times New Roman"/>
          <w:sz w:val="24"/>
          <w:szCs w:val="24"/>
        </w:rPr>
        <w:t>large</w:t>
      </w:r>
      <w:r w:rsidR="005D74C8" w:rsidRPr="005D74C8">
        <w:rPr>
          <w:rFonts w:ascii="Times New Roman" w:hAnsi="Times New Roman" w:cs="Times New Roman"/>
          <w:sz w:val="24"/>
          <w:szCs w:val="24"/>
        </w:rPr>
        <w:t xml:space="preserve"> part of the variation in firm-level governance across </w:t>
      </w:r>
      <w:r w:rsidR="00615108">
        <w:rPr>
          <w:rFonts w:ascii="Times New Roman" w:hAnsi="Times New Roman" w:cs="Times New Roman"/>
          <w:sz w:val="24"/>
          <w:szCs w:val="24"/>
        </w:rPr>
        <w:t>countr</w:t>
      </w:r>
      <w:r w:rsidR="005D74C8" w:rsidRPr="005D74C8">
        <w:rPr>
          <w:rFonts w:ascii="Times New Roman" w:hAnsi="Times New Roman" w:cs="Times New Roman"/>
          <w:sz w:val="24"/>
          <w:szCs w:val="24"/>
        </w:rPr>
        <w:t>ies</w:t>
      </w:r>
      <w:r w:rsidR="00564296">
        <w:rPr>
          <w:rFonts w:ascii="Times New Roman" w:hAnsi="Times New Roman" w:cs="Times New Roman"/>
          <w:sz w:val="24"/>
          <w:szCs w:val="24"/>
        </w:rPr>
        <w:t xml:space="preserve">. </w:t>
      </w:r>
      <w:r w:rsidR="000139BB">
        <w:rPr>
          <w:rFonts w:ascii="Times New Roman" w:hAnsi="Times New Roman" w:cs="Times New Roman"/>
          <w:sz w:val="24"/>
          <w:szCs w:val="24"/>
        </w:rPr>
        <w:t xml:space="preserve">We also find strong evidence to suggest that models which assume that country-level mechanisms act as moderators of the relationship between firm-level governance and firm performance provide the best </w:t>
      </w:r>
      <w:r w:rsidR="00D20017">
        <w:rPr>
          <w:rFonts w:ascii="Times New Roman" w:hAnsi="Times New Roman" w:cs="Times New Roman"/>
          <w:sz w:val="24"/>
          <w:szCs w:val="24"/>
        </w:rPr>
        <w:t xml:space="preserve">fit </w:t>
      </w:r>
      <w:r w:rsidR="000139BB">
        <w:rPr>
          <w:rFonts w:ascii="Times New Roman" w:hAnsi="Times New Roman" w:cs="Times New Roman"/>
          <w:sz w:val="24"/>
          <w:szCs w:val="24"/>
        </w:rPr>
        <w:t>of the relationship between these two groups. Moreover, we</w:t>
      </w:r>
      <w:r w:rsidR="00564296">
        <w:rPr>
          <w:rFonts w:ascii="Times New Roman" w:hAnsi="Times New Roman" w:cs="Times New Roman"/>
          <w:sz w:val="24"/>
          <w:szCs w:val="24"/>
        </w:rPr>
        <w:t xml:space="preserve"> find that</w:t>
      </w:r>
      <w:r w:rsidR="005D74C8" w:rsidRPr="005D74C8">
        <w:rPr>
          <w:rFonts w:ascii="Times New Roman" w:hAnsi="Times New Roman" w:cs="Times New Roman"/>
          <w:sz w:val="24"/>
          <w:szCs w:val="24"/>
        </w:rPr>
        <w:t xml:space="preserve"> </w:t>
      </w:r>
      <w:r w:rsidR="00564296">
        <w:rPr>
          <w:rFonts w:ascii="Times New Roman" w:hAnsi="Times New Roman" w:cs="Times New Roman"/>
          <w:sz w:val="24"/>
          <w:szCs w:val="24"/>
        </w:rPr>
        <w:t>i</w:t>
      </w:r>
      <w:r w:rsidR="00945959">
        <w:rPr>
          <w:rFonts w:ascii="Times New Roman" w:hAnsi="Times New Roman" w:cs="Times New Roman"/>
          <w:sz w:val="24"/>
          <w:szCs w:val="24"/>
        </w:rPr>
        <w:t>n contrast to several prior studies (</w:t>
      </w:r>
      <w:r w:rsidR="00512789">
        <w:rPr>
          <w:rFonts w:ascii="Times New Roman" w:hAnsi="Times New Roman" w:cs="Times New Roman"/>
          <w:sz w:val="24"/>
          <w:szCs w:val="24"/>
        </w:rPr>
        <w:t>for example,</w:t>
      </w:r>
      <w:r w:rsidR="00945959">
        <w:rPr>
          <w:rFonts w:ascii="Times New Roman" w:hAnsi="Times New Roman" w:cs="Times New Roman"/>
          <w:sz w:val="24"/>
          <w:szCs w:val="24"/>
        </w:rPr>
        <w:t xml:space="preserve"> Chen </w:t>
      </w:r>
      <w:r w:rsidR="00512789" w:rsidRPr="009372D2">
        <w:rPr>
          <w:rFonts w:ascii="Times New Roman" w:hAnsi="Times New Roman" w:cs="Times New Roman"/>
          <w:i/>
          <w:iCs/>
          <w:sz w:val="24"/>
          <w:szCs w:val="24"/>
        </w:rPr>
        <w:t>et al.</w:t>
      </w:r>
      <w:r w:rsidR="00945959">
        <w:rPr>
          <w:rFonts w:ascii="Times New Roman" w:hAnsi="Times New Roman" w:cs="Times New Roman"/>
          <w:sz w:val="24"/>
          <w:szCs w:val="24"/>
        </w:rPr>
        <w:t xml:space="preserve"> </w:t>
      </w:r>
      <w:r w:rsidR="00945959" w:rsidRPr="008D7840">
        <w:rPr>
          <w:rFonts w:ascii="Times New Roman" w:hAnsi="Times New Roman" w:cs="Times New Roman"/>
          <w:sz w:val="24"/>
          <w:szCs w:val="24"/>
        </w:rPr>
        <w:t>2009</w:t>
      </w:r>
      <w:r w:rsidR="00682D1F">
        <w:rPr>
          <w:rFonts w:ascii="Times New Roman" w:hAnsi="Times New Roman" w:cs="Times New Roman"/>
          <w:sz w:val="24"/>
          <w:szCs w:val="24"/>
        </w:rPr>
        <w:t>,</w:t>
      </w:r>
      <w:r w:rsidR="00945959" w:rsidRPr="008D7840">
        <w:rPr>
          <w:rFonts w:ascii="Times New Roman" w:hAnsi="Times New Roman" w:cs="Times New Roman"/>
          <w:sz w:val="24"/>
          <w:szCs w:val="24"/>
        </w:rPr>
        <w:t xml:space="preserve"> </w:t>
      </w:r>
      <w:r w:rsidR="00945959">
        <w:rPr>
          <w:rFonts w:ascii="Times New Roman" w:hAnsi="Times New Roman" w:cs="Times New Roman"/>
          <w:sz w:val="24"/>
          <w:szCs w:val="24"/>
        </w:rPr>
        <w:t>Chou</w:t>
      </w:r>
      <w:r w:rsidR="00512789" w:rsidRPr="00512789">
        <w:rPr>
          <w:rFonts w:ascii="Times New Roman" w:hAnsi="Times New Roman" w:cs="Times New Roman"/>
          <w:i/>
          <w:iCs/>
          <w:sz w:val="24"/>
          <w:szCs w:val="24"/>
        </w:rPr>
        <w:t xml:space="preserve"> </w:t>
      </w:r>
      <w:r w:rsidR="00512789" w:rsidRPr="009372D2">
        <w:rPr>
          <w:rFonts w:ascii="Times New Roman" w:hAnsi="Times New Roman" w:cs="Times New Roman"/>
          <w:i/>
          <w:iCs/>
          <w:sz w:val="24"/>
          <w:szCs w:val="24"/>
        </w:rPr>
        <w:t>et al.</w:t>
      </w:r>
      <w:r w:rsidR="00945959">
        <w:rPr>
          <w:rFonts w:ascii="Times New Roman" w:hAnsi="Times New Roman" w:cs="Times New Roman"/>
          <w:sz w:val="24"/>
          <w:szCs w:val="24"/>
        </w:rPr>
        <w:t xml:space="preserve"> </w:t>
      </w:r>
      <w:r w:rsidR="00945959" w:rsidRPr="00A3363D">
        <w:rPr>
          <w:rFonts w:ascii="Times New Roman" w:hAnsi="Times New Roman" w:cs="Times New Roman"/>
          <w:sz w:val="24"/>
          <w:szCs w:val="24"/>
        </w:rPr>
        <w:t>2011</w:t>
      </w:r>
      <w:r w:rsidR="00682D1F">
        <w:rPr>
          <w:rFonts w:ascii="Times New Roman" w:hAnsi="Times New Roman" w:cs="Times New Roman"/>
          <w:sz w:val="24"/>
          <w:szCs w:val="24"/>
        </w:rPr>
        <w:t>,</w:t>
      </w:r>
      <w:r w:rsidR="00945959">
        <w:rPr>
          <w:rFonts w:ascii="Times New Roman" w:hAnsi="Times New Roman" w:cs="Times New Roman"/>
          <w:sz w:val="24"/>
          <w:szCs w:val="24"/>
        </w:rPr>
        <w:t xml:space="preserve"> </w:t>
      </w:r>
      <w:r w:rsidR="00945959" w:rsidRPr="008D7840">
        <w:rPr>
          <w:rFonts w:ascii="Times New Roman" w:hAnsi="Times New Roman" w:cs="Times New Roman"/>
          <w:sz w:val="24"/>
          <w:szCs w:val="24"/>
        </w:rPr>
        <w:t>Klapper and Lo</w:t>
      </w:r>
      <w:r w:rsidR="00945959">
        <w:rPr>
          <w:rFonts w:ascii="Times New Roman" w:hAnsi="Times New Roman" w:cs="Times New Roman"/>
          <w:sz w:val="24"/>
          <w:szCs w:val="24"/>
        </w:rPr>
        <w:t xml:space="preserve">ve </w:t>
      </w:r>
      <w:r w:rsidR="00945959" w:rsidRPr="008D7840">
        <w:rPr>
          <w:rFonts w:ascii="Times New Roman" w:hAnsi="Times New Roman" w:cs="Times New Roman"/>
          <w:sz w:val="24"/>
          <w:szCs w:val="24"/>
        </w:rPr>
        <w:t>2004</w:t>
      </w:r>
      <w:r w:rsidR="00945959">
        <w:rPr>
          <w:rFonts w:ascii="Times New Roman" w:hAnsi="Times New Roman" w:cs="Times New Roman"/>
          <w:sz w:val="24"/>
          <w:szCs w:val="24"/>
        </w:rPr>
        <w:t>), o</w:t>
      </w:r>
      <w:r w:rsidR="00293149">
        <w:rPr>
          <w:rFonts w:ascii="Times New Roman" w:hAnsi="Times New Roman" w:cs="Times New Roman"/>
          <w:sz w:val="24"/>
          <w:szCs w:val="24"/>
        </w:rPr>
        <w:t xml:space="preserve">ur findings support the proposition that firm-level and country-level governance are </w:t>
      </w:r>
      <w:r w:rsidR="005D74C8" w:rsidRPr="005D74C8">
        <w:rPr>
          <w:rFonts w:ascii="Times New Roman" w:hAnsi="Times New Roman" w:cs="Times New Roman"/>
          <w:sz w:val="24"/>
          <w:szCs w:val="24"/>
        </w:rPr>
        <w:t>complementary</w:t>
      </w:r>
      <w:r w:rsidR="00293149">
        <w:rPr>
          <w:rFonts w:ascii="Times New Roman" w:hAnsi="Times New Roman" w:cs="Times New Roman"/>
          <w:sz w:val="24"/>
          <w:szCs w:val="24"/>
        </w:rPr>
        <w:t xml:space="preserve">. </w:t>
      </w:r>
      <w:r w:rsidR="00564296">
        <w:rPr>
          <w:rFonts w:ascii="Times New Roman" w:hAnsi="Times New Roman" w:cs="Times New Roman"/>
          <w:sz w:val="24"/>
          <w:szCs w:val="24"/>
        </w:rPr>
        <w:t>Furthermore</w:t>
      </w:r>
      <w:r w:rsidR="00293149">
        <w:rPr>
          <w:rFonts w:ascii="Times New Roman" w:hAnsi="Times New Roman" w:cs="Times New Roman"/>
          <w:sz w:val="24"/>
          <w:szCs w:val="24"/>
        </w:rPr>
        <w:t xml:space="preserve">, we find that </w:t>
      </w:r>
      <w:r w:rsidR="00CE2DD6" w:rsidRPr="00CE2DD6">
        <w:rPr>
          <w:rFonts w:ascii="Times New Roman" w:hAnsi="Times New Roman" w:cs="Times New Roman"/>
          <w:sz w:val="24"/>
          <w:szCs w:val="24"/>
        </w:rPr>
        <w:t xml:space="preserve">stronger firm-level governance is associated with higher firm value for firms with high financing needs and which operate in </w:t>
      </w:r>
      <w:r w:rsidR="00615108">
        <w:rPr>
          <w:rFonts w:ascii="Times New Roman" w:hAnsi="Times New Roman" w:cs="Times New Roman"/>
          <w:sz w:val="24"/>
          <w:szCs w:val="24"/>
        </w:rPr>
        <w:t>countr</w:t>
      </w:r>
      <w:r w:rsidR="00CE2DD6" w:rsidRPr="00CE2DD6">
        <w:rPr>
          <w:rFonts w:ascii="Times New Roman" w:hAnsi="Times New Roman" w:cs="Times New Roman"/>
          <w:sz w:val="24"/>
          <w:szCs w:val="24"/>
        </w:rPr>
        <w:t>ies with high financial</w:t>
      </w:r>
      <w:r w:rsidR="00CE2DD6">
        <w:rPr>
          <w:rFonts w:ascii="Times New Roman" w:hAnsi="Times New Roman" w:cs="Times New Roman"/>
          <w:sz w:val="24"/>
          <w:szCs w:val="24"/>
        </w:rPr>
        <w:t xml:space="preserve"> development.</w:t>
      </w:r>
      <w:r w:rsidR="005D74C8">
        <w:rPr>
          <w:rFonts w:ascii="Times New Roman" w:hAnsi="Times New Roman" w:cs="Times New Roman"/>
          <w:sz w:val="24"/>
          <w:szCs w:val="24"/>
        </w:rPr>
        <w:t xml:space="preserve"> This supports the argument that a firm’s governance framework is highly dependent on the financial development status of the </w:t>
      </w:r>
      <w:r w:rsidR="00615108">
        <w:rPr>
          <w:rFonts w:ascii="Times New Roman" w:hAnsi="Times New Roman" w:cs="Times New Roman"/>
          <w:sz w:val="24"/>
          <w:szCs w:val="24"/>
        </w:rPr>
        <w:t>countr</w:t>
      </w:r>
      <w:r w:rsidR="005D74C8">
        <w:rPr>
          <w:rFonts w:ascii="Times New Roman" w:hAnsi="Times New Roman" w:cs="Times New Roman"/>
          <w:sz w:val="24"/>
          <w:szCs w:val="24"/>
        </w:rPr>
        <w:t xml:space="preserve">y in which </w:t>
      </w:r>
      <w:r w:rsidR="00C82A6B">
        <w:rPr>
          <w:rFonts w:ascii="Times New Roman" w:hAnsi="Times New Roman" w:cs="Times New Roman"/>
          <w:sz w:val="24"/>
          <w:szCs w:val="24"/>
        </w:rPr>
        <w:t>it operates as well as its need</w:t>
      </w:r>
      <w:r w:rsidR="005D74C8">
        <w:rPr>
          <w:rFonts w:ascii="Times New Roman" w:hAnsi="Times New Roman" w:cs="Times New Roman"/>
          <w:sz w:val="24"/>
          <w:szCs w:val="24"/>
        </w:rPr>
        <w:t xml:space="preserve"> for external financing</w:t>
      </w:r>
      <w:r w:rsidR="00170DE6">
        <w:rPr>
          <w:rFonts w:ascii="Times New Roman" w:hAnsi="Times New Roman" w:cs="Times New Roman"/>
          <w:sz w:val="24"/>
          <w:szCs w:val="24"/>
        </w:rPr>
        <w:t>.</w:t>
      </w:r>
      <w:r w:rsidR="0070676E">
        <w:rPr>
          <w:rFonts w:ascii="Times New Roman" w:hAnsi="Times New Roman" w:cs="Times New Roman"/>
          <w:sz w:val="24"/>
          <w:szCs w:val="24"/>
        </w:rPr>
        <w:t xml:space="preserve"> </w:t>
      </w:r>
      <w:r w:rsidR="00564296">
        <w:rPr>
          <w:rFonts w:ascii="Times New Roman" w:hAnsi="Times New Roman" w:cs="Times New Roman"/>
          <w:sz w:val="24"/>
          <w:szCs w:val="24"/>
        </w:rPr>
        <w:t>Lastly, we find that our main findings hold even after controlling for endogeneity.</w:t>
      </w:r>
    </w:p>
    <w:p w14:paraId="72CF42E3" w14:textId="77777777" w:rsidR="00BF2605" w:rsidRPr="005D74C8" w:rsidRDefault="00BF2605" w:rsidP="00BF2605">
      <w:pPr>
        <w:tabs>
          <w:tab w:val="left" w:pos="426"/>
        </w:tabs>
        <w:spacing w:after="0" w:line="288" w:lineRule="auto"/>
        <w:jc w:val="both"/>
        <w:rPr>
          <w:rFonts w:ascii="Times New Roman" w:hAnsi="Times New Roman" w:cs="Times New Roman"/>
          <w:sz w:val="24"/>
          <w:szCs w:val="24"/>
        </w:rPr>
      </w:pPr>
    </w:p>
    <w:p w14:paraId="24284C95" w14:textId="10CEB03B" w:rsidR="00567732" w:rsidRDefault="00BF2605"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AF672B" w:rsidRPr="00AC674F">
        <w:rPr>
          <w:rFonts w:ascii="Times New Roman" w:hAnsi="Times New Roman" w:cs="Times New Roman"/>
          <w:sz w:val="24"/>
          <w:szCs w:val="24"/>
        </w:rPr>
        <w:t xml:space="preserve">The remainder of this </w:t>
      </w:r>
      <w:r w:rsidR="00AF672B">
        <w:rPr>
          <w:rFonts w:ascii="Times New Roman" w:hAnsi="Times New Roman" w:cs="Times New Roman"/>
          <w:sz w:val="24"/>
          <w:szCs w:val="24"/>
        </w:rPr>
        <w:t>study</w:t>
      </w:r>
      <w:r w:rsidR="00AF672B" w:rsidRPr="00AC674F">
        <w:rPr>
          <w:rFonts w:ascii="Times New Roman" w:hAnsi="Times New Roman" w:cs="Times New Roman"/>
          <w:sz w:val="24"/>
          <w:szCs w:val="24"/>
        </w:rPr>
        <w:t xml:space="preserve"> is organized as follows.</w:t>
      </w:r>
      <w:r w:rsidR="00AF672B">
        <w:rPr>
          <w:rFonts w:ascii="Times New Roman" w:hAnsi="Times New Roman" w:cs="Times New Roman"/>
          <w:sz w:val="24"/>
          <w:szCs w:val="24"/>
        </w:rPr>
        <w:t xml:space="preserve"> </w:t>
      </w:r>
      <w:r w:rsidR="009C65A6">
        <w:rPr>
          <w:rFonts w:ascii="Times New Roman" w:hAnsi="Times New Roman" w:cs="Times New Roman"/>
          <w:sz w:val="24"/>
          <w:szCs w:val="24"/>
        </w:rPr>
        <w:t xml:space="preserve"> </w:t>
      </w:r>
      <w:r w:rsidR="00AF672B">
        <w:rPr>
          <w:rFonts w:ascii="Times New Roman" w:hAnsi="Times New Roman" w:cs="Times New Roman"/>
          <w:sz w:val="24"/>
          <w:szCs w:val="24"/>
        </w:rPr>
        <w:t xml:space="preserve">Section </w:t>
      </w:r>
      <w:r w:rsidR="00170DE6">
        <w:rPr>
          <w:rFonts w:ascii="Times New Roman" w:hAnsi="Times New Roman" w:cs="Times New Roman"/>
          <w:sz w:val="24"/>
          <w:szCs w:val="24"/>
        </w:rPr>
        <w:t>II</w:t>
      </w:r>
      <w:r w:rsidR="00AF672B">
        <w:rPr>
          <w:rFonts w:ascii="Times New Roman" w:hAnsi="Times New Roman" w:cs="Times New Roman"/>
          <w:sz w:val="24"/>
          <w:szCs w:val="24"/>
        </w:rPr>
        <w:t xml:space="preserve"> provides a </w:t>
      </w:r>
      <w:r w:rsidR="00AF672B" w:rsidRPr="005E1D0A">
        <w:rPr>
          <w:rFonts w:ascii="Times New Roman" w:hAnsi="Times New Roman" w:cs="Times New Roman"/>
          <w:sz w:val="24"/>
          <w:szCs w:val="24"/>
        </w:rPr>
        <w:t>summary of</w:t>
      </w:r>
      <w:r w:rsidR="00AF672B">
        <w:rPr>
          <w:rFonts w:ascii="Times New Roman" w:hAnsi="Times New Roman" w:cs="Times New Roman"/>
          <w:sz w:val="24"/>
          <w:szCs w:val="24"/>
        </w:rPr>
        <w:t xml:space="preserve"> </w:t>
      </w:r>
      <w:r w:rsidR="001A6F08">
        <w:rPr>
          <w:rFonts w:ascii="Times New Roman" w:hAnsi="Times New Roman" w:cs="Times New Roman"/>
          <w:sz w:val="24"/>
          <w:szCs w:val="24"/>
        </w:rPr>
        <w:t xml:space="preserve">relevant prior studies and </w:t>
      </w:r>
      <w:r w:rsidR="00AF672B">
        <w:rPr>
          <w:rFonts w:ascii="Times New Roman" w:hAnsi="Times New Roman" w:cs="Times New Roman"/>
          <w:sz w:val="24"/>
          <w:szCs w:val="24"/>
        </w:rPr>
        <w:t>outlines the main</w:t>
      </w:r>
      <w:r w:rsidR="00AF672B" w:rsidRPr="005E1D0A">
        <w:rPr>
          <w:rFonts w:ascii="Times New Roman" w:hAnsi="Times New Roman" w:cs="Times New Roman"/>
          <w:sz w:val="24"/>
          <w:szCs w:val="24"/>
        </w:rPr>
        <w:t xml:space="preserve"> </w:t>
      </w:r>
      <w:r w:rsidR="00AF672B">
        <w:rPr>
          <w:rFonts w:ascii="Times New Roman" w:hAnsi="Times New Roman" w:cs="Times New Roman"/>
          <w:sz w:val="24"/>
          <w:szCs w:val="24"/>
        </w:rPr>
        <w:t>research questions</w:t>
      </w:r>
      <w:r w:rsidR="001A6F08">
        <w:rPr>
          <w:rFonts w:ascii="Times New Roman" w:hAnsi="Times New Roman" w:cs="Times New Roman"/>
          <w:sz w:val="24"/>
          <w:szCs w:val="24"/>
        </w:rPr>
        <w:t>. S</w:t>
      </w:r>
      <w:r w:rsidR="00AF672B" w:rsidRPr="005E1D0A">
        <w:rPr>
          <w:rFonts w:ascii="Times New Roman" w:hAnsi="Times New Roman" w:cs="Times New Roman"/>
          <w:sz w:val="24"/>
          <w:szCs w:val="24"/>
        </w:rPr>
        <w:t xml:space="preserve">ection </w:t>
      </w:r>
      <w:r w:rsidR="00170DE6">
        <w:rPr>
          <w:rFonts w:ascii="Times New Roman" w:hAnsi="Times New Roman" w:cs="Times New Roman"/>
          <w:sz w:val="24"/>
          <w:szCs w:val="24"/>
        </w:rPr>
        <w:t>III</w:t>
      </w:r>
      <w:r w:rsidR="00AF672B" w:rsidRPr="005E1D0A">
        <w:rPr>
          <w:rFonts w:ascii="Times New Roman" w:hAnsi="Times New Roman" w:cs="Times New Roman"/>
          <w:sz w:val="24"/>
          <w:szCs w:val="24"/>
        </w:rPr>
        <w:t xml:space="preserve"> describes </w:t>
      </w:r>
      <w:r w:rsidR="00AF672B">
        <w:rPr>
          <w:rFonts w:ascii="Times New Roman" w:hAnsi="Times New Roman" w:cs="Times New Roman"/>
          <w:sz w:val="24"/>
          <w:szCs w:val="24"/>
        </w:rPr>
        <w:t>the sample and methodology used</w:t>
      </w:r>
      <w:r w:rsidR="00AF672B" w:rsidRPr="005E1D0A">
        <w:rPr>
          <w:rFonts w:ascii="Times New Roman" w:hAnsi="Times New Roman" w:cs="Times New Roman"/>
          <w:sz w:val="24"/>
          <w:szCs w:val="24"/>
        </w:rPr>
        <w:t xml:space="preserve">. Section </w:t>
      </w:r>
      <w:r w:rsidR="00170DE6">
        <w:rPr>
          <w:rFonts w:ascii="Times New Roman" w:hAnsi="Times New Roman" w:cs="Times New Roman"/>
          <w:sz w:val="24"/>
          <w:szCs w:val="24"/>
        </w:rPr>
        <w:t>IV</w:t>
      </w:r>
      <w:r w:rsidR="00AF672B" w:rsidRPr="005E1D0A">
        <w:rPr>
          <w:rFonts w:ascii="Times New Roman" w:hAnsi="Times New Roman" w:cs="Times New Roman"/>
          <w:sz w:val="24"/>
          <w:szCs w:val="24"/>
        </w:rPr>
        <w:t xml:space="preserve"> </w:t>
      </w:r>
      <w:r w:rsidR="00AF672B">
        <w:rPr>
          <w:rFonts w:ascii="Times New Roman" w:hAnsi="Times New Roman" w:cs="Times New Roman"/>
          <w:sz w:val="24"/>
          <w:szCs w:val="24"/>
        </w:rPr>
        <w:t xml:space="preserve">presents the results of our analysis </w:t>
      </w:r>
      <w:r w:rsidR="00265C38">
        <w:rPr>
          <w:rFonts w:ascii="Times New Roman" w:hAnsi="Times New Roman" w:cs="Times New Roman"/>
          <w:sz w:val="24"/>
          <w:szCs w:val="24"/>
        </w:rPr>
        <w:t xml:space="preserve">and a battery of robustness tests </w:t>
      </w:r>
      <w:r w:rsidR="00AF672B">
        <w:rPr>
          <w:rFonts w:ascii="Times New Roman" w:hAnsi="Times New Roman" w:cs="Times New Roman"/>
          <w:sz w:val="24"/>
          <w:szCs w:val="24"/>
        </w:rPr>
        <w:t xml:space="preserve">while </w:t>
      </w:r>
      <w:r w:rsidR="009C65A6">
        <w:rPr>
          <w:rFonts w:ascii="Times New Roman" w:hAnsi="Times New Roman" w:cs="Times New Roman"/>
          <w:sz w:val="24"/>
          <w:szCs w:val="24"/>
        </w:rPr>
        <w:t>S</w:t>
      </w:r>
      <w:r w:rsidR="00AF672B">
        <w:rPr>
          <w:rFonts w:ascii="Times New Roman" w:hAnsi="Times New Roman" w:cs="Times New Roman"/>
          <w:sz w:val="24"/>
          <w:szCs w:val="24"/>
        </w:rPr>
        <w:t xml:space="preserve">ection </w:t>
      </w:r>
      <w:r w:rsidR="00170DE6">
        <w:rPr>
          <w:rFonts w:ascii="Times New Roman" w:hAnsi="Times New Roman" w:cs="Times New Roman"/>
          <w:sz w:val="24"/>
          <w:szCs w:val="24"/>
        </w:rPr>
        <w:t>V</w:t>
      </w:r>
      <w:r w:rsidR="00AF672B">
        <w:rPr>
          <w:rFonts w:ascii="Times New Roman" w:hAnsi="Times New Roman" w:cs="Times New Roman"/>
          <w:sz w:val="24"/>
          <w:szCs w:val="24"/>
        </w:rPr>
        <w:t xml:space="preserve"> concludes.</w:t>
      </w:r>
    </w:p>
    <w:p w14:paraId="3972352D" w14:textId="77777777" w:rsidR="00BF2605" w:rsidRDefault="00BF2605" w:rsidP="00BF2605">
      <w:pPr>
        <w:tabs>
          <w:tab w:val="left" w:pos="426"/>
        </w:tabs>
        <w:spacing w:after="0" w:line="288" w:lineRule="auto"/>
        <w:jc w:val="both"/>
        <w:rPr>
          <w:rFonts w:ascii="Times New Roman" w:hAnsi="Times New Roman" w:cs="Times New Roman"/>
          <w:sz w:val="24"/>
          <w:szCs w:val="24"/>
        </w:rPr>
      </w:pPr>
    </w:p>
    <w:p w14:paraId="3BB2C5BB" w14:textId="77777777" w:rsidR="00B6334A" w:rsidRPr="00B6334A" w:rsidRDefault="00B6334A" w:rsidP="00BF2605">
      <w:pPr>
        <w:pStyle w:val="ListParagraph"/>
        <w:keepNext/>
        <w:numPr>
          <w:ilvl w:val="0"/>
          <w:numId w:val="4"/>
        </w:numPr>
        <w:tabs>
          <w:tab w:val="left" w:pos="426"/>
        </w:tabs>
        <w:spacing w:after="0" w:line="288" w:lineRule="auto"/>
        <w:jc w:val="both"/>
        <w:rPr>
          <w:rFonts w:asciiTheme="majorBidi" w:hAnsiTheme="majorBidi" w:cstheme="majorBidi"/>
          <w:b/>
          <w:bCs/>
          <w:vanish/>
          <w:sz w:val="24"/>
          <w:szCs w:val="24"/>
        </w:rPr>
      </w:pPr>
    </w:p>
    <w:p w14:paraId="1181D04C" w14:textId="2E10F6F8" w:rsidR="006B4A02" w:rsidRPr="006B4A02" w:rsidRDefault="00BF2605" w:rsidP="00BF2605">
      <w:pPr>
        <w:pStyle w:val="ListParagraph"/>
        <w:keepNext/>
        <w:tabs>
          <w:tab w:val="left" w:pos="426"/>
        </w:tabs>
        <w:spacing w:after="0" w:line="288" w:lineRule="auto"/>
        <w:ind w:left="360" w:hanging="360"/>
        <w:jc w:val="both"/>
        <w:rPr>
          <w:rFonts w:asciiTheme="majorBidi" w:hAnsiTheme="majorBidi" w:cstheme="majorBidi"/>
          <w:b/>
          <w:bCs/>
          <w:sz w:val="24"/>
          <w:szCs w:val="24"/>
        </w:rPr>
      </w:pPr>
      <w:r>
        <w:rPr>
          <w:rFonts w:asciiTheme="majorBidi" w:hAnsiTheme="majorBidi" w:cstheme="majorBidi"/>
          <w:b/>
          <w:bCs/>
          <w:sz w:val="24"/>
          <w:szCs w:val="24"/>
        </w:rPr>
        <w:t xml:space="preserve">II. </w:t>
      </w:r>
      <w:r w:rsidR="007A75BE">
        <w:rPr>
          <w:rFonts w:asciiTheme="majorBidi" w:hAnsiTheme="majorBidi" w:cstheme="majorBidi"/>
          <w:b/>
          <w:bCs/>
          <w:sz w:val="24"/>
          <w:szCs w:val="24"/>
        </w:rPr>
        <w:t>Literature Review and Research Questions</w:t>
      </w:r>
    </w:p>
    <w:p w14:paraId="174E73AF" w14:textId="77777777" w:rsidR="00BF2605" w:rsidRPr="00BF2605" w:rsidRDefault="00BF2605" w:rsidP="00BF2605">
      <w:pPr>
        <w:tabs>
          <w:tab w:val="left" w:pos="426"/>
        </w:tabs>
        <w:spacing w:after="0" w:line="288" w:lineRule="auto"/>
        <w:jc w:val="both"/>
        <w:rPr>
          <w:rFonts w:ascii="Times New Roman" w:hAnsi="Times New Roman" w:cs="Times New Roman"/>
          <w:sz w:val="12"/>
          <w:szCs w:val="12"/>
        </w:rPr>
      </w:pPr>
    </w:p>
    <w:p w14:paraId="4BC24825" w14:textId="1CDD5E79" w:rsidR="006B4A02" w:rsidRDefault="006B4A02"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The majority of studies on governance have attempted to explain the different results and observations using the agency theory framework (</w:t>
      </w:r>
      <w:r w:rsidRPr="001239F0">
        <w:rPr>
          <w:rFonts w:ascii="Times New Roman" w:hAnsi="Times New Roman" w:cs="Times New Roman"/>
          <w:sz w:val="24"/>
          <w:szCs w:val="24"/>
        </w:rPr>
        <w:t xml:space="preserve">Aguilera </w:t>
      </w:r>
      <w:r w:rsidR="001F2E5E" w:rsidRPr="001F2E5E">
        <w:rPr>
          <w:rFonts w:ascii="Times New Roman" w:hAnsi="Times New Roman" w:cs="Times New Roman"/>
          <w:i/>
          <w:iCs/>
        </w:rPr>
        <w:t>et al.</w:t>
      </w:r>
      <w:r>
        <w:rPr>
          <w:rFonts w:ascii="Times New Roman" w:hAnsi="Times New Roman" w:cs="Times New Roman"/>
          <w:sz w:val="24"/>
          <w:szCs w:val="24"/>
        </w:rPr>
        <w:t xml:space="preserve"> </w:t>
      </w:r>
      <w:r w:rsidRPr="001239F0">
        <w:rPr>
          <w:rFonts w:ascii="Times New Roman" w:hAnsi="Times New Roman" w:cs="Times New Roman"/>
          <w:sz w:val="24"/>
          <w:szCs w:val="24"/>
        </w:rPr>
        <w:t>2015</w:t>
      </w:r>
      <w:r w:rsidR="00682D1F">
        <w:rPr>
          <w:rFonts w:ascii="Times New Roman" w:hAnsi="Times New Roman" w:cs="Times New Roman"/>
          <w:sz w:val="24"/>
          <w:szCs w:val="24"/>
        </w:rPr>
        <w:t>,</w:t>
      </w:r>
      <w:r>
        <w:rPr>
          <w:rFonts w:ascii="Times New Roman" w:hAnsi="Times New Roman" w:cs="Times New Roman"/>
          <w:sz w:val="24"/>
          <w:szCs w:val="24"/>
        </w:rPr>
        <w:t xml:space="preserve"> </w:t>
      </w:r>
      <w:r w:rsidRPr="005A00BA">
        <w:rPr>
          <w:rFonts w:ascii="Times New Roman" w:hAnsi="Times New Roman" w:cs="Times New Roman"/>
          <w:sz w:val="24"/>
          <w:szCs w:val="24"/>
        </w:rPr>
        <w:t>Schiehll and</w:t>
      </w:r>
      <w:r>
        <w:rPr>
          <w:rFonts w:ascii="Times New Roman" w:hAnsi="Times New Roman" w:cs="Times New Roman"/>
          <w:sz w:val="24"/>
          <w:szCs w:val="24"/>
        </w:rPr>
        <w:t xml:space="preserve"> Martin </w:t>
      </w:r>
      <w:r w:rsidRPr="005A00BA">
        <w:rPr>
          <w:rFonts w:ascii="Times New Roman" w:hAnsi="Times New Roman" w:cs="Times New Roman"/>
          <w:sz w:val="24"/>
          <w:szCs w:val="24"/>
        </w:rPr>
        <w:t>2016</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Agency theory highlights the possibility that the managers of a corporate may use every opportunity to maximize their self-interest, which normally comes at the expense of the real owners of the corporate (Jensen and Meckling 1976). Therefore, in the absence of an effective governance framework, internal or external, managers may, for example, undertake some value destroying investments, forgo some value-creating ones, or even manipulate financial results, as </w:t>
      </w:r>
      <w:r>
        <w:rPr>
          <w:rFonts w:ascii="Times New Roman" w:hAnsi="Times New Roman" w:cs="Times New Roman"/>
          <w:sz w:val="24"/>
          <w:szCs w:val="24"/>
        </w:rPr>
        <w:lastRenderedPageBreak/>
        <w:t xml:space="preserve">part of their pursuit of their self-interests. Put differently, agency theory suggests that from the owners’ perspective, firms can perform better and operate more efficiently when these agency issues are addressed using the appropriate mechanisms. </w:t>
      </w:r>
    </w:p>
    <w:p w14:paraId="4F30FBBD"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06D4675D" w14:textId="737E0D1D" w:rsidR="001F1792" w:rsidRDefault="001F2E5E" w:rsidP="00BF2605">
      <w:pPr>
        <w:keepNext/>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FE1B5B">
        <w:rPr>
          <w:rFonts w:ascii="Times New Roman" w:hAnsi="Times New Roman" w:cs="Times New Roman"/>
          <w:sz w:val="24"/>
          <w:szCs w:val="24"/>
        </w:rPr>
        <w:t>Before the influential works</w:t>
      </w:r>
      <w:r w:rsidR="003E4F41">
        <w:rPr>
          <w:rFonts w:ascii="Times New Roman" w:hAnsi="Times New Roman" w:cs="Times New Roman"/>
          <w:sz w:val="24"/>
          <w:szCs w:val="24"/>
        </w:rPr>
        <w:t xml:space="preserve"> of La Porta </w:t>
      </w:r>
      <w:r w:rsidR="003E4F41" w:rsidRPr="002A1A6A">
        <w:rPr>
          <w:rFonts w:ascii="Times New Roman" w:hAnsi="Times New Roman" w:cs="Times New Roman"/>
          <w:i/>
          <w:iCs/>
          <w:sz w:val="24"/>
          <w:szCs w:val="24"/>
        </w:rPr>
        <w:t>et al.</w:t>
      </w:r>
      <w:r w:rsidR="003E4F41">
        <w:rPr>
          <w:rFonts w:ascii="Times New Roman" w:hAnsi="Times New Roman" w:cs="Times New Roman"/>
          <w:sz w:val="24"/>
          <w:szCs w:val="24"/>
        </w:rPr>
        <w:t xml:space="preserve"> (1997, </w:t>
      </w:r>
      <w:r w:rsidR="00EF3B45">
        <w:rPr>
          <w:rFonts w:ascii="Times New Roman" w:hAnsi="Times New Roman" w:cs="Times New Roman"/>
          <w:sz w:val="24"/>
          <w:szCs w:val="24"/>
        </w:rPr>
        <w:t>1998)</w:t>
      </w:r>
      <w:r w:rsidR="00952F35">
        <w:rPr>
          <w:rFonts w:ascii="Times New Roman" w:hAnsi="Times New Roman" w:cs="Times New Roman"/>
          <w:sz w:val="24"/>
          <w:szCs w:val="24"/>
        </w:rPr>
        <w:t xml:space="preserve">, </w:t>
      </w:r>
      <w:r w:rsidR="00CF7F32">
        <w:rPr>
          <w:rFonts w:ascii="Times New Roman" w:hAnsi="Times New Roman" w:cs="Times New Roman"/>
          <w:sz w:val="24"/>
          <w:szCs w:val="24"/>
        </w:rPr>
        <w:t>most of</w:t>
      </w:r>
      <w:r w:rsidR="00FE1B5B">
        <w:rPr>
          <w:rFonts w:ascii="Times New Roman" w:hAnsi="Times New Roman" w:cs="Times New Roman"/>
          <w:sz w:val="24"/>
          <w:szCs w:val="24"/>
        </w:rPr>
        <w:t xml:space="preserve"> the studies in corporate governance have focused on examining corporate governance practices in firms within one country. </w:t>
      </w:r>
      <w:r w:rsidR="0053195E">
        <w:rPr>
          <w:rFonts w:ascii="Times New Roman" w:hAnsi="Times New Roman" w:cs="Times New Roman"/>
          <w:sz w:val="24"/>
          <w:szCs w:val="24"/>
        </w:rPr>
        <w:t>More specifically, research on corporate governance has historically focused on internal governance mechanisms, such as: ownership, board structure, and compensation (</w:t>
      </w:r>
      <w:r w:rsidR="0053195E" w:rsidRPr="002A6987">
        <w:rPr>
          <w:rFonts w:ascii="Times New Roman" w:hAnsi="Times New Roman" w:cs="Times New Roman"/>
          <w:sz w:val="24"/>
          <w:szCs w:val="24"/>
        </w:rPr>
        <w:t>A</w:t>
      </w:r>
      <w:r w:rsidR="0053195E">
        <w:rPr>
          <w:rFonts w:ascii="Times New Roman" w:hAnsi="Times New Roman" w:cs="Times New Roman"/>
          <w:sz w:val="24"/>
          <w:szCs w:val="24"/>
        </w:rPr>
        <w:t>guilera</w:t>
      </w:r>
      <w:r w:rsidR="0053195E" w:rsidRPr="002A6987">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53195E">
        <w:rPr>
          <w:rFonts w:ascii="Times New Roman" w:hAnsi="Times New Roman" w:cs="Times New Roman"/>
          <w:sz w:val="24"/>
          <w:szCs w:val="24"/>
        </w:rPr>
        <w:t xml:space="preserve"> 2</w:t>
      </w:r>
      <w:r w:rsidR="0053195E" w:rsidRPr="002A6987">
        <w:rPr>
          <w:rFonts w:ascii="Times New Roman" w:hAnsi="Times New Roman" w:cs="Times New Roman"/>
          <w:sz w:val="24"/>
          <w:szCs w:val="24"/>
        </w:rPr>
        <w:t>015</w:t>
      </w:r>
      <w:r w:rsidR="00682D1F">
        <w:rPr>
          <w:rFonts w:ascii="Times New Roman" w:hAnsi="Times New Roman" w:cs="Times New Roman"/>
          <w:sz w:val="24"/>
          <w:szCs w:val="24"/>
        </w:rPr>
        <w:t>,</w:t>
      </w:r>
      <w:r w:rsidR="0053195E">
        <w:rPr>
          <w:rFonts w:ascii="Times New Roman" w:hAnsi="Times New Roman" w:cs="Times New Roman"/>
          <w:sz w:val="24"/>
          <w:szCs w:val="24"/>
        </w:rPr>
        <w:t xml:space="preserve"> Essen</w:t>
      </w:r>
      <w:r w:rsidR="00DB6484">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53195E">
        <w:rPr>
          <w:rFonts w:ascii="Times New Roman" w:hAnsi="Times New Roman" w:cs="Times New Roman"/>
          <w:sz w:val="24"/>
          <w:szCs w:val="24"/>
        </w:rPr>
        <w:t xml:space="preserve"> </w:t>
      </w:r>
      <w:r w:rsidR="0053195E" w:rsidRPr="00C83031">
        <w:rPr>
          <w:rFonts w:ascii="Times New Roman" w:hAnsi="Times New Roman" w:cs="Times New Roman"/>
          <w:sz w:val="24"/>
          <w:szCs w:val="24"/>
        </w:rPr>
        <w:t>2013</w:t>
      </w:r>
      <w:r w:rsidR="00682D1F">
        <w:rPr>
          <w:rFonts w:ascii="Times New Roman" w:hAnsi="Times New Roman" w:cs="Times New Roman"/>
          <w:sz w:val="24"/>
          <w:szCs w:val="24"/>
        </w:rPr>
        <w:t>,</w:t>
      </w:r>
      <w:r w:rsidR="0053195E">
        <w:rPr>
          <w:rFonts w:ascii="Times New Roman" w:hAnsi="Times New Roman" w:cs="Times New Roman"/>
          <w:sz w:val="24"/>
          <w:szCs w:val="24"/>
        </w:rPr>
        <w:t xml:space="preserve"> </w:t>
      </w:r>
      <w:r w:rsidR="0053195E" w:rsidRPr="005A00BA">
        <w:rPr>
          <w:rFonts w:ascii="Times New Roman" w:hAnsi="Times New Roman" w:cs="Times New Roman"/>
          <w:sz w:val="24"/>
          <w:szCs w:val="24"/>
        </w:rPr>
        <w:t>Schiehll and</w:t>
      </w:r>
      <w:r w:rsidR="0053195E">
        <w:rPr>
          <w:rFonts w:ascii="Times New Roman" w:hAnsi="Times New Roman" w:cs="Times New Roman"/>
          <w:sz w:val="24"/>
          <w:szCs w:val="24"/>
        </w:rPr>
        <w:t xml:space="preserve"> Martin </w:t>
      </w:r>
      <w:r w:rsidR="0053195E" w:rsidRPr="005A00BA">
        <w:rPr>
          <w:rFonts w:ascii="Times New Roman" w:hAnsi="Times New Roman" w:cs="Times New Roman"/>
          <w:sz w:val="24"/>
          <w:szCs w:val="24"/>
        </w:rPr>
        <w:t>2016</w:t>
      </w:r>
      <w:r w:rsidR="0053195E">
        <w:rPr>
          <w:rFonts w:ascii="Times New Roman" w:hAnsi="Times New Roman" w:cs="Times New Roman"/>
          <w:sz w:val="24"/>
          <w:szCs w:val="24"/>
        </w:rPr>
        <w:t>).</w:t>
      </w:r>
      <w:r w:rsidR="002056E2">
        <w:rPr>
          <w:rFonts w:ascii="Times New Roman" w:hAnsi="Times New Roman" w:cs="Times New Roman"/>
          <w:sz w:val="24"/>
          <w:szCs w:val="24"/>
        </w:rPr>
        <w:t xml:space="preserve"> As a result of this focus, our understanding of the role played by the country-level (external) mechanisms in influencing the firm’s governance characteristics, whether directly or indirectly, is still fairly limited (</w:t>
      </w:r>
      <w:r w:rsidR="002056E2" w:rsidRPr="002A6987">
        <w:rPr>
          <w:rFonts w:ascii="Times New Roman" w:hAnsi="Times New Roman" w:cs="Times New Roman"/>
          <w:sz w:val="24"/>
          <w:szCs w:val="24"/>
        </w:rPr>
        <w:t>A</w:t>
      </w:r>
      <w:r w:rsidR="002056E2">
        <w:rPr>
          <w:rFonts w:ascii="Times New Roman" w:hAnsi="Times New Roman" w:cs="Times New Roman"/>
          <w:sz w:val="24"/>
          <w:szCs w:val="24"/>
        </w:rPr>
        <w:t>guilera</w:t>
      </w:r>
      <w:r w:rsidR="002056E2" w:rsidRPr="002A6987">
        <w:rPr>
          <w:rFonts w:ascii="Times New Roman" w:hAnsi="Times New Roman" w:cs="Times New Roman"/>
          <w:sz w:val="24"/>
          <w:szCs w:val="24"/>
        </w:rPr>
        <w:t xml:space="preserve"> </w:t>
      </w:r>
      <w:r w:rsidRPr="001F2E5E">
        <w:rPr>
          <w:rFonts w:ascii="Times New Roman" w:hAnsi="Times New Roman" w:cs="Times New Roman"/>
          <w:i/>
          <w:iCs/>
        </w:rPr>
        <w:t>et al.</w:t>
      </w:r>
      <w:r w:rsidR="002056E2">
        <w:rPr>
          <w:rFonts w:ascii="Times New Roman" w:hAnsi="Times New Roman" w:cs="Times New Roman"/>
          <w:sz w:val="24"/>
          <w:szCs w:val="24"/>
        </w:rPr>
        <w:t xml:space="preserve"> 2</w:t>
      </w:r>
      <w:r w:rsidR="002056E2" w:rsidRPr="002A6987">
        <w:rPr>
          <w:rFonts w:ascii="Times New Roman" w:hAnsi="Times New Roman" w:cs="Times New Roman"/>
          <w:sz w:val="24"/>
          <w:szCs w:val="24"/>
        </w:rPr>
        <w:t>015</w:t>
      </w:r>
      <w:r w:rsidR="002056E2">
        <w:rPr>
          <w:rFonts w:ascii="Times New Roman" w:hAnsi="Times New Roman" w:cs="Times New Roman"/>
          <w:sz w:val="24"/>
          <w:szCs w:val="24"/>
        </w:rPr>
        <w:t>).</w:t>
      </w:r>
    </w:p>
    <w:p w14:paraId="285F4F62" w14:textId="77777777" w:rsidR="001F2E5E" w:rsidRDefault="001F2E5E" w:rsidP="00BF2605">
      <w:pPr>
        <w:keepNext/>
        <w:tabs>
          <w:tab w:val="left" w:pos="426"/>
        </w:tabs>
        <w:spacing w:after="0" w:line="288" w:lineRule="auto"/>
        <w:jc w:val="both"/>
        <w:rPr>
          <w:rFonts w:ascii="Times New Roman" w:hAnsi="Times New Roman" w:cs="Times New Roman"/>
          <w:sz w:val="24"/>
          <w:szCs w:val="24"/>
        </w:rPr>
      </w:pPr>
    </w:p>
    <w:p w14:paraId="27AA4A09" w14:textId="7CE18AD6" w:rsidR="001F2E5E"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6B4A02">
        <w:rPr>
          <w:rFonts w:ascii="Times New Roman" w:hAnsi="Times New Roman" w:cs="Times New Roman"/>
          <w:sz w:val="24"/>
          <w:szCs w:val="24"/>
        </w:rPr>
        <w:t>M</w:t>
      </w:r>
      <w:r w:rsidR="00565E6D">
        <w:rPr>
          <w:rFonts w:ascii="Times New Roman" w:hAnsi="Times New Roman" w:cs="Times New Roman"/>
          <w:sz w:val="24"/>
          <w:szCs w:val="24"/>
        </w:rPr>
        <w:t xml:space="preserve">any </w:t>
      </w:r>
      <w:r w:rsidR="006B4A02">
        <w:rPr>
          <w:rFonts w:ascii="Times New Roman" w:hAnsi="Times New Roman" w:cs="Times New Roman"/>
          <w:sz w:val="24"/>
          <w:szCs w:val="24"/>
        </w:rPr>
        <w:t>recent</w:t>
      </w:r>
      <w:r w:rsidR="00565E6D">
        <w:rPr>
          <w:rFonts w:ascii="Times New Roman" w:hAnsi="Times New Roman" w:cs="Times New Roman"/>
          <w:sz w:val="24"/>
          <w:szCs w:val="24"/>
        </w:rPr>
        <w:t xml:space="preserve"> studies have focused on examining the effectiveness of the different internal and external mechanisms through measuring their effect on </w:t>
      </w:r>
      <w:r w:rsidR="003E4F41">
        <w:rPr>
          <w:rFonts w:ascii="Times New Roman" w:hAnsi="Times New Roman" w:cs="Times New Roman"/>
          <w:sz w:val="24"/>
          <w:szCs w:val="24"/>
        </w:rPr>
        <w:t xml:space="preserve">a </w:t>
      </w:r>
      <w:r w:rsidR="00565E6D">
        <w:rPr>
          <w:rFonts w:ascii="Times New Roman" w:hAnsi="Times New Roman" w:cs="Times New Roman"/>
          <w:sz w:val="24"/>
          <w:szCs w:val="24"/>
        </w:rPr>
        <w:t>firm’s value, performance and</w:t>
      </w:r>
      <w:r w:rsidR="00BB2972">
        <w:rPr>
          <w:rFonts w:ascii="Times New Roman" w:hAnsi="Times New Roman" w:cs="Times New Roman"/>
          <w:sz w:val="24"/>
          <w:szCs w:val="24"/>
        </w:rPr>
        <w:t>/or</w:t>
      </w:r>
      <w:r w:rsidR="00565E6D">
        <w:rPr>
          <w:rFonts w:ascii="Times New Roman" w:hAnsi="Times New Roman" w:cs="Times New Roman"/>
          <w:sz w:val="24"/>
          <w:szCs w:val="24"/>
        </w:rPr>
        <w:t xml:space="preserve"> </w:t>
      </w:r>
      <w:r w:rsidR="00BB2972">
        <w:rPr>
          <w:rFonts w:ascii="Times New Roman" w:hAnsi="Times New Roman" w:cs="Times New Roman"/>
          <w:sz w:val="24"/>
          <w:szCs w:val="24"/>
        </w:rPr>
        <w:t xml:space="preserve">overall </w:t>
      </w:r>
      <w:r w:rsidR="00565E6D">
        <w:rPr>
          <w:rFonts w:ascii="Times New Roman" w:hAnsi="Times New Roman" w:cs="Times New Roman"/>
          <w:sz w:val="24"/>
          <w:szCs w:val="24"/>
        </w:rPr>
        <w:t>decision-making process.</w:t>
      </w:r>
      <w:r w:rsidR="00BB2972">
        <w:rPr>
          <w:rFonts w:ascii="Times New Roman" w:hAnsi="Times New Roman" w:cs="Times New Roman"/>
          <w:sz w:val="24"/>
          <w:szCs w:val="24"/>
        </w:rPr>
        <w:t xml:space="preserve"> However, an agreement on the nature of the relationship between </w:t>
      </w:r>
      <w:r w:rsidR="00322C40">
        <w:rPr>
          <w:rFonts w:ascii="Times New Roman" w:hAnsi="Times New Roman" w:cs="Times New Roman"/>
          <w:sz w:val="24"/>
          <w:szCs w:val="24"/>
        </w:rPr>
        <w:t>the internal and the external</w:t>
      </w:r>
      <w:r w:rsidR="00BB2972">
        <w:rPr>
          <w:rFonts w:ascii="Times New Roman" w:hAnsi="Times New Roman" w:cs="Times New Roman"/>
          <w:sz w:val="24"/>
          <w:szCs w:val="24"/>
        </w:rPr>
        <w:t xml:space="preserve"> mechanisms and their </w:t>
      </w:r>
      <w:r w:rsidR="00363CFB">
        <w:rPr>
          <w:rFonts w:ascii="Times New Roman" w:hAnsi="Times New Roman" w:cs="Times New Roman"/>
          <w:sz w:val="24"/>
          <w:szCs w:val="24"/>
        </w:rPr>
        <w:t>joint</w:t>
      </w:r>
      <w:r w:rsidR="00BB2972">
        <w:rPr>
          <w:rFonts w:ascii="Times New Roman" w:hAnsi="Times New Roman" w:cs="Times New Roman"/>
          <w:sz w:val="24"/>
          <w:szCs w:val="24"/>
        </w:rPr>
        <w:t xml:space="preserve"> influence on </w:t>
      </w:r>
      <w:r w:rsidR="00646A04">
        <w:rPr>
          <w:rFonts w:ascii="Times New Roman" w:hAnsi="Times New Roman" w:cs="Times New Roman"/>
          <w:sz w:val="24"/>
          <w:szCs w:val="24"/>
        </w:rPr>
        <w:t xml:space="preserve">a </w:t>
      </w:r>
      <w:r w:rsidR="00BB2972">
        <w:rPr>
          <w:rFonts w:ascii="Times New Roman" w:hAnsi="Times New Roman" w:cs="Times New Roman"/>
          <w:sz w:val="24"/>
          <w:szCs w:val="24"/>
        </w:rPr>
        <w:t>firm’s performance or value does not seem to arise in literature</w:t>
      </w:r>
      <w:r w:rsidR="00EE0819">
        <w:rPr>
          <w:rFonts w:ascii="Times New Roman" w:hAnsi="Times New Roman" w:cs="Times New Roman"/>
          <w:sz w:val="24"/>
          <w:szCs w:val="24"/>
        </w:rPr>
        <w:t xml:space="preserve"> (see </w:t>
      </w:r>
      <w:r w:rsidR="00EE0819" w:rsidRPr="008E4D23">
        <w:rPr>
          <w:rFonts w:ascii="Times New Roman" w:hAnsi="Times New Roman" w:cs="Times New Roman"/>
          <w:sz w:val="24"/>
          <w:szCs w:val="24"/>
        </w:rPr>
        <w:t>Aggarwal</w:t>
      </w:r>
      <w:r w:rsidR="00EE0819">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EE0819">
        <w:rPr>
          <w:rFonts w:ascii="Times New Roman" w:hAnsi="Times New Roman" w:cs="Times New Roman"/>
          <w:sz w:val="24"/>
          <w:szCs w:val="24"/>
        </w:rPr>
        <w:t xml:space="preserve"> 2010</w:t>
      </w:r>
      <w:r w:rsidR="00682D1F">
        <w:rPr>
          <w:rFonts w:ascii="Times New Roman" w:hAnsi="Times New Roman" w:cs="Times New Roman"/>
          <w:sz w:val="24"/>
          <w:szCs w:val="24"/>
        </w:rPr>
        <w:t>,</w:t>
      </w:r>
      <w:r w:rsidR="00EE0819">
        <w:rPr>
          <w:rFonts w:ascii="Times New Roman" w:hAnsi="Times New Roman" w:cs="Times New Roman"/>
          <w:sz w:val="24"/>
          <w:szCs w:val="24"/>
        </w:rPr>
        <w:t xml:space="preserve"> </w:t>
      </w:r>
      <w:r w:rsidR="00EE0819" w:rsidRPr="001239F0">
        <w:rPr>
          <w:rFonts w:ascii="Times New Roman" w:hAnsi="Times New Roman" w:cs="Times New Roman"/>
          <w:sz w:val="24"/>
          <w:szCs w:val="24"/>
        </w:rPr>
        <w:t xml:space="preserve">Aguilera </w:t>
      </w:r>
      <w:r w:rsidR="00A94F42" w:rsidRPr="00A94F42">
        <w:rPr>
          <w:rFonts w:ascii="Times New Roman" w:hAnsi="Times New Roman" w:cs="Times New Roman"/>
          <w:i/>
          <w:iCs/>
          <w:sz w:val="24"/>
          <w:szCs w:val="24"/>
        </w:rPr>
        <w:t>et al.</w:t>
      </w:r>
      <w:r w:rsidR="00EE0819">
        <w:rPr>
          <w:rFonts w:ascii="Times New Roman" w:hAnsi="Times New Roman" w:cs="Times New Roman"/>
          <w:sz w:val="24"/>
          <w:szCs w:val="24"/>
        </w:rPr>
        <w:t xml:space="preserve"> </w:t>
      </w:r>
      <w:r w:rsidR="00EE0819" w:rsidRPr="001239F0">
        <w:rPr>
          <w:rFonts w:ascii="Times New Roman" w:hAnsi="Times New Roman" w:cs="Times New Roman"/>
          <w:sz w:val="24"/>
          <w:szCs w:val="24"/>
        </w:rPr>
        <w:t>2015</w:t>
      </w:r>
      <w:r w:rsidR="00682D1F">
        <w:rPr>
          <w:rFonts w:ascii="Times New Roman" w:hAnsi="Times New Roman" w:cs="Times New Roman"/>
          <w:sz w:val="24"/>
          <w:szCs w:val="24"/>
        </w:rPr>
        <w:t>,</w:t>
      </w:r>
      <w:r w:rsidR="00EE0819">
        <w:rPr>
          <w:rFonts w:ascii="Times New Roman" w:hAnsi="Times New Roman" w:cs="Times New Roman"/>
          <w:sz w:val="24"/>
          <w:szCs w:val="24"/>
        </w:rPr>
        <w:t xml:space="preserve"> </w:t>
      </w:r>
      <w:r w:rsidR="00EE0819" w:rsidRPr="005A00BA">
        <w:rPr>
          <w:rFonts w:ascii="Times New Roman" w:hAnsi="Times New Roman" w:cs="Times New Roman"/>
          <w:sz w:val="24"/>
          <w:szCs w:val="24"/>
        </w:rPr>
        <w:t>Schiehll and</w:t>
      </w:r>
      <w:r w:rsidR="00EE0819">
        <w:rPr>
          <w:rFonts w:ascii="Times New Roman" w:hAnsi="Times New Roman" w:cs="Times New Roman"/>
          <w:sz w:val="24"/>
          <w:szCs w:val="24"/>
        </w:rPr>
        <w:t xml:space="preserve"> Martin </w:t>
      </w:r>
      <w:r w:rsidR="00EE0819" w:rsidRPr="005A00BA">
        <w:rPr>
          <w:rFonts w:ascii="Times New Roman" w:hAnsi="Times New Roman" w:cs="Times New Roman"/>
          <w:sz w:val="24"/>
          <w:szCs w:val="24"/>
        </w:rPr>
        <w:t>2016</w:t>
      </w:r>
      <w:r w:rsidR="00EE0819">
        <w:rPr>
          <w:rFonts w:ascii="Times New Roman" w:hAnsi="Times New Roman" w:cs="Times New Roman"/>
          <w:sz w:val="24"/>
          <w:szCs w:val="24"/>
        </w:rPr>
        <w:t>).</w:t>
      </w:r>
      <w:r w:rsidR="006B5081">
        <w:rPr>
          <w:rFonts w:ascii="Times New Roman" w:hAnsi="Times New Roman" w:cs="Times New Roman"/>
          <w:sz w:val="24"/>
          <w:szCs w:val="24"/>
        </w:rPr>
        <w:t xml:space="preserve"> </w:t>
      </w:r>
      <w:r w:rsidR="001E6F1C" w:rsidRPr="005A00BA">
        <w:rPr>
          <w:rFonts w:ascii="Times New Roman" w:hAnsi="Times New Roman" w:cs="Times New Roman"/>
          <w:sz w:val="24"/>
          <w:szCs w:val="24"/>
        </w:rPr>
        <w:t>Schiehll and</w:t>
      </w:r>
      <w:r w:rsidR="001E6F1C">
        <w:rPr>
          <w:rFonts w:ascii="Times New Roman" w:hAnsi="Times New Roman" w:cs="Times New Roman"/>
          <w:sz w:val="24"/>
          <w:szCs w:val="24"/>
        </w:rPr>
        <w:t xml:space="preserve"> Martin (</w:t>
      </w:r>
      <w:r w:rsidR="001E6F1C" w:rsidRPr="005A00BA">
        <w:rPr>
          <w:rFonts w:ascii="Times New Roman" w:hAnsi="Times New Roman" w:cs="Times New Roman"/>
          <w:sz w:val="24"/>
          <w:szCs w:val="24"/>
        </w:rPr>
        <w:t>2016</w:t>
      </w:r>
      <w:r w:rsidR="001E6F1C">
        <w:rPr>
          <w:rFonts w:ascii="Times New Roman" w:hAnsi="Times New Roman" w:cs="Times New Roman"/>
          <w:sz w:val="24"/>
          <w:szCs w:val="24"/>
        </w:rPr>
        <w:t xml:space="preserve">) classify the </w:t>
      </w:r>
      <w:r w:rsidR="003F10CA">
        <w:rPr>
          <w:rFonts w:ascii="Times New Roman" w:hAnsi="Times New Roman" w:cs="Times New Roman"/>
          <w:sz w:val="24"/>
          <w:szCs w:val="24"/>
        </w:rPr>
        <w:t>causal-</w:t>
      </w:r>
      <w:r w:rsidR="001E6F1C">
        <w:rPr>
          <w:rFonts w:ascii="Times New Roman" w:hAnsi="Times New Roman" w:cs="Times New Roman"/>
          <w:sz w:val="24"/>
          <w:szCs w:val="24"/>
        </w:rPr>
        <w:t xml:space="preserve">relationship models used in previous studies into four main </w:t>
      </w:r>
      <w:r w:rsidR="001E6F1C" w:rsidRPr="006D6A81">
        <w:rPr>
          <w:rFonts w:ascii="Times New Roman" w:hAnsi="Times New Roman" w:cs="Times New Roman"/>
          <w:sz w:val="24"/>
          <w:szCs w:val="24"/>
        </w:rPr>
        <w:t>categories: additive (</w:t>
      </w:r>
      <w:r w:rsidR="00F27C61">
        <w:rPr>
          <w:rFonts w:ascii="Times New Roman" w:hAnsi="Times New Roman" w:cs="Times New Roman"/>
          <w:sz w:val="24"/>
          <w:szCs w:val="24"/>
        </w:rPr>
        <w:t>for example,</w:t>
      </w:r>
      <w:r w:rsidR="001E6F1C" w:rsidRPr="006D6A81">
        <w:rPr>
          <w:rFonts w:ascii="Times New Roman" w:hAnsi="Times New Roman" w:cs="Times New Roman"/>
          <w:sz w:val="24"/>
          <w:szCs w:val="24"/>
        </w:rPr>
        <w:t xml:space="preserve"> Aggarwal </w:t>
      </w:r>
      <w:r w:rsidR="00A94F42" w:rsidRPr="00A94F42">
        <w:rPr>
          <w:rFonts w:ascii="Times New Roman" w:hAnsi="Times New Roman" w:cs="Times New Roman"/>
          <w:i/>
          <w:iCs/>
          <w:sz w:val="24"/>
          <w:szCs w:val="24"/>
        </w:rPr>
        <w:t>et al.</w:t>
      </w:r>
      <w:r w:rsidR="001E6F1C" w:rsidRPr="006D6A81">
        <w:rPr>
          <w:rFonts w:ascii="Times New Roman" w:hAnsi="Times New Roman" w:cs="Times New Roman"/>
          <w:sz w:val="24"/>
          <w:szCs w:val="24"/>
        </w:rPr>
        <w:t xml:space="preserve"> 2011), intervening (</w:t>
      </w:r>
      <w:r w:rsidR="00F27C61">
        <w:rPr>
          <w:rFonts w:ascii="Times New Roman" w:hAnsi="Times New Roman" w:cs="Times New Roman"/>
          <w:sz w:val="24"/>
          <w:szCs w:val="24"/>
        </w:rPr>
        <w:t>for example,</w:t>
      </w:r>
      <w:r w:rsidR="00570F15" w:rsidRPr="006D6A81">
        <w:rPr>
          <w:rFonts w:ascii="Times New Roman" w:hAnsi="Times New Roman" w:cs="Times New Roman"/>
          <w:sz w:val="24"/>
          <w:szCs w:val="24"/>
        </w:rPr>
        <w:t xml:space="preserve"> </w:t>
      </w:r>
      <w:r w:rsidR="001E6F1C" w:rsidRPr="006D6A81">
        <w:rPr>
          <w:rFonts w:ascii="Times New Roman" w:hAnsi="Times New Roman" w:cs="Times New Roman"/>
          <w:sz w:val="24"/>
          <w:szCs w:val="24"/>
        </w:rPr>
        <w:t>García-Castro</w:t>
      </w:r>
      <w:r w:rsidR="00DB6484">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1E6F1C" w:rsidRPr="006D6A81">
        <w:rPr>
          <w:rFonts w:ascii="Times New Roman" w:hAnsi="Times New Roman" w:cs="Times New Roman"/>
          <w:sz w:val="24"/>
          <w:szCs w:val="24"/>
        </w:rPr>
        <w:t xml:space="preserve"> 2013), independent</w:t>
      </w:r>
      <w:r w:rsidR="001E6F1C">
        <w:rPr>
          <w:rFonts w:ascii="Times New Roman" w:hAnsi="Times New Roman" w:cs="Times New Roman"/>
          <w:sz w:val="24"/>
          <w:szCs w:val="24"/>
        </w:rPr>
        <w:t xml:space="preserve"> (</w:t>
      </w:r>
      <w:r w:rsidR="00F27C61">
        <w:rPr>
          <w:rFonts w:ascii="Times New Roman" w:hAnsi="Times New Roman" w:cs="Times New Roman"/>
          <w:sz w:val="24"/>
          <w:szCs w:val="24"/>
        </w:rPr>
        <w:t>for example,</w:t>
      </w:r>
      <w:r w:rsidR="001E6F1C">
        <w:rPr>
          <w:rFonts w:ascii="Times New Roman" w:hAnsi="Times New Roman" w:cs="Times New Roman"/>
          <w:sz w:val="24"/>
          <w:szCs w:val="24"/>
        </w:rPr>
        <w:t xml:space="preserve"> Durnev and Kim 200</w:t>
      </w:r>
      <w:r w:rsidR="001E6F1C" w:rsidRPr="00EE3478">
        <w:rPr>
          <w:rFonts w:ascii="Times New Roman" w:hAnsi="Times New Roman" w:cs="Times New Roman"/>
          <w:sz w:val="24"/>
          <w:szCs w:val="24"/>
        </w:rPr>
        <w:t>5</w:t>
      </w:r>
      <w:r w:rsidR="00682D1F">
        <w:rPr>
          <w:rFonts w:ascii="Times New Roman" w:hAnsi="Times New Roman" w:cs="Times New Roman"/>
          <w:sz w:val="24"/>
          <w:szCs w:val="24"/>
        </w:rPr>
        <w:t>,</w:t>
      </w:r>
      <w:r w:rsidR="001E6F1C" w:rsidRPr="00EE3478">
        <w:rPr>
          <w:rFonts w:ascii="Times New Roman" w:hAnsi="Times New Roman" w:cs="Times New Roman"/>
          <w:sz w:val="24"/>
          <w:szCs w:val="24"/>
        </w:rPr>
        <w:t xml:space="preserve"> </w:t>
      </w:r>
      <w:r w:rsidR="002A10CC" w:rsidRPr="00EE3478">
        <w:rPr>
          <w:rFonts w:ascii="Times New Roman" w:hAnsi="Times New Roman" w:cs="Times New Roman"/>
          <w:sz w:val="24"/>
          <w:szCs w:val="24"/>
        </w:rPr>
        <w:t>Essen</w:t>
      </w:r>
      <w:r w:rsidR="00A33752">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2A10CC" w:rsidRPr="00EE3478">
        <w:rPr>
          <w:rFonts w:ascii="Times New Roman" w:hAnsi="Times New Roman" w:cs="Times New Roman"/>
          <w:sz w:val="24"/>
          <w:szCs w:val="24"/>
        </w:rPr>
        <w:t xml:space="preserve"> 2013</w:t>
      </w:r>
      <w:r w:rsidR="001E6F1C" w:rsidRPr="00EE3478">
        <w:rPr>
          <w:rFonts w:ascii="Times New Roman" w:hAnsi="Times New Roman" w:cs="Times New Roman"/>
          <w:sz w:val="24"/>
          <w:szCs w:val="24"/>
        </w:rPr>
        <w:t>), and moderat</w:t>
      </w:r>
      <w:r w:rsidR="002A10CC" w:rsidRPr="00EE3478">
        <w:rPr>
          <w:rFonts w:ascii="Times New Roman" w:hAnsi="Times New Roman" w:cs="Times New Roman"/>
          <w:sz w:val="24"/>
          <w:szCs w:val="24"/>
        </w:rPr>
        <w:t xml:space="preserve">ing </w:t>
      </w:r>
      <w:r w:rsidR="001E6F1C" w:rsidRPr="00EE3478">
        <w:rPr>
          <w:rFonts w:ascii="Times New Roman" w:hAnsi="Times New Roman" w:cs="Times New Roman"/>
          <w:sz w:val="24"/>
          <w:szCs w:val="24"/>
        </w:rPr>
        <w:t>(</w:t>
      </w:r>
      <w:r w:rsidR="00F27C61">
        <w:rPr>
          <w:rFonts w:ascii="Times New Roman" w:hAnsi="Times New Roman" w:cs="Times New Roman"/>
          <w:sz w:val="24"/>
          <w:szCs w:val="24"/>
        </w:rPr>
        <w:t>for example,</w:t>
      </w:r>
      <w:r w:rsidR="00570F15" w:rsidRPr="00EE3478">
        <w:rPr>
          <w:rFonts w:ascii="Times New Roman" w:hAnsi="Times New Roman" w:cs="Times New Roman"/>
          <w:sz w:val="24"/>
          <w:szCs w:val="24"/>
        </w:rPr>
        <w:t xml:space="preserve"> </w:t>
      </w:r>
      <w:r w:rsidR="001E6F1C" w:rsidRPr="00EE3478">
        <w:rPr>
          <w:rFonts w:ascii="Times New Roman" w:hAnsi="Times New Roman" w:cs="Times New Roman"/>
          <w:sz w:val="24"/>
          <w:szCs w:val="24"/>
        </w:rPr>
        <w:t>Chua</w:t>
      </w:r>
      <w:r w:rsidR="00DB6484">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1E6F1C" w:rsidRPr="00EE3478">
        <w:rPr>
          <w:rFonts w:ascii="Times New Roman" w:hAnsi="Times New Roman" w:cs="Times New Roman"/>
          <w:sz w:val="24"/>
          <w:szCs w:val="24"/>
        </w:rPr>
        <w:t xml:space="preserve"> 2007). </w:t>
      </w:r>
      <w:r w:rsidR="00570F15" w:rsidRPr="00EE3478">
        <w:rPr>
          <w:rFonts w:ascii="Times New Roman" w:hAnsi="Times New Roman" w:cs="Times New Roman"/>
          <w:sz w:val="24"/>
          <w:szCs w:val="24"/>
        </w:rPr>
        <w:t>While additive models treat country-level mechanisms as control</w:t>
      </w:r>
      <w:r w:rsidR="00570F15">
        <w:rPr>
          <w:rFonts w:ascii="Times New Roman" w:hAnsi="Times New Roman" w:cs="Times New Roman"/>
          <w:sz w:val="24"/>
          <w:szCs w:val="24"/>
        </w:rPr>
        <w:t xml:space="preserve"> variables, intervening models assume that </w:t>
      </w:r>
      <w:r w:rsidR="005D608E">
        <w:rPr>
          <w:rFonts w:ascii="Times New Roman" w:hAnsi="Times New Roman" w:cs="Times New Roman"/>
          <w:sz w:val="24"/>
          <w:szCs w:val="24"/>
        </w:rPr>
        <w:t xml:space="preserve">these mechanisms </w:t>
      </w:r>
      <w:r w:rsidR="00570F15">
        <w:rPr>
          <w:rFonts w:ascii="Times New Roman" w:hAnsi="Times New Roman" w:cs="Times New Roman"/>
          <w:sz w:val="24"/>
          <w:szCs w:val="24"/>
        </w:rPr>
        <w:t>have significant influence on firm-level mechanisms</w:t>
      </w:r>
      <w:r w:rsidR="005D608E">
        <w:rPr>
          <w:rFonts w:ascii="Times New Roman" w:hAnsi="Times New Roman" w:cs="Times New Roman"/>
          <w:sz w:val="24"/>
          <w:szCs w:val="24"/>
        </w:rPr>
        <w:t xml:space="preserve"> which in turn has a direct influence on a firm’s performance. Independent models, on the other hand, assume that both mechanisms, external and internal, exert a significant influence on a firm’s performance with the magnitude of the influence of each mechanis</w:t>
      </w:r>
      <w:r w:rsidR="003F10CA">
        <w:rPr>
          <w:rFonts w:ascii="Times New Roman" w:hAnsi="Times New Roman" w:cs="Times New Roman"/>
          <w:sz w:val="24"/>
          <w:szCs w:val="24"/>
        </w:rPr>
        <w:t xml:space="preserve">m being dependent on the other. </w:t>
      </w:r>
    </w:p>
    <w:p w14:paraId="19F734D4"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1D8E202C" w14:textId="43AA49EC" w:rsidR="001E6F1C"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D3380D">
        <w:rPr>
          <w:rFonts w:ascii="Times New Roman" w:hAnsi="Times New Roman" w:cs="Times New Roman"/>
          <w:sz w:val="24"/>
          <w:szCs w:val="24"/>
        </w:rPr>
        <w:t>The l</w:t>
      </w:r>
      <w:r w:rsidR="003F10CA">
        <w:rPr>
          <w:rFonts w:ascii="Times New Roman" w:hAnsi="Times New Roman" w:cs="Times New Roman"/>
          <w:sz w:val="24"/>
          <w:szCs w:val="24"/>
        </w:rPr>
        <w:t xml:space="preserve">ast category of models, moderating models, assume that country-level mechanisms do not affect a firm’s performance directly, but rather act as moderators of the effect of firm-level mechanisms on it. </w:t>
      </w:r>
      <w:r w:rsidR="006B4A02">
        <w:rPr>
          <w:rFonts w:ascii="Times New Roman" w:hAnsi="Times New Roman" w:cs="Times New Roman"/>
          <w:sz w:val="24"/>
          <w:szCs w:val="24"/>
        </w:rPr>
        <w:t>This study</w:t>
      </w:r>
      <w:r w:rsidR="00177C25">
        <w:rPr>
          <w:rFonts w:ascii="Times New Roman" w:hAnsi="Times New Roman" w:cs="Times New Roman"/>
          <w:sz w:val="24"/>
          <w:szCs w:val="24"/>
        </w:rPr>
        <w:t xml:space="preserve"> contribute</w:t>
      </w:r>
      <w:r w:rsidR="006B4A02">
        <w:rPr>
          <w:rFonts w:ascii="Times New Roman" w:hAnsi="Times New Roman" w:cs="Times New Roman"/>
          <w:sz w:val="24"/>
          <w:szCs w:val="24"/>
        </w:rPr>
        <w:t>s</w:t>
      </w:r>
      <w:r w:rsidR="00177C25">
        <w:rPr>
          <w:rFonts w:ascii="Times New Roman" w:hAnsi="Times New Roman" w:cs="Times New Roman"/>
          <w:sz w:val="24"/>
          <w:szCs w:val="24"/>
        </w:rPr>
        <w:t xml:space="preserve"> to this debate through re-examining the validity of the different causal-relationship models identified by </w:t>
      </w:r>
      <w:r w:rsidR="00177C25" w:rsidRPr="005A00BA">
        <w:rPr>
          <w:rFonts w:ascii="Times New Roman" w:hAnsi="Times New Roman" w:cs="Times New Roman"/>
          <w:sz w:val="24"/>
          <w:szCs w:val="24"/>
        </w:rPr>
        <w:t>Schiehll and</w:t>
      </w:r>
      <w:r w:rsidR="00177C25">
        <w:rPr>
          <w:rFonts w:ascii="Times New Roman" w:hAnsi="Times New Roman" w:cs="Times New Roman"/>
          <w:sz w:val="24"/>
          <w:szCs w:val="24"/>
        </w:rPr>
        <w:t xml:space="preserve"> Martin (</w:t>
      </w:r>
      <w:r w:rsidR="00177C25" w:rsidRPr="005A00BA">
        <w:rPr>
          <w:rFonts w:ascii="Times New Roman" w:hAnsi="Times New Roman" w:cs="Times New Roman"/>
          <w:sz w:val="24"/>
          <w:szCs w:val="24"/>
        </w:rPr>
        <w:t>2016</w:t>
      </w:r>
      <w:r w:rsidR="00177C25">
        <w:rPr>
          <w:rFonts w:ascii="Times New Roman" w:hAnsi="Times New Roman" w:cs="Times New Roman"/>
          <w:sz w:val="24"/>
          <w:szCs w:val="24"/>
        </w:rPr>
        <w:t>).</w:t>
      </w:r>
    </w:p>
    <w:p w14:paraId="76E2B0A8"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7074F31A" w14:textId="26045EC1" w:rsidR="0073548B"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9D42CA">
        <w:rPr>
          <w:rFonts w:ascii="Times New Roman" w:hAnsi="Times New Roman" w:cs="Times New Roman"/>
          <w:sz w:val="24"/>
          <w:szCs w:val="24"/>
        </w:rPr>
        <w:t>T</w:t>
      </w:r>
      <w:r w:rsidR="009A440E" w:rsidRPr="00916A59">
        <w:rPr>
          <w:rFonts w:ascii="Times New Roman" w:hAnsi="Times New Roman" w:cs="Times New Roman"/>
          <w:sz w:val="24"/>
          <w:szCs w:val="24"/>
        </w:rPr>
        <w:t>he current body of literature suffers</w:t>
      </w:r>
      <w:r w:rsidR="009F1024">
        <w:rPr>
          <w:rFonts w:ascii="Times New Roman" w:hAnsi="Times New Roman" w:cs="Times New Roman"/>
          <w:sz w:val="24"/>
          <w:szCs w:val="24"/>
        </w:rPr>
        <w:t xml:space="preserve"> </w:t>
      </w:r>
      <w:r w:rsidR="009A440E" w:rsidRPr="00916A59">
        <w:rPr>
          <w:rFonts w:ascii="Times New Roman" w:hAnsi="Times New Roman" w:cs="Times New Roman"/>
          <w:sz w:val="24"/>
          <w:szCs w:val="24"/>
        </w:rPr>
        <w:t xml:space="preserve">from several gaps </w:t>
      </w:r>
      <w:r w:rsidR="009D42CA">
        <w:rPr>
          <w:rFonts w:ascii="Times New Roman" w:hAnsi="Times New Roman" w:cs="Times New Roman"/>
          <w:sz w:val="24"/>
          <w:szCs w:val="24"/>
        </w:rPr>
        <w:t>in coverage</w:t>
      </w:r>
      <w:r w:rsidR="001D1F3D">
        <w:rPr>
          <w:rFonts w:ascii="Times New Roman" w:hAnsi="Times New Roman" w:cs="Times New Roman"/>
          <w:sz w:val="24"/>
          <w:szCs w:val="24"/>
        </w:rPr>
        <w:t>.</w:t>
      </w:r>
      <w:r w:rsidR="009A440E" w:rsidRPr="00916A59">
        <w:rPr>
          <w:rFonts w:ascii="Times New Roman" w:hAnsi="Times New Roman" w:cs="Times New Roman"/>
          <w:sz w:val="24"/>
          <w:szCs w:val="24"/>
        </w:rPr>
        <w:t xml:space="preserve"> Schiehll and Martin (2016) point out that for many countries, mainly emerging ones, there is little empirical evidence on the role of external governance mechanisms in influencing the firm’s governance framework. Aguilera</w:t>
      </w:r>
      <w:r w:rsidR="009A440E" w:rsidRPr="00C434B8">
        <w:rPr>
          <w:rFonts w:ascii="Times New Roman" w:hAnsi="Times New Roman" w:cs="Times New Roman"/>
          <w:i/>
          <w:iCs/>
          <w:sz w:val="24"/>
          <w:szCs w:val="24"/>
        </w:rPr>
        <w:t xml:space="preserve"> et al.</w:t>
      </w:r>
      <w:r w:rsidR="009A440E" w:rsidRPr="00916A59">
        <w:rPr>
          <w:rFonts w:ascii="Times New Roman" w:hAnsi="Times New Roman" w:cs="Times New Roman"/>
          <w:sz w:val="24"/>
          <w:szCs w:val="24"/>
        </w:rPr>
        <w:t xml:space="preserve"> (2015) highlights the scarcity of studies examining the interactions between the different external governance mechanisms. Schiehll and Martin (2016) and Kaufmann</w:t>
      </w:r>
      <w:r w:rsidR="009A440E" w:rsidRPr="00C434B8">
        <w:rPr>
          <w:rFonts w:ascii="Times New Roman" w:hAnsi="Times New Roman" w:cs="Times New Roman"/>
          <w:i/>
          <w:iCs/>
          <w:sz w:val="24"/>
          <w:szCs w:val="24"/>
        </w:rPr>
        <w:t xml:space="preserve"> et al.</w:t>
      </w:r>
      <w:r w:rsidR="009A440E" w:rsidRPr="00916A59">
        <w:rPr>
          <w:rFonts w:ascii="Times New Roman" w:hAnsi="Times New Roman" w:cs="Times New Roman"/>
          <w:sz w:val="24"/>
          <w:szCs w:val="24"/>
        </w:rPr>
        <w:t xml:space="preserve"> (2011) report that one of the </w:t>
      </w:r>
      <w:r w:rsidR="001D1F3D">
        <w:rPr>
          <w:rFonts w:ascii="Times New Roman" w:hAnsi="Times New Roman" w:cs="Times New Roman"/>
          <w:sz w:val="24"/>
          <w:szCs w:val="24"/>
        </w:rPr>
        <w:t>deficiencies of the</w:t>
      </w:r>
      <w:r w:rsidR="009A440E" w:rsidRPr="00916A59">
        <w:rPr>
          <w:rFonts w:ascii="Times New Roman" w:hAnsi="Times New Roman" w:cs="Times New Roman"/>
          <w:sz w:val="24"/>
          <w:szCs w:val="24"/>
        </w:rPr>
        <w:t xml:space="preserve"> past literature is the lack of a clear distinction between rules-based and outcome-based indicators of external governance. While the rules-based indicators </w:t>
      </w:r>
      <w:r w:rsidR="009A440E" w:rsidRPr="00916A59">
        <w:rPr>
          <w:rFonts w:ascii="Times New Roman" w:hAnsi="Times New Roman" w:cs="Times New Roman"/>
          <w:sz w:val="24"/>
          <w:szCs w:val="24"/>
        </w:rPr>
        <w:lastRenderedPageBreak/>
        <w:t>measure whether there are adequate rules to protect investors, outcome-based indicators reflect the actual outcome of these rules. They point out that a finer distinction between these two indicator groups in empirical research will most likely improve the reliability of our models and enhance our understanding of the nature of the relationship between in</w:t>
      </w:r>
      <w:r w:rsidR="0073548B">
        <w:rPr>
          <w:rFonts w:ascii="Times New Roman" w:hAnsi="Times New Roman" w:cs="Times New Roman"/>
          <w:sz w:val="24"/>
          <w:szCs w:val="24"/>
        </w:rPr>
        <w:t>ternal and external mechanisms.</w:t>
      </w:r>
    </w:p>
    <w:p w14:paraId="10B3D22E"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27EC53F5" w14:textId="5D92EDCD" w:rsidR="006A4C15" w:rsidRPr="009F1024"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6A4C15">
        <w:rPr>
          <w:rFonts w:ascii="Times New Roman" w:hAnsi="Times New Roman" w:cs="Times New Roman"/>
          <w:sz w:val="24"/>
          <w:szCs w:val="24"/>
        </w:rPr>
        <w:t xml:space="preserve">There are a number of methodological issues relating to the past research. </w:t>
      </w:r>
      <w:r w:rsidR="009A440E" w:rsidRPr="00916A59">
        <w:rPr>
          <w:rFonts w:ascii="Times New Roman" w:hAnsi="Times New Roman" w:cs="Times New Roman"/>
          <w:sz w:val="24"/>
          <w:szCs w:val="24"/>
        </w:rPr>
        <w:t xml:space="preserve">Aguilera </w:t>
      </w:r>
      <w:r w:rsidR="009A440E" w:rsidRPr="002A1A6A">
        <w:rPr>
          <w:rFonts w:ascii="Times New Roman" w:hAnsi="Times New Roman" w:cs="Times New Roman"/>
          <w:i/>
          <w:iCs/>
          <w:sz w:val="24"/>
          <w:szCs w:val="24"/>
        </w:rPr>
        <w:t>et al.</w:t>
      </w:r>
      <w:r w:rsidR="009A440E" w:rsidRPr="00916A59">
        <w:rPr>
          <w:rFonts w:ascii="Times New Roman" w:hAnsi="Times New Roman" w:cs="Times New Roman"/>
          <w:sz w:val="24"/>
          <w:szCs w:val="24"/>
        </w:rPr>
        <w:t xml:space="preserve"> (2015) and Schiehll and Martin (2016) raise concerns about the usual treatment of governance mechanisms as exogenous variables while evidence </w:t>
      </w:r>
      <w:r w:rsidR="00916A59" w:rsidRPr="00916A59">
        <w:rPr>
          <w:rFonts w:ascii="Times New Roman" w:hAnsi="Times New Roman" w:cs="Times New Roman"/>
          <w:sz w:val="24"/>
          <w:szCs w:val="24"/>
        </w:rPr>
        <w:t xml:space="preserve">from the literature </w:t>
      </w:r>
      <w:r w:rsidR="009A440E" w:rsidRPr="00916A59">
        <w:rPr>
          <w:rFonts w:ascii="Times New Roman" w:hAnsi="Times New Roman" w:cs="Times New Roman"/>
          <w:sz w:val="24"/>
          <w:szCs w:val="24"/>
        </w:rPr>
        <w:t>suggests the potential presence of unobservable heterogeneity and simultaneity</w:t>
      </w:r>
      <w:r w:rsidR="009A440E" w:rsidRPr="00916A59">
        <w:rPr>
          <w:rStyle w:val="FootnoteReference"/>
          <w:rFonts w:ascii="Times New Roman" w:hAnsi="Times New Roman" w:cs="Times New Roman"/>
          <w:sz w:val="24"/>
          <w:szCs w:val="24"/>
        </w:rPr>
        <w:footnoteReference w:id="2"/>
      </w:r>
      <w:r w:rsidR="009A440E" w:rsidRPr="00916A59">
        <w:rPr>
          <w:rFonts w:ascii="Times New Roman" w:hAnsi="Times New Roman" w:cs="Times New Roman"/>
          <w:sz w:val="24"/>
          <w:szCs w:val="24"/>
        </w:rPr>
        <w:t>.</w:t>
      </w:r>
      <w:r w:rsidR="00A33752">
        <w:rPr>
          <w:rFonts w:ascii="Times New Roman" w:hAnsi="Times New Roman" w:cs="Times New Roman"/>
          <w:sz w:val="24"/>
          <w:szCs w:val="24"/>
        </w:rPr>
        <w:t xml:space="preserve"> Essen </w:t>
      </w:r>
      <w:r w:rsidR="00A33752" w:rsidRPr="002A1A6A">
        <w:rPr>
          <w:rFonts w:ascii="Times New Roman" w:hAnsi="Times New Roman" w:cs="Times New Roman"/>
          <w:i/>
          <w:iCs/>
          <w:sz w:val="24"/>
          <w:szCs w:val="24"/>
        </w:rPr>
        <w:t>et al.</w:t>
      </w:r>
      <w:r w:rsidR="00A33752">
        <w:rPr>
          <w:rFonts w:ascii="Times New Roman" w:hAnsi="Times New Roman" w:cs="Times New Roman"/>
          <w:sz w:val="24"/>
          <w:szCs w:val="24"/>
        </w:rPr>
        <w:t xml:space="preserve"> (</w:t>
      </w:r>
      <w:r w:rsidR="00A33752" w:rsidRPr="00C83031">
        <w:rPr>
          <w:rFonts w:ascii="Times New Roman" w:hAnsi="Times New Roman" w:cs="Times New Roman"/>
          <w:sz w:val="24"/>
          <w:szCs w:val="24"/>
        </w:rPr>
        <w:t>2013</w:t>
      </w:r>
      <w:r w:rsidR="00A33752">
        <w:rPr>
          <w:rFonts w:ascii="Times New Roman" w:hAnsi="Times New Roman" w:cs="Times New Roman"/>
          <w:sz w:val="24"/>
          <w:szCs w:val="24"/>
        </w:rPr>
        <w:t xml:space="preserve">) also raise concerns about the reliance on </w:t>
      </w:r>
      <w:r w:rsidR="0009534A" w:rsidRPr="0009534A">
        <w:rPr>
          <w:rFonts w:ascii="Times New Roman" w:hAnsi="Times New Roman" w:cs="Times New Roman"/>
          <w:sz w:val="24"/>
          <w:szCs w:val="24"/>
        </w:rPr>
        <w:t>ordinary least squares (OLS)</w:t>
      </w:r>
      <w:r w:rsidR="0009534A">
        <w:rPr>
          <w:rFonts w:ascii="Times New Roman" w:hAnsi="Times New Roman" w:cs="Times New Roman"/>
          <w:sz w:val="24"/>
          <w:szCs w:val="24"/>
        </w:rPr>
        <w:t xml:space="preserve"> regressions to analyze the relationship between internal and external governance mechanisms and firm performance. They point out that due to the fact the firms are nested within countries, the standard assumption of observation independence is most likely to be violated. This happens because firms within one country </w:t>
      </w:r>
      <w:r w:rsidR="0073548B">
        <w:rPr>
          <w:rFonts w:ascii="Times New Roman" w:hAnsi="Times New Roman" w:cs="Times New Roman"/>
          <w:sz w:val="24"/>
          <w:szCs w:val="24"/>
        </w:rPr>
        <w:t>are</w:t>
      </w:r>
      <w:r w:rsidR="0009534A">
        <w:rPr>
          <w:rFonts w:ascii="Times New Roman" w:hAnsi="Times New Roman" w:cs="Times New Roman"/>
          <w:sz w:val="24"/>
          <w:szCs w:val="24"/>
        </w:rPr>
        <w:t xml:space="preserve"> generally more similar than firms from different countrie</w:t>
      </w:r>
      <w:r w:rsidR="0073548B">
        <w:rPr>
          <w:rFonts w:ascii="Times New Roman" w:hAnsi="Times New Roman" w:cs="Times New Roman"/>
          <w:sz w:val="24"/>
          <w:szCs w:val="24"/>
        </w:rPr>
        <w:t>s</w:t>
      </w:r>
      <w:r w:rsidR="0009534A">
        <w:rPr>
          <w:rFonts w:ascii="Times New Roman" w:hAnsi="Times New Roman" w:cs="Times New Roman"/>
          <w:sz w:val="24"/>
          <w:szCs w:val="24"/>
        </w:rPr>
        <w:t xml:space="preserve">. A violation of the independence assumption </w:t>
      </w:r>
      <w:r w:rsidR="0073548B">
        <w:rPr>
          <w:rFonts w:ascii="Times New Roman" w:hAnsi="Times New Roman" w:cs="Times New Roman"/>
          <w:sz w:val="24"/>
          <w:szCs w:val="24"/>
        </w:rPr>
        <w:t>causes</w:t>
      </w:r>
      <w:r w:rsidR="0009534A">
        <w:rPr>
          <w:rFonts w:ascii="Times New Roman" w:hAnsi="Times New Roman" w:cs="Times New Roman"/>
          <w:sz w:val="24"/>
          <w:szCs w:val="24"/>
        </w:rPr>
        <w:t xml:space="preserve"> </w:t>
      </w:r>
      <w:r w:rsidR="0073548B">
        <w:rPr>
          <w:rFonts w:ascii="Times New Roman" w:hAnsi="Times New Roman" w:cs="Times New Roman"/>
          <w:sz w:val="24"/>
          <w:szCs w:val="24"/>
        </w:rPr>
        <w:t xml:space="preserve">the standard errors of the model parameters to be too small which in turn leads to </w:t>
      </w:r>
      <w:r w:rsidR="0009534A">
        <w:rPr>
          <w:rFonts w:ascii="Times New Roman" w:hAnsi="Times New Roman" w:cs="Times New Roman"/>
          <w:sz w:val="24"/>
          <w:szCs w:val="24"/>
        </w:rPr>
        <w:t xml:space="preserve">erroneous </w:t>
      </w:r>
      <w:r w:rsidR="0073548B">
        <w:rPr>
          <w:rFonts w:ascii="Times New Roman" w:hAnsi="Times New Roman" w:cs="Times New Roman"/>
          <w:sz w:val="24"/>
          <w:szCs w:val="24"/>
        </w:rPr>
        <w:t xml:space="preserve">conclusions about the statistical significance of such parameters. </w:t>
      </w:r>
    </w:p>
    <w:p w14:paraId="3597B19D" w14:textId="77777777" w:rsidR="001F2E5E" w:rsidRDefault="001F2E5E" w:rsidP="00BF2605">
      <w:pPr>
        <w:tabs>
          <w:tab w:val="left" w:pos="426"/>
        </w:tabs>
        <w:spacing w:after="0" w:line="288" w:lineRule="auto"/>
        <w:jc w:val="both"/>
        <w:rPr>
          <w:rFonts w:ascii="Times New Roman" w:hAnsi="Times New Roman" w:cs="Times New Roman"/>
          <w:b/>
          <w:bCs/>
          <w:sz w:val="24"/>
          <w:szCs w:val="24"/>
        </w:rPr>
      </w:pPr>
    </w:p>
    <w:p w14:paraId="5E8FBB5E" w14:textId="68B9A910" w:rsidR="00CF7F32" w:rsidRPr="00CF7F32" w:rsidRDefault="00CF7F32" w:rsidP="00BF2605">
      <w:pPr>
        <w:tabs>
          <w:tab w:val="left" w:pos="426"/>
        </w:tabs>
        <w:spacing w:after="0" w:line="288"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Questions</w:t>
      </w:r>
    </w:p>
    <w:p w14:paraId="1E503F83" w14:textId="77777777" w:rsidR="001F2E5E" w:rsidRPr="001F2E5E" w:rsidRDefault="001F2E5E" w:rsidP="00BF2605">
      <w:pPr>
        <w:tabs>
          <w:tab w:val="left" w:pos="426"/>
        </w:tabs>
        <w:spacing w:after="0" w:line="288" w:lineRule="auto"/>
        <w:jc w:val="both"/>
        <w:rPr>
          <w:rFonts w:ascii="Times New Roman" w:hAnsi="Times New Roman" w:cs="Times New Roman"/>
          <w:b/>
          <w:iCs/>
          <w:sz w:val="6"/>
          <w:szCs w:val="6"/>
        </w:rPr>
      </w:pPr>
      <w:bookmarkStart w:id="1" w:name="_Hlk498263898"/>
    </w:p>
    <w:p w14:paraId="4B13F996" w14:textId="5B0307D4" w:rsidR="007C7B1D" w:rsidRPr="001F2E5E" w:rsidRDefault="007C7B1D" w:rsidP="00BF2605">
      <w:pPr>
        <w:tabs>
          <w:tab w:val="left" w:pos="426"/>
        </w:tabs>
        <w:spacing w:after="0" w:line="288" w:lineRule="auto"/>
        <w:jc w:val="both"/>
        <w:rPr>
          <w:rFonts w:ascii="Times New Roman" w:hAnsi="Times New Roman" w:cs="Times New Roman"/>
          <w:b/>
          <w:iCs/>
          <w:sz w:val="24"/>
          <w:szCs w:val="24"/>
        </w:rPr>
      </w:pPr>
      <w:r w:rsidRPr="001F2E5E">
        <w:rPr>
          <w:rFonts w:ascii="Times New Roman" w:hAnsi="Times New Roman" w:cs="Times New Roman"/>
          <w:b/>
          <w:iCs/>
          <w:sz w:val="24"/>
          <w:szCs w:val="24"/>
        </w:rPr>
        <w:t xml:space="preserve">Cross-Country Differences </w:t>
      </w:r>
      <w:r w:rsidR="000451B3" w:rsidRPr="001F2E5E">
        <w:rPr>
          <w:rFonts w:ascii="Times New Roman" w:hAnsi="Times New Roman" w:cs="Times New Roman"/>
          <w:b/>
          <w:iCs/>
          <w:sz w:val="24"/>
          <w:szCs w:val="24"/>
        </w:rPr>
        <w:t>and</w:t>
      </w:r>
      <w:r w:rsidRPr="001F2E5E">
        <w:rPr>
          <w:rFonts w:ascii="Times New Roman" w:hAnsi="Times New Roman" w:cs="Times New Roman"/>
          <w:b/>
          <w:iCs/>
          <w:sz w:val="24"/>
          <w:szCs w:val="24"/>
        </w:rPr>
        <w:t xml:space="preserve"> Firm-level Governance </w:t>
      </w:r>
      <w:bookmarkEnd w:id="1"/>
    </w:p>
    <w:p w14:paraId="7FA2AE13" w14:textId="77777777" w:rsidR="001F2E5E" w:rsidRPr="001F2E5E" w:rsidRDefault="001F2E5E" w:rsidP="00BF2605">
      <w:pPr>
        <w:tabs>
          <w:tab w:val="left" w:pos="426"/>
        </w:tabs>
        <w:spacing w:after="0" w:line="288" w:lineRule="auto"/>
        <w:jc w:val="both"/>
        <w:rPr>
          <w:rFonts w:ascii="Times New Roman" w:hAnsi="Times New Roman" w:cs="Times New Roman"/>
          <w:sz w:val="6"/>
          <w:szCs w:val="6"/>
        </w:rPr>
      </w:pPr>
    </w:p>
    <w:p w14:paraId="585AD3AC" w14:textId="2C1C998C" w:rsidR="004B3B0C" w:rsidRDefault="00CD08F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Two recent reviews by </w:t>
      </w:r>
      <w:r w:rsidRPr="002A6987">
        <w:rPr>
          <w:rFonts w:ascii="Times New Roman" w:hAnsi="Times New Roman" w:cs="Times New Roman"/>
          <w:sz w:val="24"/>
          <w:szCs w:val="24"/>
        </w:rPr>
        <w:t>A</w:t>
      </w:r>
      <w:r>
        <w:rPr>
          <w:rFonts w:ascii="Times New Roman" w:hAnsi="Times New Roman" w:cs="Times New Roman"/>
          <w:sz w:val="24"/>
          <w:szCs w:val="24"/>
        </w:rPr>
        <w:t>guilera</w:t>
      </w:r>
      <w:r w:rsidRPr="002A6987">
        <w:rPr>
          <w:rFonts w:ascii="Times New Roman" w:hAnsi="Times New Roman" w:cs="Times New Roman"/>
          <w:sz w:val="24"/>
          <w:szCs w:val="24"/>
        </w:rPr>
        <w:t xml:space="preserve"> </w:t>
      </w:r>
      <w:r w:rsidR="002A1A6A" w:rsidRPr="002A1A6A">
        <w:rPr>
          <w:rFonts w:ascii="Times New Roman" w:hAnsi="Times New Roman" w:cs="Times New Roman"/>
          <w:i/>
          <w:iCs/>
          <w:sz w:val="24"/>
          <w:szCs w:val="24"/>
        </w:rPr>
        <w:t>et al.</w:t>
      </w:r>
      <w:r>
        <w:rPr>
          <w:rFonts w:ascii="Times New Roman" w:hAnsi="Times New Roman" w:cs="Times New Roman"/>
          <w:sz w:val="24"/>
          <w:szCs w:val="24"/>
        </w:rPr>
        <w:t xml:space="preserve"> (2</w:t>
      </w:r>
      <w:r w:rsidRPr="002A6987">
        <w:rPr>
          <w:rFonts w:ascii="Times New Roman" w:hAnsi="Times New Roman" w:cs="Times New Roman"/>
          <w:sz w:val="24"/>
          <w:szCs w:val="24"/>
        </w:rPr>
        <w:t>015</w:t>
      </w:r>
      <w:r>
        <w:rPr>
          <w:rFonts w:ascii="Times New Roman" w:hAnsi="Times New Roman" w:cs="Times New Roman"/>
          <w:sz w:val="24"/>
          <w:szCs w:val="24"/>
        </w:rPr>
        <w:t xml:space="preserve">) and </w:t>
      </w:r>
      <w:r w:rsidRPr="005A00BA">
        <w:rPr>
          <w:rFonts w:ascii="Times New Roman" w:hAnsi="Times New Roman" w:cs="Times New Roman"/>
          <w:sz w:val="24"/>
          <w:szCs w:val="24"/>
        </w:rPr>
        <w:t>Schiehll and</w:t>
      </w:r>
      <w:r>
        <w:rPr>
          <w:rFonts w:ascii="Times New Roman" w:hAnsi="Times New Roman" w:cs="Times New Roman"/>
          <w:sz w:val="24"/>
          <w:szCs w:val="24"/>
        </w:rPr>
        <w:t xml:space="preserve"> Martin (</w:t>
      </w:r>
      <w:r w:rsidRPr="005A00BA">
        <w:rPr>
          <w:rFonts w:ascii="Times New Roman" w:hAnsi="Times New Roman" w:cs="Times New Roman"/>
          <w:sz w:val="24"/>
          <w:szCs w:val="24"/>
        </w:rPr>
        <w:t>2016</w:t>
      </w:r>
      <w:r>
        <w:rPr>
          <w:rFonts w:ascii="Times New Roman" w:hAnsi="Times New Roman" w:cs="Times New Roman"/>
          <w:sz w:val="24"/>
          <w:szCs w:val="24"/>
        </w:rPr>
        <w:t xml:space="preserve">) classify the </w:t>
      </w:r>
      <w:r w:rsidR="000104C6">
        <w:rPr>
          <w:rFonts w:ascii="Times New Roman" w:hAnsi="Times New Roman" w:cs="Times New Roman"/>
          <w:sz w:val="24"/>
          <w:szCs w:val="24"/>
        </w:rPr>
        <w:t>different</w:t>
      </w:r>
      <w:r>
        <w:rPr>
          <w:rFonts w:ascii="Times New Roman" w:hAnsi="Times New Roman" w:cs="Times New Roman"/>
          <w:sz w:val="24"/>
          <w:szCs w:val="24"/>
        </w:rPr>
        <w:t xml:space="preserve"> external governance mechanisms </w:t>
      </w:r>
      <w:r w:rsidR="000104C6">
        <w:rPr>
          <w:rFonts w:ascii="Times New Roman" w:hAnsi="Times New Roman" w:cs="Times New Roman"/>
          <w:sz w:val="24"/>
          <w:szCs w:val="24"/>
        </w:rPr>
        <w:t xml:space="preserve">studied in the literature </w:t>
      </w:r>
      <w:r>
        <w:rPr>
          <w:rFonts w:ascii="Times New Roman" w:hAnsi="Times New Roman" w:cs="Times New Roman"/>
          <w:sz w:val="24"/>
          <w:szCs w:val="24"/>
        </w:rPr>
        <w:t>into six main categories:</w:t>
      </w:r>
      <w:r w:rsidR="003B7BEE">
        <w:rPr>
          <w:rFonts w:ascii="Times New Roman" w:hAnsi="Times New Roman" w:cs="Times New Roman"/>
          <w:sz w:val="24"/>
          <w:szCs w:val="24"/>
        </w:rPr>
        <w:t xml:space="preserve"> </w:t>
      </w:r>
      <w:r>
        <w:rPr>
          <w:rFonts w:ascii="Times New Roman" w:hAnsi="Times New Roman" w:cs="Times New Roman"/>
          <w:sz w:val="24"/>
          <w:szCs w:val="24"/>
        </w:rPr>
        <w:t xml:space="preserve">legal system, </w:t>
      </w:r>
      <w:r w:rsidR="0092145D">
        <w:rPr>
          <w:rFonts w:ascii="Times New Roman" w:hAnsi="Times New Roman" w:cs="Times New Roman"/>
          <w:sz w:val="24"/>
          <w:szCs w:val="24"/>
        </w:rPr>
        <w:t xml:space="preserve">media, </w:t>
      </w:r>
      <w:r>
        <w:rPr>
          <w:rFonts w:ascii="Times New Roman" w:hAnsi="Times New Roman" w:cs="Times New Roman"/>
          <w:sz w:val="24"/>
          <w:szCs w:val="24"/>
        </w:rPr>
        <w:t>stakeholder activism,</w:t>
      </w:r>
      <w:r w:rsidR="0054544E">
        <w:rPr>
          <w:rFonts w:ascii="Times New Roman" w:hAnsi="Times New Roman" w:cs="Times New Roman"/>
          <w:sz w:val="24"/>
          <w:szCs w:val="24"/>
        </w:rPr>
        <w:t xml:space="preserve"> </w:t>
      </w:r>
      <w:r w:rsidR="0092145D">
        <w:rPr>
          <w:rFonts w:ascii="Times New Roman" w:hAnsi="Times New Roman" w:cs="Times New Roman"/>
          <w:sz w:val="24"/>
          <w:szCs w:val="24"/>
        </w:rPr>
        <w:t>corporate control,</w:t>
      </w:r>
      <w:r w:rsidR="0054544E">
        <w:rPr>
          <w:rFonts w:ascii="Times New Roman" w:hAnsi="Times New Roman" w:cs="Times New Roman"/>
          <w:sz w:val="24"/>
          <w:szCs w:val="24"/>
        </w:rPr>
        <w:t xml:space="preserve"> external auditing, and rating organizations</w:t>
      </w:r>
      <w:r w:rsidR="003B7BEE">
        <w:rPr>
          <w:rFonts w:ascii="Times New Roman" w:hAnsi="Times New Roman" w:cs="Times New Roman"/>
          <w:sz w:val="24"/>
          <w:szCs w:val="24"/>
        </w:rPr>
        <w:t xml:space="preserve">. </w:t>
      </w:r>
      <w:r w:rsidR="0092145D">
        <w:rPr>
          <w:rFonts w:ascii="Times New Roman" w:hAnsi="Times New Roman" w:cs="Times New Roman"/>
          <w:sz w:val="24"/>
          <w:szCs w:val="24"/>
        </w:rPr>
        <w:t>With regards to the legal system, t</w:t>
      </w:r>
      <w:r w:rsidR="00FE1B5B">
        <w:rPr>
          <w:rFonts w:ascii="Times New Roman" w:hAnsi="Times New Roman" w:cs="Times New Roman"/>
          <w:sz w:val="24"/>
          <w:szCs w:val="24"/>
        </w:rPr>
        <w:t xml:space="preserve">he results of </w:t>
      </w:r>
      <w:r w:rsidR="0092145D">
        <w:rPr>
          <w:rFonts w:ascii="Times New Roman" w:hAnsi="Times New Roman" w:cs="Times New Roman"/>
          <w:sz w:val="24"/>
          <w:szCs w:val="24"/>
        </w:rPr>
        <w:t xml:space="preserve">La Porta </w:t>
      </w:r>
      <w:r w:rsidR="001F2E5E" w:rsidRPr="001F2E5E">
        <w:rPr>
          <w:rFonts w:ascii="Times New Roman" w:hAnsi="Times New Roman" w:cs="Times New Roman"/>
          <w:i/>
          <w:iCs/>
        </w:rPr>
        <w:t>et al.</w:t>
      </w:r>
      <w:r w:rsidR="0092145D">
        <w:rPr>
          <w:rFonts w:ascii="Times New Roman" w:hAnsi="Times New Roman" w:cs="Times New Roman"/>
          <w:sz w:val="24"/>
          <w:szCs w:val="24"/>
        </w:rPr>
        <w:t xml:space="preserve"> (1998)</w:t>
      </w:r>
      <w:r w:rsidR="004B3B0C">
        <w:rPr>
          <w:rFonts w:ascii="Times New Roman" w:hAnsi="Times New Roman" w:cs="Times New Roman"/>
          <w:sz w:val="24"/>
          <w:szCs w:val="24"/>
        </w:rPr>
        <w:t xml:space="preserve"> show</w:t>
      </w:r>
      <w:r w:rsidR="00FE1B5B">
        <w:rPr>
          <w:rFonts w:ascii="Times New Roman" w:hAnsi="Times New Roman" w:cs="Times New Roman"/>
          <w:sz w:val="24"/>
          <w:szCs w:val="24"/>
        </w:rPr>
        <w:t xml:space="preserve"> that common law countries (</w:t>
      </w:r>
      <w:r w:rsidR="00E219C5">
        <w:rPr>
          <w:rFonts w:ascii="Times New Roman" w:hAnsi="Times New Roman" w:cs="Times New Roman"/>
          <w:sz w:val="24"/>
          <w:szCs w:val="24"/>
        </w:rPr>
        <w:t>for example,</w:t>
      </w:r>
      <w:r w:rsidR="00FE1B5B">
        <w:rPr>
          <w:rFonts w:ascii="Times New Roman" w:hAnsi="Times New Roman" w:cs="Times New Roman"/>
          <w:sz w:val="24"/>
          <w:szCs w:val="24"/>
        </w:rPr>
        <w:t xml:space="preserve"> the US and the UK) tend to provide far better investor protection than French-civil-law countries (</w:t>
      </w:r>
      <w:r w:rsidR="00E219C5">
        <w:rPr>
          <w:rFonts w:ascii="Times New Roman" w:hAnsi="Times New Roman" w:cs="Times New Roman"/>
          <w:sz w:val="24"/>
          <w:szCs w:val="24"/>
        </w:rPr>
        <w:t>or example,</w:t>
      </w:r>
      <w:r w:rsidR="00FE1B5B">
        <w:rPr>
          <w:rFonts w:ascii="Times New Roman" w:hAnsi="Times New Roman" w:cs="Times New Roman"/>
          <w:sz w:val="24"/>
          <w:szCs w:val="24"/>
        </w:rPr>
        <w:t xml:space="preserve"> France and I</w:t>
      </w:r>
      <w:r w:rsidR="004B3B0C">
        <w:rPr>
          <w:rFonts w:ascii="Times New Roman" w:hAnsi="Times New Roman" w:cs="Times New Roman"/>
          <w:sz w:val="24"/>
          <w:szCs w:val="24"/>
        </w:rPr>
        <w:t>taly). Their results also show</w:t>
      </w:r>
      <w:r w:rsidR="00FE1B5B">
        <w:rPr>
          <w:rFonts w:ascii="Times New Roman" w:hAnsi="Times New Roman" w:cs="Times New Roman"/>
          <w:sz w:val="24"/>
          <w:szCs w:val="24"/>
        </w:rPr>
        <w:t xml:space="preserve"> that the level of investor protection provided by </w:t>
      </w:r>
      <w:r w:rsidR="00FE1B5B" w:rsidRPr="00A20324">
        <w:rPr>
          <w:rFonts w:ascii="Times New Roman" w:hAnsi="Times New Roman" w:cs="Times New Roman"/>
          <w:sz w:val="24"/>
          <w:szCs w:val="24"/>
        </w:rPr>
        <w:t>German-civil-law</w:t>
      </w:r>
      <w:r w:rsidR="00FE1B5B">
        <w:rPr>
          <w:rFonts w:ascii="Times New Roman" w:hAnsi="Times New Roman" w:cs="Times New Roman"/>
          <w:sz w:val="24"/>
          <w:szCs w:val="24"/>
        </w:rPr>
        <w:t xml:space="preserve"> (</w:t>
      </w:r>
      <w:r w:rsidR="00E219C5">
        <w:rPr>
          <w:rFonts w:ascii="Times New Roman" w:hAnsi="Times New Roman" w:cs="Times New Roman"/>
          <w:sz w:val="24"/>
          <w:szCs w:val="24"/>
        </w:rPr>
        <w:t>or example,</w:t>
      </w:r>
      <w:r w:rsidR="00FE1B5B">
        <w:rPr>
          <w:rFonts w:ascii="Times New Roman" w:hAnsi="Times New Roman" w:cs="Times New Roman"/>
          <w:sz w:val="24"/>
          <w:szCs w:val="24"/>
        </w:rPr>
        <w:t xml:space="preserve"> Germany and Japan) and Scandinavian (e.g. Denmark and Sweden)</w:t>
      </w:r>
      <w:r w:rsidR="00FE1B5B" w:rsidRPr="00A20324">
        <w:rPr>
          <w:rFonts w:ascii="Times New Roman" w:hAnsi="Times New Roman" w:cs="Times New Roman"/>
          <w:sz w:val="24"/>
          <w:szCs w:val="24"/>
        </w:rPr>
        <w:t xml:space="preserve"> </w:t>
      </w:r>
      <w:r w:rsidR="00FE1B5B">
        <w:rPr>
          <w:rFonts w:ascii="Times New Roman" w:hAnsi="Times New Roman" w:cs="Times New Roman"/>
          <w:sz w:val="24"/>
          <w:szCs w:val="24"/>
        </w:rPr>
        <w:t>countries fall in the middle b</w:t>
      </w:r>
      <w:r w:rsidR="00A466F7">
        <w:rPr>
          <w:rFonts w:ascii="Times New Roman" w:hAnsi="Times New Roman" w:cs="Times New Roman"/>
          <w:sz w:val="24"/>
          <w:szCs w:val="24"/>
        </w:rPr>
        <w:t>etween these two extremes. This</w:t>
      </w:r>
      <w:r w:rsidR="00FE1B5B">
        <w:rPr>
          <w:rFonts w:ascii="Times New Roman" w:hAnsi="Times New Roman" w:cs="Times New Roman"/>
          <w:sz w:val="24"/>
          <w:szCs w:val="24"/>
        </w:rPr>
        <w:t xml:space="preserve"> suggest</w:t>
      </w:r>
      <w:r w:rsidR="00A466F7">
        <w:rPr>
          <w:rFonts w:ascii="Times New Roman" w:hAnsi="Times New Roman" w:cs="Times New Roman"/>
          <w:sz w:val="24"/>
          <w:szCs w:val="24"/>
        </w:rPr>
        <w:t>s</w:t>
      </w:r>
      <w:r w:rsidR="00FE1B5B">
        <w:rPr>
          <w:rFonts w:ascii="Times New Roman" w:hAnsi="Times New Roman" w:cs="Times New Roman"/>
          <w:sz w:val="24"/>
          <w:szCs w:val="24"/>
        </w:rPr>
        <w:t xml:space="preserve"> that a shareholder or a creditor would enjoy different levels of protection depending on the jurisdiction </w:t>
      </w:r>
      <w:r w:rsidR="00437200">
        <w:rPr>
          <w:rFonts w:ascii="Times New Roman" w:hAnsi="Times New Roman" w:cs="Times New Roman"/>
          <w:sz w:val="24"/>
          <w:szCs w:val="24"/>
        </w:rPr>
        <w:t>in which</w:t>
      </w:r>
      <w:r w:rsidR="007C7B1D">
        <w:rPr>
          <w:rFonts w:ascii="Times New Roman" w:hAnsi="Times New Roman" w:cs="Times New Roman"/>
          <w:sz w:val="24"/>
          <w:szCs w:val="24"/>
        </w:rPr>
        <w:t xml:space="preserve"> he or she operates</w:t>
      </w:r>
      <w:r w:rsidR="00FE1B5B">
        <w:rPr>
          <w:rFonts w:ascii="Times New Roman" w:hAnsi="Times New Roman" w:cs="Times New Roman"/>
          <w:sz w:val="24"/>
          <w:szCs w:val="24"/>
        </w:rPr>
        <w:t xml:space="preserve"> rather than the particular </w:t>
      </w:r>
      <w:r w:rsidR="00AA553B">
        <w:rPr>
          <w:rFonts w:ascii="Times New Roman" w:hAnsi="Times New Roman" w:cs="Times New Roman"/>
          <w:sz w:val="24"/>
          <w:szCs w:val="24"/>
        </w:rPr>
        <w:t xml:space="preserve">security he or she holds (see also </w:t>
      </w:r>
      <w:r w:rsidR="00AA553B" w:rsidRPr="001A7F5B">
        <w:rPr>
          <w:rFonts w:ascii="Times New Roman" w:hAnsi="Times New Roman" w:cs="Times New Roman"/>
          <w:sz w:val="24"/>
          <w:szCs w:val="24"/>
        </w:rPr>
        <w:t>Denis and McConnell 2003</w:t>
      </w:r>
      <w:r w:rsidR="00C434B8">
        <w:rPr>
          <w:rFonts w:ascii="Times New Roman" w:hAnsi="Times New Roman" w:cs="Times New Roman"/>
          <w:sz w:val="24"/>
          <w:szCs w:val="24"/>
        </w:rPr>
        <w:t>,</w:t>
      </w:r>
      <w:r w:rsidR="00AA553B">
        <w:rPr>
          <w:rFonts w:ascii="Times New Roman" w:hAnsi="Times New Roman" w:cs="Times New Roman"/>
          <w:sz w:val="24"/>
          <w:szCs w:val="24"/>
        </w:rPr>
        <w:t xml:space="preserve"> Wurgler 2000</w:t>
      </w:r>
      <w:r w:rsidR="004B3B0C">
        <w:rPr>
          <w:rFonts w:ascii="Times New Roman" w:hAnsi="Times New Roman" w:cs="Times New Roman"/>
          <w:sz w:val="24"/>
          <w:szCs w:val="24"/>
        </w:rPr>
        <w:t xml:space="preserve">). </w:t>
      </w:r>
      <w:r w:rsidR="00E219C5">
        <w:rPr>
          <w:rFonts w:ascii="Times New Roman" w:hAnsi="Times New Roman" w:cs="Times New Roman"/>
          <w:sz w:val="24"/>
          <w:szCs w:val="24"/>
        </w:rPr>
        <w:t xml:space="preserve"> </w:t>
      </w:r>
      <w:r w:rsidR="004B3B0C">
        <w:rPr>
          <w:rFonts w:ascii="Times New Roman" w:hAnsi="Times New Roman" w:cs="Times New Roman"/>
          <w:sz w:val="24"/>
          <w:szCs w:val="24"/>
        </w:rPr>
        <w:t xml:space="preserve">Besides that, La Porta </w:t>
      </w:r>
      <w:r w:rsidR="001F2E5E" w:rsidRPr="001F2E5E">
        <w:rPr>
          <w:rFonts w:ascii="Times New Roman" w:hAnsi="Times New Roman" w:cs="Times New Roman"/>
          <w:i/>
          <w:iCs/>
        </w:rPr>
        <w:t>et al.</w:t>
      </w:r>
      <w:r w:rsidR="004B3B0C">
        <w:rPr>
          <w:rFonts w:ascii="Times New Roman" w:hAnsi="Times New Roman" w:cs="Times New Roman"/>
          <w:sz w:val="24"/>
          <w:szCs w:val="24"/>
        </w:rPr>
        <w:t xml:space="preserve"> (2000) argue that using measures of investor protection is a better way to explain differences in corporate governance practices across different jurisdictions than applying the usual marke</w:t>
      </w:r>
      <w:r w:rsidR="00AA553B">
        <w:rPr>
          <w:rFonts w:ascii="Times New Roman" w:hAnsi="Times New Roman" w:cs="Times New Roman"/>
          <w:sz w:val="24"/>
          <w:szCs w:val="24"/>
        </w:rPr>
        <w:t>t-versus-bank centric argument (see also, Anderson and Gupta 2009).</w:t>
      </w:r>
    </w:p>
    <w:p w14:paraId="6F7276F2"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2F7741B5" w14:textId="603B4DD3" w:rsidR="00A466F7"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466F7">
        <w:rPr>
          <w:rFonts w:ascii="Times New Roman" w:hAnsi="Times New Roman" w:cs="Times New Roman"/>
          <w:sz w:val="24"/>
          <w:szCs w:val="24"/>
        </w:rPr>
        <w:t xml:space="preserve">In emerging markets, </w:t>
      </w:r>
      <w:r w:rsidR="00FE1B5B">
        <w:rPr>
          <w:rFonts w:ascii="Times New Roman" w:hAnsi="Times New Roman" w:cs="Times New Roman"/>
          <w:sz w:val="24"/>
          <w:szCs w:val="24"/>
        </w:rPr>
        <w:t xml:space="preserve">Klapper and Love (2004) </w:t>
      </w:r>
      <w:r w:rsidR="004B3B0C">
        <w:rPr>
          <w:rFonts w:ascii="Times New Roman" w:hAnsi="Times New Roman" w:cs="Times New Roman"/>
          <w:sz w:val="24"/>
          <w:szCs w:val="24"/>
        </w:rPr>
        <w:t>report</w:t>
      </w:r>
      <w:r w:rsidR="00FE1B5B">
        <w:rPr>
          <w:rFonts w:ascii="Times New Roman" w:hAnsi="Times New Roman" w:cs="Times New Roman"/>
          <w:sz w:val="24"/>
          <w:szCs w:val="24"/>
        </w:rPr>
        <w:t xml:space="preserve"> that countri</w:t>
      </w:r>
      <w:r w:rsidR="004B3B0C">
        <w:rPr>
          <w:rFonts w:ascii="Times New Roman" w:hAnsi="Times New Roman" w:cs="Times New Roman"/>
          <w:sz w:val="24"/>
          <w:szCs w:val="24"/>
        </w:rPr>
        <w:t>es with weaker legal systems have</w:t>
      </w:r>
      <w:r w:rsidR="00FE1B5B">
        <w:rPr>
          <w:rFonts w:ascii="Times New Roman" w:hAnsi="Times New Roman" w:cs="Times New Roman"/>
          <w:sz w:val="24"/>
          <w:szCs w:val="24"/>
        </w:rPr>
        <w:t xml:space="preserve"> lower average firm-level gover</w:t>
      </w:r>
      <w:r w:rsidR="004B3B0C">
        <w:rPr>
          <w:rFonts w:ascii="Times New Roman" w:hAnsi="Times New Roman" w:cs="Times New Roman"/>
          <w:sz w:val="24"/>
          <w:szCs w:val="24"/>
        </w:rPr>
        <w:t>nance scores. They also report</w:t>
      </w:r>
      <w:r w:rsidR="00FE1B5B">
        <w:rPr>
          <w:rFonts w:ascii="Times New Roman" w:hAnsi="Times New Roman" w:cs="Times New Roman"/>
          <w:sz w:val="24"/>
          <w:szCs w:val="24"/>
        </w:rPr>
        <w:t xml:space="preserve"> that governance scores are significantly and positively correlated with measures of value and performance and more significantly so in countries with weaker legal systems. This suggests that the absence of sufficient protection by the legal system gives rise to the role of governance practices as another source of protection.</w:t>
      </w:r>
      <w:r w:rsidR="00FE1B5B" w:rsidRPr="00C86AE0">
        <w:rPr>
          <w:rFonts w:ascii="Times New Roman" w:hAnsi="Times New Roman" w:cs="Times New Roman"/>
          <w:sz w:val="24"/>
          <w:szCs w:val="24"/>
        </w:rPr>
        <w:t xml:space="preserve"> Klapper and Love</w:t>
      </w:r>
      <w:r w:rsidR="00FE1B5B">
        <w:rPr>
          <w:rFonts w:ascii="Times New Roman" w:hAnsi="Times New Roman" w:cs="Times New Roman"/>
          <w:sz w:val="24"/>
          <w:szCs w:val="24"/>
        </w:rPr>
        <w:t xml:space="preserve"> further argue that although firms may be able to significantly improve shareholders’ rights and protection of minority investors by adopting stronger governance mechanisms, these mechanisms cannot fully replace the role of the country’s legal system in p</w:t>
      </w:r>
      <w:r w:rsidR="00FE2694">
        <w:rPr>
          <w:rFonts w:ascii="Times New Roman" w:hAnsi="Times New Roman" w:cs="Times New Roman"/>
          <w:sz w:val="24"/>
          <w:szCs w:val="24"/>
        </w:rPr>
        <w:t xml:space="preserve">rotecting investors’ interests </w:t>
      </w:r>
      <w:r w:rsidR="00AA553B">
        <w:rPr>
          <w:rFonts w:ascii="Times New Roman" w:hAnsi="Times New Roman" w:cs="Times New Roman"/>
          <w:sz w:val="24"/>
          <w:szCs w:val="24"/>
        </w:rPr>
        <w:t>(see also</w:t>
      </w:r>
      <w:r w:rsidR="00FE2694">
        <w:rPr>
          <w:rFonts w:ascii="Times New Roman" w:hAnsi="Times New Roman" w:cs="Times New Roman"/>
          <w:sz w:val="24"/>
          <w:szCs w:val="24"/>
        </w:rPr>
        <w:t xml:space="preserve"> Chen</w:t>
      </w:r>
      <w:r w:rsidR="00DB6484">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FE2694">
        <w:rPr>
          <w:rFonts w:ascii="Times New Roman" w:hAnsi="Times New Roman" w:cs="Times New Roman"/>
          <w:sz w:val="24"/>
          <w:szCs w:val="24"/>
        </w:rPr>
        <w:t xml:space="preserve"> 2009</w:t>
      </w:r>
      <w:r w:rsidR="00682D1F">
        <w:rPr>
          <w:rFonts w:ascii="Times New Roman" w:hAnsi="Times New Roman" w:cs="Times New Roman"/>
          <w:sz w:val="24"/>
          <w:szCs w:val="24"/>
        </w:rPr>
        <w:t>,</w:t>
      </w:r>
      <w:r w:rsidR="00FE2694">
        <w:rPr>
          <w:rFonts w:ascii="Times New Roman" w:hAnsi="Times New Roman" w:cs="Times New Roman"/>
          <w:sz w:val="24"/>
          <w:szCs w:val="24"/>
        </w:rPr>
        <w:t xml:space="preserve"> </w:t>
      </w:r>
      <w:r w:rsidR="00CF7F32">
        <w:rPr>
          <w:rFonts w:ascii="Times New Roman" w:hAnsi="Times New Roman" w:cs="Times New Roman"/>
          <w:sz w:val="24"/>
          <w:szCs w:val="24"/>
        </w:rPr>
        <w:t>Doidge</w:t>
      </w:r>
      <w:r w:rsidR="00DB6484">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CF7F32">
        <w:rPr>
          <w:rFonts w:ascii="Times New Roman" w:hAnsi="Times New Roman" w:cs="Times New Roman"/>
          <w:sz w:val="24"/>
          <w:szCs w:val="24"/>
        </w:rPr>
        <w:t xml:space="preserve"> 2007</w:t>
      </w:r>
      <w:r w:rsidR="00682D1F">
        <w:rPr>
          <w:rFonts w:ascii="Times New Roman" w:hAnsi="Times New Roman" w:cs="Times New Roman"/>
          <w:sz w:val="24"/>
          <w:szCs w:val="24"/>
        </w:rPr>
        <w:t>,</w:t>
      </w:r>
      <w:r w:rsidR="00CF7F32">
        <w:rPr>
          <w:rFonts w:ascii="Times New Roman" w:hAnsi="Times New Roman" w:cs="Times New Roman"/>
          <w:sz w:val="24"/>
          <w:szCs w:val="24"/>
        </w:rPr>
        <w:t xml:space="preserve"> </w:t>
      </w:r>
      <w:r w:rsidR="00FE2694">
        <w:rPr>
          <w:rFonts w:ascii="Times New Roman" w:hAnsi="Times New Roman" w:cs="Times New Roman"/>
          <w:sz w:val="24"/>
          <w:szCs w:val="24"/>
        </w:rPr>
        <w:t xml:space="preserve">Morey </w:t>
      </w:r>
      <w:r w:rsidR="00A94F42" w:rsidRPr="00A94F42">
        <w:rPr>
          <w:rFonts w:ascii="Times New Roman" w:hAnsi="Times New Roman" w:cs="Times New Roman"/>
          <w:i/>
          <w:iCs/>
          <w:sz w:val="24"/>
          <w:szCs w:val="24"/>
        </w:rPr>
        <w:t>et al.</w:t>
      </w:r>
      <w:r w:rsidR="00FE2694">
        <w:rPr>
          <w:rFonts w:ascii="Times New Roman" w:hAnsi="Times New Roman" w:cs="Times New Roman"/>
          <w:sz w:val="24"/>
          <w:szCs w:val="24"/>
        </w:rPr>
        <w:t xml:space="preserve"> </w:t>
      </w:r>
      <w:r w:rsidR="00FE2694" w:rsidRPr="00FD7A97">
        <w:rPr>
          <w:rFonts w:ascii="Times New Roman" w:hAnsi="Times New Roman" w:cs="Times New Roman"/>
          <w:sz w:val="24"/>
          <w:szCs w:val="24"/>
        </w:rPr>
        <w:t>2009</w:t>
      </w:r>
      <w:r w:rsidR="00682D1F">
        <w:rPr>
          <w:rFonts w:ascii="Times New Roman" w:hAnsi="Times New Roman" w:cs="Times New Roman"/>
          <w:sz w:val="24"/>
          <w:szCs w:val="24"/>
        </w:rPr>
        <w:t>,</w:t>
      </w:r>
      <w:r w:rsidR="00FE2694">
        <w:rPr>
          <w:rFonts w:ascii="Times New Roman" w:hAnsi="Times New Roman" w:cs="Times New Roman"/>
          <w:sz w:val="24"/>
          <w:szCs w:val="24"/>
        </w:rPr>
        <w:t xml:space="preserve"> </w:t>
      </w:r>
      <w:r w:rsidR="00FE1B5B" w:rsidRPr="00FD7A97">
        <w:rPr>
          <w:rFonts w:ascii="Times New Roman" w:hAnsi="Times New Roman" w:cs="Times New Roman"/>
          <w:sz w:val="24"/>
          <w:szCs w:val="24"/>
        </w:rPr>
        <w:t xml:space="preserve">Renders </w:t>
      </w:r>
      <w:r w:rsidR="00A94F42" w:rsidRPr="00A94F42">
        <w:rPr>
          <w:rFonts w:ascii="Times New Roman" w:hAnsi="Times New Roman" w:cs="Times New Roman"/>
          <w:i/>
          <w:iCs/>
          <w:sz w:val="24"/>
          <w:szCs w:val="24"/>
        </w:rPr>
        <w:t>et al.</w:t>
      </w:r>
      <w:r w:rsidR="00FE2694">
        <w:rPr>
          <w:rFonts w:ascii="Times New Roman" w:hAnsi="Times New Roman" w:cs="Times New Roman"/>
          <w:sz w:val="24"/>
          <w:szCs w:val="24"/>
        </w:rPr>
        <w:t xml:space="preserve"> </w:t>
      </w:r>
      <w:r w:rsidR="00FE1B5B" w:rsidRPr="00FD7A97">
        <w:rPr>
          <w:rFonts w:ascii="Times New Roman" w:hAnsi="Times New Roman" w:cs="Times New Roman"/>
          <w:sz w:val="24"/>
          <w:szCs w:val="24"/>
        </w:rPr>
        <w:t>2010</w:t>
      </w:r>
      <w:r w:rsidR="00CF7F32">
        <w:rPr>
          <w:rFonts w:ascii="Times New Roman" w:hAnsi="Times New Roman" w:cs="Times New Roman"/>
          <w:sz w:val="24"/>
          <w:szCs w:val="24"/>
        </w:rPr>
        <w:t xml:space="preserve">). </w:t>
      </w:r>
      <w:r w:rsidR="00A466F7">
        <w:rPr>
          <w:rFonts w:ascii="Times New Roman" w:hAnsi="Times New Roman" w:cs="Times New Roman"/>
          <w:sz w:val="24"/>
          <w:szCs w:val="24"/>
        </w:rPr>
        <w:t xml:space="preserve">Based on </w:t>
      </w:r>
      <w:r w:rsidR="007A75BE">
        <w:rPr>
          <w:rFonts w:ascii="Times New Roman" w:hAnsi="Times New Roman" w:cs="Times New Roman"/>
          <w:sz w:val="24"/>
          <w:szCs w:val="24"/>
        </w:rPr>
        <w:t>prior findings in the literature</w:t>
      </w:r>
      <w:r w:rsidR="00A466F7">
        <w:rPr>
          <w:rFonts w:ascii="Times New Roman" w:hAnsi="Times New Roman" w:cs="Times New Roman"/>
          <w:sz w:val="24"/>
          <w:szCs w:val="24"/>
        </w:rPr>
        <w:t xml:space="preserve">, our first </w:t>
      </w:r>
      <w:r w:rsidR="00A3363D">
        <w:rPr>
          <w:rFonts w:ascii="Times New Roman" w:hAnsi="Times New Roman" w:cs="Times New Roman"/>
          <w:sz w:val="24"/>
          <w:szCs w:val="24"/>
        </w:rPr>
        <w:t>research question is</w:t>
      </w:r>
      <w:r w:rsidR="0085675E">
        <w:rPr>
          <w:rFonts w:ascii="Times New Roman" w:hAnsi="Times New Roman" w:cs="Times New Roman"/>
          <w:sz w:val="24"/>
          <w:szCs w:val="24"/>
        </w:rPr>
        <w:t>:</w:t>
      </w:r>
    </w:p>
    <w:p w14:paraId="50A06826"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0D207687" w14:textId="34C84ACE" w:rsidR="00A466F7" w:rsidRDefault="00A3363D" w:rsidP="001F2E5E">
      <w:pPr>
        <w:tabs>
          <w:tab w:val="left" w:pos="426"/>
        </w:tabs>
        <w:spacing w:after="0" w:line="240" w:lineRule="auto"/>
        <w:ind w:left="425" w:hanging="425"/>
        <w:jc w:val="both"/>
        <w:rPr>
          <w:rFonts w:ascii="Times New Roman" w:hAnsi="Times New Roman" w:cs="Times New Roman"/>
          <w:sz w:val="24"/>
          <w:szCs w:val="24"/>
        </w:rPr>
      </w:pPr>
      <w:r w:rsidRPr="00187D48">
        <w:rPr>
          <w:rFonts w:ascii="Times New Roman" w:hAnsi="Times New Roman" w:cs="Times New Roman"/>
          <w:b/>
          <w:bCs/>
          <w:i/>
          <w:iCs/>
          <w:sz w:val="24"/>
          <w:szCs w:val="24"/>
        </w:rPr>
        <w:t>1</w:t>
      </w:r>
      <w:r w:rsidR="009D1C47" w:rsidRPr="00187D48">
        <w:rPr>
          <w:rFonts w:ascii="Times New Roman" w:hAnsi="Times New Roman" w:cs="Times New Roman"/>
          <w:b/>
          <w:bCs/>
          <w:i/>
          <w:iCs/>
          <w:sz w:val="24"/>
          <w:szCs w:val="24"/>
        </w:rPr>
        <w:t>a</w:t>
      </w:r>
      <w:r w:rsidR="009F0C17" w:rsidRPr="00187D48">
        <w:rPr>
          <w:rFonts w:ascii="Times New Roman" w:hAnsi="Times New Roman" w:cs="Times New Roman"/>
          <w:b/>
          <w:bCs/>
          <w:sz w:val="24"/>
          <w:szCs w:val="24"/>
        </w:rPr>
        <w:t xml:space="preserve">. </w:t>
      </w:r>
      <w:r w:rsidR="009F0C17">
        <w:rPr>
          <w:rFonts w:ascii="Times New Roman" w:hAnsi="Times New Roman" w:cs="Times New Roman"/>
          <w:sz w:val="24"/>
          <w:szCs w:val="24"/>
        </w:rPr>
        <w:t>Do</w:t>
      </w:r>
      <w:r w:rsidR="00383DA3">
        <w:rPr>
          <w:rFonts w:ascii="Times New Roman" w:hAnsi="Times New Roman" w:cs="Times New Roman"/>
          <w:sz w:val="24"/>
          <w:szCs w:val="24"/>
        </w:rPr>
        <w:t xml:space="preserve"> differences in</w:t>
      </w:r>
      <w:r w:rsidR="004A6B83">
        <w:rPr>
          <w:rFonts w:ascii="Times New Roman" w:hAnsi="Times New Roman" w:cs="Times New Roman"/>
          <w:sz w:val="24"/>
          <w:szCs w:val="24"/>
        </w:rPr>
        <w:t xml:space="preserve"> </w:t>
      </w:r>
      <w:r w:rsidR="00C47540">
        <w:rPr>
          <w:rFonts w:ascii="Times New Roman" w:hAnsi="Times New Roman" w:cs="Times New Roman"/>
          <w:sz w:val="24"/>
          <w:szCs w:val="24"/>
        </w:rPr>
        <w:t>the origins of law</w:t>
      </w:r>
      <w:r w:rsidR="00D63F7C">
        <w:rPr>
          <w:rFonts w:ascii="Times New Roman" w:hAnsi="Times New Roman" w:cs="Times New Roman"/>
          <w:sz w:val="24"/>
          <w:szCs w:val="24"/>
        </w:rPr>
        <w:t xml:space="preserve"> and </w:t>
      </w:r>
      <w:r w:rsidR="00C47540">
        <w:rPr>
          <w:rFonts w:ascii="Times New Roman" w:hAnsi="Times New Roman" w:cs="Times New Roman"/>
          <w:sz w:val="24"/>
          <w:szCs w:val="24"/>
        </w:rPr>
        <w:t xml:space="preserve">the </w:t>
      </w:r>
      <w:r w:rsidR="00A466F7">
        <w:rPr>
          <w:rFonts w:ascii="Times New Roman" w:hAnsi="Times New Roman" w:cs="Times New Roman"/>
          <w:sz w:val="24"/>
          <w:szCs w:val="24"/>
        </w:rPr>
        <w:t xml:space="preserve">strength of law enforcement </w:t>
      </w:r>
      <w:r w:rsidR="00383DA3">
        <w:rPr>
          <w:rFonts w:ascii="Times New Roman" w:hAnsi="Times New Roman" w:cs="Times New Roman"/>
          <w:sz w:val="24"/>
          <w:szCs w:val="24"/>
        </w:rPr>
        <w:t>contribut</w:t>
      </w:r>
      <w:r w:rsidR="001C2A49">
        <w:rPr>
          <w:rFonts w:ascii="Times New Roman" w:hAnsi="Times New Roman" w:cs="Times New Roman"/>
          <w:sz w:val="24"/>
          <w:szCs w:val="24"/>
        </w:rPr>
        <w:t>e to explaining</w:t>
      </w:r>
      <w:r w:rsidR="00383DA3">
        <w:rPr>
          <w:rFonts w:ascii="Times New Roman" w:hAnsi="Times New Roman" w:cs="Times New Roman"/>
          <w:sz w:val="24"/>
          <w:szCs w:val="24"/>
        </w:rPr>
        <w:t xml:space="preserve"> variation in corporate governance characteristics across </w:t>
      </w:r>
      <w:r w:rsidR="00615108">
        <w:rPr>
          <w:rFonts w:ascii="Times New Roman" w:hAnsi="Times New Roman" w:cs="Times New Roman"/>
          <w:sz w:val="24"/>
          <w:szCs w:val="24"/>
        </w:rPr>
        <w:t>countr</w:t>
      </w:r>
      <w:r w:rsidR="00383DA3">
        <w:rPr>
          <w:rFonts w:ascii="Times New Roman" w:hAnsi="Times New Roman" w:cs="Times New Roman"/>
          <w:sz w:val="24"/>
          <w:szCs w:val="24"/>
        </w:rPr>
        <w:t>ies?</w:t>
      </w:r>
    </w:p>
    <w:p w14:paraId="02EA81E1"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316FCE3E" w14:textId="2CFE2139" w:rsidR="002D37EF"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451B3">
        <w:rPr>
          <w:rFonts w:ascii="Times New Roman" w:hAnsi="Times New Roman" w:cs="Times New Roman"/>
          <w:sz w:val="24"/>
          <w:szCs w:val="24"/>
        </w:rPr>
        <w:t>A</w:t>
      </w:r>
      <w:r w:rsidR="00FE1B5B">
        <w:rPr>
          <w:rFonts w:ascii="Times New Roman" w:hAnsi="Times New Roman" w:cs="Times New Roman"/>
          <w:sz w:val="24"/>
          <w:szCs w:val="24"/>
        </w:rPr>
        <w:t xml:space="preserve">lthough </w:t>
      </w:r>
      <w:r w:rsidR="001C2A49">
        <w:rPr>
          <w:rFonts w:ascii="Times New Roman" w:hAnsi="Times New Roman" w:cs="Times New Roman"/>
          <w:sz w:val="24"/>
          <w:szCs w:val="24"/>
        </w:rPr>
        <w:t xml:space="preserve">the </w:t>
      </w:r>
      <w:r w:rsidR="00FE1B5B">
        <w:rPr>
          <w:rFonts w:ascii="Times New Roman" w:hAnsi="Times New Roman" w:cs="Times New Roman"/>
          <w:sz w:val="24"/>
          <w:szCs w:val="24"/>
        </w:rPr>
        <w:t>media’s role as an important external corporate governance mechanis</w:t>
      </w:r>
      <w:r w:rsidR="004F510E">
        <w:rPr>
          <w:rFonts w:ascii="Times New Roman" w:hAnsi="Times New Roman" w:cs="Times New Roman"/>
          <w:sz w:val="24"/>
          <w:szCs w:val="24"/>
        </w:rPr>
        <w:t xml:space="preserve">m has only been recognized </w:t>
      </w:r>
      <w:r w:rsidR="00FE1B5B">
        <w:rPr>
          <w:rFonts w:ascii="Times New Roman" w:hAnsi="Times New Roman" w:cs="Times New Roman"/>
          <w:sz w:val="24"/>
          <w:szCs w:val="24"/>
        </w:rPr>
        <w:t>recently in the literature, media in its different forms have long been a major provider of information for investors as well as an important source of scrutiny for the actions of managers and directors. Through analyzing and spreading information about the firm and its actions, media outlets help educate and guide investors and other market players in order to arrive at more informed decisions</w:t>
      </w:r>
      <w:r w:rsidR="00492D48">
        <w:rPr>
          <w:rFonts w:ascii="Times New Roman" w:hAnsi="Times New Roman" w:cs="Times New Roman"/>
          <w:sz w:val="24"/>
          <w:szCs w:val="24"/>
        </w:rPr>
        <w:t xml:space="preserve"> (Bebchuk and Neeman </w:t>
      </w:r>
      <w:r w:rsidR="00492D48" w:rsidRPr="00C70A23">
        <w:rPr>
          <w:rFonts w:ascii="Times New Roman" w:hAnsi="Times New Roman" w:cs="Times New Roman"/>
          <w:sz w:val="24"/>
          <w:szCs w:val="24"/>
        </w:rPr>
        <w:t>2010)</w:t>
      </w:r>
      <w:r w:rsidR="00FE1B5B">
        <w:rPr>
          <w:rFonts w:ascii="Times New Roman" w:hAnsi="Times New Roman" w:cs="Times New Roman"/>
          <w:sz w:val="24"/>
          <w:szCs w:val="24"/>
        </w:rPr>
        <w:t>. Additionally, the scrutiny provided by the public coverage of the actions of the firm’s managers and directors and the monitoring role played by investigative journalism add another layer of control over the decision-making process within the firm</w:t>
      </w:r>
      <w:r w:rsidR="00492D48" w:rsidRPr="00492D48">
        <w:rPr>
          <w:rFonts w:ascii="Times New Roman" w:hAnsi="Times New Roman" w:cs="Times New Roman"/>
          <w:sz w:val="24"/>
          <w:szCs w:val="24"/>
        </w:rPr>
        <w:t xml:space="preserve"> </w:t>
      </w:r>
      <w:r w:rsidR="00492D48">
        <w:rPr>
          <w:rFonts w:ascii="Times New Roman" w:hAnsi="Times New Roman" w:cs="Times New Roman"/>
          <w:sz w:val="24"/>
          <w:szCs w:val="24"/>
        </w:rPr>
        <w:t xml:space="preserve">(Lauterbach and Pajuste </w:t>
      </w:r>
      <w:r w:rsidR="00492D48" w:rsidRPr="009B632D">
        <w:rPr>
          <w:rFonts w:ascii="Times New Roman" w:hAnsi="Times New Roman" w:cs="Times New Roman"/>
          <w:sz w:val="24"/>
          <w:szCs w:val="24"/>
        </w:rPr>
        <w:t>2016</w:t>
      </w:r>
      <w:r w:rsidR="00682D1F">
        <w:rPr>
          <w:rFonts w:ascii="Times New Roman" w:hAnsi="Times New Roman" w:cs="Times New Roman"/>
          <w:sz w:val="24"/>
          <w:szCs w:val="24"/>
        </w:rPr>
        <w:t>,</w:t>
      </w:r>
      <w:r w:rsidR="00492D48">
        <w:rPr>
          <w:rFonts w:ascii="Times New Roman" w:hAnsi="Times New Roman" w:cs="Times New Roman"/>
          <w:sz w:val="24"/>
          <w:szCs w:val="24"/>
        </w:rPr>
        <w:t xml:space="preserve"> Wang and Ye 2015</w:t>
      </w:r>
      <w:r w:rsidR="00682D1F">
        <w:rPr>
          <w:rFonts w:ascii="Times New Roman" w:hAnsi="Times New Roman" w:cs="Times New Roman"/>
          <w:sz w:val="24"/>
          <w:szCs w:val="24"/>
        </w:rPr>
        <w:t>,</w:t>
      </w:r>
      <w:r w:rsidR="00492D48">
        <w:rPr>
          <w:rFonts w:ascii="Times New Roman" w:hAnsi="Times New Roman" w:cs="Times New Roman"/>
          <w:sz w:val="24"/>
          <w:szCs w:val="24"/>
        </w:rPr>
        <w:t xml:space="preserve"> Zhang and Su 2015)</w:t>
      </w:r>
      <w:r w:rsidR="00FE1B5B">
        <w:rPr>
          <w:rFonts w:ascii="Times New Roman" w:hAnsi="Times New Roman" w:cs="Times New Roman"/>
          <w:sz w:val="24"/>
          <w:szCs w:val="24"/>
        </w:rPr>
        <w:t xml:space="preserve">. </w:t>
      </w:r>
    </w:p>
    <w:p w14:paraId="0741CDE7"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2947F904" w14:textId="598E98AA" w:rsidR="00B55D09"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B57F1" w:rsidRPr="00C70A23">
        <w:rPr>
          <w:rFonts w:ascii="Times New Roman" w:hAnsi="Times New Roman" w:cs="Times New Roman"/>
          <w:sz w:val="24"/>
          <w:szCs w:val="24"/>
        </w:rPr>
        <w:t>Bebchuk and Neeman (2010) argue that investor protection is more likely to be higher i</w:t>
      </w:r>
      <w:r w:rsidR="008B57F1">
        <w:rPr>
          <w:rFonts w:ascii="Times New Roman" w:hAnsi="Times New Roman" w:cs="Times New Roman"/>
          <w:sz w:val="24"/>
          <w:szCs w:val="24"/>
        </w:rPr>
        <w:t xml:space="preserve">n economies where media is active due to media’s role in exposing rent extraction attempts by insiders. Empirically, </w:t>
      </w:r>
      <w:r w:rsidR="00FE1B5B">
        <w:rPr>
          <w:rFonts w:ascii="Times New Roman" w:hAnsi="Times New Roman" w:cs="Times New Roman"/>
          <w:sz w:val="24"/>
          <w:szCs w:val="24"/>
        </w:rPr>
        <w:t xml:space="preserve">Miller (2006) </w:t>
      </w:r>
      <w:r w:rsidR="00A466F7">
        <w:rPr>
          <w:rFonts w:ascii="Times New Roman" w:hAnsi="Times New Roman" w:cs="Times New Roman"/>
          <w:sz w:val="24"/>
          <w:szCs w:val="24"/>
        </w:rPr>
        <w:t>report</w:t>
      </w:r>
      <w:r w:rsidR="00FE1B5B">
        <w:rPr>
          <w:rFonts w:ascii="Times New Roman" w:hAnsi="Times New Roman" w:cs="Times New Roman"/>
          <w:sz w:val="24"/>
          <w:szCs w:val="24"/>
        </w:rPr>
        <w:t xml:space="preserve"> that the press plays a major role by distributing information from different sources (analysts, auditors, and law cases) and by undertaking original investigations. </w:t>
      </w:r>
      <w:r w:rsidR="008B57F1">
        <w:rPr>
          <w:rFonts w:ascii="Times New Roman" w:hAnsi="Times New Roman" w:cs="Times New Roman"/>
          <w:sz w:val="24"/>
          <w:szCs w:val="24"/>
        </w:rPr>
        <w:t xml:space="preserve">He reported that </w:t>
      </w:r>
      <w:r w:rsidR="00FE1B5B">
        <w:rPr>
          <w:rFonts w:ascii="Times New Roman" w:hAnsi="Times New Roman" w:cs="Times New Roman"/>
          <w:sz w:val="24"/>
          <w:szCs w:val="24"/>
        </w:rPr>
        <w:t>the press was involved in the early detection of accounting fraud in almost one-th</w:t>
      </w:r>
      <w:r w:rsidR="00FE2694">
        <w:rPr>
          <w:rFonts w:ascii="Times New Roman" w:hAnsi="Times New Roman" w:cs="Times New Roman"/>
          <w:sz w:val="24"/>
          <w:szCs w:val="24"/>
        </w:rPr>
        <w:t>ird of the cases he studied (see also</w:t>
      </w:r>
      <w:r w:rsidR="00E219C5">
        <w:rPr>
          <w:rFonts w:ascii="Times New Roman" w:hAnsi="Times New Roman" w:cs="Times New Roman"/>
          <w:sz w:val="24"/>
          <w:szCs w:val="24"/>
        </w:rPr>
        <w:t xml:space="preserve"> </w:t>
      </w:r>
      <w:r w:rsidR="008B57F1" w:rsidRPr="002A6987">
        <w:rPr>
          <w:rFonts w:ascii="Times New Roman" w:hAnsi="Times New Roman" w:cs="Times New Roman"/>
          <w:sz w:val="24"/>
          <w:szCs w:val="24"/>
        </w:rPr>
        <w:t>A</w:t>
      </w:r>
      <w:r w:rsidR="008B57F1">
        <w:rPr>
          <w:rFonts w:ascii="Times New Roman" w:hAnsi="Times New Roman" w:cs="Times New Roman"/>
          <w:sz w:val="24"/>
          <w:szCs w:val="24"/>
        </w:rPr>
        <w:t>guilera</w:t>
      </w:r>
      <w:r w:rsidR="008B57F1" w:rsidRPr="002A6987">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8B57F1">
        <w:rPr>
          <w:rFonts w:ascii="Times New Roman" w:hAnsi="Times New Roman" w:cs="Times New Roman"/>
          <w:sz w:val="24"/>
          <w:szCs w:val="24"/>
        </w:rPr>
        <w:t xml:space="preserve"> 2</w:t>
      </w:r>
      <w:r w:rsidR="008B57F1" w:rsidRPr="002A6987">
        <w:rPr>
          <w:rFonts w:ascii="Times New Roman" w:hAnsi="Times New Roman" w:cs="Times New Roman"/>
          <w:sz w:val="24"/>
          <w:szCs w:val="24"/>
        </w:rPr>
        <w:t>015</w:t>
      </w:r>
      <w:r w:rsidR="00682D1F">
        <w:rPr>
          <w:rFonts w:ascii="Times New Roman" w:hAnsi="Times New Roman" w:cs="Times New Roman"/>
          <w:sz w:val="24"/>
          <w:szCs w:val="24"/>
        </w:rPr>
        <w:t>,</w:t>
      </w:r>
      <w:r w:rsidR="008B57F1">
        <w:rPr>
          <w:rFonts w:ascii="Times New Roman" w:hAnsi="Times New Roman" w:cs="Times New Roman"/>
          <w:sz w:val="24"/>
          <w:szCs w:val="24"/>
        </w:rPr>
        <w:t xml:space="preserve"> </w:t>
      </w:r>
      <w:r w:rsidR="00B37EB8" w:rsidRPr="009A6012">
        <w:rPr>
          <w:rFonts w:ascii="Times New Roman" w:hAnsi="Times New Roman" w:cs="Times New Roman"/>
          <w:sz w:val="24"/>
          <w:szCs w:val="24"/>
        </w:rPr>
        <w:t>Core</w:t>
      </w:r>
      <w:r w:rsidR="00B37EB8">
        <w:rPr>
          <w:rFonts w:ascii="Times New Roman" w:hAnsi="Times New Roman" w:cs="Times New Roman"/>
          <w:sz w:val="24"/>
          <w:szCs w:val="24"/>
        </w:rPr>
        <w:t xml:space="preserve"> </w:t>
      </w:r>
      <w:r w:rsidRPr="001F2E5E">
        <w:rPr>
          <w:rFonts w:ascii="Times New Roman" w:hAnsi="Times New Roman" w:cs="Times New Roman"/>
          <w:i/>
          <w:iCs/>
        </w:rPr>
        <w:t>et al.</w:t>
      </w:r>
      <w:r w:rsidR="00B37EB8">
        <w:rPr>
          <w:rFonts w:ascii="Times New Roman" w:hAnsi="Times New Roman" w:cs="Times New Roman"/>
          <w:sz w:val="24"/>
          <w:szCs w:val="24"/>
        </w:rPr>
        <w:t xml:space="preserve"> </w:t>
      </w:r>
      <w:r w:rsidR="00B37EB8" w:rsidRPr="009A6012">
        <w:rPr>
          <w:rFonts w:ascii="Times New Roman" w:hAnsi="Times New Roman" w:cs="Times New Roman"/>
          <w:sz w:val="24"/>
          <w:szCs w:val="24"/>
        </w:rPr>
        <w:t>2008</w:t>
      </w:r>
      <w:r w:rsidR="00682D1F">
        <w:rPr>
          <w:rFonts w:ascii="Times New Roman" w:hAnsi="Times New Roman" w:cs="Times New Roman"/>
          <w:sz w:val="24"/>
          <w:szCs w:val="24"/>
        </w:rPr>
        <w:t>,</w:t>
      </w:r>
      <w:r w:rsidR="008B57F1">
        <w:rPr>
          <w:rFonts w:ascii="Times New Roman" w:hAnsi="Times New Roman" w:cs="Times New Roman"/>
          <w:sz w:val="24"/>
          <w:szCs w:val="24"/>
        </w:rPr>
        <w:t xml:space="preserve"> </w:t>
      </w:r>
      <w:r w:rsidR="00FE1B5B">
        <w:rPr>
          <w:rFonts w:ascii="Times New Roman" w:hAnsi="Times New Roman" w:cs="Times New Roman"/>
          <w:sz w:val="24"/>
          <w:szCs w:val="24"/>
        </w:rPr>
        <w:t>Dyck</w:t>
      </w:r>
      <w:r w:rsidR="00DB6484">
        <w:rPr>
          <w:rFonts w:ascii="Times New Roman" w:hAnsi="Times New Roman" w:cs="Times New Roman"/>
          <w:sz w:val="24"/>
          <w:szCs w:val="24"/>
        </w:rPr>
        <w:t xml:space="preserve"> </w:t>
      </w:r>
      <w:r w:rsidRPr="001F2E5E">
        <w:rPr>
          <w:rFonts w:ascii="Times New Roman" w:hAnsi="Times New Roman" w:cs="Times New Roman"/>
          <w:i/>
          <w:iCs/>
        </w:rPr>
        <w:t>et al.</w:t>
      </w:r>
      <w:r w:rsidR="00FE2694">
        <w:rPr>
          <w:rFonts w:ascii="Times New Roman" w:hAnsi="Times New Roman" w:cs="Times New Roman"/>
          <w:sz w:val="24"/>
          <w:szCs w:val="24"/>
        </w:rPr>
        <w:t xml:space="preserve"> </w:t>
      </w:r>
      <w:r w:rsidR="00FE1B5B" w:rsidRPr="00A76714">
        <w:rPr>
          <w:rFonts w:ascii="Times New Roman" w:hAnsi="Times New Roman" w:cs="Times New Roman"/>
          <w:sz w:val="24"/>
          <w:szCs w:val="24"/>
        </w:rPr>
        <w:t>2008</w:t>
      </w:r>
      <w:r w:rsidR="00682D1F">
        <w:rPr>
          <w:rFonts w:ascii="Times New Roman" w:hAnsi="Times New Roman" w:cs="Times New Roman"/>
          <w:sz w:val="24"/>
          <w:szCs w:val="24"/>
        </w:rPr>
        <w:t>,</w:t>
      </w:r>
      <w:r w:rsidR="008B57F1">
        <w:rPr>
          <w:rFonts w:ascii="Times New Roman" w:hAnsi="Times New Roman" w:cs="Times New Roman"/>
          <w:sz w:val="24"/>
          <w:szCs w:val="24"/>
        </w:rPr>
        <w:t xml:space="preserve"> Liu and McConnell </w:t>
      </w:r>
      <w:r w:rsidR="00FE1B5B" w:rsidRPr="00E90DAE">
        <w:rPr>
          <w:rFonts w:ascii="Times New Roman" w:hAnsi="Times New Roman" w:cs="Times New Roman"/>
          <w:sz w:val="24"/>
          <w:szCs w:val="24"/>
        </w:rPr>
        <w:t>2013</w:t>
      </w:r>
      <w:r w:rsidR="00682D1F">
        <w:t>,</w:t>
      </w:r>
      <w:r w:rsidR="008B57F1">
        <w:t xml:space="preserve"> </w:t>
      </w:r>
      <w:r w:rsidR="00FE1B5B" w:rsidRPr="001D77E2">
        <w:rPr>
          <w:rFonts w:ascii="Times New Roman" w:hAnsi="Times New Roman" w:cs="Times New Roman"/>
          <w:sz w:val="24"/>
          <w:szCs w:val="24"/>
        </w:rPr>
        <w:t>Wiesenfeld</w:t>
      </w:r>
      <w:r w:rsidR="001A7D5F">
        <w:rPr>
          <w:rFonts w:ascii="Times New Roman" w:hAnsi="Times New Roman" w:cs="Times New Roman"/>
          <w:sz w:val="24"/>
          <w:szCs w:val="24"/>
        </w:rPr>
        <w:t xml:space="preserve"> </w:t>
      </w:r>
      <w:r w:rsidRPr="001F2E5E">
        <w:rPr>
          <w:rFonts w:ascii="Times New Roman" w:hAnsi="Times New Roman" w:cs="Times New Roman"/>
          <w:i/>
          <w:iCs/>
        </w:rPr>
        <w:t>et al.</w:t>
      </w:r>
      <w:r w:rsidR="00FE1B5B" w:rsidRPr="001D77E2">
        <w:rPr>
          <w:rFonts w:ascii="Times New Roman" w:hAnsi="Times New Roman" w:cs="Times New Roman"/>
          <w:sz w:val="24"/>
          <w:szCs w:val="24"/>
        </w:rPr>
        <w:t xml:space="preserve"> 2008</w:t>
      </w:r>
      <w:r w:rsidR="00FE1B5B">
        <w:rPr>
          <w:rFonts w:ascii="Times New Roman" w:hAnsi="Times New Roman" w:cs="Times New Roman"/>
          <w:sz w:val="24"/>
          <w:szCs w:val="24"/>
        </w:rPr>
        <w:t>). Furthermore, Bednar</w:t>
      </w:r>
      <w:r w:rsidR="001A7D5F">
        <w:rPr>
          <w:rFonts w:ascii="Times New Roman" w:hAnsi="Times New Roman" w:cs="Times New Roman"/>
          <w:sz w:val="24"/>
          <w:szCs w:val="24"/>
        </w:rPr>
        <w:t xml:space="preserve"> </w:t>
      </w:r>
      <w:r w:rsidRPr="001F2E5E">
        <w:rPr>
          <w:rFonts w:ascii="Times New Roman" w:hAnsi="Times New Roman" w:cs="Times New Roman"/>
          <w:i/>
          <w:iCs/>
        </w:rPr>
        <w:t>et al.</w:t>
      </w:r>
      <w:r w:rsidR="00FE1B5B" w:rsidRPr="00475FD3">
        <w:rPr>
          <w:rFonts w:ascii="Times New Roman" w:hAnsi="Times New Roman" w:cs="Times New Roman"/>
          <w:sz w:val="24"/>
          <w:szCs w:val="24"/>
        </w:rPr>
        <w:t xml:space="preserve"> </w:t>
      </w:r>
      <w:r w:rsidR="00FE1B5B">
        <w:rPr>
          <w:rFonts w:ascii="Times New Roman" w:hAnsi="Times New Roman" w:cs="Times New Roman"/>
          <w:sz w:val="24"/>
          <w:szCs w:val="24"/>
        </w:rPr>
        <w:t>(</w:t>
      </w:r>
      <w:r w:rsidR="00FE1B5B" w:rsidRPr="00475FD3">
        <w:rPr>
          <w:rFonts w:ascii="Times New Roman" w:hAnsi="Times New Roman" w:cs="Times New Roman"/>
          <w:sz w:val="24"/>
          <w:szCs w:val="24"/>
        </w:rPr>
        <w:t>2013</w:t>
      </w:r>
      <w:r w:rsidR="00A466F7">
        <w:rPr>
          <w:rFonts w:ascii="Times New Roman" w:hAnsi="Times New Roman" w:cs="Times New Roman"/>
          <w:sz w:val="24"/>
          <w:szCs w:val="24"/>
        </w:rPr>
        <w:t>) show</w:t>
      </w:r>
      <w:r w:rsidR="00FE1B5B">
        <w:rPr>
          <w:rFonts w:ascii="Times New Roman" w:hAnsi="Times New Roman" w:cs="Times New Roman"/>
          <w:sz w:val="24"/>
          <w:szCs w:val="24"/>
        </w:rPr>
        <w:t xml:space="preserve"> evidence that in some cases negative media coverage of a firm indicates to its managers the need for a strategy shift. They also </w:t>
      </w:r>
      <w:r w:rsidR="00A466F7">
        <w:rPr>
          <w:rFonts w:ascii="Times New Roman" w:hAnsi="Times New Roman" w:cs="Times New Roman"/>
          <w:sz w:val="24"/>
          <w:szCs w:val="24"/>
        </w:rPr>
        <w:t>show</w:t>
      </w:r>
      <w:r w:rsidR="00FE1B5B">
        <w:rPr>
          <w:rFonts w:ascii="Times New Roman" w:hAnsi="Times New Roman" w:cs="Times New Roman"/>
          <w:sz w:val="24"/>
          <w:szCs w:val="24"/>
        </w:rPr>
        <w:t xml:space="preserve"> that negative coverage is more likely to lead to a change when the firm has a weak performance or as the number of outsiders on the board increases. Moreover,</w:t>
      </w:r>
      <w:r w:rsidR="00FE1B5B" w:rsidRPr="006A34ED">
        <w:rPr>
          <w:rFonts w:ascii="Times New Roman" w:hAnsi="Times New Roman" w:cs="Times New Roman"/>
          <w:sz w:val="24"/>
          <w:szCs w:val="24"/>
        </w:rPr>
        <w:t xml:space="preserve"> media coverage </w:t>
      </w:r>
      <w:r w:rsidR="00FE1B5B">
        <w:rPr>
          <w:rFonts w:ascii="Times New Roman" w:hAnsi="Times New Roman" w:cs="Times New Roman"/>
          <w:sz w:val="24"/>
          <w:szCs w:val="24"/>
        </w:rPr>
        <w:t>can also promote</w:t>
      </w:r>
      <w:r w:rsidR="00FE1B5B" w:rsidRPr="006A34ED">
        <w:rPr>
          <w:rFonts w:ascii="Times New Roman" w:hAnsi="Times New Roman" w:cs="Times New Roman"/>
          <w:sz w:val="24"/>
          <w:szCs w:val="24"/>
        </w:rPr>
        <w:t xml:space="preserve"> corporate governance enhancements</w:t>
      </w:r>
      <w:r w:rsidR="00FE1B5B">
        <w:rPr>
          <w:rFonts w:ascii="Times New Roman" w:hAnsi="Times New Roman" w:cs="Times New Roman"/>
          <w:sz w:val="24"/>
          <w:szCs w:val="24"/>
        </w:rPr>
        <w:t>. For example, Joe</w:t>
      </w:r>
      <w:r w:rsidR="001A7D5F">
        <w:rPr>
          <w:rFonts w:ascii="Times New Roman" w:hAnsi="Times New Roman" w:cs="Times New Roman"/>
          <w:sz w:val="24"/>
          <w:szCs w:val="24"/>
        </w:rPr>
        <w:t xml:space="preserve"> </w:t>
      </w:r>
      <w:r w:rsidRPr="001F2E5E">
        <w:rPr>
          <w:rFonts w:ascii="Times New Roman" w:hAnsi="Times New Roman" w:cs="Times New Roman"/>
          <w:i/>
          <w:iCs/>
        </w:rPr>
        <w:t>et al.</w:t>
      </w:r>
      <w:r w:rsidR="00FE1B5B">
        <w:rPr>
          <w:rFonts w:ascii="Times New Roman" w:hAnsi="Times New Roman" w:cs="Times New Roman"/>
          <w:sz w:val="24"/>
          <w:szCs w:val="24"/>
        </w:rPr>
        <w:t xml:space="preserve"> (</w:t>
      </w:r>
      <w:r w:rsidR="00FE1B5B" w:rsidRPr="00084828">
        <w:rPr>
          <w:rFonts w:ascii="Times New Roman" w:hAnsi="Times New Roman" w:cs="Times New Roman"/>
          <w:sz w:val="24"/>
          <w:szCs w:val="24"/>
        </w:rPr>
        <w:t>2009</w:t>
      </w:r>
      <w:r w:rsidR="00B55D09">
        <w:rPr>
          <w:rFonts w:ascii="Times New Roman" w:hAnsi="Times New Roman" w:cs="Times New Roman"/>
          <w:sz w:val="24"/>
          <w:szCs w:val="24"/>
        </w:rPr>
        <w:t>) document</w:t>
      </w:r>
      <w:r w:rsidR="00FE1B5B">
        <w:rPr>
          <w:rFonts w:ascii="Times New Roman" w:hAnsi="Times New Roman" w:cs="Times New Roman"/>
          <w:sz w:val="24"/>
          <w:szCs w:val="24"/>
        </w:rPr>
        <w:t xml:space="preserve"> that boards that were classified as bad in a media outlet ranking, were subject to major improvements in their structures following the publication of the </w:t>
      </w:r>
      <w:r w:rsidR="00B55D09">
        <w:rPr>
          <w:rFonts w:ascii="Times New Roman" w:hAnsi="Times New Roman" w:cs="Times New Roman"/>
          <w:sz w:val="24"/>
          <w:szCs w:val="24"/>
        </w:rPr>
        <w:t>ranking. The results also show</w:t>
      </w:r>
      <w:r w:rsidR="00FE1B5B">
        <w:rPr>
          <w:rFonts w:ascii="Times New Roman" w:hAnsi="Times New Roman" w:cs="Times New Roman"/>
          <w:sz w:val="24"/>
          <w:szCs w:val="24"/>
        </w:rPr>
        <w:t xml:space="preserve"> that individual investors responded to the publication of the ranking by putting a downward pressure on the pric</w:t>
      </w:r>
      <w:r w:rsidR="008B57F1">
        <w:rPr>
          <w:rFonts w:ascii="Times New Roman" w:hAnsi="Times New Roman" w:cs="Times New Roman"/>
          <w:sz w:val="24"/>
          <w:szCs w:val="24"/>
        </w:rPr>
        <w:t xml:space="preserve">es of the </w:t>
      </w:r>
      <w:r w:rsidR="00492D48">
        <w:rPr>
          <w:rFonts w:ascii="Times New Roman" w:hAnsi="Times New Roman" w:cs="Times New Roman"/>
          <w:sz w:val="24"/>
          <w:szCs w:val="24"/>
        </w:rPr>
        <w:t xml:space="preserve">firms with bad boards. </w:t>
      </w:r>
      <w:r w:rsidR="00B55D09">
        <w:rPr>
          <w:rFonts w:ascii="Times New Roman" w:hAnsi="Times New Roman" w:cs="Times New Roman"/>
          <w:sz w:val="24"/>
          <w:szCs w:val="24"/>
        </w:rPr>
        <w:t xml:space="preserve">Hence, our next </w:t>
      </w:r>
      <w:r w:rsidR="00FB2905">
        <w:rPr>
          <w:rFonts w:ascii="Times New Roman" w:hAnsi="Times New Roman" w:cs="Times New Roman"/>
          <w:sz w:val="24"/>
          <w:szCs w:val="24"/>
        </w:rPr>
        <w:t>question is</w:t>
      </w:r>
      <w:r w:rsidR="0085675E">
        <w:rPr>
          <w:rFonts w:ascii="Times New Roman" w:hAnsi="Times New Roman" w:cs="Times New Roman"/>
          <w:sz w:val="24"/>
          <w:szCs w:val="24"/>
        </w:rPr>
        <w:t>:</w:t>
      </w:r>
    </w:p>
    <w:p w14:paraId="4928D5C9" w14:textId="7B610C62" w:rsidR="00B55D09" w:rsidRDefault="009D1C47" w:rsidP="001F2E5E">
      <w:pPr>
        <w:tabs>
          <w:tab w:val="left" w:pos="426"/>
        </w:tabs>
        <w:spacing w:after="0" w:line="240" w:lineRule="auto"/>
        <w:ind w:left="425" w:hanging="425"/>
        <w:jc w:val="both"/>
        <w:rPr>
          <w:rFonts w:ascii="Times New Roman" w:hAnsi="Times New Roman" w:cs="Times New Roman"/>
          <w:sz w:val="24"/>
          <w:szCs w:val="24"/>
        </w:rPr>
      </w:pPr>
      <w:r>
        <w:rPr>
          <w:rFonts w:ascii="Times New Roman" w:hAnsi="Times New Roman" w:cs="Times New Roman"/>
          <w:b/>
          <w:bCs/>
          <w:i/>
          <w:iCs/>
          <w:sz w:val="24"/>
          <w:szCs w:val="24"/>
        </w:rPr>
        <w:lastRenderedPageBreak/>
        <w:t>1b</w:t>
      </w:r>
      <w:r w:rsidR="0039655D">
        <w:rPr>
          <w:rFonts w:ascii="Times New Roman" w:hAnsi="Times New Roman" w:cs="Times New Roman"/>
          <w:sz w:val="24"/>
          <w:szCs w:val="24"/>
        </w:rPr>
        <w:t xml:space="preserve">. </w:t>
      </w:r>
      <w:r w:rsidR="00187D48">
        <w:rPr>
          <w:rFonts w:ascii="Times New Roman" w:hAnsi="Times New Roman" w:cs="Times New Roman"/>
          <w:sz w:val="24"/>
          <w:szCs w:val="24"/>
        </w:rPr>
        <w:tab/>
      </w:r>
      <w:r w:rsidR="0039655D">
        <w:rPr>
          <w:rFonts w:ascii="Times New Roman" w:hAnsi="Times New Roman" w:cs="Times New Roman"/>
          <w:sz w:val="24"/>
          <w:szCs w:val="24"/>
        </w:rPr>
        <w:t>Do</w:t>
      </w:r>
      <w:r w:rsidR="00B55D09">
        <w:rPr>
          <w:rFonts w:ascii="Times New Roman" w:hAnsi="Times New Roman" w:cs="Times New Roman"/>
          <w:sz w:val="24"/>
          <w:szCs w:val="24"/>
        </w:rPr>
        <w:t xml:space="preserve"> differences in media’s free</w:t>
      </w:r>
      <w:r w:rsidR="00383DA3">
        <w:rPr>
          <w:rFonts w:ascii="Times New Roman" w:hAnsi="Times New Roman" w:cs="Times New Roman"/>
          <w:sz w:val="24"/>
          <w:szCs w:val="24"/>
        </w:rPr>
        <w:t>dom and strength contribute to explaining</w:t>
      </w:r>
      <w:r w:rsidR="001C2A49">
        <w:rPr>
          <w:rFonts w:ascii="Times New Roman" w:hAnsi="Times New Roman" w:cs="Times New Roman"/>
          <w:sz w:val="24"/>
          <w:szCs w:val="24"/>
        </w:rPr>
        <w:t xml:space="preserve"> </w:t>
      </w:r>
      <w:r w:rsidR="00B55D09">
        <w:rPr>
          <w:rFonts w:ascii="Times New Roman" w:hAnsi="Times New Roman" w:cs="Times New Roman"/>
          <w:sz w:val="24"/>
          <w:szCs w:val="24"/>
        </w:rPr>
        <w:t xml:space="preserve">variation in corporate governance characteristics across </w:t>
      </w:r>
      <w:r w:rsidR="00615108">
        <w:rPr>
          <w:rFonts w:ascii="Times New Roman" w:hAnsi="Times New Roman" w:cs="Times New Roman"/>
          <w:sz w:val="24"/>
          <w:szCs w:val="24"/>
        </w:rPr>
        <w:t>countr</w:t>
      </w:r>
      <w:r w:rsidR="00B55D09">
        <w:rPr>
          <w:rFonts w:ascii="Times New Roman" w:hAnsi="Times New Roman" w:cs="Times New Roman"/>
          <w:sz w:val="24"/>
          <w:szCs w:val="24"/>
        </w:rPr>
        <w:t>ies?</w:t>
      </w:r>
    </w:p>
    <w:p w14:paraId="1E45D579" w14:textId="77777777" w:rsidR="001F2E5E" w:rsidRDefault="001F2E5E" w:rsidP="00BF2605">
      <w:pPr>
        <w:tabs>
          <w:tab w:val="left" w:pos="426"/>
        </w:tabs>
        <w:spacing w:after="0" w:line="288" w:lineRule="auto"/>
        <w:jc w:val="both"/>
        <w:rPr>
          <w:rFonts w:ascii="Times New Roman" w:hAnsi="Times New Roman" w:cs="Times New Roman"/>
          <w:sz w:val="24"/>
          <w:szCs w:val="24"/>
        </w:rPr>
      </w:pPr>
    </w:p>
    <w:p w14:paraId="3E9E56DD" w14:textId="65930DAF" w:rsidR="00852123" w:rsidRDefault="001F2E5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55D09">
        <w:rPr>
          <w:rFonts w:ascii="Times New Roman" w:hAnsi="Times New Roman" w:cs="Times New Roman"/>
          <w:sz w:val="24"/>
          <w:szCs w:val="24"/>
        </w:rPr>
        <w:t>Moreover, t</w:t>
      </w:r>
      <w:r w:rsidR="00FE1B5B">
        <w:rPr>
          <w:rFonts w:ascii="Times New Roman" w:hAnsi="Times New Roman" w:cs="Times New Roman"/>
          <w:sz w:val="24"/>
          <w:szCs w:val="24"/>
        </w:rPr>
        <w:t xml:space="preserve">he effectiveness and structure of firm-level corporate governance mechanisms and country-level investor protection are also highly influenced by the </w:t>
      </w:r>
      <w:r w:rsidR="009A440E">
        <w:rPr>
          <w:rFonts w:ascii="Times New Roman" w:hAnsi="Times New Roman" w:cs="Times New Roman"/>
          <w:sz w:val="24"/>
          <w:szCs w:val="24"/>
        </w:rPr>
        <w:t xml:space="preserve">social characteristics </w:t>
      </w:r>
      <w:r w:rsidR="00FE1B5B">
        <w:rPr>
          <w:rFonts w:ascii="Times New Roman" w:hAnsi="Times New Roman" w:cs="Times New Roman"/>
          <w:sz w:val="24"/>
          <w:szCs w:val="24"/>
        </w:rPr>
        <w:t xml:space="preserve">and the cultural values prevailing in a country. </w:t>
      </w:r>
      <w:r w:rsidR="00FE1B5B" w:rsidRPr="000C2A99">
        <w:rPr>
          <w:rFonts w:ascii="Times New Roman" w:hAnsi="Times New Roman" w:cs="Times New Roman"/>
          <w:sz w:val="24"/>
          <w:szCs w:val="24"/>
        </w:rPr>
        <w:t xml:space="preserve">Bebchuk and Neeman (2010) </w:t>
      </w:r>
      <w:r w:rsidR="00950EA6">
        <w:rPr>
          <w:rFonts w:ascii="Times New Roman" w:hAnsi="Times New Roman" w:cs="Times New Roman"/>
          <w:sz w:val="24"/>
          <w:szCs w:val="24"/>
        </w:rPr>
        <w:t>theorize</w:t>
      </w:r>
      <w:r w:rsidR="00FE1B5B" w:rsidRPr="000C2A99">
        <w:rPr>
          <w:rFonts w:ascii="Times New Roman" w:hAnsi="Times New Roman" w:cs="Times New Roman"/>
          <w:sz w:val="24"/>
          <w:szCs w:val="24"/>
        </w:rPr>
        <w:t xml:space="preserve"> that investor protection is more likely to be higher in economies where investors are more educated financially due to their active role in forcing public officials to undertake decisions that increase such protection. They also</w:t>
      </w:r>
      <w:r w:rsidR="00FE1B5B">
        <w:rPr>
          <w:rFonts w:ascii="Times New Roman" w:hAnsi="Times New Roman" w:cs="Times New Roman"/>
          <w:sz w:val="24"/>
          <w:szCs w:val="24"/>
        </w:rPr>
        <w:t xml:space="preserve"> argue that public officials in economies where a large proportion of the voters hold shares in public firms, directly or indirectly, will try to improve investors’ protection out of fear of losing these votes if they fail to do so. To this effect, the influence that the general population have on the appointment of public officials and the threat they pose to ineffective ones determine to a large extent the degree of investor protection offered in the different regulations. </w:t>
      </w:r>
    </w:p>
    <w:p w14:paraId="559B85FA" w14:textId="77777777" w:rsidR="002D3327" w:rsidRDefault="002D3327" w:rsidP="00BF2605">
      <w:pPr>
        <w:tabs>
          <w:tab w:val="left" w:pos="426"/>
        </w:tabs>
        <w:spacing w:after="0" w:line="288" w:lineRule="auto"/>
        <w:jc w:val="both"/>
        <w:rPr>
          <w:rFonts w:ascii="Times New Roman" w:hAnsi="Times New Roman" w:cs="Times New Roman"/>
          <w:sz w:val="24"/>
          <w:szCs w:val="24"/>
        </w:rPr>
      </w:pPr>
    </w:p>
    <w:p w14:paraId="5B7723C4" w14:textId="5DA00210" w:rsidR="003A2698" w:rsidRDefault="002D3327"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A1A8A">
        <w:rPr>
          <w:rFonts w:ascii="Times New Roman" w:hAnsi="Times New Roman" w:cs="Times New Roman"/>
          <w:sz w:val="24"/>
          <w:szCs w:val="24"/>
        </w:rPr>
        <w:t>Empirically</w:t>
      </w:r>
      <w:r w:rsidR="00FE1B5B">
        <w:rPr>
          <w:rFonts w:ascii="Times New Roman" w:hAnsi="Times New Roman" w:cs="Times New Roman"/>
          <w:sz w:val="24"/>
          <w:szCs w:val="24"/>
        </w:rPr>
        <w:t>,</w:t>
      </w:r>
      <w:r w:rsidR="00852123" w:rsidRPr="00852123">
        <w:rPr>
          <w:rFonts w:ascii="Times New Roman" w:hAnsi="Times New Roman" w:cs="Times New Roman"/>
          <w:sz w:val="24"/>
          <w:szCs w:val="24"/>
        </w:rPr>
        <w:t xml:space="preserve"> </w:t>
      </w:r>
      <w:r w:rsidR="00852123">
        <w:rPr>
          <w:rFonts w:ascii="Times New Roman" w:hAnsi="Times New Roman" w:cs="Times New Roman"/>
          <w:sz w:val="24"/>
          <w:szCs w:val="24"/>
        </w:rPr>
        <w:t>Licht</w:t>
      </w:r>
      <w:r w:rsidR="001A7D5F">
        <w:rPr>
          <w:rFonts w:ascii="Times New Roman" w:hAnsi="Times New Roman" w:cs="Times New Roman"/>
          <w:sz w:val="24"/>
          <w:szCs w:val="24"/>
        </w:rPr>
        <w:t xml:space="preserve"> </w:t>
      </w:r>
      <w:r w:rsidRPr="001F2E5E">
        <w:rPr>
          <w:rFonts w:ascii="Times New Roman" w:hAnsi="Times New Roman" w:cs="Times New Roman"/>
          <w:i/>
          <w:iCs/>
        </w:rPr>
        <w:t>et al.</w:t>
      </w:r>
      <w:r w:rsidR="001A7D5F">
        <w:rPr>
          <w:rFonts w:ascii="Times New Roman" w:hAnsi="Times New Roman" w:cs="Times New Roman"/>
          <w:sz w:val="24"/>
          <w:szCs w:val="24"/>
        </w:rPr>
        <w:t xml:space="preserve"> </w:t>
      </w:r>
      <w:r w:rsidR="00852123">
        <w:rPr>
          <w:rFonts w:ascii="Times New Roman" w:hAnsi="Times New Roman" w:cs="Times New Roman"/>
          <w:sz w:val="24"/>
          <w:szCs w:val="24"/>
        </w:rPr>
        <w:t>(</w:t>
      </w:r>
      <w:r w:rsidR="00852123" w:rsidRPr="002825FD">
        <w:rPr>
          <w:rFonts w:ascii="Times New Roman" w:hAnsi="Times New Roman" w:cs="Times New Roman"/>
          <w:sz w:val="24"/>
          <w:szCs w:val="24"/>
        </w:rPr>
        <w:t>2005</w:t>
      </w:r>
      <w:r w:rsidR="00852123">
        <w:rPr>
          <w:rFonts w:ascii="Times New Roman" w:hAnsi="Times New Roman" w:cs="Times New Roman"/>
          <w:sz w:val="24"/>
          <w:szCs w:val="24"/>
        </w:rPr>
        <w:t xml:space="preserve">) document that in comparison to legal families </w:t>
      </w:r>
      <w:r w:rsidR="00E219C5">
        <w:rPr>
          <w:rFonts w:ascii="Times New Roman" w:hAnsi="Times New Roman" w:cs="Times New Roman"/>
          <w:sz w:val="24"/>
          <w:szCs w:val="24"/>
        </w:rPr>
        <w:t>for example,</w:t>
      </w:r>
      <w:r w:rsidR="00852123">
        <w:rPr>
          <w:rFonts w:ascii="Times New Roman" w:hAnsi="Times New Roman" w:cs="Times New Roman"/>
          <w:sz w:val="24"/>
          <w:szCs w:val="24"/>
        </w:rPr>
        <w:t xml:space="preserve"> civil or common law), prevailing cultural values and norms explain a larger portion of cross-country variations in corporate governance and investor protection. They also show evidence that cultural values persist in spite of any legal reforms, suggesting that culture may influence or even hinder reforms which in turn impacts national corporate governance practices. This confirms the important role played by social institutions and values in shaping corporate governance practices in a country (see also: Boytsun</w:t>
      </w:r>
      <w:r w:rsidR="00DB6484">
        <w:rPr>
          <w:rFonts w:ascii="Times New Roman" w:hAnsi="Times New Roman" w:cs="Times New Roman"/>
          <w:sz w:val="24"/>
          <w:szCs w:val="24"/>
        </w:rPr>
        <w:t xml:space="preserve"> </w:t>
      </w:r>
      <w:r w:rsidRPr="001F2E5E">
        <w:rPr>
          <w:rFonts w:ascii="Times New Roman" w:hAnsi="Times New Roman" w:cs="Times New Roman"/>
          <w:i/>
          <w:iCs/>
        </w:rPr>
        <w:t>et al.</w:t>
      </w:r>
      <w:r w:rsidR="00852123">
        <w:rPr>
          <w:rFonts w:ascii="Times New Roman" w:hAnsi="Times New Roman" w:cs="Times New Roman"/>
          <w:sz w:val="24"/>
          <w:szCs w:val="24"/>
        </w:rPr>
        <w:t xml:space="preserve"> 2011</w:t>
      </w:r>
      <w:r w:rsidR="00682D1F">
        <w:rPr>
          <w:rFonts w:ascii="Times New Roman" w:hAnsi="Times New Roman" w:cs="Times New Roman"/>
          <w:sz w:val="24"/>
          <w:szCs w:val="24"/>
        </w:rPr>
        <w:t>,</w:t>
      </w:r>
      <w:r w:rsidR="00852123">
        <w:rPr>
          <w:rFonts w:ascii="Times New Roman" w:hAnsi="Times New Roman" w:cs="Times New Roman"/>
          <w:sz w:val="24"/>
          <w:szCs w:val="24"/>
        </w:rPr>
        <w:t xml:space="preserve"> Estrin and Prevezer </w:t>
      </w:r>
      <w:r w:rsidR="00852123" w:rsidRPr="000A442F">
        <w:rPr>
          <w:rFonts w:ascii="Times New Roman" w:hAnsi="Times New Roman" w:cs="Times New Roman"/>
          <w:sz w:val="24"/>
          <w:szCs w:val="24"/>
        </w:rPr>
        <w:t>2011</w:t>
      </w:r>
      <w:r w:rsidR="00682D1F">
        <w:rPr>
          <w:rFonts w:ascii="Times New Roman" w:hAnsi="Times New Roman" w:cs="Times New Roman"/>
          <w:sz w:val="24"/>
          <w:szCs w:val="24"/>
        </w:rPr>
        <w:t>,</w:t>
      </w:r>
      <w:r w:rsidR="00852123">
        <w:rPr>
          <w:rFonts w:ascii="Times New Roman" w:hAnsi="Times New Roman" w:cs="Times New Roman"/>
          <w:sz w:val="24"/>
          <w:szCs w:val="24"/>
        </w:rPr>
        <w:t xml:space="preserve"> </w:t>
      </w:r>
      <w:r w:rsidR="00852123" w:rsidRPr="00DF123F">
        <w:rPr>
          <w:rFonts w:ascii="Times New Roman" w:hAnsi="Times New Roman" w:cs="Times New Roman"/>
          <w:sz w:val="24"/>
          <w:szCs w:val="24"/>
        </w:rPr>
        <w:t xml:space="preserve">Djankov </w:t>
      </w:r>
      <w:r w:rsidRPr="001F2E5E">
        <w:rPr>
          <w:rFonts w:ascii="Times New Roman" w:hAnsi="Times New Roman" w:cs="Times New Roman"/>
          <w:i/>
          <w:iCs/>
        </w:rPr>
        <w:t>et al.</w:t>
      </w:r>
      <w:r w:rsidR="00852123" w:rsidRPr="00DF123F">
        <w:rPr>
          <w:rFonts w:ascii="Times New Roman" w:hAnsi="Times New Roman" w:cs="Times New Roman"/>
          <w:sz w:val="24"/>
          <w:szCs w:val="24"/>
        </w:rPr>
        <w:t xml:space="preserve"> 2003</w:t>
      </w:r>
      <w:r w:rsidR="00682D1F">
        <w:rPr>
          <w:rFonts w:ascii="Times New Roman" w:hAnsi="Times New Roman" w:cs="Times New Roman"/>
          <w:sz w:val="24"/>
          <w:szCs w:val="24"/>
        </w:rPr>
        <w:t>,</w:t>
      </w:r>
      <w:r w:rsidR="00852123">
        <w:rPr>
          <w:rFonts w:ascii="Times New Roman" w:hAnsi="Times New Roman" w:cs="Times New Roman"/>
          <w:sz w:val="24"/>
          <w:szCs w:val="24"/>
        </w:rPr>
        <w:t xml:space="preserve"> Licht</w:t>
      </w:r>
      <w:r w:rsidR="00DB6484">
        <w:rPr>
          <w:rFonts w:ascii="Times New Roman" w:hAnsi="Times New Roman" w:cs="Times New Roman"/>
          <w:sz w:val="24"/>
          <w:szCs w:val="24"/>
        </w:rPr>
        <w:t xml:space="preserve"> </w:t>
      </w:r>
      <w:r w:rsidRPr="001F2E5E">
        <w:rPr>
          <w:rFonts w:ascii="Times New Roman" w:hAnsi="Times New Roman" w:cs="Times New Roman"/>
          <w:i/>
          <w:iCs/>
        </w:rPr>
        <w:t>et al.</w:t>
      </w:r>
      <w:r w:rsidR="00512789">
        <w:rPr>
          <w:rFonts w:ascii="Times New Roman" w:hAnsi="Times New Roman" w:cs="Times New Roman"/>
          <w:i/>
          <w:iCs/>
        </w:rPr>
        <w:t xml:space="preserve"> </w:t>
      </w:r>
      <w:r w:rsidR="00852123">
        <w:rPr>
          <w:rFonts w:ascii="Times New Roman" w:hAnsi="Times New Roman" w:cs="Times New Roman"/>
          <w:sz w:val="24"/>
          <w:szCs w:val="24"/>
        </w:rPr>
        <w:t>2007</w:t>
      </w:r>
      <w:r w:rsidR="00852123" w:rsidRPr="00DF123F">
        <w:rPr>
          <w:rFonts w:ascii="Times New Roman" w:hAnsi="Times New Roman" w:cs="Times New Roman"/>
          <w:sz w:val="24"/>
          <w:szCs w:val="24"/>
        </w:rPr>
        <w:t>)</w:t>
      </w:r>
      <w:r w:rsidR="00852123">
        <w:rPr>
          <w:rFonts w:ascii="Times New Roman" w:hAnsi="Times New Roman" w:cs="Times New Roman"/>
          <w:sz w:val="24"/>
          <w:szCs w:val="24"/>
        </w:rPr>
        <w:t xml:space="preserve">. </w:t>
      </w:r>
      <w:r w:rsidR="00FE1B5B">
        <w:rPr>
          <w:rFonts w:ascii="Times New Roman" w:hAnsi="Times New Roman" w:cs="Times New Roman"/>
          <w:sz w:val="24"/>
          <w:szCs w:val="24"/>
        </w:rPr>
        <w:t>In the same vein,</w:t>
      </w:r>
      <w:r w:rsidR="00852123">
        <w:rPr>
          <w:rFonts w:ascii="Times New Roman" w:hAnsi="Times New Roman" w:cs="Times New Roman"/>
          <w:sz w:val="24"/>
          <w:szCs w:val="24"/>
        </w:rPr>
        <w:t xml:space="preserve"> Stulz and Williamson (</w:t>
      </w:r>
      <w:r w:rsidR="00852123" w:rsidRPr="00C15419">
        <w:rPr>
          <w:rFonts w:ascii="Times New Roman" w:hAnsi="Times New Roman" w:cs="Times New Roman"/>
          <w:sz w:val="24"/>
          <w:szCs w:val="24"/>
        </w:rPr>
        <w:t>2003</w:t>
      </w:r>
      <w:r w:rsidR="00852123">
        <w:rPr>
          <w:rFonts w:ascii="Times New Roman" w:hAnsi="Times New Roman" w:cs="Times New Roman"/>
          <w:sz w:val="24"/>
          <w:szCs w:val="24"/>
        </w:rPr>
        <w:t xml:space="preserve">) present a strong evidence that cultural differences such as language and prevailing religion play a significant role in explaining the cross-country variations in investor protection. For instance, the results show that when compared to Protestant countries, Catholic countries have significantly weaker creditor and shareholder rights. Furthermore, the results also show that higher openness to international trade reduces the influence of religion on protection of creditors (see also La Porta </w:t>
      </w:r>
      <w:r w:rsidRPr="001F2E5E">
        <w:rPr>
          <w:rFonts w:ascii="Times New Roman" w:hAnsi="Times New Roman" w:cs="Times New Roman"/>
          <w:i/>
          <w:iCs/>
        </w:rPr>
        <w:t>et al.</w:t>
      </w:r>
      <w:r w:rsidR="00852123">
        <w:rPr>
          <w:rFonts w:ascii="Times New Roman" w:hAnsi="Times New Roman" w:cs="Times New Roman"/>
          <w:sz w:val="24"/>
          <w:szCs w:val="24"/>
        </w:rPr>
        <w:t xml:space="preserve"> 1999)</w:t>
      </w:r>
      <w:r w:rsidR="00FE1B5B" w:rsidRPr="00DF123F">
        <w:rPr>
          <w:rFonts w:ascii="Times New Roman" w:hAnsi="Times New Roman" w:cs="Times New Roman"/>
          <w:sz w:val="24"/>
          <w:szCs w:val="24"/>
        </w:rPr>
        <w:t>.</w:t>
      </w:r>
      <w:r w:rsidR="003A2698">
        <w:rPr>
          <w:rFonts w:ascii="Times New Roman" w:hAnsi="Times New Roman" w:cs="Times New Roman"/>
          <w:sz w:val="24"/>
          <w:szCs w:val="24"/>
        </w:rPr>
        <w:t xml:space="preserve"> On this basis, </w:t>
      </w:r>
      <w:r w:rsidR="003A2698" w:rsidRPr="003A2698">
        <w:rPr>
          <w:rFonts w:ascii="Times New Roman" w:hAnsi="Times New Roman" w:cs="Times New Roman"/>
          <w:sz w:val="24"/>
          <w:szCs w:val="24"/>
        </w:rPr>
        <w:t xml:space="preserve">our next </w:t>
      </w:r>
      <w:r w:rsidR="00A3363D">
        <w:rPr>
          <w:rFonts w:ascii="Times New Roman" w:hAnsi="Times New Roman" w:cs="Times New Roman"/>
          <w:sz w:val="24"/>
          <w:szCs w:val="24"/>
        </w:rPr>
        <w:t>question is</w:t>
      </w:r>
      <w:r w:rsidR="003A2698">
        <w:rPr>
          <w:rFonts w:ascii="Times New Roman" w:hAnsi="Times New Roman" w:cs="Times New Roman"/>
          <w:sz w:val="24"/>
          <w:szCs w:val="24"/>
        </w:rPr>
        <w:t>:</w:t>
      </w:r>
    </w:p>
    <w:p w14:paraId="136542E9" w14:textId="77777777" w:rsidR="00305090" w:rsidRPr="003A2698" w:rsidRDefault="00305090" w:rsidP="00BF2605">
      <w:pPr>
        <w:tabs>
          <w:tab w:val="left" w:pos="426"/>
        </w:tabs>
        <w:spacing w:after="0" w:line="288" w:lineRule="auto"/>
        <w:jc w:val="both"/>
        <w:rPr>
          <w:rFonts w:ascii="Times New Roman" w:hAnsi="Times New Roman" w:cs="Times New Roman"/>
          <w:sz w:val="24"/>
          <w:szCs w:val="24"/>
        </w:rPr>
      </w:pPr>
    </w:p>
    <w:p w14:paraId="04A3FAFC" w14:textId="2365B018" w:rsidR="00383DA3" w:rsidRDefault="009D1C47" w:rsidP="002D3327">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b/>
          <w:bCs/>
          <w:i/>
          <w:iCs/>
          <w:sz w:val="24"/>
          <w:szCs w:val="24"/>
        </w:rPr>
        <w:t>1c</w:t>
      </w:r>
      <w:r w:rsidR="003A2698" w:rsidRPr="00A3363D">
        <w:rPr>
          <w:rFonts w:ascii="Times New Roman" w:hAnsi="Times New Roman" w:cs="Times New Roman"/>
          <w:b/>
          <w:bCs/>
          <w:i/>
          <w:iCs/>
          <w:sz w:val="24"/>
          <w:szCs w:val="24"/>
        </w:rPr>
        <w:t>.</w:t>
      </w:r>
      <w:r w:rsidR="003A2698" w:rsidRPr="003A2698">
        <w:rPr>
          <w:rFonts w:ascii="Times New Roman" w:hAnsi="Times New Roman" w:cs="Times New Roman"/>
          <w:sz w:val="24"/>
          <w:szCs w:val="24"/>
        </w:rPr>
        <w:t xml:space="preserve"> </w:t>
      </w:r>
      <w:r w:rsidR="002D3327">
        <w:rPr>
          <w:rFonts w:ascii="Times New Roman" w:hAnsi="Times New Roman" w:cs="Times New Roman"/>
          <w:sz w:val="24"/>
          <w:szCs w:val="24"/>
        </w:rPr>
        <w:tab/>
      </w:r>
      <w:r w:rsidR="003A2698" w:rsidRPr="003A2698">
        <w:rPr>
          <w:rFonts w:ascii="Times New Roman" w:hAnsi="Times New Roman" w:cs="Times New Roman"/>
          <w:sz w:val="24"/>
          <w:szCs w:val="24"/>
        </w:rPr>
        <w:t xml:space="preserve">Do </w:t>
      </w:r>
      <w:r w:rsidR="00383DA3">
        <w:rPr>
          <w:rFonts w:ascii="Times New Roman" w:hAnsi="Times New Roman" w:cs="Times New Roman"/>
          <w:sz w:val="24"/>
          <w:szCs w:val="24"/>
        </w:rPr>
        <w:t>differences in</w:t>
      </w:r>
      <w:r w:rsidR="003A2698" w:rsidRPr="003A2698">
        <w:rPr>
          <w:rFonts w:ascii="Times New Roman" w:hAnsi="Times New Roman" w:cs="Times New Roman"/>
          <w:sz w:val="24"/>
          <w:szCs w:val="24"/>
        </w:rPr>
        <w:t xml:space="preserve"> social</w:t>
      </w:r>
      <w:r w:rsidR="00383DA3">
        <w:rPr>
          <w:rFonts w:ascii="Times New Roman" w:hAnsi="Times New Roman" w:cs="Times New Roman"/>
          <w:sz w:val="24"/>
          <w:szCs w:val="24"/>
        </w:rPr>
        <w:t xml:space="preserve"> or cultural </w:t>
      </w:r>
      <w:r w:rsidR="003A2698" w:rsidRPr="003A2698">
        <w:rPr>
          <w:rFonts w:ascii="Times New Roman" w:hAnsi="Times New Roman" w:cs="Times New Roman"/>
          <w:sz w:val="24"/>
          <w:szCs w:val="24"/>
        </w:rPr>
        <w:t xml:space="preserve">characteristics </w:t>
      </w:r>
      <w:r w:rsidR="001C2A49">
        <w:rPr>
          <w:rFonts w:ascii="Times New Roman" w:hAnsi="Times New Roman" w:cs="Times New Roman"/>
          <w:sz w:val="24"/>
          <w:szCs w:val="24"/>
        </w:rPr>
        <w:t xml:space="preserve">contribute to explaining </w:t>
      </w:r>
      <w:r w:rsidR="00383DA3">
        <w:rPr>
          <w:rFonts w:ascii="Times New Roman" w:hAnsi="Times New Roman" w:cs="Times New Roman"/>
          <w:sz w:val="24"/>
          <w:szCs w:val="24"/>
        </w:rPr>
        <w:t xml:space="preserve">variation in corporate governance characteristics across </w:t>
      </w:r>
      <w:r w:rsidR="00615108">
        <w:rPr>
          <w:rFonts w:ascii="Times New Roman" w:hAnsi="Times New Roman" w:cs="Times New Roman"/>
          <w:sz w:val="24"/>
          <w:szCs w:val="24"/>
        </w:rPr>
        <w:t>countr</w:t>
      </w:r>
      <w:r w:rsidR="00383DA3">
        <w:rPr>
          <w:rFonts w:ascii="Times New Roman" w:hAnsi="Times New Roman" w:cs="Times New Roman"/>
          <w:sz w:val="24"/>
          <w:szCs w:val="24"/>
        </w:rPr>
        <w:t>ies?</w:t>
      </w:r>
    </w:p>
    <w:p w14:paraId="5CA07762" w14:textId="77777777" w:rsidR="002D3327" w:rsidRDefault="002D3327" w:rsidP="00BF2605">
      <w:pPr>
        <w:tabs>
          <w:tab w:val="left" w:pos="426"/>
        </w:tabs>
        <w:spacing w:after="0" w:line="288" w:lineRule="auto"/>
        <w:jc w:val="both"/>
        <w:rPr>
          <w:rFonts w:ascii="Times New Roman" w:hAnsi="Times New Roman" w:cs="Times New Roman"/>
          <w:sz w:val="24"/>
          <w:szCs w:val="24"/>
        </w:rPr>
      </w:pPr>
    </w:p>
    <w:p w14:paraId="21E054CA" w14:textId="4F094E39" w:rsidR="003A2698" w:rsidRDefault="002D3327"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A2698">
        <w:rPr>
          <w:rFonts w:ascii="Times New Roman" w:hAnsi="Times New Roman" w:cs="Times New Roman"/>
          <w:sz w:val="24"/>
          <w:szCs w:val="24"/>
        </w:rPr>
        <w:t>Furthermore, t</w:t>
      </w:r>
      <w:r w:rsidR="00FE1B5B">
        <w:rPr>
          <w:rFonts w:ascii="Times New Roman" w:hAnsi="Times New Roman" w:cs="Times New Roman"/>
          <w:sz w:val="24"/>
          <w:szCs w:val="24"/>
        </w:rPr>
        <w:t xml:space="preserve">o ensure their survival, firms operating in competitive environments are more likely to only appoint and keep highly trained and well-performing managers who are also expected to run the firms as efficient as possible. As a result, corporate governance problems are expected to be less acute in firms operating in competitive environments (see </w:t>
      </w:r>
      <w:r w:rsidR="00FE1B5B" w:rsidRPr="004279B3">
        <w:rPr>
          <w:rFonts w:ascii="Times New Roman" w:hAnsi="Times New Roman" w:cs="Times New Roman"/>
          <w:sz w:val="24"/>
          <w:szCs w:val="24"/>
        </w:rPr>
        <w:t>Claessens and Yurtoglu</w:t>
      </w:r>
      <w:r w:rsidR="00FE1B5B">
        <w:rPr>
          <w:rFonts w:ascii="Times New Roman" w:hAnsi="Times New Roman" w:cs="Times New Roman"/>
          <w:sz w:val="24"/>
          <w:szCs w:val="24"/>
        </w:rPr>
        <w:t xml:space="preserve"> </w:t>
      </w:r>
      <w:r w:rsidR="00FE1B5B" w:rsidRPr="004279B3">
        <w:rPr>
          <w:rFonts w:ascii="Times New Roman" w:hAnsi="Times New Roman" w:cs="Times New Roman"/>
          <w:sz w:val="24"/>
          <w:szCs w:val="24"/>
        </w:rPr>
        <w:t>2015</w:t>
      </w:r>
      <w:r w:rsidR="00FE1B5B">
        <w:rPr>
          <w:rFonts w:ascii="Times New Roman" w:hAnsi="Times New Roman" w:cs="Times New Roman"/>
          <w:sz w:val="24"/>
          <w:szCs w:val="24"/>
        </w:rPr>
        <w:t xml:space="preserve">). For instance, </w:t>
      </w:r>
      <w:r w:rsidR="00F86BE2" w:rsidRPr="00F86BE2">
        <w:rPr>
          <w:rFonts w:ascii="Times New Roman" w:hAnsi="Times New Roman" w:cs="Times New Roman"/>
          <w:sz w:val="24"/>
          <w:szCs w:val="24"/>
        </w:rPr>
        <w:t xml:space="preserve">Baggs and De Bettignies (2007) report that competition for market and product share puts more pressure on the managers to improve quality and operate more efficiently. They also show that in firms with more serious agency issues the competition effect </w:t>
      </w:r>
      <w:r w:rsidR="00F86BE2" w:rsidRPr="00F86BE2">
        <w:rPr>
          <w:rFonts w:ascii="Times New Roman" w:hAnsi="Times New Roman" w:cs="Times New Roman"/>
          <w:sz w:val="24"/>
          <w:szCs w:val="24"/>
        </w:rPr>
        <w:lastRenderedPageBreak/>
        <w:t xml:space="preserve">reduces the marginal cost needed to provide managerial incentives. Moreover, Giroud and Mueller (2010) </w:t>
      </w:r>
      <w:r w:rsidR="00F86BE2">
        <w:rPr>
          <w:rFonts w:ascii="Times New Roman" w:hAnsi="Times New Roman" w:cs="Times New Roman"/>
          <w:sz w:val="24"/>
          <w:szCs w:val="24"/>
        </w:rPr>
        <w:t>show</w:t>
      </w:r>
      <w:r w:rsidR="00F86BE2" w:rsidRPr="00F86BE2">
        <w:rPr>
          <w:rFonts w:ascii="Times New Roman" w:hAnsi="Times New Roman" w:cs="Times New Roman"/>
          <w:sz w:val="24"/>
          <w:szCs w:val="24"/>
        </w:rPr>
        <w:t xml:space="preserve"> that firms in non-competitive industries see a drop in their operating performance upon the passage of a law that reduces hostile takeover threats, whereas firms in competitive industries see no change to their performance. The results also show increases in overhead costs, wages, and input costs following the passage of the law, which are exclusive to firms operating in non-competitive industries only. Giroud and Mueller argue that this supports the argument that competition prevents managerial slack, and thus firms operating in competitive industries are less likely to suffer from the increase in the likelihood of slackness brought by the</w:t>
      </w:r>
      <w:r w:rsidR="00F86BE2">
        <w:rPr>
          <w:rFonts w:ascii="Times New Roman" w:hAnsi="Times New Roman" w:cs="Times New Roman"/>
          <w:sz w:val="24"/>
          <w:szCs w:val="24"/>
        </w:rPr>
        <w:t xml:space="preserve"> reduction in takeover threats</w:t>
      </w:r>
      <w:r w:rsidR="003A2698">
        <w:rPr>
          <w:rFonts w:ascii="Times New Roman" w:hAnsi="Times New Roman" w:cs="Times New Roman"/>
          <w:sz w:val="24"/>
          <w:szCs w:val="24"/>
        </w:rPr>
        <w:t xml:space="preserve"> (see also </w:t>
      </w:r>
      <w:r w:rsidR="00245DE3">
        <w:rPr>
          <w:rFonts w:ascii="Times New Roman" w:hAnsi="Times New Roman" w:cs="Times New Roman"/>
          <w:sz w:val="24"/>
          <w:szCs w:val="24"/>
        </w:rPr>
        <w:t xml:space="preserve">Baggs and De Bettignies </w:t>
      </w:r>
      <w:r w:rsidR="00245DE3" w:rsidRPr="00330E2A">
        <w:rPr>
          <w:rFonts w:ascii="Times New Roman" w:hAnsi="Times New Roman" w:cs="Times New Roman"/>
          <w:sz w:val="24"/>
          <w:szCs w:val="24"/>
        </w:rPr>
        <w:t>200</w:t>
      </w:r>
      <w:r w:rsidR="00E219C5">
        <w:rPr>
          <w:rFonts w:ascii="Times New Roman" w:hAnsi="Times New Roman" w:cs="Times New Roman"/>
          <w:sz w:val="24"/>
          <w:szCs w:val="24"/>
        </w:rPr>
        <w:t>7,</w:t>
      </w:r>
      <w:r w:rsidR="00245DE3">
        <w:rPr>
          <w:rFonts w:ascii="Times New Roman" w:hAnsi="Times New Roman" w:cs="Times New Roman"/>
          <w:sz w:val="24"/>
          <w:szCs w:val="24"/>
        </w:rPr>
        <w:t xml:space="preserve"> </w:t>
      </w:r>
      <w:r w:rsidR="0019034F">
        <w:rPr>
          <w:rFonts w:ascii="Times New Roman" w:hAnsi="Times New Roman" w:cs="Times New Roman"/>
          <w:sz w:val="24"/>
          <w:szCs w:val="24"/>
        </w:rPr>
        <w:t xml:space="preserve">DeFond and Park </w:t>
      </w:r>
      <w:r w:rsidR="0019034F" w:rsidRPr="00CD061C">
        <w:rPr>
          <w:rFonts w:ascii="Times New Roman" w:hAnsi="Times New Roman" w:cs="Times New Roman"/>
          <w:sz w:val="24"/>
          <w:szCs w:val="24"/>
        </w:rPr>
        <w:t>1999</w:t>
      </w:r>
      <w:r w:rsidR="00682D1F">
        <w:rPr>
          <w:rFonts w:ascii="Times New Roman" w:hAnsi="Times New Roman" w:cs="Times New Roman"/>
          <w:sz w:val="24"/>
          <w:szCs w:val="24"/>
        </w:rPr>
        <w:t>,</w:t>
      </w:r>
      <w:r w:rsidR="0019034F">
        <w:rPr>
          <w:rFonts w:ascii="Times New Roman" w:hAnsi="Times New Roman" w:cs="Times New Roman"/>
          <w:sz w:val="24"/>
          <w:szCs w:val="24"/>
        </w:rPr>
        <w:t xml:space="preserve"> </w:t>
      </w:r>
      <w:r w:rsidR="003A2698">
        <w:rPr>
          <w:rFonts w:ascii="Times New Roman" w:hAnsi="Times New Roman" w:cs="Times New Roman"/>
          <w:sz w:val="24"/>
          <w:szCs w:val="24"/>
        </w:rPr>
        <w:t xml:space="preserve">Fee and Hadlock </w:t>
      </w:r>
      <w:r w:rsidR="00FE1B5B" w:rsidRPr="00D53FA8">
        <w:rPr>
          <w:rFonts w:ascii="Times New Roman" w:hAnsi="Times New Roman" w:cs="Times New Roman"/>
          <w:sz w:val="24"/>
          <w:szCs w:val="24"/>
        </w:rPr>
        <w:t>2000</w:t>
      </w:r>
      <w:r w:rsidR="00682D1F">
        <w:rPr>
          <w:rFonts w:ascii="Times New Roman" w:hAnsi="Times New Roman" w:cs="Times New Roman"/>
          <w:sz w:val="24"/>
          <w:szCs w:val="24"/>
        </w:rPr>
        <w:t>,</w:t>
      </w:r>
      <w:r w:rsidR="00245DE3">
        <w:rPr>
          <w:rFonts w:ascii="Times New Roman" w:hAnsi="Times New Roman" w:cs="Times New Roman"/>
          <w:sz w:val="24"/>
          <w:szCs w:val="24"/>
        </w:rPr>
        <w:t xml:space="preserve"> </w:t>
      </w:r>
      <w:r w:rsidR="009A0FAB">
        <w:rPr>
          <w:rFonts w:ascii="Times New Roman" w:hAnsi="Times New Roman" w:cs="Times New Roman"/>
          <w:sz w:val="24"/>
          <w:szCs w:val="24"/>
        </w:rPr>
        <w:t xml:space="preserve">Giroud and Mueller </w:t>
      </w:r>
      <w:r w:rsidR="009A0FAB" w:rsidRPr="004279B3">
        <w:rPr>
          <w:rFonts w:ascii="Times New Roman" w:hAnsi="Times New Roman" w:cs="Times New Roman"/>
          <w:sz w:val="24"/>
          <w:szCs w:val="24"/>
        </w:rPr>
        <w:t>2010</w:t>
      </w:r>
      <w:r w:rsidR="009A0FAB">
        <w:rPr>
          <w:rFonts w:ascii="Times New Roman" w:hAnsi="Times New Roman" w:cs="Times New Roman"/>
          <w:sz w:val="24"/>
          <w:szCs w:val="24"/>
        </w:rPr>
        <w:t xml:space="preserve">). </w:t>
      </w:r>
      <w:r w:rsidR="003A2698">
        <w:rPr>
          <w:rFonts w:ascii="Times New Roman" w:hAnsi="Times New Roman" w:cs="Times New Roman"/>
          <w:sz w:val="24"/>
          <w:szCs w:val="24"/>
        </w:rPr>
        <w:t xml:space="preserve">Hence, </w:t>
      </w:r>
      <w:r w:rsidR="00A3363D">
        <w:rPr>
          <w:rFonts w:ascii="Times New Roman" w:hAnsi="Times New Roman" w:cs="Times New Roman"/>
          <w:sz w:val="24"/>
          <w:szCs w:val="24"/>
        </w:rPr>
        <w:t>the next research question is</w:t>
      </w:r>
      <w:r w:rsidR="003A2698">
        <w:rPr>
          <w:rFonts w:ascii="Times New Roman" w:hAnsi="Times New Roman" w:cs="Times New Roman"/>
          <w:sz w:val="24"/>
          <w:szCs w:val="24"/>
        </w:rPr>
        <w:t>:</w:t>
      </w:r>
    </w:p>
    <w:p w14:paraId="48784F94" w14:textId="77777777" w:rsidR="002D3327" w:rsidRPr="00E219C5" w:rsidRDefault="002D3327" w:rsidP="00BF2605">
      <w:pPr>
        <w:tabs>
          <w:tab w:val="left" w:pos="426"/>
        </w:tabs>
        <w:spacing w:after="0" w:line="288" w:lineRule="auto"/>
        <w:jc w:val="both"/>
        <w:rPr>
          <w:rFonts w:ascii="Times New Roman" w:hAnsi="Times New Roman" w:cs="Times New Roman"/>
          <w:sz w:val="12"/>
          <w:szCs w:val="12"/>
        </w:rPr>
      </w:pPr>
    </w:p>
    <w:p w14:paraId="3621888C" w14:textId="53D01364" w:rsidR="003A2698" w:rsidRDefault="009D1C47" w:rsidP="005E1B09">
      <w:p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
          <w:bCs/>
          <w:i/>
          <w:iCs/>
          <w:sz w:val="24"/>
          <w:szCs w:val="24"/>
        </w:rPr>
        <w:t>1d</w:t>
      </w:r>
      <w:r w:rsidR="003A2698">
        <w:rPr>
          <w:rFonts w:ascii="Times New Roman" w:hAnsi="Times New Roman" w:cs="Times New Roman"/>
          <w:sz w:val="24"/>
          <w:szCs w:val="24"/>
        </w:rPr>
        <w:t xml:space="preserve">.  Do </w:t>
      </w:r>
      <w:r w:rsidR="00383DA3">
        <w:rPr>
          <w:rFonts w:ascii="Times New Roman" w:hAnsi="Times New Roman" w:cs="Times New Roman"/>
          <w:sz w:val="24"/>
          <w:szCs w:val="24"/>
        </w:rPr>
        <w:t>differences in</w:t>
      </w:r>
      <w:r w:rsidR="003A2698">
        <w:rPr>
          <w:rFonts w:ascii="Times New Roman" w:hAnsi="Times New Roman" w:cs="Times New Roman"/>
          <w:sz w:val="24"/>
          <w:szCs w:val="24"/>
        </w:rPr>
        <w:t xml:space="preserve"> market competition</w:t>
      </w:r>
      <w:r w:rsidR="00383DA3">
        <w:rPr>
          <w:rFonts w:ascii="Times New Roman" w:hAnsi="Times New Roman" w:cs="Times New Roman"/>
          <w:sz w:val="24"/>
          <w:szCs w:val="24"/>
        </w:rPr>
        <w:t xml:space="preserve"> and efficiency level</w:t>
      </w:r>
      <w:r w:rsidR="001C2A49">
        <w:rPr>
          <w:rFonts w:ascii="Times New Roman" w:hAnsi="Times New Roman" w:cs="Times New Roman"/>
          <w:sz w:val="24"/>
          <w:szCs w:val="24"/>
        </w:rPr>
        <w:t>s</w:t>
      </w:r>
      <w:r w:rsidR="003A2698">
        <w:rPr>
          <w:rFonts w:ascii="Times New Roman" w:hAnsi="Times New Roman" w:cs="Times New Roman"/>
          <w:sz w:val="24"/>
          <w:szCs w:val="24"/>
        </w:rPr>
        <w:t xml:space="preserve"> </w:t>
      </w:r>
      <w:r w:rsidR="001C2A49">
        <w:rPr>
          <w:rFonts w:ascii="Times New Roman" w:hAnsi="Times New Roman" w:cs="Times New Roman"/>
          <w:sz w:val="24"/>
          <w:szCs w:val="24"/>
        </w:rPr>
        <w:t>contribute to explaining</w:t>
      </w:r>
      <w:r w:rsidR="00383DA3">
        <w:rPr>
          <w:rFonts w:ascii="Times New Roman" w:hAnsi="Times New Roman" w:cs="Times New Roman"/>
          <w:sz w:val="24"/>
          <w:szCs w:val="24"/>
        </w:rPr>
        <w:t xml:space="preserve"> variation in corporate governance characteristics across </w:t>
      </w:r>
      <w:r w:rsidR="00615108">
        <w:rPr>
          <w:rFonts w:ascii="Times New Roman" w:hAnsi="Times New Roman" w:cs="Times New Roman"/>
          <w:sz w:val="24"/>
          <w:szCs w:val="24"/>
        </w:rPr>
        <w:t>countr</w:t>
      </w:r>
      <w:r w:rsidR="00383DA3">
        <w:rPr>
          <w:rFonts w:ascii="Times New Roman" w:hAnsi="Times New Roman" w:cs="Times New Roman"/>
          <w:sz w:val="24"/>
          <w:szCs w:val="24"/>
        </w:rPr>
        <w:t>ies</w:t>
      </w:r>
      <w:r w:rsidR="003A2698">
        <w:rPr>
          <w:rFonts w:ascii="Times New Roman" w:hAnsi="Times New Roman" w:cs="Times New Roman"/>
          <w:sz w:val="24"/>
          <w:szCs w:val="24"/>
        </w:rPr>
        <w:t>?</w:t>
      </w:r>
    </w:p>
    <w:p w14:paraId="564B7FFA" w14:textId="77777777" w:rsidR="002D3327" w:rsidRDefault="002D3327" w:rsidP="00BF2605">
      <w:pPr>
        <w:tabs>
          <w:tab w:val="left" w:pos="426"/>
        </w:tabs>
        <w:spacing w:after="0" w:line="288" w:lineRule="auto"/>
        <w:jc w:val="both"/>
        <w:rPr>
          <w:rFonts w:ascii="Times New Roman" w:hAnsi="Times New Roman" w:cs="Times New Roman"/>
          <w:bCs/>
          <w:i/>
          <w:sz w:val="24"/>
          <w:szCs w:val="24"/>
        </w:rPr>
      </w:pPr>
    </w:p>
    <w:p w14:paraId="3F80416B" w14:textId="4A91CBFD" w:rsidR="007C7B1D" w:rsidRPr="005E1B09" w:rsidRDefault="007C7B1D" w:rsidP="00BF2605">
      <w:pPr>
        <w:tabs>
          <w:tab w:val="left" w:pos="426"/>
        </w:tabs>
        <w:spacing w:after="0" w:line="288" w:lineRule="auto"/>
        <w:jc w:val="both"/>
        <w:rPr>
          <w:rFonts w:ascii="Times New Roman" w:hAnsi="Times New Roman" w:cs="Times New Roman"/>
          <w:b/>
          <w:iCs/>
          <w:sz w:val="24"/>
          <w:szCs w:val="24"/>
        </w:rPr>
      </w:pPr>
      <w:r w:rsidRPr="005E1B09">
        <w:rPr>
          <w:rFonts w:ascii="Times New Roman" w:hAnsi="Times New Roman" w:cs="Times New Roman"/>
          <w:b/>
          <w:iCs/>
          <w:sz w:val="24"/>
          <w:szCs w:val="24"/>
        </w:rPr>
        <w:t>The Relationship Between Firm-level and Country-level Governance</w:t>
      </w:r>
    </w:p>
    <w:p w14:paraId="4FA85EFD" w14:textId="77777777" w:rsidR="005E1B09" w:rsidRPr="005E1B09" w:rsidRDefault="005E1B09" w:rsidP="00BF2605">
      <w:pPr>
        <w:tabs>
          <w:tab w:val="left" w:pos="426"/>
        </w:tabs>
        <w:spacing w:after="0" w:line="288" w:lineRule="auto"/>
        <w:jc w:val="both"/>
        <w:rPr>
          <w:rFonts w:ascii="Times New Roman" w:hAnsi="Times New Roman" w:cs="Times New Roman"/>
          <w:sz w:val="6"/>
          <w:szCs w:val="6"/>
        </w:rPr>
      </w:pPr>
    </w:p>
    <w:p w14:paraId="6C1FD464" w14:textId="146BD998" w:rsidR="00542931" w:rsidRDefault="00724683"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With regards to the nature of the relationship between firm-level and country level factors,</w:t>
      </w:r>
      <w:r w:rsidR="00E95BED">
        <w:rPr>
          <w:rFonts w:ascii="Times New Roman" w:hAnsi="Times New Roman" w:cs="Times New Roman"/>
          <w:sz w:val="24"/>
          <w:szCs w:val="24"/>
        </w:rPr>
        <w:t xml:space="preserve"> </w:t>
      </w:r>
      <w:r w:rsidR="009F1A3F">
        <w:rPr>
          <w:rFonts w:ascii="Times New Roman" w:hAnsi="Times New Roman" w:cs="Times New Roman"/>
          <w:sz w:val="24"/>
          <w:szCs w:val="24"/>
        </w:rPr>
        <w:t>several</w:t>
      </w:r>
      <w:r w:rsidR="00A3363D">
        <w:rPr>
          <w:rFonts w:ascii="Times New Roman" w:hAnsi="Times New Roman" w:cs="Times New Roman"/>
          <w:sz w:val="24"/>
          <w:szCs w:val="24"/>
        </w:rPr>
        <w:t xml:space="preserve"> studies report that firm-level governance complements country-level factors (Aggarwal </w:t>
      </w:r>
      <w:r w:rsidR="00A94F42" w:rsidRPr="00A94F42">
        <w:rPr>
          <w:rFonts w:ascii="Times New Roman" w:hAnsi="Times New Roman" w:cs="Times New Roman"/>
          <w:i/>
          <w:iCs/>
          <w:sz w:val="24"/>
          <w:szCs w:val="24"/>
        </w:rPr>
        <w:t>et al.</w:t>
      </w:r>
      <w:r w:rsidR="00A3363D">
        <w:rPr>
          <w:rFonts w:ascii="Times New Roman" w:hAnsi="Times New Roman" w:cs="Times New Roman"/>
          <w:sz w:val="24"/>
          <w:szCs w:val="24"/>
        </w:rPr>
        <w:t xml:space="preserve"> 2010</w:t>
      </w:r>
      <w:r w:rsidR="00682D1F">
        <w:rPr>
          <w:rFonts w:ascii="Times New Roman" w:hAnsi="Times New Roman" w:cs="Times New Roman"/>
          <w:sz w:val="24"/>
          <w:szCs w:val="24"/>
        </w:rPr>
        <w:t>,</w:t>
      </w:r>
      <w:r w:rsidR="00A3363D" w:rsidRPr="008D7840">
        <w:t xml:space="preserve"> </w:t>
      </w:r>
      <w:r w:rsidR="00A3363D">
        <w:rPr>
          <w:rFonts w:ascii="Times New Roman" w:hAnsi="Times New Roman" w:cs="Times New Roman"/>
          <w:sz w:val="24"/>
          <w:szCs w:val="24"/>
        </w:rPr>
        <w:t xml:space="preserve">Anderson and Gupta </w:t>
      </w:r>
      <w:r w:rsidR="00A3363D" w:rsidRPr="008D7840">
        <w:rPr>
          <w:rFonts w:ascii="Times New Roman" w:hAnsi="Times New Roman" w:cs="Times New Roman"/>
          <w:sz w:val="24"/>
          <w:szCs w:val="24"/>
        </w:rPr>
        <w:t>2009</w:t>
      </w:r>
      <w:r w:rsidR="00682D1F">
        <w:rPr>
          <w:rFonts w:ascii="Times New Roman" w:hAnsi="Times New Roman" w:cs="Times New Roman"/>
          <w:sz w:val="24"/>
          <w:szCs w:val="24"/>
        </w:rPr>
        <w:t>,</w:t>
      </w:r>
      <w:r w:rsidR="00A3363D">
        <w:rPr>
          <w:rFonts w:ascii="Times New Roman" w:hAnsi="Times New Roman" w:cs="Times New Roman"/>
          <w:sz w:val="24"/>
          <w:szCs w:val="24"/>
        </w:rPr>
        <w:t xml:space="preserve"> </w:t>
      </w:r>
      <w:r w:rsidR="00A3363D" w:rsidRPr="008D7840">
        <w:rPr>
          <w:rFonts w:ascii="Times New Roman" w:hAnsi="Times New Roman" w:cs="Times New Roman"/>
          <w:sz w:val="24"/>
          <w:szCs w:val="24"/>
        </w:rPr>
        <w:t>Doidge</w:t>
      </w:r>
      <w:r w:rsidR="00A3363D">
        <w:rPr>
          <w:rFonts w:ascii="Times New Roman" w:hAnsi="Times New Roman" w:cs="Times New Roman"/>
          <w:sz w:val="24"/>
          <w:szCs w:val="24"/>
        </w:rPr>
        <w:t xml:space="preserve"> </w:t>
      </w:r>
      <w:r w:rsidR="00A94F42" w:rsidRPr="00A94F42">
        <w:rPr>
          <w:rFonts w:ascii="Times New Roman" w:hAnsi="Times New Roman" w:cs="Times New Roman"/>
          <w:i/>
          <w:iCs/>
          <w:sz w:val="24"/>
          <w:szCs w:val="24"/>
        </w:rPr>
        <w:t>et al.</w:t>
      </w:r>
      <w:r w:rsidR="00A3363D">
        <w:rPr>
          <w:rFonts w:ascii="Times New Roman" w:hAnsi="Times New Roman" w:cs="Times New Roman"/>
          <w:sz w:val="24"/>
          <w:szCs w:val="24"/>
        </w:rPr>
        <w:t xml:space="preserve"> </w:t>
      </w:r>
      <w:r w:rsidR="00A3363D" w:rsidRPr="008D7840">
        <w:rPr>
          <w:rFonts w:ascii="Times New Roman" w:hAnsi="Times New Roman" w:cs="Times New Roman"/>
          <w:sz w:val="24"/>
          <w:szCs w:val="24"/>
        </w:rPr>
        <w:t>2007</w:t>
      </w:r>
      <w:r w:rsidR="00A3363D">
        <w:rPr>
          <w:rFonts w:ascii="Times New Roman" w:hAnsi="Times New Roman" w:cs="Times New Roman"/>
          <w:sz w:val="24"/>
          <w:szCs w:val="24"/>
        </w:rPr>
        <w:t>),</w:t>
      </w:r>
      <w:r w:rsidR="00E95BED">
        <w:rPr>
          <w:rFonts w:ascii="Times New Roman" w:hAnsi="Times New Roman" w:cs="Times New Roman"/>
          <w:sz w:val="24"/>
          <w:szCs w:val="24"/>
        </w:rPr>
        <w:t xml:space="preserve"> while</w:t>
      </w:r>
      <w:r w:rsidR="00A3363D">
        <w:rPr>
          <w:rFonts w:ascii="Times New Roman" w:hAnsi="Times New Roman" w:cs="Times New Roman"/>
          <w:sz w:val="24"/>
          <w:szCs w:val="24"/>
        </w:rPr>
        <w:t xml:space="preserve"> another group of studies </w:t>
      </w:r>
      <w:r w:rsidR="009F1A3F">
        <w:rPr>
          <w:rFonts w:ascii="Times New Roman" w:hAnsi="Times New Roman" w:cs="Times New Roman"/>
          <w:sz w:val="24"/>
          <w:szCs w:val="24"/>
        </w:rPr>
        <w:t>find</w:t>
      </w:r>
      <w:r w:rsidR="00A3363D">
        <w:rPr>
          <w:rFonts w:ascii="Times New Roman" w:hAnsi="Times New Roman" w:cs="Times New Roman"/>
          <w:sz w:val="24"/>
          <w:szCs w:val="24"/>
        </w:rPr>
        <w:t xml:space="preserve"> that firm-level governance substitutes for country-level mechanisms (Chen </w:t>
      </w:r>
      <w:r w:rsidR="00A94F42" w:rsidRPr="00A94F42">
        <w:rPr>
          <w:rFonts w:ascii="Times New Roman" w:hAnsi="Times New Roman" w:cs="Times New Roman"/>
          <w:i/>
          <w:iCs/>
          <w:sz w:val="24"/>
          <w:szCs w:val="24"/>
        </w:rPr>
        <w:t>et al.</w:t>
      </w:r>
      <w:r w:rsidR="00A3363D">
        <w:rPr>
          <w:rFonts w:ascii="Times New Roman" w:hAnsi="Times New Roman" w:cs="Times New Roman"/>
          <w:sz w:val="24"/>
          <w:szCs w:val="24"/>
        </w:rPr>
        <w:t xml:space="preserve"> </w:t>
      </w:r>
      <w:r w:rsidR="00A3363D" w:rsidRPr="008D7840">
        <w:rPr>
          <w:rFonts w:ascii="Times New Roman" w:hAnsi="Times New Roman" w:cs="Times New Roman"/>
          <w:sz w:val="24"/>
          <w:szCs w:val="24"/>
        </w:rPr>
        <w:t>2009</w:t>
      </w:r>
      <w:r w:rsidR="00682D1F">
        <w:rPr>
          <w:rFonts w:ascii="Times New Roman" w:hAnsi="Times New Roman" w:cs="Times New Roman"/>
          <w:sz w:val="24"/>
          <w:szCs w:val="24"/>
        </w:rPr>
        <w:t>,</w:t>
      </w:r>
      <w:r w:rsidR="00A3363D" w:rsidRPr="008D7840">
        <w:rPr>
          <w:rFonts w:ascii="Times New Roman" w:hAnsi="Times New Roman" w:cs="Times New Roman"/>
          <w:sz w:val="24"/>
          <w:szCs w:val="24"/>
        </w:rPr>
        <w:t xml:space="preserve"> </w:t>
      </w:r>
      <w:r w:rsidR="00383DA3">
        <w:rPr>
          <w:rFonts w:ascii="Times New Roman" w:hAnsi="Times New Roman" w:cs="Times New Roman"/>
          <w:sz w:val="24"/>
          <w:szCs w:val="24"/>
        </w:rPr>
        <w:t xml:space="preserve">Chou </w:t>
      </w:r>
      <w:r w:rsidR="00A94F42" w:rsidRPr="00A94F42">
        <w:rPr>
          <w:rFonts w:ascii="Times New Roman" w:hAnsi="Times New Roman" w:cs="Times New Roman"/>
          <w:i/>
          <w:iCs/>
          <w:sz w:val="24"/>
          <w:szCs w:val="24"/>
        </w:rPr>
        <w:t>et al.</w:t>
      </w:r>
      <w:r w:rsidR="00383DA3">
        <w:rPr>
          <w:rFonts w:ascii="Times New Roman" w:hAnsi="Times New Roman" w:cs="Times New Roman"/>
          <w:sz w:val="24"/>
          <w:szCs w:val="24"/>
        </w:rPr>
        <w:t xml:space="preserve"> </w:t>
      </w:r>
      <w:r w:rsidR="00383DA3" w:rsidRPr="00A3363D">
        <w:rPr>
          <w:rFonts w:ascii="Times New Roman" w:hAnsi="Times New Roman" w:cs="Times New Roman"/>
          <w:sz w:val="24"/>
          <w:szCs w:val="24"/>
        </w:rPr>
        <w:t>2011</w:t>
      </w:r>
      <w:r w:rsidR="00682D1F">
        <w:rPr>
          <w:rFonts w:ascii="Times New Roman" w:hAnsi="Times New Roman" w:cs="Times New Roman"/>
          <w:sz w:val="24"/>
          <w:szCs w:val="24"/>
        </w:rPr>
        <w:t>,</w:t>
      </w:r>
      <w:r w:rsidR="00383DA3">
        <w:rPr>
          <w:rFonts w:ascii="Times New Roman" w:hAnsi="Times New Roman" w:cs="Times New Roman"/>
          <w:sz w:val="24"/>
          <w:szCs w:val="24"/>
        </w:rPr>
        <w:t xml:space="preserve"> </w:t>
      </w:r>
      <w:r w:rsidR="00A3363D" w:rsidRPr="008D7840">
        <w:rPr>
          <w:rFonts w:ascii="Times New Roman" w:hAnsi="Times New Roman" w:cs="Times New Roman"/>
          <w:sz w:val="24"/>
          <w:szCs w:val="24"/>
        </w:rPr>
        <w:t>Klapper and Lo</w:t>
      </w:r>
      <w:r w:rsidR="00A3363D">
        <w:rPr>
          <w:rFonts w:ascii="Times New Roman" w:hAnsi="Times New Roman" w:cs="Times New Roman"/>
          <w:sz w:val="24"/>
          <w:szCs w:val="24"/>
        </w:rPr>
        <w:t xml:space="preserve">ve </w:t>
      </w:r>
      <w:r w:rsidR="00A3363D" w:rsidRPr="008D7840">
        <w:rPr>
          <w:rFonts w:ascii="Times New Roman" w:hAnsi="Times New Roman" w:cs="Times New Roman"/>
          <w:sz w:val="24"/>
          <w:szCs w:val="24"/>
        </w:rPr>
        <w:t>2004</w:t>
      </w:r>
      <w:r w:rsidR="00682D1F">
        <w:rPr>
          <w:rFonts w:ascii="Times New Roman" w:hAnsi="Times New Roman" w:cs="Times New Roman"/>
          <w:sz w:val="24"/>
          <w:szCs w:val="24"/>
        </w:rPr>
        <w:t>,</w:t>
      </w:r>
      <w:r w:rsidR="00A3363D">
        <w:rPr>
          <w:rFonts w:ascii="Times New Roman" w:hAnsi="Times New Roman" w:cs="Times New Roman"/>
          <w:sz w:val="24"/>
          <w:szCs w:val="24"/>
        </w:rPr>
        <w:t xml:space="preserve"> Renders </w:t>
      </w:r>
      <w:r w:rsidR="00A94F42" w:rsidRPr="00A94F42">
        <w:rPr>
          <w:rFonts w:ascii="Times New Roman" w:hAnsi="Times New Roman" w:cs="Times New Roman"/>
          <w:i/>
          <w:iCs/>
          <w:sz w:val="24"/>
          <w:szCs w:val="24"/>
        </w:rPr>
        <w:t>et al.</w:t>
      </w:r>
      <w:r w:rsidR="00A3363D">
        <w:rPr>
          <w:rFonts w:ascii="Times New Roman" w:hAnsi="Times New Roman" w:cs="Times New Roman"/>
          <w:sz w:val="24"/>
          <w:szCs w:val="24"/>
        </w:rPr>
        <w:t xml:space="preserve"> </w:t>
      </w:r>
      <w:r w:rsidR="00A3363D" w:rsidRPr="008D7840">
        <w:rPr>
          <w:rFonts w:ascii="Times New Roman" w:hAnsi="Times New Roman" w:cs="Times New Roman"/>
          <w:sz w:val="24"/>
          <w:szCs w:val="24"/>
        </w:rPr>
        <w:t>2010</w:t>
      </w:r>
      <w:r w:rsidR="00682D1F">
        <w:rPr>
          <w:rFonts w:ascii="Times New Roman" w:hAnsi="Times New Roman" w:cs="Times New Roman"/>
          <w:sz w:val="24"/>
          <w:szCs w:val="24"/>
        </w:rPr>
        <w:t>,</w:t>
      </w:r>
      <w:r w:rsidR="00383DA3">
        <w:rPr>
          <w:rFonts w:ascii="Times New Roman" w:hAnsi="Times New Roman" w:cs="Times New Roman"/>
          <w:sz w:val="24"/>
          <w:szCs w:val="24"/>
        </w:rPr>
        <w:t xml:space="preserve"> </w:t>
      </w:r>
      <w:r w:rsidR="00383DA3" w:rsidRPr="00A3363D">
        <w:rPr>
          <w:rFonts w:ascii="Times New Roman" w:hAnsi="Times New Roman" w:cs="Times New Roman"/>
          <w:sz w:val="24"/>
          <w:szCs w:val="24"/>
        </w:rPr>
        <w:t>Tian and Twit</w:t>
      </w:r>
      <w:r w:rsidR="00383DA3">
        <w:rPr>
          <w:rFonts w:ascii="Times New Roman" w:hAnsi="Times New Roman" w:cs="Times New Roman"/>
          <w:sz w:val="24"/>
          <w:szCs w:val="24"/>
        </w:rPr>
        <w:t>e 2011</w:t>
      </w:r>
      <w:r w:rsidR="00A3363D">
        <w:rPr>
          <w:rFonts w:ascii="Times New Roman" w:hAnsi="Times New Roman" w:cs="Times New Roman"/>
          <w:sz w:val="24"/>
          <w:szCs w:val="24"/>
        </w:rPr>
        <w:t>). One would expect firms operating in countries with strong country-level mechanisms to invest less</w:t>
      </w:r>
      <w:r w:rsidR="00587A83">
        <w:rPr>
          <w:rFonts w:ascii="Times New Roman" w:hAnsi="Times New Roman" w:cs="Times New Roman"/>
          <w:sz w:val="24"/>
          <w:szCs w:val="24"/>
        </w:rPr>
        <w:t xml:space="preserve"> (more)</w:t>
      </w:r>
      <w:r w:rsidR="00A3363D">
        <w:rPr>
          <w:rFonts w:ascii="Times New Roman" w:hAnsi="Times New Roman" w:cs="Times New Roman"/>
          <w:sz w:val="24"/>
          <w:szCs w:val="24"/>
        </w:rPr>
        <w:t xml:space="preserve"> in firm-level governance </w:t>
      </w:r>
      <w:r w:rsidR="009F1A3F">
        <w:rPr>
          <w:rFonts w:ascii="Times New Roman" w:hAnsi="Times New Roman" w:cs="Times New Roman"/>
          <w:sz w:val="24"/>
          <w:szCs w:val="24"/>
        </w:rPr>
        <w:t xml:space="preserve">than firms in countries with </w:t>
      </w:r>
      <w:r w:rsidR="00587A83">
        <w:rPr>
          <w:rFonts w:ascii="Times New Roman" w:hAnsi="Times New Roman" w:cs="Times New Roman"/>
          <w:sz w:val="24"/>
          <w:szCs w:val="24"/>
        </w:rPr>
        <w:t xml:space="preserve">weak </w:t>
      </w:r>
      <w:r w:rsidR="009F1A3F">
        <w:rPr>
          <w:rFonts w:ascii="Times New Roman" w:hAnsi="Times New Roman" w:cs="Times New Roman"/>
          <w:sz w:val="24"/>
          <w:szCs w:val="24"/>
        </w:rPr>
        <w:t>country-level mechanisms</w:t>
      </w:r>
      <w:r w:rsidR="00587A83">
        <w:rPr>
          <w:rFonts w:ascii="Times New Roman" w:hAnsi="Times New Roman" w:cs="Times New Roman"/>
          <w:sz w:val="24"/>
          <w:szCs w:val="24"/>
        </w:rPr>
        <w:t xml:space="preserve"> </w:t>
      </w:r>
      <w:r w:rsidR="00A3363D">
        <w:rPr>
          <w:rFonts w:ascii="Times New Roman" w:hAnsi="Times New Roman" w:cs="Times New Roman"/>
          <w:sz w:val="24"/>
          <w:szCs w:val="24"/>
        </w:rPr>
        <w:t xml:space="preserve">if the two </w:t>
      </w:r>
      <w:r w:rsidR="00587A83">
        <w:rPr>
          <w:rFonts w:ascii="Times New Roman" w:hAnsi="Times New Roman" w:cs="Times New Roman"/>
          <w:sz w:val="24"/>
          <w:szCs w:val="24"/>
        </w:rPr>
        <w:t>mechanisms are</w:t>
      </w:r>
      <w:r w:rsidR="00A3363D">
        <w:rPr>
          <w:rFonts w:ascii="Times New Roman" w:hAnsi="Times New Roman" w:cs="Times New Roman"/>
          <w:sz w:val="24"/>
          <w:szCs w:val="24"/>
        </w:rPr>
        <w:t xml:space="preserve"> substitutes</w:t>
      </w:r>
      <w:r w:rsidR="00587A83">
        <w:rPr>
          <w:rFonts w:ascii="Times New Roman" w:hAnsi="Times New Roman" w:cs="Times New Roman"/>
          <w:sz w:val="24"/>
          <w:szCs w:val="24"/>
        </w:rPr>
        <w:t xml:space="preserve"> (complements)</w:t>
      </w:r>
      <w:r w:rsidR="00A3363D">
        <w:rPr>
          <w:rFonts w:ascii="Times New Roman" w:hAnsi="Times New Roman" w:cs="Times New Roman"/>
          <w:sz w:val="24"/>
          <w:szCs w:val="24"/>
        </w:rPr>
        <w:t xml:space="preserve">. </w:t>
      </w:r>
    </w:p>
    <w:p w14:paraId="68FE6172"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469FF89A" w14:textId="06AFDE49" w:rsidR="00555D89" w:rsidRDefault="00E11F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42931">
        <w:rPr>
          <w:rFonts w:ascii="Times New Roman" w:hAnsi="Times New Roman" w:cs="Times New Roman"/>
          <w:sz w:val="24"/>
          <w:szCs w:val="24"/>
        </w:rPr>
        <w:t>O</w:t>
      </w:r>
      <w:r w:rsidR="00A3363D">
        <w:rPr>
          <w:rFonts w:ascii="Times New Roman" w:hAnsi="Times New Roman" w:cs="Times New Roman"/>
          <w:sz w:val="24"/>
          <w:szCs w:val="24"/>
        </w:rPr>
        <w:t xml:space="preserve">ne should account for the fact that strong country-level governance may also </w:t>
      </w:r>
      <w:r w:rsidR="00542931">
        <w:rPr>
          <w:rFonts w:ascii="Times New Roman" w:hAnsi="Times New Roman" w:cs="Times New Roman"/>
          <w:sz w:val="24"/>
          <w:szCs w:val="24"/>
        </w:rPr>
        <w:t>lead to</w:t>
      </w:r>
      <w:r w:rsidR="00A3363D">
        <w:rPr>
          <w:rFonts w:ascii="Times New Roman" w:hAnsi="Times New Roman" w:cs="Times New Roman"/>
          <w:sz w:val="24"/>
          <w:szCs w:val="24"/>
        </w:rPr>
        <w:t xml:space="preserve"> more</w:t>
      </w:r>
      <w:r w:rsidR="00311F7C">
        <w:rPr>
          <w:rFonts w:ascii="Times New Roman" w:hAnsi="Times New Roman" w:cs="Times New Roman"/>
          <w:sz w:val="24"/>
          <w:szCs w:val="24"/>
        </w:rPr>
        <w:t xml:space="preserve"> </w:t>
      </w:r>
      <w:r w:rsidR="00A3363D">
        <w:rPr>
          <w:rFonts w:ascii="Times New Roman" w:hAnsi="Times New Roman" w:cs="Times New Roman"/>
          <w:sz w:val="24"/>
          <w:szCs w:val="24"/>
        </w:rPr>
        <w:t xml:space="preserve">developed markets and thus, as discussed earlier, more benefits to the firm from adopting good governance practices. Whereas weak country-level governance </w:t>
      </w:r>
      <w:r w:rsidR="00542931">
        <w:rPr>
          <w:rFonts w:ascii="Times New Roman" w:hAnsi="Times New Roman" w:cs="Times New Roman"/>
          <w:sz w:val="24"/>
          <w:szCs w:val="24"/>
        </w:rPr>
        <w:t xml:space="preserve">is more likely to create less </w:t>
      </w:r>
      <w:r w:rsidR="00A3363D">
        <w:rPr>
          <w:rFonts w:ascii="Times New Roman" w:hAnsi="Times New Roman" w:cs="Times New Roman"/>
          <w:sz w:val="24"/>
          <w:szCs w:val="24"/>
        </w:rPr>
        <w:t>developed market</w:t>
      </w:r>
      <w:r w:rsidR="00542931">
        <w:rPr>
          <w:rFonts w:ascii="Times New Roman" w:hAnsi="Times New Roman" w:cs="Times New Roman"/>
          <w:sz w:val="24"/>
          <w:szCs w:val="24"/>
        </w:rPr>
        <w:t>s</w:t>
      </w:r>
      <w:r w:rsidR="00A3363D">
        <w:rPr>
          <w:rFonts w:ascii="Times New Roman" w:hAnsi="Times New Roman" w:cs="Times New Roman"/>
          <w:sz w:val="24"/>
          <w:szCs w:val="24"/>
        </w:rPr>
        <w:t xml:space="preserve"> and as a result lead to less benefits from improving firm-level governance. This would lead to the observance of a complementary relationship between country-level and firm-level mechanisms. </w:t>
      </w:r>
      <w:r w:rsidR="00542931">
        <w:rPr>
          <w:rFonts w:ascii="Times New Roman" w:hAnsi="Times New Roman" w:cs="Times New Roman"/>
          <w:sz w:val="24"/>
          <w:szCs w:val="24"/>
        </w:rPr>
        <w:t>However</w:t>
      </w:r>
      <w:r w:rsidR="00A3363D">
        <w:rPr>
          <w:rFonts w:ascii="Times New Roman" w:hAnsi="Times New Roman" w:cs="Times New Roman"/>
          <w:sz w:val="24"/>
          <w:szCs w:val="24"/>
        </w:rPr>
        <w:t xml:space="preserve">, in the case that some </w:t>
      </w:r>
      <w:r w:rsidR="00542931">
        <w:rPr>
          <w:rFonts w:ascii="Times New Roman" w:hAnsi="Times New Roman" w:cs="Times New Roman"/>
          <w:sz w:val="24"/>
          <w:szCs w:val="24"/>
        </w:rPr>
        <w:t xml:space="preserve">of the </w:t>
      </w:r>
      <w:r w:rsidR="00A3363D">
        <w:rPr>
          <w:rFonts w:ascii="Times New Roman" w:hAnsi="Times New Roman" w:cs="Times New Roman"/>
          <w:sz w:val="24"/>
          <w:szCs w:val="24"/>
        </w:rPr>
        <w:t xml:space="preserve">more developed markets are associated with lower country-level protections, then one would expect firms to invest more in firm-level governance in order to gain preferential access to its capital markets. In this case, country-level and firm-level factors would be substitutes. </w:t>
      </w:r>
    </w:p>
    <w:p w14:paraId="23EF3ADD"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25C3C278" w14:textId="08876880" w:rsidR="001450D0" w:rsidRDefault="00E11F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42931">
        <w:rPr>
          <w:rFonts w:ascii="Times New Roman" w:hAnsi="Times New Roman" w:cs="Times New Roman"/>
          <w:sz w:val="24"/>
          <w:szCs w:val="24"/>
        </w:rPr>
        <w:t>T</w:t>
      </w:r>
      <w:r w:rsidR="00305DA4">
        <w:rPr>
          <w:rFonts w:ascii="Times New Roman" w:hAnsi="Times New Roman" w:cs="Times New Roman"/>
          <w:sz w:val="24"/>
          <w:szCs w:val="24"/>
        </w:rPr>
        <w:t>he institutional</w:t>
      </w:r>
      <w:r w:rsidR="00A57973">
        <w:rPr>
          <w:rFonts w:ascii="Times New Roman" w:hAnsi="Times New Roman" w:cs="Times New Roman"/>
          <w:sz w:val="24"/>
          <w:szCs w:val="24"/>
        </w:rPr>
        <w:t xml:space="preserve"> theory </w:t>
      </w:r>
      <w:r w:rsidR="005F5B14">
        <w:rPr>
          <w:rFonts w:ascii="Times New Roman" w:hAnsi="Times New Roman" w:cs="Times New Roman"/>
          <w:sz w:val="24"/>
          <w:szCs w:val="24"/>
        </w:rPr>
        <w:t xml:space="preserve">framework </w:t>
      </w:r>
      <w:r w:rsidR="00A57973">
        <w:rPr>
          <w:rFonts w:ascii="Times New Roman" w:hAnsi="Times New Roman" w:cs="Times New Roman"/>
          <w:sz w:val="24"/>
          <w:szCs w:val="24"/>
        </w:rPr>
        <w:t>su</w:t>
      </w:r>
      <w:r w:rsidR="00305DA4">
        <w:rPr>
          <w:rFonts w:ascii="Times New Roman" w:hAnsi="Times New Roman" w:cs="Times New Roman"/>
          <w:sz w:val="24"/>
          <w:szCs w:val="24"/>
        </w:rPr>
        <w:t xml:space="preserve">ggests the presence of a complementary relationship between firm-level and country-level mechanisms based on the assumption that firm-level governance </w:t>
      </w:r>
      <w:r w:rsidR="00555D89">
        <w:rPr>
          <w:rFonts w:ascii="Times New Roman" w:hAnsi="Times New Roman" w:cs="Times New Roman"/>
          <w:sz w:val="24"/>
          <w:szCs w:val="24"/>
        </w:rPr>
        <w:t>is influenced by</w:t>
      </w:r>
      <w:r w:rsidR="00305DA4">
        <w:rPr>
          <w:rFonts w:ascii="Times New Roman" w:hAnsi="Times New Roman" w:cs="Times New Roman"/>
          <w:sz w:val="24"/>
          <w:szCs w:val="24"/>
        </w:rPr>
        <w:t xml:space="preserve"> the prevailing national institutions and social systems (</w:t>
      </w:r>
      <w:r w:rsidR="00305DA4" w:rsidRPr="001239F0">
        <w:rPr>
          <w:rFonts w:ascii="Times New Roman" w:hAnsi="Times New Roman" w:cs="Times New Roman"/>
          <w:sz w:val="24"/>
          <w:szCs w:val="24"/>
        </w:rPr>
        <w:t xml:space="preserve">Aguilera </w:t>
      </w:r>
      <w:r w:rsidRPr="001F2E5E">
        <w:rPr>
          <w:rFonts w:ascii="Times New Roman" w:hAnsi="Times New Roman" w:cs="Times New Roman"/>
          <w:i/>
          <w:iCs/>
        </w:rPr>
        <w:t>et al.</w:t>
      </w:r>
      <w:r w:rsidR="00305DA4">
        <w:rPr>
          <w:rFonts w:ascii="Times New Roman" w:hAnsi="Times New Roman" w:cs="Times New Roman"/>
          <w:sz w:val="24"/>
          <w:szCs w:val="24"/>
        </w:rPr>
        <w:t xml:space="preserve"> </w:t>
      </w:r>
      <w:r w:rsidR="00305DA4" w:rsidRPr="001239F0">
        <w:rPr>
          <w:rFonts w:ascii="Times New Roman" w:hAnsi="Times New Roman" w:cs="Times New Roman"/>
          <w:sz w:val="24"/>
          <w:szCs w:val="24"/>
        </w:rPr>
        <w:t>2015</w:t>
      </w:r>
      <w:r w:rsidR="00682D1F">
        <w:rPr>
          <w:rFonts w:ascii="Times New Roman" w:hAnsi="Times New Roman" w:cs="Times New Roman"/>
          <w:sz w:val="24"/>
          <w:szCs w:val="24"/>
        </w:rPr>
        <w:t>,</w:t>
      </w:r>
      <w:r w:rsidR="00305DA4">
        <w:rPr>
          <w:rFonts w:ascii="Times New Roman" w:hAnsi="Times New Roman" w:cs="Times New Roman"/>
          <w:sz w:val="24"/>
          <w:szCs w:val="24"/>
        </w:rPr>
        <w:t xml:space="preserve"> </w:t>
      </w:r>
      <w:r w:rsidR="00305DA4" w:rsidRPr="005A00BA">
        <w:rPr>
          <w:rFonts w:ascii="Times New Roman" w:hAnsi="Times New Roman" w:cs="Times New Roman"/>
          <w:sz w:val="24"/>
          <w:szCs w:val="24"/>
        </w:rPr>
        <w:t>Schiehll and</w:t>
      </w:r>
      <w:r w:rsidR="00305DA4">
        <w:rPr>
          <w:rFonts w:ascii="Times New Roman" w:hAnsi="Times New Roman" w:cs="Times New Roman"/>
          <w:sz w:val="24"/>
          <w:szCs w:val="24"/>
        </w:rPr>
        <w:t xml:space="preserve"> Martin </w:t>
      </w:r>
      <w:r w:rsidR="00305DA4" w:rsidRPr="005A00BA">
        <w:rPr>
          <w:rFonts w:ascii="Times New Roman" w:hAnsi="Times New Roman" w:cs="Times New Roman"/>
          <w:sz w:val="24"/>
          <w:szCs w:val="24"/>
        </w:rPr>
        <w:t>2016</w:t>
      </w:r>
      <w:r w:rsidR="00305DA4">
        <w:rPr>
          <w:rFonts w:ascii="Times New Roman" w:hAnsi="Times New Roman" w:cs="Times New Roman"/>
          <w:sz w:val="24"/>
          <w:szCs w:val="24"/>
        </w:rPr>
        <w:t>)</w:t>
      </w:r>
      <w:r w:rsidR="00E678AA">
        <w:rPr>
          <w:rFonts w:ascii="Times New Roman" w:hAnsi="Times New Roman" w:cs="Times New Roman"/>
          <w:sz w:val="24"/>
          <w:szCs w:val="24"/>
        </w:rPr>
        <w:t>. In contrast</w:t>
      </w:r>
      <w:r w:rsidR="00542931">
        <w:rPr>
          <w:rFonts w:ascii="Times New Roman" w:hAnsi="Times New Roman" w:cs="Times New Roman"/>
          <w:sz w:val="24"/>
          <w:szCs w:val="24"/>
        </w:rPr>
        <w:t>,</w:t>
      </w:r>
      <w:r w:rsidR="00E678AA">
        <w:rPr>
          <w:rFonts w:ascii="Times New Roman" w:hAnsi="Times New Roman" w:cs="Times New Roman"/>
          <w:sz w:val="24"/>
          <w:szCs w:val="24"/>
        </w:rPr>
        <w:t xml:space="preserve"> the focus of</w:t>
      </w:r>
      <w:r w:rsidR="00305DA4">
        <w:rPr>
          <w:rFonts w:ascii="Times New Roman" w:hAnsi="Times New Roman" w:cs="Times New Roman"/>
          <w:sz w:val="24"/>
          <w:szCs w:val="24"/>
        </w:rPr>
        <w:t xml:space="preserve"> agency theory </w:t>
      </w:r>
      <w:r w:rsidR="00E678AA">
        <w:rPr>
          <w:rFonts w:ascii="Times New Roman" w:hAnsi="Times New Roman" w:cs="Times New Roman"/>
          <w:sz w:val="24"/>
          <w:szCs w:val="24"/>
        </w:rPr>
        <w:t xml:space="preserve">on the costs and benefits of improving governance at the firm-level </w:t>
      </w:r>
      <w:r w:rsidR="005F5B14">
        <w:rPr>
          <w:rFonts w:ascii="Times New Roman" w:hAnsi="Times New Roman" w:cs="Times New Roman"/>
          <w:sz w:val="24"/>
          <w:szCs w:val="24"/>
        </w:rPr>
        <w:t xml:space="preserve">provides no direct support </w:t>
      </w:r>
      <w:r w:rsidR="00E678AA">
        <w:rPr>
          <w:rFonts w:ascii="Times New Roman" w:hAnsi="Times New Roman" w:cs="Times New Roman"/>
          <w:sz w:val="24"/>
          <w:szCs w:val="24"/>
        </w:rPr>
        <w:t>for</w:t>
      </w:r>
      <w:r w:rsidR="005F5B14">
        <w:rPr>
          <w:rFonts w:ascii="Times New Roman" w:hAnsi="Times New Roman" w:cs="Times New Roman"/>
          <w:sz w:val="24"/>
          <w:szCs w:val="24"/>
        </w:rPr>
        <w:t xml:space="preserve"> either </w:t>
      </w:r>
      <w:r w:rsidR="00E678AA">
        <w:rPr>
          <w:rFonts w:ascii="Times New Roman" w:hAnsi="Times New Roman" w:cs="Times New Roman"/>
          <w:sz w:val="24"/>
          <w:szCs w:val="24"/>
        </w:rPr>
        <w:t xml:space="preserve">substitution or </w:t>
      </w:r>
      <w:r w:rsidR="00E678AA">
        <w:rPr>
          <w:rFonts w:ascii="Times New Roman" w:hAnsi="Times New Roman" w:cs="Times New Roman"/>
          <w:sz w:val="24"/>
          <w:szCs w:val="24"/>
        </w:rPr>
        <w:lastRenderedPageBreak/>
        <w:t xml:space="preserve">complementarity. Agency theory suggests </w:t>
      </w:r>
      <w:r w:rsidR="00327FF2">
        <w:rPr>
          <w:rFonts w:ascii="Times New Roman" w:hAnsi="Times New Roman" w:cs="Times New Roman"/>
          <w:sz w:val="24"/>
          <w:szCs w:val="24"/>
        </w:rPr>
        <w:t xml:space="preserve">that the relationship between </w:t>
      </w:r>
      <w:r w:rsidR="00327FF2" w:rsidRPr="00327FF2">
        <w:rPr>
          <w:rFonts w:ascii="Times New Roman" w:hAnsi="Times New Roman" w:cs="Times New Roman"/>
          <w:sz w:val="24"/>
          <w:szCs w:val="24"/>
        </w:rPr>
        <w:t xml:space="preserve">firm-level and country-level governance mechanisms </w:t>
      </w:r>
      <w:r w:rsidR="005F5B14">
        <w:rPr>
          <w:rFonts w:ascii="Times New Roman" w:hAnsi="Times New Roman" w:cs="Times New Roman"/>
          <w:sz w:val="24"/>
          <w:szCs w:val="24"/>
        </w:rPr>
        <w:t>may depend on contextual factors and characteristics</w:t>
      </w:r>
      <w:r w:rsidR="00327FF2">
        <w:rPr>
          <w:rFonts w:ascii="Times New Roman" w:hAnsi="Times New Roman" w:cs="Times New Roman"/>
          <w:sz w:val="24"/>
          <w:szCs w:val="24"/>
        </w:rPr>
        <w:t>,</w:t>
      </w:r>
      <w:r w:rsidR="005F5B14">
        <w:rPr>
          <w:rFonts w:ascii="Times New Roman" w:hAnsi="Times New Roman" w:cs="Times New Roman"/>
          <w:sz w:val="24"/>
          <w:szCs w:val="24"/>
        </w:rPr>
        <w:t xml:space="preserve"> </w:t>
      </w:r>
      <w:r w:rsidR="00C831DA">
        <w:rPr>
          <w:rFonts w:ascii="Times New Roman" w:hAnsi="Times New Roman" w:cs="Times New Roman"/>
          <w:sz w:val="24"/>
          <w:szCs w:val="24"/>
        </w:rPr>
        <w:t xml:space="preserve">such as financial development or </w:t>
      </w:r>
      <w:r w:rsidR="00CF11F7">
        <w:rPr>
          <w:rFonts w:ascii="Times New Roman" w:hAnsi="Times New Roman" w:cs="Times New Roman"/>
          <w:sz w:val="24"/>
          <w:szCs w:val="24"/>
        </w:rPr>
        <w:t>firms</w:t>
      </w:r>
      <w:r w:rsidR="00542931">
        <w:rPr>
          <w:rFonts w:ascii="Times New Roman" w:hAnsi="Times New Roman" w:cs="Times New Roman"/>
          <w:sz w:val="24"/>
          <w:szCs w:val="24"/>
        </w:rPr>
        <w:t>’</w:t>
      </w:r>
      <w:r w:rsidR="00C831DA">
        <w:rPr>
          <w:rFonts w:ascii="Times New Roman" w:hAnsi="Times New Roman" w:cs="Times New Roman"/>
          <w:sz w:val="24"/>
          <w:szCs w:val="24"/>
        </w:rPr>
        <w:t xml:space="preserve"> external financing needs (Aggarwal </w:t>
      </w:r>
      <w:r w:rsidRPr="001F2E5E">
        <w:rPr>
          <w:rFonts w:ascii="Times New Roman" w:hAnsi="Times New Roman" w:cs="Times New Roman"/>
          <w:i/>
          <w:iCs/>
        </w:rPr>
        <w:t>et al.</w:t>
      </w:r>
      <w:r w:rsidR="00C831DA">
        <w:rPr>
          <w:rFonts w:ascii="Times New Roman" w:hAnsi="Times New Roman" w:cs="Times New Roman"/>
          <w:sz w:val="24"/>
          <w:szCs w:val="24"/>
        </w:rPr>
        <w:t xml:space="preserve">2010, </w:t>
      </w:r>
      <w:r w:rsidR="00C831DA" w:rsidRPr="001239F0">
        <w:rPr>
          <w:rFonts w:ascii="Times New Roman" w:hAnsi="Times New Roman" w:cs="Times New Roman"/>
          <w:sz w:val="24"/>
          <w:szCs w:val="24"/>
        </w:rPr>
        <w:t xml:space="preserve">Aguilera </w:t>
      </w:r>
      <w:r w:rsidRPr="001F2E5E">
        <w:rPr>
          <w:rFonts w:ascii="Times New Roman" w:hAnsi="Times New Roman" w:cs="Times New Roman"/>
          <w:i/>
          <w:iCs/>
        </w:rPr>
        <w:t>et al.</w:t>
      </w:r>
      <w:r w:rsidR="00C831DA">
        <w:rPr>
          <w:rFonts w:ascii="Times New Roman" w:hAnsi="Times New Roman" w:cs="Times New Roman"/>
          <w:sz w:val="24"/>
          <w:szCs w:val="24"/>
        </w:rPr>
        <w:t xml:space="preserve"> </w:t>
      </w:r>
      <w:r w:rsidR="00C831DA" w:rsidRPr="001239F0">
        <w:rPr>
          <w:rFonts w:ascii="Times New Roman" w:hAnsi="Times New Roman" w:cs="Times New Roman"/>
          <w:sz w:val="24"/>
          <w:szCs w:val="24"/>
        </w:rPr>
        <w:t>2015</w:t>
      </w:r>
      <w:r w:rsidR="00C831DA">
        <w:rPr>
          <w:rFonts w:ascii="Times New Roman" w:hAnsi="Times New Roman" w:cs="Times New Roman"/>
          <w:sz w:val="24"/>
          <w:szCs w:val="24"/>
        </w:rPr>
        <w:t xml:space="preserve">). </w:t>
      </w:r>
    </w:p>
    <w:p w14:paraId="2852346F"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7F172048" w14:textId="33DB223E" w:rsidR="008855AB" w:rsidRDefault="00E11F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855AB" w:rsidRPr="005A00BA">
        <w:rPr>
          <w:rFonts w:ascii="Times New Roman" w:hAnsi="Times New Roman" w:cs="Times New Roman"/>
          <w:sz w:val="24"/>
          <w:szCs w:val="24"/>
        </w:rPr>
        <w:t>Schiehll and</w:t>
      </w:r>
      <w:r w:rsidR="008855AB">
        <w:rPr>
          <w:rFonts w:ascii="Times New Roman" w:hAnsi="Times New Roman" w:cs="Times New Roman"/>
          <w:sz w:val="24"/>
          <w:szCs w:val="24"/>
        </w:rPr>
        <w:t xml:space="preserve"> Martin (</w:t>
      </w:r>
      <w:r w:rsidR="008855AB" w:rsidRPr="005A00BA">
        <w:rPr>
          <w:rFonts w:ascii="Times New Roman" w:hAnsi="Times New Roman" w:cs="Times New Roman"/>
          <w:sz w:val="24"/>
          <w:szCs w:val="24"/>
        </w:rPr>
        <w:t>2016</w:t>
      </w:r>
      <w:r w:rsidR="008855AB">
        <w:rPr>
          <w:rFonts w:ascii="Times New Roman" w:hAnsi="Times New Roman" w:cs="Times New Roman"/>
          <w:sz w:val="24"/>
          <w:szCs w:val="24"/>
        </w:rPr>
        <w:t xml:space="preserve">) classify the different relationship models used in previous studies into four main </w:t>
      </w:r>
      <w:r w:rsidR="008855AB" w:rsidRPr="006D6A81">
        <w:rPr>
          <w:rFonts w:ascii="Times New Roman" w:hAnsi="Times New Roman" w:cs="Times New Roman"/>
          <w:sz w:val="24"/>
          <w:szCs w:val="24"/>
        </w:rPr>
        <w:t>categories: intervening,</w:t>
      </w:r>
      <w:r w:rsidR="008855AB">
        <w:rPr>
          <w:rFonts w:ascii="Times New Roman" w:hAnsi="Times New Roman" w:cs="Times New Roman"/>
          <w:sz w:val="24"/>
          <w:szCs w:val="24"/>
        </w:rPr>
        <w:t xml:space="preserve"> </w:t>
      </w:r>
      <w:r w:rsidR="00850EC8" w:rsidRPr="00EE3478">
        <w:rPr>
          <w:rFonts w:ascii="Times New Roman" w:hAnsi="Times New Roman" w:cs="Times New Roman"/>
          <w:sz w:val="24"/>
          <w:szCs w:val="24"/>
        </w:rPr>
        <w:t>moderating</w:t>
      </w:r>
      <w:r w:rsidR="00850EC8">
        <w:rPr>
          <w:rFonts w:ascii="Times New Roman" w:hAnsi="Times New Roman" w:cs="Times New Roman"/>
          <w:sz w:val="24"/>
          <w:szCs w:val="24"/>
        </w:rPr>
        <w:t xml:space="preserve">, </w:t>
      </w:r>
      <w:r w:rsidR="008855AB" w:rsidRPr="006D6A81">
        <w:rPr>
          <w:rFonts w:ascii="Times New Roman" w:hAnsi="Times New Roman" w:cs="Times New Roman"/>
          <w:sz w:val="24"/>
          <w:szCs w:val="24"/>
        </w:rPr>
        <w:t>additive</w:t>
      </w:r>
      <w:r w:rsidR="008855AB">
        <w:rPr>
          <w:rFonts w:ascii="Times New Roman" w:hAnsi="Times New Roman" w:cs="Times New Roman"/>
          <w:sz w:val="24"/>
          <w:szCs w:val="24"/>
        </w:rPr>
        <w:t>,</w:t>
      </w:r>
      <w:r w:rsidR="008855AB" w:rsidRPr="006D6A81">
        <w:rPr>
          <w:rFonts w:ascii="Times New Roman" w:hAnsi="Times New Roman" w:cs="Times New Roman"/>
          <w:sz w:val="24"/>
          <w:szCs w:val="24"/>
        </w:rPr>
        <w:t xml:space="preserve"> </w:t>
      </w:r>
      <w:r w:rsidR="00850EC8">
        <w:rPr>
          <w:rFonts w:ascii="Times New Roman" w:hAnsi="Times New Roman" w:cs="Times New Roman"/>
          <w:sz w:val="24"/>
          <w:szCs w:val="24"/>
        </w:rPr>
        <w:t xml:space="preserve">and </w:t>
      </w:r>
      <w:r w:rsidR="008855AB" w:rsidRPr="006D6A81">
        <w:rPr>
          <w:rFonts w:ascii="Times New Roman" w:hAnsi="Times New Roman" w:cs="Times New Roman"/>
          <w:sz w:val="24"/>
          <w:szCs w:val="24"/>
        </w:rPr>
        <w:t>independent</w:t>
      </w:r>
      <w:r w:rsidR="008855AB" w:rsidRPr="00EE3478">
        <w:rPr>
          <w:rFonts w:ascii="Times New Roman" w:hAnsi="Times New Roman" w:cs="Times New Roman"/>
          <w:sz w:val="24"/>
          <w:szCs w:val="24"/>
        </w:rPr>
        <w:t>.</w:t>
      </w:r>
      <w:r w:rsidR="008855AB">
        <w:rPr>
          <w:rFonts w:ascii="Times New Roman" w:hAnsi="Times New Roman" w:cs="Times New Roman"/>
          <w:sz w:val="24"/>
          <w:szCs w:val="24"/>
        </w:rPr>
        <w:t xml:space="preserve"> </w:t>
      </w:r>
      <w:r w:rsidR="00850EC8">
        <w:rPr>
          <w:rFonts w:ascii="Times New Roman" w:hAnsi="Times New Roman" w:cs="Times New Roman"/>
          <w:sz w:val="24"/>
          <w:szCs w:val="24"/>
        </w:rPr>
        <w:t xml:space="preserve">The </w:t>
      </w:r>
      <w:r w:rsidR="008855AB">
        <w:rPr>
          <w:rFonts w:ascii="Times New Roman" w:hAnsi="Times New Roman" w:cs="Times New Roman"/>
          <w:sz w:val="24"/>
          <w:szCs w:val="24"/>
        </w:rPr>
        <w:t xml:space="preserve">first </w:t>
      </w:r>
      <w:r w:rsidR="00850EC8">
        <w:rPr>
          <w:rFonts w:ascii="Times New Roman" w:hAnsi="Times New Roman" w:cs="Times New Roman"/>
          <w:sz w:val="24"/>
          <w:szCs w:val="24"/>
        </w:rPr>
        <w:t>two categories</w:t>
      </w:r>
      <w:r w:rsidR="008855AB" w:rsidRPr="008855AB">
        <w:rPr>
          <w:rFonts w:ascii="Times New Roman" w:hAnsi="Times New Roman" w:cs="Times New Roman"/>
          <w:sz w:val="24"/>
          <w:szCs w:val="24"/>
        </w:rPr>
        <w:t xml:space="preserve"> assume that </w:t>
      </w:r>
      <w:r w:rsidR="008855AB">
        <w:rPr>
          <w:rFonts w:ascii="Times New Roman" w:hAnsi="Times New Roman" w:cs="Times New Roman"/>
          <w:sz w:val="24"/>
          <w:szCs w:val="24"/>
        </w:rPr>
        <w:t>country-level factors</w:t>
      </w:r>
      <w:r w:rsidR="008855AB" w:rsidRPr="008855AB">
        <w:rPr>
          <w:rFonts w:ascii="Times New Roman" w:hAnsi="Times New Roman" w:cs="Times New Roman"/>
          <w:sz w:val="24"/>
          <w:szCs w:val="24"/>
        </w:rPr>
        <w:t xml:space="preserve"> </w:t>
      </w:r>
      <w:r w:rsidR="00850EC8">
        <w:rPr>
          <w:rFonts w:ascii="Times New Roman" w:hAnsi="Times New Roman" w:cs="Times New Roman"/>
          <w:sz w:val="24"/>
          <w:szCs w:val="24"/>
        </w:rPr>
        <w:t>have no direct influence on firm performance. Models classified under the intervening category assume that country-level factors influence firm-level mechanisms which then affect firm performance, while moderating models assume that country-level mechanisms act as moderators of the relationship</w:t>
      </w:r>
      <w:r w:rsidR="001450D0">
        <w:rPr>
          <w:rFonts w:ascii="Times New Roman" w:hAnsi="Times New Roman" w:cs="Times New Roman"/>
          <w:sz w:val="24"/>
          <w:szCs w:val="24"/>
        </w:rPr>
        <w:t xml:space="preserve"> between firm-level governance and firm performance. The last two categories, additive and independent, assume the existence of a direct relationship between both firm-level and country-level variables and firm performance. However, the difference between these two categories is that the additive models assume that the effect of either mechanism on firm performance do not depend on the other, while the independent models assum</w:t>
      </w:r>
      <w:r w:rsidR="00BE0EAE">
        <w:rPr>
          <w:rFonts w:ascii="Times New Roman" w:hAnsi="Times New Roman" w:cs="Times New Roman"/>
          <w:sz w:val="24"/>
          <w:szCs w:val="24"/>
        </w:rPr>
        <w:t>es the opposite</w:t>
      </w:r>
      <w:r w:rsidR="001450D0">
        <w:rPr>
          <w:rFonts w:ascii="Times New Roman" w:hAnsi="Times New Roman" w:cs="Times New Roman"/>
          <w:sz w:val="24"/>
          <w:szCs w:val="24"/>
        </w:rPr>
        <w:t xml:space="preserve">. </w:t>
      </w:r>
      <w:r w:rsidR="008855AB">
        <w:rPr>
          <w:rFonts w:ascii="Times New Roman" w:hAnsi="Times New Roman" w:cs="Times New Roman"/>
          <w:sz w:val="24"/>
          <w:szCs w:val="24"/>
        </w:rPr>
        <w:t>Therefore, our next closely related research questions are</w:t>
      </w:r>
      <w:r>
        <w:rPr>
          <w:rFonts w:ascii="Times New Roman" w:hAnsi="Times New Roman" w:cs="Times New Roman"/>
          <w:sz w:val="24"/>
          <w:szCs w:val="24"/>
        </w:rPr>
        <w:t>:</w:t>
      </w:r>
    </w:p>
    <w:p w14:paraId="78BD693B" w14:textId="77777777" w:rsidR="00E11F2A" w:rsidRPr="00E219C5" w:rsidRDefault="00E11F2A" w:rsidP="00BF2605">
      <w:pPr>
        <w:tabs>
          <w:tab w:val="left" w:pos="426"/>
        </w:tabs>
        <w:spacing w:after="0" w:line="288" w:lineRule="auto"/>
        <w:jc w:val="both"/>
        <w:rPr>
          <w:rFonts w:ascii="Times New Roman" w:hAnsi="Times New Roman" w:cs="Times New Roman"/>
          <w:sz w:val="12"/>
          <w:szCs w:val="12"/>
        </w:rPr>
      </w:pPr>
    </w:p>
    <w:p w14:paraId="5CDBFD97" w14:textId="40E21F4A" w:rsidR="008855AB" w:rsidRPr="00256D45" w:rsidRDefault="008855AB" w:rsidP="00E11F2A">
      <w:pPr>
        <w:tabs>
          <w:tab w:val="left" w:pos="426"/>
        </w:tabs>
        <w:spacing w:after="0" w:line="240" w:lineRule="auto"/>
        <w:ind w:left="425" w:hanging="425"/>
        <w:jc w:val="both"/>
        <w:rPr>
          <w:rFonts w:ascii="Times New Roman" w:hAnsi="Times New Roman" w:cs="Times New Roman"/>
          <w:sz w:val="24"/>
          <w:szCs w:val="24"/>
        </w:rPr>
      </w:pPr>
      <w:r w:rsidRPr="00256D45">
        <w:rPr>
          <w:rFonts w:ascii="Times New Roman" w:hAnsi="Times New Roman" w:cs="Times New Roman"/>
          <w:b/>
          <w:bCs/>
          <w:sz w:val="24"/>
          <w:szCs w:val="24"/>
        </w:rPr>
        <w:t>2</w:t>
      </w:r>
      <w:r w:rsidR="00850EC8" w:rsidRPr="00256D45">
        <w:rPr>
          <w:rFonts w:ascii="Times New Roman" w:hAnsi="Times New Roman" w:cs="Times New Roman"/>
          <w:b/>
          <w:bCs/>
          <w:sz w:val="24"/>
          <w:szCs w:val="24"/>
        </w:rPr>
        <w:t>a</w:t>
      </w:r>
      <w:r w:rsidRPr="00256D45">
        <w:rPr>
          <w:rFonts w:ascii="Times New Roman" w:hAnsi="Times New Roman" w:cs="Times New Roman"/>
          <w:sz w:val="24"/>
          <w:szCs w:val="24"/>
        </w:rPr>
        <w:t xml:space="preserve">. </w:t>
      </w:r>
      <w:r w:rsidR="00E11F2A" w:rsidRPr="00256D45">
        <w:rPr>
          <w:rFonts w:ascii="Times New Roman" w:hAnsi="Times New Roman" w:cs="Times New Roman"/>
          <w:sz w:val="24"/>
          <w:szCs w:val="24"/>
        </w:rPr>
        <w:tab/>
      </w:r>
      <w:r w:rsidRPr="00256D45">
        <w:rPr>
          <w:rFonts w:ascii="Times New Roman" w:hAnsi="Times New Roman" w:cs="Times New Roman"/>
          <w:sz w:val="24"/>
          <w:szCs w:val="24"/>
        </w:rPr>
        <w:t xml:space="preserve">Which causal-relationship model best </w:t>
      </w:r>
      <w:r w:rsidR="008F083F" w:rsidRPr="00256D45">
        <w:rPr>
          <w:rFonts w:ascii="Times New Roman" w:hAnsi="Times New Roman" w:cs="Times New Roman"/>
          <w:sz w:val="24"/>
          <w:szCs w:val="24"/>
        </w:rPr>
        <w:t>represents</w:t>
      </w:r>
      <w:r w:rsidRPr="00256D45">
        <w:rPr>
          <w:rFonts w:ascii="Times New Roman" w:hAnsi="Times New Roman" w:cs="Times New Roman"/>
          <w:sz w:val="24"/>
          <w:szCs w:val="24"/>
        </w:rPr>
        <w:t xml:space="preserve"> the relationship between country-level factors and firm-level governance mechanisms?</w:t>
      </w:r>
    </w:p>
    <w:p w14:paraId="260BAFBA" w14:textId="77777777" w:rsidR="00E11F2A" w:rsidRPr="00256D45" w:rsidRDefault="00E11F2A" w:rsidP="00E11F2A">
      <w:pPr>
        <w:tabs>
          <w:tab w:val="left" w:pos="426"/>
        </w:tabs>
        <w:spacing w:after="0" w:line="288" w:lineRule="auto"/>
        <w:ind w:left="426" w:hanging="426"/>
        <w:jc w:val="both"/>
        <w:rPr>
          <w:rFonts w:ascii="Times New Roman" w:hAnsi="Times New Roman" w:cs="Times New Roman"/>
          <w:sz w:val="12"/>
          <w:szCs w:val="12"/>
        </w:rPr>
      </w:pPr>
    </w:p>
    <w:p w14:paraId="0F74505D" w14:textId="3DD7430C" w:rsidR="00420317" w:rsidRPr="00420317" w:rsidRDefault="00420317" w:rsidP="00E11F2A">
      <w:pPr>
        <w:tabs>
          <w:tab w:val="left" w:pos="426"/>
        </w:tabs>
        <w:spacing w:after="0" w:line="288" w:lineRule="auto"/>
        <w:ind w:left="426" w:hanging="426"/>
        <w:jc w:val="both"/>
        <w:rPr>
          <w:rFonts w:ascii="Times New Roman" w:hAnsi="Times New Roman" w:cs="Times New Roman"/>
          <w:sz w:val="24"/>
          <w:szCs w:val="24"/>
        </w:rPr>
      </w:pPr>
      <w:r w:rsidRPr="00256D45">
        <w:rPr>
          <w:rFonts w:ascii="Times New Roman" w:hAnsi="Times New Roman" w:cs="Times New Roman"/>
          <w:b/>
          <w:bCs/>
          <w:sz w:val="24"/>
          <w:szCs w:val="24"/>
        </w:rPr>
        <w:t>2</w:t>
      </w:r>
      <w:r w:rsidR="008855AB" w:rsidRPr="00256D45">
        <w:rPr>
          <w:rFonts w:ascii="Times New Roman" w:hAnsi="Times New Roman" w:cs="Times New Roman"/>
          <w:b/>
          <w:bCs/>
          <w:sz w:val="24"/>
          <w:szCs w:val="24"/>
        </w:rPr>
        <w:t>b</w:t>
      </w:r>
      <w:r w:rsidRPr="00256D45">
        <w:rPr>
          <w:rFonts w:ascii="Times New Roman" w:hAnsi="Times New Roman" w:cs="Times New Roman"/>
          <w:sz w:val="24"/>
          <w:szCs w:val="24"/>
        </w:rPr>
        <w:t>.</w:t>
      </w:r>
      <w:r>
        <w:rPr>
          <w:rFonts w:ascii="Times New Roman" w:hAnsi="Times New Roman" w:cs="Times New Roman"/>
          <w:sz w:val="24"/>
          <w:szCs w:val="24"/>
        </w:rPr>
        <w:t xml:space="preserve"> </w:t>
      </w:r>
      <w:r w:rsidR="00E11F2A">
        <w:rPr>
          <w:rFonts w:ascii="Times New Roman" w:hAnsi="Times New Roman" w:cs="Times New Roman"/>
          <w:sz w:val="24"/>
          <w:szCs w:val="24"/>
        </w:rPr>
        <w:tab/>
      </w:r>
      <w:r>
        <w:rPr>
          <w:rFonts w:ascii="Times New Roman" w:hAnsi="Times New Roman" w:cs="Times New Roman"/>
          <w:sz w:val="24"/>
          <w:szCs w:val="24"/>
        </w:rPr>
        <w:t xml:space="preserve">Are country-level </w:t>
      </w:r>
      <w:r w:rsidRPr="00430435">
        <w:rPr>
          <w:rFonts w:ascii="Times New Roman" w:hAnsi="Times New Roman" w:cs="Times New Roman"/>
          <w:sz w:val="24"/>
          <w:szCs w:val="24"/>
        </w:rPr>
        <w:t xml:space="preserve">factors </w:t>
      </w:r>
      <w:r>
        <w:rPr>
          <w:rFonts w:ascii="Times New Roman" w:hAnsi="Times New Roman" w:cs="Times New Roman"/>
          <w:sz w:val="24"/>
          <w:szCs w:val="24"/>
        </w:rPr>
        <w:t>and firm-level governance</w:t>
      </w:r>
      <w:r w:rsidRPr="00430435">
        <w:rPr>
          <w:rFonts w:ascii="Times New Roman" w:hAnsi="Times New Roman" w:cs="Times New Roman"/>
          <w:sz w:val="24"/>
          <w:szCs w:val="24"/>
        </w:rPr>
        <w:t xml:space="preserve"> mechanisms</w:t>
      </w:r>
      <w:r>
        <w:rPr>
          <w:rFonts w:ascii="Times New Roman" w:hAnsi="Times New Roman" w:cs="Times New Roman"/>
          <w:sz w:val="24"/>
          <w:szCs w:val="24"/>
        </w:rPr>
        <w:t xml:space="preserve"> complements or substitutes?</w:t>
      </w:r>
    </w:p>
    <w:p w14:paraId="27B9C7BA" w14:textId="77777777" w:rsidR="00E11F2A" w:rsidRDefault="00E11F2A" w:rsidP="00BF2605">
      <w:pPr>
        <w:tabs>
          <w:tab w:val="left" w:pos="426"/>
        </w:tabs>
        <w:spacing w:after="0" w:line="288" w:lineRule="auto"/>
        <w:jc w:val="both"/>
        <w:rPr>
          <w:rFonts w:ascii="Times New Roman" w:hAnsi="Times New Roman" w:cs="Times New Roman"/>
          <w:bCs/>
          <w:i/>
          <w:sz w:val="24"/>
          <w:szCs w:val="24"/>
        </w:rPr>
      </w:pPr>
    </w:p>
    <w:p w14:paraId="7E6AFFDE" w14:textId="157AEBEE" w:rsidR="007C7B1D" w:rsidRPr="00E11F2A" w:rsidRDefault="007C7B1D" w:rsidP="00BF2605">
      <w:pPr>
        <w:tabs>
          <w:tab w:val="left" w:pos="426"/>
        </w:tabs>
        <w:spacing w:after="0" w:line="288" w:lineRule="auto"/>
        <w:jc w:val="both"/>
        <w:rPr>
          <w:rFonts w:ascii="Times New Roman" w:hAnsi="Times New Roman" w:cs="Times New Roman"/>
          <w:b/>
          <w:iCs/>
          <w:sz w:val="24"/>
          <w:szCs w:val="24"/>
        </w:rPr>
      </w:pPr>
      <w:r w:rsidRPr="00E11F2A">
        <w:rPr>
          <w:rFonts w:ascii="Times New Roman" w:hAnsi="Times New Roman" w:cs="Times New Roman"/>
          <w:b/>
          <w:iCs/>
          <w:sz w:val="24"/>
          <w:szCs w:val="24"/>
        </w:rPr>
        <w:t xml:space="preserve">The </w:t>
      </w:r>
      <w:r w:rsidR="00327FF2" w:rsidRPr="00E11F2A">
        <w:rPr>
          <w:rFonts w:ascii="Times New Roman" w:hAnsi="Times New Roman" w:cs="Times New Roman"/>
          <w:b/>
          <w:iCs/>
          <w:sz w:val="24"/>
          <w:szCs w:val="24"/>
        </w:rPr>
        <w:t>R</w:t>
      </w:r>
      <w:r w:rsidRPr="00E11F2A">
        <w:rPr>
          <w:rFonts w:ascii="Times New Roman" w:hAnsi="Times New Roman" w:cs="Times New Roman"/>
          <w:b/>
          <w:iCs/>
          <w:sz w:val="24"/>
          <w:szCs w:val="24"/>
        </w:rPr>
        <w:t>ole of Financial Development</w:t>
      </w:r>
      <w:r w:rsidR="00606BC9" w:rsidRPr="00E11F2A">
        <w:rPr>
          <w:rFonts w:ascii="Times New Roman" w:hAnsi="Times New Roman" w:cs="Times New Roman"/>
          <w:b/>
          <w:iCs/>
          <w:sz w:val="24"/>
          <w:szCs w:val="24"/>
        </w:rPr>
        <w:t xml:space="preserve"> and</w:t>
      </w:r>
      <w:r w:rsidR="003034F6" w:rsidRPr="00E11F2A">
        <w:rPr>
          <w:rFonts w:ascii="Times New Roman" w:hAnsi="Times New Roman" w:cs="Times New Roman"/>
          <w:b/>
          <w:iCs/>
          <w:sz w:val="24"/>
          <w:szCs w:val="24"/>
        </w:rPr>
        <w:t xml:space="preserve"> </w:t>
      </w:r>
      <w:r w:rsidRPr="00E11F2A">
        <w:rPr>
          <w:rFonts w:ascii="Times New Roman" w:hAnsi="Times New Roman" w:cs="Times New Roman"/>
          <w:b/>
          <w:iCs/>
          <w:sz w:val="24"/>
          <w:szCs w:val="24"/>
        </w:rPr>
        <w:t>Capital Dependency</w:t>
      </w:r>
    </w:p>
    <w:p w14:paraId="1040E4D6" w14:textId="77777777" w:rsidR="00E11F2A" w:rsidRPr="00E11F2A" w:rsidRDefault="00E11F2A" w:rsidP="00BF2605">
      <w:pPr>
        <w:tabs>
          <w:tab w:val="left" w:pos="426"/>
        </w:tabs>
        <w:spacing w:after="0" w:line="288" w:lineRule="auto"/>
        <w:jc w:val="both"/>
        <w:rPr>
          <w:rFonts w:ascii="Times New Roman" w:hAnsi="Times New Roman" w:cs="Times New Roman"/>
          <w:sz w:val="12"/>
          <w:szCs w:val="12"/>
        </w:rPr>
      </w:pPr>
    </w:p>
    <w:p w14:paraId="69E6E214" w14:textId="42C21B21" w:rsidR="00A3363D" w:rsidRDefault="00FF4D0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w:t>
      </w:r>
      <w:r w:rsidR="002538BF">
        <w:rPr>
          <w:rFonts w:ascii="Times New Roman" w:hAnsi="Times New Roman" w:cs="Times New Roman"/>
          <w:sz w:val="24"/>
          <w:szCs w:val="24"/>
        </w:rPr>
        <w:t xml:space="preserve">s discussed earlier, one of </w:t>
      </w:r>
      <w:r w:rsidR="004F510E">
        <w:rPr>
          <w:rFonts w:ascii="Times New Roman" w:hAnsi="Times New Roman" w:cs="Times New Roman"/>
          <w:sz w:val="24"/>
          <w:szCs w:val="24"/>
        </w:rPr>
        <w:t xml:space="preserve">the </w:t>
      </w:r>
      <w:r w:rsidR="002538BF">
        <w:rPr>
          <w:rFonts w:ascii="Times New Roman" w:hAnsi="Times New Roman" w:cs="Times New Roman"/>
          <w:sz w:val="24"/>
          <w:szCs w:val="24"/>
        </w:rPr>
        <w:t xml:space="preserve">main benefits to a firm from </w:t>
      </w:r>
      <w:r w:rsidR="002538BF" w:rsidRPr="008A566B">
        <w:rPr>
          <w:rFonts w:ascii="Times New Roman" w:hAnsi="Times New Roman" w:cs="Times New Roman"/>
          <w:sz w:val="24"/>
          <w:szCs w:val="24"/>
        </w:rPr>
        <w:t>adopting better governance practices</w:t>
      </w:r>
      <w:r w:rsidR="002538BF">
        <w:rPr>
          <w:rFonts w:ascii="Times New Roman" w:hAnsi="Times New Roman" w:cs="Times New Roman"/>
          <w:sz w:val="24"/>
          <w:szCs w:val="24"/>
        </w:rPr>
        <w:t xml:space="preserve"> is</w:t>
      </w:r>
      <w:r w:rsidR="002538BF" w:rsidRPr="00E327B2">
        <w:rPr>
          <w:rFonts w:ascii="Times New Roman" w:hAnsi="Times New Roman" w:cs="Times New Roman"/>
          <w:sz w:val="24"/>
          <w:szCs w:val="24"/>
        </w:rPr>
        <w:t xml:space="preserve"> having </w:t>
      </w:r>
      <w:r w:rsidR="002538BF">
        <w:rPr>
          <w:rFonts w:ascii="Times New Roman" w:hAnsi="Times New Roman" w:cs="Times New Roman"/>
          <w:sz w:val="24"/>
          <w:szCs w:val="24"/>
        </w:rPr>
        <w:t xml:space="preserve">a </w:t>
      </w:r>
      <w:r w:rsidR="002538BF" w:rsidRPr="00E327B2">
        <w:rPr>
          <w:rFonts w:ascii="Times New Roman" w:hAnsi="Times New Roman" w:cs="Times New Roman"/>
          <w:sz w:val="24"/>
          <w:szCs w:val="24"/>
        </w:rPr>
        <w:t>better access to capital markets along with improved terms of financing</w:t>
      </w:r>
      <w:r w:rsidR="002538BF">
        <w:rPr>
          <w:rFonts w:ascii="Times New Roman" w:hAnsi="Times New Roman" w:cs="Times New Roman"/>
          <w:sz w:val="24"/>
          <w:szCs w:val="24"/>
        </w:rPr>
        <w:t xml:space="preserve"> </w:t>
      </w:r>
      <w:r w:rsidR="002538BF" w:rsidRPr="004D1D14">
        <w:rPr>
          <w:rFonts w:ascii="Times New Roman" w:hAnsi="Times New Roman" w:cs="Times New Roman"/>
          <w:sz w:val="24"/>
          <w:szCs w:val="24"/>
        </w:rPr>
        <w:t xml:space="preserve">(Aggarwal </w:t>
      </w:r>
      <w:r w:rsidR="00E11F2A" w:rsidRPr="001F2E5E">
        <w:rPr>
          <w:rFonts w:ascii="Times New Roman" w:hAnsi="Times New Roman" w:cs="Times New Roman"/>
          <w:i/>
          <w:iCs/>
        </w:rPr>
        <w:t>et al.</w:t>
      </w:r>
      <w:r w:rsidR="002538BF" w:rsidRPr="004D1D14">
        <w:rPr>
          <w:rFonts w:ascii="Times New Roman" w:hAnsi="Times New Roman" w:cs="Times New Roman"/>
          <w:sz w:val="24"/>
          <w:szCs w:val="24"/>
        </w:rPr>
        <w:t xml:space="preserve"> 2010</w:t>
      </w:r>
      <w:r w:rsidR="00682D1F">
        <w:rPr>
          <w:rFonts w:ascii="Times New Roman" w:hAnsi="Times New Roman" w:cs="Times New Roman"/>
          <w:sz w:val="24"/>
          <w:szCs w:val="24"/>
        </w:rPr>
        <w:t>,</w:t>
      </w:r>
      <w:r w:rsidR="002538BF" w:rsidRPr="004D1D14">
        <w:rPr>
          <w:rFonts w:ascii="Times New Roman" w:hAnsi="Times New Roman" w:cs="Times New Roman"/>
          <w:sz w:val="24"/>
          <w:szCs w:val="24"/>
        </w:rPr>
        <w:t xml:space="preserve"> Doidge </w:t>
      </w:r>
      <w:r w:rsidR="00E11F2A" w:rsidRPr="001F2E5E">
        <w:rPr>
          <w:rFonts w:ascii="Times New Roman" w:hAnsi="Times New Roman" w:cs="Times New Roman"/>
          <w:i/>
          <w:iCs/>
        </w:rPr>
        <w:t>et al.</w:t>
      </w:r>
      <w:r w:rsidR="002538BF" w:rsidRPr="004D1D14">
        <w:rPr>
          <w:rFonts w:ascii="Times New Roman" w:hAnsi="Times New Roman" w:cs="Times New Roman"/>
          <w:sz w:val="24"/>
          <w:szCs w:val="24"/>
        </w:rPr>
        <w:t xml:space="preserve"> 2007)</w:t>
      </w:r>
      <w:r w:rsidR="002538BF">
        <w:rPr>
          <w:rFonts w:ascii="Times New Roman" w:hAnsi="Times New Roman" w:cs="Times New Roman"/>
          <w:sz w:val="24"/>
          <w:szCs w:val="24"/>
        </w:rPr>
        <w:t xml:space="preserve">. However, these benefits differ across </w:t>
      </w:r>
      <w:r w:rsidR="00615108">
        <w:rPr>
          <w:rFonts w:ascii="Times New Roman" w:hAnsi="Times New Roman" w:cs="Times New Roman"/>
          <w:sz w:val="24"/>
          <w:szCs w:val="24"/>
        </w:rPr>
        <w:t>countr</w:t>
      </w:r>
      <w:r w:rsidR="002538BF">
        <w:rPr>
          <w:rFonts w:ascii="Times New Roman" w:hAnsi="Times New Roman" w:cs="Times New Roman"/>
          <w:sz w:val="24"/>
          <w:szCs w:val="24"/>
        </w:rPr>
        <w:t xml:space="preserve">ies based on the financing that a firm expects to secure from its domestic market, which in turn depends on how developed the </w:t>
      </w:r>
      <w:r w:rsidR="00615108">
        <w:rPr>
          <w:rFonts w:ascii="Times New Roman" w:hAnsi="Times New Roman" w:cs="Times New Roman"/>
          <w:sz w:val="24"/>
          <w:szCs w:val="24"/>
        </w:rPr>
        <w:t>countr</w:t>
      </w:r>
      <w:r w:rsidR="002538BF">
        <w:rPr>
          <w:rFonts w:ascii="Times New Roman" w:hAnsi="Times New Roman" w:cs="Times New Roman"/>
          <w:sz w:val="24"/>
          <w:szCs w:val="24"/>
        </w:rPr>
        <w:t>y’s financial system</w:t>
      </w:r>
      <w:r w:rsidR="008F083F">
        <w:rPr>
          <w:rFonts w:ascii="Times New Roman" w:hAnsi="Times New Roman" w:cs="Times New Roman"/>
          <w:sz w:val="24"/>
          <w:szCs w:val="24"/>
        </w:rPr>
        <w:t xml:space="preserve"> is</w:t>
      </w:r>
      <w:r w:rsidR="002538BF">
        <w:rPr>
          <w:rFonts w:ascii="Times New Roman" w:hAnsi="Times New Roman" w:cs="Times New Roman"/>
          <w:sz w:val="24"/>
          <w:szCs w:val="24"/>
        </w:rPr>
        <w:t xml:space="preserve">. </w:t>
      </w:r>
      <w:r w:rsidR="00542931">
        <w:rPr>
          <w:rFonts w:ascii="Times New Roman" w:hAnsi="Times New Roman" w:cs="Times New Roman"/>
          <w:sz w:val="24"/>
          <w:szCs w:val="24"/>
        </w:rPr>
        <w:t>I</w:t>
      </w:r>
      <w:r w:rsidR="002538BF" w:rsidRPr="002538BF">
        <w:rPr>
          <w:rFonts w:ascii="Times New Roman" w:hAnsi="Times New Roman" w:cs="Times New Roman"/>
          <w:sz w:val="24"/>
          <w:szCs w:val="24"/>
        </w:rPr>
        <w:t xml:space="preserve">t can be also argued that a firm’s gain from adopting a more stringent governance framework </w:t>
      </w:r>
      <w:r w:rsidR="004A1E7E">
        <w:rPr>
          <w:rFonts w:ascii="Times New Roman" w:hAnsi="Times New Roman" w:cs="Times New Roman"/>
          <w:sz w:val="24"/>
          <w:szCs w:val="24"/>
        </w:rPr>
        <w:t>relies both</w:t>
      </w:r>
      <w:r w:rsidR="002538BF" w:rsidRPr="002538BF">
        <w:rPr>
          <w:rFonts w:ascii="Times New Roman" w:hAnsi="Times New Roman" w:cs="Times New Roman"/>
          <w:sz w:val="24"/>
          <w:szCs w:val="24"/>
        </w:rPr>
        <w:t xml:space="preserve"> on the financial development status of the </w:t>
      </w:r>
      <w:r w:rsidR="00615108">
        <w:rPr>
          <w:rFonts w:ascii="Times New Roman" w:hAnsi="Times New Roman" w:cs="Times New Roman"/>
          <w:sz w:val="24"/>
          <w:szCs w:val="24"/>
        </w:rPr>
        <w:t>countr</w:t>
      </w:r>
      <w:r w:rsidR="002538BF" w:rsidRPr="002538BF">
        <w:rPr>
          <w:rFonts w:ascii="Times New Roman" w:hAnsi="Times New Roman" w:cs="Times New Roman"/>
          <w:sz w:val="24"/>
          <w:szCs w:val="24"/>
        </w:rPr>
        <w:t xml:space="preserve">y </w:t>
      </w:r>
      <w:r w:rsidR="004A1E7E">
        <w:rPr>
          <w:rFonts w:ascii="Times New Roman" w:hAnsi="Times New Roman" w:cs="Times New Roman"/>
          <w:sz w:val="24"/>
          <w:szCs w:val="24"/>
        </w:rPr>
        <w:t>in which the firm operates and its</w:t>
      </w:r>
      <w:r w:rsidR="002538BF">
        <w:rPr>
          <w:rFonts w:ascii="Times New Roman" w:hAnsi="Times New Roman" w:cs="Times New Roman"/>
          <w:sz w:val="24"/>
          <w:szCs w:val="24"/>
        </w:rPr>
        <w:t xml:space="preserve"> </w:t>
      </w:r>
      <w:r w:rsidR="004D1D14" w:rsidRPr="004D1D14">
        <w:rPr>
          <w:rFonts w:ascii="Times New Roman" w:hAnsi="Times New Roman" w:cs="Times New Roman"/>
          <w:sz w:val="24"/>
          <w:szCs w:val="24"/>
        </w:rPr>
        <w:t>reliance on external</w:t>
      </w:r>
      <w:r w:rsidR="002538BF">
        <w:rPr>
          <w:rFonts w:ascii="Times New Roman" w:hAnsi="Times New Roman" w:cs="Times New Roman"/>
          <w:sz w:val="24"/>
          <w:szCs w:val="24"/>
        </w:rPr>
        <w:t xml:space="preserve"> sources to fund its operations</w:t>
      </w:r>
      <w:r w:rsidR="004D1D14" w:rsidRPr="004D1D14">
        <w:rPr>
          <w:rFonts w:ascii="Times New Roman" w:hAnsi="Times New Roman" w:cs="Times New Roman"/>
          <w:sz w:val="24"/>
          <w:szCs w:val="24"/>
        </w:rPr>
        <w:t xml:space="preserve"> </w:t>
      </w:r>
      <w:r w:rsidR="002538BF">
        <w:rPr>
          <w:rFonts w:ascii="Times New Roman" w:hAnsi="Times New Roman" w:cs="Times New Roman"/>
          <w:sz w:val="24"/>
          <w:szCs w:val="24"/>
        </w:rPr>
        <w:t>(</w:t>
      </w:r>
      <w:r w:rsidR="004D1D14" w:rsidRPr="004D1D14">
        <w:rPr>
          <w:rFonts w:ascii="Times New Roman" w:hAnsi="Times New Roman" w:cs="Times New Roman"/>
          <w:sz w:val="24"/>
          <w:szCs w:val="24"/>
        </w:rPr>
        <w:t xml:space="preserve">Doidge </w:t>
      </w:r>
      <w:r w:rsidR="00E11F2A" w:rsidRPr="001F2E5E">
        <w:rPr>
          <w:rFonts w:ascii="Times New Roman" w:hAnsi="Times New Roman" w:cs="Times New Roman"/>
          <w:i/>
          <w:iCs/>
        </w:rPr>
        <w:t>et al.</w:t>
      </w:r>
      <w:r w:rsidR="004D1D14" w:rsidRPr="004D1D14">
        <w:rPr>
          <w:rFonts w:ascii="Times New Roman" w:hAnsi="Times New Roman" w:cs="Times New Roman"/>
          <w:sz w:val="24"/>
          <w:szCs w:val="24"/>
        </w:rPr>
        <w:t xml:space="preserve"> 2007).</w:t>
      </w:r>
      <w:r w:rsidR="002538BF">
        <w:rPr>
          <w:rFonts w:ascii="Times New Roman" w:hAnsi="Times New Roman" w:cs="Times New Roman"/>
          <w:sz w:val="24"/>
          <w:szCs w:val="24"/>
        </w:rPr>
        <w:t xml:space="preserve"> Therefore, our</w:t>
      </w:r>
      <w:r w:rsidR="003034F6">
        <w:rPr>
          <w:rFonts w:ascii="Times New Roman" w:hAnsi="Times New Roman" w:cs="Times New Roman"/>
          <w:sz w:val="24"/>
          <w:szCs w:val="24"/>
        </w:rPr>
        <w:t xml:space="preserve"> </w:t>
      </w:r>
      <w:r w:rsidR="00320310">
        <w:rPr>
          <w:rFonts w:ascii="Times New Roman" w:hAnsi="Times New Roman" w:cs="Times New Roman"/>
          <w:sz w:val="24"/>
          <w:szCs w:val="24"/>
        </w:rPr>
        <w:t xml:space="preserve">last </w:t>
      </w:r>
      <w:r w:rsidR="002538BF">
        <w:rPr>
          <w:rFonts w:ascii="Times New Roman" w:hAnsi="Times New Roman" w:cs="Times New Roman"/>
          <w:sz w:val="24"/>
          <w:szCs w:val="24"/>
        </w:rPr>
        <w:t>two research questions are:</w:t>
      </w:r>
    </w:p>
    <w:p w14:paraId="736ED03B" w14:textId="77777777" w:rsidR="00E11F2A" w:rsidRPr="00E219C5" w:rsidRDefault="00E11F2A" w:rsidP="00BF2605">
      <w:pPr>
        <w:tabs>
          <w:tab w:val="left" w:pos="426"/>
        </w:tabs>
        <w:spacing w:after="0" w:line="288" w:lineRule="auto"/>
        <w:jc w:val="both"/>
        <w:rPr>
          <w:rFonts w:ascii="Times New Roman" w:hAnsi="Times New Roman" w:cs="Times New Roman"/>
          <w:sz w:val="12"/>
          <w:szCs w:val="12"/>
        </w:rPr>
      </w:pPr>
    </w:p>
    <w:p w14:paraId="597C11F9" w14:textId="4402C37A" w:rsidR="002538BF" w:rsidRPr="00256D45" w:rsidRDefault="009D1C47" w:rsidP="00E11F2A">
      <w:pPr>
        <w:tabs>
          <w:tab w:val="left" w:pos="426"/>
        </w:tabs>
        <w:spacing w:after="0" w:line="240" w:lineRule="auto"/>
        <w:ind w:left="425" w:hanging="425"/>
        <w:jc w:val="both"/>
        <w:rPr>
          <w:rFonts w:ascii="Times New Roman" w:hAnsi="Times New Roman" w:cs="Times New Roman"/>
          <w:sz w:val="24"/>
          <w:szCs w:val="24"/>
        </w:rPr>
      </w:pPr>
      <w:r w:rsidRPr="00256D45">
        <w:rPr>
          <w:rFonts w:ascii="Times New Roman" w:hAnsi="Times New Roman" w:cs="Times New Roman"/>
          <w:b/>
          <w:bCs/>
          <w:sz w:val="24"/>
          <w:szCs w:val="24"/>
        </w:rPr>
        <w:t>3</w:t>
      </w:r>
      <w:r w:rsidR="002538BF" w:rsidRPr="00256D45">
        <w:rPr>
          <w:rFonts w:ascii="Times New Roman" w:hAnsi="Times New Roman" w:cs="Times New Roman"/>
          <w:sz w:val="24"/>
          <w:szCs w:val="24"/>
        </w:rPr>
        <w:t xml:space="preserve">. </w:t>
      </w:r>
      <w:r w:rsidR="00660D78" w:rsidRPr="00256D45">
        <w:rPr>
          <w:rFonts w:ascii="Times New Roman" w:hAnsi="Times New Roman" w:cs="Times New Roman"/>
          <w:sz w:val="24"/>
          <w:szCs w:val="24"/>
        </w:rPr>
        <w:t xml:space="preserve">Does the status of a </w:t>
      </w:r>
      <w:r w:rsidR="00615108" w:rsidRPr="00256D45">
        <w:rPr>
          <w:rFonts w:ascii="Times New Roman" w:hAnsi="Times New Roman" w:cs="Times New Roman"/>
          <w:sz w:val="24"/>
          <w:szCs w:val="24"/>
        </w:rPr>
        <w:t>countr</w:t>
      </w:r>
      <w:r w:rsidR="00660D78" w:rsidRPr="00256D45">
        <w:rPr>
          <w:rFonts w:ascii="Times New Roman" w:hAnsi="Times New Roman" w:cs="Times New Roman"/>
          <w:sz w:val="24"/>
          <w:szCs w:val="24"/>
        </w:rPr>
        <w:t xml:space="preserve">y’s financial development play a major role in determining </w:t>
      </w:r>
      <w:r w:rsidR="00A433F7" w:rsidRPr="00256D45">
        <w:rPr>
          <w:rFonts w:ascii="Times New Roman" w:hAnsi="Times New Roman" w:cs="Times New Roman"/>
          <w:sz w:val="24"/>
          <w:szCs w:val="24"/>
        </w:rPr>
        <w:t xml:space="preserve">the relationship between </w:t>
      </w:r>
      <w:r w:rsidR="00660D78" w:rsidRPr="00256D45">
        <w:rPr>
          <w:rFonts w:ascii="Times New Roman" w:hAnsi="Times New Roman" w:cs="Times New Roman"/>
          <w:sz w:val="24"/>
          <w:szCs w:val="24"/>
        </w:rPr>
        <w:t>firm-level</w:t>
      </w:r>
      <w:r w:rsidR="004F3A7C" w:rsidRPr="00256D45">
        <w:rPr>
          <w:rFonts w:ascii="Times New Roman" w:hAnsi="Times New Roman" w:cs="Times New Roman"/>
          <w:sz w:val="24"/>
          <w:szCs w:val="24"/>
        </w:rPr>
        <w:t xml:space="preserve"> </w:t>
      </w:r>
      <w:r w:rsidR="003D7508" w:rsidRPr="00256D45">
        <w:rPr>
          <w:rFonts w:ascii="Times New Roman" w:hAnsi="Times New Roman" w:cs="Times New Roman"/>
          <w:sz w:val="24"/>
          <w:szCs w:val="24"/>
        </w:rPr>
        <w:t>governance and firm value or return?</w:t>
      </w:r>
    </w:p>
    <w:p w14:paraId="3911F6FD" w14:textId="77777777" w:rsidR="00E11F2A" w:rsidRPr="00256D45" w:rsidRDefault="00E11F2A" w:rsidP="00E11F2A">
      <w:pPr>
        <w:tabs>
          <w:tab w:val="left" w:pos="426"/>
        </w:tabs>
        <w:spacing w:after="0" w:line="288" w:lineRule="auto"/>
        <w:ind w:left="426" w:hanging="426"/>
        <w:jc w:val="both"/>
        <w:rPr>
          <w:rFonts w:ascii="Times New Roman" w:hAnsi="Times New Roman" w:cs="Times New Roman"/>
          <w:sz w:val="12"/>
          <w:szCs w:val="12"/>
        </w:rPr>
      </w:pPr>
    </w:p>
    <w:p w14:paraId="07CA6F34" w14:textId="7D3760F7" w:rsidR="002538BF" w:rsidRDefault="009D1C47" w:rsidP="00E11F2A">
      <w:pPr>
        <w:tabs>
          <w:tab w:val="left" w:pos="426"/>
        </w:tabs>
        <w:spacing w:after="0" w:line="240" w:lineRule="auto"/>
        <w:ind w:left="425" w:hanging="425"/>
        <w:jc w:val="both"/>
        <w:rPr>
          <w:rFonts w:ascii="Times New Roman" w:hAnsi="Times New Roman" w:cs="Times New Roman"/>
          <w:sz w:val="24"/>
          <w:szCs w:val="24"/>
        </w:rPr>
      </w:pPr>
      <w:r w:rsidRPr="00256D45">
        <w:rPr>
          <w:rFonts w:ascii="Times New Roman" w:hAnsi="Times New Roman" w:cs="Times New Roman"/>
          <w:b/>
          <w:bCs/>
          <w:sz w:val="24"/>
          <w:szCs w:val="24"/>
        </w:rPr>
        <w:t>4</w:t>
      </w:r>
      <w:r w:rsidR="00660D78" w:rsidRPr="00256D45">
        <w:rPr>
          <w:rFonts w:ascii="Times New Roman" w:hAnsi="Times New Roman" w:cs="Times New Roman"/>
          <w:sz w:val="24"/>
          <w:szCs w:val="24"/>
        </w:rPr>
        <w:t xml:space="preserve">. </w:t>
      </w:r>
      <w:r w:rsidR="003D7508" w:rsidRPr="00256D45">
        <w:rPr>
          <w:rFonts w:ascii="Times New Roman" w:hAnsi="Times New Roman" w:cs="Times New Roman"/>
          <w:sz w:val="24"/>
          <w:szCs w:val="24"/>
        </w:rPr>
        <w:t xml:space="preserve">Does the firm’s external financing need play a major role in determining the relationship </w:t>
      </w:r>
      <w:r w:rsidR="003D7508">
        <w:rPr>
          <w:rFonts w:ascii="Times New Roman" w:hAnsi="Times New Roman" w:cs="Times New Roman"/>
          <w:sz w:val="24"/>
          <w:szCs w:val="24"/>
        </w:rPr>
        <w:t>between firm-level governance and firm value or return?</w:t>
      </w:r>
    </w:p>
    <w:p w14:paraId="508FD58C"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072EA68A" w14:textId="77777777" w:rsidR="00E11F2A" w:rsidRDefault="00E11F2A">
      <w:pPr>
        <w:rPr>
          <w:rFonts w:asciiTheme="majorBidi" w:hAnsiTheme="majorBidi" w:cstheme="majorBidi"/>
          <w:b/>
          <w:bCs/>
          <w:sz w:val="24"/>
          <w:szCs w:val="24"/>
          <w:highlight w:val="lightGray"/>
        </w:rPr>
      </w:pPr>
      <w:r>
        <w:rPr>
          <w:rFonts w:asciiTheme="majorBidi" w:hAnsiTheme="majorBidi" w:cstheme="majorBidi"/>
          <w:b/>
          <w:bCs/>
          <w:sz w:val="24"/>
          <w:szCs w:val="24"/>
          <w:highlight w:val="lightGray"/>
        </w:rPr>
        <w:br w:type="page"/>
      </w:r>
    </w:p>
    <w:p w14:paraId="7C18C706" w14:textId="37B6ADE2" w:rsidR="007C3822" w:rsidRPr="00E11F2A" w:rsidRDefault="00E11F2A" w:rsidP="00E11F2A">
      <w:pPr>
        <w:keepNext/>
        <w:tabs>
          <w:tab w:val="left" w:pos="426"/>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III. </w:t>
      </w:r>
      <w:r w:rsidR="003B2AF3" w:rsidRPr="00E11F2A">
        <w:rPr>
          <w:rFonts w:asciiTheme="majorBidi" w:hAnsiTheme="majorBidi" w:cstheme="majorBidi"/>
          <w:b/>
          <w:bCs/>
          <w:sz w:val="24"/>
          <w:szCs w:val="24"/>
        </w:rPr>
        <w:t>Data and Methodology</w:t>
      </w:r>
    </w:p>
    <w:p w14:paraId="15D12963" w14:textId="77777777" w:rsidR="00E11F2A" w:rsidRPr="00E11F2A" w:rsidRDefault="00E11F2A" w:rsidP="00BF2605">
      <w:pPr>
        <w:keepNext/>
        <w:tabs>
          <w:tab w:val="left" w:pos="426"/>
        </w:tabs>
        <w:spacing w:after="0" w:line="288" w:lineRule="auto"/>
        <w:jc w:val="both"/>
        <w:rPr>
          <w:rFonts w:ascii="Times New Roman" w:hAnsi="Times New Roman" w:cs="Times New Roman"/>
          <w:sz w:val="12"/>
          <w:szCs w:val="12"/>
        </w:rPr>
      </w:pPr>
    </w:p>
    <w:p w14:paraId="2DFE3635" w14:textId="2E6CFAED" w:rsidR="00E11F2A" w:rsidRDefault="003E6053" w:rsidP="00BF2605">
      <w:pPr>
        <w:keepNext/>
        <w:tabs>
          <w:tab w:val="left" w:pos="426"/>
        </w:tabs>
        <w:spacing w:after="0" w:line="288" w:lineRule="auto"/>
        <w:jc w:val="both"/>
        <w:rPr>
          <w:rFonts w:ascii="Times New Roman" w:hAnsi="Times New Roman" w:cs="Times New Roman"/>
          <w:sz w:val="24"/>
          <w:szCs w:val="24"/>
        </w:rPr>
      </w:pPr>
      <w:r w:rsidRPr="003E6053">
        <w:rPr>
          <w:rFonts w:ascii="Times New Roman" w:hAnsi="Times New Roman" w:cs="Times New Roman"/>
          <w:sz w:val="24"/>
          <w:szCs w:val="24"/>
        </w:rPr>
        <w:t>To conduct our comparative analysis, we extract data for the year</w:t>
      </w:r>
      <w:r w:rsidR="00AF24F2">
        <w:rPr>
          <w:rFonts w:ascii="Times New Roman" w:hAnsi="Times New Roman" w:cs="Times New Roman"/>
          <w:sz w:val="24"/>
          <w:szCs w:val="24"/>
        </w:rPr>
        <w:t>s</w:t>
      </w:r>
      <w:r w:rsidRPr="003E6053">
        <w:rPr>
          <w:rFonts w:ascii="Times New Roman" w:hAnsi="Times New Roman" w:cs="Times New Roman"/>
          <w:sz w:val="24"/>
          <w:szCs w:val="24"/>
        </w:rPr>
        <w:t xml:space="preserve"> </w:t>
      </w:r>
      <w:r w:rsidR="00AF24F2">
        <w:rPr>
          <w:rFonts w:ascii="Times New Roman" w:hAnsi="Times New Roman" w:cs="Times New Roman"/>
          <w:sz w:val="24"/>
          <w:szCs w:val="24"/>
        </w:rPr>
        <w:t>201</w:t>
      </w:r>
      <w:r w:rsidR="00F617E6">
        <w:rPr>
          <w:rFonts w:ascii="Times New Roman" w:hAnsi="Times New Roman" w:cs="Times New Roman"/>
          <w:sz w:val="24"/>
          <w:szCs w:val="24"/>
        </w:rPr>
        <w:t>0</w:t>
      </w:r>
      <w:r w:rsidR="00AF24F2">
        <w:rPr>
          <w:rFonts w:ascii="Times New Roman" w:hAnsi="Times New Roman" w:cs="Times New Roman"/>
          <w:sz w:val="24"/>
          <w:szCs w:val="24"/>
        </w:rPr>
        <w:t xml:space="preserve"> to </w:t>
      </w:r>
      <w:r w:rsidRPr="003E6053">
        <w:rPr>
          <w:rFonts w:ascii="Times New Roman" w:hAnsi="Times New Roman" w:cs="Times New Roman"/>
          <w:sz w:val="24"/>
          <w:szCs w:val="24"/>
        </w:rPr>
        <w:t>201</w:t>
      </w:r>
      <w:r w:rsidR="00F617E6">
        <w:rPr>
          <w:rFonts w:ascii="Times New Roman" w:hAnsi="Times New Roman" w:cs="Times New Roman"/>
          <w:sz w:val="24"/>
          <w:szCs w:val="24"/>
        </w:rPr>
        <w:t>7</w:t>
      </w:r>
      <w:r w:rsidRPr="003E6053">
        <w:rPr>
          <w:rFonts w:ascii="Times New Roman" w:hAnsi="Times New Roman" w:cs="Times New Roman"/>
          <w:sz w:val="24"/>
          <w:szCs w:val="24"/>
        </w:rPr>
        <w:t xml:space="preserve"> from various sources. We source our accounting and market data</w:t>
      </w:r>
      <w:r w:rsidR="00BB1F86">
        <w:rPr>
          <w:rFonts w:ascii="Times New Roman" w:hAnsi="Times New Roman" w:cs="Times New Roman"/>
          <w:sz w:val="24"/>
          <w:szCs w:val="24"/>
        </w:rPr>
        <w:t xml:space="preserve"> (</w:t>
      </w:r>
      <w:r w:rsidR="00F27C61">
        <w:rPr>
          <w:rFonts w:ascii="Times New Roman" w:hAnsi="Times New Roman" w:cs="Times New Roman"/>
          <w:sz w:val="24"/>
          <w:szCs w:val="24"/>
        </w:rPr>
        <w:t>that is,</w:t>
      </w:r>
      <w:r w:rsidR="00BB1F86">
        <w:rPr>
          <w:rFonts w:ascii="Times New Roman" w:hAnsi="Times New Roman" w:cs="Times New Roman"/>
          <w:sz w:val="24"/>
          <w:szCs w:val="24"/>
        </w:rPr>
        <w:t xml:space="preserve"> sales, total assets, total debt, book value and market value of equity, net income, short-term assets)</w:t>
      </w:r>
      <w:r w:rsidRPr="003E6053">
        <w:rPr>
          <w:rFonts w:ascii="Times New Roman" w:hAnsi="Times New Roman" w:cs="Times New Roman"/>
          <w:sz w:val="24"/>
          <w:szCs w:val="24"/>
        </w:rPr>
        <w:t xml:space="preserve"> from DataStream for all firms with governance data </w:t>
      </w:r>
      <w:r>
        <w:rPr>
          <w:rFonts w:ascii="Times New Roman" w:hAnsi="Times New Roman" w:cs="Times New Roman"/>
          <w:sz w:val="24"/>
          <w:szCs w:val="24"/>
        </w:rPr>
        <w:t xml:space="preserve">in ASSET4 for </w:t>
      </w:r>
      <w:r w:rsidR="003306B2">
        <w:rPr>
          <w:rFonts w:ascii="Times New Roman" w:hAnsi="Times New Roman" w:cs="Times New Roman"/>
          <w:sz w:val="24"/>
          <w:szCs w:val="24"/>
        </w:rPr>
        <w:t>the selected period</w:t>
      </w:r>
      <w:r w:rsidR="0091273F">
        <w:rPr>
          <w:rFonts w:ascii="Times New Roman" w:hAnsi="Times New Roman" w:cs="Times New Roman"/>
          <w:sz w:val="24"/>
          <w:szCs w:val="24"/>
        </w:rPr>
        <w:t>.</w:t>
      </w:r>
      <w:r w:rsidR="00BB1F86">
        <w:rPr>
          <w:rFonts w:ascii="Times New Roman" w:hAnsi="Times New Roman" w:cs="Times New Roman"/>
          <w:sz w:val="24"/>
          <w:szCs w:val="24"/>
        </w:rPr>
        <w:t xml:space="preserve">  </w:t>
      </w:r>
      <w:r w:rsidRPr="003E6053">
        <w:rPr>
          <w:rFonts w:ascii="Times New Roman" w:hAnsi="Times New Roman" w:cs="Times New Roman"/>
          <w:sz w:val="24"/>
          <w:szCs w:val="24"/>
        </w:rPr>
        <w:t xml:space="preserve">We extract corporate governance data from ASSET4 which is part of the DataStream package to construct our own corporate governance index. We also use the corporate governance score calculated by DataStream as an alternative </w:t>
      </w:r>
      <w:r w:rsidR="0005365D">
        <w:rPr>
          <w:rFonts w:ascii="Times New Roman" w:hAnsi="Times New Roman" w:cs="Times New Roman"/>
          <w:sz w:val="24"/>
          <w:szCs w:val="24"/>
        </w:rPr>
        <w:t>proxy</w:t>
      </w:r>
      <w:r w:rsidRPr="003E6053">
        <w:rPr>
          <w:rFonts w:ascii="Times New Roman" w:hAnsi="Times New Roman" w:cs="Times New Roman"/>
          <w:sz w:val="24"/>
          <w:szCs w:val="24"/>
        </w:rPr>
        <w:t xml:space="preserve"> </w:t>
      </w:r>
      <w:r w:rsidR="0005365D">
        <w:rPr>
          <w:rFonts w:ascii="Times New Roman" w:hAnsi="Times New Roman" w:cs="Times New Roman"/>
          <w:sz w:val="24"/>
          <w:szCs w:val="24"/>
        </w:rPr>
        <w:t xml:space="preserve">for a </w:t>
      </w:r>
      <w:r w:rsidRPr="003E6053">
        <w:rPr>
          <w:rFonts w:ascii="Times New Roman" w:hAnsi="Times New Roman" w:cs="Times New Roman"/>
          <w:sz w:val="24"/>
          <w:szCs w:val="24"/>
        </w:rPr>
        <w:t xml:space="preserve">firm’s quality of governance. </w:t>
      </w:r>
      <w:r w:rsidR="0091273F" w:rsidRPr="0005365D">
        <w:rPr>
          <w:rFonts w:ascii="Times New Roman" w:hAnsi="Times New Roman" w:cs="Times New Roman"/>
          <w:sz w:val="24"/>
          <w:szCs w:val="24"/>
        </w:rPr>
        <w:t xml:space="preserve">We only include a firm if it has at least half of the attributes covered by our </w:t>
      </w:r>
      <w:r w:rsidR="0091273F">
        <w:rPr>
          <w:rFonts w:ascii="Times New Roman" w:hAnsi="Times New Roman" w:cs="Times New Roman"/>
          <w:sz w:val="24"/>
          <w:szCs w:val="24"/>
        </w:rPr>
        <w:t xml:space="preserve">governance </w:t>
      </w:r>
      <w:r w:rsidR="0091273F" w:rsidRPr="0005365D">
        <w:rPr>
          <w:rFonts w:ascii="Times New Roman" w:hAnsi="Times New Roman" w:cs="Times New Roman"/>
          <w:sz w:val="24"/>
          <w:szCs w:val="24"/>
        </w:rPr>
        <w:t xml:space="preserve">index </w:t>
      </w:r>
      <w:r w:rsidR="0091273F">
        <w:rPr>
          <w:rFonts w:ascii="Times New Roman" w:hAnsi="Times New Roman" w:cs="Times New Roman"/>
          <w:sz w:val="24"/>
          <w:szCs w:val="24"/>
        </w:rPr>
        <w:t xml:space="preserve">(explained later) </w:t>
      </w:r>
      <w:r w:rsidR="0091273F" w:rsidRPr="0005365D">
        <w:rPr>
          <w:rFonts w:ascii="Times New Roman" w:hAnsi="Times New Roman" w:cs="Times New Roman"/>
          <w:sz w:val="24"/>
          <w:szCs w:val="24"/>
        </w:rPr>
        <w:t xml:space="preserve">to reduce any potential bias in the final </w:t>
      </w:r>
      <w:r w:rsidR="00BB1F86">
        <w:rPr>
          <w:rFonts w:ascii="Times New Roman" w:hAnsi="Times New Roman" w:cs="Times New Roman"/>
          <w:sz w:val="24"/>
          <w:szCs w:val="24"/>
        </w:rPr>
        <w:t xml:space="preserve">governance </w:t>
      </w:r>
      <w:r w:rsidR="0091273F" w:rsidRPr="0005365D">
        <w:rPr>
          <w:rFonts w:ascii="Times New Roman" w:hAnsi="Times New Roman" w:cs="Times New Roman"/>
          <w:sz w:val="24"/>
          <w:szCs w:val="24"/>
        </w:rPr>
        <w:t>score</w:t>
      </w:r>
      <w:r w:rsidR="00BB1F86">
        <w:rPr>
          <w:rFonts w:ascii="Times New Roman" w:hAnsi="Times New Roman" w:cs="Times New Roman"/>
          <w:sz w:val="24"/>
          <w:szCs w:val="24"/>
        </w:rPr>
        <w:t>s due to the limited number of attributes used</w:t>
      </w:r>
      <w:r w:rsidR="0091273F" w:rsidRPr="0005365D">
        <w:rPr>
          <w:rFonts w:ascii="Times New Roman" w:hAnsi="Times New Roman" w:cs="Times New Roman"/>
          <w:sz w:val="24"/>
          <w:szCs w:val="24"/>
        </w:rPr>
        <w:t>.</w:t>
      </w:r>
      <w:r w:rsidR="00BB1F86">
        <w:rPr>
          <w:rFonts w:ascii="Times New Roman" w:hAnsi="Times New Roman" w:cs="Times New Roman"/>
          <w:sz w:val="24"/>
          <w:szCs w:val="24"/>
        </w:rPr>
        <w:t xml:space="preserve"> </w:t>
      </w:r>
    </w:p>
    <w:p w14:paraId="19ACEC9F" w14:textId="77777777" w:rsidR="00E11F2A" w:rsidRDefault="00E11F2A" w:rsidP="00BF2605">
      <w:pPr>
        <w:keepNext/>
        <w:tabs>
          <w:tab w:val="left" w:pos="426"/>
        </w:tabs>
        <w:spacing w:after="0" w:line="288" w:lineRule="auto"/>
        <w:jc w:val="both"/>
        <w:rPr>
          <w:rFonts w:ascii="Times New Roman" w:hAnsi="Times New Roman" w:cs="Times New Roman"/>
          <w:sz w:val="24"/>
          <w:szCs w:val="24"/>
        </w:rPr>
      </w:pPr>
    </w:p>
    <w:p w14:paraId="7EB984AF" w14:textId="7EC05790" w:rsidR="00BB1F86" w:rsidRDefault="00E11F2A" w:rsidP="00BF2605">
      <w:pPr>
        <w:keepNext/>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B1F86">
        <w:rPr>
          <w:rFonts w:ascii="Times New Roman" w:hAnsi="Times New Roman" w:cs="Times New Roman"/>
          <w:sz w:val="24"/>
          <w:szCs w:val="24"/>
        </w:rPr>
        <w:t>To ensure that our sample reflects corporate governance practices in each country,</w:t>
      </w:r>
      <w:r w:rsidR="0091273F">
        <w:rPr>
          <w:rFonts w:ascii="Times New Roman" w:hAnsi="Times New Roman" w:cs="Times New Roman"/>
          <w:sz w:val="24"/>
          <w:szCs w:val="24"/>
        </w:rPr>
        <w:t xml:space="preserve"> </w:t>
      </w:r>
      <w:r w:rsidR="00BB1F86">
        <w:rPr>
          <w:rFonts w:ascii="Times New Roman" w:hAnsi="Times New Roman" w:cs="Times New Roman"/>
          <w:sz w:val="24"/>
          <w:szCs w:val="24"/>
        </w:rPr>
        <w:t>a</w:t>
      </w:r>
      <w:r w:rsidR="00C41484">
        <w:rPr>
          <w:rFonts w:ascii="Times New Roman" w:hAnsi="Times New Roman" w:cs="Times New Roman"/>
          <w:sz w:val="24"/>
          <w:szCs w:val="24"/>
        </w:rPr>
        <w:t xml:space="preserve"> </w:t>
      </w:r>
      <w:r w:rsidR="00615108">
        <w:rPr>
          <w:rFonts w:ascii="Times New Roman" w:hAnsi="Times New Roman" w:cs="Times New Roman"/>
          <w:sz w:val="24"/>
          <w:szCs w:val="24"/>
        </w:rPr>
        <w:t>countr</w:t>
      </w:r>
      <w:r w:rsidR="00C41484">
        <w:rPr>
          <w:rFonts w:ascii="Times New Roman" w:hAnsi="Times New Roman" w:cs="Times New Roman"/>
          <w:sz w:val="24"/>
          <w:szCs w:val="24"/>
        </w:rPr>
        <w:t xml:space="preserve">y would be included in our sample only if the total </w:t>
      </w:r>
      <w:r w:rsidR="00033865">
        <w:rPr>
          <w:rFonts w:ascii="Times New Roman" w:hAnsi="Times New Roman" w:cs="Times New Roman"/>
          <w:sz w:val="24"/>
          <w:szCs w:val="24"/>
        </w:rPr>
        <w:t xml:space="preserve">market capitalization of </w:t>
      </w:r>
      <w:r w:rsidR="00C41484">
        <w:rPr>
          <w:rFonts w:ascii="Times New Roman" w:hAnsi="Times New Roman" w:cs="Times New Roman"/>
          <w:sz w:val="24"/>
          <w:szCs w:val="24"/>
        </w:rPr>
        <w:t xml:space="preserve">firms with </w:t>
      </w:r>
      <w:r w:rsidR="00033865">
        <w:rPr>
          <w:rFonts w:ascii="Times New Roman" w:hAnsi="Times New Roman" w:cs="Times New Roman"/>
          <w:sz w:val="24"/>
          <w:szCs w:val="24"/>
        </w:rPr>
        <w:t>adequate</w:t>
      </w:r>
      <w:r w:rsidR="00C41484">
        <w:rPr>
          <w:rFonts w:ascii="Times New Roman" w:hAnsi="Times New Roman" w:cs="Times New Roman"/>
          <w:sz w:val="24"/>
          <w:szCs w:val="24"/>
        </w:rPr>
        <w:t xml:space="preserve"> data is </w:t>
      </w:r>
      <w:r w:rsidR="00033865">
        <w:rPr>
          <w:rFonts w:ascii="Times New Roman" w:hAnsi="Times New Roman" w:cs="Times New Roman"/>
          <w:sz w:val="24"/>
          <w:szCs w:val="24"/>
        </w:rPr>
        <w:t>equal to</w:t>
      </w:r>
      <w:r w:rsidR="00C41484">
        <w:rPr>
          <w:rFonts w:ascii="Times New Roman" w:hAnsi="Times New Roman" w:cs="Times New Roman"/>
          <w:sz w:val="24"/>
          <w:szCs w:val="24"/>
        </w:rPr>
        <w:t xml:space="preserve"> or above </w:t>
      </w:r>
      <w:r w:rsidR="00BB1F86">
        <w:rPr>
          <w:rFonts w:ascii="Times New Roman" w:hAnsi="Times New Roman" w:cs="Times New Roman"/>
          <w:sz w:val="24"/>
          <w:szCs w:val="24"/>
        </w:rPr>
        <w:t>50</w:t>
      </w:r>
      <w:r w:rsidR="00512789">
        <w:rPr>
          <w:rFonts w:ascii="Times New Roman" w:hAnsi="Times New Roman" w:cs="Times New Roman"/>
          <w:sz w:val="24"/>
          <w:szCs w:val="24"/>
        </w:rPr>
        <w:t xml:space="preserve"> percent</w:t>
      </w:r>
      <w:r w:rsidR="00C41484">
        <w:rPr>
          <w:rFonts w:ascii="Times New Roman" w:hAnsi="Times New Roman" w:cs="Times New Roman"/>
          <w:sz w:val="24"/>
          <w:szCs w:val="24"/>
        </w:rPr>
        <w:t xml:space="preserve"> of </w:t>
      </w:r>
      <w:r w:rsidR="00BB1F86">
        <w:rPr>
          <w:rFonts w:ascii="Times New Roman" w:hAnsi="Times New Roman" w:cs="Times New Roman"/>
          <w:sz w:val="24"/>
          <w:szCs w:val="24"/>
        </w:rPr>
        <w:t>its</w:t>
      </w:r>
      <w:r w:rsidR="00C41484">
        <w:rPr>
          <w:rFonts w:ascii="Times New Roman" w:hAnsi="Times New Roman" w:cs="Times New Roman"/>
          <w:sz w:val="24"/>
          <w:szCs w:val="24"/>
        </w:rPr>
        <w:t xml:space="preserve"> total market capitalization</w:t>
      </w:r>
      <w:r w:rsidR="00AF24F2">
        <w:rPr>
          <w:rStyle w:val="FootnoteReference"/>
          <w:rFonts w:ascii="Times New Roman" w:hAnsi="Times New Roman" w:cs="Times New Roman"/>
          <w:sz w:val="24"/>
          <w:szCs w:val="24"/>
        </w:rPr>
        <w:footnoteReference w:id="3"/>
      </w:r>
      <w:r w:rsidR="00C41484">
        <w:rPr>
          <w:rFonts w:ascii="Times New Roman" w:hAnsi="Times New Roman" w:cs="Times New Roman"/>
          <w:sz w:val="24"/>
          <w:szCs w:val="24"/>
        </w:rPr>
        <w:t xml:space="preserve">. </w:t>
      </w:r>
      <w:r w:rsidR="00033865">
        <w:rPr>
          <w:rFonts w:ascii="Times New Roman" w:hAnsi="Times New Roman" w:cs="Times New Roman"/>
          <w:sz w:val="24"/>
          <w:szCs w:val="24"/>
        </w:rPr>
        <w:t xml:space="preserve">This gives us a final sample of </w:t>
      </w:r>
      <w:r w:rsidR="00BB1F86">
        <w:rPr>
          <w:rFonts w:ascii="Times New Roman" w:hAnsi="Times New Roman" w:cs="Times New Roman"/>
          <w:sz w:val="24"/>
          <w:szCs w:val="24"/>
        </w:rPr>
        <w:t xml:space="preserve">3301 firms in </w:t>
      </w:r>
      <w:r w:rsidR="00033865">
        <w:rPr>
          <w:rFonts w:ascii="Times New Roman" w:hAnsi="Times New Roman" w:cs="Times New Roman"/>
          <w:sz w:val="24"/>
          <w:szCs w:val="24"/>
        </w:rPr>
        <w:t>4</w:t>
      </w:r>
      <w:r w:rsidR="00274D8A">
        <w:rPr>
          <w:rFonts w:ascii="Times New Roman" w:hAnsi="Times New Roman" w:cs="Times New Roman"/>
          <w:sz w:val="24"/>
          <w:szCs w:val="24"/>
        </w:rPr>
        <w:t>3</w:t>
      </w:r>
      <w:r w:rsidR="00033865">
        <w:rPr>
          <w:rFonts w:ascii="Times New Roman" w:hAnsi="Times New Roman" w:cs="Times New Roman"/>
          <w:sz w:val="24"/>
          <w:szCs w:val="24"/>
        </w:rPr>
        <w:t xml:space="preserve"> </w:t>
      </w:r>
      <w:r w:rsidR="00615108">
        <w:rPr>
          <w:rFonts w:ascii="Times New Roman" w:hAnsi="Times New Roman" w:cs="Times New Roman"/>
          <w:sz w:val="24"/>
          <w:szCs w:val="24"/>
        </w:rPr>
        <w:t xml:space="preserve">countries and </w:t>
      </w:r>
      <w:r w:rsidR="00033865">
        <w:rPr>
          <w:rFonts w:ascii="Times New Roman" w:hAnsi="Times New Roman" w:cs="Times New Roman"/>
          <w:sz w:val="24"/>
          <w:szCs w:val="24"/>
        </w:rPr>
        <w:t xml:space="preserve">territories representing different regions around the world (see </w:t>
      </w:r>
      <w:r w:rsidR="00033865" w:rsidRPr="00256D45">
        <w:rPr>
          <w:rFonts w:ascii="Times New Roman" w:hAnsi="Times New Roman" w:cs="Times New Roman"/>
          <w:sz w:val="24"/>
          <w:szCs w:val="24"/>
        </w:rPr>
        <w:t>Table 1</w:t>
      </w:r>
      <w:r w:rsidR="00033865">
        <w:rPr>
          <w:rFonts w:ascii="Times New Roman" w:hAnsi="Times New Roman" w:cs="Times New Roman"/>
          <w:sz w:val="24"/>
          <w:szCs w:val="24"/>
        </w:rPr>
        <w:t xml:space="preserve">). </w:t>
      </w:r>
      <w:r w:rsidR="00BB1F86" w:rsidRPr="00256D45">
        <w:rPr>
          <w:rFonts w:ascii="Times New Roman" w:hAnsi="Times New Roman" w:cs="Times New Roman"/>
          <w:sz w:val="24"/>
          <w:szCs w:val="24"/>
        </w:rPr>
        <w:t>Table 1</w:t>
      </w:r>
      <w:r w:rsidR="00BB1F86" w:rsidRPr="00BB1F86">
        <w:rPr>
          <w:rFonts w:ascii="Times New Roman" w:hAnsi="Times New Roman" w:cs="Times New Roman"/>
          <w:i/>
          <w:iCs/>
          <w:sz w:val="24"/>
          <w:szCs w:val="24"/>
        </w:rPr>
        <w:t xml:space="preserve"> </w:t>
      </w:r>
      <w:r w:rsidR="00BB1F86">
        <w:rPr>
          <w:rFonts w:ascii="Times New Roman" w:hAnsi="Times New Roman" w:cs="Times New Roman"/>
          <w:sz w:val="24"/>
          <w:szCs w:val="24"/>
        </w:rPr>
        <w:t>provides more information about the countries covered in our study (</w:t>
      </w:r>
      <w:r w:rsidR="00512789">
        <w:rPr>
          <w:rFonts w:ascii="Times New Roman" w:hAnsi="Times New Roman" w:cs="Times New Roman"/>
          <w:sz w:val="24"/>
          <w:szCs w:val="24"/>
        </w:rPr>
        <w:t xml:space="preserve">for example, </w:t>
      </w:r>
      <w:r w:rsidR="00BB1F86">
        <w:rPr>
          <w:rFonts w:ascii="Times New Roman" w:hAnsi="Times New Roman" w:cs="Times New Roman"/>
          <w:sz w:val="24"/>
          <w:szCs w:val="24"/>
        </w:rPr>
        <w:t>l</w:t>
      </w:r>
      <w:r w:rsidR="00BB1F86" w:rsidRPr="00BB1F86">
        <w:rPr>
          <w:rFonts w:ascii="Times New Roman" w:hAnsi="Times New Roman" w:cs="Times New Roman"/>
          <w:sz w:val="24"/>
          <w:szCs w:val="24"/>
        </w:rPr>
        <w:t>egal family</w:t>
      </w:r>
      <w:r w:rsidR="00BB1F86">
        <w:rPr>
          <w:rFonts w:ascii="Times New Roman" w:hAnsi="Times New Roman" w:cs="Times New Roman"/>
          <w:sz w:val="24"/>
          <w:szCs w:val="24"/>
        </w:rPr>
        <w:t>, p</w:t>
      </w:r>
      <w:r w:rsidR="00BB1F86" w:rsidRPr="00BB1F86">
        <w:rPr>
          <w:rFonts w:ascii="Times New Roman" w:hAnsi="Times New Roman" w:cs="Times New Roman"/>
          <w:sz w:val="24"/>
          <w:szCs w:val="24"/>
        </w:rPr>
        <w:t>redominant religion</w:t>
      </w:r>
      <w:r w:rsidR="00BB1F86">
        <w:rPr>
          <w:rFonts w:ascii="Times New Roman" w:hAnsi="Times New Roman" w:cs="Times New Roman"/>
          <w:sz w:val="24"/>
          <w:szCs w:val="24"/>
        </w:rPr>
        <w:t>, average governance index, f</w:t>
      </w:r>
      <w:r w:rsidR="00BB1F86" w:rsidRPr="00BB1F86">
        <w:rPr>
          <w:rFonts w:ascii="Times New Roman" w:hAnsi="Times New Roman" w:cs="Times New Roman"/>
          <w:sz w:val="24"/>
          <w:szCs w:val="24"/>
        </w:rPr>
        <w:t xml:space="preserve">inancial </w:t>
      </w:r>
      <w:r w:rsidR="00BB1F86">
        <w:rPr>
          <w:rFonts w:ascii="Times New Roman" w:hAnsi="Times New Roman" w:cs="Times New Roman"/>
          <w:sz w:val="24"/>
          <w:szCs w:val="24"/>
        </w:rPr>
        <w:t>d</w:t>
      </w:r>
      <w:r w:rsidR="00BB1F86" w:rsidRPr="00BB1F86">
        <w:rPr>
          <w:rFonts w:ascii="Times New Roman" w:hAnsi="Times New Roman" w:cs="Times New Roman"/>
          <w:sz w:val="24"/>
          <w:szCs w:val="24"/>
        </w:rPr>
        <w:t>evelopment index</w:t>
      </w:r>
      <w:r w:rsidR="00BB1F86">
        <w:rPr>
          <w:rFonts w:ascii="Times New Roman" w:hAnsi="Times New Roman" w:cs="Times New Roman"/>
          <w:sz w:val="24"/>
          <w:szCs w:val="24"/>
        </w:rPr>
        <w:t xml:space="preserve"> and i</w:t>
      </w:r>
      <w:r w:rsidR="00BB1F86" w:rsidRPr="00BB1F86">
        <w:rPr>
          <w:rFonts w:ascii="Times New Roman" w:hAnsi="Times New Roman" w:cs="Times New Roman"/>
          <w:sz w:val="24"/>
          <w:szCs w:val="24"/>
        </w:rPr>
        <w:t>ncome group</w:t>
      </w:r>
      <w:r w:rsidR="00BB1F86">
        <w:rPr>
          <w:rFonts w:ascii="Times New Roman" w:hAnsi="Times New Roman" w:cs="Times New Roman"/>
          <w:sz w:val="24"/>
          <w:szCs w:val="24"/>
        </w:rPr>
        <w:t>), and the number of firms in each country. Our sample is dominated by countries with high income and civil law systems, while most of the countries in our sample have Christianity as the predominant religion.</w:t>
      </w:r>
    </w:p>
    <w:p w14:paraId="6706A1E6" w14:textId="77777777" w:rsidR="00E11F2A" w:rsidRDefault="00E11F2A" w:rsidP="00BF2605">
      <w:pPr>
        <w:keepNext/>
        <w:tabs>
          <w:tab w:val="left" w:pos="426"/>
        </w:tabs>
        <w:spacing w:after="0" w:line="288" w:lineRule="auto"/>
        <w:jc w:val="both"/>
        <w:rPr>
          <w:rFonts w:ascii="Times New Roman" w:hAnsi="Times New Roman" w:cs="Times New Roman"/>
          <w:sz w:val="24"/>
          <w:szCs w:val="24"/>
        </w:rPr>
      </w:pPr>
    </w:p>
    <w:p w14:paraId="5EDE4089" w14:textId="13B949A5" w:rsidR="00BB1F86" w:rsidRDefault="00E11F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B1F86">
        <w:rPr>
          <w:rFonts w:ascii="Times New Roman" w:hAnsi="Times New Roman" w:cs="Times New Roman"/>
          <w:sz w:val="24"/>
          <w:szCs w:val="24"/>
        </w:rPr>
        <w:t>We source the data needed to construct our country-level indices (</w:t>
      </w:r>
      <w:r w:rsidR="00F27C61">
        <w:rPr>
          <w:rFonts w:ascii="Times New Roman" w:hAnsi="Times New Roman" w:cs="Times New Roman"/>
          <w:sz w:val="24"/>
          <w:szCs w:val="24"/>
        </w:rPr>
        <w:t>that is,</w:t>
      </w:r>
      <w:r w:rsidR="00BB1F86">
        <w:rPr>
          <w:rFonts w:ascii="Times New Roman" w:hAnsi="Times New Roman" w:cs="Times New Roman"/>
          <w:sz w:val="24"/>
          <w:szCs w:val="24"/>
        </w:rPr>
        <w:t xml:space="preserve"> the rule of law, media freedom, social and cultural development, and market competition) from different public sources such as the World Economic Forum, World Justice Project and Freedom House. We explain the construction of these variables in </w:t>
      </w:r>
      <w:r w:rsidR="00BB1F86" w:rsidRPr="00E11F2A">
        <w:rPr>
          <w:rFonts w:ascii="Times New Roman" w:hAnsi="Times New Roman" w:cs="Times New Roman"/>
          <w:sz w:val="24"/>
          <w:szCs w:val="24"/>
        </w:rPr>
        <w:t>Appendix II.</w:t>
      </w:r>
    </w:p>
    <w:p w14:paraId="4DEA8BC1" w14:textId="598E1A8F" w:rsidR="00256D45" w:rsidRDefault="00256D45">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980" w:type="dxa"/>
        <w:jc w:val="center"/>
        <w:tblLayout w:type="fixed"/>
        <w:tblLook w:val="04A0" w:firstRow="1" w:lastRow="0" w:firstColumn="1" w:lastColumn="0" w:noHBand="0" w:noVBand="1"/>
      </w:tblPr>
      <w:tblGrid>
        <w:gridCol w:w="2250"/>
        <w:gridCol w:w="1080"/>
        <w:gridCol w:w="1530"/>
        <w:gridCol w:w="1440"/>
        <w:gridCol w:w="1530"/>
        <w:gridCol w:w="810"/>
        <w:gridCol w:w="2315"/>
        <w:gridCol w:w="25"/>
      </w:tblGrid>
      <w:tr w:rsidR="00256D45" w:rsidRPr="00ED510B" w14:paraId="2DF9161F" w14:textId="77777777" w:rsidTr="008A71E8">
        <w:trPr>
          <w:gridAfter w:val="1"/>
          <w:wAfter w:w="25" w:type="dxa"/>
          <w:jc w:val="center"/>
        </w:trPr>
        <w:tc>
          <w:tcPr>
            <w:tcW w:w="10955" w:type="dxa"/>
            <w:gridSpan w:val="7"/>
            <w:tcBorders>
              <w:top w:val="nil"/>
              <w:left w:val="nil"/>
              <w:bottom w:val="single" w:sz="8" w:space="0" w:color="auto"/>
              <w:right w:val="nil"/>
            </w:tcBorders>
            <w:vAlign w:val="center"/>
          </w:tcPr>
          <w:p w14:paraId="5BBF75B8" w14:textId="77777777" w:rsidR="00256D45" w:rsidRPr="00ED510B" w:rsidRDefault="00256D45" w:rsidP="008A71E8">
            <w:pPr>
              <w:tabs>
                <w:tab w:val="left" w:pos="426"/>
              </w:tabs>
              <w:jc w:val="center"/>
              <w:rPr>
                <w:rFonts w:asciiTheme="majorBidi" w:hAnsiTheme="majorBidi" w:cstheme="majorBidi"/>
                <w:b/>
                <w:bCs/>
                <w:color w:val="000000"/>
                <w:sz w:val="24"/>
                <w:szCs w:val="24"/>
              </w:rPr>
            </w:pPr>
            <w:r w:rsidRPr="00ED510B">
              <w:rPr>
                <w:rFonts w:asciiTheme="majorBidi" w:hAnsiTheme="majorBidi" w:cstheme="majorBidi"/>
                <w:b/>
                <w:bCs/>
                <w:color w:val="000000"/>
              </w:rPr>
              <w:lastRenderedPageBreak/>
              <w:t>Table 1: Sample Characteristics</w:t>
            </w:r>
          </w:p>
          <w:p w14:paraId="5B13F087" w14:textId="77777777" w:rsidR="00256D45" w:rsidRPr="00ED510B" w:rsidRDefault="00256D45" w:rsidP="008A71E8">
            <w:pPr>
              <w:tabs>
                <w:tab w:val="left" w:pos="426"/>
              </w:tabs>
              <w:jc w:val="both"/>
              <w:rPr>
                <w:rFonts w:asciiTheme="majorBidi" w:hAnsiTheme="majorBidi" w:cstheme="majorBidi"/>
                <w:color w:val="000000"/>
                <w:sz w:val="20"/>
                <w:szCs w:val="20"/>
              </w:rPr>
            </w:pPr>
            <w:r w:rsidRPr="00ED510B">
              <w:rPr>
                <w:rFonts w:asciiTheme="majorBidi" w:hAnsiTheme="majorBidi" w:cstheme="majorBidi"/>
                <w:color w:val="000000"/>
                <w:sz w:val="20"/>
                <w:szCs w:val="20"/>
              </w:rPr>
              <w:t>The table shows the main characteristics of the countries covered in this study. The legal family indicator is based on the origin of the legal system in the country, whereas the predominant religion classification reflects the most followed religion in it based on the CIA World Factbook. The governance index column shows the average governance score for all the firms in our sample within the particular country (for 2017). The financial development index is based on the 2017 financial development score provided by the Global Competitiveness Index (GCI) report. The number of firms column shows the total number of firms in the country that have been included in our sample. The income group is based on the World Bank’s 2017 classification of countries and territories.</w:t>
            </w:r>
          </w:p>
          <w:p w14:paraId="26FF5F55" w14:textId="77777777" w:rsidR="00256D45" w:rsidRPr="00ED510B" w:rsidRDefault="00256D45" w:rsidP="008A71E8">
            <w:pPr>
              <w:tabs>
                <w:tab w:val="left" w:pos="426"/>
              </w:tabs>
              <w:jc w:val="center"/>
              <w:rPr>
                <w:rFonts w:asciiTheme="majorBidi" w:hAnsiTheme="majorBidi" w:cstheme="majorBidi"/>
                <w:color w:val="000000"/>
                <w:sz w:val="16"/>
                <w:szCs w:val="16"/>
              </w:rPr>
            </w:pPr>
          </w:p>
        </w:tc>
      </w:tr>
      <w:tr w:rsidR="00256D45" w:rsidRPr="00ED510B" w14:paraId="2098B6DE" w14:textId="77777777" w:rsidTr="008A71E8">
        <w:trPr>
          <w:jc w:val="center"/>
        </w:trPr>
        <w:tc>
          <w:tcPr>
            <w:tcW w:w="2250" w:type="dxa"/>
            <w:tcBorders>
              <w:top w:val="single" w:sz="8" w:space="0" w:color="auto"/>
              <w:left w:val="nil"/>
              <w:bottom w:val="single" w:sz="12" w:space="0" w:color="auto"/>
              <w:right w:val="nil"/>
            </w:tcBorders>
            <w:vAlign w:val="center"/>
          </w:tcPr>
          <w:p w14:paraId="47D27FB9" w14:textId="77777777" w:rsidR="00256D45" w:rsidRPr="00ED510B" w:rsidRDefault="00256D45" w:rsidP="008A71E8">
            <w:pPr>
              <w:tabs>
                <w:tab w:val="left" w:pos="426"/>
              </w:tabs>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Country</w:t>
            </w:r>
          </w:p>
        </w:tc>
        <w:tc>
          <w:tcPr>
            <w:tcW w:w="1080" w:type="dxa"/>
            <w:tcBorders>
              <w:top w:val="single" w:sz="8" w:space="0" w:color="auto"/>
              <w:left w:val="nil"/>
              <w:bottom w:val="single" w:sz="12" w:space="0" w:color="auto"/>
              <w:right w:val="nil"/>
            </w:tcBorders>
            <w:vAlign w:val="center"/>
          </w:tcPr>
          <w:p w14:paraId="717ABB97"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Legal family</w:t>
            </w:r>
          </w:p>
        </w:tc>
        <w:tc>
          <w:tcPr>
            <w:tcW w:w="1530" w:type="dxa"/>
            <w:tcBorders>
              <w:top w:val="single" w:sz="8" w:space="0" w:color="auto"/>
              <w:left w:val="nil"/>
              <w:bottom w:val="single" w:sz="12" w:space="0" w:color="auto"/>
              <w:right w:val="nil"/>
            </w:tcBorders>
            <w:vAlign w:val="center"/>
          </w:tcPr>
          <w:p w14:paraId="0C7B7277"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Predominant religion</w:t>
            </w:r>
          </w:p>
        </w:tc>
        <w:tc>
          <w:tcPr>
            <w:tcW w:w="1440" w:type="dxa"/>
            <w:tcBorders>
              <w:top w:val="single" w:sz="8" w:space="0" w:color="auto"/>
              <w:left w:val="nil"/>
              <w:bottom w:val="single" w:sz="12" w:space="0" w:color="auto"/>
              <w:right w:val="nil"/>
            </w:tcBorders>
            <w:vAlign w:val="center"/>
          </w:tcPr>
          <w:p w14:paraId="76E2F434"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Governance index</w:t>
            </w:r>
          </w:p>
        </w:tc>
        <w:tc>
          <w:tcPr>
            <w:tcW w:w="1530" w:type="dxa"/>
            <w:tcBorders>
              <w:top w:val="single" w:sz="8" w:space="0" w:color="auto"/>
              <w:left w:val="nil"/>
              <w:bottom w:val="single" w:sz="12" w:space="0" w:color="auto"/>
              <w:right w:val="nil"/>
            </w:tcBorders>
            <w:vAlign w:val="center"/>
          </w:tcPr>
          <w:p w14:paraId="7BBF58D6"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Financial Development index</w:t>
            </w:r>
          </w:p>
        </w:tc>
        <w:tc>
          <w:tcPr>
            <w:tcW w:w="810" w:type="dxa"/>
            <w:tcBorders>
              <w:top w:val="single" w:sz="8" w:space="0" w:color="auto"/>
              <w:left w:val="nil"/>
              <w:bottom w:val="single" w:sz="12" w:space="0" w:color="auto"/>
              <w:right w:val="nil"/>
            </w:tcBorders>
            <w:vAlign w:val="center"/>
          </w:tcPr>
          <w:p w14:paraId="76C003F2"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No. of firms</w:t>
            </w:r>
          </w:p>
        </w:tc>
        <w:tc>
          <w:tcPr>
            <w:tcW w:w="2340" w:type="dxa"/>
            <w:gridSpan w:val="2"/>
            <w:tcBorders>
              <w:top w:val="nil"/>
              <w:left w:val="nil"/>
              <w:bottom w:val="single" w:sz="12" w:space="0" w:color="auto"/>
              <w:right w:val="nil"/>
            </w:tcBorders>
            <w:vAlign w:val="center"/>
          </w:tcPr>
          <w:p w14:paraId="3F646502"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 xml:space="preserve">Income </w:t>
            </w:r>
          </w:p>
          <w:p w14:paraId="0983CE94" w14:textId="77777777" w:rsidR="00256D45" w:rsidRPr="00ED510B" w:rsidRDefault="00256D45" w:rsidP="008A71E8">
            <w:pPr>
              <w:tabs>
                <w:tab w:val="left" w:pos="426"/>
              </w:tabs>
              <w:jc w:val="center"/>
              <w:rPr>
                <w:rFonts w:asciiTheme="majorBidi" w:hAnsiTheme="majorBidi" w:cstheme="majorBidi"/>
                <w:b/>
                <w:bCs/>
                <w:color w:val="000000"/>
                <w:sz w:val="20"/>
                <w:szCs w:val="20"/>
              </w:rPr>
            </w:pPr>
            <w:r w:rsidRPr="00ED510B">
              <w:rPr>
                <w:rFonts w:asciiTheme="majorBidi" w:hAnsiTheme="majorBidi" w:cstheme="majorBidi"/>
                <w:b/>
                <w:bCs/>
                <w:color w:val="000000"/>
                <w:sz w:val="20"/>
                <w:szCs w:val="20"/>
              </w:rPr>
              <w:t>Group</w:t>
            </w:r>
          </w:p>
        </w:tc>
      </w:tr>
      <w:tr w:rsidR="00256D45" w:rsidRPr="00ED510B" w14:paraId="0C10ACCD" w14:textId="77777777" w:rsidTr="008A71E8">
        <w:trPr>
          <w:jc w:val="center"/>
        </w:trPr>
        <w:tc>
          <w:tcPr>
            <w:tcW w:w="2250" w:type="dxa"/>
            <w:tcBorders>
              <w:top w:val="single" w:sz="12" w:space="0" w:color="auto"/>
              <w:left w:val="nil"/>
              <w:bottom w:val="nil"/>
              <w:right w:val="nil"/>
            </w:tcBorders>
          </w:tcPr>
          <w:p w14:paraId="1DAC37D8"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Australia</w:t>
            </w:r>
          </w:p>
        </w:tc>
        <w:tc>
          <w:tcPr>
            <w:tcW w:w="1080" w:type="dxa"/>
            <w:tcBorders>
              <w:top w:val="single" w:sz="12" w:space="0" w:color="auto"/>
              <w:left w:val="nil"/>
              <w:bottom w:val="nil"/>
              <w:right w:val="nil"/>
            </w:tcBorders>
          </w:tcPr>
          <w:p w14:paraId="72E7211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single" w:sz="12" w:space="0" w:color="auto"/>
              <w:left w:val="nil"/>
              <w:bottom w:val="nil"/>
              <w:right w:val="nil"/>
            </w:tcBorders>
          </w:tcPr>
          <w:p w14:paraId="27EDAEC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single" w:sz="12" w:space="0" w:color="auto"/>
              <w:left w:val="nil"/>
              <w:bottom w:val="nil"/>
              <w:right w:val="nil"/>
            </w:tcBorders>
          </w:tcPr>
          <w:p w14:paraId="6457A58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72.96</w:t>
            </w:r>
          </w:p>
        </w:tc>
        <w:tc>
          <w:tcPr>
            <w:tcW w:w="1530" w:type="dxa"/>
            <w:tcBorders>
              <w:top w:val="single" w:sz="12" w:space="0" w:color="auto"/>
              <w:left w:val="nil"/>
              <w:bottom w:val="nil"/>
              <w:right w:val="nil"/>
            </w:tcBorders>
          </w:tcPr>
          <w:p w14:paraId="1176B2B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1.31</w:t>
            </w:r>
          </w:p>
        </w:tc>
        <w:tc>
          <w:tcPr>
            <w:tcW w:w="810" w:type="dxa"/>
            <w:tcBorders>
              <w:top w:val="single" w:sz="12" w:space="0" w:color="auto"/>
              <w:left w:val="nil"/>
              <w:bottom w:val="nil"/>
              <w:right w:val="nil"/>
            </w:tcBorders>
          </w:tcPr>
          <w:p w14:paraId="11B3F66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346</w:t>
            </w:r>
          </w:p>
        </w:tc>
        <w:tc>
          <w:tcPr>
            <w:tcW w:w="2340" w:type="dxa"/>
            <w:gridSpan w:val="2"/>
            <w:tcBorders>
              <w:top w:val="single" w:sz="12" w:space="0" w:color="auto"/>
              <w:left w:val="nil"/>
              <w:bottom w:val="nil"/>
              <w:right w:val="nil"/>
            </w:tcBorders>
          </w:tcPr>
          <w:p w14:paraId="4001471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33DA24EF" w14:textId="77777777" w:rsidTr="008A71E8">
        <w:trPr>
          <w:jc w:val="center"/>
        </w:trPr>
        <w:tc>
          <w:tcPr>
            <w:tcW w:w="2250" w:type="dxa"/>
            <w:tcBorders>
              <w:top w:val="nil"/>
              <w:left w:val="nil"/>
              <w:bottom w:val="nil"/>
              <w:right w:val="nil"/>
            </w:tcBorders>
          </w:tcPr>
          <w:p w14:paraId="76C1E27A"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Austria</w:t>
            </w:r>
          </w:p>
        </w:tc>
        <w:tc>
          <w:tcPr>
            <w:tcW w:w="1080" w:type="dxa"/>
            <w:tcBorders>
              <w:top w:val="nil"/>
              <w:left w:val="nil"/>
              <w:bottom w:val="nil"/>
              <w:right w:val="nil"/>
            </w:tcBorders>
          </w:tcPr>
          <w:p w14:paraId="071A506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178ADFB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5B59C6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59.39</w:t>
            </w:r>
          </w:p>
        </w:tc>
        <w:tc>
          <w:tcPr>
            <w:tcW w:w="1530" w:type="dxa"/>
            <w:tcBorders>
              <w:top w:val="nil"/>
              <w:left w:val="nil"/>
              <w:bottom w:val="nil"/>
              <w:right w:val="nil"/>
            </w:tcBorders>
          </w:tcPr>
          <w:p w14:paraId="633E710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-0.75</w:t>
            </w:r>
          </w:p>
        </w:tc>
        <w:tc>
          <w:tcPr>
            <w:tcW w:w="810" w:type="dxa"/>
            <w:tcBorders>
              <w:top w:val="nil"/>
              <w:left w:val="nil"/>
              <w:bottom w:val="nil"/>
              <w:right w:val="nil"/>
            </w:tcBorders>
          </w:tcPr>
          <w:p w14:paraId="6D83610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16</w:t>
            </w:r>
          </w:p>
        </w:tc>
        <w:tc>
          <w:tcPr>
            <w:tcW w:w="2340" w:type="dxa"/>
            <w:gridSpan w:val="2"/>
            <w:tcBorders>
              <w:top w:val="nil"/>
              <w:left w:val="nil"/>
              <w:bottom w:val="nil"/>
              <w:right w:val="nil"/>
            </w:tcBorders>
          </w:tcPr>
          <w:p w14:paraId="642D2B1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46AA0218" w14:textId="77777777" w:rsidTr="008A71E8">
        <w:trPr>
          <w:jc w:val="center"/>
        </w:trPr>
        <w:tc>
          <w:tcPr>
            <w:tcW w:w="2250" w:type="dxa"/>
            <w:tcBorders>
              <w:top w:val="nil"/>
              <w:left w:val="nil"/>
              <w:bottom w:val="nil"/>
              <w:right w:val="nil"/>
            </w:tcBorders>
          </w:tcPr>
          <w:p w14:paraId="52C7C508"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Belgium</w:t>
            </w:r>
          </w:p>
        </w:tc>
        <w:tc>
          <w:tcPr>
            <w:tcW w:w="1080" w:type="dxa"/>
            <w:tcBorders>
              <w:top w:val="nil"/>
              <w:left w:val="nil"/>
              <w:bottom w:val="nil"/>
              <w:right w:val="nil"/>
            </w:tcBorders>
          </w:tcPr>
          <w:p w14:paraId="54DEA67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7CA3EB0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377D662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63.36</w:t>
            </w:r>
          </w:p>
        </w:tc>
        <w:tc>
          <w:tcPr>
            <w:tcW w:w="1530" w:type="dxa"/>
            <w:tcBorders>
              <w:top w:val="nil"/>
              <w:left w:val="nil"/>
              <w:bottom w:val="nil"/>
              <w:right w:val="nil"/>
            </w:tcBorders>
          </w:tcPr>
          <w:p w14:paraId="60C4DFE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0.43</w:t>
            </w:r>
          </w:p>
        </w:tc>
        <w:tc>
          <w:tcPr>
            <w:tcW w:w="810" w:type="dxa"/>
            <w:tcBorders>
              <w:top w:val="nil"/>
              <w:left w:val="nil"/>
              <w:bottom w:val="nil"/>
              <w:right w:val="nil"/>
            </w:tcBorders>
          </w:tcPr>
          <w:p w14:paraId="7BCF674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25</w:t>
            </w:r>
          </w:p>
        </w:tc>
        <w:tc>
          <w:tcPr>
            <w:tcW w:w="2340" w:type="dxa"/>
            <w:gridSpan w:val="2"/>
            <w:tcBorders>
              <w:top w:val="nil"/>
              <w:left w:val="nil"/>
              <w:bottom w:val="nil"/>
              <w:right w:val="nil"/>
            </w:tcBorders>
          </w:tcPr>
          <w:p w14:paraId="5EBAFDD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2B8196E1" w14:textId="77777777" w:rsidTr="008A71E8">
        <w:trPr>
          <w:jc w:val="center"/>
        </w:trPr>
        <w:tc>
          <w:tcPr>
            <w:tcW w:w="2250" w:type="dxa"/>
            <w:tcBorders>
              <w:top w:val="nil"/>
              <w:left w:val="nil"/>
              <w:bottom w:val="nil"/>
              <w:right w:val="nil"/>
            </w:tcBorders>
          </w:tcPr>
          <w:p w14:paraId="031F2166"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Brazil</w:t>
            </w:r>
          </w:p>
        </w:tc>
        <w:tc>
          <w:tcPr>
            <w:tcW w:w="1080" w:type="dxa"/>
            <w:tcBorders>
              <w:top w:val="nil"/>
              <w:left w:val="nil"/>
              <w:bottom w:val="nil"/>
              <w:right w:val="nil"/>
            </w:tcBorders>
          </w:tcPr>
          <w:p w14:paraId="5C50EEE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27E97A7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30B3B2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52.84</w:t>
            </w:r>
          </w:p>
        </w:tc>
        <w:tc>
          <w:tcPr>
            <w:tcW w:w="1530" w:type="dxa"/>
            <w:tcBorders>
              <w:top w:val="nil"/>
              <w:left w:val="nil"/>
              <w:bottom w:val="nil"/>
              <w:right w:val="nil"/>
            </w:tcBorders>
          </w:tcPr>
          <w:p w14:paraId="20EA56C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-1.12</w:t>
            </w:r>
          </w:p>
        </w:tc>
        <w:tc>
          <w:tcPr>
            <w:tcW w:w="810" w:type="dxa"/>
            <w:tcBorders>
              <w:top w:val="nil"/>
              <w:left w:val="nil"/>
              <w:bottom w:val="nil"/>
              <w:right w:val="nil"/>
            </w:tcBorders>
          </w:tcPr>
          <w:p w14:paraId="590F44C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85</w:t>
            </w:r>
          </w:p>
        </w:tc>
        <w:tc>
          <w:tcPr>
            <w:tcW w:w="2340" w:type="dxa"/>
            <w:gridSpan w:val="2"/>
            <w:tcBorders>
              <w:top w:val="nil"/>
              <w:left w:val="nil"/>
              <w:bottom w:val="nil"/>
              <w:right w:val="nil"/>
            </w:tcBorders>
          </w:tcPr>
          <w:p w14:paraId="39CDE97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4C358DFD" w14:textId="77777777" w:rsidTr="008A71E8">
        <w:trPr>
          <w:jc w:val="center"/>
        </w:trPr>
        <w:tc>
          <w:tcPr>
            <w:tcW w:w="2250" w:type="dxa"/>
            <w:tcBorders>
              <w:top w:val="nil"/>
              <w:left w:val="nil"/>
              <w:bottom w:val="nil"/>
              <w:right w:val="nil"/>
            </w:tcBorders>
          </w:tcPr>
          <w:p w14:paraId="2585EEC3"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Canada</w:t>
            </w:r>
          </w:p>
        </w:tc>
        <w:tc>
          <w:tcPr>
            <w:tcW w:w="1080" w:type="dxa"/>
            <w:tcBorders>
              <w:top w:val="nil"/>
              <w:left w:val="nil"/>
              <w:bottom w:val="nil"/>
              <w:right w:val="nil"/>
            </w:tcBorders>
          </w:tcPr>
          <w:p w14:paraId="1E256B1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1C89DFF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7061F0A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80.84</w:t>
            </w:r>
          </w:p>
        </w:tc>
        <w:tc>
          <w:tcPr>
            <w:tcW w:w="1530" w:type="dxa"/>
            <w:tcBorders>
              <w:top w:val="nil"/>
              <w:left w:val="nil"/>
              <w:bottom w:val="nil"/>
              <w:right w:val="nil"/>
            </w:tcBorders>
          </w:tcPr>
          <w:p w14:paraId="785B16E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2.63</w:t>
            </w:r>
          </w:p>
        </w:tc>
        <w:tc>
          <w:tcPr>
            <w:tcW w:w="810" w:type="dxa"/>
            <w:tcBorders>
              <w:top w:val="nil"/>
              <w:left w:val="nil"/>
              <w:bottom w:val="nil"/>
              <w:right w:val="nil"/>
            </w:tcBorders>
          </w:tcPr>
          <w:p w14:paraId="598A981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297</w:t>
            </w:r>
          </w:p>
        </w:tc>
        <w:tc>
          <w:tcPr>
            <w:tcW w:w="2340" w:type="dxa"/>
            <w:gridSpan w:val="2"/>
            <w:tcBorders>
              <w:top w:val="nil"/>
              <w:left w:val="nil"/>
              <w:bottom w:val="nil"/>
              <w:right w:val="nil"/>
            </w:tcBorders>
          </w:tcPr>
          <w:p w14:paraId="34F8E9F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631DC6B1" w14:textId="77777777" w:rsidTr="008A71E8">
        <w:trPr>
          <w:jc w:val="center"/>
        </w:trPr>
        <w:tc>
          <w:tcPr>
            <w:tcW w:w="2250" w:type="dxa"/>
            <w:tcBorders>
              <w:top w:val="nil"/>
              <w:left w:val="nil"/>
              <w:bottom w:val="nil"/>
              <w:right w:val="nil"/>
            </w:tcBorders>
          </w:tcPr>
          <w:p w14:paraId="3D94FF26"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Chile</w:t>
            </w:r>
          </w:p>
        </w:tc>
        <w:tc>
          <w:tcPr>
            <w:tcW w:w="1080" w:type="dxa"/>
            <w:tcBorders>
              <w:top w:val="nil"/>
              <w:left w:val="nil"/>
              <w:bottom w:val="nil"/>
              <w:right w:val="nil"/>
            </w:tcBorders>
          </w:tcPr>
          <w:p w14:paraId="180D1F4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4A75FC2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2B5631D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51.36</w:t>
            </w:r>
          </w:p>
        </w:tc>
        <w:tc>
          <w:tcPr>
            <w:tcW w:w="1530" w:type="dxa"/>
            <w:tcBorders>
              <w:top w:val="nil"/>
              <w:left w:val="nil"/>
              <w:bottom w:val="nil"/>
              <w:right w:val="nil"/>
            </w:tcBorders>
          </w:tcPr>
          <w:p w14:paraId="24C2D34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0.82</w:t>
            </w:r>
          </w:p>
        </w:tc>
        <w:tc>
          <w:tcPr>
            <w:tcW w:w="810" w:type="dxa"/>
            <w:tcBorders>
              <w:top w:val="nil"/>
              <w:left w:val="nil"/>
              <w:bottom w:val="nil"/>
              <w:right w:val="nil"/>
            </w:tcBorders>
          </w:tcPr>
          <w:p w14:paraId="612F4FC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22</w:t>
            </w:r>
          </w:p>
        </w:tc>
        <w:tc>
          <w:tcPr>
            <w:tcW w:w="2340" w:type="dxa"/>
            <w:gridSpan w:val="2"/>
            <w:tcBorders>
              <w:top w:val="nil"/>
              <w:left w:val="nil"/>
              <w:bottom w:val="nil"/>
              <w:right w:val="nil"/>
            </w:tcBorders>
          </w:tcPr>
          <w:p w14:paraId="6F13BBF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5FCA9E98" w14:textId="77777777" w:rsidTr="008A71E8">
        <w:trPr>
          <w:jc w:val="center"/>
        </w:trPr>
        <w:tc>
          <w:tcPr>
            <w:tcW w:w="2250" w:type="dxa"/>
            <w:tcBorders>
              <w:top w:val="nil"/>
              <w:left w:val="nil"/>
              <w:bottom w:val="nil"/>
              <w:right w:val="nil"/>
            </w:tcBorders>
          </w:tcPr>
          <w:p w14:paraId="085C72B5"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China</w:t>
            </w:r>
          </w:p>
        </w:tc>
        <w:tc>
          <w:tcPr>
            <w:tcW w:w="1080" w:type="dxa"/>
            <w:tcBorders>
              <w:top w:val="nil"/>
              <w:left w:val="nil"/>
              <w:bottom w:val="nil"/>
              <w:right w:val="nil"/>
            </w:tcBorders>
          </w:tcPr>
          <w:p w14:paraId="5DA94DA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431455C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Buddhism</w:t>
            </w:r>
          </w:p>
        </w:tc>
        <w:tc>
          <w:tcPr>
            <w:tcW w:w="1440" w:type="dxa"/>
            <w:tcBorders>
              <w:top w:val="nil"/>
              <w:left w:val="nil"/>
              <w:bottom w:val="nil"/>
              <w:right w:val="nil"/>
            </w:tcBorders>
          </w:tcPr>
          <w:p w14:paraId="7E2BC54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61.36</w:t>
            </w:r>
          </w:p>
        </w:tc>
        <w:tc>
          <w:tcPr>
            <w:tcW w:w="1530" w:type="dxa"/>
            <w:tcBorders>
              <w:top w:val="nil"/>
              <w:left w:val="nil"/>
              <w:bottom w:val="nil"/>
              <w:right w:val="nil"/>
            </w:tcBorders>
          </w:tcPr>
          <w:p w14:paraId="703B222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-1.19</w:t>
            </w:r>
          </w:p>
        </w:tc>
        <w:tc>
          <w:tcPr>
            <w:tcW w:w="810" w:type="dxa"/>
            <w:tcBorders>
              <w:top w:val="nil"/>
              <w:left w:val="nil"/>
              <w:bottom w:val="nil"/>
              <w:right w:val="nil"/>
            </w:tcBorders>
          </w:tcPr>
          <w:p w14:paraId="279A46C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92</w:t>
            </w:r>
          </w:p>
        </w:tc>
        <w:tc>
          <w:tcPr>
            <w:tcW w:w="2340" w:type="dxa"/>
            <w:gridSpan w:val="2"/>
            <w:tcBorders>
              <w:top w:val="nil"/>
              <w:left w:val="nil"/>
              <w:bottom w:val="nil"/>
              <w:right w:val="nil"/>
            </w:tcBorders>
          </w:tcPr>
          <w:p w14:paraId="6499151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1B255652" w14:textId="77777777" w:rsidTr="008A71E8">
        <w:trPr>
          <w:jc w:val="center"/>
        </w:trPr>
        <w:tc>
          <w:tcPr>
            <w:tcW w:w="2250" w:type="dxa"/>
            <w:tcBorders>
              <w:top w:val="nil"/>
              <w:left w:val="nil"/>
              <w:bottom w:val="nil"/>
              <w:right w:val="nil"/>
            </w:tcBorders>
          </w:tcPr>
          <w:p w14:paraId="7B33107F"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Czech Republic</w:t>
            </w:r>
          </w:p>
        </w:tc>
        <w:tc>
          <w:tcPr>
            <w:tcW w:w="1080" w:type="dxa"/>
            <w:tcBorders>
              <w:top w:val="nil"/>
              <w:left w:val="nil"/>
              <w:bottom w:val="nil"/>
              <w:right w:val="nil"/>
            </w:tcBorders>
          </w:tcPr>
          <w:p w14:paraId="710CCBD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12F448E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09C908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50.40</w:t>
            </w:r>
          </w:p>
        </w:tc>
        <w:tc>
          <w:tcPr>
            <w:tcW w:w="1530" w:type="dxa"/>
            <w:tcBorders>
              <w:top w:val="nil"/>
              <w:left w:val="nil"/>
              <w:bottom w:val="nil"/>
              <w:right w:val="nil"/>
            </w:tcBorders>
          </w:tcPr>
          <w:p w14:paraId="5160FB4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-0.25</w:t>
            </w:r>
          </w:p>
        </w:tc>
        <w:tc>
          <w:tcPr>
            <w:tcW w:w="810" w:type="dxa"/>
            <w:tcBorders>
              <w:top w:val="nil"/>
              <w:left w:val="nil"/>
              <w:bottom w:val="nil"/>
              <w:right w:val="nil"/>
            </w:tcBorders>
          </w:tcPr>
          <w:p w14:paraId="1095D9F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9</w:t>
            </w:r>
          </w:p>
        </w:tc>
        <w:tc>
          <w:tcPr>
            <w:tcW w:w="2340" w:type="dxa"/>
            <w:gridSpan w:val="2"/>
            <w:tcBorders>
              <w:top w:val="nil"/>
              <w:left w:val="nil"/>
              <w:bottom w:val="nil"/>
              <w:right w:val="nil"/>
            </w:tcBorders>
          </w:tcPr>
          <w:p w14:paraId="5FD8CC6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6B468457" w14:textId="77777777" w:rsidTr="008A71E8">
        <w:trPr>
          <w:jc w:val="center"/>
        </w:trPr>
        <w:tc>
          <w:tcPr>
            <w:tcW w:w="2250" w:type="dxa"/>
            <w:tcBorders>
              <w:top w:val="nil"/>
              <w:left w:val="nil"/>
              <w:bottom w:val="nil"/>
              <w:right w:val="nil"/>
            </w:tcBorders>
          </w:tcPr>
          <w:p w14:paraId="026D3A4B"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Denmark</w:t>
            </w:r>
          </w:p>
        </w:tc>
        <w:tc>
          <w:tcPr>
            <w:tcW w:w="1080" w:type="dxa"/>
            <w:tcBorders>
              <w:top w:val="nil"/>
              <w:left w:val="nil"/>
              <w:bottom w:val="nil"/>
              <w:right w:val="nil"/>
            </w:tcBorders>
          </w:tcPr>
          <w:p w14:paraId="3362130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5481E8B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16C8884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73.87</w:t>
            </w:r>
          </w:p>
        </w:tc>
        <w:tc>
          <w:tcPr>
            <w:tcW w:w="1530" w:type="dxa"/>
            <w:tcBorders>
              <w:top w:val="nil"/>
              <w:left w:val="nil"/>
              <w:bottom w:val="nil"/>
              <w:right w:val="nil"/>
            </w:tcBorders>
          </w:tcPr>
          <w:p w14:paraId="262195B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-0.34</w:t>
            </w:r>
          </w:p>
        </w:tc>
        <w:tc>
          <w:tcPr>
            <w:tcW w:w="810" w:type="dxa"/>
            <w:tcBorders>
              <w:top w:val="nil"/>
              <w:left w:val="nil"/>
              <w:bottom w:val="nil"/>
              <w:right w:val="nil"/>
            </w:tcBorders>
          </w:tcPr>
          <w:p w14:paraId="7179599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26</w:t>
            </w:r>
          </w:p>
        </w:tc>
        <w:tc>
          <w:tcPr>
            <w:tcW w:w="2340" w:type="dxa"/>
            <w:gridSpan w:val="2"/>
            <w:tcBorders>
              <w:top w:val="nil"/>
              <w:left w:val="nil"/>
              <w:bottom w:val="nil"/>
              <w:right w:val="nil"/>
            </w:tcBorders>
          </w:tcPr>
          <w:p w14:paraId="576F7E2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24034774" w14:textId="77777777" w:rsidTr="008A71E8">
        <w:trPr>
          <w:jc w:val="center"/>
        </w:trPr>
        <w:tc>
          <w:tcPr>
            <w:tcW w:w="2250" w:type="dxa"/>
            <w:tcBorders>
              <w:top w:val="nil"/>
              <w:left w:val="nil"/>
              <w:bottom w:val="nil"/>
              <w:right w:val="nil"/>
            </w:tcBorders>
          </w:tcPr>
          <w:p w14:paraId="0B4FDAF8"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Finland</w:t>
            </w:r>
          </w:p>
        </w:tc>
        <w:tc>
          <w:tcPr>
            <w:tcW w:w="1080" w:type="dxa"/>
            <w:tcBorders>
              <w:top w:val="nil"/>
              <w:left w:val="nil"/>
              <w:bottom w:val="nil"/>
              <w:right w:val="nil"/>
            </w:tcBorders>
          </w:tcPr>
          <w:p w14:paraId="11901C2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60950FF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51930E2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72.65</w:t>
            </w:r>
          </w:p>
        </w:tc>
        <w:tc>
          <w:tcPr>
            <w:tcW w:w="1530" w:type="dxa"/>
            <w:tcBorders>
              <w:top w:val="nil"/>
              <w:left w:val="nil"/>
              <w:bottom w:val="nil"/>
              <w:right w:val="nil"/>
            </w:tcBorders>
          </w:tcPr>
          <w:p w14:paraId="11923B8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3.00</w:t>
            </w:r>
          </w:p>
        </w:tc>
        <w:tc>
          <w:tcPr>
            <w:tcW w:w="810" w:type="dxa"/>
            <w:tcBorders>
              <w:top w:val="nil"/>
              <w:left w:val="nil"/>
              <w:bottom w:val="nil"/>
              <w:right w:val="nil"/>
            </w:tcBorders>
          </w:tcPr>
          <w:p w14:paraId="320218E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25</w:t>
            </w:r>
          </w:p>
        </w:tc>
        <w:tc>
          <w:tcPr>
            <w:tcW w:w="2340" w:type="dxa"/>
            <w:gridSpan w:val="2"/>
            <w:tcBorders>
              <w:top w:val="nil"/>
              <w:left w:val="nil"/>
              <w:bottom w:val="nil"/>
              <w:right w:val="nil"/>
            </w:tcBorders>
          </w:tcPr>
          <w:p w14:paraId="15817F7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749E6BC2" w14:textId="77777777" w:rsidTr="008A71E8">
        <w:trPr>
          <w:jc w:val="center"/>
        </w:trPr>
        <w:tc>
          <w:tcPr>
            <w:tcW w:w="2250" w:type="dxa"/>
            <w:tcBorders>
              <w:top w:val="nil"/>
              <w:left w:val="nil"/>
              <w:bottom w:val="nil"/>
              <w:right w:val="nil"/>
            </w:tcBorders>
          </w:tcPr>
          <w:p w14:paraId="2CD8FD77"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France</w:t>
            </w:r>
          </w:p>
        </w:tc>
        <w:tc>
          <w:tcPr>
            <w:tcW w:w="1080" w:type="dxa"/>
            <w:tcBorders>
              <w:top w:val="nil"/>
              <w:left w:val="nil"/>
              <w:bottom w:val="nil"/>
              <w:right w:val="nil"/>
            </w:tcBorders>
          </w:tcPr>
          <w:p w14:paraId="1B808D4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2DB8CED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25E3ACC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50.81</w:t>
            </w:r>
          </w:p>
        </w:tc>
        <w:tc>
          <w:tcPr>
            <w:tcW w:w="1530" w:type="dxa"/>
            <w:tcBorders>
              <w:top w:val="nil"/>
              <w:left w:val="nil"/>
              <w:bottom w:val="nil"/>
              <w:right w:val="nil"/>
            </w:tcBorders>
          </w:tcPr>
          <w:p w14:paraId="2A6726C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0.61</w:t>
            </w:r>
          </w:p>
        </w:tc>
        <w:tc>
          <w:tcPr>
            <w:tcW w:w="810" w:type="dxa"/>
            <w:tcBorders>
              <w:top w:val="nil"/>
              <w:left w:val="nil"/>
              <w:bottom w:val="nil"/>
              <w:right w:val="nil"/>
            </w:tcBorders>
          </w:tcPr>
          <w:p w14:paraId="52468E4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100</w:t>
            </w:r>
          </w:p>
        </w:tc>
        <w:tc>
          <w:tcPr>
            <w:tcW w:w="2340" w:type="dxa"/>
            <w:gridSpan w:val="2"/>
            <w:tcBorders>
              <w:top w:val="nil"/>
              <w:left w:val="nil"/>
              <w:bottom w:val="nil"/>
              <w:right w:val="nil"/>
            </w:tcBorders>
          </w:tcPr>
          <w:p w14:paraId="77CC532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4A32D96E" w14:textId="77777777" w:rsidTr="008A71E8">
        <w:trPr>
          <w:jc w:val="center"/>
        </w:trPr>
        <w:tc>
          <w:tcPr>
            <w:tcW w:w="2250" w:type="dxa"/>
            <w:tcBorders>
              <w:top w:val="nil"/>
              <w:left w:val="nil"/>
              <w:bottom w:val="nil"/>
              <w:right w:val="nil"/>
            </w:tcBorders>
          </w:tcPr>
          <w:p w14:paraId="7C98F007"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Germany</w:t>
            </w:r>
          </w:p>
        </w:tc>
        <w:tc>
          <w:tcPr>
            <w:tcW w:w="1080" w:type="dxa"/>
            <w:tcBorders>
              <w:top w:val="nil"/>
              <w:left w:val="nil"/>
              <w:bottom w:val="nil"/>
              <w:right w:val="nil"/>
            </w:tcBorders>
          </w:tcPr>
          <w:p w14:paraId="123D34C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511F8AD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21E494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67.70</w:t>
            </w:r>
          </w:p>
        </w:tc>
        <w:tc>
          <w:tcPr>
            <w:tcW w:w="1530" w:type="dxa"/>
            <w:tcBorders>
              <w:top w:val="nil"/>
              <w:left w:val="nil"/>
              <w:bottom w:val="nil"/>
              <w:right w:val="nil"/>
            </w:tcBorders>
          </w:tcPr>
          <w:p w14:paraId="1EEED7B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0.82</w:t>
            </w:r>
          </w:p>
        </w:tc>
        <w:tc>
          <w:tcPr>
            <w:tcW w:w="810" w:type="dxa"/>
            <w:tcBorders>
              <w:top w:val="nil"/>
              <w:left w:val="nil"/>
              <w:bottom w:val="nil"/>
              <w:right w:val="nil"/>
            </w:tcBorders>
          </w:tcPr>
          <w:p w14:paraId="4BD6E2B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90</w:t>
            </w:r>
          </w:p>
        </w:tc>
        <w:tc>
          <w:tcPr>
            <w:tcW w:w="2340" w:type="dxa"/>
            <w:gridSpan w:val="2"/>
            <w:tcBorders>
              <w:top w:val="nil"/>
              <w:left w:val="nil"/>
              <w:bottom w:val="nil"/>
              <w:right w:val="nil"/>
            </w:tcBorders>
          </w:tcPr>
          <w:p w14:paraId="0DC4991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3E4DE6F8" w14:textId="77777777" w:rsidTr="008A71E8">
        <w:trPr>
          <w:jc w:val="center"/>
        </w:trPr>
        <w:tc>
          <w:tcPr>
            <w:tcW w:w="2250" w:type="dxa"/>
            <w:tcBorders>
              <w:top w:val="nil"/>
              <w:left w:val="nil"/>
              <w:bottom w:val="nil"/>
              <w:right w:val="nil"/>
            </w:tcBorders>
          </w:tcPr>
          <w:p w14:paraId="1BCC4062"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Greece</w:t>
            </w:r>
          </w:p>
        </w:tc>
        <w:tc>
          <w:tcPr>
            <w:tcW w:w="1080" w:type="dxa"/>
            <w:tcBorders>
              <w:top w:val="nil"/>
              <w:left w:val="nil"/>
              <w:bottom w:val="nil"/>
              <w:right w:val="nil"/>
            </w:tcBorders>
          </w:tcPr>
          <w:p w14:paraId="05CEA6E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63E5A15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7B6B73F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55.05</w:t>
            </w:r>
          </w:p>
        </w:tc>
        <w:tc>
          <w:tcPr>
            <w:tcW w:w="1530" w:type="dxa"/>
            <w:tcBorders>
              <w:top w:val="nil"/>
              <w:left w:val="nil"/>
              <w:bottom w:val="nil"/>
              <w:right w:val="nil"/>
            </w:tcBorders>
          </w:tcPr>
          <w:p w14:paraId="644E055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-5.85</w:t>
            </w:r>
          </w:p>
        </w:tc>
        <w:tc>
          <w:tcPr>
            <w:tcW w:w="810" w:type="dxa"/>
            <w:tcBorders>
              <w:top w:val="nil"/>
              <w:left w:val="nil"/>
              <w:bottom w:val="nil"/>
              <w:right w:val="nil"/>
            </w:tcBorders>
          </w:tcPr>
          <w:p w14:paraId="202F65E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18</w:t>
            </w:r>
          </w:p>
        </w:tc>
        <w:tc>
          <w:tcPr>
            <w:tcW w:w="2340" w:type="dxa"/>
            <w:gridSpan w:val="2"/>
            <w:tcBorders>
              <w:top w:val="nil"/>
              <w:left w:val="nil"/>
              <w:bottom w:val="nil"/>
              <w:right w:val="nil"/>
            </w:tcBorders>
          </w:tcPr>
          <w:p w14:paraId="5565D29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0D39D3E6" w14:textId="77777777" w:rsidTr="008A71E8">
        <w:trPr>
          <w:jc w:val="center"/>
        </w:trPr>
        <w:tc>
          <w:tcPr>
            <w:tcW w:w="2250" w:type="dxa"/>
            <w:tcBorders>
              <w:top w:val="nil"/>
              <w:left w:val="nil"/>
              <w:bottom w:val="nil"/>
              <w:right w:val="nil"/>
            </w:tcBorders>
          </w:tcPr>
          <w:p w14:paraId="4DA27D54"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Hong Kong</w:t>
            </w:r>
          </w:p>
        </w:tc>
        <w:tc>
          <w:tcPr>
            <w:tcW w:w="1080" w:type="dxa"/>
            <w:tcBorders>
              <w:top w:val="nil"/>
              <w:left w:val="nil"/>
              <w:bottom w:val="nil"/>
              <w:right w:val="nil"/>
            </w:tcBorders>
          </w:tcPr>
          <w:p w14:paraId="6DAED30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66E3D49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Buddhism</w:t>
            </w:r>
          </w:p>
        </w:tc>
        <w:tc>
          <w:tcPr>
            <w:tcW w:w="1440" w:type="dxa"/>
            <w:tcBorders>
              <w:top w:val="nil"/>
              <w:left w:val="nil"/>
              <w:bottom w:val="nil"/>
              <w:right w:val="nil"/>
            </w:tcBorders>
          </w:tcPr>
          <w:p w14:paraId="4D5FA5A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59.21</w:t>
            </w:r>
          </w:p>
        </w:tc>
        <w:tc>
          <w:tcPr>
            <w:tcW w:w="1530" w:type="dxa"/>
            <w:tcBorders>
              <w:top w:val="nil"/>
              <w:left w:val="nil"/>
              <w:bottom w:val="nil"/>
              <w:right w:val="nil"/>
            </w:tcBorders>
          </w:tcPr>
          <w:p w14:paraId="6963011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3.55</w:t>
            </w:r>
          </w:p>
        </w:tc>
        <w:tc>
          <w:tcPr>
            <w:tcW w:w="810" w:type="dxa"/>
            <w:tcBorders>
              <w:top w:val="nil"/>
              <w:left w:val="nil"/>
              <w:bottom w:val="nil"/>
              <w:right w:val="nil"/>
            </w:tcBorders>
          </w:tcPr>
          <w:p w14:paraId="162D87C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165</w:t>
            </w:r>
          </w:p>
        </w:tc>
        <w:tc>
          <w:tcPr>
            <w:tcW w:w="2340" w:type="dxa"/>
            <w:gridSpan w:val="2"/>
            <w:tcBorders>
              <w:top w:val="nil"/>
              <w:left w:val="nil"/>
              <w:bottom w:val="nil"/>
              <w:right w:val="nil"/>
            </w:tcBorders>
          </w:tcPr>
          <w:p w14:paraId="6BBEAE8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1B022FA8" w14:textId="77777777" w:rsidTr="008A71E8">
        <w:trPr>
          <w:jc w:val="center"/>
        </w:trPr>
        <w:tc>
          <w:tcPr>
            <w:tcW w:w="2250" w:type="dxa"/>
            <w:tcBorders>
              <w:top w:val="nil"/>
              <w:left w:val="nil"/>
              <w:bottom w:val="nil"/>
              <w:right w:val="nil"/>
            </w:tcBorders>
          </w:tcPr>
          <w:p w14:paraId="7E82DF37"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Hungary</w:t>
            </w:r>
          </w:p>
        </w:tc>
        <w:tc>
          <w:tcPr>
            <w:tcW w:w="1080" w:type="dxa"/>
            <w:tcBorders>
              <w:top w:val="nil"/>
              <w:left w:val="nil"/>
              <w:bottom w:val="nil"/>
              <w:right w:val="nil"/>
            </w:tcBorders>
          </w:tcPr>
          <w:p w14:paraId="7DBA37D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6BFC2A0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3E6794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51.34</w:t>
            </w:r>
          </w:p>
        </w:tc>
        <w:tc>
          <w:tcPr>
            <w:tcW w:w="1530" w:type="dxa"/>
            <w:tcBorders>
              <w:top w:val="nil"/>
              <w:left w:val="nil"/>
              <w:bottom w:val="nil"/>
              <w:right w:val="nil"/>
            </w:tcBorders>
          </w:tcPr>
          <w:p w14:paraId="7BC6C3E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-3.87</w:t>
            </w:r>
          </w:p>
        </w:tc>
        <w:tc>
          <w:tcPr>
            <w:tcW w:w="810" w:type="dxa"/>
            <w:tcBorders>
              <w:top w:val="nil"/>
              <w:left w:val="nil"/>
              <w:bottom w:val="nil"/>
              <w:right w:val="nil"/>
            </w:tcBorders>
          </w:tcPr>
          <w:p w14:paraId="1356301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9</w:t>
            </w:r>
          </w:p>
        </w:tc>
        <w:tc>
          <w:tcPr>
            <w:tcW w:w="2340" w:type="dxa"/>
            <w:gridSpan w:val="2"/>
            <w:tcBorders>
              <w:top w:val="nil"/>
              <w:left w:val="nil"/>
              <w:bottom w:val="nil"/>
              <w:right w:val="nil"/>
            </w:tcBorders>
          </w:tcPr>
          <w:p w14:paraId="6C808F3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6C6A5535" w14:textId="77777777" w:rsidTr="008A71E8">
        <w:trPr>
          <w:jc w:val="center"/>
        </w:trPr>
        <w:tc>
          <w:tcPr>
            <w:tcW w:w="2250" w:type="dxa"/>
            <w:tcBorders>
              <w:top w:val="nil"/>
              <w:left w:val="nil"/>
              <w:bottom w:val="nil"/>
              <w:right w:val="nil"/>
            </w:tcBorders>
          </w:tcPr>
          <w:p w14:paraId="3DEB0664"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India</w:t>
            </w:r>
          </w:p>
        </w:tc>
        <w:tc>
          <w:tcPr>
            <w:tcW w:w="1080" w:type="dxa"/>
            <w:tcBorders>
              <w:top w:val="nil"/>
              <w:left w:val="nil"/>
              <w:bottom w:val="nil"/>
              <w:right w:val="nil"/>
            </w:tcBorders>
          </w:tcPr>
          <w:p w14:paraId="7C60F34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2E62F46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Hinduism</w:t>
            </w:r>
          </w:p>
        </w:tc>
        <w:tc>
          <w:tcPr>
            <w:tcW w:w="1440" w:type="dxa"/>
            <w:tcBorders>
              <w:top w:val="nil"/>
              <w:left w:val="nil"/>
              <w:bottom w:val="nil"/>
              <w:right w:val="nil"/>
            </w:tcBorders>
          </w:tcPr>
          <w:p w14:paraId="2546805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49.41</w:t>
            </w:r>
          </w:p>
        </w:tc>
        <w:tc>
          <w:tcPr>
            <w:tcW w:w="1530" w:type="dxa"/>
            <w:tcBorders>
              <w:top w:val="nil"/>
              <w:left w:val="nil"/>
              <w:bottom w:val="nil"/>
              <w:right w:val="nil"/>
            </w:tcBorders>
          </w:tcPr>
          <w:p w14:paraId="1CB54AB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-1.80</w:t>
            </w:r>
          </w:p>
        </w:tc>
        <w:tc>
          <w:tcPr>
            <w:tcW w:w="810" w:type="dxa"/>
            <w:tcBorders>
              <w:top w:val="nil"/>
              <w:left w:val="nil"/>
              <w:bottom w:val="nil"/>
              <w:right w:val="nil"/>
            </w:tcBorders>
          </w:tcPr>
          <w:p w14:paraId="71FF22A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95</w:t>
            </w:r>
          </w:p>
        </w:tc>
        <w:tc>
          <w:tcPr>
            <w:tcW w:w="2340" w:type="dxa"/>
            <w:gridSpan w:val="2"/>
            <w:tcBorders>
              <w:top w:val="nil"/>
              <w:left w:val="nil"/>
              <w:bottom w:val="nil"/>
              <w:right w:val="nil"/>
            </w:tcBorders>
          </w:tcPr>
          <w:p w14:paraId="63E1E71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Lower-middle income</w:t>
            </w:r>
          </w:p>
        </w:tc>
      </w:tr>
      <w:tr w:rsidR="00256D45" w:rsidRPr="00ED510B" w14:paraId="4222DCED" w14:textId="77777777" w:rsidTr="008A71E8">
        <w:trPr>
          <w:jc w:val="center"/>
        </w:trPr>
        <w:tc>
          <w:tcPr>
            <w:tcW w:w="2250" w:type="dxa"/>
            <w:tcBorders>
              <w:top w:val="nil"/>
              <w:left w:val="nil"/>
              <w:bottom w:val="nil"/>
              <w:right w:val="nil"/>
            </w:tcBorders>
          </w:tcPr>
          <w:p w14:paraId="4653D0E2"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Indonesia</w:t>
            </w:r>
          </w:p>
        </w:tc>
        <w:tc>
          <w:tcPr>
            <w:tcW w:w="1080" w:type="dxa"/>
            <w:tcBorders>
              <w:top w:val="nil"/>
              <w:left w:val="nil"/>
              <w:bottom w:val="nil"/>
              <w:right w:val="nil"/>
            </w:tcBorders>
          </w:tcPr>
          <w:p w14:paraId="1881470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328F3BC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Islam</w:t>
            </w:r>
          </w:p>
        </w:tc>
        <w:tc>
          <w:tcPr>
            <w:tcW w:w="1440" w:type="dxa"/>
            <w:tcBorders>
              <w:top w:val="nil"/>
              <w:left w:val="nil"/>
              <w:bottom w:val="nil"/>
              <w:right w:val="nil"/>
            </w:tcBorders>
          </w:tcPr>
          <w:p w14:paraId="3BF4FF6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51.32</w:t>
            </w:r>
          </w:p>
        </w:tc>
        <w:tc>
          <w:tcPr>
            <w:tcW w:w="1530" w:type="dxa"/>
            <w:tcBorders>
              <w:top w:val="nil"/>
              <w:left w:val="nil"/>
              <w:bottom w:val="nil"/>
              <w:right w:val="nil"/>
            </w:tcBorders>
          </w:tcPr>
          <w:p w14:paraId="40F728E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-0.54</w:t>
            </w:r>
          </w:p>
        </w:tc>
        <w:tc>
          <w:tcPr>
            <w:tcW w:w="810" w:type="dxa"/>
            <w:tcBorders>
              <w:top w:val="nil"/>
              <w:left w:val="nil"/>
              <w:bottom w:val="nil"/>
              <w:right w:val="nil"/>
            </w:tcBorders>
          </w:tcPr>
          <w:p w14:paraId="64E7E90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36</w:t>
            </w:r>
          </w:p>
        </w:tc>
        <w:tc>
          <w:tcPr>
            <w:tcW w:w="2340" w:type="dxa"/>
            <w:gridSpan w:val="2"/>
            <w:tcBorders>
              <w:top w:val="nil"/>
              <w:left w:val="nil"/>
              <w:bottom w:val="nil"/>
              <w:right w:val="nil"/>
            </w:tcBorders>
          </w:tcPr>
          <w:p w14:paraId="2FE3683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Lower-middle income</w:t>
            </w:r>
          </w:p>
        </w:tc>
      </w:tr>
      <w:tr w:rsidR="00256D45" w:rsidRPr="00ED510B" w14:paraId="6291F780" w14:textId="77777777" w:rsidTr="008A71E8">
        <w:trPr>
          <w:jc w:val="center"/>
        </w:trPr>
        <w:tc>
          <w:tcPr>
            <w:tcW w:w="2250" w:type="dxa"/>
            <w:tcBorders>
              <w:top w:val="nil"/>
              <w:left w:val="nil"/>
              <w:bottom w:val="nil"/>
              <w:right w:val="nil"/>
            </w:tcBorders>
          </w:tcPr>
          <w:p w14:paraId="4E825819"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Ireland</w:t>
            </w:r>
          </w:p>
        </w:tc>
        <w:tc>
          <w:tcPr>
            <w:tcW w:w="1080" w:type="dxa"/>
            <w:tcBorders>
              <w:top w:val="nil"/>
              <w:left w:val="nil"/>
              <w:bottom w:val="nil"/>
              <w:right w:val="nil"/>
            </w:tcBorders>
          </w:tcPr>
          <w:p w14:paraId="797A956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6EC2F7A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8A363C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83.50</w:t>
            </w:r>
          </w:p>
        </w:tc>
        <w:tc>
          <w:tcPr>
            <w:tcW w:w="1530" w:type="dxa"/>
            <w:tcBorders>
              <w:top w:val="nil"/>
              <w:left w:val="nil"/>
              <w:bottom w:val="nil"/>
              <w:right w:val="nil"/>
            </w:tcBorders>
          </w:tcPr>
          <w:p w14:paraId="3F36FC3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-2.26</w:t>
            </w:r>
          </w:p>
        </w:tc>
        <w:tc>
          <w:tcPr>
            <w:tcW w:w="810" w:type="dxa"/>
            <w:tcBorders>
              <w:top w:val="nil"/>
              <w:left w:val="nil"/>
              <w:bottom w:val="nil"/>
              <w:right w:val="nil"/>
            </w:tcBorders>
          </w:tcPr>
          <w:p w14:paraId="3B75C12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15</w:t>
            </w:r>
          </w:p>
        </w:tc>
        <w:tc>
          <w:tcPr>
            <w:tcW w:w="2340" w:type="dxa"/>
            <w:gridSpan w:val="2"/>
            <w:tcBorders>
              <w:top w:val="nil"/>
              <w:left w:val="nil"/>
              <w:bottom w:val="nil"/>
              <w:right w:val="nil"/>
            </w:tcBorders>
          </w:tcPr>
          <w:p w14:paraId="2F80282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79076039" w14:textId="77777777" w:rsidTr="008A71E8">
        <w:trPr>
          <w:jc w:val="center"/>
        </w:trPr>
        <w:tc>
          <w:tcPr>
            <w:tcW w:w="2250" w:type="dxa"/>
            <w:tcBorders>
              <w:top w:val="nil"/>
              <w:left w:val="nil"/>
              <w:bottom w:val="nil"/>
              <w:right w:val="nil"/>
            </w:tcBorders>
          </w:tcPr>
          <w:p w14:paraId="14D0C956"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Israel</w:t>
            </w:r>
          </w:p>
        </w:tc>
        <w:tc>
          <w:tcPr>
            <w:tcW w:w="1080" w:type="dxa"/>
            <w:tcBorders>
              <w:top w:val="nil"/>
              <w:left w:val="nil"/>
              <w:bottom w:val="nil"/>
              <w:right w:val="nil"/>
            </w:tcBorders>
          </w:tcPr>
          <w:p w14:paraId="28C8A7E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34DF3E7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Judaism</w:t>
            </w:r>
          </w:p>
        </w:tc>
        <w:tc>
          <w:tcPr>
            <w:tcW w:w="1440" w:type="dxa"/>
            <w:tcBorders>
              <w:top w:val="nil"/>
              <w:left w:val="nil"/>
              <w:bottom w:val="nil"/>
              <w:right w:val="nil"/>
            </w:tcBorders>
          </w:tcPr>
          <w:p w14:paraId="736B148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61.53</w:t>
            </w:r>
          </w:p>
        </w:tc>
        <w:tc>
          <w:tcPr>
            <w:tcW w:w="1530" w:type="dxa"/>
            <w:tcBorders>
              <w:top w:val="nil"/>
              <w:left w:val="nil"/>
              <w:bottom w:val="nil"/>
              <w:right w:val="nil"/>
            </w:tcBorders>
          </w:tcPr>
          <w:p w14:paraId="6DFF173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-0.07</w:t>
            </w:r>
          </w:p>
        </w:tc>
        <w:tc>
          <w:tcPr>
            <w:tcW w:w="810" w:type="dxa"/>
            <w:tcBorders>
              <w:top w:val="nil"/>
              <w:left w:val="nil"/>
              <w:bottom w:val="nil"/>
              <w:right w:val="nil"/>
            </w:tcBorders>
          </w:tcPr>
          <w:p w14:paraId="6E2B992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16</w:t>
            </w:r>
          </w:p>
        </w:tc>
        <w:tc>
          <w:tcPr>
            <w:tcW w:w="2340" w:type="dxa"/>
            <w:gridSpan w:val="2"/>
            <w:tcBorders>
              <w:top w:val="nil"/>
              <w:left w:val="nil"/>
              <w:bottom w:val="nil"/>
              <w:right w:val="nil"/>
            </w:tcBorders>
          </w:tcPr>
          <w:p w14:paraId="199EB80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4FF99BAD" w14:textId="77777777" w:rsidTr="008A71E8">
        <w:trPr>
          <w:jc w:val="center"/>
        </w:trPr>
        <w:tc>
          <w:tcPr>
            <w:tcW w:w="2250" w:type="dxa"/>
            <w:tcBorders>
              <w:top w:val="nil"/>
              <w:left w:val="nil"/>
              <w:bottom w:val="nil"/>
              <w:right w:val="nil"/>
            </w:tcBorders>
          </w:tcPr>
          <w:p w14:paraId="2B036FEE"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Italy</w:t>
            </w:r>
          </w:p>
        </w:tc>
        <w:tc>
          <w:tcPr>
            <w:tcW w:w="1080" w:type="dxa"/>
            <w:tcBorders>
              <w:top w:val="nil"/>
              <w:left w:val="nil"/>
              <w:bottom w:val="nil"/>
              <w:right w:val="nil"/>
            </w:tcBorders>
          </w:tcPr>
          <w:p w14:paraId="3DE9D5C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4EBBF93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1C552B8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65.13</w:t>
            </w:r>
          </w:p>
        </w:tc>
        <w:tc>
          <w:tcPr>
            <w:tcW w:w="1530" w:type="dxa"/>
            <w:tcBorders>
              <w:top w:val="nil"/>
              <w:left w:val="nil"/>
              <w:bottom w:val="nil"/>
              <w:right w:val="nil"/>
            </w:tcBorders>
          </w:tcPr>
          <w:p w14:paraId="0A73540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-3.97</w:t>
            </w:r>
          </w:p>
        </w:tc>
        <w:tc>
          <w:tcPr>
            <w:tcW w:w="810" w:type="dxa"/>
            <w:tcBorders>
              <w:top w:val="nil"/>
              <w:left w:val="nil"/>
              <w:bottom w:val="nil"/>
              <w:right w:val="nil"/>
            </w:tcBorders>
          </w:tcPr>
          <w:p w14:paraId="056C3C2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46</w:t>
            </w:r>
          </w:p>
        </w:tc>
        <w:tc>
          <w:tcPr>
            <w:tcW w:w="2340" w:type="dxa"/>
            <w:gridSpan w:val="2"/>
            <w:tcBorders>
              <w:top w:val="nil"/>
              <w:left w:val="nil"/>
              <w:bottom w:val="nil"/>
              <w:right w:val="nil"/>
            </w:tcBorders>
          </w:tcPr>
          <w:p w14:paraId="244D992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12BC22F8" w14:textId="77777777" w:rsidTr="008A71E8">
        <w:trPr>
          <w:jc w:val="center"/>
        </w:trPr>
        <w:tc>
          <w:tcPr>
            <w:tcW w:w="2250" w:type="dxa"/>
            <w:tcBorders>
              <w:top w:val="nil"/>
              <w:left w:val="nil"/>
              <w:bottom w:val="nil"/>
              <w:right w:val="nil"/>
            </w:tcBorders>
          </w:tcPr>
          <w:p w14:paraId="35D61743"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Japan</w:t>
            </w:r>
          </w:p>
        </w:tc>
        <w:tc>
          <w:tcPr>
            <w:tcW w:w="1080" w:type="dxa"/>
            <w:tcBorders>
              <w:top w:val="nil"/>
              <w:left w:val="nil"/>
              <w:bottom w:val="nil"/>
              <w:right w:val="nil"/>
            </w:tcBorders>
          </w:tcPr>
          <w:p w14:paraId="71472FE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530533C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Shinto</w:t>
            </w:r>
          </w:p>
        </w:tc>
        <w:tc>
          <w:tcPr>
            <w:tcW w:w="1440" w:type="dxa"/>
            <w:tcBorders>
              <w:top w:val="nil"/>
              <w:left w:val="nil"/>
              <w:bottom w:val="nil"/>
              <w:right w:val="nil"/>
            </w:tcBorders>
          </w:tcPr>
          <w:p w14:paraId="099FBC7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40.40</w:t>
            </w:r>
          </w:p>
        </w:tc>
        <w:tc>
          <w:tcPr>
            <w:tcW w:w="1530" w:type="dxa"/>
            <w:tcBorders>
              <w:top w:val="nil"/>
              <w:left w:val="nil"/>
              <w:bottom w:val="nil"/>
              <w:right w:val="nil"/>
            </w:tcBorders>
          </w:tcPr>
          <w:p w14:paraId="500D3DE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1.24</w:t>
            </w:r>
          </w:p>
        </w:tc>
        <w:tc>
          <w:tcPr>
            <w:tcW w:w="810" w:type="dxa"/>
            <w:tcBorders>
              <w:top w:val="nil"/>
              <w:left w:val="nil"/>
              <w:bottom w:val="nil"/>
              <w:right w:val="nil"/>
            </w:tcBorders>
          </w:tcPr>
          <w:p w14:paraId="270B99C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411</w:t>
            </w:r>
          </w:p>
        </w:tc>
        <w:tc>
          <w:tcPr>
            <w:tcW w:w="2340" w:type="dxa"/>
            <w:gridSpan w:val="2"/>
            <w:tcBorders>
              <w:top w:val="nil"/>
              <w:left w:val="nil"/>
              <w:bottom w:val="nil"/>
              <w:right w:val="nil"/>
            </w:tcBorders>
          </w:tcPr>
          <w:p w14:paraId="03168A1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1E757458" w14:textId="77777777" w:rsidTr="008A71E8">
        <w:trPr>
          <w:jc w:val="center"/>
        </w:trPr>
        <w:tc>
          <w:tcPr>
            <w:tcW w:w="2250" w:type="dxa"/>
            <w:tcBorders>
              <w:top w:val="nil"/>
              <w:left w:val="nil"/>
              <w:bottom w:val="nil"/>
              <w:right w:val="nil"/>
            </w:tcBorders>
          </w:tcPr>
          <w:p w14:paraId="569647AE"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Malaysia</w:t>
            </w:r>
          </w:p>
        </w:tc>
        <w:tc>
          <w:tcPr>
            <w:tcW w:w="1080" w:type="dxa"/>
            <w:tcBorders>
              <w:top w:val="nil"/>
              <w:left w:val="nil"/>
              <w:bottom w:val="nil"/>
              <w:right w:val="nil"/>
            </w:tcBorders>
          </w:tcPr>
          <w:p w14:paraId="5E48C8E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29505F4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Islam</w:t>
            </w:r>
          </w:p>
        </w:tc>
        <w:tc>
          <w:tcPr>
            <w:tcW w:w="1440" w:type="dxa"/>
            <w:tcBorders>
              <w:top w:val="nil"/>
              <w:left w:val="nil"/>
              <w:bottom w:val="nil"/>
              <w:right w:val="nil"/>
            </w:tcBorders>
          </w:tcPr>
          <w:p w14:paraId="0B64B97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65.02</w:t>
            </w:r>
          </w:p>
        </w:tc>
        <w:tc>
          <w:tcPr>
            <w:tcW w:w="1530" w:type="dxa"/>
            <w:tcBorders>
              <w:top w:val="nil"/>
              <w:left w:val="nil"/>
              <w:bottom w:val="nil"/>
              <w:right w:val="nil"/>
            </w:tcBorders>
          </w:tcPr>
          <w:p w14:paraId="322C797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2.36</w:t>
            </w:r>
          </w:p>
        </w:tc>
        <w:tc>
          <w:tcPr>
            <w:tcW w:w="810" w:type="dxa"/>
            <w:tcBorders>
              <w:top w:val="nil"/>
              <w:left w:val="nil"/>
              <w:bottom w:val="nil"/>
              <w:right w:val="nil"/>
            </w:tcBorders>
          </w:tcPr>
          <w:p w14:paraId="6F3D165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52</w:t>
            </w:r>
          </w:p>
        </w:tc>
        <w:tc>
          <w:tcPr>
            <w:tcW w:w="2340" w:type="dxa"/>
            <w:gridSpan w:val="2"/>
            <w:tcBorders>
              <w:top w:val="nil"/>
              <w:left w:val="nil"/>
              <w:bottom w:val="nil"/>
              <w:right w:val="nil"/>
            </w:tcBorders>
          </w:tcPr>
          <w:p w14:paraId="158EB2F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722DC861" w14:textId="77777777" w:rsidTr="008A71E8">
        <w:trPr>
          <w:jc w:val="center"/>
        </w:trPr>
        <w:tc>
          <w:tcPr>
            <w:tcW w:w="2250" w:type="dxa"/>
            <w:tcBorders>
              <w:top w:val="nil"/>
              <w:left w:val="nil"/>
              <w:bottom w:val="nil"/>
              <w:right w:val="nil"/>
            </w:tcBorders>
          </w:tcPr>
          <w:p w14:paraId="1AFD250B"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Mexico</w:t>
            </w:r>
          </w:p>
        </w:tc>
        <w:tc>
          <w:tcPr>
            <w:tcW w:w="1080" w:type="dxa"/>
            <w:tcBorders>
              <w:top w:val="nil"/>
              <w:left w:val="nil"/>
              <w:bottom w:val="nil"/>
              <w:right w:val="nil"/>
            </w:tcBorders>
          </w:tcPr>
          <w:p w14:paraId="7C82DF0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43B1F23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1CA530E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49.35</w:t>
            </w:r>
          </w:p>
        </w:tc>
        <w:tc>
          <w:tcPr>
            <w:tcW w:w="1530" w:type="dxa"/>
            <w:tcBorders>
              <w:top w:val="nil"/>
              <w:left w:val="nil"/>
              <w:bottom w:val="nil"/>
              <w:right w:val="nil"/>
            </w:tcBorders>
          </w:tcPr>
          <w:p w14:paraId="08528F8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-2.37</w:t>
            </w:r>
          </w:p>
        </w:tc>
        <w:tc>
          <w:tcPr>
            <w:tcW w:w="810" w:type="dxa"/>
            <w:tcBorders>
              <w:top w:val="nil"/>
              <w:left w:val="nil"/>
              <w:bottom w:val="nil"/>
              <w:right w:val="nil"/>
            </w:tcBorders>
          </w:tcPr>
          <w:p w14:paraId="6258CD9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33</w:t>
            </w:r>
          </w:p>
        </w:tc>
        <w:tc>
          <w:tcPr>
            <w:tcW w:w="2340" w:type="dxa"/>
            <w:gridSpan w:val="2"/>
            <w:tcBorders>
              <w:top w:val="nil"/>
              <w:left w:val="nil"/>
              <w:bottom w:val="nil"/>
              <w:right w:val="nil"/>
            </w:tcBorders>
          </w:tcPr>
          <w:p w14:paraId="03D3DF6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0466CA3E" w14:textId="77777777" w:rsidTr="008A71E8">
        <w:trPr>
          <w:jc w:val="center"/>
        </w:trPr>
        <w:tc>
          <w:tcPr>
            <w:tcW w:w="2250" w:type="dxa"/>
            <w:tcBorders>
              <w:top w:val="nil"/>
              <w:left w:val="nil"/>
              <w:bottom w:val="nil"/>
              <w:right w:val="nil"/>
            </w:tcBorders>
          </w:tcPr>
          <w:p w14:paraId="616D3543"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Morocco</w:t>
            </w:r>
          </w:p>
        </w:tc>
        <w:tc>
          <w:tcPr>
            <w:tcW w:w="1080" w:type="dxa"/>
            <w:tcBorders>
              <w:top w:val="nil"/>
              <w:left w:val="nil"/>
              <w:bottom w:val="nil"/>
              <w:right w:val="nil"/>
            </w:tcBorders>
          </w:tcPr>
          <w:p w14:paraId="35A1274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026CA3C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Islam</w:t>
            </w:r>
          </w:p>
        </w:tc>
        <w:tc>
          <w:tcPr>
            <w:tcW w:w="1440" w:type="dxa"/>
            <w:tcBorders>
              <w:top w:val="nil"/>
              <w:left w:val="nil"/>
              <w:bottom w:val="nil"/>
              <w:right w:val="nil"/>
            </w:tcBorders>
          </w:tcPr>
          <w:p w14:paraId="1CD348E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27.98</w:t>
            </w:r>
          </w:p>
        </w:tc>
        <w:tc>
          <w:tcPr>
            <w:tcW w:w="1530" w:type="dxa"/>
            <w:tcBorders>
              <w:top w:val="nil"/>
              <w:left w:val="nil"/>
              <w:bottom w:val="nil"/>
              <w:right w:val="nil"/>
            </w:tcBorders>
          </w:tcPr>
          <w:p w14:paraId="70A1AB2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-1.65</w:t>
            </w:r>
          </w:p>
        </w:tc>
        <w:tc>
          <w:tcPr>
            <w:tcW w:w="810" w:type="dxa"/>
            <w:tcBorders>
              <w:top w:val="nil"/>
              <w:left w:val="nil"/>
              <w:bottom w:val="nil"/>
              <w:right w:val="nil"/>
            </w:tcBorders>
          </w:tcPr>
          <w:p w14:paraId="0530D09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w:t>
            </w:r>
          </w:p>
        </w:tc>
        <w:tc>
          <w:tcPr>
            <w:tcW w:w="2340" w:type="dxa"/>
            <w:gridSpan w:val="2"/>
            <w:tcBorders>
              <w:top w:val="nil"/>
              <w:left w:val="nil"/>
              <w:bottom w:val="nil"/>
              <w:right w:val="nil"/>
            </w:tcBorders>
          </w:tcPr>
          <w:p w14:paraId="3CBEF26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Lower-middle income</w:t>
            </w:r>
          </w:p>
        </w:tc>
      </w:tr>
      <w:tr w:rsidR="00256D45" w:rsidRPr="00ED510B" w14:paraId="00B77390" w14:textId="77777777" w:rsidTr="008A71E8">
        <w:trPr>
          <w:jc w:val="center"/>
        </w:trPr>
        <w:tc>
          <w:tcPr>
            <w:tcW w:w="2250" w:type="dxa"/>
            <w:tcBorders>
              <w:top w:val="nil"/>
              <w:left w:val="nil"/>
              <w:bottom w:val="nil"/>
              <w:right w:val="nil"/>
            </w:tcBorders>
          </w:tcPr>
          <w:p w14:paraId="7669580E"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Netherlands</w:t>
            </w:r>
          </w:p>
        </w:tc>
        <w:tc>
          <w:tcPr>
            <w:tcW w:w="1080" w:type="dxa"/>
            <w:tcBorders>
              <w:top w:val="nil"/>
              <w:left w:val="nil"/>
              <w:bottom w:val="nil"/>
              <w:right w:val="nil"/>
            </w:tcBorders>
          </w:tcPr>
          <w:p w14:paraId="4263FF6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1149147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3BA2E61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75.25</w:t>
            </w:r>
          </w:p>
        </w:tc>
        <w:tc>
          <w:tcPr>
            <w:tcW w:w="1530" w:type="dxa"/>
            <w:tcBorders>
              <w:top w:val="nil"/>
              <w:left w:val="nil"/>
              <w:bottom w:val="nil"/>
              <w:right w:val="nil"/>
            </w:tcBorders>
          </w:tcPr>
          <w:p w14:paraId="7362819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0.79</w:t>
            </w:r>
          </w:p>
        </w:tc>
        <w:tc>
          <w:tcPr>
            <w:tcW w:w="810" w:type="dxa"/>
            <w:tcBorders>
              <w:top w:val="nil"/>
              <w:left w:val="nil"/>
              <w:bottom w:val="nil"/>
              <w:right w:val="nil"/>
            </w:tcBorders>
          </w:tcPr>
          <w:p w14:paraId="251220E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34</w:t>
            </w:r>
          </w:p>
        </w:tc>
        <w:tc>
          <w:tcPr>
            <w:tcW w:w="2340" w:type="dxa"/>
            <w:gridSpan w:val="2"/>
            <w:tcBorders>
              <w:top w:val="nil"/>
              <w:left w:val="nil"/>
              <w:bottom w:val="nil"/>
              <w:right w:val="nil"/>
            </w:tcBorders>
          </w:tcPr>
          <w:p w14:paraId="4385D7E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47199B2E" w14:textId="77777777" w:rsidTr="008A71E8">
        <w:trPr>
          <w:jc w:val="center"/>
        </w:trPr>
        <w:tc>
          <w:tcPr>
            <w:tcW w:w="2250" w:type="dxa"/>
            <w:tcBorders>
              <w:top w:val="nil"/>
              <w:left w:val="nil"/>
              <w:bottom w:val="nil"/>
              <w:right w:val="nil"/>
            </w:tcBorders>
          </w:tcPr>
          <w:p w14:paraId="18D8FDDB"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New Zealand</w:t>
            </w:r>
          </w:p>
        </w:tc>
        <w:tc>
          <w:tcPr>
            <w:tcW w:w="1080" w:type="dxa"/>
            <w:tcBorders>
              <w:top w:val="nil"/>
              <w:left w:val="nil"/>
              <w:bottom w:val="nil"/>
              <w:right w:val="nil"/>
            </w:tcBorders>
          </w:tcPr>
          <w:p w14:paraId="578F8A4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38B8DBB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26D0C3E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70.10</w:t>
            </w:r>
          </w:p>
        </w:tc>
        <w:tc>
          <w:tcPr>
            <w:tcW w:w="1530" w:type="dxa"/>
            <w:tcBorders>
              <w:top w:val="nil"/>
              <w:left w:val="nil"/>
              <w:bottom w:val="nil"/>
              <w:right w:val="nil"/>
            </w:tcBorders>
          </w:tcPr>
          <w:p w14:paraId="31F8745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2.66</w:t>
            </w:r>
          </w:p>
        </w:tc>
        <w:tc>
          <w:tcPr>
            <w:tcW w:w="810" w:type="dxa"/>
            <w:tcBorders>
              <w:top w:val="nil"/>
              <w:left w:val="nil"/>
              <w:bottom w:val="nil"/>
              <w:right w:val="nil"/>
            </w:tcBorders>
          </w:tcPr>
          <w:p w14:paraId="2395393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44</w:t>
            </w:r>
          </w:p>
        </w:tc>
        <w:tc>
          <w:tcPr>
            <w:tcW w:w="2340" w:type="dxa"/>
            <w:gridSpan w:val="2"/>
            <w:tcBorders>
              <w:top w:val="nil"/>
              <w:left w:val="nil"/>
              <w:bottom w:val="nil"/>
              <w:right w:val="nil"/>
            </w:tcBorders>
          </w:tcPr>
          <w:p w14:paraId="2EC1424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4AA987A9" w14:textId="77777777" w:rsidTr="008A71E8">
        <w:trPr>
          <w:jc w:val="center"/>
        </w:trPr>
        <w:tc>
          <w:tcPr>
            <w:tcW w:w="2250" w:type="dxa"/>
            <w:tcBorders>
              <w:top w:val="nil"/>
              <w:left w:val="nil"/>
              <w:bottom w:val="nil"/>
              <w:right w:val="nil"/>
            </w:tcBorders>
          </w:tcPr>
          <w:p w14:paraId="3C62FC51"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Norway</w:t>
            </w:r>
          </w:p>
        </w:tc>
        <w:tc>
          <w:tcPr>
            <w:tcW w:w="1080" w:type="dxa"/>
            <w:tcBorders>
              <w:top w:val="nil"/>
              <w:left w:val="nil"/>
              <w:bottom w:val="nil"/>
              <w:right w:val="nil"/>
            </w:tcBorders>
          </w:tcPr>
          <w:p w14:paraId="3C7689A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2A8B26B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375998B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68.19</w:t>
            </w:r>
          </w:p>
        </w:tc>
        <w:tc>
          <w:tcPr>
            <w:tcW w:w="1530" w:type="dxa"/>
            <w:tcBorders>
              <w:top w:val="nil"/>
              <w:left w:val="nil"/>
              <w:bottom w:val="nil"/>
              <w:right w:val="nil"/>
            </w:tcBorders>
          </w:tcPr>
          <w:p w14:paraId="03449AF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3.02</w:t>
            </w:r>
          </w:p>
        </w:tc>
        <w:tc>
          <w:tcPr>
            <w:tcW w:w="810" w:type="dxa"/>
            <w:tcBorders>
              <w:top w:val="nil"/>
              <w:left w:val="nil"/>
              <w:bottom w:val="nil"/>
              <w:right w:val="nil"/>
            </w:tcBorders>
          </w:tcPr>
          <w:p w14:paraId="79F8F00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26</w:t>
            </w:r>
          </w:p>
        </w:tc>
        <w:tc>
          <w:tcPr>
            <w:tcW w:w="2340" w:type="dxa"/>
            <w:gridSpan w:val="2"/>
            <w:tcBorders>
              <w:top w:val="nil"/>
              <w:left w:val="nil"/>
              <w:bottom w:val="nil"/>
              <w:right w:val="nil"/>
            </w:tcBorders>
          </w:tcPr>
          <w:p w14:paraId="5E1E477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129E42A0" w14:textId="77777777" w:rsidTr="008A71E8">
        <w:trPr>
          <w:jc w:val="center"/>
        </w:trPr>
        <w:tc>
          <w:tcPr>
            <w:tcW w:w="2250" w:type="dxa"/>
            <w:tcBorders>
              <w:top w:val="nil"/>
              <w:left w:val="nil"/>
              <w:bottom w:val="nil"/>
              <w:right w:val="nil"/>
            </w:tcBorders>
          </w:tcPr>
          <w:p w14:paraId="64C644E5"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Philippines</w:t>
            </w:r>
          </w:p>
        </w:tc>
        <w:tc>
          <w:tcPr>
            <w:tcW w:w="1080" w:type="dxa"/>
            <w:tcBorders>
              <w:top w:val="nil"/>
              <w:left w:val="nil"/>
              <w:bottom w:val="nil"/>
              <w:right w:val="nil"/>
            </w:tcBorders>
          </w:tcPr>
          <w:p w14:paraId="254DF19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3A3AE78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00D0270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60.01</w:t>
            </w:r>
          </w:p>
        </w:tc>
        <w:tc>
          <w:tcPr>
            <w:tcW w:w="1530" w:type="dxa"/>
            <w:tcBorders>
              <w:top w:val="nil"/>
              <w:left w:val="nil"/>
              <w:bottom w:val="nil"/>
              <w:right w:val="nil"/>
            </w:tcBorders>
          </w:tcPr>
          <w:p w14:paraId="4C76890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-0.41</w:t>
            </w:r>
          </w:p>
        </w:tc>
        <w:tc>
          <w:tcPr>
            <w:tcW w:w="810" w:type="dxa"/>
            <w:tcBorders>
              <w:top w:val="nil"/>
              <w:left w:val="nil"/>
              <w:bottom w:val="nil"/>
              <w:right w:val="nil"/>
            </w:tcBorders>
          </w:tcPr>
          <w:p w14:paraId="7A743FB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26</w:t>
            </w:r>
          </w:p>
        </w:tc>
        <w:tc>
          <w:tcPr>
            <w:tcW w:w="2340" w:type="dxa"/>
            <w:gridSpan w:val="2"/>
            <w:tcBorders>
              <w:top w:val="nil"/>
              <w:left w:val="nil"/>
              <w:bottom w:val="nil"/>
              <w:right w:val="nil"/>
            </w:tcBorders>
          </w:tcPr>
          <w:p w14:paraId="58BE2BA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Lower-middle income</w:t>
            </w:r>
          </w:p>
        </w:tc>
      </w:tr>
      <w:tr w:rsidR="00256D45" w:rsidRPr="00ED510B" w14:paraId="5B63D8D2" w14:textId="77777777" w:rsidTr="008A71E8">
        <w:trPr>
          <w:jc w:val="center"/>
        </w:trPr>
        <w:tc>
          <w:tcPr>
            <w:tcW w:w="2250" w:type="dxa"/>
            <w:tcBorders>
              <w:top w:val="nil"/>
              <w:left w:val="nil"/>
              <w:bottom w:val="nil"/>
              <w:right w:val="nil"/>
            </w:tcBorders>
          </w:tcPr>
          <w:p w14:paraId="5C6E9F22"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Poland</w:t>
            </w:r>
          </w:p>
        </w:tc>
        <w:tc>
          <w:tcPr>
            <w:tcW w:w="1080" w:type="dxa"/>
            <w:tcBorders>
              <w:top w:val="nil"/>
              <w:left w:val="nil"/>
              <w:bottom w:val="nil"/>
              <w:right w:val="nil"/>
            </w:tcBorders>
          </w:tcPr>
          <w:p w14:paraId="1ADBBF3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7B44192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7E856AB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51.28</w:t>
            </w:r>
          </w:p>
        </w:tc>
        <w:tc>
          <w:tcPr>
            <w:tcW w:w="1530" w:type="dxa"/>
            <w:tcBorders>
              <w:top w:val="nil"/>
              <w:left w:val="nil"/>
              <w:bottom w:val="nil"/>
              <w:right w:val="nil"/>
            </w:tcBorders>
          </w:tcPr>
          <w:p w14:paraId="5F5B08C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-1.64</w:t>
            </w:r>
          </w:p>
        </w:tc>
        <w:tc>
          <w:tcPr>
            <w:tcW w:w="810" w:type="dxa"/>
            <w:tcBorders>
              <w:top w:val="nil"/>
              <w:left w:val="nil"/>
              <w:bottom w:val="nil"/>
              <w:right w:val="nil"/>
            </w:tcBorders>
          </w:tcPr>
          <w:p w14:paraId="426D8E1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30</w:t>
            </w:r>
          </w:p>
        </w:tc>
        <w:tc>
          <w:tcPr>
            <w:tcW w:w="2340" w:type="dxa"/>
            <w:gridSpan w:val="2"/>
            <w:tcBorders>
              <w:top w:val="nil"/>
              <w:left w:val="nil"/>
              <w:bottom w:val="nil"/>
              <w:right w:val="nil"/>
            </w:tcBorders>
          </w:tcPr>
          <w:p w14:paraId="7FF0FE9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0E27DC32" w14:textId="77777777" w:rsidTr="008A71E8">
        <w:trPr>
          <w:jc w:val="center"/>
        </w:trPr>
        <w:tc>
          <w:tcPr>
            <w:tcW w:w="2250" w:type="dxa"/>
            <w:tcBorders>
              <w:top w:val="nil"/>
              <w:left w:val="nil"/>
              <w:bottom w:val="nil"/>
              <w:right w:val="nil"/>
            </w:tcBorders>
          </w:tcPr>
          <w:p w14:paraId="2081D4C5"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Portugal</w:t>
            </w:r>
          </w:p>
        </w:tc>
        <w:tc>
          <w:tcPr>
            <w:tcW w:w="1080" w:type="dxa"/>
            <w:tcBorders>
              <w:top w:val="nil"/>
              <w:left w:val="nil"/>
              <w:bottom w:val="nil"/>
              <w:right w:val="nil"/>
            </w:tcBorders>
          </w:tcPr>
          <w:p w14:paraId="2FCC534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4CA45A4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5827730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58.67</w:t>
            </w:r>
          </w:p>
        </w:tc>
        <w:tc>
          <w:tcPr>
            <w:tcW w:w="1530" w:type="dxa"/>
            <w:tcBorders>
              <w:top w:val="nil"/>
              <w:left w:val="nil"/>
              <w:bottom w:val="nil"/>
              <w:right w:val="nil"/>
            </w:tcBorders>
          </w:tcPr>
          <w:p w14:paraId="7C75110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-3.00</w:t>
            </w:r>
          </w:p>
        </w:tc>
        <w:tc>
          <w:tcPr>
            <w:tcW w:w="810" w:type="dxa"/>
            <w:tcBorders>
              <w:top w:val="nil"/>
              <w:left w:val="nil"/>
              <w:bottom w:val="nil"/>
              <w:right w:val="nil"/>
            </w:tcBorders>
          </w:tcPr>
          <w:p w14:paraId="321B6E4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10</w:t>
            </w:r>
          </w:p>
        </w:tc>
        <w:tc>
          <w:tcPr>
            <w:tcW w:w="2340" w:type="dxa"/>
            <w:gridSpan w:val="2"/>
            <w:tcBorders>
              <w:top w:val="nil"/>
              <w:left w:val="nil"/>
              <w:bottom w:val="nil"/>
              <w:right w:val="nil"/>
            </w:tcBorders>
          </w:tcPr>
          <w:p w14:paraId="61622B6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59E76A5F" w14:textId="77777777" w:rsidTr="008A71E8">
        <w:trPr>
          <w:jc w:val="center"/>
        </w:trPr>
        <w:tc>
          <w:tcPr>
            <w:tcW w:w="2250" w:type="dxa"/>
            <w:tcBorders>
              <w:top w:val="nil"/>
              <w:left w:val="nil"/>
              <w:bottom w:val="nil"/>
              <w:right w:val="nil"/>
            </w:tcBorders>
          </w:tcPr>
          <w:p w14:paraId="2A373279"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Qatar</w:t>
            </w:r>
          </w:p>
        </w:tc>
        <w:tc>
          <w:tcPr>
            <w:tcW w:w="1080" w:type="dxa"/>
            <w:tcBorders>
              <w:top w:val="nil"/>
              <w:left w:val="nil"/>
              <w:bottom w:val="nil"/>
              <w:right w:val="nil"/>
            </w:tcBorders>
          </w:tcPr>
          <w:p w14:paraId="22980A4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3DCFE43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Islam</w:t>
            </w:r>
          </w:p>
        </w:tc>
        <w:tc>
          <w:tcPr>
            <w:tcW w:w="1440" w:type="dxa"/>
            <w:tcBorders>
              <w:top w:val="nil"/>
              <w:left w:val="nil"/>
              <w:bottom w:val="nil"/>
              <w:right w:val="nil"/>
            </w:tcBorders>
          </w:tcPr>
          <w:p w14:paraId="6B74082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57.96</w:t>
            </w:r>
          </w:p>
        </w:tc>
        <w:tc>
          <w:tcPr>
            <w:tcW w:w="1530" w:type="dxa"/>
            <w:tcBorders>
              <w:top w:val="nil"/>
              <w:left w:val="nil"/>
              <w:bottom w:val="nil"/>
              <w:right w:val="nil"/>
            </w:tcBorders>
          </w:tcPr>
          <w:p w14:paraId="5D6A5E2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3.69</w:t>
            </w:r>
          </w:p>
        </w:tc>
        <w:tc>
          <w:tcPr>
            <w:tcW w:w="810" w:type="dxa"/>
            <w:tcBorders>
              <w:top w:val="nil"/>
              <w:left w:val="nil"/>
              <w:bottom w:val="nil"/>
              <w:right w:val="nil"/>
            </w:tcBorders>
          </w:tcPr>
          <w:p w14:paraId="54AB7DE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13</w:t>
            </w:r>
          </w:p>
        </w:tc>
        <w:tc>
          <w:tcPr>
            <w:tcW w:w="2340" w:type="dxa"/>
            <w:gridSpan w:val="2"/>
            <w:tcBorders>
              <w:top w:val="nil"/>
              <w:left w:val="nil"/>
              <w:bottom w:val="nil"/>
              <w:right w:val="nil"/>
            </w:tcBorders>
          </w:tcPr>
          <w:p w14:paraId="5209B81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3145AFE2" w14:textId="77777777" w:rsidTr="008A71E8">
        <w:trPr>
          <w:jc w:val="center"/>
        </w:trPr>
        <w:tc>
          <w:tcPr>
            <w:tcW w:w="2250" w:type="dxa"/>
            <w:tcBorders>
              <w:top w:val="nil"/>
              <w:left w:val="nil"/>
              <w:bottom w:val="nil"/>
              <w:right w:val="nil"/>
            </w:tcBorders>
          </w:tcPr>
          <w:p w14:paraId="1DE8A491"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Russia</w:t>
            </w:r>
          </w:p>
        </w:tc>
        <w:tc>
          <w:tcPr>
            <w:tcW w:w="1080" w:type="dxa"/>
            <w:tcBorders>
              <w:top w:val="nil"/>
              <w:left w:val="nil"/>
              <w:bottom w:val="nil"/>
              <w:right w:val="nil"/>
            </w:tcBorders>
          </w:tcPr>
          <w:p w14:paraId="00FE114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2DEA09B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0683966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58.27</w:t>
            </w:r>
          </w:p>
        </w:tc>
        <w:tc>
          <w:tcPr>
            <w:tcW w:w="1530" w:type="dxa"/>
            <w:tcBorders>
              <w:top w:val="nil"/>
              <w:left w:val="nil"/>
              <w:bottom w:val="nil"/>
              <w:right w:val="nil"/>
            </w:tcBorders>
          </w:tcPr>
          <w:p w14:paraId="012E12D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-3.30</w:t>
            </w:r>
          </w:p>
        </w:tc>
        <w:tc>
          <w:tcPr>
            <w:tcW w:w="810" w:type="dxa"/>
            <w:tcBorders>
              <w:top w:val="nil"/>
              <w:left w:val="nil"/>
              <w:bottom w:val="nil"/>
              <w:right w:val="nil"/>
            </w:tcBorders>
          </w:tcPr>
          <w:p w14:paraId="5F94EE3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35</w:t>
            </w:r>
          </w:p>
        </w:tc>
        <w:tc>
          <w:tcPr>
            <w:tcW w:w="2340" w:type="dxa"/>
            <w:gridSpan w:val="2"/>
            <w:tcBorders>
              <w:top w:val="nil"/>
              <w:left w:val="nil"/>
              <w:bottom w:val="nil"/>
              <w:right w:val="nil"/>
            </w:tcBorders>
          </w:tcPr>
          <w:p w14:paraId="6F83E06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3EE6E823" w14:textId="77777777" w:rsidTr="008A71E8">
        <w:trPr>
          <w:jc w:val="center"/>
        </w:trPr>
        <w:tc>
          <w:tcPr>
            <w:tcW w:w="2250" w:type="dxa"/>
            <w:tcBorders>
              <w:top w:val="nil"/>
              <w:left w:val="nil"/>
              <w:bottom w:val="nil"/>
              <w:right w:val="nil"/>
            </w:tcBorders>
          </w:tcPr>
          <w:p w14:paraId="5979355C"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Singapore</w:t>
            </w:r>
          </w:p>
        </w:tc>
        <w:tc>
          <w:tcPr>
            <w:tcW w:w="1080" w:type="dxa"/>
            <w:tcBorders>
              <w:top w:val="nil"/>
              <w:left w:val="nil"/>
              <w:bottom w:val="nil"/>
              <w:right w:val="nil"/>
            </w:tcBorders>
          </w:tcPr>
          <w:p w14:paraId="1A00F67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31FC309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Buddhism</w:t>
            </w:r>
          </w:p>
        </w:tc>
        <w:tc>
          <w:tcPr>
            <w:tcW w:w="1440" w:type="dxa"/>
            <w:tcBorders>
              <w:top w:val="nil"/>
              <w:left w:val="nil"/>
              <w:bottom w:val="nil"/>
              <w:right w:val="nil"/>
            </w:tcBorders>
          </w:tcPr>
          <w:p w14:paraId="32E0BFE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63.55</w:t>
            </w:r>
          </w:p>
        </w:tc>
        <w:tc>
          <w:tcPr>
            <w:tcW w:w="1530" w:type="dxa"/>
            <w:tcBorders>
              <w:top w:val="nil"/>
              <w:left w:val="nil"/>
              <w:bottom w:val="nil"/>
              <w:right w:val="nil"/>
            </w:tcBorders>
          </w:tcPr>
          <w:p w14:paraId="732F2A2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3.45</w:t>
            </w:r>
          </w:p>
        </w:tc>
        <w:tc>
          <w:tcPr>
            <w:tcW w:w="810" w:type="dxa"/>
            <w:tcBorders>
              <w:top w:val="nil"/>
              <w:left w:val="nil"/>
              <w:bottom w:val="nil"/>
              <w:right w:val="nil"/>
            </w:tcBorders>
          </w:tcPr>
          <w:p w14:paraId="73720D0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46</w:t>
            </w:r>
          </w:p>
        </w:tc>
        <w:tc>
          <w:tcPr>
            <w:tcW w:w="2340" w:type="dxa"/>
            <w:gridSpan w:val="2"/>
            <w:tcBorders>
              <w:top w:val="nil"/>
              <w:left w:val="nil"/>
              <w:bottom w:val="nil"/>
              <w:right w:val="nil"/>
            </w:tcBorders>
          </w:tcPr>
          <w:p w14:paraId="796BFD7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4946975E" w14:textId="77777777" w:rsidTr="008A71E8">
        <w:trPr>
          <w:jc w:val="center"/>
        </w:trPr>
        <w:tc>
          <w:tcPr>
            <w:tcW w:w="2250" w:type="dxa"/>
            <w:tcBorders>
              <w:top w:val="nil"/>
              <w:left w:val="nil"/>
              <w:bottom w:val="nil"/>
              <w:right w:val="nil"/>
            </w:tcBorders>
          </w:tcPr>
          <w:p w14:paraId="3B646BF2"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South Africa</w:t>
            </w:r>
          </w:p>
        </w:tc>
        <w:tc>
          <w:tcPr>
            <w:tcW w:w="1080" w:type="dxa"/>
            <w:tcBorders>
              <w:top w:val="nil"/>
              <w:left w:val="nil"/>
              <w:bottom w:val="nil"/>
              <w:right w:val="nil"/>
            </w:tcBorders>
          </w:tcPr>
          <w:p w14:paraId="168DE59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5CAE11B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1CEBAD3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61.78</w:t>
            </w:r>
          </w:p>
        </w:tc>
        <w:tc>
          <w:tcPr>
            <w:tcW w:w="1530" w:type="dxa"/>
            <w:tcBorders>
              <w:top w:val="nil"/>
              <w:left w:val="nil"/>
              <w:bottom w:val="nil"/>
              <w:right w:val="nil"/>
            </w:tcBorders>
          </w:tcPr>
          <w:p w14:paraId="186024B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2.13</w:t>
            </w:r>
          </w:p>
        </w:tc>
        <w:tc>
          <w:tcPr>
            <w:tcW w:w="810" w:type="dxa"/>
            <w:tcBorders>
              <w:top w:val="nil"/>
              <w:left w:val="nil"/>
              <w:bottom w:val="nil"/>
              <w:right w:val="nil"/>
            </w:tcBorders>
          </w:tcPr>
          <w:p w14:paraId="3B6D5A3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121</w:t>
            </w:r>
          </w:p>
        </w:tc>
        <w:tc>
          <w:tcPr>
            <w:tcW w:w="2340" w:type="dxa"/>
            <w:gridSpan w:val="2"/>
            <w:tcBorders>
              <w:top w:val="nil"/>
              <w:left w:val="nil"/>
              <w:bottom w:val="nil"/>
              <w:right w:val="nil"/>
            </w:tcBorders>
          </w:tcPr>
          <w:p w14:paraId="6D2BED9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20BB9335" w14:textId="77777777" w:rsidTr="008A71E8">
        <w:trPr>
          <w:jc w:val="center"/>
        </w:trPr>
        <w:tc>
          <w:tcPr>
            <w:tcW w:w="2250" w:type="dxa"/>
            <w:tcBorders>
              <w:top w:val="nil"/>
              <w:left w:val="nil"/>
              <w:bottom w:val="nil"/>
              <w:right w:val="nil"/>
            </w:tcBorders>
          </w:tcPr>
          <w:p w14:paraId="3429BF00"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South Korea</w:t>
            </w:r>
          </w:p>
        </w:tc>
        <w:tc>
          <w:tcPr>
            <w:tcW w:w="1080" w:type="dxa"/>
            <w:tcBorders>
              <w:top w:val="nil"/>
              <w:left w:val="nil"/>
              <w:bottom w:val="nil"/>
              <w:right w:val="nil"/>
            </w:tcBorders>
          </w:tcPr>
          <w:p w14:paraId="4091324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1D42880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1C68BA1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44.45</w:t>
            </w:r>
          </w:p>
        </w:tc>
        <w:tc>
          <w:tcPr>
            <w:tcW w:w="1530" w:type="dxa"/>
            <w:tcBorders>
              <w:top w:val="nil"/>
              <w:left w:val="nil"/>
              <w:bottom w:val="nil"/>
              <w:right w:val="nil"/>
            </w:tcBorders>
          </w:tcPr>
          <w:p w14:paraId="78B8373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-3.49</w:t>
            </w:r>
          </w:p>
        </w:tc>
        <w:tc>
          <w:tcPr>
            <w:tcW w:w="810" w:type="dxa"/>
            <w:tcBorders>
              <w:top w:val="nil"/>
              <w:left w:val="nil"/>
              <w:bottom w:val="nil"/>
              <w:right w:val="nil"/>
            </w:tcBorders>
          </w:tcPr>
          <w:p w14:paraId="4E2ADC3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111</w:t>
            </w:r>
          </w:p>
        </w:tc>
        <w:tc>
          <w:tcPr>
            <w:tcW w:w="2340" w:type="dxa"/>
            <w:gridSpan w:val="2"/>
            <w:tcBorders>
              <w:top w:val="nil"/>
              <w:left w:val="nil"/>
              <w:bottom w:val="nil"/>
              <w:right w:val="nil"/>
            </w:tcBorders>
          </w:tcPr>
          <w:p w14:paraId="5D4E526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2EA0E656" w14:textId="77777777" w:rsidTr="008A71E8">
        <w:trPr>
          <w:jc w:val="center"/>
        </w:trPr>
        <w:tc>
          <w:tcPr>
            <w:tcW w:w="2250" w:type="dxa"/>
            <w:tcBorders>
              <w:top w:val="nil"/>
              <w:left w:val="nil"/>
              <w:bottom w:val="nil"/>
              <w:right w:val="nil"/>
            </w:tcBorders>
          </w:tcPr>
          <w:p w14:paraId="570B19AA"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Spain</w:t>
            </w:r>
          </w:p>
        </w:tc>
        <w:tc>
          <w:tcPr>
            <w:tcW w:w="1080" w:type="dxa"/>
            <w:tcBorders>
              <w:top w:val="nil"/>
              <w:left w:val="nil"/>
              <w:bottom w:val="nil"/>
              <w:right w:val="nil"/>
            </w:tcBorders>
          </w:tcPr>
          <w:p w14:paraId="5FE47E8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5BD7C15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7F21D3F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62.75</w:t>
            </w:r>
          </w:p>
        </w:tc>
        <w:tc>
          <w:tcPr>
            <w:tcW w:w="1530" w:type="dxa"/>
            <w:tcBorders>
              <w:top w:val="nil"/>
              <w:left w:val="nil"/>
              <w:bottom w:val="nil"/>
              <w:right w:val="nil"/>
            </w:tcBorders>
          </w:tcPr>
          <w:p w14:paraId="4FCD9A0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-2.81</w:t>
            </w:r>
          </w:p>
        </w:tc>
        <w:tc>
          <w:tcPr>
            <w:tcW w:w="810" w:type="dxa"/>
            <w:tcBorders>
              <w:top w:val="nil"/>
              <w:left w:val="nil"/>
              <w:bottom w:val="nil"/>
              <w:right w:val="nil"/>
            </w:tcBorders>
          </w:tcPr>
          <w:p w14:paraId="1D99C1C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48</w:t>
            </w:r>
          </w:p>
        </w:tc>
        <w:tc>
          <w:tcPr>
            <w:tcW w:w="2340" w:type="dxa"/>
            <w:gridSpan w:val="2"/>
            <w:tcBorders>
              <w:top w:val="nil"/>
              <w:left w:val="nil"/>
              <w:bottom w:val="nil"/>
              <w:right w:val="nil"/>
            </w:tcBorders>
          </w:tcPr>
          <w:p w14:paraId="2EAC9A1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7962A72D" w14:textId="77777777" w:rsidTr="008A71E8">
        <w:trPr>
          <w:jc w:val="center"/>
        </w:trPr>
        <w:tc>
          <w:tcPr>
            <w:tcW w:w="2250" w:type="dxa"/>
            <w:tcBorders>
              <w:top w:val="nil"/>
              <w:left w:val="nil"/>
              <w:bottom w:val="nil"/>
              <w:right w:val="nil"/>
            </w:tcBorders>
          </w:tcPr>
          <w:p w14:paraId="6DB133A0"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Sweden</w:t>
            </w:r>
          </w:p>
        </w:tc>
        <w:tc>
          <w:tcPr>
            <w:tcW w:w="1080" w:type="dxa"/>
            <w:tcBorders>
              <w:top w:val="nil"/>
              <w:left w:val="nil"/>
              <w:bottom w:val="nil"/>
              <w:right w:val="nil"/>
            </w:tcBorders>
          </w:tcPr>
          <w:p w14:paraId="42167EC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740A89A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534FEB6A"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58.30</w:t>
            </w:r>
          </w:p>
        </w:tc>
        <w:tc>
          <w:tcPr>
            <w:tcW w:w="1530" w:type="dxa"/>
            <w:tcBorders>
              <w:top w:val="nil"/>
              <w:left w:val="nil"/>
              <w:bottom w:val="nil"/>
              <w:right w:val="nil"/>
            </w:tcBorders>
          </w:tcPr>
          <w:p w14:paraId="3C07253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1.77</w:t>
            </w:r>
          </w:p>
        </w:tc>
        <w:tc>
          <w:tcPr>
            <w:tcW w:w="810" w:type="dxa"/>
            <w:tcBorders>
              <w:top w:val="nil"/>
              <w:left w:val="nil"/>
              <w:bottom w:val="nil"/>
              <w:right w:val="nil"/>
            </w:tcBorders>
          </w:tcPr>
          <w:p w14:paraId="792C65E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61</w:t>
            </w:r>
          </w:p>
        </w:tc>
        <w:tc>
          <w:tcPr>
            <w:tcW w:w="2340" w:type="dxa"/>
            <w:gridSpan w:val="2"/>
            <w:tcBorders>
              <w:top w:val="nil"/>
              <w:left w:val="nil"/>
              <w:bottom w:val="nil"/>
              <w:right w:val="nil"/>
            </w:tcBorders>
          </w:tcPr>
          <w:p w14:paraId="374F545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3651A5E4" w14:textId="77777777" w:rsidTr="008A71E8">
        <w:trPr>
          <w:jc w:val="center"/>
        </w:trPr>
        <w:tc>
          <w:tcPr>
            <w:tcW w:w="2250" w:type="dxa"/>
            <w:tcBorders>
              <w:top w:val="nil"/>
              <w:left w:val="nil"/>
              <w:bottom w:val="nil"/>
              <w:right w:val="nil"/>
            </w:tcBorders>
          </w:tcPr>
          <w:p w14:paraId="58B45DEF"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Switzerland</w:t>
            </w:r>
          </w:p>
        </w:tc>
        <w:tc>
          <w:tcPr>
            <w:tcW w:w="1080" w:type="dxa"/>
            <w:tcBorders>
              <w:top w:val="nil"/>
              <w:left w:val="nil"/>
              <w:bottom w:val="nil"/>
              <w:right w:val="nil"/>
            </w:tcBorders>
          </w:tcPr>
          <w:p w14:paraId="1A848BF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69F9688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202BE3ED"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59.43</w:t>
            </w:r>
          </w:p>
        </w:tc>
        <w:tc>
          <w:tcPr>
            <w:tcW w:w="1530" w:type="dxa"/>
            <w:tcBorders>
              <w:top w:val="nil"/>
              <w:left w:val="nil"/>
              <w:bottom w:val="nil"/>
              <w:right w:val="nil"/>
            </w:tcBorders>
          </w:tcPr>
          <w:p w14:paraId="4ED3CF9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2.51</w:t>
            </w:r>
          </w:p>
        </w:tc>
        <w:tc>
          <w:tcPr>
            <w:tcW w:w="810" w:type="dxa"/>
            <w:tcBorders>
              <w:top w:val="nil"/>
              <w:left w:val="nil"/>
              <w:bottom w:val="nil"/>
              <w:right w:val="nil"/>
            </w:tcBorders>
          </w:tcPr>
          <w:p w14:paraId="2ED0B60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66</w:t>
            </w:r>
          </w:p>
        </w:tc>
        <w:tc>
          <w:tcPr>
            <w:tcW w:w="2340" w:type="dxa"/>
            <w:gridSpan w:val="2"/>
            <w:tcBorders>
              <w:top w:val="nil"/>
              <w:left w:val="nil"/>
              <w:bottom w:val="nil"/>
              <w:right w:val="nil"/>
            </w:tcBorders>
          </w:tcPr>
          <w:p w14:paraId="17E48F1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1C0B4241" w14:textId="77777777" w:rsidTr="008A71E8">
        <w:trPr>
          <w:jc w:val="center"/>
        </w:trPr>
        <w:tc>
          <w:tcPr>
            <w:tcW w:w="2250" w:type="dxa"/>
            <w:tcBorders>
              <w:top w:val="nil"/>
              <w:left w:val="nil"/>
              <w:bottom w:val="nil"/>
              <w:right w:val="nil"/>
            </w:tcBorders>
          </w:tcPr>
          <w:p w14:paraId="7555FB6F"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Taiwan</w:t>
            </w:r>
          </w:p>
        </w:tc>
        <w:tc>
          <w:tcPr>
            <w:tcW w:w="1080" w:type="dxa"/>
            <w:tcBorders>
              <w:top w:val="nil"/>
              <w:left w:val="nil"/>
              <w:bottom w:val="nil"/>
              <w:right w:val="nil"/>
            </w:tcBorders>
          </w:tcPr>
          <w:p w14:paraId="7E9BC8D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397488C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Buddhism</w:t>
            </w:r>
          </w:p>
        </w:tc>
        <w:tc>
          <w:tcPr>
            <w:tcW w:w="1440" w:type="dxa"/>
            <w:tcBorders>
              <w:top w:val="nil"/>
              <w:left w:val="nil"/>
              <w:bottom w:val="nil"/>
              <w:right w:val="nil"/>
            </w:tcBorders>
          </w:tcPr>
          <w:p w14:paraId="46B09F8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53.24</w:t>
            </w:r>
          </w:p>
        </w:tc>
        <w:tc>
          <w:tcPr>
            <w:tcW w:w="1530" w:type="dxa"/>
            <w:tcBorders>
              <w:top w:val="nil"/>
              <w:left w:val="nil"/>
              <w:bottom w:val="nil"/>
              <w:right w:val="nil"/>
            </w:tcBorders>
          </w:tcPr>
          <w:p w14:paraId="00E3BD7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1.84</w:t>
            </w:r>
          </w:p>
        </w:tc>
        <w:tc>
          <w:tcPr>
            <w:tcW w:w="810" w:type="dxa"/>
            <w:tcBorders>
              <w:top w:val="nil"/>
              <w:left w:val="nil"/>
              <w:bottom w:val="nil"/>
              <w:right w:val="nil"/>
            </w:tcBorders>
          </w:tcPr>
          <w:p w14:paraId="3BE8D23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134</w:t>
            </w:r>
          </w:p>
        </w:tc>
        <w:tc>
          <w:tcPr>
            <w:tcW w:w="2340" w:type="dxa"/>
            <w:gridSpan w:val="2"/>
            <w:tcBorders>
              <w:top w:val="nil"/>
              <w:left w:val="nil"/>
              <w:bottom w:val="nil"/>
              <w:right w:val="nil"/>
            </w:tcBorders>
          </w:tcPr>
          <w:p w14:paraId="6DD4E96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5C7B151C" w14:textId="77777777" w:rsidTr="008A71E8">
        <w:trPr>
          <w:jc w:val="center"/>
        </w:trPr>
        <w:tc>
          <w:tcPr>
            <w:tcW w:w="2250" w:type="dxa"/>
            <w:tcBorders>
              <w:top w:val="nil"/>
              <w:left w:val="nil"/>
              <w:bottom w:val="nil"/>
              <w:right w:val="nil"/>
            </w:tcBorders>
          </w:tcPr>
          <w:p w14:paraId="76F97AAC"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Thailand</w:t>
            </w:r>
          </w:p>
        </w:tc>
        <w:tc>
          <w:tcPr>
            <w:tcW w:w="1080" w:type="dxa"/>
            <w:tcBorders>
              <w:top w:val="nil"/>
              <w:left w:val="nil"/>
              <w:bottom w:val="nil"/>
              <w:right w:val="nil"/>
            </w:tcBorders>
          </w:tcPr>
          <w:p w14:paraId="5BE4082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5618A657"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Buddhism</w:t>
            </w:r>
          </w:p>
        </w:tc>
        <w:tc>
          <w:tcPr>
            <w:tcW w:w="1440" w:type="dxa"/>
            <w:tcBorders>
              <w:top w:val="nil"/>
              <w:left w:val="nil"/>
              <w:bottom w:val="nil"/>
              <w:right w:val="nil"/>
            </w:tcBorders>
          </w:tcPr>
          <w:p w14:paraId="0AB234F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58.88</w:t>
            </w:r>
          </w:p>
        </w:tc>
        <w:tc>
          <w:tcPr>
            <w:tcW w:w="1530" w:type="dxa"/>
            <w:tcBorders>
              <w:top w:val="nil"/>
              <w:left w:val="nil"/>
              <w:bottom w:val="nil"/>
              <w:right w:val="nil"/>
            </w:tcBorders>
          </w:tcPr>
          <w:p w14:paraId="71A6CE01"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0.32</w:t>
            </w:r>
          </w:p>
        </w:tc>
        <w:tc>
          <w:tcPr>
            <w:tcW w:w="810" w:type="dxa"/>
            <w:tcBorders>
              <w:top w:val="nil"/>
              <w:left w:val="nil"/>
              <w:bottom w:val="nil"/>
              <w:right w:val="nil"/>
            </w:tcBorders>
          </w:tcPr>
          <w:p w14:paraId="2739FA3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33</w:t>
            </w:r>
          </w:p>
        </w:tc>
        <w:tc>
          <w:tcPr>
            <w:tcW w:w="2340" w:type="dxa"/>
            <w:gridSpan w:val="2"/>
            <w:tcBorders>
              <w:top w:val="nil"/>
              <w:left w:val="nil"/>
              <w:bottom w:val="nil"/>
              <w:right w:val="nil"/>
            </w:tcBorders>
          </w:tcPr>
          <w:p w14:paraId="7641FC5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051D84F4" w14:textId="77777777" w:rsidTr="008A71E8">
        <w:trPr>
          <w:jc w:val="center"/>
        </w:trPr>
        <w:tc>
          <w:tcPr>
            <w:tcW w:w="2250" w:type="dxa"/>
            <w:tcBorders>
              <w:top w:val="nil"/>
              <w:left w:val="nil"/>
              <w:bottom w:val="nil"/>
              <w:right w:val="nil"/>
            </w:tcBorders>
          </w:tcPr>
          <w:p w14:paraId="78E5BC4B"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Turkey</w:t>
            </w:r>
          </w:p>
        </w:tc>
        <w:tc>
          <w:tcPr>
            <w:tcW w:w="1080" w:type="dxa"/>
            <w:tcBorders>
              <w:top w:val="nil"/>
              <w:left w:val="nil"/>
              <w:bottom w:val="nil"/>
              <w:right w:val="nil"/>
            </w:tcBorders>
          </w:tcPr>
          <w:p w14:paraId="20758362"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573DFD1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Islam</w:t>
            </w:r>
          </w:p>
        </w:tc>
        <w:tc>
          <w:tcPr>
            <w:tcW w:w="1440" w:type="dxa"/>
            <w:tcBorders>
              <w:top w:val="nil"/>
              <w:left w:val="nil"/>
              <w:bottom w:val="nil"/>
              <w:right w:val="nil"/>
            </w:tcBorders>
          </w:tcPr>
          <w:p w14:paraId="00229DC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50.59</w:t>
            </w:r>
          </w:p>
        </w:tc>
        <w:tc>
          <w:tcPr>
            <w:tcW w:w="1530" w:type="dxa"/>
            <w:tcBorders>
              <w:top w:val="nil"/>
              <w:left w:val="nil"/>
              <w:bottom w:val="nil"/>
              <w:right w:val="nil"/>
            </w:tcBorders>
          </w:tcPr>
          <w:p w14:paraId="4B0B363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-1.46</w:t>
            </w:r>
          </w:p>
        </w:tc>
        <w:tc>
          <w:tcPr>
            <w:tcW w:w="810" w:type="dxa"/>
            <w:tcBorders>
              <w:top w:val="nil"/>
              <w:left w:val="nil"/>
              <w:bottom w:val="nil"/>
              <w:right w:val="nil"/>
            </w:tcBorders>
          </w:tcPr>
          <w:p w14:paraId="082B461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25</w:t>
            </w:r>
          </w:p>
        </w:tc>
        <w:tc>
          <w:tcPr>
            <w:tcW w:w="2340" w:type="dxa"/>
            <w:gridSpan w:val="2"/>
            <w:tcBorders>
              <w:top w:val="nil"/>
              <w:left w:val="nil"/>
              <w:bottom w:val="nil"/>
              <w:right w:val="nil"/>
            </w:tcBorders>
          </w:tcPr>
          <w:p w14:paraId="7F2D3A2B"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Upper-middle income</w:t>
            </w:r>
          </w:p>
        </w:tc>
      </w:tr>
      <w:tr w:rsidR="00256D45" w:rsidRPr="00ED510B" w14:paraId="71C084EF" w14:textId="77777777" w:rsidTr="008A71E8">
        <w:trPr>
          <w:jc w:val="center"/>
        </w:trPr>
        <w:tc>
          <w:tcPr>
            <w:tcW w:w="2250" w:type="dxa"/>
            <w:tcBorders>
              <w:top w:val="nil"/>
              <w:left w:val="nil"/>
              <w:bottom w:val="nil"/>
              <w:right w:val="nil"/>
            </w:tcBorders>
          </w:tcPr>
          <w:p w14:paraId="58822588"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United Arab Emirates</w:t>
            </w:r>
          </w:p>
        </w:tc>
        <w:tc>
          <w:tcPr>
            <w:tcW w:w="1080" w:type="dxa"/>
            <w:tcBorders>
              <w:top w:val="nil"/>
              <w:left w:val="nil"/>
              <w:bottom w:val="nil"/>
              <w:right w:val="nil"/>
            </w:tcBorders>
          </w:tcPr>
          <w:p w14:paraId="13E6C8A5"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Civil</w:t>
            </w:r>
          </w:p>
        </w:tc>
        <w:tc>
          <w:tcPr>
            <w:tcW w:w="1530" w:type="dxa"/>
            <w:tcBorders>
              <w:top w:val="nil"/>
              <w:left w:val="nil"/>
              <w:bottom w:val="nil"/>
              <w:right w:val="nil"/>
            </w:tcBorders>
          </w:tcPr>
          <w:p w14:paraId="17AC2D8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Islam</w:t>
            </w:r>
          </w:p>
        </w:tc>
        <w:tc>
          <w:tcPr>
            <w:tcW w:w="1440" w:type="dxa"/>
            <w:tcBorders>
              <w:top w:val="nil"/>
              <w:left w:val="nil"/>
              <w:bottom w:val="nil"/>
              <w:right w:val="nil"/>
            </w:tcBorders>
          </w:tcPr>
          <w:p w14:paraId="435C11E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45.77</w:t>
            </w:r>
          </w:p>
        </w:tc>
        <w:tc>
          <w:tcPr>
            <w:tcW w:w="1530" w:type="dxa"/>
            <w:tcBorders>
              <w:top w:val="nil"/>
              <w:left w:val="nil"/>
              <w:bottom w:val="nil"/>
              <w:right w:val="nil"/>
            </w:tcBorders>
          </w:tcPr>
          <w:p w14:paraId="3E278DA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2.00</w:t>
            </w:r>
          </w:p>
        </w:tc>
        <w:tc>
          <w:tcPr>
            <w:tcW w:w="810" w:type="dxa"/>
            <w:tcBorders>
              <w:top w:val="nil"/>
              <w:left w:val="nil"/>
              <w:bottom w:val="nil"/>
              <w:right w:val="nil"/>
            </w:tcBorders>
          </w:tcPr>
          <w:p w14:paraId="0E731FFC"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13</w:t>
            </w:r>
          </w:p>
        </w:tc>
        <w:tc>
          <w:tcPr>
            <w:tcW w:w="2340" w:type="dxa"/>
            <w:gridSpan w:val="2"/>
            <w:tcBorders>
              <w:top w:val="nil"/>
              <w:left w:val="nil"/>
              <w:bottom w:val="nil"/>
              <w:right w:val="nil"/>
            </w:tcBorders>
          </w:tcPr>
          <w:p w14:paraId="719EBCD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0071D9DA" w14:textId="77777777" w:rsidTr="008A71E8">
        <w:trPr>
          <w:jc w:val="center"/>
        </w:trPr>
        <w:tc>
          <w:tcPr>
            <w:tcW w:w="2250" w:type="dxa"/>
            <w:tcBorders>
              <w:top w:val="nil"/>
              <w:left w:val="nil"/>
              <w:bottom w:val="nil"/>
              <w:right w:val="nil"/>
            </w:tcBorders>
          </w:tcPr>
          <w:p w14:paraId="01B8C16F"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United Kingdom</w:t>
            </w:r>
          </w:p>
        </w:tc>
        <w:tc>
          <w:tcPr>
            <w:tcW w:w="1080" w:type="dxa"/>
            <w:tcBorders>
              <w:top w:val="nil"/>
              <w:left w:val="nil"/>
              <w:bottom w:val="nil"/>
              <w:right w:val="nil"/>
            </w:tcBorders>
          </w:tcPr>
          <w:p w14:paraId="27E17580"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Common</w:t>
            </w:r>
          </w:p>
        </w:tc>
        <w:tc>
          <w:tcPr>
            <w:tcW w:w="1530" w:type="dxa"/>
            <w:tcBorders>
              <w:top w:val="nil"/>
              <w:left w:val="nil"/>
              <w:bottom w:val="nil"/>
              <w:right w:val="nil"/>
            </w:tcBorders>
          </w:tcPr>
          <w:p w14:paraId="0F656F7F"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Christianity</w:t>
            </w:r>
          </w:p>
        </w:tc>
        <w:tc>
          <w:tcPr>
            <w:tcW w:w="1440" w:type="dxa"/>
            <w:tcBorders>
              <w:top w:val="nil"/>
              <w:left w:val="nil"/>
              <w:bottom w:val="nil"/>
              <w:right w:val="nil"/>
            </w:tcBorders>
          </w:tcPr>
          <w:p w14:paraId="417303E6"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78.78</w:t>
            </w:r>
          </w:p>
        </w:tc>
        <w:tc>
          <w:tcPr>
            <w:tcW w:w="1530" w:type="dxa"/>
            <w:tcBorders>
              <w:top w:val="nil"/>
              <w:left w:val="nil"/>
              <w:bottom w:val="nil"/>
              <w:right w:val="nil"/>
            </w:tcBorders>
          </w:tcPr>
          <w:p w14:paraId="7469613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1.20</w:t>
            </w:r>
          </w:p>
        </w:tc>
        <w:tc>
          <w:tcPr>
            <w:tcW w:w="810" w:type="dxa"/>
            <w:tcBorders>
              <w:top w:val="nil"/>
              <w:left w:val="nil"/>
              <w:bottom w:val="nil"/>
              <w:right w:val="nil"/>
            </w:tcBorders>
          </w:tcPr>
          <w:p w14:paraId="09C2C8C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389</w:t>
            </w:r>
          </w:p>
        </w:tc>
        <w:tc>
          <w:tcPr>
            <w:tcW w:w="2340" w:type="dxa"/>
            <w:gridSpan w:val="2"/>
            <w:tcBorders>
              <w:top w:val="nil"/>
              <w:left w:val="nil"/>
              <w:bottom w:val="nil"/>
              <w:right w:val="nil"/>
            </w:tcBorders>
          </w:tcPr>
          <w:p w14:paraId="109D5FD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High income</w:t>
            </w:r>
          </w:p>
        </w:tc>
      </w:tr>
      <w:tr w:rsidR="00256D45" w:rsidRPr="00ED510B" w14:paraId="7F76297A" w14:textId="77777777" w:rsidTr="008A71E8">
        <w:trPr>
          <w:jc w:val="center"/>
        </w:trPr>
        <w:tc>
          <w:tcPr>
            <w:tcW w:w="2250" w:type="dxa"/>
            <w:tcBorders>
              <w:top w:val="nil"/>
              <w:left w:val="nil"/>
              <w:bottom w:val="nil"/>
              <w:right w:val="nil"/>
            </w:tcBorders>
          </w:tcPr>
          <w:p w14:paraId="2ABF3C84"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Average</w:t>
            </w:r>
          </w:p>
        </w:tc>
        <w:tc>
          <w:tcPr>
            <w:tcW w:w="1080" w:type="dxa"/>
            <w:tcBorders>
              <w:top w:val="nil"/>
              <w:left w:val="nil"/>
              <w:bottom w:val="nil"/>
              <w:right w:val="nil"/>
            </w:tcBorders>
          </w:tcPr>
          <w:p w14:paraId="05814FE7" w14:textId="77777777" w:rsidR="00256D45" w:rsidRPr="00ED510B" w:rsidRDefault="00256D45" w:rsidP="008A71E8">
            <w:pPr>
              <w:tabs>
                <w:tab w:val="left" w:pos="426"/>
              </w:tabs>
              <w:jc w:val="center"/>
              <w:rPr>
                <w:rFonts w:asciiTheme="majorBidi" w:hAnsiTheme="majorBidi" w:cstheme="majorBidi"/>
                <w:sz w:val="20"/>
                <w:szCs w:val="20"/>
              </w:rPr>
            </w:pPr>
          </w:p>
        </w:tc>
        <w:tc>
          <w:tcPr>
            <w:tcW w:w="1530" w:type="dxa"/>
            <w:tcBorders>
              <w:top w:val="nil"/>
              <w:left w:val="nil"/>
              <w:bottom w:val="nil"/>
              <w:right w:val="nil"/>
            </w:tcBorders>
          </w:tcPr>
          <w:p w14:paraId="4CE2F585" w14:textId="77777777" w:rsidR="00256D45" w:rsidRPr="00ED510B" w:rsidRDefault="00256D45" w:rsidP="008A71E8">
            <w:pPr>
              <w:tabs>
                <w:tab w:val="left" w:pos="426"/>
              </w:tabs>
              <w:jc w:val="center"/>
              <w:rPr>
                <w:rFonts w:asciiTheme="majorBidi" w:hAnsiTheme="majorBidi" w:cstheme="majorBidi"/>
                <w:sz w:val="20"/>
                <w:szCs w:val="20"/>
              </w:rPr>
            </w:pPr>
          </w:p>
        </w:tc>
        <w:tc>
          <w:tcPr>
            <w:tcW w:w="1440" w:type="dxa"/>
            <w:tcBorders>
              <w:top w:val="nil"/>
              <w:left w:val="nil"/>
              <w:bottom w:val="nil"/>
              <w:right w:val="nil"/>
            </w:tcBorders>
          </w:tcPr>
          <w:p w14:paraId="39F1D209"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59.40</w:t>
            </w:r>
          </w:p>
        </w:tc>
        <w:tc>
          <w:tcPr>
            <w:tcW w:w="1530" w:type="dxa"/>
            <w:tcBorders>
              <w:top w:val="nil"/>
              <w:left w:val="nil"/>
              <w:bottom w:val="nil"/>
              <w:right w:val="nil"/>
            </w:tcBorders>
          </w:tcPr>
          <w:p w14:paraId="0D1375D8"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0.00</w:t>
            </w:r>
          </w:p>
        </w:tc>
        <w:tc>
          <w:tcPr>
            <w:tcW w:w="810" w:type="dxa"/>
            <w:tcBorders>
              <w:top w:val="nil"/>
              <w:left w:val="nil"/>
              <w:bottom w:val="nil"/>
              <w:right w:val="nil"/>
            </w:tcBorders>
          </w:tcPr>
          <w:p w14:paraId="3E9C9964"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77</w:t>
            </w:r>
          </w:p>
        </w:tc>
        <w:tc>
          <w:tcPr>
            <w:tcW w:w="2340" w:type="dxa"/>
            <w:gridSpan w:val="2"/>
            <w:tcBorders>
              <w:top w:val="nil"/>
              <w:left w:val="nil"/>
              <w:bottom w:val="nil"/>
              <w:right w:val="nil"/>
            </w:tcBorders>
          </w:tcPr>
          <w:p w14:paraId="18B55477" w14:textId="77777777" w:rsidR="00256D45" w:rsidRPr="00ED510B" w:rsidRDefault="00256D45" w:rsidP="008A71E8">
            <w:pPr>
              <w:tabs>
                <w:tab w:val="left" w:pos="426"/>
              </w:tabs>
              <w:jc w:val="center"/>
              <w:rPr>
                <w:rFonts w:asciiTheme="majorBidi" w:hAnsiTheme="majorBidi" w:cstheme="majorBidi"/>
                <w:sz w:val="20"/>
                <w:szCs w:val="20"/>
              </w:rPr>
            </w:pPr>
          </w:p>
        </w:tc>
      </w:tr>
      <w:tr w:rsidR="00256D45" w:rsidRPr="00ED510B" w14:paraId="5BC4177C" w14:textId="77777777" w:rsidTr="008A71E8">
        <w:trPr>
          <w:jc w:val="center"/>
        </w:trPr>
        <w:tc>
          <w:tcPr>
            <w:tcW w:w="2250" w:type="dxa"/>
            <w:tcBorders>
              <w:top w:val="nil"/>
              <w:left w:val="nil"/>
              <w:bottom w:val="single" w:sz="4" w:space="0" w:color="auto"/>
              <w:right w:val="nil"/>
            </w:tcBorders>
          </w:tcPr>
          <w:p w14:paraId="73221BC3" w14:textId="77777777" w:rsidR="00256D45" w:rsidRPr="00ED510B" w:rsidRDefault="00256D45" w:rsidP="008A71E8">
            <w:pPr>
              <w:tabs>
                <w:tab w:val="left" w:pos="426"/>
              </w:tabs>
              <w:rPr>
                <w:rFonts w:asciiTheme="majorBidi" w:hAnsiTheme="majorBidi" w:cstheme="majorBidi"/>
                <w:sz w:val="20"/>
                <w:szCs w:val="20"/>
              </w:rPr>
            </w:pPr>
            <w:r w:rsidRPr="00ED510B">
              <w:rPr>
                <w:rFonts w:asciiTheme="majorBidi" w:hAnsiTheme="majorBidi" w:cstheme="majorBidi"/>
                <w:sz w:val="20"/>
                <w:szCs w:val="20"/>
              </w:rPr>
              <w:t>Median</w:t>
            </w:r>
          </w:p>
        </w:tc>
        <w:tc>
          <w:tcPr>
            <w:tcW w:w="1080" w:type="dxa"/>
            <w:tcBorders>
              <w:top w:val="nil"/>
              <w:left w:val="nil"/>
              <w:bottom w:val="single" w:sz="4" w:space="0" w:color="auto"/>
              <w:right w:val="nil"/>
            </w:tcBorders>
          </w:tcPr>
          <w:p w14:paraId="7E8FFE26" w14:textId="77777777" w:rsidR="00256D45" w:rsidRPr="00ED510B" w:rsidRDefault="00256D45" w:rsidP="008A71E8">
            <w:pPr>
              <w:tabs>
                <w:tab w:val="left" w:pos="426"/>
              </w:tabs>
              <w:jc w:val="center"/>
              <w:rPr>
                <w:rFonts w:asciiTheme="majorBidi" w:hAnsiTheme="majorBidi" w:cstheme="majorBidi"/>
                <w:sz w:val="20"/>
                <w:szCs w:val="20"/>
              </w:rPr>
            </w:pPr>
          </w:p>
        </w:tc>
        <w:tc>
          <w:tcPr>
            <w:tcW w:w="1530" w:type="dxa"/>
            <w:tcBorders>
              <w:top w:val="nil"/>
              <w:left w:val="nil"/>
              <w:bottom w:val="single" w:sz="4" w:space="0" w:color="auto"/>
              <w:right w:val="nil"/>
            </w:tcBorders>
          </w:tcPr>
          <w:p w14:paraId="7515F0D0" w14:textId="77777777" w:rsidR="00256D45" w:rsidRPr="00ED510B" w:rsidRDefault="00256D45" w:rsidP="008A71E8">
            <w:pPr>
              <w:tabs>
                <w:tab w:val="left" w:pos="426"/>
              </w:tabs>
              <w:jc w:val="center"/>
              <w:rPr>
                <w:rFonts w:asciiTheme="majorBidi" w:hAnsiTheme="majorBidi" w:cstheme="majorBidi"/>
                <w:sz w:val="20"/>
                <w:szCs w:val="20"/>
              </w:rPr>
            </w:pPr>
          </w:p>
        </w:tc>
        <w:tc>
          <w:tcPr>
            <w:tcW w:w="1440" w:type="dxa"/>
            <w:tcBorders>
              <w:top w:val="nil"/>
              <w:left w:val="nil"/>
              <w:bottom w:val="single" w:sz="4" w:space="0" w:color="auto"/>
              <w:right w:val="nil"/>
            </w:tcBorders>
          </w:tcPr>
          <w:p w14:paraId="65C442E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59.21</w:t>
            </w:r>
          </w:p>
        </w:tc>
        <w:tc>
          <w:tcPr>
            <w:tcW w:w="1530" w:type="dxa"/>
            <w:tcBorders>
              <w:top w:val="nil"/>
              <w:left w:val="nil"/>
              <w:bottom w:val="single" w:sz="4" w:space="0" w:color="auto"/>
              <w:right w:val="nil"/>
            </w:tcBorders>
          </w:tcPr>
          <w:p w14:paraId="3546EAE3"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0.32</w:t>
            </w:r>
          </w:p>
        </w:tc>
        <w:tc>
          <w:tcPr>
            <w:tcW w:w="810" w:type="dxa"/>
            <w:tcBorders>
              <w:top w:val="nil"/>
              <w:left w:val="nil"/>
              <w:bottom w:val="single" w:sz="4" w:space="0" w:color="auto"/>
              <w:right w:val="nil"/>
            </w:tcBorders>
          </w:tcPr>
          <w:p w14:paraId="7CADD9EE" w14:textId="77777777" w:rsidR="00256D45" w:rsidRPr="00ED510B" w:rsidRDefault="00256D45" w:rsidP="008A71E8">
            <w:pPr>
              <w:tabs>
                <w:tab w:val="left" w:pos="426"/>
              </w:tabs>
              <w:jc w:val="center"/>
              <w:rPr>
                <w:rFonts w:asciiTheme="majorBidi" w:hAnsiTheme="majorBidi" w:cstheme="majorBidi"/>
                <w:sz w:val="20"/>
                <w:szCs w:val="20"/>
              </w:rPr>
            </w:pPr>
            <w:r w:rsidRPr="00ED510B">
              <w:rPr>
                <w:rFonts w:asciiTheme="majorBidi" w:hAnsiTheme="majorBidi" w:cstheme="majorBidi"/>
                <w:sz w:val="20"/>
                <w:szCs w:val="20"/>
              </w:rPr>
              <w:t>35</w:t>
            </w:r>
          </w:p>
        </w:tc>
        <w:tc>
          <w:tcPr>
            <w:tcW w:w="2340" w:type="dxa"/>
            <w:gridSpan w:val="2"/>
            <w:tcBorders>
              <w:top w:val="nil"/>
              <w:left w:val="nil"/>
              <w:bottom w:val="single" w:sz="4" w:space="0" w:color="auto"/>
              <w:right w:val="nil"/>
            </w:tcBorders>
          </w:tcPr>
          <w:p w14:paraId="348E8D00" w14:textId="77777777" w:rsidR="00256D45" w:rsidRPr="00ED510B" w:rsidRDefault="00256D45" w:rsidP="008A71E8">
            <w:pPr>
              <w:tabs>
                <w:tab w:val="left" w:pos="426"/>
              </w:tabs>
              <w:jc w:val="center"/>
              <w:rPr>
                <w:rFonts w:asciiTheme="majorBidi" w:hAnsiTheme="majorBidi" w:cstheme="majorBidi"/>
                <w:sz w:val="20"/>
                <w:szCs w:val="20"/>
              </w:rPr>
            </w:pPr>
          </w:p>
        </w:tc>
      </w:tr>
    </w:tbl>
    <w:p w14:paraId="311040C5" w14:textId="69378C85" w:rsidR="003E6053" w:rsidRPr="003E6053" w:rsidRDefault="003E6053" w:rsidP="00BF2605">
      <w:pPr>
        <w:tabs>
          <w:tab w:val="left" w:pos="426"/>
        </w:tabs>
        <w:spacing w:after="0" w:line="288" w:lineRule="auto"/>
        <w:jc w:val="both"/>
        <w:rPr>
          <w:rFonts w:ascii="Times New Roman" w:hAnsi="Times New Roman" w:cs="Times New Roman"/>
          <w:b/>
          <w:bCs/>
          <w:sz w:val="24"/>
          <w:szCs w:val="24"/>
        </w:rPr>
      </w:pPr>
      <w:bookmarkStart w:id="2" w:name="_Toc468074511"/>
      <w:r w:rsidRPr="003E6053">
        <w:rPr>
          <w:rFonts w:ascii="Times New Roman" w:hAnsi="Times New Roman" w:cs="Times New Roman"/>
          <w:b/>
          <w:bCs/>
          <w:sz w:val="24"/>
          <w:szCs w:val="24"/>
        </w:rPr>
        <w:lastRenderedPageBreak/>
        <w:t xml:space="preserve">Governance </w:t>
      </w:r>
      <w:r w:rsidR="00D70B70">
        <w:rPr>
          <w:rFonts w:ascii="Times New Roman" w:hAnsi="Times New Roman" w:cs="Times New Roman"/>
          <w:b/>
          <w:bCs/>
          <w:sz w:val="24"/>
          <w:szCs w:val="24"/>
        </w:rPr>
        <w:t>I</w:t>
      </w:r>
      <w:r w:rsidRPr="003E6053">
        <w:rPr>
          <w:rFonts w:ascii="Times New Roman" w:hAnsi="Times New Roman" w:cs="Times New Roman"/>
          <w:b/>
          <w:bCs/>
          <w:sz w:val="24"/>
          <w:szCs w:val="24"/>
        </w:rPr>
        <w:t>ndex</w:t>
      </w:r>
      <w:bookmarkEnd w:id="2"/>
    </w:p>
    <w:p w14:paraId="365F61F4" w14:textId="77777777" w:rsidR="00E11F2A" w:rsidRPr="00E11F2A" w:rsidRDefault="00E11F2A" w:rsidP="00BF2605">
      <w:pPr>
        <w:tabs>
          <w:tab w:val="left" w:pos="426"/>
        </w:tabs>
        <w:spacing w:after="0" w:line="288" w:lineRule="auto"/>
        <w:jc w:val="both"/>
        <w:rPr>
          <w:rFonts w:ascii="Times New Roman" w:hAnsi="Times New Roman" w:cs="Times New Roman"/>
          <w:sz w:val="12"/>
          <w:szCs w:val="12"/>
        </w:rPr>
      </w:pPr>
    </w:p>
    <w:p w14:paraId="57918674" w14:textId="78E960BA" w:rsidR="003E6053" w:rsidRDefault="003E6053"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We construct a firm-level additive index of governance (G</w:t>
      </w:r>
      <w:r w:rsidR="00431625">
        <w:rPr>
          <w:rFonts w:ascii="Times New Roman" w:hAnsi="Times New Roman" w:cs="Times New Roman"/>
          <w:sz w:val="24"/>
          <w:szCs w:val="24"/>
        </w:rPr>
        <w:t>OVI</w:t>
      </w:r>
      <w:r>
        <w:rPr>
          <w:rFonts w:ascii="Times New Roman" w:hAnsi="Times New Roman" w:cs="Times New Roman"/>
          <w:sz w:val="24"/>
          <w:szCs w:val="24"/>
        </w:rPr>
        <w:t>) using a collection of the most cited individual measures of governance. Many studies in the literature rely on additive governance indices to measure the overall governance quality of a firm (</w:t>
      </w:r>
      <w:r w:rsidR="00E219C5">
        <w:rPr>
          <w:rFonts w:ascii="Times New Roman" w:hAnsi="Times New Roman" w:cs="Times New Roman"/>
          <w:sz w:val="24"/>
          <w:szCs w:val="24"/>
        </w:rPr>
        <w:t>for example,</w:t>
      </w:r>
      <w:r>
        <w:rPr>
          <w:rFonts w:ascii="Times New Roman" w:hAnsi="Times New Roman" w:cs="Times New Roman"/>
          <w:sz w:val="24"/>
          <w:szCs w:val="24"/>
        </w:rPr>
        <w:t xml:space="preserve"> Aggarwal </w:t>
      </w:r>
      <w:r w:rsidR="00E11F2A" w:rsidRPr="001F2E5E">
        <w:rPr>
          <w:rFonts w:ascii="Times New Roman" w:hAnsi="Times New Roman" w:cs="Times New Roman"/>
          <w:i/>
          <w:iCs/>
        </w:rPr>
        <w:t>et al.</w:t>
      </w:r>
      <w:r>
        <w:rPr>
          <w:rFonts w:ascii="Times New Roman" w:hAnsi="Times New Roman" w:cs="Times New Roman"/>
          <w:sz w:val="24"/>
          <w:szCs w:val="24"/>
        </w:rPr>
        <w:t xml:space="preserve"> 2010</w:t>
      </w:r>
      <w:r w:rsidR="00682D1F">
        <w:rPr>
          <w:rFonts w:ascii="Times New Roman" w:hAnsi="Times New Roman" w:cs="Times New Roman"/>
          <w:sz w:val="24"/>
          <w:szCs w:val="24"/>
        </w:rPr>
        <w:t>,</w:t>
      </w:r>
      <w:r>
        <w:rPr>
          <w:rFonts w:ascii="Times New Roman" w:hAnsi="Times New Roman" w:cs="Times New Roman"/>
          <w:sz w:val="24"/>
          <w:szCs w:val="24"/>
        </w:rPr>
        <w:t xml:space="preserve"> Anderson and Gupta 2009</w:t>
      </w:r>
      <w:r w:rsidR="00682D1F">
        <w:rPr>
          <w:rFonts w:ascii="Times New Roman" w:hAnsi="Times New Roman" w:cs="Times New Roman"/>
          <w:sz w:val="24"/>
          <w:szCs w:val="24"/>
        </w:rPr>
        <w:t>,</w:t>
      </w:r>
      <w:r>
        <w:rPr>
          <w:rFonts w:ascii="Times New Roman" w:hAnsi="Times New Roman" w:cs="Times New Roman"/>
          <w:sz w:val="24"/>
          <w:szCs w:val="24"/>
        </w:rPr>
        <w:t xml:space="preserve"> </w:t>
      </w:r>
      <w:r w:rsidRPr="00030397">
        <w:rPr>
          <w:rFonts w:ascii="Times New Roman" w:hAnsi="Times New Roman" w:cs="Times New Roman"/>
          <w:sz w:val="24"/>
          <w:szCs w:val="24"/>
        </w:rPr>
        <w:t>Brown and Caylor 2006</w:t>
      </w:r>
      <w:r>
        <w:rPr>
          <w:rFonts w:ascii="Times New Roman" w:hAnsi="Times New Roman" w:cs="Times New Roman"/>
          <w:sz w:val="24"/>
          <w:szCs w:val="24"/>
        </w:rPr>
        <w:t xml:space="preserve">). </w:t>
      </w:r>
      <w:r w:rsidR="00BB1F86">
        <w:rPr>
          <w:rFonts w:ascii="Times New Roman" w:hAnsi="Times New Roman" w:cs="Times New Roman"/>
          <w:sz w:val="24"/>
          <w:szCs w:val="24"/>
        </w:rPr>
        <w:t xml:space="preserve">The need for constructing a governance index arises from the fact that there is no individual variable that can be used to measure the overall governance quality of a firm, thus some type of scoring system is needed to be able to rank and compare the governance framework of each firm. </w:t>
      </w:r>
      <w:r>
        <w:rPr>
          <w:rFonts w:ascii="Times New Roman" w:hAnsi="Times New Roman" w:cs="Times New Roman"/>
          <w:sz w:val="24"/>
          <w:szCs w:val="24"/>
        </w:rPr>
        <w:t>Following Aggarwa</w:t>
      </w:r>
      <w:r w:rsidR="00E11F2A" w:rsidRPr="00E11F2A">
        <w:rPr>
          <w:rFonts w:ascii="Times New Roman" w:hAnsi="Times New Roman" w:cs="Times New Roman"/>
          <w:i/>
          <w:iCs/>
        </w:rPr>
        <w:t xml:space="preserve"> </w:t>
      </w:r>
      <w:r w:rsidR="00E11F2A" w:rsidRPr="001F2E5E">
        <w:rPr>
          <w:rFonts w:ascii="Times New Roman" w:hAnsi="Times New Roman" w:cs="Times New Roman"/>
          <w:i/>
          <w:iCs/>
        </w:rPr>
        <w:t>et al.</w:t>
      </w:r>
      <w:r>
        <w:rPr>
          <w:rFonts w:ascii="Times New Roman" w:hAnsi="Times New Roman" w:cs="Times New Roman"/>
          <w:sz w:val="24"/>
          <w:szCs w:val="24"/>
        </w:rPr>
        <w:t xml:space="preserve"> (2010) and Brown and Caylor</w:t>
      </w:r>
      <w:r w:rsidRPr="00030397">
        <w:rPr>
          <w:rFonts w:ascii="Times New Roman" w:hAnsi="Times New Roman" w:cs="Times New Roman"/>
          <w:sz w:val="24"/>
          <w:szCs w:val="24"/>
        </w:rPr>
        <w:t xml:space="preserve"> </w:t>
      </w:r>
      <w:r>
        <w:rPr>
          <w:rFonts w:ascii="Times New Roman" w:hAnsi="Times New Roman" w:cs="Times New Roman"/>
          <w:sz w:val="24"/>
          <w:szCs w:val="24"/>
        </w:rPr>
        <w:t>(</w:t>
      </w:r>
      <w:r w:rsidRPr="00030397">
        <w:rPr>
          <w:rFonts w:ascii="Times New Roman" w:hAnsi="Times New Roman" w:cs="Times New Roman"/>
          <w:sz w:val="24"/>
          <w:szCs w:val="24"/>
        </w:rPr>
        <w:t>2006</w:t>
      </w:r>
      <w:r>
        <w:rPr>
          <w:rFonts w:ascii="Times New Roman" w:hAnsi="Times New Roman" w:cs="Times New Roman"/>
          <w:sz w:val="24"/>
          <w:szCs w:val="24"/>
        </w:rPr>
        <w:t xml:space="preserve">), we use the most recent governance thresholds provided by the </w:t>
      </w:r>
      <w:r w:rsidRPr="0096633D">
        <w:rPr>
          <w:rFonts w:ascii="Times New Roman" w:hAnsi="Times New Roman" w:cs="Times New Roman"/>
          <w:sz w:val="24"/>
          <w:szCs w:val="24"/>
        </w:rPr>
        <w:t>Institutional Shareholder Services</w:t>
      </w:r>
      <w:r>
        <w:rPr>
          <w:rFonts w:ascii="Times New Roman" w:hAnsi="Times New Roman" w:cs="Times New Roman"/>
          <w:sz w:val="24"/>
          <w:szCs w:val="24"/>
        </w:rPr>
        <w:t xml:space="preserve"> (ISS) </w:t>
      </w:r>
      <w:r w:rsidRPr="007A2E2D">
        <w:rPr>
          <w:rFonts w:ascii="Times New Roman" w:hAnsi="Times New Roman" w:cs="Times New Roman"/>
          <w:sz w:val="24"/>
          <w:szCs w:val="24"/>
        </w:rPr>
        <w:t>Governance QuickScore 3.0</w:t>
      </w:r>
      <w:r>
        <w:rPr>
          <w:rFonts w:ascii="Times New Roman" w:hAnsi="Times New Roman" w:cs="Times New Roman"/>
          <w:sz w:val="24"/>
          <w:szCs w:val="24"/>
        </w:rPr>
        <w:t xml:space="preserve"> to construct our index. Basically, a firm gains </w:t>
      </w:r>
      <w:r w:rsidR="00E219C5">
        <w:rPr>
          <w:rFonts w:ascii="Times New Roman" w:hAnsi="Times New Roman" w:cs="Times New Roman"/>
          <w:sz w:val="24"/>
          <w:szCs w:val="24"/>
        </w:rPr>
        <w:t>one</w:t>
      </w:r>
      <w:r>
        <w:rPr>
          <w:rFonts w:ascii="Times New Roman" w:hAnsi="Times New Roman" w:cs="Times New Roman"/>
          <w:sz w:val="24"/>
          <w:szCs w:val="24"/>
        </w:rPr>
        <w:t xml:space="preserve"> </w:t>
      </w:r>
      <w:r w:rsidR="00E219C5">
        <w:rPr>
          <w:rFonts w:ascii="Times New Roman" w:hAnsi="Times New Roman" w:cs="Times New Roman"/>
          <w:sz w:val="24"/>
          <w:szCs w:val="24"/>
        </w:rPr>
        <w:t xml:space="preserve">(1) </w:t>
      </w:r>
      <w:r>
        <w:rPr>
          <w:rFonts w:ascii="Times New Roman" w:hAnsi="Times New Roman" w:cs="Times New Roman"/>
          <w:sz w:val="24"/>
          <w:szCs w:val="24"/>
        </w:rPr>
        <w:t xml:space="preserve">point if its governance attribute meets the threshold suggested by ISS’s guideline or </w:t>
      </w:r>
      <w:r w:rsidR="00E219C5">
        <w:rPr>
          <w:rFonts w:ascii="Times New Roman" w:hAnsi="Times New Roman" w:cs="Times New Roman"/>
          <w:sz w:val="24"/>
          <w:szCs w:val="24"/>
        </w:rPr>
        <w:t>zero (0)</w:t>
      </w:r>
      <w:r>
        <w:rPr>
          <w:rFonts w:ascii="Times New Roman" w:hAnsi="Times New Roman" w:cs="Times New Roman"/>
          <w:sz w:val="24"/>
          <w:szCs w:val="24"/>
        </w:rPr>
        <w:t xml:space="preserve"> otherwise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6D2FD9">
        <w:rPr>
          <w:rFonts w:ascii="Times New Roman" w:hAnsi="Times New Roman" w:cs="Times New Roman"/>
          <w:sz w:val="24"/>
          <w:szCs w:val="24"/>
        </w:rPr>
        <w:t>We cover a total of 36 governance attributes</w:t>
      </w:r>
      <w:r w:rsidR="00BB1F86">
        <w:rPr>
          <w:rFonts w:ascii="Times New Roman" w:hAnsi="Times New Roman" w:cs="Times New Roman"/>
          <w:sz w:val="24"/>
          <w:szCs w:val="24"/>
        </w:rPr>
        <w:t xml:space="preserve"> which represent the different variables covered by both DataStream’s ASSET4 database and ISS’s QuickScore</w:t>
      </w:r>
      <w:r w:rsidR="006D2FD9">
        <w:rPr>
          <w:rFonts w:ascii="Times New Roman" w:hAnsi="Times New Roman" w:cs="Times New Roman"/>
          <w:sz w:val="24"/>
          <w:szCs w:val="24"/>
        </w:rPr>
        <w:t xml:space="preserve">. Details of these attributes are provided in </w:t>
      </w:r>
      <w:r w:rsidR="006D2FD9">
        <w:rPr>
          <w:rFonts w:ascii="Times New Roman" w:hAnsi="Times New Roman" w:cs="Times New Roman"/>
          <w:i/>
          <w:iCs/>
          <w:sz w:val="24"/>
          <w:szCs w:val="24"/>
        </w:rPr>
        <w:t xml:space="preserve">Appendix I. </w:t>
      </w:r>
      <w:r>
        <w:rPr>
          <w:rFonts w:ascii="Times New Roman" w:hAnsi="Times New Roman" w:cs="Times New Roman"/>
          <w:sz w:val="24"/>
          <w:szCs w:val="24"/>
        </w:rPr>
        <w:t>The final value of our index is the percentage of scores achieved versus the potential score that could have been achieved (100</w:t>
      </w:r>
      <w:r w:rsidR="00E219C5">
        <w:rPr>
          <w:rFonts w:ascii="Times New Roman" w:hAnsi="Times New Roman" w:cs="Times New Roman"/>
          <w:sz w:val="24"/>
          <w:szCs w:val="24"/>
        </w:rPr>
        <w:t xml:space="preserve"> </w:t>
      </w:r>
      <w:r w:rsidR="00F27C61">
        <w:rPr>
          <w:rFonts w:ascii="Times New Roman" w:hAnsi="Times New Roman" w:cs="Times New Roman"/>
          <w:sz w:val="24"/>
          <w:szCs w:val="24"/>
        </w:rPr>
        <w:t>percent</w:t>
      </w:r>
      <w:r>
        <w:rPr>
          <w:rFonts w:ascii="Times New Roman" w:hAnsi="Times New Roman" w:cs="Times New Roman"/>
          <w:sz w:val="24"/>
          <w:szCs w:val="24"/>
        </w:rPr>
        <w:t>). When an attribute is missing from the database for a particular firm, its score is taken out of the total potential score, so that the final score of such a firm do</w:t>
      </w:r>
      <w:r w:rsidR="0005365D">
        <w:rPr>
          <w:rFonts w:ascii="Times New Roman" w:hAnsi="Times New Roman" w:cs="Times New Roman"/>
          <w:sz w:val="24"/>
          <w:szCs w:val="24"/>
        </w:rPr>
        <w:t>es</w:t>
      </w:r>
      <w:r>
        <w:rPr>
          <w:rFonts w:ascii="Times New Roman" w:hAnsi="Times New Roman" w:cs="Times New Roman"/>
          <w:sz w:val="24"/>
          <w:szCs w:val="24"/>
        </w:rPr>
        <w:t xml:space="preserve"> not get a</w:t>
      </w:r>
      <w:r w:rsidR="00C8120E">
        <w:rPr>
          <w:rFonts w:ascii="Times New Roman" w:hAnsi="Times New Roman" w:cs="Times New Roman"/>
          <w:sz w:val="24"/>
          <w:szCs w:val="24"/>
        </w:rPr>
        <w:t xml:space="preserve">ffected by missing attributes. </w:t>
      </w:r>
    </w:p>
    <w:p w14:paraId="61A46090"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04DFF586" w14:textId="336CA254" w:rsidR="000E06DA" w:rsidRPr="000E06DA" w:rsidRDefault="000E06DA" w:rsidP="00BF2605">
      <w:pPr>
        <w:keepNext/>
        <w:tabs>
          <w:tab w:val="left" w:pos="426"/>
        </w:tabs>
        <w:spacing w:after="0" w:line="28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Main </w:t>
      </w:r>
      <w:r w:rsidR="00D70B70">
        <w:rPr>
          <w:rFonts w:ascii="Times New Roman" w:hAnsi="Times New Roman" w:cs="Times New Roman"/>
          <w:b/>
          <w:bCs/>
          <w:sz w:val="24"/>
          <w:szCs w:val="24"/>
        </w:rPr>
        <w:t>R</w:t>
      </w:r>
      <w:r>
        <w:rPr>
          <w:rFonts w:ascii="Times New Roman" w:hAnsi="Times New Roman" w:cs="Times New Roman"/>
          <w:b/>
          <w:bCs/>
          <w:sz w:val="24"/>
          <w:szCs w:val="24"/>
        </w:rPr>
        <w:t xml:space="preserve">egression </w:t>
      </w:r>
      <w:r w:rsidR="00D70B70">
        <w:rPr>
          <w:rFonts w:ascii="Times New Roman" w:hAnsi="Times New Roman" w:cs="Times New Roman"/>
          <w:b/>
          <w:bCs/>
          <w:sz w:val="24"/>
          <w:szCs w:val="24"/>
        </w:rPr>
        <w:t>M</w:t>
      </w:r>
      <w:r>
        <w:rPr>
          <w:rFonts w:ascii="Times New Roman" w:hAnsi="Times New Roman" w:cs="Times New Roman"/>
          <w:b/>
          <w:bCs/>
          <w:sz w:val="24"/>
          <w:szCs w:val="24"/>
        </w:rPr>
        <w:t>odels</w:t>
      </w:r>
    </w:p>
    <w:p w14:paraId="053E493F" w14:textId="0A75B415" w:rsidR="00BB1F86" w:rsidRPr="00BB1F86" w:rsidRDefault="00BB1F86" w:rsidP="00BF2605">
      <w:pPr>
        <w:tabs>
          <w:tab w:val="left" w:pos="426"/>
        </w:tabs>
        <w:spacing w:after="0" w:line="288" w:lineRule="auto"/>
        <w:jc w:val="both"/>
        <w:rPr>
          <w:rFonts w:ascii="Times New Roman" w:hAnsi="Times New Roman" w:cs="Times New Roman"/>
          <w:bCs/>
          <w:i/>
          <w:sz w:val="24"/>
          <w:szCs w:val="24"/>
        </w:rPr>
      </w:pPr>
      <w:r w:rsidRPr="000451B3">
        <w:rPr>
          <w:rFonts w:ascii="Times New Roman" w:hAnsi="Times New Roman" w:cs="Times New Roman"/>
          <w:bCs/>
          <w:i/>
          <w:sz w:val="24"/>
          <w:szCs w:val="24"/>
        </w:rPr>
        <w:t xml:space="preserve">Cross-Country Differences </w:t>
      </w:r>
      <w:r>
        <w:rPr>
          <w:rFonts w:ascii="Times New Roman" w:hAnsi="Times New Roman" w:cs="Times New Roman"/>
          <w:bCs/>
          <w:i/>
          <w:sz w:val="24"/>
          <w:szCs w:val="24"/>
        </w:rPr>
        <w:t>and</w:t>
      </w:r>
      <w:r w:rsidRPr="000451B3">
        <w:rPr>
          <w:rFonts w:ascii="Times New Roman" w:hAnsi="Times New Roman" w:cs="Times New Roman"/>
          <w:bCs/>
          <w:i/>
          <w:sz w:val="24"/>
          <w:szCs w:val="24"/>
        </w:rPr>
        <w:t xml:space="preserve"> Firm-level Governance </w:t>
      </w:r>
    </w:p>
    <w:p w14:paraId="1EDABFF1" w14:textId="12A03193" w:rsidR="000E06DA" w:rsidRDefault="000E06DA" w:rsidP="00BF2605">
      <w:pPr>
        <w:keepNext/>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We use </w:t>
      </w:r>
      <w:r w:rsidR="00291995">
        <w:rPr>
          <w:rFonts w:ascii="Times New Roman" w:hAnsi="Times New Roman" w:cs="Times New Roman"/>
          <w:sz w:val="24"/>
          <w:szCs w:val="24"/>
        </w:rPr>
        <w:t>four</w:t>
      </w:r>
      <w:r>
        <w:rPr>
          <w:rFonts w:ascii="Times New Roman" w:hAnsi="Times New Roman" w:cs="Times New Roman"/>
          <w:sz w:val="24"/>
          <w:szCs w:val="24"/>
        </w:rPr>
        <w:t xml:space="preserve"> main groups of models to </w:t>
      </w:r>
      <w:r w:rsidR="008B0F9C">
        <w:rPr>
          <w:rFonts w:ascii="Times New Roman" w:hAnsi="Times New Roman" w:cs="Times New Roman"/>
          <w:sz w:val="24"/>
          <w:szCs w:val="24"/>
        </w:rPr>
        <w:t>answer</w:t>
      </w:r>
      <w:r>
        <w:rPr>
          <w:rFonts w:ascii="Times New Roman" w:hAnsi="Times New Roman" w:cs="Times New Roman"/>
          <w:sz w:val="24"/>
          <w:szCs w:val="24"/>
        </w:rPr>
        <w:t xml:space="preserve"> the set of </w:t>
      </w:r>
      <w:r w:rsidR="008B0F9C">
        <w:rPr>
          <w:rFonts w:ascii="Times New Roman" w:hAnsi="Times New Roman" w:cs="Times New Roman"/>
          <w:sz w:val="24"/>
          <w:szCs w:val="24"/>
        </w:rPr>
        <w:t>questions</w:t>
      </w:r>
      <w:r>
        <w:rPr>
          <w:rFonts w:ascii="Times New Roman" w:hAnsi="Times New Roman" w:cs="Times New Roman"/>
          <w:sz w:val="24"/>
          <w:szCs w:val="24"/>
        </w:rPr>
        <w:t xml:space="preserve"> </w:t>
      </w:r>
      <w:r w:rsidR="00B0299E">
        <w:rPr>
          <w:rFonts w:ascii="Times New Roman" w:hAnsi="Times New Roman" w:cs="Times New Roman"/>
          <w:sz w:val="24"/>
          <w:szCs w:val="24"/>
        </w:rPr>
        <w:t>addressed</w:t>
      </w:r>
      <w:r>
        <w:rPr>
          <w:rFonts w:ascii="Times New Roman" w:hAnsi="Times New Roman" w:cs="Times New Roman"/>
          <w:sz w:val="24"/>
          <w:szCs w:val="24"/>
        </w:rPr>
        <w:t xml:space="preserve"> in our study.</w:t>
      </w:r>
      <w:r w:rsidR="000353EC">
        <w:rPr>
          <w:rFonts w:ascii="Times New Roman" w:hAnsi="Times New Roman" w:cs="Times New Roman"/>
          <w:sz w:val="24"/>
          <w:szCs w:val="24"/>
        </w:rPr>
        <w:t xml:space="preserve"> </w:t>
      </w:r>
      <w:r w:rsidRPr="00687457">
        <w:rPr>
          <w:rFonts w:ascii="Times New Roman" w:hAnsi="Times New Roman" w:cs="Times New Roman"/>
          <w:sz w:val="24"/>
          <w:szCs w:val="24"/>
        </w:rPr>
        <w:t>First</w:t>
      </w:r>
      <w:r>
        <w:rPr>
          <w:rFonts w:ascii="Times New Roman" w:hAnsi="Times New Roman" w:cs="Times New Roman"/>
          <w:sz w:val="24"/>
          <w:szCs w:val="24"/>
        </w:rPr>
        <w:t xml:space="preserve">, in order </w:t>
      </w:r>
      <w:r w:rsidR="00A76AE3">
        <w:rPr>
          <w:rFonts w:ascii="Times New Roman" w:hAnsi="Times New Roman" w:cs="Times New Roman"/>
          <w:sz w:val="24"/>
          <w:szCs w:val="24"/>
        </w:rPr>
        <w:t xml:space="preserve">to </w:t>
      </w:r>
      <w:r>
        <w:rPr>
          <w:rFonts w:ascii="Times New Roman" w:hAnsi="Times New Roman" w:cs="Times New Roman"/>
          <w:sz w:val="24"/>
          <w:szCs w:val="24"/>
        </w:rPr>
        <w:t>examine the relationship between firm-level governance and country-level factors</w:t>
      </w:r>
      <w:r w:rsidR="0039655D">
        <w:rPr>
          <w:rFonts w:ascii="Times New Roman" w:hAnsi="Times New Roman" w:cs="Times New Roman"/>
          <w:sz w:val="24"/>
          <w:szCs w:val="24"/>
        </w:rPr>
        <w:t xml:space="preserve"> (</w:t>
      </w:r>
      <w:r w:rsidR="00D70B70">
        <w:rPr>
          <w:rFonts w:ascii="Times New Roman" w:hAnsi="Times New Roman" w:cs="Times New Roman"/>
          <w:sz w:val="24"/>
          <w:szCs w:val="24"/>
        </w:rPr>
        <w:t>R</w:t>
      </w:r>
      <w:r w:rsidR="0039655D">
        <w:rPr>
          <w:rFonts w:ascii="Times New Roman" w:hAnsi="Times New Roman" w:cs="Times New Roman"/>
          <w:sz w:val="24"/>
          <w:szCs w:val="24"/>
        </w:rPr>
        <w:t xml:space="preserve">esearch </w:t>
      </w:r>
      <w:r w:rsidR="00D70B70">
        <w:rPr>
          <w:rFonts w:ascii="Times New Roman" w:hAnsi="Times New Roman" w:cs="Times New Roman"/>
          <w:sz w:val="24"/>
          <w:szCs w:val="24"/>
        </w:rPr>
        <w:t>Q</w:t>
      </w:r>
      <w:r w:rsidR="0039655D">
        <w:rPr>
          <w:rFonts w:ascii="Times New Roman" w:hAnsi="Times New Roman" w:cs="Times New Roman"/>
          <w:sz w:val="24"/>
          <w:szCs w:val="24"/>
        </w:rPr>
        <w:t>uestion</w:t>
      </w:r>
      <w:r w:rsidR="00D70B70">
        <w:rPr>
          <w:rFonts w:ascii="Times New Roman" w:hAnsi="Times New Roman" w:cs="Times New Roman"/>
          <w:sz w:val="24"/>
          <w:szCs w:val="24"/>
        </w:rPr>
        <w:t>s</w:t>
      </w:r>
      <w:r w:rsidR="0039655D">
        <w:rPr>
          <w:rFonts w:ascii="Times New Roman" w:hAnsi="Times New Roman" w:cs="Times New Roman"/>
          <w:sz w:val="24"/>
          <w:szCs w:val="24"/>
        </w:rPr>
        <w:t xml:space="preserve"> </w:t>
      </w:r>
      <w:r w:rsidR="009D1C47">
        <w:rPr>
          <w:rFonts w:ascii="Times New Roman" w:hAnsi="Times New Roman" w:cs="Times New Roman"/>
          <w:sz w:val="24"/>
          <w:szCs w:val="24"/>
        </w:rPr>
        <w:t xml:space="preserve">1a </w:t>
      </w:r>
      <w:r w:rsidR="0039655D">
        <w:rPr>
          <w:rFonts w:ascii="Times New Roman" w:hAnsi="Times New Roman" w:cs="Times New Roman"/>
          <w:sz w:val="24"/>
          <w:szCs w:val="24"/>
        </w:rPr>
        <w:t xml:space="preserve">to </w:t>
      </w:r>
      <w:r w:rsidR="009D1C47">
        <w:rPr>
          <w:rFonts w:ascii="Times New Roman" w:hAnsi="Times New Roman" w:cs="Times New Roman"/>
          <w:sz w:val="24"/>
          <w:szCs w:val="24"/>
        </w:rPr>
        <w:t>1d</w:t>
      </w:r>
      <w:r w:rsidR="0039655D">
        <w:rPr>
          <w:rFonts w:ascii="Times New Roman" w:hAnsi="Times New Roman" w:cs="Times New Roman"/>
          <w:sz w:val="24"/>
          <w:szCs w:val="24"/>
        </w:rPr>
        <w:t>)</w:t>
      </w:r>
      <w:r>
        <w:rPr>
          <w:rFonts w:ascii="Times New Roman" w:hAnsi="Times New Roman" w:cs="Times New Roman"/>
          <w:sz w:val="24"/>
          <w:szCs w:val="24"/>
        </w:rPr>
        <w:t>, we run the following regression using industry</w:t>
      </w:r>
      <w:r w:rsidR="00302F32">
        <w:rPr>
          <w:rFonts w:ascii="Times New Roman" w:hAnsi="Times New Roman" w:cs="Times New Roman"/>
          <w:sz w:val="24"/>
          <w:szCs w:val="24"/>
        </w:rPr>
        <w:t xml:space="preserve"> and year</w:t>
      </w:r>
      <w:r>
        <w:rPr>
          <w:rFonts w:ascii="Times New Roman" w:hAnsi="Times New Roman" w:cs="Times New Roman"/>
          <w:sz w:val="24"/>
          <w:szCs w:val="24"/>
        </w:rPr>
        <w:t xml:space="preserve"> </w:t>
      </w:r>
      <w:r w:rsidR="004B3FED">
        <w:rPr>
          <w:rFonts w:ascii="Times New Roman" w:hAnsi="Times New Roman" w:cs="Times New Roman"/>
          <w:sz w:val="24"/>
          <w:szCs w:val="24"/>
        </w:rPr>
        <w:t>dummies</w:t>
      </w:r>
      <w:r w:rsidR="004445FC">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060C76A7" w14:textId="77777777" w:rsidR="00E11F2A" w:rsidRDefault="00E11F2A" w:rsidP="00BF2605">
      <w:pPr>
        <w:keepNext/>
        <w:tabs>
          <w:tab w:val="left" w:pos="426"/>
        </w:tabs>
        <w:spacing w:after="0" w:line="288" w:lineRule="auto"/>
        <w:jc w:val="both"/>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50"/>
        <w:gridCol w:w="613"/>
        <w:gridCol w:w="587"/>
      </w:tblGrid>
      <w:tr w:rsidR="00E11F2A" w14:paraId="219A260B" w14:textId="006888F1" w:rsidTr="00E11F2A">
        <w:tc>
          <w:tcPr>
            <w:tcW w:w="8150" w:type="dxa"/>
            <w:vAlign w:val="center"/>
          </w:tcPr>
          <w:p w14:paraId="4902451C" w14:textId="77777777" w:rsidR="00E11F2A" w:rsidRPr="00187D48" w:rsidRDefault="00E11F2A" w:rsidP="00BF2605">
            <w:pPr>
              <w:tabs>
                <w:tab w:val="left" w:pos="426"/>
              </w:tabs>
              <w:spacing w:line="288" w:lineRule="auto"/>
              <w:jc w:val="center"/>
              <w:rPr>
                <w:rFonts w:ascii="Times New Roman" w:hAnsi="Times New Roman" w:cs="Times New Roman"/>
                <w:i/>
                <w:iCs/>
                <w:vertAlign w:val="subscript"/>
              </w:rPr>
            </w:pPr>
            <w:r w:rsidRPr="00187D48">
              <w:rPr>
                <w:rFonts w:ascii="Times New Roman" w:hAnsi="Times New Roman" w:cs="Times New Roman"/>
                <w:i/>
                <w:iCs/>
              </w:rPr>
              <w:t>GOVI</w:t>
            </w:r>
            <w:r w:rsidRPr="00187D48">
              <w:rPr>
                <w:rFonts w:ascii="Times New Roman" w:hAnsi="Times New Roman" w:cs="Times New Roman"/>
                <w:i/>
                <w:iCs/>
                <w:vertAlign w:val="subscript"/>
              </w:rPr>
              <w:t>i,t</w:t>
            </w:r>
            <w:r w:rsidRPr="00187D48">
              <w:rPr>
                <w:rFonts w:ascii="Times New Roman" w:hAnsi="Times New Roman" w:cs="Times New Roman"/>
                <w:i/>
                <w:iCs/>
              </w:rPr>
              <w:t xml:space="preserve"> = β</w:t>
            </w:r>
            <w:r w:rsidRPr="00187D48">
              <w:rPr>
                <w:rFonts w:ascii="Times New Roman" w:hAnsi="Times New Roman" w:cs="Times New Roman"/>
                <w:i/>
                <w:iCs/>
                <w:vertAlign w:val="subscript"/>
              </w:rPr>
              <w:t>0</w:t>
            </w:r>
            <w:r w:rsidRPr="00187D48">
              <w:rPr>
                <w:rFonts w:ascii="Times New Roman" w:hAnsi="Times New Roman" w:cs="Times New Roman"/>
                <w:i/>
                <w:iCs/>
              </w:rPr>
              <w:t xml:space="preserve"> + β</w:t>
            </w:r>
            <w:r w:rsidRPr="00187D48">
              <w:rPr>
                <w:rFonts w:ascii="Times New Roman" w:hAnsi="Times New Roman" w:cs="Times New Roman"/>
                <w:i/>
                <w:iCs/>
                <w:vertAlign w:val="subscript"/>
              </w:rPr>
              <w:t>1</w:t>
            </w:r>
            <w:r w:rsidRPr="00187D48">
              <w:rPr>
                <w:rFonts w:ascii="Times New Roman" w:hAnsi="Times New Roman" w:cs="Times New Roman"/>
                <w:i/>
                <w:iCs/>
              </w:rPr>
              <w:t xml:space="preserve"> RLAW</w:t>
            </w:r>
            <w:r w:rsidRPr="00187D48">
              <w:rPr>
                <w:rFonts w:ascii="Times New Roman" w:hAnsi="Times New Roman" w:cs="Times New Roman"/>
                <w:i/>
                <w:iCs/>
                <w:vertAlign w:val="subscript"/>
              </w:rPr>
              <w:t>i,t</w:t>
            </w:r>
            <w:r w:rsidRPr="00187D48">
              <w:rPr>
                <w:rFonts w:ascii="Times New Roman" w:hAnsi="Times New Roman" w:cs="Times New Roman"/>
                <w:i/>
                <w:iCs/>
              </w:rPr>
              <w:t xml:space="preserve"> + β</w:t>
            </w:r>
            <w:r w:rsidRPr="00187D48">
              <w:rPr>
                <w:rFonts w:ascii="Times New Roman" w:hAnsi="Times New Roman" w:cs="Times New Roman"/>
                <w:i/>
                <w:iCs/>
                <w:vertAlign w:val="subscript"/>
              </w:rPr>
              <w:t>2</w:t>
            </w:r>
            <w:r w:rsidRPr="00187D48">
              <w:rPr>
                <w:rFonts w:ascii="Times New Roman" w:hAnsi="Times New Roman" w:cs="Times New Roman"/>
                <w:i/>
                <w:iCs/>
              </w:rPr>
              <w:t xml:space="preserve"> LORG</w:t>
            </w:r>
            <w:r w:rsidRPr="00187D48">
              <w:rPr>
                <w:rFonts w:ascii="Times New Roman" w:hAnsi="Times New Roman" w:cs="Times New Roman"/>
                <w:i/>
                <w:iCs/>
                <w:vertAlign w:val="subscript"/>
              </w:rPr>
              <w:t>i,t</w:t>
            </w:r>
            <w:r w:rsidRPr="00187D48">
              <w:rPr>
                <w:rFonts w:ascii="Times New Roman" w:hAnsi="Times New Roman" w:cs="Times New Roman"/>
                <w:i/>
                <w:iCs/>
              </w:rPr>
              <w:t xml:space="preserve"> + β</w:t>
            </w:r>
            <w:r w:rsidRPr="00187D48">
              <w:rPr>
                <w:rFonts w:ascii="Times New Roman" w:hAnsi="Times New Roman" w:cs="Times New Roman"/>
                <w:i/>
                <w:iCs/>
                <w:vertAlign w:val="subscript"/>
              </w:rPr>
              <w:t>3</w:t>
            </w:r>
            <w:r w:rsidRPr="00187D48">
              <w:rPr>
                <w:rFonts w:ascii="Times New Roman" w:hAnsi="Times New Roman" w:cs="Times New Roman"/>
                <w:i/>
                <w:iCs/>
              </w:rPr>
              <w:t xml:space="preserve"> MEDI</w:t>
            </w:r>
            <w:r w:rsidRPr="00187D48">
              <w:rPr>
                <w:rFonts w:ascii="Times New Roman" w:hAnsi="Times New Roman" w:cs="Times New Roman"/>
                <w:i/>
                <w:iCs/>
                <w:vertAlign w:val="subscript"/>
              </w:rPr>
              <w:t>i,t</w:t>
            </w:r>
            <w:r w:rsidRPr="00187D48">
              <w:rPr>
                <w:rFonts w:ascii="Times New Roman" w:hAnsi="Times New Roman" w:cs="Times New Roman"/>
                <w:i/>
                <w:iCs/>
              </w:rPr>
              <w:t xml:space="preserve"> + β</w:t>
            </w:r>
            <w:r w:rsidRPr="00187D48">
              <w:rPr>
                <w:rFonts w:ascii="Times New Roman" w:hAnsi="Times New Roman" w:cs="Times New Roman"/>
                <w:i/>
                <w:iCs/>
                <w:vertAlign w:val="subscript"/>
              </w:rPr>
              <w:t>4</w:t>
            </w:r>
            <w:r w:rsidRPr="00187D48">
              <w:rPr>
                <w:rFonts w:ascii="Times New Roman" w:hAnsi="Times New Roman" w:cs="Times New Roman"/>
                <w:i/>
                <w:iCs/>
              </w:rPr>
              <w:t xml:space="preserve"> CHRN</w:t>
            </w:r>
            <w:r w:rsidRPr="00187D48">
              <w:rPr>
                <w:rFonts w:ascii="Times New Roman" w:hAnsi="Times New Roman" w:cs="Times New Roman"/>
                <w:i/>
                <w:iCs/>
                <w:vertAlign w:val="subscript"/>
              </w:rPr>
              <w:t>i,t</w:t>
            </w:r>
            <w:r w:rsidRPr="00187D48">
              <w:rPr>
                <w:rFonts w:ascii="Times New Roman" w:hAnsi="Times New Roman" w:cs="Times New Roman"/>
                <w:i/>
                <w:iCs/>
              </w:rPr>
              <w:t>+ β</w:t>
            </w:r>
            <w:r w:rsidRPr="00187D48">
              <w:rPr>
                <w:rFonts w:ascii="Times New Roman" w:hAnsi="Times New Roman" w:cs="Times New Roman"/>
                <w:i/>
                <w:iCs/>
                <w:vertAlign w:val="subscript"/>
              </w:rPr>
              <w:t>5</w:t>
            </w:r>
            <w:r w:rsidRPr="00187D48">
              <w:rPr>
                <w:rFonts w:ascii="Times New Roman" w:hAnsi="Times New Roman" w:cs="Times New Roman"/>
                <w:i/>
                <w:iCs/>
              </w:rPr>
              <w:t xml:space="preserve"> ISLM</w:t>
            </w:r>
            <w:r w:rsidRPr="00187D48">
              <w:rPr>
                <w:rFonts w:ascii="Times New Roman" w:hAnsi="Times New Roman" w:cs="Times New Roman"/>
                <w:i/>
                <w:iCs/>
                <w:vertAlign w:val="subscript"/>
              </w:rPr>
              <w:t>i,t</w:t>
            </w:r>
          </w:p>
          <w:p w14:paraId="772224BA" w14:textId="77777777" w:rsidR="00E11F2A" w:rsidRPr="002A1A6A" w:rsidRDefault="00E11F2A"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xml:space="preserve">+ </w:t>
            </w:r>
            <w:r w:rsidRPr="00187D48">
              <w:rPr>
                <w:rFonts w:ascii="Times New Roman" w:hAnsi="Times New Roman" w:cs="Times New Roman"/>
                <w:i/>
                <w:iCs/>
              </w:rPr>
              <w:t>β</w:t>
            </w:r>
            <w:r w:rsidRPr="002A1A6A">
              <w:rPr>
                <w:rFonts w:ascii="Times New Roman" w:hAnsi="Times New Roman" w:cs="Times New Roman"/>
                <w:i/>
                <w:iCs/>
                <w:vertAlign w:val="subscript"/>
                <w:lang w:val="fr-FR"/>
              </w:rPr>
              <w:t>6</w:t>
            </w:r>
            <w:r w:rsidRPr="002A1A6A">
              <w:rPr>
                <w:rFonts w:ascii="Times New Roman" w:hAnsi="Times New Roman" w:cs="Times New Roman"/>
                <w:i/>
                <w:iCs/>
                <w:lang w:val="fr-FR"/>
              </w:rPr>
              <w:t xml:space="preserve"> SOCL</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187D48">
              <w:rPr>
                <w:rFonts w:ascii="Times New Roman" w:hAnsi="Times New Roman" w:cs="Times New Roman"/>
                <w:i/>
                <w:iCs/>
              </w:rPr>
              <w:t>β</w:t>
            </w:r>
            <w:r w:rsidRPr="002A1A6A">
              <w:rPr>
                <w:rFonts w:ascii="Times New Roman" w:hAnsi="Times New Roman" w:cs="Times New Roman"/>
                <w:i/>
                <w:iCs/>
                <w:vertAlign w:val="subscript"/>
                <w:lang w:val="fr-FR"/>
              </w:rPr>
              <w:t>7</w:t>
            </w:r>
            <w:r w:rsidRPr="002A1A6A">
              <w:rPr>
                <w:rFonts w:ascii="Times New Roman" w:hAnsi="Times New Roman" w:cs="Times New Roman"/>
                <w:i/>
                <w:iCs/>
                <w:lang w:val="fr-FR"/>
              </w:rPr>
              <w:t xml:space="preserve"> COMP</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187D4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13" w:type="dxa"/>
            <w:vAlign w:val="center"/>
          </w:tcPr>
          <w:p w14:paraId="73E7E070" w14:textId="77777777" w:rsidR="00E11F2A" w:rsidRPr="00187D48" w:rsidRDefault="00E11F2A" w:rsidP="00BF2605">
            <w:pPr>
              <w:tabs>
                <w:tab w:val="left" w:pos="426"/>
              </w:tabs>
              <w:spacing w:line="288" w:lineRule="auto"/>
              <w:jc w:val="right"/>
              <w:rPr>
                <w:rFonts w:ascii="Times New Roman" w:hAnsi="Times New Roman" w:cs="Times New Roman"/>
              </w:rPr>
            </w:pPr>
            <w:r w:rsidRPr="00187D48">
              <w:rPr>
                <w:rFonts w:ascii="Times New Roman" w:hAnsi="Times New Roman" w:cs="Times New Roman"/>
              </w:rPr>
              <w:t>(1)</w:t>
            </w:r>
          </w:p>
        </w:tc>
        <w:tc>
          <w:tcPr>
            <w:tcW w:w="587" w:type="dxa"/>
          </w:tcPr>
          <w:p w14:paraId="455A349B" w14:textId="77777777" w:rsidR="00E11F2A" w:rsidRPr="00187D48" w:rsidRDefault="00E11F2A" w:rsidP="00BF2605">
            <w:pPr>
              <w:tabs>
                <w:tab w:val="left" w:pos="426"/>
              </w:tabs>
              <w:spacing w:line="288" w:lineRule="auto"/>
              <w:jc w:val="right"/>
              <w:rPr>
                <w:rFonts w:ascii="Times New Roman" w:hAnsi="Times New Roman" w:cs="Times New Roman"/>
              </w:rPr>
            </w:pPr>
          </w:p>
        </w:tc>
      </w:tr>
      <w:tr w:rsidR="00E11F2A" w14:paraId="4300AA3D" w14:textId="30A0FAD9" w:rsidTr="00E11F2A">
        <w:tc>
          <w:tcPr>
            <w:tcW w:w="8150" w:type="dxa"/>
            <w:vAlign w:val="center"/>
          </w:tcPr>
          <w:p w14:paraId="31B2497E" w14:textId="77777777" w:rsidR="00E11F2A" w:rsidRPr="003C1E59" w:rsidRDefault="00E11F2A" w:rsidP="00BF2605">
            <w:pPr>
              <w:tabs>
                <w:tab w:val="left" w:pos="426"/>
              </w:tabs>
              <w:spacing w:line="288" w:lineRule="auto"/>
              <w:jc w:val="center"/>
              <w:rPr>
                <w:rFonts w:ascii="Times New Roman" w:hAnsi="Times New Roman" w:cs="Times New Roman"/>
                <w:i/>
                <w:iCs/>
                <w:sz w:val="10"/>
                <w:szCs w:val="10"/>
              </w:rPr>
            </w:pPr>
          </w:p>
        </w:tc>
        <w:tc>
          <w:tcPr>
            <w:tcW w:w="613" w:type="dxa"/>
            <w:vAlign w:val="center"/>
          </w:tcPr>
          <w:p w14:paraId="1FBA23EB" w14:textId="77777777" w:rsidR="00E11F2A" w:rsidRPr="003C1E59" w:rsidRDefault="00E11F2A" w:rsidP="00BF2605">
            <w:pPr>
              <w:tabs>
                <w:tab w:val="left" w:pos="426"/>
              </w:tabs>
              <w:spacing w:line="288" w:lineRule="auto"/>
              <w:jc w:val="center"/>
              <w:rPr>
                <w:rFonts w:ascii="Times New Roman" w:hAnsi="Times New Roman" w:cs="Times New Roman"/>
                <w:sz w:val="10"/>
                <w:szCs w:val="10"/>
              </w:rPr>
            </w:pPr>
          </w:p>
        </w:tc>
        <w:tc>
          <w:tcPr>
            <w:tcW w:w="587" w:type="dxa"/>
          </w:tcPr>
          <w:p w14:paraId="2AC42535" w14:textId="77777777" w:rsidR="00E11F2A" w:rsidRPr="003C1E59" w:rsidRDefault="00E11F2A" w:rsidP="00BF2605">
            <w:pPr>
              <w:tabs>
                <w:tab w:val="left" w:pos="426"/>
              </w:tabs>
              <w:spacing w:line="288" w:lineRule="auto"/>
              <w:jc w:val="center"/>
              <w:rPr>
                <w:rFonts w:ascii="Times New Roman" w:hAnsi="Times New Roman" w:cs="Times New Roman"/>
                <w:sz w:val="10"/>
                <w:szCs w:val="10"/>
              </w:rPr>
            </w:pPr>
          </w:p>
        </w:tc>
      </w:tr>
    </w:tbl>
    <w:p w14:paraId="79AA028C" w14:textId="77777777" w:rsidR="00187D48" w:rsidRPr="00187D48" w:rsidRDefault="00187D48" w:rsidP="00BF2605">
      <w:pPr>
        <w:tabs>
          <w:tab w:val="left" w:pos="426"/>
        </w:tabs>
        <w:spacing w:after="0" w:line="288" w:lineRule="auto"/>
        <w:jc w:val="both"/>
        <w:rPr>
          <w:rFonts w:ascii="Times New Roman" w:hAnsi="Times New Roman" w:cs="Times New Roman"/>
          <w:sz w:val="12"/>
          <w:szCs w:val="12"/>
        </w:rPr>
      </w:pPr>
    </w:p>
    <w:p w14:paraId="0B8FC506" w14:textId="30CB1323" w:rsidR="006D2FD9" w:rsidRDefault="00D70B70"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w</w:t>
      </w:r>
      <w:r w:rsidR="00B0787C">
        <w:rPr>
          <w:rFonts w:ascii="Times New Roman" w:hAnsi="Times New Roman" w:cs="Times New Roman"/>
          <w:sz w:val="24"/>
          <w:szCs w:val="24"/>
        </w:rPr>
        <w:t xml:space="preserve">here RLAW, MEDI, SOCL and COMP, are indices that measure: the rule of law, media freedom, social and cultural development, and market competition, respectively. LORG is a dummy variable </w:t>
      </w:r>
      <w:r w:rsidR="00B0787C" w:rsidRPr="00353209">
        <w:rPr>
          <w:rFonts w:asciiTheme="majorBidi" w:hAnsiTheme="majorBidi" w:cstheme="majorBidi"/>
          <w:color w:val="000000"/>
          <w:sz w:val="24"/>
          <w:szCs w:val="24"/>
        </w:rPr>
        <w:t xml:space="preserve">which takes the value 1 if the </w:t>
      </w:r>
      <w:r w:rsidR="00B0787C">
        <w:rPr>
          <w:rFonts w:asciiTheme="majorBidi" w:hAnsiTheme="majorBidi" w:cstheme="majorBidi"/>
          <w:color w:val="000000"/>
          <w:sz w:val="24"/>
          <w:szCs w:val="24"/>
        </w:rPr>
        <w:t xml:space="preserve">country’s legal system is based on common law </w:t>
      </w:r>
      <w:r w:rsidR="00B0787C" w:rsidRPr="00353209">
        <w:rPr>
          <w:rFonts w:asciiTheme="majorBidi" w:hAnsiTheme="majorBidi" w:cstheme="majorBidi"/>
          <w:color w:val="000000"/>
          <w:sz w:val="24"/>
          <w:szCs w:val="24"/>
        </w:rPr>
        <w:t xml:space="preserve">or 0 </w:t>
      </w:r>
      <w:r w:rsidR="00B0787C">
        <w:rPr>
          <w:rFonts w:asciiTheme="majorBidi" w:hAnsiTheme="majorBidi" w:cstheme="majorBidi"/>
          <w:color w:val="000000"/>
          <w:sz w:val="24"/>
          <w:szCs w:val="24"/>
        </w:rPr>
        <w:t>if it is it based on civil law</w:t>
      </w:r>
      <w:r w:rsidR="006D2FD9">
        <w:rPr>
          <w:rFonts w:asciiTheme="majorBidi" w:hAnsiTheme="majorBidi" w:cstheme="majorBidi"/>
          <w:color w:val="000000"/>
          <w:sz w:val="24"/>
          <w:szCs w:val="24"/>
        </w:rPr>
        <w:t>, while</w:t>
      </w:r>
      <w:r w:rsidR="00B0787C">
        <w:rPr>
          <w:rFonts w:ascii="Times New Roman" w:hAnsi="Times New Roman" w:cs="Times New Roman"/>
          <w:sz w:val="24"/>
          <w:szCs w:val="24"/>
        </w:rPr>
        <w:t xml:space="preserve"> </w:t>
      </w:r>
      <w:r w:rsidR="00B0787C">
        <w:rPr>
          <w:rFonts w:asciiTheme="majorBidi" w:hAnsiTheme="majorBidi" w:cstheme="majorBidi"/>
          <w:color w:val="000000"/>
          <w:sz w:val="24"/>
          <w:szCs w:val="24"/>
        </w:rPr>
        <w:t>CHRN and ISLM are dummy variables which</w:t>
      </w:r>
      <w:r w:rsidR="00B0787C" w:rsidRPr="00353209">
        <w:rPr>
          <w:rFonts w:asciiTheme="majorBidi" w:hAnsiTheme="majorBidi" w:cstheme="majorBidi"/>
          <w:color w:val="000000"/>
          <w:sz w:val="24"/>
          <w:szCs w:val="24"/>
        </w:rPr>
        <w:t xml:space="preserve"> tak</w:t>
      </w:r>
      <w:r w:rsidR="00B0787C">
        <w:rPr>
          <w:rFonts w:asciiTheme="majorBidi" w:hAnsiTheme="majorBidi" w:cstheme="majorBidi"/>
          <w:color w:val="000000"/>
          <w:sz w:val="24"/>
          <w:szCs w:val="24"/>
        </w:rPr>
        <w:t>e</w:t>
      </w:r>
      <w:r w:rsidR="00B0787C" w:rsidRPr="00353209">
        <w:rPr>
          <w:rFonts w:asciiTheme="majorBidi" w:hAnsiTheme="majorBidi" w:cstheme="majorBidi"/>
          <w:color w:val="000000"/>
          <w:sz w:val="24"/>
          <w:szCs w:val="24"/>
        </w:rPr>
        <w:t xml:space="preserve"> the value 1 if the </w:t>
      </w:r>
      <w:r w:rsidR="00B0787C">
        <w:rPr>
          <w:rFonts w:asciiTheme="majorBidi" w:hAnsiTheme="majorBidi" w:cstheme="majorBidi"/>
          <w:color w:val="000000"/>
          <w:sz w:val="24"/>
          <w:szCs w:val="24"/>
        </w:rPr>
        <w:t xml:space="preserve">country’s predominant religion is Christianity or Islam, respectively, or 0 otherwise. </w:t>
      </w:r>
      <w:r w:rsidR="00C8120E">
        <w:rPr>
          <w:rFonts w:ascii="Times New Roman" w:hAnsi="Times New Roman" w:cs="Times New Roman"/>
          <w:sz w:val="24"/>
          <w:szCs w:val="24"/>
        </w:rPr>
        <w:t xml:space="preserve">The </w:t>
      </w:r>
      <w:r w:rsidR="00B0787C">
        <w:rPr>
          <w:rFonts w:ascii="Times New Roman" w:hAnsi="Times New Roman" w:cs="Times New Roman"/>
          <w:sz w:val="24"/>
          <w:szCs w:val="24"/>
        </w:rPr>
        <w:t xml:space="preserve">sources and construction of the </w:t>
      </w:r>
      <w:r w:rsidR="00C8120E">
        <w:rPr>
          <w:rFonts w:ascii="Times New Roman" w:hAnsi="Times New Roman" w:cs="Times New Roman"/>
          <w:sz w:val="24"/>
          <w:szCs w:val="24"/>
        </w:rPr>
        <w:t>different</w:t>
      </w:r>
      <w:r w:rsidR="00B0787C">
        <w:rPr>
          <w:rFonts w:ascii="Times New Roman" w:hAnsi="Times New Roman" w:cs="Times New Roman"/>
          <w:sz w:val="24"/>
          <w:szCs w:val="24"/>
        </w:rPr>
        <w:t xml:space="preserve"> independent </w:t>
      </w:r>
      <w:r w:rsidR="00C8120E">
        <w:rPr>
          <w:rFonts w:ascii="Times New Roman" w:hAnsi="Times New Roman" w:cs="Times New Roman"/>
          <w:sz w:val="24"/>
          <w:szCs w:val="24"/>
        </w:rPr>
        <w:t>variables</w:t>
      </w:r>
      <w:r w:rsidR="0096069D">
        <w:rPr>
          <w:rFonts w:ascii="Times New Roman" w:hAnsi="Times New Roman" w:cs="Times New Roman"/>
          <w:sz w:val="24"/>
          <w:szCs w:val="24"/>
        </w:rPr>
        <w:t xml:space="preserve"> </w:t>
      </w:r>
      <w:r w:rsidR="00C8120E">
        <w:rPr>
          <w:rFonts w:ascii="Times New Roman" w:hAnsi="Times New Roman" w:cs="Times New Roman"/>
          <w:sz w:val="24"/>
          <w:szCs w:val="24"/>
        </w:rPr>
        <w:t xml:space="preserve">are </w:t>
      </w:r>
      <w:r w:rsidR="006D2FD9">
        <w:rPr>
          <w:rFonts w:ascii="Times New Roman" w:hAnsi="Times New Roman" w:cs="Times New Roman"/>
          <w:sz w:val="24"/>
          <w:szCs w:val="24"/>
        </w:rPr>
        <w:t>explained</w:t>
      </w:r>
      <w:r w:rsidR="00C8120E">
        <w:rPr>
          <w:rFonts w:ascii="Times New Roman" w:hAnsi="Times New Roman" w:cs="Times New Roman"/>
          <w:sz w:val="24"/>
          <w:szCs w:val="24"/>
        </w:rPr>
        <w:t xml:space="preserve"> in </w:t>
      </w:r>
      <w:r w:rsidR="00C8120E" w:rsidRPr="00E11F2A">
        <w:rPr>
          <w:rFonts w:ascii="Times New Roman" w:hAnsi="Times New Roman" w:cs="Times New Roman"/>
          <w:sz w:val="24"/>
          <w:szCs w:val="24"/>
        </w:rPr>
        <w:t>Appendix II</w:t>
      </w:r>
      <w:r w:rsidR="000E06DA" w:rsidRPr="00E11F2A">
        <w:rPr>
          <w:rFonts w:ascii="Times New Roman" w:hAnsi="Times New Roman" w:cs="Times New Roman"/>
          <w:sz w:val="24"/>
          <w:szCs w:val="24"/>
        </w:rPr>
        <w:t>.</w:t>
      </w:r>
      <w:r w:rsidR="007A0002" w:rsidRPr="007A0002">
        <w:rPr>
          <w:rFonts w:ascii="Times New Roman" w:hAnsi="Times New Roman" w:cs="Times New Roman"/>
          <w:sz w:val="24"/>
          <w:szCs w:val="24"/>
        </w:rPr>
        <w:t xml:space="preserve"> </w:t>
      </w:r>
    </w:p>
    <w:p w14:paraId="0F7487AB"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25862902" w14:textId="617F8B9C" w:rsidR="000E06DA" w:rsidRDefault="00E11F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B1F86">
        <w:rPr>
          <w:rFonts w:ascii="Times New Roman" w:hAnsi="Times New Roman" w:cs="Times New Roman"/>
          <w:sz w:val="24"/>
          <w:szCs w:val="24"/>
        </w:rPr>
        <w:t>As highlighted earlier, due to the fact the firms are nested within countries, the standard assumption of observation independence is most likely to be violated. This happens because firms within one country are generally more similar than firms from different countries. Therefore, w</w:t>
      </w:r>
      <w:r w:rsidR="007A0002">
        <w:rPr>
          <w:rFonts w:ascii="Times New Roman" w:hAnsi="Times New Roman" w:cs="Times New Roman"/>
          <w:sz w:val="24"/>
          <w:szCs w:val="24"/>
        </w:rPr>
        <w:t xml:space="preserve">e employ </w:t>
      </w:r>
      <w:r w:rsidR="007A0002" w:rsidRPr="00687457">
        <w:rPr>
          <w:rFonts w:ascii="Times New Roman" w:hAnsi="Times New Roman" w:cs="Times New Roman"/>
          <w:sz w:val="24"/>
          <w:szCs w:val="24"/>
        </w:rPr>
        <w:t xml:space="preserve">the </w:t>
      </w:r>
      <w:bookmarkStart w:id="3" w:name="_Hlk528001633"/>
      <w:r w:rsidR="007A0002" w:rsidRPr="00687457">
        <w:rPr>
          <w:rFonts w:ascii="Times New Roman" w:hAnsi="Times New Roman" w:cs="Times New Roman"/>
          <w:sz w:val="24"/>
          <w:szCs w:val="24"/>
        </w:rPr>
        <w:t xml:space="preserve">hierarchical linear modeling (HLM) approach to capture the nested </w:t>
      </w:r>
      <w:bookmarkEnd w:id="3"/>
      <w:r w:rsidR="007A0002" w:rsidRPr="00687457">
        <w:rPr>
          <w:rFonts w:ascii="Times New Roman" w:hAnsi="Times New Roman" w:cs="Times New Roman"/>
          <w:sz w:val="24"/>
          <w:szCs w:val="24"/>
        </w:rPr>
        <w:t>nature of the data and avoid potential problems with our conclusions due to the violation of the independence assumption</w:t>
      </w:r>
      <w:r w:rsidR="00BB1F86">
        <w:rPr>
          <w:rFonts w:ascii="Times New Roman" w:hAnsi="Times New Roman" w:cs="Times New Roman"/>
          <w:sz w:val="24"/>
          <w:szCs w:val="24"/>
        </w:rPr>
        <w:t xml:space="preserve"> (Esse</w:t>
      </w:r>
      <w:r w:rsidR="00D70B70" w:rsidRPr="00D70B70">
        <w:rPr>
          <w:rFonts w:ascii="Times New Roman" w:hAnsi="Times New Roman" w:cs="Times New Roman"/>
          <w:i/>
          <w:iCs/>
          <w:sz w:val="24"/>
          <w:szCs w:val="24"/>
        </w:rPr>
        <w:t xml:space="preserve"> </w:t>
      </w:r>
      <w:r w:rsidR="00D70B70" w:rsidRPr="009372D2">
        <w:rPr>
          <w:rFonts w:ascii="Times New Roman" w:hAnsi="Times New Roman" w:cs="Times New Roman"/>
          <w:i/>
          <w:iCs/>
          <w:sz w:val="24"/>
          <w:szCs w:val="24"/>
        </w:rPr>
        <w:t>et al.</w:t>
      </w:r>
      <w:r w:rsidR="00BB1F86">
        <w:rPr>
          <w:rFonts w:ascii="Times New Roman" w:hAnsi="Times New Roman" w:cs="Times New Roman"/>
          <w:sz w:val="24"/>
          <w:szCs w:val="24"/>
        </w:rPr>
        <w:t xml:space="preserve"> </w:t>
      </w:r>
      <w:r w:rsidR="00BB1F86" w:rsidRPr="00C83031">
        <w:rPr>
          <w:rFonts w:ascii="Times New Roman" w:hAnsi="Times New Roman" w:cs="Times New Roman"/>
          <w:sz w:val="24"/>
          <w:szCs w:val="24"/>
        </w:rPr>
        <w:t>2013</w:t>
      </w:r>
      <w:r w:rsidR="00BB1F86">
        <w:rPr>
          <w:rFonts w:ascii="Times New Roman" w:hAnsi="Times New Roman" w:cs="Times New Roman"/>
          <w:sz w:val="24"/>
          <w:szCs w:val="24"/>
        </w:rPr>
        <w:t>)</w:t>
      </w:r>
      <w:r w:rsidR="007A0002">
        <w:rPr>
          <w:rStyle w:val="FootnoteReference"/>
          <w:rFonts w:ascii="Times New Roman" w:hAnsi="Times New Roman" w:cs="Times New Roman"/>
          <w:sz w:val="24"/>
          <w:szCs w:val="24"/>
        </w:rPr>
        <w:footnoteReference w:id="6"/>
      </w:r>
      <w:r w:rsidR="007A0002">
        <w:rPr>
          <w:rFonts w:ascii="Times New Roman" w:hAnsi="Times New Roman" w:cs="Times New Roman"/>
          <w:sz w:val="24"/>
          <w:szCs w:val="24"/>
        </w:rPr>
        <w:t>. Our HLM regressions are based on two hierarchal levels (firm and country), each of which has its own regression equation. Level 1 regression includes firm</w:t>
      </w:r>
      <w:r w:rsidR="00BB1F86">
        <w:rPr>
          <w:rFonts w:ascii="Times New Roman" w:hAnsi="Times New Roman" w:cs="Times New Roman"/>
          <w:sz w:val="24"/>
          <w:szCs w:val="24"/>
        </w:rPr>
        <w:t xml:space="preserve"> and country </w:t>
      </w:r>
      <w:r w:rsidR="007A0002">
        <w:rPr>
          <w:rFonts w:ascii="Times New Roman" w:hAnsi="Times New Roman" w:cs="Times New Roman"/>
          <w:sz w:val="24"/>
          <w:szCs w:val="24"/>
        </w:rPr>
        <w:t xml:space="preserve">level variables, whereas Level 2 includes country-level </w:t>
      </w:r>
      <w:r w:rsidR="00BB1F86">
        <w:rPr>
          <w:rFonts w:ascii="Times New Roman" w:hAnsi="Times New Roman" w:cs="Times New Roman"/>
          <w:sz w:val="24"/>
          <w:szCs w:val="24"/>
        </w:rPr>
        <w:t>variables</w:t>
      </w:r>
      <w:r w:rsidR="00674C05">
        <w:rPr>
          <w:rFonts w:ascii="Times New Roman" w:hAnsi="Times New Roman" w:cs="Times New Roman"/>
          <w:sz w:val="24"/>
          <w:szCs w:val="24"/>
        </w:rPr>
        <w:t xml:space="preserve"> only</w:t>
      </w:r>
      <w:r w:rsidR="007A0002">
        <w:rPr>
          <w:rFonts w:ascii="Times New Roman" w:hAnsi="Times New Roman" w:cs="Times New Roman"/>
          <w:sz w:val="24"/>
          <w:szCs w:val="24"/>
        </w:rPr>
        <w:t>. In contrast to the usual OLS approach, this approach allows us to vary the</w:t>
      </w:r>
      <w:r w:rsidR="00674C05">
        <w:rPr>
          <w:rFonts w:ascii="Times New Roman" w:hAnsi="Times New Roman" w:cs="Times New Roman"/>
          <w:sz w:val="24"/>
          <w:szCs w:val="24"/>
        </w:rPr>
        <w:t xml:space="preserve"> Level 1</w:t>
      </w:r>
      <w:r w:rsidR="007A0002">
        <w:rPr>
          <w:rFonts w:ascii="Times New Roman" w:hAnsi="Times New Roman" w:cs="Times New Roman"/>
          <w:sz w:val="24"/>
          <w:szCs w:val="24"/>
        </w:rPr>
        <w:t xml:space="preserve"> intercept and slopes</w:t>
      </w:r>
      <w:r w:rsidR="00674C05">
        <w:rPr>
          <w:rFonts w:ascii="Times New Roman" w:hAnsi="Times New Roman" w:cs="Times New Roman"/>
          <w:sz w:val="24"/>
          <w:szCs w:val="24"/>
        </w:rPr>
        <w:t xml:space="preserve"> across</w:t>
      </w:r>
      <w:r w:rsidR="007A0002">
        <w:rPr>
          <w:rFonts w:ascii="Times New Roman" w:hAnsi="Times New Roman" w:cs="Times New Roman"/>
          <w:sz w:val="24"/>
          <w:szCs w:val="24"/>
        </w:rPr>
        <w:t xml:space="preserve"> countries.</w:t>
      </w:r>
      <w:r w:rsidR="00674C05">
        <w:rPr>
          <w:rFonts w:ascii="Times New Roman" w:hAnsi="Times New Roman" w:cs="Times New Roman"/>
          <w:sz w:val="24"/>
          <w:szCs w:val="24"/>
        </w:rPr>
        <w:t xml:space="preserve"> </w:t>
      </w:r>
      <w:r w:rsidR="000E06DA" w:rsidRPr="004C34AA">
        <w:rPr>
          <w:rFonts w:ascii="Times New Roman" w:hAnsi="Times New Roman" w:cs="Times New Roman"/>
          <w:sz w:val="24"/>
          <w:szCs w:val="24"/>
        </w:rPr>
        <w:t xml:space="preserve">Following </w:t>
      </w:r>
      <w:r w:rsidR="000E06DA">
        <w:rPr>
          <w:rFonts w:ascii="Times New Roman" w:hAnsi="Times New Roman" w:cs="Times New Roman"/>
          <w:sz w:val="24"/>
          <w:szCs w:val="24"/>
        </w:rPr>
        <w:t xml:space="preserve">Aggarwal </w:t>
      </w:r>
      <w:r w:rsidRPr="001F2E5E">
        <w:rPr>
          <w:rFonts w:ascii="Times New Roman" w:hAnsi="Times New Roman" w:cs="Times New Roman"/>
          <w:i/>
          <w:iCs/>
        </w:rPr>
        <w:t>et al.</w:t>
      </w:r>
      <w:r w:rsidR="000E06DA">
        <w:rPr>
          <w:rFonts w:ascii="Times New Roman" w:hAnsi="Times New Roman" w:cs="Times New Roman"/>
          <w:sz w:val="24"/>
          <w:szCs w:val="24"/>
        </w:rPr>
        <w:t xml:space="preserve"> (2010), Klapper and Love (2004), and others, we include </w:t>
      </w:r>
      <w:r w:rsidR="000E06DA" w:rsidRPr="004C34AA">
        <w:rPr>
          <w:rFonts w:ascii="Times New Roman" w:hAnsi="Times New Roman" w:cs="Times New Roman"/>
          <w:sz w:val="24"/>
          <w:szCs w:val="24"/>
        </w:rPr>
        <w:t>several cont</w:t>
      </w:r>
      <w:r w:rsidR="000E06DA">
        <w:rPr>
          <w:rFonts w:ascii="Times New Roman" w:hAnsi="Times New Roman" w:cs="Times New Roman"/>
          <w:sz w:val="24"/>
          <w:szCs w:val="24"/>
        </w:rPr>
        <w:t>rol variables in the regression to account for</w:t>
      </w:r>
      <w:r w:rsidR="000E06DA" w:rsidRPr="004C34AA">
        <w:rPr>
          <w:rFonts w:ascii="Times New Roman" w:hAnsi="Times New Roman" w:cs="Times New Roman"/>
          <w:sz w:val="24"/>
          <w:szCs w:val="24"/>
        </w:rPr>
        <w:t xml:space="preserve"> potential variations in</w:t>
      </w:r>
      <w:r w:rsidR="000E06DA">
        <w:rPr>
          <w:rFonts w:ascii="Times New Roman" w:hAnsi="Times New Roman" w:cs="Times New Roman"/>
          <w:sz w:val="24"/>
          <w:szCs w:val="24"/>
        </w:rPr>
        <w:t xml:space="preserve"> the governance characteristics of a firm due to firm-specific attributes</w:t>
      </w:r>
      <w:r w:rsidR="00BB1F86">
        <w:rPr>
          <w:rFonts w:ascii="Times New Roman" w:hAnsi="Times New Roman" w:cs="Times New Roman"/>
          <w:sz w:val="24"/>
          <w:szCs w:val="24"/>
        </w:rPr>
        <w:t xml:space="preserve"> </w:t>
      </w:r>
      <w:r w:rsidR="000E06DA">
        <w:rPr>
          <w:rStyle w:val="FootnoteReference"/>
          <w:rFonts w:ascii="Times New Roman" w:hAnsi="Times New Roman" w:cs="Times New Roman"/>
          <w:sz w:val="24"/>
          <w:szCs w:val="24"/>
        </w:rPr>
        <w:footnoteReference w:id="7"/>
      </w:r>
      <w:r w:rsidR="00BB1F86">
        <w:rPr>
          <w:rFonts w:ascii="Times New Roman" w:hAnsi="Times New Roman" w:cs="Times New Roman"/>
          <w:sz w:val="24"/>
          <w:szCs w:val="24"/>
        </w:rPr>
        <w:t xml:space="preserve"> </w:t>
      </w:r>
      <w:r w:rsidR="00BB1F86">
        <w:rPr>
          <w:rStyle w:val="FootnoteReference"/>
          <w:rFonts w:ascii="Times New Roman" w:hAnsi="Times New Roman" w:cs="Times New Roman"/>
          <w:sz w:val="24"/>
          <w:szCs w:val="24"/>
        </w:rPr>
        <w:footnoteReference w:id="8"/>
      </w:r>
      <w:r w:rsidR="00E219C5">
        <w:rPr>
          <w:rFonts w:ascii="Times New Roman" w:hAnsi="Times New Roman" w:cs="Times New Roman"/>
          <w:sz w:val="24"/>
          <w:szCs w:val="24"/>
        </w:rPr>
        <w:t xml:space="preserve">. </w:t>
      </w:r>
      <w:r w:rsidR="000E06DA" w:rsidRPr="004C34AA">
        <w:rPr>
          <w:rFonts w:ascii="Times New Roman" w:hAnsi="Times New Roman" w:cs="Times New Roman"/>
          <w:sz w:val="24"/>
          <w:szCs w:val="24"/>
        </w:rPr>
        <w:t xml:space="preserve"> These variables are</w:t>
      </w:r>
      <w:r w:rsidR="008474D1">
        <w:rPr>
          <w:rFonts w:ascii="Times New Roman" w:hAnsi="Times New Roman" w:cs="Times New Roman"/>
          <w:sz w:val="24"/>
          <w:szCs w:val="24"/>
        </w:rPr>
        <w:t>:</w:t>
      </w:r>
    </w:p>
    <w:p w14:paraId="38E7CAD9"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26E0038D" w14:textId="4FE2B6F0" w:rsidR="000E06DA" w:rsidRDefault="000E06DA" w:rsidP="00E11F2A">
      <w:pPr>
        <w:pStyle w:val="ListParagraph"/>
        <w:numPr>
          <w:ilvl w:val="0"/>
          <w:numId w:val="3"/>
        </w:numPr>
        <w:tabs>
          <w:tab w:val="left" w:pos="426"/>
        </w:tabs>
        <w:spacing w:after="0" w:line="288" w:lineRule="auto"/>
        <w:ind w:left="426" w:hanging="426"/>
        <w:jc w:val="both"/>
        <w:rPr>
          <w:rFonts w:ascii="Times New Roman" w:hAnsi="Times New Roman" w:cs="Times New Roman"/>
          <w:sz w:val="24"/>
          <w:szCs w:val="24"/>
        </w:rPr>
      </w:pPr>
      <w:r w:rsidRPr="00D70B70">
        <w:rPr>
          <w:rFonts w:ascii="Times New Roman" w:hAnsi="Times New Roman" w:cs="Times New Roman"/>
          <w:b/>
          <w:bCs/>
          <w:sz w:val="24"/>
          <w:szCs w:val="24"/>
        </w:rPr>
        <w:t>Firm size (SIZE</w:t>
      </w:r>
      <w:r w:rsidRPr="00F15514">
        <w:rPr>
          <w:rFonts w:ascii="Times New Roman" w:hAnsi="Times New Roman" w:cs="Times New Roman"/>
          <w:b/>
          <w:bCs/>
          <w:i/>
          <w:iCs/>
          <w:sz w:val="24"/>
          <w:szCs w:val="24"/>
        </w:rPr>
        <w:t>):</w:t>
      </w:r>
      <w:r>
        <w:rPr>
          <w:rFonts w:ascii="Times New Roman" w:hAnsi="Times New Roman" w:cs="Times New Roman"/>
          <w:sz w:val="24"/>
          <w:szCs w:val="24"/>
        </w:rPr>
        <w:t xml:space="preserve"> is the log of total assets. As highlighted by Klapper and Love (2004), size plays an important role in determining the governance characteristics of the firm. A larger firm may have greater agency problems indicating the need to impose stricter governance mechanisms. At the same time, a small firm may have greater financing needs and thus may need to improve its governance profile in order to able to attract external financing.</w:t>
      </w:r>
    </w:p>
    <w:p w14:paraId="47910235" w14:textId="77777777" w:rsidR="00E11F2A" w:rsidRDefault="00E11F2A" w:rsidP="00E11F2A">
      <w:pPr>
        <w:pStyle w:val="ListParagraph"/>
        <w:tabs>
          <w:tab w:val="left" w:pos="426"/>
        </w:tabs>
        <w:spacing w:after="0" w:line="288" w:lineRule="auto"/>
        <w:ind w:left="426"/>
        <w:jc w:val="both"/>
        <w:rPr>
          <w:rFonts w:ascii="Times New Roman" w:hAnsi="Times New Roman" w:cs="Times New Roman"/>
          <w:sz w:val="24"/>
          <w:szCs w:val="24"/>
        </w:rPr>
      </w:pPr>
    </w:p>
    <w:p w14:paraId="7AF4F92F" w14:textId="210E901C" w:rsidR="000E06DA" w:rsidRDefault="000E06DA" w:rsidP="00E11F2A">
      <w:pPr>
        <w:pStyle w:val="ListParagraph"/>
        <w:numPr>
          <w:ilvl w:val="0"/>
          <w:numId w:val="3"/>
        </w:numPr>
        <w:tabs>
          <w:tab w:val="left" w:pos="426"/>
        </w:tabs>
        <w:spacing w:after="0" w:line="288" w:lineRule="auto"/>
        <w:ind w:left="426" w:hanging="426"/>
        <w:jc w:val="both"/>
        <w:rPr>
          <w:rFonts w:ascii="Times New Roman" w:hAnsi="Times New Roman" w:cs="Times New Roman"/>
          <w:sz w:val="24"/>
          <w:szCs w:val="24"/>
        </w:rPr>
      </w:pPr>
      <w:r w:rsidRPr="00D70B70">
        <w:rPr>
          <w:rFonts w:ascii="Times New Roman" w:hAnsi="Times New Roman" w:cs="Times New Roman"/>
          <w:b/>
          <w:bCs/>
          <w:sz w:val="24"/>
          <w:szCs w:val="24"/>
        </w:rPr>
        <w:t>Leverage (LEVG):</w:t>
      </w:r>
      <w:r>
        <w:rPr>
          <w:rFonts w:ascii="Times New Roman" w:hAnsi="Times New Roman" w:cs="Times New Roman"/>
          <w:sz w:val="24"/>
          <w:szCs w:val="24"/>
        </w:rPr>
        <w:t xml:space="preserve"> is </w:t>
      </w:r>
      <w:r w:rsidRPr="00580289">
        <w:rPr>
          <w:rFonts w:ascii="Times New Roman" w:hAnsi="Times New Roman" w:cs="Times New Roman"/>
          <w:sz w:val="24"/>
          <w:szCs w:val="24"/>
        </w:rPr>
        <w:t>the ratio of the total book value of short- and long-term debt</w:t>
      </w:r>
      <w:r>
        <w:rPr>
          <w:rFonts w:ascii="Times New Roman" w:hAnsi="Times New Roman" w:cs="Times New Roman"/>
          <w:sz w:val="24"/>
          <w:szCs w:val="24"/>
        </w:rPr>
        <w:t xml:space="preserve"> </w:t>
      </w:r>
      <w:r w:rsidRPr="00580289">
        <w:rPr>
          <w:rFonts w:ascii="Times New Roman" w:hAnsi="Times New Roman" w:cs="Times New Roman"/>
          <w:sz w:val="24"/>
          <w:szCs w:val="24"/>
        </w:rPr>
        <w:t>to total assets.</w:t>
      </w:r>
      <w:r>
        <w:rPr>
          <w:rFonts w:ascii="Times New Roman" w:hAnsi="Times New Roman" w:cs="Times New Roman"/>
          <w:sz w:val="24"/>
          <w:szCs w:val="24"/>
        </w:rPr>
        <w:t xml:space="preserve"> Leverage levels have been found in many studies to be highly related to the level of agency issues in the firm. Jensen (1986) and Stulz (1990), among others, have documented that higher leverage levels reduce agency issues by reducing the amount of free cash available to managers as well as imposing more financial constraints on their daily operations. One can also argue that leverage adds a new layer of monitoring of managers’ actions by the creditors. </w:t>
      </w:r>
      <w:r w:rsidRPr="0017037C">
        <w:rPr>
          <w:rFonts w:ascii="Times New Roman" w:hAnsi="Times New Roman" w:cs="Times New Roman"/>
          <w:sz w:val="24"/>
          <w:szCs w:val="24"/>
        </w:rPr>
        <w:t xml:space="preserve">Thus, under some </w:t>
      </w:r>
      <w:r>
        <w:rPr>
          <w:rFonts w:ascii="Times New Roman" w:hAnsi="Times New Roman" w:cs="Times New Roman"/>
          <w:sz w:val="24"/>
          <w:szCs w:val="24"/>
        </w:rPr>
        <w:t>conditions</w:t>
      </w:r>
      <w:r w:rsidRPr="0017037C">
        <w:rPr>
          <w:rFonts w:ascii="Times New Roman" w:hAnsi="Times New Roman" w:cs="Times New Roman"/>
          <w:sz w:val="24"/>
          <w:szCs w:val="24"/>
        </w:rPr>
        <w:t xml:space="preserve"> leverage can be viewed as a</w:t>
      </w:r>
      <w:r>
        <w:rPr>
          <w:rFonts w:ascii="Times New Roman" w:hAnsi="Times New Roman" w:cs="Times New Roman"/>
          <w:sz w:val="24"/>
          <w:szCs w:val="24"/>
        </w:rPr>
        <w:t>n important determinant of the firm’s governance profile.</w:t>
      </w:r>
    </w:p>
    <w:p w14:paraId="46BB4861" w14:textId="77777777" w:rsidR="00E11F2A" w:rsidRPr="0017037C" w:rsidRDefault="00E11F2A" w:rsidP="00E11F2A">
      <w:pPr>
        <w:pStyle w:val="ListParagraph"/>
        <w:tabs>
          <w:tab w:val="left" w:pos="426"/>
        </w:tabs>
        <w:spacing w:after="0" w:line="288" w:lineRule="auto"/>
        <w:ind w:left="426"/>
        <w:jc w:val="both"/>
        <w:rPr>
          <w:rFonts w:ascii="Times New Roman" w:hAnsi="Times New Roman" w:cs="Times New Roman"/>
          <w:sz w:val="24"/>
          <w:szCs w:val="24"/>
        </w:rPr>
      </w:pPr>
    </w:p>
    <w:p w14:paraId="23086C6C" w14:textId="1A5ED6B4" w:rsidR="000E06DA" w:rsidRDefault="000E06DA" w:rsidP="00E11F2A">
      <w:pPr>
        <w:pStyle w:val="ListParagraph"/>
        <w:numPr>
          <w:ilvl w:val="0"/>
          <w:numId w:val="3"/>
        </w:numPr>
        <w:tabs>
          <w:tab w:val="left" w:pos="426"/>
        </w:tabs>
        <w:spacing w:after="0" w:line="288" w:lineRule="auto"/>
        <w:ind w:left="426" w:hanging="426"/>
        <w:jc w:val="both"/>
        <w:rPr>
          <w:rFonts w:ascii="Times New Roman" w:hAnsi="Times New Roman" w:cs="Times New Roman"/>
          <w:sz w:val="24"/>
          <w:szCs w:val="24"/>
        </w:rPr>
      </w:pPr>
      <w:r w:rsidRPr="00D70B70">
        <w:rPr>
          <w:rFonts w:ascii="Times New Roman" w:hAnsi="Times New Roman" w:cs="Times New Roman"/>
          <w:b/>
          <w:bCs/>
          <w:sz w:val="24"/>
          <w:szCs w:val="24"/>
        </w:rPr>
        <w:t>Growth opportunities (GROW)</w:t>
      </w:r>
      <w:r>
        <w:rPr>
          <w:rFonts w:ascii="Times New Roman" w:hAnsi="Times New Roman" w:cs="Times New Roman"/>
          <w:b/>
          <w:bCs/>
          <w:i/>
          <w:iCs/>
          <w:sz w:val="24"/>
          <w:szCs w:val="24"/>
        </w:rPr>
        <w:t>:</w:t>
      </w:r>
      <w:r>
        <w:rPr>
          <w:rFonts w:ascii="Times New Roman" w:hAnsi="Times New Roman" w:cs="Times New Roman"/>
          <w:sz w:val="24"/>
          <w:szCs w:val="24"/>
        </w:rPr>
        <w:t xml:space="preserve"> is the average growth rate in sales for the last three years. A firm with high growth opportunities will have a higher need for external financing and thus may find it beneficial to improve its governance characteristics and overall protection of </w:t>
      </w:r>
      <w:r>
        <w:rPr>
          <w:rFonts w:ascii="Times New Roman" w:hAnsi="Times New Roman" w:cs="Times New Roman"/>
          <w:sz w:val="24"/>
          <w:szCs w:val="24"/>
        </w:rPr>
        <w:lastRenderedPageBreak/>
        <w:t xml:space="preserve">shareholder rights in order to improve its access to external sources as well as reduce its cost of doing so (Himmelberg </w:t>
      </w:r>
      <w:r w:rsidR="00A94F42" w:rsidRPr="00A94F42">
        <w:rPr>
          <w:rFonts w:ascii="Times New Roman" w:hAnsi="Times New Roman" w:cs="Times New Roman"/>
          <w:i/>
          <w:iCs/>
          <w:sz w:val="24"/>
          <w:szCs w:val="24"/>
        </w:rPr>
        <w:t>et al.</w:t>
      </w:r>
      <w:r>
        <w:rPr>
          <w:rFonts w:ascii="Times New Roman" w:hAnsi="Times New Roman" w:cs="Times New Roman"/>
          <w:sz w:val="24"/>
          <w:szCs w:val="24"/>
        </w:rPr>
        <w:t xml:space="preserve"> 1999</w:t>
      </w:r>
      <w:r w:rsidR="00682D1F">
        <w:rPr>
          <w:rFonts w:ascii="Times New Roman" w:hAnsi="Times New Roman" w:cs="Times New Roman"/>
          <w:sz w:val="24"/>
          <w:szCs w:val="24"/>
        </w:rPr>
        <w:t>,</w:t>
      </w:r>
      <w:r>
        <w:rPr>
          <w:rFonts w:ascii="Times New Roman" w:hAnsi="Times New Roman" w:cs="Times New Roman"/>
          <w:sz w:val="24"/>
          <w:szCs w:val="24"/>
        </w:rPr>
        <w:t xml:space="preserve"> Klapper and Love</w:t>
      </w:r>
      <w:r w:rsidR="00C434B8">
        <w:rPr>
          <w:rFonts w:ascii="Times New Roman" w:hAnsi="Times New Roman" w:cs="Times New Roman"/>
          <w:sz w:val="24"/>
          <w:szCs w:val="24"/>
        </w:rPr>
        <w:t xml:space="preserve"> </w:t>
      </w:r>
      <w:r>
        <w:rPr>
          <w:rFonts w:ascii="Times New Roman" w:hAnsi="Times New Roman" w:cs="Times New Roman"/>
          <w:sz w:val="24"/>
          <w:szCs w:val="24"/>
        </w:rPr>
        <w:t>2004).</w:t>
      </w:r>
    </w:p>
    <w:p w14:paraId="37096272"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153437E4" w14:textId="52356077" w:rsidR="00B33186" w:rsidRDefault="00E11F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33186">
        <w:rPr>
          <w:rFonts w:ascii="Times New Roman" w:hAnsi="Times New Roman" w:cs="Times New Roman"/>
          <w:sz w:val="24"/>
          <w:szCs w:val="24"/>
        </w:rPr>
        <w:t xml:space="preserve">We also </w:t>
      </w:r>
      <w:r w:rsidR="004A7B04">
        <w:rPr>
          <w:rFonts w:ascii="Times New Roman" w:hAnsi="Times New Roman" w:cs="Times New Roman"/>
          <w:sz w:val="24"/>
          <w:szCs w:val="24"/>
        </w:rPr>
        <w:t xml:space="preserve">add a country-level control variable, Log of GNP per capita (LGPC), to control for differences in the state of economic development across </w:t>
      </w:r>
      <w:r w:rsidR="003708BB">
        <w:rPr>
          <w:rFonts w:ascii="Times New Roman" w:hAnsi="Times New Roman" w:cs="Times New Roman"/>
          <w:sz w:val="24"/>
          <w:szCs w:val="24"/>
        </w:rPr>
        <w:t>countries</w:t>
      </w:r>
      <w:r w:rsidR="00BB1F86">
        <w:rPr>
          <w:rFonts w:ascii="Times New Roman" w:hAnsi="Times New Roman" w:cs="Times New Roman"/>
          <w:sz w:val="24"/>
          <w:szCs w:val="24"/>
        </w:rPr>
        <w:t xml:space="preserve"> (Aggarwal </w:t>
      </w:r>
      <w:r w:rsidRPr="001F2E5E">
        <w:rPr>
          <w:rFonts w:ascii="Times New Roman" w:hAnsi="Times New Roman" w:cs="Times New Roman"/>
          <w:i/>
          <w:iCs/>
        </w:rPr>
        <w:t>et al.</w:t>
      </w:r>
      <w:r w:rsidR="00BB1F86">
        <w:rPr>
          <w:rFonts w:ascii="Times New Roman" w:hAnsi="Times New Roman" w:cs="Times New Roman"/>
          <w:sz w:val="24"/>
          <w:szCs w:val="24"/>
        </w:rPr>
        <w:t xml:space="preserve"> 2010</w:t>
      </w:r>
      <w:r w:rsidR="00682D1F">
        <w:rPr>
          <w:rFonts w:ascii="Times New Roman" w:hAnsi="Times New Roman" w:cs="Times New Roman"/>
          <w:sz w:val="24"/>
          <w:szCs w:val="24"/>
        </w:rPr>
        <w:t>,</w:t>
      </w:r>
      <w:r w:rsidR="00BB1F86">
        <w:rPr>
          <w:rFonts w:ascii="Times New Roman" w:hAnsi="Times New Roman" w:cs="Times New Roman"/>
          <w:sz w:val="24"/>
          <w:szCs w:val="24"/>
        </w:rPr>
        <w:t xml:space="preserve"> Klapper and Love, 2004)</w:t>
      </w:r>
      <w:r w:rsidR="004A7B04">
        <w:rPr>
          <w:rFonts w:ascii="Times New Roman" w:hAnsi="Times New Roman" w:cs="Times New Roman"/>
          <w:sz w:val="24"/>
          <w:szCs w:val="24"/>
        </w:rPr>
        <w:t xml:space="preserve">. We source this data </w:t>
      </w:r>
      <w:r w:rsidR="004A7B04" w:rsidRPr="004A7B04">
        <w:rPr>
          <w:rFonts w:ascii="Times New Roman" w:hAnsi="Times New Roman" w:cs="Times New Roman"/>
          <w:sz w:val="24"/>
          <w:szCs w:val="24"/>
        </w:rPr>
        <w:t>from the World Bank WDI Database</w:t>
      </w:r>
      <w:r w:rsidR="004A7B04">
        <w:rPr>
          <w:rFonts w:ascii="Times New Roman" w:hAnsi="Times New Roman" w:cs="Times New Roman"/>
          <w:sz w:val="24"/>
          <w:szCs w:val="24"/>
        </w:rPr>
        <w:t xml:space="preserve"> for all </w:t>
      </w:r>
      <w:r w:rsidR="00615108">
        <w:rPr>
          <w:rFonts w:ascii="Times New Roman" w:hAnsi="Times New Roman" w:cs="Times New Roman"/>
          <w:sz w:val="24"/>
          <w:szCs w:val="24"/>
        </w:rPr>
        <w:t>countr</w:t>
      </w:r>
      <w:r w:rsidR="004A7B04">
        <w:rPr>
          <w:rFonts w:ascii="Times New Roman" w:hAnsi="Times New Roman" w:cs="Times New Roman"/>
          <w:sz w:val="24"/>
          <w:szCs w:val="24"/>
        </w:rPr>
        <w:t xml:space="preserve">ies in our sample. </w:t>
      </w:r>
    </w:p>
    <w:p w14:paraId="4150B2A8" w14:textId="77777777" w:rsidR="00E11F2A" w:rsidRDefault="00E11F2A" w:rsidP="00BF2605">
      <w:pPr>
        <w:tabs>
          <w:tab w:val="left" w:pos="426"/>
        </w:tabs>
        <w:spacing w:after="0" w:line="288" w:lineRule="auto"/>
        <w:jc w:val="both"/>
        <w:rPr>
          <w:rFonts w:ascii="Times New Roman" w:hAnsi="Times New Roman" w:cs="Times New Roman"/>
          <w:sz w:val="24"/>
          <w:szCs w:val="24"/>
        </w:rPr>
      </w:pPr>
    </w:p>
    <w:p w14:paraId="2141A744" w14:textId="6EA0D755" w:rsidR="00BB1F86" w:rsidRPr="00E11F2A" w:rsidRDefault="00BB1F86" w:rsidP="00BF2605">
      <w:pPr>
        <w:keepNext/>
        <w:tabs>
          <w:tab w:val="left" w:pos="426"/>
        </w:tabs>
        <w:spacing w:after="0" w:line="288" w:lineRule="auto"/>
        <w:jc w:val="both"/>
        <w:rPr>
          <w:rFonts w:ascii="Times New Roman" w:hAnsi="Times New Roman" w:cs="Times New Roman"/>
          <w:b/>
          <w:iCs/>
          <w:sz w:val="24"/>
          <w:szCs w:val="24"/>
        </w:rPr>
      </w:pPr>
      <w:r w:rsidRPr="00E11F2A">
        <w:rPr>
          <w:rFonts w:ascii="Times New Roman" w:hAnsi="Times New Roman" w:cs="Times New Roman"/>
          <w:b/>
          <w:iCs/>
          <w:sz w:val="24"/>
          <w:szCs w:val="24"/>
        </w:rPr>
        <w:t>The Relationship Between Firm-level and Country-level Governance</w:t>
      </w:r>
    </w:p>
    <w:p w14:paraId="348C4918" w14:textId="77777777" w:rsidR="00AE1D43" w:rsidRPr="00AE1D43" w:rsidRDefault="00AE1D43" w:rsidP="00BF2605">
      <w:pPr>
        <w:keepNext/>
        <w:tabs>
          <w:tab w:val="left" w:pos="426"/>
        </w:tabs>
        <w:spacing w:after="0" w:line="288" w:lineRule="auto"/>
        <w:jc w:val="both"/>
        <w:rPr>
          <w:rFonts w:ascii="Times New Roman" w:hAnsi="Times New Roman" w:cs="Times New Roman"/>
          <w:sz w:val="8"/>
          <w:szCs w:val="8"/>
        </w:rPr>
      </w:pPr>
    </w:p>
    <w:p w14:paraId="48799950" w14:textId="1985311B" w:rsidR="007B29FF" w:rsidRDefault="00E94C6D" w:rsidP="00BF2605">
      <w:pPr>
        <w:keepNext/>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Next, since the focus of this study is on outcome-based (</w:t>
      </w:r>
      <w:r w:rsidR="002A1408">
        <w:rPr>
          <w:rFonts w:ascii="Times New Roman" w:hAnsi="Times New Roman" w:cs="Times New Roman"/>
          <w:sz w:val="24"/>
          <w:szCs w:val="24"/>
        </w:rPr>
        <w:t>that is,</w:t>
      </w:r>
      <w:r>
        <w:rPr>
          <w:rFonts w:ascii="Times New Roman" w:hAnsi="Times New Roman" w:cs="Times New Roman"/>
          <w:sz w:val="24"/>
          <w:szCs w:val="24"/>
        </w:rPr>
        <w:t xml:space="preserve"> RLAW, MEDI, SOCL, and</w:t>
      </w:r>
      <w:r w:rsidRPr="00E94C6D">
        <w:rPr>
          <w:rFonts w:ascii="Times New Roman" w:hAnsi="Times New Roman" w:cs="Times New Roman"/>
          <w:sz w:val="24"/>
          <w:szCs w:val="24"/>
        </w:rPr>
        <w:t xml:space="preserve"> COMP</w:t>
      </w:r>
      <w:r>
        <w:rPr>
          <w:rFonts w:ascii="Times New Roman" w:hAnsi="Times New Roman" w:cs="Times New Roman"/>
          <w:sz w:val="24"/>
          <w:szCs w:val="24"/>
        </w:rPr>
        <w:t>) rather than rules-based (LORG, CHRN, and ISLM) country-level indicators, we only include the former indicators in our next three models</w:t>
      </w:r>
      <w:r w:rsidR="00110B3A">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r w:rsidR="00BB1F86">
        <w:rPr>
          <w:rFonts w:ascii="Times New Roman" w:hAnsi="Times New Roman" w:cs="Times New Roman"/>
          <w:sz w:val="24"/>
          <w:szCs w:val="24"/>
        </w:rPr>
        <w:t xml:space="preserve"> This focus stems from the argument that outcome-based variables provide a better gauge of the effectiveness of the protections and governance mechanisms in place as opposed to the rules-based variables which only measure the presence of such protections (</w:t>
      </w:r>
      <w:r w:rsidR="00BB1F86" w:rsidRPr="00916A59">
        <w:rPr>
          <w:rFonts w:ascii="Times New Roman" w:hAnsi="Times New Roman" w:cs="Times New Roman"/>
          <w:sz w:val="24"/>
          <w:szCs w:val="24"/>
        </w:rPr>
        <w:t xml:space="preserve">Kaufmann </w:t>
      </w:r>
      <w:r w:rsidR="002A1408" w:rsidRPr="009372D2">
        <w:rPr>
          <w:rFonts w:ascii="Times New Roman" w:hAnsi="Times New Roman" w:cs="Times New Roman"/>
          <w:i/>
          <w:iCs/>
          <w:sz w:val="24"/>
          <w:szCs w:val="24"/>
        </w:rPr>
        <w:t>et al.</w:t>
      </w:r>
      <w:r w:rsidR="00441C4F">
        <w:rPr>
          <w:rFonts w:ascii="Times New Roman" w:hAnsi="Times New Roman" w:cs="Times New Roman"/>
          <w:i/>
          <w:iCs/>
          <w:sz w:val="24"/>
          <w:szCs w:val="24"/>
        </w:rPr>
        <w:t xml:space="preserve"> </w:t>
      </w:r>
      <w:r w:rsidR="00BB1F86" w:rsidRPr="00916A59">
        <w:rPr>
          <w:rFonts w:ascii="Times New Roman" w:hAnsi="Times New Roman" w:cs="Times New Roman"/>
          <w:sz w:val="24"/>
          <w:szCs w:val="24"/>
        </w:rPr>
        <w:t>2011</w:t>
      </w:r>
      <w:r w:rsidR="00682D1F">
        <w:rPr>
          <w:rFonts w:ascii="Times New Roman" w:hAnsi="Times New Roman" w:cs="Times New Roman"/>
          <w:sz w:val="24"/>
          <w:szCs w:val="24"/>
        </w:rPr>
        <w:t>,</w:t>
      </w:r>
      <w:r w:rsidR="00BB1F86">
        <w:rPr>
          <w:rFonts w:ascii="Times New Roman" w:hAnsi="Times New Roman" w:cs="Times New Roman"/>
          <w:sz w:val="24"/>
          <w:szCs w:val="24"/>
        </w:rPr>
        <w:t xml:space="preserve"> </w:t>
      </w:r>
      <w:r w:rsidR="00BB1F86" w:rsidRPr="00916A59">
        <w:rPr>
          <w:rFonts w:ascii="Times New Roman" w:hAnsi="Times New Roman" w:cs="Times New Roman"/>
          <w:sz w:val="24"/>
          <w:szCs w:val="24"/>
        </w:rPr>
        <w:t>Schiehll and Martin</w:t>
      </w:r>
      <w:r w:rsidR="00BB1F86">
        <w:rPr>
          <w:rFonts w:ascii="Times New Roman" w:hAnsi="Times New Roman" w:cs="Times New Roman"/>
          <w:sz w:val="24"/>
          <w:szCs w:val="24"/>
        </w:rPr>
        <w:t xml:space="preserve"> </w:t>
      </w:r>
      <w:r w:rsidR="00BB1F86" w:rsidRPr="00916A59">
        <w:rPr>
          <w:rFonts w:ascii="Times New Roman" w:hAnsi="Times New Roman" w:cs="Times New Roman"/>
          <w:sz w:val="24"/>
          <w:szCs w:val="24"/>
        </w:rPr>
        <w:t>2016</w:t>
      </w:r>
      <w:r w:rsidR="00BB1F86">
        <w:rPr>
          <w:rFonts w:ascii="Times New Roman" w:hAnsi="Times New Roman" w:cs="Times New Roman"/>
          <w:sz w:val="24"/>
          <w:szCs w:val="24"/>
        </w:rPr>
        <w:t>).</w:t>
      </w:r>
      <w:r>
        <w:rPr>
          <w:rFonts w:ascii="Times New Roman" w:hAnsi="Times New Roman" w:cs="Times New Roman"/>
          <w:sz w:val="24"/>
          <w:szCs w:val="24"/>
        </w:rPr>
        <w:t xml:space="preserve"> </w:t>
      </w:r>
      <w:r w:rsidR="0039655D">
        <w:rPr>
          <w:rFonts w:ascii="Times New Roman" w:hAnsi="Times New Roman" w:cs="Times New Roman"/>
          <w:sz w:val="24"/>
          <w:szCs w:val="24"/>
        </w:rPr>
        <w:t xml:space="preserve">The </w:t>
      </w:r>
      <w:r w:rsidR="009D1C47">
        <w:rPr>
          <w:rFonts w:ascii="Times New Roman" w:hAnsi="Times New Roman" w:cs="Times New Roman"/>
          <w:sz w:val="24"/>
          <w:szCs w:val="24"/>
        </w:rPr>
        <w:t>second</w:t>
      </w:r>
      <w:r w:rsidR="007B29FF">
        <w:rPr>
          <w:rFonts w:ascii="Times New Roman" w:hAnsi="Times New Roman" w:cs="Times New Roman"/>
          <w:sz w:val="24"/>
          <w:szCs w:val="24"/>
        </w:rPr>
        <w:t xml:space="preserve"> set of</w:t>
      </w:r>
      <w:r w:rsidR="0039655D">
        <w:rPr>
          <w:rFonts w:ascii="Times New Roman" w:hAnsi="Times New Roman" w:cs="Times New Roman"/>
          <w:sz w:val="24"/>
          <w:szCs w:val="24"/>
        </w:rPr>
        <w:t xml:space="preserve"> research question</w:t>
      </w:r>
      <w:r w:rsidR="007B29FF">
        <w:rPr>
          <w:rFonts w:ascii="Times New Roman" w:hAnsi="Times New Roman" w:cs="Times New Roman"/>
          <w:sz w:val="24"/>
          <w:szCs w:val="24"/>
        </w:rPr>
        <w:t>s</w:t>
      </w:r>
      <w:r w:rsidR="0039655D">
        <w:rPr>
          <w:rFonts w:ascii="Times New Roman" w:hAnsi="Times New Roman" w:cs="Times New Roman"/>
          <w:sz w:val="24"/>
          <w:szCs w:val="24"/>
        </w:rPr>
        <w:t xml:space="preserve"> is addressed using </w:t>
      </w:r>
      <w:r w:rsidR="00BE51A5">
        <w:rPr>
          <w:rFonts w:ascii="Times New Roman" w:hAnsi="Times New Roman" w:cs="Times New Roman"/>
          <w:sz w:val="24"/>
          <w:szCs w:val="24"/>
        </w:rPr>
        <w:t>a</w:t>
      </w:r>
      <w:r w:rsidR="001220F1">
        <w:rPr>
          <w:rFonts w:ascii="Times New Roman" w:hAnsi="Times New Roman" w:cs="Times New Roman"/>
          <w:sz w:val="24"/>
          <w:szCs w:val="24"/>
        </w:rPr>
        <w:t xml:space="preserve"> second set of regressions</w:t>
      </w:r>
      <w:r w:rsidR="0039655D">
        <w:rPr>
          <w:rFonts w:ascii="Times New Roman" w:hAnsi="Times New Roman" w:cs="Times New Roman"/>
          <w:sz w:val="24"/>
          <w:szCs w:val="24"/>
        </w:rPr>
        <w:t xml:space="preserve"> which </w:t>
      </w:r>
      <w:r w:rsidR="001220F1">
        <w:rPr>
          <w:rFonts w:ascii="Times New Roman" w:hAnsi="Times New Roman" w:cs="Times New Roman"/>
          <w:sz w:val="24"/>
          <w:szCs w:val="24"/>
        </w:rPr>
        <w:t>examine</w:t>
      </w:r>
      <w:r w:rsidR="008D4DF8">
        <w:rPr>
          <w:rFonts w:ascii="Times New Roman" w:hAnsi="Times New Roman" w:cs="Times New Roman"/>
          <w:sz w:val="24"/>
          <w:szCs w:val="24"/>
        </w:rPr>
        <w:t>s</w:t>
      </w:r>
      <w:r w:rsidR="001220F1">
        <w:rPr>
          <w:rFonts w:ascii="Times New Roman" w:hAnsi="Times New Roman" w:cs="Times New Roman"/>
          <w:sz w:val="24"/>
          <w:szCs w:val="24"/>
        </w:rPr>
        <w:t xml:space="preserve"> the nature of the relationship </w:t>
      </w:r>
      <w:r w:rsidR="009C153F">
        <w:rPr>
          <w:rFonts w:ascii="Times New Roman" w:hAnsi="Times New Roman" w:cs="Times New Roman"/>
          <w:sz w:val="24"/>
          <w:szCs w:val="24"/>
        </w:rPr>
        <w:t>between</w:t>
      </w:r>
      <w:r w:rsidR="009C153F" w:rsidRPr="00C90547">
        <w:t xml:space="preserve"> </w:t>
      </w:r>
      <w:r w:rsidR="009C153F" w:rsidRPr="00C90547">
        <w:rPr>
          <w:rFonts w:ascii="Times New Roman" w:hAnsi="Times New Roman" w:cs="Times New Roman"/>
          <w:sz w:val="24"/>
          <w:szCs w:val="24"/>
        </w:rPr>
        <w:t>firm value</w:t>
      </w:r>
      <w:r w:rsidR="008D4DF8">
        <w:rPr>
          <w:rFonts w:ascii="Times New Roman" w:hAnsi="Times New Roman" w:cs="Times New Roman"/>
          <w:sz w:val="24"/>
          <w:szCs w:val="24"/>
        </w:rPr>
        <w:t>/</w:t>
      </w:r>
      <w:r w:rsidR="009C153F" w:rsidRPr="00C90547">
        <w:rPr>
          <w:rFonts w:ascii="Times New Roman" w:hAnsi="Times New Roman" w:cs="Times New Roman"/>
          <w:sz w:val="24"/>
          <w:szCs w:val="24"/>
        </w:rPr>
        <w:t>return</w:t>
      </w:r>
      <w:r w:rsidR="009C153F">
        <w:rPr>
          <w:rFonts w:ascii="Times New Roman" w:hAnsi="Times New Roman" w:cs="Times New Roman"/>
          <w:sz w:val="24"/>
          <w:szCs w:val="24"/>
        </w:rPr>
        <w:t xml:space="preserve"> and firm-level governance </w:t>
      </w:r>
      <w:r w:rsidR="001220F1">
        <w:rPr>
          <w:rFonts w:ascii="Times New Roman" w:hAnsi="Times New Roman" w:cs="Times New Roman"/>
          <w:sz w:val="24"/>
          <w:szCs w:val="24"/>
        </w:rPr>
        <w:t>w</w:t>
      </w:r>
      <w:r w:rsidR="001220F1" w:rsidRPr="008D512F">
        <w:rPr>
          <w:rFonts w:ascii="Times New Roman" w:hAnsi="Times New Roman" w:cs="Times New Roman"/>
          <w:sz w:val="24"/>
          <w:szCs w:val="24"/>
        </w:rPr>
        <w:t xml:space="preserve">hen considering the </w:t>
      </w:r>
      <w:r w:rsidR="008D4DF8">
        <w:rPr>
          <w:rFonts w:ascii="Times New Roman" w:hAnsi="Times New Roman" w:cs="Times New Roman"/>
          <w:sz w:val="24"/>
          <w:szCs w:val="24"/>
        </w:rPr>
        <w:t>effect of country-level factors</w:t>
      </w:r>
      <w:r w:rsidR="001220F1">
        <w:rPr>
          <w:rFonts w:ascii="Times New Roman" w:hAnsi="Times New Roman" w:cs="Times New Roman"/>
          <w:sz w:val="24"/>
          <w:szCs w:val="24"/>
        </w:rPr>
        <w:t xml:space="preserve">. </w:t>
      </w:r>
      <w:r w:rsidR="007B29FF">
        <w:rPr>
          <w:rFonts w:ascii="Times New Roman" w:hAnsi="Times New Roman" w:cs="Times New Roman"/>
          <w:sz w:val="24"/>
          <w:szCs w:val="24"/>
        </w:rPr>
        <w:t>We run the following regressions using industry and year dummies:</w:t>
      </w:r>
    </w:p>
    <w:p w14:paraId="2ED6CA17" w14:textId="77777777" w:rsidR="00E11F2A" w:rsidRDefault="00E11F2A" w:rsidP="00BF2605">
      <w:pPr>
        <w:keepNext/>
        <w:tabs>
          <w:tab w:val="left" w:pos="426"/>
        </w:tabs>
        <w:spacing w:after="0" w:line="288" w:lineRule="auto"/>
        <w:jc w:val="both"/>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5"/>
        <w:gridCol w:w="625"/>
      </w:tblGrid>
      <w:tr w:rsidR="007B29FF" w:rsidRPr="002A1408" w14:paraId="1D0FB03D" w14:textId="77777777" w:rsidTr="00823792">
        <w:tc>
          <w:tcPr>
            <w:tcW w:w="8725" w:type="dxa"/>
            <w:vAlign w:val="center"/>
          </w:tcPr>
          <w:p w14:paraId="648AAD19" w14:textId="1C5ECD8B" w:rsidR="007B29FF" w:rsidRPr="002A1408" w:rsidRDefault="007B29FF"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2</w:t>
            </w:r>
            <w:r w:rsidRPr="002A1408">
              <w:rPr>
                <w:rFonts w:ascii="Times New Roman" w:hAnsi="Times New Roman" w:cs="Times New Roman"/>
                <w:i/>
                <w:iCs/>
              </w:rPr>
              <w:t xml:space="preserve"> </w:t>
            </w:r>
            <w:r w:rsidR="00CD7DDB" w:rsidRPr="002A1408">
              <w:rPr>
                <w:rFonts w:ascii="Times New Roman" w:hAnsi="Times New Roman" w:cs="Times New Roman"/>
                <w:i/>
                <w:iCs/>
              </w:rPr>
              <w:t>RLAW</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3</w:t>
            </w:r>
            <w:r w:rsidRPr="002A1408">
              <w:rPr>
                <w:rFonts w:ascii="Times New Roman" w:hAnsi="Times New Roman" w:cs="Times New Roman"/>
                <w:i/>
                <w:iCs/>
              </w:rPr>
              <w:t xml:space="preserve"> </w:t>
            </w:r>
            <w:r w:rsidR="00CD7DDB" w:rsidRPr="002A1408">
              <w:rPr>
                <w:rFonts w:ascii="Times New Roman" w:hAnsi="Times New Roman" w:cs="Times New Roman"/>
                <w:i/>
                <w:iCs/>
              </w:rPr>
              <w:t>MEDI</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4</w:t>
            </w:r>
            <w:r w:rsidRPr="002A1408">
              <w:rPr>
                <w:rFonts w:ascii="Times New Roman" w:hAnsi="Times New Roman" w:cs="Times New Roman"/>
                <w:i/>
                <w:iCs/>
              </w:rPr>
              <w:t xml:space="preserve"> </w:t>
            </w:r>
            <w:r w:rsidR="00CD7DDB" w:rsidRPr="002A1408">
              <w:rPr>
                <w:rFonts w:ascii="Times New Roman" w:hAnsi="Times New Roman" w:cs="Times New Roman"/>
                <w:i/>
                <w:iCs/>
              </w:rPr>
              <w:t>SOCL</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w:t>
            </w:r>
          </w:p>
          <w:p w14:paraId="2B5C9227" w14:textId="77777777" w:rsidR="00CD7DDB" w:rsidRPr="002A1408" w:rsidRDefault="007B29FF"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 β</w:t>
            </w:r>
            <w:r w:rsidRPr="002A1408">
              <w:rPr>
                <w:rFonts w:ascii="Times New Roman" w:hAnsi="Times New Roman" w:cs="Times New Roman"/>
                <w:i/>
                <w:iCs/>
                <w:vertAlign w:val="subscript"/>
              </w:rPr>
              <w:t>5</w:t>
            </w:r>
            <w:r w:rsidRPr="002A1408">
              <w:rPr>
                <w:rFonts w:ascii="Times New Roman" w:hAnsi="Times New Roman" w:cs="Times New Roman"/>
                <w:i/>
                <w:iCs/>
              </w:rPr>
              <w:t xml:space="preserve"> </w:t>
            </w:r>
            <w:r w:rsidR="00CD7DDB" w:rsidRPr="002A1408">
              <w:rPr>
                <w:rFonts w:ascii="Times New Roman" w:hAnsi="Times New Roman" w:cs="Times New Roman"/>
                <w:i/>
                <w:iCs/>
              </w:rPr>
              <w:t>COMP</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6</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RLAW</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7</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MEDI</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w:t>
            </w:r>
          </w:p>
          <w:p w14:paraId="59B7D0C5" w14:textId="77777777" w:rsidR="00CD7DDB" w:rsidRPr="002A1408" w:rsidRDefault="007B29FF"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 β</w:t>
            </w:r>
            <w:r w:rsidRPr="002A1408">
              <w:rPr>
                <w:rFonts w:ascii="Times New Roman" w:hAnsi="Times New Roman" w:cs="Times New Roman"/>
                <w:i/>
                <w:iCs/>
                <w:vertAlign w:val="subscript"/>
              </w:rPr>
              <w:t>8</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SOCL</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9</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COMP</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w:t>
            </w:r>
          </w:p>
          <w:p w14:paraId="5EB9478B" w14:textId="03C5E390" w:rsidR="007B29FF" w:rsidRPr="002A1A6A" w:rsidRDefault="007B29FF"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04FA9AC2" w14:textId="6643A747" w:rsidR="007B29FF" w:rsidRPr="002A1408" w:rsidRDefault="007B29FF"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(2a)</w:t>
            </w:r>
          </w:p>
        </w:tc>
      </w:tr>
      <w:tr w:rsidR="007B29FF" w:rsidRPr="002A1408" w14:paraId="699A2EA1" w14:textId="77777777" w:rsidTr="00823792">
        <w:tc>
          <w:tcPr>
            <w:tcW w:w="8725" w:type="dxa"/>
            <w:vAlign w:val="center"/>
          </w:tcPr>
          <w:p w14:paraId="7DE8CAA1" w14:textId="77777777" w:rsidR="007B29FF" w:rsidRPr="002A1408" w:rsidRDefault="007B29FF" w:rsidP="00BF2605">
            <w:pPr>
              <w:tabs>
                <w:tab w:val="left" w:pos="426"/>
              </w:tabs>
              <w:spacing w:line="288" w:lineRule="auto"/>
              <w:jc w:val="center"/>
              <w:rPr>
                <w:rFonts w:ascii="Times New Roman" w:hAnsi="Times New Roman" w:cs="Times New Roman"/>
                <w:i/>
                <w:iCs/>
              </w:rPr>
            </w:pPr>
          </w:p>
        </w:tc>
        <w:tc>
          <w:tcPr>
            <w:tcW w:w="625" w:type="dxa"/>
            <w:vAlign w:val="center"/>
          </w:tcPr>
          <w:p w14:paraId="66B284B6" w14:textId="77777777" w:rsidR="007B29FF" w:rsidRPr="002A1408" w:rsidRDefault="007B29FF" w:rsidP="00BF2605">
            <w:pPr>
              <w:tabs>
                <w:tab w:val="left" w:pos="426"/>
              </w:tabs>
              <w:spacing w:line="288" w:lineRule="auto"/>
              <w:jc w:val="center"/>
              <w:rPr>
                <w:rFonts w:ascii="Times New Roman" w:hAnsi="Times New Roman" w:cs="Times New Roman"/>
              </w:rPr>
            </w:pPr>
          </w:p>
        </w:tc>
      </w:tr>
      <w:tr w:rsidR="007B29FF" w:rsidRPr="002A1408" w14:paraId="2CBCB2F1" w14:textId="77777777" w:rsidTr="00823792">
        <w:tc>
          <w:tcPr>
            <w:tcW w:w="8725" w:type="dxa"/>
            <w:vAlign w:val="center"/>
          </w:tcPr>
          <w:p w14:paraId="4AA62F5F" w14:textId="68FEAE13" w:rsidR="007B29FF" w:rsidRPr="002A1408" w:rsidRDefault="007B29FF"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2</w:t>
            </w:r>
            <w:r w:rsidRPr="002A1408">
              <w:rPr>
                <w:rFonts w:ascii="Times New Roman" w:hAnsi="Times New Roman" w:cs="Times New Roman"/>
                <w:i/>
                <w:iCs/>
              </w:rPr>
              <w:t xml:space="preserve"> </w:t>
            </w:r>
            <w:r w:rsidR="00CD7DDB" w:rsidRPr="002A1408">
              <w:rPr>
                <w:rFonts w:ascii="Times New Roman" w:hAnsi="Times New Roman" w:cs="Times New Roman"/>
                <w:i/>
                <w:iCs/>
              </w:rPr>
              <w:t>RLAW</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3</w:t>
            </w:r>
            <w:r w:rsidRPr="002A1408">
              <w:rPr>
                <w:rFonts w:ascii="Times New Roman" w:hAnsi="Times New Roman" w:cs="Times New Roman"/>
                <w:i/>
                <w:iCs/>
              </w:rPr>
              <w:t xml:space="preserve"> </w:t>
            </w:r>
            <w:r w:rsidR="00CD7DDB" w:rsidRPr="002A1408">
              <w:rPr>
                <w:rFonts w:ascii="Times New Roman" w:hAnsi="Times New Roman" w:cs="Times New Roman"/>
                <w:i/>
                <w:iCs/>
              </w:rPr>
              <w:t>MEDI</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4</w:t>
            </w:r>
            <w:r w:rsidRPr="002A1408">
              <w:rPr>
                <w:rFonts w:ascii="Times New Roman" w:hAnsi="Times New Roman" w:cs="Times New Roman"/>
                <w:i/>
                <w:iCs/>
              </w:rPr>
              <w:t xml:space="preserve"> </w:t>
            </w:r>
            <w:r w:rsidR="00CD7DDB" w:rsidRPr="002A1408">
              <w:rPr>
                <w:rFonts w:ascii="Times New Roman" w:hAnsi="Times New Roman" w:cs="Times New Roman"/>
                <w:i/>
                <w:iCs/>
              </w:rPr>
              <w:t>SOCL</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w:t>
            </w:r>
          </w:p>
          <w:p w14:paraId="4499A24B" w14:textId="4D7515D7" w:rsidR="007B29FF" w:rsidRPr="002A1A6A" w:rsidRDefault="007B29FF"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xml:space="preserve">+ </w:t>
            </w:r>
            <w:r w:rsidRPr="002A1408">
              <w:rPr>
                <w:rFonts w:ascii="Times New Roman" w:hAnsi="Times New Roman" w:cs="Times New Roman"/>
                <w:i/>
                <w:iCs/>
              </w:rPr>
              <w:t>β</w:t>
            </w:r>
            <w:r w:rsidRPr="002A1A6A">
              <w:rPr>
                <w:rFonts w:ascii="Times New Roman" w:hAnsi="Times New Roman" w:cs="Times New Roman"/>
                <w:i/>
                <w:iCs/>
                <w:vertAlign w:val="subscript"/>
                <w:lang w:val="fr-FR"/>
              </w:rPr>
              <w:t>5</w:t>
            </w:r>
            <w:r w:rsidRPr="002A1A6A">
              <w:rPr>
                <w:rFonts w:ascii="Times New Roman" w:hAnsi="Times New Roman" w:cs="Times New Roman"/>
                <w:i/>
                <w:iCs/>
                <w:lang w:val="fr-FR"/>
              </w:rPr>
              <w:t xml:space="preserve"> </w:t>
            </w:r>
            <w:r w:rsidR="00CD7DDB" w:rsidRPr="002A1A6A">
              <w:rPr>
                <w:rFonts w:ascii="Times New Roman" w:hAnsi="Times New Roman" w:cs="Times New Roman"/>
                <w:i/>
                <w:iCs/>
                <w:lang w:val="fr-FR"/>
              </w:rPr>
              <w:t>COMP</w:t>
            </w:r>
            <w:r w:rsidR="00CD7DDB" w:rsidRPr="002A1A6A">
              <w:rPr>
                <w:rFonts w:ascii="Times New Roman" w:hAnsi="Times New Roman" w:cs="Times New Roman"/>
                <w:i/>
                <w:iCs/>
                <w:vertAlign w:val="subscript"/>
                <w:lang w:val="fr-FR"/>
              </w:rPr>
              <w:t>i,t</w:t>
            </w:r>
            <w:r w:rsidRPr="002A1A6A">
              <w:rPr>
                <w:rFonts w:ascii="Times New Roman" w:hAnsi="Times New Roman" w:cs="Times New Roman"/>
                <w:i/>
                <w:iCs/>
                <w:vertAlign w:val="subscript"/>
                <w:lang w:val="fr-FR"/>
              </w:rPr>
              <w:t xml:space="preserve"> </w:t>
            </w: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54F3EC4A" w14:textId="4C753153" w:rsidR="007B29FF" w:rsidRPr="002A1408" w:rsidRDefault="007B29FF"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(2b)</w:t>
            </w:r>
          </w:p>
        </w:tc>
      </w:tr>
      <w:tr w:rsidR="007B29FF" w:rsidRPr="002A1408" w14:paraId="3706240B" w14:textId="77777777" w:rsidTr="00823792">
        <w:tc>
          <w:tcPr>
            <w:tcW w:w="8725" w:type="dxa"/>
            <w:vAlign w:val="center"/>
          </w:tcPr>
          <w:p w14:paraId="5E299C25" w14:textId="77777777" w:rsidR="007B29FF" w:rsidRPr="002A1408" w:rsidRDefault="007B29FF" w:rsidP="00BF2605">
            <w:pPr>
              <w:tabs>
                <w:tab w:val="left" w:pos="426"/>
              </w:tabs>
              <w:spacing w:line="288" w:lineRule="auto"/>
              <w:jc w:val="center"/>
              <w:rPr>
                <w:rFonts w:ascii="Times New Roman" w:hAnsi="Times New Roman" w:cs="Times New Roman"/>
                <w:i/>
                <w:iCs/>
              </w:rPr>
            </w:pPr>
          </w:p>
        </w:tc>
        <w:tc>
          <w:tcPr>
            <w:tcW w:w="625" w:type="dxa"/>
            <w:vAlign w:val="center"/>
          </w:tcPr>
          <w:p w14:paraId="7D58140D" w14:textId="77777777" w:rsidR="007B29FF" w:rsidRPr="002A1408" w:rsidRDefault="007B29FF" w:rsidP="00BF2605">
            <w:pPr>
              <w:tabs>
                <w:tab w:val="left" w:pos="426"/>
              </w:tabs>
              <w:spacing w:line="288" w:lineRule="auto"/>
              <w:jc w:val="center"/>
              <w:rPr>
                <w:rFonts w:ascii="Times New Roman" w:hAnsi="Times New Roman" w:cs="Times New Roman"/>
              </w:rPr>
            </w:pPr>
          </w:p>
        </w:tc>
      </w:tr>
      <w:tr w:rsidR="007B29FF" w:rsidRPr="002A1408" w14:paraId="4EAB3B8F" w14:textId="77777777" w:rsidTr="00823792">
        <w:tc>
          <w:tcPr>
            <w:tcW w:w="8725" w:type="dxa"/>
            <w:vAlign w:val="center"/>
          </w:tcPr>
          <w:p w14:paraId="54B3ED06" w14:textId="4529C774" w:rsidR="007B29FF" w:rsidRPr="002A1408" w:rsidRDefault="007B29FF"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2</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RLAW</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w:t>
            </w:r>
          </w:p>
          <w:p w14:paraId="1598DBE8" w14:textId="1B3D249D" w:rsidR="007B29FF" w:rsidRPr="002A1A6A" w:rsidRDefault="007B29FF"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xml:space="preserve">+ </w:t>
            </w:r>
            <w:r w:rsidRPr="002A1408">
              <w:rPr>
                <w:rFonts w:ascii="Times New Roman" w:hAnsi="Times New Roman" w:cs="Times New Roman"/>
                <w:i/>
                <w:iCs/>
              </w:rPr>
              <w:t>β</w:t>
            </w:r>
            <w:r w:rsidRPr="002A1A6A">
              <w:rPr>
                <w:rFonts w:ascii="Times New Roman" w:hAnsi="Times New Roman" w:cs="Times New Roman"/>
                <w:i/>
                <w:iCs/>
                <w:vertAlign w:val="subscript"/>
                <w:lang w:val="fr-FR"/>
              </w:rPr>
              <w:t>3</w:t>
            </w:r>
            <w:r w:rsidRPr="002A1A6A">
              <w:rPr>
                <w:rFonts w:ascii="Times New Roman" w:hAnsi="Times New Roman" w:cs="Times New Roman"/>
                <w:i/>
                <w:iCs/>
                <w:lang w:val="fr-FR"/>
              </w:rPr>
              <w:t xml:space="preserve"> </w:t>
            </w:r>
            <w:r w:rsidRPr="002A1A6A">
              <w:rPr>
                <w:rFonts w:ascii="Times New Roman" w:hAnsi="Times New Roman" w:cs="Times New Roman"/>
                <w:lang w:val="fr-FR"/>
              </w:rPr>
              <w:t>(</w:t>
            </w:r>
            <w:r w:rsidRPr="002A1A6A">
              <w:rPr>
                <w:rFonts w:ascii="Times New Roman" w:hAnsi="Times New Roman" w:cs="Times New Roman"/>
                <w:i/>
                <w:iCs/>
                <w:lang w:val="fr-FR"/>
              </w:rPr>
              <w:t>GOVI</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00CD7DDB" w:rsidRPr="002A1A6A">
              <w:rPr>
                <w:rFonts w:ascii="Times New Roman" w:hAnsi="Times New Roman" w:cs="Times New Roman"/>
                <w:i/>
                <w:iCs/>
                <w:lang w:val="fr-FR"/>
              </w:rPr>
              <w:t>MEDI</w:t>
            </w:r>
            <w:r w:rsidR="00CD7DDB" w:rsidRPr="002A1A6A">
              <w:rPr>
                <w:rFonts w:ascii="Times New Roman" w:hAnsi="Times New Roman" w:cs="Times New Roman"/>
                <w:i/>
                <w:iCs/>
                <w:vertAlign w:val="subscript"/>
                <w:lang w:val="fr-FR"/>
              </w:rPr>
              <w:t>i,t</w:t>
            </w:r>
            <w:r w:rsidRPr="002A1A6A">
              <w:rPr>
                <w:rFonts w:ascii="Times New Roman" w:hAnsi="Times New Roman" w:cs="Times New Roman"/>
                <w:lang w:val="fr-FR"/>
              </w:rPr>
              <w:t>)</w:t>
            </w:r>
            <w:r w:rsidRPr="002A1A6A">
              <w:rPr>
                <w:rFonts w:ascii="Times New Roman" w:hAnsi="Times New Roman" w:cs="Times New Roman"/>
                <w:i/>
                <w:iCs/>
                <w:lang w:val="fr-FR"/>
              </w:rPr>
              <w:t xml:space="preserve"> + </w:t>
            </w:r>
            <w:r w:rsidRPr="002A1408">
              <w:rPr>
                <w:rFonts w:ascii="Times New Roman" w:hAnsi="Times New Roman" w:cs="Times New Roman"/>
                <w:i/>
                <w:iCs/>
              </w:rPr>
              <w:t>β</w:t>
            </w:r>
            <w:r w:rsidRPr="002A1A6A">
              <w:rPr>
                <w:rFonts w:ascii="Times New Roman" w:hAnsi="Times New Roman" w:cs="Times New Roman"/>
                <w:i/>
                <w:iCs/>
                <w:vertAlign w:val="subscript"/>
                <w:lang w:val="fr-FR"/>
              </w:rPr>
              <w:t>4</w:t>
            </w:r>
            <w:r w:rsidRPr="002A1A6A">
              <w:rPr>
                <w:rFonts w:ascii="Times New Roman" w:hAnsi="Times New Roman" w:cs="Times New Roman"/>
                <w:i/>
                <w:iCs/>
                <w:lang w:val="fr-FR"/>
              </w:rPr>
              <w:t xml:space="preserve"> </w:t>
            </w:r>
            <w:r w:rsidRPr="002A1A6A">
              <w:rPr>
                <w:rFonts w:ascii="Times New Roman" w:hAnsi="Times New Roman" w:cs="Times New Roman"/>
                <w:lang w:val="fr-FR"/>
              </w:rPr>
              <w:t>(</w:t>
            </w:r>
            <w:r w:rsidRPr="002A1A6A">
              <w:rPr>
                <w:rFonts w:ascii="Times New Roman" w:hAnsi="Times New Roman" w:cs="Times New Roman"/>
                <w:i/>
                <w:iCs/>
                <w:lang w:val="fr-FR"/>
              </w:rPr>
              <w:t>GOVI</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00CD7DDB" w:rsidRPr="002A1A6A">
              <w:rPr>
                <w:rFonts w:ascii="Times New Roman" w:hAnsi="Times New Roman" w:cs="Times New Roman"/>
                <w:i/>
                <w:iCs/>
                <w:lang w:val="fr-FR"/>
              </w:rPr>
              <w:t>SOCL</w:t>
            </w:r>
            <w:r w:rsidR="00CD7DDB" w:rsidRPr="002A1A6A">
              <w:rPr>
                <w:rFonts w:ascii="Times New Roman" w:hAnsi="Times New Roman" w:cs="Times New Roman"/>
                <w:i/>
                <w:iCs/>
                <w:vertAlign w:val="subscript"/>
                <w:lang w:val="fr-FR"/>
              </w:rPr>
              <w:t>i,t</w:t>
            </w:r>
            <w:r w:rsidRPr="002A1A6A">
              <w:rPr>
                <w:rFonts w:ascii="Times New Roman" w:hAnsi="Times New Roman" w:cs="Times New Roman"/>
                <w:lang w:val="fr-FR"/>
              </w:rPr>
              <w:t>)</w:t>
            </w:r>
            <w:r w:rsidRPr="002A1A6A">
              <w:rPr>
                <w:rFonts w:ascii="Times New Roman" w:hAnsi="Times New Roman" w:cs="Times New Roman"/>
                <w:i/>
                <w:iCs/>
                <w:lang w:val="fr-FR"/>
              </w:rPr>
              <w:t xml:space="preserve"> + </w:t>
            </w:r>
            <w:r w:rsidRPr="002A1408">
              <w:rPr>
                <w:rFonts w:ascii="Times New Roman" w:hAnsi="Times New Roman" w:cs="Times New Roman"/>
                <w:i/>
                <w:iCs/>
              </w:rPr>
              <w:t>β</w:t>
            </w:r>
            <w:r w:rsidRPr="002A1A6A">
              <w:rPr>
                <w:rFonts w:ascii="Times New Roman" w:hAnsi="Times New Roman" w:cs="Times New Roman"/>
                <w:i/>
                <w:iCs/>
                <w:vertAlign w:val="subscript"/>
                <w:lang w:val="fr-FR"/>
              </w:rPr>
              <w:t>5</w:t>
            </w:r>
            <w:r w:rsidRPr="002A1A6A">
              <w:rPr>
                <w:rFonts w:ascii="Times New Roman" w:hAnsi="Times New Roman" w:cs="Times New Roman"/>
                <w:i/>
                <w:iCs/>
                <w:lang w:val="fr-FR"/>
              </w:rPr>
              <w:t xml:space="preserve"> </w:t>
            </w:r>
            <w:r w:rsidRPr="002A1A6A">
              <w:rPr>
                <w:rFonts w:ascii="Times New Roman" w:hAnsi="Times New Roman" w:cs="Times New Roman"/>
                <w:lang w:val="fr-FR"/>
              </w:rPr>
              <w:t>(</w:t>
            </w:r>
            <w:r w:rsidRPr="002A1A6A">
              <w:rPr>
                <w:rFonts w:ascii="Times New Roman" w:hAnsi="Times New Roman" w:cs="Times New Roman"/>
                <w:i/>
                <w:iCs/>
                <w:lang w:val="fr-FR"/>
              </w:rPr>
              <w:t>GOVI</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00CD7DDB" w:rsidRPr="002A1A6A">
              <w:rPr>
                <w:rFonts w:ascii="Times New Roman" w:hAnsi="Times New Roman" w:cs="Times New Roman"/>
                <w:i/>
                <w:iCs/>
                <w:lang w:val="fr-FR"/>
              </w:rPr>
              <w:t>COMP</w:t>
            </w:r>
            <w:r w:rsidR="00CD7DDB" w:rsidRPr="002A1A6A">
              <w:rPr>
                <w:rFonts w:ascii="Times New Roman" w:hAnsi="Times New Roman" w:cs="Times New Roman"/>
                <w:i/>
                <w:iCs/>
                <w:vertAlign w:val="subscript"/>
                <w:lang w:val="fr-FR"/>
              </w:rPr>
              <w:t>i,t</w:t>
            </w:r>
            <w:r w:rsidRPr="002A1A6A">
              <w:rPr>
                <w:rFonts w:ascii="Times New Roman" w:hAnsi="Times New Roman" w:cs="Times New Roman"/>
                <w:lang w:val="fr-FR"/>
              </w:rPr>
              <w:t>)</w:t>
            </w:r>
            <w:r w:rsidRPr="002A1A6A">
              <w:rPr>
                <w:rFonts w:ascii="Times New Roman" w:hAnsi="Times New Roman" w:cs="Times New Roman"/>
                <w:i/>
                <w:iCs/>
                <w:lang w:val="fr-FR"/>
              </w:rPr>
              <w:t xml:space="preserve"> </w:t>
            </w:r>
          </w:p>
          <w:p w14:paraId="24391179" w14:textId="77777777" w:rsidR="007B29FF" w:rsidRPr="002A1A6A" w:rsidRDefault="007B29FF"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3C601FA8" w14:textId="46F21186" w:rsidR="007B29FF" w:rsidRPr="002A1408" w:rsidRDefault="007B29FF"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(2c)</w:t>
            </w:r>
          </w:p>
        </w:tc>
      </w:tr>
      <w:tr w:rsidR="007B29FF" w14:paraId="12190E3B" w14:textId="77777777" w:rsidTr="00823792">
        <w:tc>
          <w:tcPr>
            <w:tcW w:w="8725" w:type="dxa"/>
            <w:vAlign w:val="center"/>
          </w:tcPr>
          <w:p w14:paraId="1A18BA63" w14:textId="77777777" w:rsidR="007B29FF" w:rsidRPr="003C1E59" w:rsidRDefault="007B29FF" w:rsidP="00BF2605">
            <w:pPr>
              <w:tabs>
                <w:tab w:val="left" w:pos="426"/>
              </w:tabs>
              <w:spacing w:line="288" w:lineRule="auto"/>
              <w:jc w:val="center"/>
              <w:rPr>
                <w:rFonts w:ascii="Times New Roman" w:hAnsi="Times New Roman" w:cs="Times New Roman"/>
                <w:i/>
                <w:iCs/>
                <w:sz w:val="10"/>
                <w:szCs w:val="10"/>
              </w:rPr>
            </w:pPr>
          </w:p>
        </w:tc>
        <w:tc>
          <w:tcPr>
            <w:tcW w:w="625" w:type="dxa"/>
            <w:vAlign w:val="center"/>
          </w:tcPr>
          <w:p w14:paraId="41B32ED9" w14:textId="77777777" w:rsidR="007B29FF" w:rsidRPr="003C1E59" w:rsidRDefault="007B29FF" w:rsidP="00BF2605">
            <w:pPr>
              <w:tabs>
                <w:tab w:val="left" w:pos="426"/>
              </w:tabs>
              <w:spacing w:line="288" w:lineRule="auto"/>
              <w:jc w:val="center"/>
              <w:rPr>
                <w:rFonts w:ascii="Times New Roman" w:hAnsi="Times New Roman" w:cs="Times New Roman"/>
                <w:sz w:val="10"/>
                <w:szCs w:val="10"/>
              </w:rPr>
            </w:pPr>
          </w:p>
        </w:tc>
      </w:tr>
    </w:tbl>
    <w:p w14:paraId="3B11F1E4" w14:textId="4459C382" w:rsidR="007B29FF"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B29FF">
        <w:rPr>
          <w:rFonts w:ascii="Times New Roman" w:hAnsi="Times New Roman" w:cs="Times New Roman"/>
          <w:sz w:val="24"/>
          <w:szCs w:val="24"/>
        </w:rPr>
        <w:t>The different models represent the different causal-relationship models used in past studies</w:t>
      </w:r>
      <w:r w:rsidR="00BE0EAE">
        <w:rPr>
          <w:rFonts w:ascii="Times New Roman" w:hAnsi="Times New Roman" w:cs="Times New Roman"/>
          <w:sz w:val="24"/>
          <w:szCs w:val="24"/>
        </w:rPr>
        <w:t xml:space="preserve"> as outlined by </w:t>
      </w:r>
      <w:r w:rsidR="00BE0EAE" w:rsidRPr="00916A59">
        <w:rPr>
          <w:rFonts w:ascii="Times New Roman" w:hAnsi="Times New Roman" w:cs="Times New Roman"/>
          <w:sz w:val="24"/>
          <w:szCs w:val="24"/>
        </w:rPr>
        <w:t>Schiehll and Martin</w:t>
      </w:r>
      <w:r w:rsidR="00BE0EAE">
        <w:rPr>
          <w:rFonts w:ascii="Times New Roman" w:hAnsi="Times New Roman" w:cs="Times New Roman"/>
          <w:sz w:val="24"/>
          <w:szCs w:val="24"/>
        </w:rPr>
        <w:t xml:space="preserve"> (</w:t>
      </w:r>
      <w:r w:rsidR="00BE0EAE" w:rsidRPr="00916A59">
        <w:rPr>
          <w:rFonts w:ascii="Times New Roman" w:hAnsi="Times New Roman" w:cs="Times New Roman"/>
          <w:sz w:val="24"/>
          <w:szCs w:val="24"/>
        </w:rPr>
        <w:t>2016</w:t>
      </w:r>
      <w:r w:rsidR="00BE0EAE">
        <w:rPr>
          <w:rFonts w:ascii="Times New Roman" w:hAnsi="Times New Roman" w:cs="Times New Roman"/>
          <w:sz w:val="24"/>
          <w:szCs w:val="24"/>
        </w:rPr>
        <w:t>)</w:t>
      </w:r>
      <w:r w:rsidR="007B29FF">
        <w:rPr>
          <w:rFonts w:ascii="Times New Roman" w:hAnsi="Times New Roman" w:cs="Times New Roman"/>
          <w:sz w:val="24"/>
          <w:szCs w:val="24"/>
        </w:rPr>
        <w:t xml:space="preserve">. </w:t>
      </w:r>
      <w:r w:rsidR="007B29FF" w:rsidRPr="00BE0EAE">
        <w:rPr>
          <w:rFonts w:ascii="Times New Roman" w:hAnsi="Times New Roman" w:cs="Times New Roman"/>
          <w:i/>
          <w:iCs/>
          <w:sz w:val="24"/>
          <w:szCs w:val="24"/>
        </w:rPr>
        <w:t>Model</w:t>
      </w:r>
      <w:r w:rsidR="00BE0EAE" w:rsidRPr="00BE0EAE">
        <w:rPr>
          <w:rFonts w:ascii="Times New Roman" w:hAnsi="Times New Roman" w:cs="Times New Roman"/>
          <w:i/>
          <w:iCs/>
          <w:sz w:val="24"/>
          <w:szCs w:val="24"/>
        </w:rPr>
        <w:t xml:space="preserve"> 2a</w:t>
      </w:r>
      <w:r w:rsidR="00BE0EAE">
        <w:rPr>
          <w:rFonts w:ascii="Times New Roman" w:hAnsi="Times New Roman" w:cs="Times New Roman"/>
          <w:sz w:val="24"/>
          <w:szCs w:val="24"/>
        </w:rPr>
        <w:t xml:space="preserve"> represents the independent models where all the factors as well as the interaction between these factors have been included in the model. </w:t>
      </w:r>
      <w:r w:rsidR="00BE0EAE" w:rsidRPr="00BE0EAE">
        <w:rPr>
          <w:rFonts w:ascii="Times New Roman" w:hAnsi="Times New Roman" w:cs="Times New Roman"/>
          <w:i/>
          <w:iCs/>
          <w:sz w:val="24"/>
          <w:szCs w:val="24"/>
        </w:rPr>
        <w:t>Model 2b</w:t>
      </w:r>
      <w:r w:rsidR="00BE0EAE">
        <w:rPr>
          <w:rFonts w:ascii="Times New Roman" w:hAnsi="Times New Roman" w:cs="Times New Roman"/>
          <w:sz w:val="24"/>
          <w:szCs w:val="24"/>
        </w:rPr>
        <w:t xml:space="preserve"> represents the second group of models</w:t>
      </w:r>
      <w:r w:rsidR="007E0799">
        <w:rPr>
          <w:rFonts w:ascii="Times New Roman" w:hAnsi="Times New Roman" w:cs="Times New Roman"/>
          <w:sz w:val="24"/>
          <w:szCs w:val="24"/>
        </w:rPr>
        <w:t xml:space="preserve"> (</w:t>
      </w:r>
      <w:r w:rsidR="00F27C61">
        <w:rPr>
          <w:rFonts w:ascii="Times New Roman" w:hAnsi="Times New Roman" w:cs="Times New Roman"/>
          <w:sz w:val="24"/>
          <w:szCs w:val="24"/>
        </w:rPr>
        <w:t>that is,</w:t>
      </w:r>
      <w:r w:rsidR="007E0799">
        <w:rPr>
          <w:rFonts w:ascii="Times New Roman" w:hAnsi="Times New Roman" w:cs="Times New Roman"/>
          <w:sz w:val="24"/>
          <w:szCs w:val="24"/>
        </w:rPr>
        <w:t xml:space="preserve"> the additive models),</w:t>
      </w:r>
      <w:r w:rsidR="00BE0EAE">
        <w:rPr>
          <w:rFonts w:ascii="Times New Roman" w:hAnsi="Times New Roman" w:cs="Times New Roman"/>
          <w:sz w:val="24"/>
          <w:szCs w:val="24"/>
        </w:rPr>
        <w:t xml:space="preserve"> where the effect of both factors, firm and country, on firm return/value is assumed to be independent of each other, which </w:t>
      </w:r>
      <w:r w:rsidR="00BE0EAE">
        <w:rPr>
          <w:rFonts w:ascii="Times New Roman" w:hAnsi="Times New Roman" w:cs="Times New Roman"/>
          <w:sz w:val="24"/>
          <w:szCs w:val="24"/>
        </w:rPr>
        <w:lastRenderedPageBreak/>
        <w:t xml:space="preserve">explains dropping the interaction variables. Lastly, </w:t>
      </w:r>
      <w:r w:rsidR="00BE0EAE" w:rsidRPr="00BE0EAE">
        <w:rPr>
          <w:rFonts w:ascii="Times New Roman" w:hAnsi="Times New Roman" w:cs="Times New Roman"/>
          <w:i/>
          <w:iCs/>
          <w:sz w:val="24"/>
          <w:szCs w:val="24"/>
        </w:rPr>
        <w:t xml:space="preserve">Model </w:t>
      </w:r>
      <w:r w:rsidR="0087300E">
        <w:rPr>
          <w:rFonts w:ascii="Times New Roman" w:hAnsi="Times New Roman" w:cs="Times New Roman"/>
          <w:i/>
          <w:iCs/>
          <w:sz w:val="24"/>
          <w:szCs w:val="24"/>
        </w:rPr>
        <w:t>2c</w:t>
      </w:r>
      <w:r w:rsidR="00BE0EAE">
        <w:rPr>
          <w:rFonts w:ascii="Times New Roman" w:hAnsi="Times New Roman" w:cs="Times New Roman"/>
          <w:sz w:val="24"/>
          <w:szCs w:val="24"/>
        </w:rPr>
        <w:t xml:space="preserve"> represents the moderating models, where </w:t>
      </w:r>
      <w:r w:rsidR="0087300E">
        <w:rPr>
          <w:rFonts w:ascii="Times New Roman" w:hAnsi="Times New Roman" w:cs="Times New Roman"/>
          <w:sz w:val="24"/>
          <w:szCs w:val="24"/>
        </w:rPr>
        <w:t xml:space="preserve">country-level factors moderate the relationship between firm-level mechanisms and firm value/return. We use a battery of model selection tests (explained later) to find the most suitable form to explain the relationship between country-level </w:t>
      </w:r>
      <w:r w:rsidR="0087300E" w:rsidRPr="00430435">
        <w:rPr>
          <w:rFonts w:ascii="Times New Roman" w:hAnsi="Times New Roman" w:cs="Times New Roman"/>
          <w:sz w:val="24"/>
          <w:szCs w:val="24"/>
        </w:rPr>
        <w:t xml:space="preserve">factors </w:t>
      </w:r>
      <w:r w:rsidR="0087300E">
        <w:rPr>
          <w:rFonts w:ascii="Times New Roman" w:hAnsi="Times New Roman" w:cs="Times New Roman"/>
          <w:sz w:val="24"/>
          <w:szCs w:val="24"/>
        </w:rPr>
        <w:t>and firm-level governance</w:t>
      </w:r>
      <w:r w:rsidR="0087300E" w:rsidRPr="00430435">
        <w:rPr>
          <w:rFonts w:ascii="Times New Roman" w:hAnsi="Times New Roman" w:cs="Times New Roman"/>
          <w:sz w:val="24"/>
          <w:szCs w:val="24"/>
        </w:rPr>
        <w:t xml:space="preserve"> mechanism</w:t>
      </w:r>
      <w:r w:rsidR="0087300E">
        <w:rPr>
          <w:rFonts w:ascii="Times New Roman" w:hAnsi="Times New Roman" w:cs="Times New Roman"/>
          <w:sz w:val="24"/>
          <w:szCs w:val="24"/>
        </w:rPr>
        <w:t>s and their joint effect on firm value/return.</w:t>
      </w:r>
      <w:r w:rsidR="007E0799">
        <w:rPr>
          <w:rFonts w:ascii="Times New Roman" w:hAnsi="Times New Roman" w:cs="Times New Roman"/>
          <w:sz w:val="24"/>
          <w:szCs w:val="24"/>
        </w:rPr>
        <w:t xml:space="preserve"> </w:t>
      </w:r>
      <w:r w:rsidR="00180EAE">
        <w:rPr>
          <w:rFonts w:ascii="Times New Roman" w:hAnsi="Times New Roman" w:cs="Times New Roman"/>
          <w:sz w:val="24"/>
          <w:szCs w:val="24"/>
        </w:rPr>
        <w:t>W</w:t>
      </w:r>
      <w:r w:rsidR="007E0799">
        <w:rPr>
          <w:rFonts w:ascii="Times New Roman" w:hAnsi="Times New Roman" w:cs="Times New Roman"/>
          <w:sz w:val="24"/>
          <w:szCs w:val="24"/>
        </w:rPr>
        <w:t>e</w:t>
      </w:r>
      <w:r w:rsidR="00180EAE">
        <w:rPr>
          <w:rFonts w:ascii="Times New Roman" w:hAnsi="Times New Roman" w:cs="Times New Roman"/>
          <w:sz w:val="24"/>
          <w:szCs w:val="24"/>
        </w:rPr>
        <w:t xml:space="preserve"> also</w:t>
      </w:r>
      <w:r w:rsidR="007E0799">
        <w:rPr>
          <w:rFonts w:ascii="Times New Roman" w:hAnsi="Times New Roman" w:cs="Times New Roman"/>
          <w:sz w:val="24"/>
          <w:szCs w:val="24"/>
        </w:rPr>
        <w:t xml:space="preserve"> use the</w:t>
      </w:r>
      <w:r w:rsidR="007E0799" w:rsidRPr="007E0799">
        <w:rPr>
          <w:rFonts w:ascii="Times New Roman" w:hAnsi="Times New Roman" w:cs="Times New Roman"/>
          <w:sz w:val="24"/>
          <w:szCs w:val="24"/>
        </w:rPr>
        <w:t xml:space="preserve"> Granger causality test</w:t>
      </w:r>
      <w:r w:rsidR="00E360CB">
        <w:rPr>
          <w:rFonts w:ascii="Times New Roman" w:hAnsi="Times New Roman" w:cs="Times New Roman"/>
          <w:sz w:val="24"/>
          <w:szCs w:val="24"/>
        </w:rPr>
        <w:t xml:space="preserve"> and structural equation modelling</w:t>
      </w:r>
      <w:r w:rsidR="007E0799">
        <w:rPr>
          <w:rFonts w:ascii="Times New Roman" w:hAnsi="Times New Roman" w:cs="Times New Roman"/>
          <w:sz w:val="24"/>
          <w:szCs w:val="24"/>
        </w:rPr>
        <w:t xml:space="preserve"> to investigate the validity of the intervening models</w:t>
      </w:r>
      <w:r w:rsidR="00180EAE">
        <w:rPr>
          <w:rFonts w:ascii="Times New Roman" w:hAnsi="Times New Roman" w:cs="Times New Roman"/>
          <w:sz w:val="24"/>
          <w:szCs w:val="24"/>
        </w:rPr>
        <w:t xml:space="preserve"> in explaining the relationship under consideration. </w:t>
      </w:r>
    </w:p>
    <w:p w14:paraId="44B25BBC" w14:textId="77777777" w:rsidR="000C20D9" w:rsidRPr="00BE0EAE" w:rsidRDefault="000C20D9" w:rsidP="00BF2605">
      <w:pPr>
        <w:tabs>
          <w:tab w:val="left" w:pos="426"/>
        </w:tabs>
        <w:spacing w:after="0" w:line="288" w:lineRule="auto"/>
        <w:jc w:val="both"/>
        <w:rPr>
          <w:rFonts w:ascii="Times New Roman" w:hAnsi="Times New Roman" w:cs="Times New Roman"/>
          <w:sz w:val="24"/>
          <w:szCs w:val="24"/>
        </w:rPr>
      </w:pPr>
    </w:p>
    <w:p w14:paraId="7D55CFDC" w14:textId="2F9B1150" w:rsidR="00BB1F86"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A11381">
        <w:rPr>
          <w:rFonts w:ascii="Times New Roman" w:hAnsi="Times New Roman" w:cs="Times New Roman"/>
          <w:sz w:val="24"/>
          <w:szCs w:val="24"/>
        </w:rPr>
        <w:t>Moreover, we construct a</w:t>
      </w:r>
      <w:r w:rsidR="001B3207">
        <w:rPr>
          <w:rFonts w:ascii="Times New Roman" w:hAnsi="Times New Roman" w:cs="Times New Roman"/>
          <w:sz w:val="24"/>
          <w:szCs w:val="24"/>
        </w:rPr>
        <w:t xml:space="preserve"> </w:t>
      </w:r>
      <w:r w:rsidR="00A11381">
        <w:rPr>
          <w:rFonts w:ascii="Times New Roman" w:hAnsi="Times New Roman" w:cs="Times New Roman"/>
          <w:sz w:val="24"/>
          <w:szCs w:val="24"/>
        </w:rPr>
        <w:t xml:space="preserve">country-level governance </w:t>
      </w:r>
      <w:r w:rsidR="00BB1F86">
        <w:rPr>
          <w:rFonts w:ascii="Times New Roman" w:hAnsi="Times New Roman" w:cs="Times New Roman"/>
          <w:sz w:val="24"/>
          <w:szCs w:val="24"/>
        </w:rPr>
        <w:t xml:space="preserve">score </w:t>
      </w:r>
      <w:r w:rsidR="00A11381">
        <w:rPr>
          <w:rFonts w:ascii="Times New Roman" w:hAnsi="Times New Roman" w:cs="Times New Roman"/>
          <w:sz w:val="24"/>
          <w:szCs w:val="24"/>
        </w:rPr>
        <w:t>(COGI)</w:t>
      </w:r>
      <w:r w:rsidR="001B3207">
        <w:rPr>
          <w:rFonts w:ascii="Times New Roman" w:hAnsi="Times New Roman" w:cs="Times New Roman"/>
          <w:sz w:val="24"/>
          <w:szCs w:val="24"/>
        </w:rPr>
        <w:t xml:space="preserve"> based on</w:t>
      </w:r>
      <w:r w:rsidR="001B3207" w:rsidRPr="001B3207">
        <w:rPr>
          <w:rFonts w:ascii="Times New Roman" w:hAnsi="Times New Roman" w:cs="Times New Roman"/>
          <w:sz w:val="24"/>
          <w:szCs w:val="24"/>
        </w:rPr>
        <w:t xml:space="preserve"> the first principal component </w:t>
      </w:r>
      <w:r w:rsidR="001B3207">
        <w:rPr>
          <w:rFonts w:ascii="Times New Roman" w:hAnsi="Times New Roman" w:cs="Times New Roman"/>
          <w:sz w:val="24"/>
          <w:szCs w:val="24"/>
        </w:rPr>
        <w:t xml:space="preserve">scores </w:t>
      </w:r>
      <w:r w:rsidR="001B3207" w:rsidRPr="001B3207">
        <w:rPr>
          <w:rFonts w:ascii="Times New Roman" w:hAnsi="Times New Roman" w:cs="Times New Roman"/>
          <w:sz w:val="24"/>
          <w:szCs w:val="24"/>
        </w:rPr>
        <w:t xml:space="preserve">(explains </w:t>
      </w:r>
      <w:r w:rsidR="001B3207">
        <w:rPr>
          <w:rFonts w:ascii="Times New Roman" w:hAnsi="Times New Roman" w:cs="Times New Roman"/>
          <w:sz w:val="24"/>
          <w:szCs w:val="24"/>
        </w:rPr>
        <w:t>87</w:t>
      </w:r>
      <w:r w:rsidR="002A1408">
        <w:rPr>
          <w:rFonts w:ascii="Times New Roman" w:hAnsi="Times New Roman" w:cs="Times New Roman"/>
          <w:sz w:val="24"/>
          <w:szCs w:val="24"/>
        </w:rPr>
        <w:t xml:space="preserve"> percent</w:t>
      </w:r>
      <w:r w:rsidR="001B3207" w:rsidRPr="001B3207">
        <w:rPr>
          <w:rFonts w:ascii="Times New Roman" w:hAnsi="Times New Roman" w:cs="Times New Roman"/>
          <w:sz w:val="24"/>
          <w:szCs w:val="24"/>
        </w:rPr>
        <w:t xml:space="preserve"> of the variation) from a principal component analysis that includes the </w:t>
      </w:r>
      <w:r w:rsidR="001B3207">
        <w:rPr>
          <w:rFonts w:ascii="Times New Roman" w:hAnsi="Times New Roman" w:cs="Times New Roman"/>
          <w:sz w:val="24"/>
          <w:szCs w:val="24"/>
        </w:rPr>
        <w:t xml:space="preserve">individual </w:t>
      </w:r>
      <w:r w:rsidR="00A11381" w:rsidRPr="00EF59A8">
        <w:rPr>
          <w:rFonts w:ascii="Times New Roman" w:hAnsi="Times New Roman" w:cs="Times New Roman"/>
          <w:sz w:val="24"/>
          <w:szCs w:val="24"/>
        </w:rPr>
        <w:t>country-level factor</w:t>
      </w:r>
      <w:r w:rsidR="001B3207">
        <w:rPr>
          <w:rFonts w:ascii="Times New Roman" w:hAnsi="Times New Roman" w:cs="Times New Roman"/>
          <w:sz w:val="24"/>
          <w:szCs w:val="24"/>
        </w:rPr>
        <w:t>s</w:t>
      </w:r>
      <w:r w:rsidR="00A11381" w:rsidRPr="00EF59A8">
        <w:rPr>
          <w:rFonts w:ascii="Times New Roman" w:hAnsi="Times New Roman" w:cs="Times New Roman"/>
          <w:sz w:val="24"/>
          <w:szCs w:val="24"/>
        </w:rPr>
        <w:t xml:space="preserve"> (</w:t>
      </w:r>
      <w:r w:rsidR="00F27C61">
        <w:rPr>
          <w:rFonts w:ascii="Times New Roman" w:hAnsi="Times New Roman" w:cs="Times New Roman"/>
          <w:sz w:val="24"/>
          <w:szCs w:val="24"/>
        </w:rPr>
        <w:t>that is,</w:t>
      </w:r>
      <w:r w:rsidR="00A11381" w:rsidRPr="00EF59A8">
        <w:rPr>
          <w:rFonts w:ascii="Times New Roman" w:hAnsi="Times New Roman" w:cs="Times New Roman"/>
          <w:sz w:val="24"/>
          <w:szCs w:val="24"/>
        </w:rPr>
        <w:t xml:space="preserve"> RLAW, MEDI, SOCL, or COMP)</w:t>
      </w:r>
      <w:r w:rsidR="00A11381">
        <w:rPr>
          <w:rFonts w:ascii="Times New Roman" w:hAnsi="Times New Roman" w:cs="Times New Roman"/>
          <w:sz w:val="24"/>
          <w:szCs w:val="24"/>
        </w:rPr>
        <w:t>. This allows us to significantly reduce the number of</w:t>
      </w:r>
      <w:r w:rsidR="00CD7DDB">
        <w:rPr>
          <w:rFonts w:ascii="Times New Roman" w:hAnsi="Times New Roman" w:cs="Times New Roman"/>
          <w:sz w:val="24"/>
          <w:szCs w:val="24"/>
        </w:rPr>
        <w:t xml:space="preserve"> </w:t>
      </w:r>
      <w:r w:rsidR="00110F3E">
        <w:rPr>
          <w:rFonts w:ascii="Times New Roman" w:hAnsi="Times New Roman" w:cs="Times New Roman"/>
          <w:sz w:val="24"/>
          <w:szCs w:val="24"/>
        </w:rPr>
        <w:t>variables needed</w:t>
      </w:r>
      <w:r w:rsidR="005741AA">
        <w:rPr>
          <w:rFonts w:ascii="Times New Roman" w:hAnsi="Times New Roman" w:cs="Times New Roman"/>
          <w:sz w:val="24"/>
          <w:szCs w:val="24"/>
        </w:rPr>
        <w:t xml:space="preserve"> in our next regressions.</w:t>
      </w:r>
      <w:r w:rsidR="00BB1F86">
        <w:rPr>
          <w:rFonts w:ascii="Times New Roman" w:hAnsi="Times New Roman" w:cs="Times New Roman"/>
          <w:sz w:val="24"/>
          <w:szCs w:val="24"/>
        </w:rPr>
        <w:t xml:space="preserve"> </w:t>
      </w:r>
      <w:r w:rsidR="0087300E">
        <w:rPr>
          <w:rFonts w:ascii="Times New Roman" w:hAnsi="Times New Roman" w:cs="Times New Roman"/>
          <w:sz w:val="24"/>
          <w:szCs w:val="24"/>
        </w:rPr>
        <w:t>Our new set of regressions is</w:t>
      </w:r>
      <w:r w:rsidR="00BB1F86">
        <w:rPr>
          <w:rFonts w:ascii="Times New Roman" w:hAnsi="Times New Roman" w:cs="Times New Roman"/>
          <w:sz w:val="24"/>
          <w:szCs w:val="24"/>
        </w:rPr>
        <w:t>:</w:t>
      </w:r>
    </w:p>
    <w:p w14:paraId="0385A902" w14:textId="77777777" w:rsidR="000C20D9" w:rsidRPr="00441C4F" w:rsidRDefault="000C20D9" w:rsidP="00BF2605">
      <w:pPr>
        <w:tabs>
          <w:tab w:val="left" w:pos="426"/>
        </w:tabs>
        <w:spacing w:after="0" w:line="288" w:lineRule="auto"/>
        <w:jc w:val="both"/>
        <w:rPr>
          <w:rFonts w:ascii="Times New Roman" w:hAnsi="Times New Roman" w:cs="Times New Roman"/>
          <w:sz w:val="12"/>
          <w:szCs w:val="1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5"/>
        <w:gridCol w:w="625"/>
      </w:tblGrid>
      <w:tr w:rsidR="0087300E" w:rsidRPr="002A1408" w14:paraId="197A4210" w14:textId="77777777" w:rsidTr="00823792">
        <w:tc>
          <w:tcPr>
            <w:tcW w:w="8725" w:type="dxa"/>
            <w:vAlign w:val="center"/>
          </w:tcPr>
          <w:p w14:paraId="34C1F6FE" w14:textId="5383D408" w:rsidR="0087300E" w:rsidRPr="002A1408" w:rsidRDefault="0087300E"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2</w:t>
            </w:r>
            <w:r w:rsidRPr="002A1408">
              <w:rPr>
                <w:rFonts w:ascii="Times New Roman" w:hAnsi="Times New Roman" w:cs="Times New Roman"/>
                <w:i/>
                <w:iCs/>
              </w:rPr>
              <w:t xml:space="preserve"> </w:t>
            </w:r>
            <w:r w:rsidR="00CD7DDB" w:rsidRPr="002A1408">
              <w:rPr>
                <w:rFonts w:ascii="Times New Roman" w:hAnsi="Times New Roman" w:cs="Times New Roman"/>
                <w:i/>
                <w:iCs/>
              </w:rPr>
              <w:t>COGI</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 β3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COGI</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w:t>
            </w:r>
          </w:p>
          <w:p w14:paraId="102D3D8D" w14:textId="77777777" w:rsidR="0087300E" w:rsidRPr="002A1A6A" w:rsidRDefault="0087300E"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329F0471" w14:textId="4D25641D" w:rsidR="0087300E" w:rsidRPr="002A1408" w:rsidRDefault="0087300E"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(3a)</w:t>
            </w:r>
          </w:p>
        </w:tc>
      </w:tr>
      <w:tr w:rsidR="0087300E" w:rsidRPr="002A1408" w14:paraId="18A02A0D" w14:textId="77777777" w:rsidTr="00823792">
        <w:tc>
          <w:tcPr>
            <w:tcW w:w="8725" w:type="dxa"/>
            <w:vAlign w:val="center"/>
          </w:tcPr>
          <w:p w14:paraId="02451F95" w14:textId="77777777" w:rsidR="0087300E" w:rsidRPr="002A1408" w:rsidRDefault="0087300E" w:rsidP="00BF2605">
            <w:pPr>
              <w:tabs>
                <w:tab w:val="left" w:pos="426"/>
              </w:tabs>
              <w:spacing w:line="288" w:lineRule="auto"/>
              <w:jc w:val="center"/>
              <w:rPr>
                <w:rFonts w:ascii="Times New Roman" w:hAnsi="Times New Roman" w:cs="Times New Roman"/>
                <w:i/>
                <w:iCs/>
              </w:rPr>
            </w:pPr>
          </w:p>
        </w:tc>
        <w:tc>
          <w:tcPr>
            <w:tcW w:w="625" w:type="dxa"/>
            <w:vAlign w:val="center"/>
          </w:tcPr>
          <w:p w14:paraId="30D93A59" w14:textId="77777777" w:rsidR="0087300E" w:rsidRPr="002A1408" w:rsidRDefault="0087300E" w:rsidP="00BF2605">
            <w:pPr>
              <w:tabs>
                <w:tab w:val="left" w:pos="426"/>
              </w:tabs>
              <w:spacing w:line="288" w:lineRule="auto"/>
              <w:jc w:val="center"/>
              <w:rPr>
                <w:rFonts w:ascii="Times New Roman" w:hAnsi="Times New Roman" w:cs="Times New Roman"/>
              </w:rPr>
            </w:pPr>
          </w:p>
        </w:tc>
      </w:tr>
      <w:tr w:rsidR="0087300E" w:rsidRPr="002A1408" w14:paraId="40770D2D" w14:textId="77777777" w:rsidTr="00823792">
        <w:tc>
          <w:tcPr>
            <w:tcW w:w="8725" w:type="dxa"/>
            <w:vAlign w:val="center"/>
          </w:tcPr>
          <w:p w14:paraId="66467739" w14:textId="44657E8F" w:rsidR="0087300E" w:rsidRPr="002A1408" w:rsidRDefault="0087300E"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COGI</w:t>
            </w:r>
            <w:r w:rsidR="00CD7DDB" w:rsidRPr="002A1408">
              <w:rPr>
                <w:rFonts w:ascii="Times New Roman" w:hAnsi="Times New Roman" w:cs="Times New Roman"/>
                <w:i/>
                <w:iCs/>
                <w:vertAlign w:val="subscript"/>
              </w:rPr>
              <w:t>i,t</w:t>
            </w:r>
            <w:r w:rsidRPr="002A1408">
              <w:rPr>
                <w:rFonts w:ascii="Times New Roman" w:hAnsi="Times New Roman" w:cs="Times New Roman"/>
                <w:i/>
                <w:iCs/>
              </w:rPr>
              <w:t xml:space="preserve"> </w:t>
            </w:r>
          </w:p>
          <w:p w14:paraId="3858AAF0" w14:textId="77777777" w:rsidR="0087300E" w:rsidRPr="002A1A6A" w:rsidRDefault="0087300E"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3CA27BE0" w14:textId="77777777" w:rsidR="0087300E" w:rsidRPr="002A1408" w:rsidRDefault="0087300E"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(3b)</w:t>
            </w:r>
          </w:p>
        </w:tc>
      </w:tr>
      <w:tr w:rsidR="0087300E" w:rsidRPr="002A1408" w14:paraId="16723365" w14:textId="77777777" w:rsidTr="00823792">
        <w:tc>
          <w:tcPr>
            <w:tcW w:w="8725" w:type="dxa"/>
            <w:vAlign w:val="center"/>
          </w:tcPr>
          <w:p w14:paraId="32415828" w14:textId="77777777" w:rsidR="0087300E" w:rsidRPr="002A1408" w:rsidRDefault="0087300E" w:rsidP="00BF2605">
            <w:pPr>
              <w:tabs>
                <w:tab w:val="left" w:pos="426"/>
              </w:tabs>
              <w:spacing w:line="288" w:lineRule="auto"/>
              <w:jc w:val="center"/>
              <w:rPr>
                <w:rFonts w:ascii="Times New Roman" w:hAnsi="Times New Roman" w:cs="Times New Roman"/>
                <w:i/>
                <w:iCs/>
              </w:rPr>
            </w:pPr>
          </w:p>
        </w:tc>
        <w:tc>
          <w:tcPr>
            <w:tcW w:w="625" w:type="dxa"/>
            <w:vAlign w:val="center"/>
          </w:tcPr>
          <w:p w14:paraId="0FDFC416" w14:textId="77777777" w:rsidR="0087300E" w:rsidRPr="002A1408" w:rsidRDefault="0087300E" w:rsidP="00BF2605">
            <w:pPr>
              <w:tabs>
                <w:tab w:val="left" w:pos="426"/>
              </w:tabs>
              <w:spacing w:line="288" w:lineRule="auto"/>
              <w:jc w:val="center"/>
              <w:rPr>
                <w:rFonts w:ascii="Times New Roman" w:hAnsi="Times New Roman" w:cs="Times New Roman"/>
              </w:rPr>
            </w:pPr>
          </w:p>
        </w:tc>
      </w:tr>
      <w:tr w:rsidR="00BB1F86" w:rsidRPr="002A1408" w14:paraId="348D00D9" w14:textId="77777777" w:rsidTr="00756EE3">
        <w:tc>
          <w:tcPr>
            <w:tcW w:w="8725" w:type="dxa"/>
            <w:vAlign w:val="center"/>
          </w:tcPr>
          <w:p w14:paraId="4F10F58C" w14:textId="01174685" w:rsidR="00BB1F86" w:rsidRPr="002A1408" w:rsidRDefault="00BB1F86" w:rsidP="00BF2605">
            <w:pPr>
              <w:tabs>
                <w:tab w:val="left" w:pos="426"/>
              </w:tabs>
              <w:spacing w:line="288" w:lineRule="auto"/>
              <w:jc w:val="center"/>
              <w:rPr>
                <w:rFonts w:ascii="Times New Roman" w:hAnsi="Times New Roman" w:cs="Times New Roman"/>
                <w:i/>
                <w:iCs/>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2</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w:t>
            </w:r>
            <w:r w:rsidR="00CD7DDB" w:rsidRPr="002A1408">
              <w:rPr>
                <w:rFonts w:ascii="Times New Roman" w:hAnsi="Times New Roman" w:cs="Times New Roman"/>
                <w:i/>
                <w:iCs/>
              </w:rPr>
              <w:t>COGI</w:t>
            </w:r>
            <w:r w:rsidR="00CD7DDB" w:rsidRPr="002A1408">
              <w:rPr>
                <w:rFonts w:ascii="Times New Roman" w:hAnsi="Times New Roman" w:cs="Times New Roman"/>
                <w:i/>
                <w:iCs/>
                <w:vertAlign w:val="subscript"/>
              </w:rPr>
              <w:t>i,t</w:t>
            </w:r>
            <w:r w:rsidRPr="002A1408">
              <w:rPr>
                <w:rFonts w:ascii="Times New Roman" w:hAnsi="Times New Roman" w:cs="Times New Roman"/>
              </w:rPr>
              <w:t>)</w:t>
            </w:r>
            <w:r w:rsidRPr="002A1408">
              <w:rPr>
                <w:rFonts w:ascii="Times New Roman" w:hAnsi="Times New Roman" w:cs="Times New Roman"/>
                <w:i/>
                <w:iCs/>
              </w:rPr>
              <w:t xml:space="preserve"> </w:t>
            </w:r>
          </w:p>
          <w:p w14:paraId="58A8E7E8" w14:textId="77777777" w:rsidR="00BB1F86" w:rsidRPr="002A1A6A" w:rsidRDefault="00BB1F86" w:rsidP="00BF2605">
            <w:pPr>
              <w:tabs>
                <w:tab w:val="left" w:pos="426"/>
              </w:tabs>
              <w:spacing w:line="288" w:lineRule="auto"/>
              <w:jc w:val="center"/>
              <w:rPr>
                <w:rFonts w:ascii="Times New Roman" w:hAnsi="Times New Roman" w:cs="Times New Roman"/>
                <w:i/>
                <w:iCs/>
                <w:lang w:val="fr-FR"/>
              </w:rPr>
            </w:pP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62D58645" w14:textId="44F93071" w:rsidR="00BB1F86" w:rsidRPr="002A1408" w:rsidRDefault="00BB1F86"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w:t>
            </w:r>
            <w:r w:rsidR="00BE0EAE" w:rsidRPr="002A1408">
              <w:rPr>
                <w:rFonts w:ascii="Times New Roman" w:hAnsi="Times New Roman" w:cs="Times New Roman"/>
              </w:rPr>
              <w:t>3</w:t>
            </w:r>
            <w:r w:rsidR="0087300E" w:rsidRPr="002A1408">
              <w:rPr>
                <w:rFonts w:ascii="Times New Roman" w:hAnsi="Times New Roman" w:cs="Times New Roman"/>
              </w:rPr>
              <w:t>c</w:t>
            </w:r>
            <w:r w:rsidRPr="002A1408">
              <w:rPr>
                <w:rFonts w:ascii="Times New Roman" w:hAnsi="Times New Roman" w:cs="Times New Roman"/>
              </w:rPr>
              <w:t>)</w:t>
            </w:r>
          </w:p>
        </w:tc>
      </w:tr>
      <w:tr w:rsidR="00BB1F86" w14:paraId="5A54C1FC" w14:textId="77777777" w:rsidTr="00756EE3">
        <w:tc>
          <w:tcPr>
            <w:tcW w:w="8725" w:type="dxa"/>
            <w:vAlign w:val="center"/>
          </w:tcPr>
          <w:p w14:paraId="2066615F" w14:textId="77777777" w:rsidR="00BB1F86" w:rsidRPr="003C1E59" w:rsidRDefault="00BB1F86" w:rsidP="00BF2605">
            <w:pPr>
              <w:tabs>
                <w:tab w:val="left" w:pos="426"/>
              </w:tabs>
              <w:spacing w:line="288" w:lineRule="auto"/>
              <w:jc w:val="center"/>
              <w:rPr>
                <w:rFonts w:ascii="Times New Roman" w:hAnsi="Times New Roman" w:cs="Times New Roman"/>
                <w:i/>
                <w:iCs/>
                <w:sz w:val="10"/>
                <w:szCs w:val="10"/>
              </w:rPr>
            </w:pPr>
          </w:p>
        </w:tc>
        <w:tc>
          <w:tcPr>
            <w:tcW w:w="625" w:type="dxa"/>
            <w:vAlign w:val="center"/>
          </w:tcPr>
          <w:p w14:paraId="12B23981" w14:textId="77777777" w:rsidR="00BB1F86" w:rsidRPr="003C1E59" w:rsidRDefault="00BB1F86" w:rsidP="00BF2605">
            <w:pPr>
              <w:tabs>
                <w:tab w:val="left" w:pos="426"/>
              </w:tabs>
              <w:spacing w:line="288" w:lineRule="auto"/>
              <w:jc w:val="center"/>
              <w:rPr>
                <w:rFonts w:ascii="Times New Roman" w:hAnsi="Times New Roman" w:cs="Times New Roman"/>
                <w:sz w:val="10"/>
                <w:szCs w:val="10"/>
              </w:rPr>
            </w:pPr>
          </w:p>
        </w:tc>
      </w:tr>
    </w:tbl>
    <w:p w14:paraId="519F77B3" w14:textId="2D230E56" w:rsidR="00D63F7C"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D63F7C">
        <w:rPr>
          <w:rFonts w:ascii="Times New Roman" w:hAnsi="Times New Roman" w:cs="Times New Roman"/>
          <w:sz w:val="24"/>
          <w:szCs w:val="24"/>
        </w:rPr>
        <w:t xml:space="preserve">Both the sign and significance of the interaction </w:t>
      </w:r>
      <w:r w:rsidR="00110F3E">
        <w:rPr>
          <w:rFonts w:ascii="Times New Roman" w:hAnsi="Times New Roman" w:cs="Times New Roman"/>
          <w:sz w:val="24"/>
          <w:szCs w:val="24"/>
        </w:rPr>
        <w:t xml:space="preserve">between the governance index and the </w:t>
      </w:r>
      <w:r w:rsidR="00CD7DDB">
        <w:rPr>
          <w:rFonts w:ascii="Times New Roman" w:hAnsi="Times New Roman" w:cs="Times New Roman"/>
          <w:sz w:val="24"/>
          <w:szCs w:val="24"/>
        </w:rPr>
        <w:t xml:space="preserve">country </w:t>
      </w:r>
      <w:r w:rsidR="00D63F7C">
        <w:rPr>
          <w:rFonts w:ascii="Times New Roman" w:hAnsi="Times New Roman" w:cs="Times New Roman"/>
          <w:sz w:val="24"/>
          <w:szCs w:val="24"/>
        </w:rPr>
        <w:t>variable</w:t>
      </w:r>
      <w:r w:rsidR="00110F3E">
        <w:rPr>
          <w:rFonts w:ascii="Times New Roman" w:hAnsi="Times New Roman" w:cs="Times New Roman"/>
          <w:sz w:val="24"/>
          <w:szCs w:val="24"/>
        </w:rPr>
        <w:t>s</w:t>
      </w:r>
      <w:r w:rsidR="00D63F7C">
        <w:rPr>
          <w:rFonts w:ascii="Times New Roman" w:hAnsi="Times New Roman" w:cs="Times New Roman"/>
          <w:sz w:val="24"/>
          <w:szCs w:val="24"/>
        </w:rPr>
        <w:t xml:space="preserve"> </w:t>
      </w:r>
      <w:r w:rsidR="00D63F7C" w:rsidRPr="002B3A53">
        <w:rPr>
          <w:rFonts w:ascii="Times New Roman" w:hAnsi="Times New Roman" w:cs="Times New Roman"/>
          <w:sz w:val="24"/>
          <w:szCs w:val="24"/>
        </w:rPr>
        <w:t>(</w:t>
      </w:r>
      <w:r w:rsidR="002A1408">
        <w:rPr>
          <w:rFonts w:ascii="Times New Roman" w:hAnsi="Times New Roman" w:cs="Times New Roman"/>
          <w:sz w:val="24"/>
          <w:szCs w:val="24"/>
        </w:rPr>
        <w:t xml:space="preserve">for example, </w:t>
      </w:r>
      <w:r w:rsidR="00431625">
        <w:rPr>
          <w:rFonts w:ascii="Times New Roman" w:hAnsi="Times New Roman" w:cs="Times New Roman"/>
          <w:i/>
          <w:iCs/>
          <w:sz w:val="24"/>
          <w:szCs w:val="24"/>
        </w:rPr>
        <w:t>GOVI</w:t>
      </w:r>
      <w:r w:rsidR="00D63F7C" w:rsidRPr="003C1E59">
        <w:rPr>
          <w:rFonts w:ascii="Times New Roman" w:hAnsi="Times New Roman" w:cs="Times New Roman"/>
          <w:i/>
          <w:iCs/>
          <w:sz w:val="24"/>
          <w:szCs w:val="24"/>
          <w:vertAlign w:val="subscript"/>
        </w:rPr>
        <w:t>i</w:t>
      </w:r>
      <w:r w:rsidR="00D63F7C">
        <w:rPr>
          <w:rFonts w:ascii="Times New Roman" w:hAnsi="Times New Roman" w:cs="Times New Roman"/>
          <w:i/>
          <w:iCs/>
          <w:sz w:val="24"/>
          <w:szCs w:val="24"/>
          <w:vertAlign w:val="subscript"/>
        </w:rPr>
        <w:t>,t</w:t>
      </w:r>
      <w:r w:rsidR="00D63F7C" w:rsidRPr="003C1E59">
        <w:rPr>
          <w:rFonts w:ascii="Times New Roman" w:hAnsi="Times New Roman" w:cs="Times New Roman"/>
          <w:i/>
          <w:iCs/>
          <w:sz w:val="24"/>
          <w:szCs w:val="24"/>
        </w:rPr>
        <w:t xml:space="preserve"> </w:t>
      </w:r>
      <w:r w:rsidR="00D63F7C">
        <w:rPr>
          <w:rFonts w:ascii="Times New Roman" w:hAnsi="Times New Roman" w:cs="Times New Roman"/>
          <w:i/>
          <w:iCs/>
          <w:sz w:val="24"/>
          <w:szCs w:val="24"/>
        </w:rPr>
        <w:t xml:space="preserve">× </w:t>
      </w:r>
      <w:r w:rsidR="00CD7DDB">
        <w:rPr>
          <w:rFonts w:ascii="Times New Roman" w:hAnsi="Times New Roman" w:cs="Times New Roman"/>
          <w:i/>
          <w:iCs/>
          <w:sz w:val="24"/>
          <w:szCs w:val="24"/>
        </w:rPr>
        <w:t>RLAW</w:t>
      </w:r>
      <w:r w:rsidR="00CD7DDB">
        <w:rPr>
          <w:rFonts w:ascii="Times New Roman" w:hAnsi="Times New Roman" w:cs="Times New Roman"/>
          <w:i/>
          <w:iCs/>
          <w:sz w:val="24"/>
          <w:szCs w:val="24"/>
          <w:vertAlign w:val="subscript"/>
        </w:rPr>
        <w:t>i,t</w:t>
      </w:r>
      <w:r w:rsidR="00D63F7C" w:rsidRPr="002B3A53">
        <w:rPr>
          <w:rFonts w:ascii="Times New Roman" w:hAnsi="Times New Roman" w:cs="Times New Roman"/>
          <w:sz w:val="24"/>
          <w:szCs w:val="24"/>
        </w:rPr>
        <w:t>)</w:t>
      </w:r>
      <w:r w:rsidR="00D63F7C">
        <w:rPr>
          <w:rFonts w:ascii="Times New Roman" w:hAnsi="Times New Roman" w:cs="Times New Roman"/>
          <w:sz w:val="24"/>
          <w:szCs w:val="24"/>
        </w:rPr>
        <w:t xml:space="preserve"> </w:t>
      </w:r>
      <w:r w:rsidR="00BB1F86">
        <w:rPr>
          <w:rFonts w:ascii="Times New Roman" w:hAnsi="Times New Roman" w:cs="Times New Roman"/>
          <w:sz w:val="24"/>
          <w:szCs w:val="24"/>
        </w:rPr>
        <w:t>in</w:t>
      </w:r>
      <w:r w:rsidR="0087300E">
        <w:rPr>
          <w:rFonts w:ascii="Times New Roman" w:hAnsi="Times New Roman" w:cs="Times New Roman"/>
          <w:sz w:val="24"/>
          <w:szCs w:val="24"/>
        </w:rPr>
        <w:t xml:space="preserve"> the above models</w:t>
      </w:r>
      <w:r w:rsidR="0087300E">
        <w:rPr>
          <w:rFonts w:ascii="Times New Roman" w:hAnsi="Times New Roman" w:cs="Times New Roman"/>
          <w:i/>
          <w:iCs/>
          <w:sz w:val="24"/>
          <w:szCs w:val="24"/>
        </w:rPr>
        <w:t xml:space="preserve"> </w:t>
      </w:r>
      <w:r w:rsidR="00D63F7C">
        <w:rPr>
          <w:rFonts w:ascii="Times New Roman" w:hAnsi="Times New Roman" w:cs="Times New Roman"/>
          <w:sz w:val="24"/>
          <w:szCs w:val="24"/>
        </w:rPr>
        <w:t>would indicate whether</w:t>
      </w:r>
      <w:r w:rsidR="00A45F50">
        <w:rPr>
          <w:rFonts w:ascii="Times New Roman" w:hAnsi="Times New Roman" w:cs="Times New Roman"/>
          <w:sz w:val="24"/>
          <w:szCs w:val="24"/>
        </w:rPr>
        <w:t xml:space="preserve"> the particular</w:t>
      </w:r>
      <w:r w:rsidR="00D63F7C">
        <w:rPr>
          <w:rFonts w:ascii="Times New Roman" w:hAnsi="Times New Roman" w:cs="Times New Roman"/>
          <w:sz w:val="24"/>
          <w:szCs w:val="24"/>
        </w:rPr>
        <w:t xml:space="preserve"> country-level </w:t>
      </w:r>
      <w:r w:rsidR="00A45F50">
        <w:rPr>
          <w:rFonts w:ascii="Times New Roman" w:hAnsi="Times New Roman" w:cs="Times New Roman"/>
          <w:sz w:val="24"/>
          <w:szCs w:val="24"/>
        </w:rPr>
        <w:t>factor</w:t>
      </w:r>
      <w:r w:rsidR="00BB1F86">
        <w:rPr>
          <w:rFonts w:ascii="Times New Roman" w:hAnsi="Times New Roman" w:cs="Times New Roman"/>
          <w:sz w:val="24"/>
          <w:szCs w:val="24"/>
        </w:rPr>
        <w:t xml:space="preserve"> or index</w:t>
      </w:r>
      <w:r w:rsidR="00D63F7C" w:rsidRPr="00430435">
        <w:rPr>
          <w:rFonts w:ascii="Times New Roman" w:hAnsi="Times New Roman" w:cs="Times New Roman"/>
          <w:sz w:val="24"/>
          <w:szCs w:val="24"/>
        </w:rPr>
        <w:t xml:space="preserve"> </w:t>
      </w:r>
      <w:r w:rsidR="00D63F7C">
        <w:rPr>
          <w:rFonts w:ascii="Times New Roman" w:hAnsi="Times New Roman" w:cs="Times New Roman"/>
          <w:sz w:val="24"/>
          <w:szCs w:val="24"/>
        </w:rPr>
        <w:t>and firm-level governance</w:t>
      </w:r>
      <w:r w:rsidR="00D63F7C" w:rsidRPr="00430435">
        <w:rPr>
          <w:rFonts w:ascii="Times New Roman" w:hAnsi="Times New Roman" w:cs="Times New Roman"/>
          <w:sz w:val="24"/>
          <w:szCs w:val="24"/>
        </w:rPr>
        <w:t xml:space="preserve"> </w:t>
      </w:r>
      <w:r w:rsidR="00A45F50">
        <w:rPr>
          <w:rFonts w:ascii="Times New Roman" w:hAnsi="Times New Roman" w:cs="Times New Roman"/>
          <w:sz w:val="24"/>
          <w:szCs w:val="24"/>
        </w:rPr>
        <w:t xml:space="preserve">are </w:t>
      </w:r>
      <w:r w:rsidR="00D63F7C">
        <w:rPr>
          <w:rFonts w:ascii="Times New Roman" w:hAnsi="Times New Roman" w:cs="Times New Roman"/>
          <w:sz w:val="24"/>
          <w:szCs w:val="24"/>
        </w:rPr>
        <w:t>complements</w:t>
      </w:r>
      <w:r w:rsidR="00A45F50">
        <w:rPr>
          <w:rFonts w:ascii="Times New Roman" w:hAnsi="Times New Roman" w:cs="Times New Roman"/>
          <w:sz w:val="24"/>
          <w:szCs w:val="24"/>
        </w:rPr>
        <w:t xml:space="preserve"> (positive sign)</w:t>
      </w:r>
      <w:r w:rsidR="00D63F7C">
        <w:rPr>
          <w:rFonts w:ascii="Times New Roman" w:hAnsi="Times New Roman" w:cs="Times New Roman"/>
          <w:sz w:val="24"/>
          <w:szCs w:val="24"/>
        </w:rPr>
        <w:t xml:space="preserve"> or substitutes</w:t>
      </w:r>
      <w:r w:rsidR="00A45F50">
        <w:rPr>
          <w:rFonts w:ascii="Times New Roman" w:hAnsi="Times New Roman" w:cs="Times New Roman"/>
          <w:sz w:val="24"/>
          <w:szCs w:val="24"/>
        </w:rPr>
        <w:t xml:space="preserve"> (negative sign).</w:t>
      </w:r>
      <w:r w:rsidR="000E2A45">
        <w:rPr>
          <w:rFonts w:ascii="Times New Roman" w:hAnsi="Times New Roman" w:cs="Times New Roman"/>
          <w:sz w:val="24"/>
          <w:szCs w:val="24"/>
        </w:rPr>
        <w:t xml:space="preserve"> A positive (negative) sign indicates that improving firm-level governance in a </w:t>
      </w:r>
      <w:r w:rsidR="003708BB">
        <w:rPr>
          <w:rFonts w:ascii="Times New Roman" w:hAnsi="Times New Roman" w:cs="Times New Roman"/>
          <w:sz w:val="24"/>
          <w:szCs w:val="24"/>
        </w:rPr>
        <w:t>countr</w:t>
      </w:r>
      <w:r w:rsidR="000E2A45">
        <w:rPr>
          <w:rFonts w:ascii="Times New Roman" w:hAnsi="Times New Roman" w:cs="Times New Roman"/>
          <w:sz w:val="24"/>
          <w:szCs w:val="24"/>
        </w:rPr>
        <w:t>y with strong country-level mechanism is beneficial (detrimental) to firm value/performance</w:t>
      </w:r>
      <w:r w:rsidR="00CD7DDB">
        <w:rPr>
          <w:rFonts w:ascii="Times New Roman" w:hAnsi="Times New Roman" w:cs="Times New Roman"/>
          <w:sz w:val="24"/>
          <w:szCs w:val="24"/>
        </w:rPr>
        <w:t>.</w:t>
      </w:r>
    </w:p>
    <w:p w14:paraId="7E5258C2" w14:textId="77777777" w:rsidR="000C20D9" w:rsidRDefault="000C20D9" w:rsidP="00BF2605">
      <w:pPr>
        <w:tabs>
          <w:tab w:val="left" w:pos="426"/>
        </w:tabs>
        <w:spacing w:after="0" w:line="288" w:lineRule="auto"/>
        <w:jc w:val="both"/>
        <w:rPr>
          <w:rFonts w:ascii="Times New Roman" w:hAnsi="Times New Roman" w:cs="Times New Roman"/>
          <w:sz w:val="24"/>
          <w:szCs w:val="24"/>
        </w:rPr>
      </w:pPr>
    </w:p>
    <w:p w14:paraId="7670814D" w14:textId="16C28324" w:rsidR="00BB1F86" w:rsidRPr="000C20D9" w:rsidRDefault="00BB1F86" w:rsidP="00BF2605">
      <w:pPr>
        <w:tabs>
          <w:tab w:val="left" w:pos="426"/>
        </w:tabs>
        <w:spacing w:after="0" w:line="288" w:lineRule="auto"/>
        <w:jc w:val="both"/>
        <w:rPr>
          <w:rFonts w:ascii="Times New Roman" w:hAnsi="Times New Roman" w:cs="Times New Roman"/>
          <w:b/>
          <w:iCs/>
          <w:sz w:val="24"/>
          <w:szCs w:val="24"/>
        </w:rPr>
      </w:pPr>
      <w:r w:rsidRPr="000C20D9">
        <w:rPr>
          <w:rFonts w:ascii="Times New Roman" w:hAnsi="Times New Roman" w:cs="Times New Roman"/>
          <w:b/>
          <w:iCs/>
          <w:sz w:val="24"/>
          <w:szCs w:val="24"/>
        </w:rPr>
        <w:t>The Role of Financial Development and Capital Dependency</w:t>
      </w:r>
    </w:p>
    <w:p w14:paraId="58927434" w14:textId="77777777" w:rsidR="000C20D9" w:rsidRPr="000C20D9" w:rsidRDefault="000C20D9" w:rsidP="00BF2605">
      <w:pPr>
        <w:tabs>
          <w:tab w:val="left" w:pos="426"/>
        </w:tabs>
        <w:spacing w:after="0" w:line="288" w:lineRule="auto"/>
        <w:jc w:val="both"/>
        <w:rPr>
          <w:rFonts w:ascii="Times New Roman" w:hAnsi="Times New Roman" w:cs="Times New Roman"/>
          <w:sz w:val="12"/>
          <w:szCs w:val="12"/>
        </w:rPr>
      </w:pPr>
    </w:p>
    <w:p w14:paraId="6DBFE012" w14:textId="76DE23C1" w:rsidR="000E06DA" w:rsidRDefault="00BB1F86"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0D041C">
        <w:rPr>
          <w:rFonts w:ascii="Times New Roman" w:hAnsi="Times New Roman" w:cs="Times New Roman"/>
          <w:sz w:val="24"/>
          <w:szCs w:val="24"/>
        </w:rPr>
        <w:t>next</w:t>
      </w:r>
      <w:r>
        <w:rPr>
          <w:rFonts w:ascii="Times New Roman" w:hAnsi="Times New Roman" w:cs="Times New Roman"/>
          <w:sz w:val="24"/>
          <w:szCs w:val="24"/>
        </w:rPr>
        <w:t xml:space="preserve"> set of regressions is used to answer our </w:t>
      </w:r>
      <w:r w:rsidR="009D1C47">
        <w:rPr>
          <w:rFonts w:ascii="Times New Roman" w:hAnsi="Times New Roman" w:cs="Times New Roman"/>
          <w:sz w:val="24"/>
          <w:szCs w:val="24"/>
        </w:rPr>
        <w:t>third</w:t>
      </w:r>
      <w:r>
        <w:rPr>
          <w:rFonts w:ascii="Times New Roman" w:hAnsi="Times New Roman" w:cs="Times New Roman"/>
          <w:sz w:val="24"/>
          <w:szCs w:val="24"/>
        </w:rPr>
        <w:t xml:space="preserve"> and </w:t>
      </w:r>
      <w:r w:rsidR="009D1C47">
        <w:rPr>
          <w:rFonts w:ascii="Times New Roman" w:hAnsi="Times New Roman" w:cs="Times New Roman"/>
          <w:sz w:val="24"/>
          <w:szCs w:val="24"/>
        </w:rPr>
        <w:t>fourth</w:t>
      </w:r>
      <w:r>
        <w:rPr>
          <w:rFonts w:ascii="Times New Roman" w:hAnsi="Times New Roman" w:cs="Times New Roman"/>
          <w:sz w:val="24"/>
          <w:szCs w:val="24"/>
        </w:rPr>
        <w:t xml:space="preserve"> research questions through examining the relationship between</w:t>
      </w:r>
      <w:r w:rsidRPr="00C90547">
        <w:t xml:space="preserve"> </w:t>
      </w:r>
      <w:r>
        <w:rPr>
          <w:rFonts w:ascii="Times New Roman" w:hAnsi="Times New Roman" w:cs="Times New Roman"/>
          <w:sz w:val="24"/>
          <w:szCs w:val="24"/>
        </w:rPr>
        <w:t xml:space="preserve">firm </w:t>
      </w:r>
      <w:r w:rsidRPr="00C90547">
        <w:rPr>
          <w:rFonts w:ascii="Times New Roman" w:hAnsi="Times New Roman" w:cs="Times New Roman"/>
          <w:sz w:val="24"/>
          <w:szCs w:val="24"/>
        </w:rPr>
        <w:t>return</w:t>
      </w:r>
      <w:r>
        <w:rPr>
          <w:rFonts w:ascii="Times New Roman" w:hAnsi="Times New Roman" w:cs="Times New Roman"/>
          <w:sz w:val="24"/>
          <w:szCs w:val="24"/>
        </w:rPr>
        <w:t xml:space="preserve"> or value measures and firm-level governance w</w:t>
      </w:r>
      <w:r w:rsidRPr="008D512F">
        <w:rPr>
          <w:rFonts w:ascii="Times New Roman" w:hAnsi="Times New Roman" w:cs="Times New Roman"/>
          <w:sz w:val="24"/>
          <w:szCs w:val="24"/>
        </w:rPr>
        <w:t xml:space="preserve">hen considering </w:t>
      </w:r>
      <w:r>
        <w:rPr>
          <w:rFonts w:ascii="Times New Roman" w:hAnsi="Times New Roman" w:cs="Times New Roman"/>
          <w:sz w:val="24"/>
          <w:szCs w:val="24"/>
        </w:rPr>
        <w:t xml:space="preserve">both the country’s state of </w:t>
      </w:r>
      <w:r w:rsidRPr="008D512F">
        <w:rPr>
          <w:rFonts w:ascii="Times New Roman" w:hAnsi="Times New Roman" w:cs="Times New Roman"/>
          <w:sz w:val="24"/>
          <w:szCs w:val="24"/>
        </w:rPr>
        <w:t>financial development</w:t>
      </w:r>
      <w:r>
        <w:rPr>
          <w:rFonts w:ascii="Times New Roman" w:hAnsi="Times New Roman" w:cs="Times New Roman"/>
          <w:sz w:val="24"/>
          <w:szCs w:val="24"/>
        </w:rPr>
        <w:t xml:space="preserve"> and the firm’s external financing needs. </w:t>
      </w:r>
      <w:r w:rsidR="008D512F">
        <w:rPr>
          <w:rFonts w:ascii="Times New Roman" w:hAnsi="Times New Roman" w:cs="Times New Roman"/>
          <w:sz w:val="24"/>
          <w:szCs w:val="24"/>
        </w:rPr>
        <w:t>W</w:t>
      </w:r>
      <w:r w:rsidR="000E06DA">
        <w:rPr>
          <w:rFonts w:ascii="Times New Roman" w:hAnsi="Times New Roman" w:cs="Times New Roman"/>
          <w:sz w:val="24"/>
          <w:szCs w:val="24"/>
        </w:rPr>
        <w:t xml:space="preserve">e run the following regression using industry </w:t>
      </w:r>
      <w:r w:rsidR="00302F32">
        <w:rPr>
          <w:rFonts w:ascii="Times New Roman" w:hAnsi="Times New Roman" w:cs="Times New Roman"/>
          <w:sz w:val="24"/>
          <w:szCs w:val="24"/>
        </w:rPr>
        <w:t xml:space="preserve">and year </w:t>
      </w:r>
      <w:r w:rsidR="004B3FED">
        <w:rPr>
          <w:rFonts w:ascii="Times New Roman" w:hAnsi="Times New Roman" w:cs="Times New Roman"/>
          <w:sz w:val="24"/>
          <w:szCs w:val="24"/>
        </w:rPr>
        <w:t>dummies</w:t>
      </w:r>
      <w:r w:rsidR="006B2419">
        <w:rPr>
          <w:rFonts w:ascii="Times New Roman" w:hAnsi="Times New Roman" w:cs="Times New Roman"/>
          <w:sz w:val="24"/>
          <w:szCs w:val="24"/>
        </w:rPr>
        <w:t xml:space="preserve"> assuming a moderating causal-relationship</w:t>
      </w:r>
      <w:r w:rsidR="000E06DA">
        <w:rPr>
          <w:rFonts w:ascii="Times New Roman" w:hAnsi="Times New Roman" w:cs="Times New Roman"/>
          <w:sz w:val="24"/>
          <w:szCs w:val="24"/>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5"/>
        <w:gridCol w:w="625"/>
      </w:tblGrid>
      <w:tr w:rsidR="002D08A4" w:rsidRPr="002A1408" w14:paraId="56432237" w14:textId="77777777" w:rsidTr="000B0019">
        <w:tc>
          <w:tcPr>
            <w:tcW w:w="8725" w:type="dxa"/>
            <w:vAlign w:val="center"/>
          </w:tcPr>
          <w:p w14:paraId="598CC699" w14:textId="77777777" w:rsidR="00441C4F" w:rsidRPr="00441C4F" w:rsidRDefault="00441C4F" w:rsidP="00BF2605">
            <w:pPr>
              <w:tabs>
                <w:tab w:val="left" w:pos="426"/>
              </w:tabs>
              <w:spacing w:line="288" w:lineRule="auto"/>
              <w:jc w:val="center"/>
              <w:rPr>
                <w:rFonts w:ascii="Times New Roman" w:hAnsi="Times New Roman" w:cs="Times New Roman"/>
                <w:i/>
                <w:iCs/>
                <w:sz w:val="16"/>
                <w:szCs w:val="16"/>
              </w:rPr>
            </w:pPr>
          </w:p>
          <w:p w14:paraId="224229B1" w14:textId="25B9876A" w:rsidR="00BB1F86" w:rsidRPr="002A1408" w:rsidRDefault="00BB1F86" w:rsidP="00BF2605">
            <w:pPr>
              <w:tabs>
                <w:tab w:val="left" w:pos="426"/>
              </w:tabs>
              <w:spacing w:line="288" w:lineRule="auto"/>
              <w:jc w:val="center"/>
              <w:rPr>
                <w:rFonts w:ascii="Times New Roman" w:hAnsi="Times New Roman" w:cs="Times New Roman"/>
              </w:rPr>
            </w:pPr>
            <w:r w:rsidRPr="002A1408">
              <w:rPr>
                <w:rFonts w:ascii="Times New Roman" w:hAnsi="Times New Roman" w:cs="Times New Roman"/>
                <w:i/>
                <w:iCs/>
              </w:rPr>
              <w:t>Return or Value Measure</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0</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1</w:t>
            </w:r>
            <w:r w:rsidRPr="002A1408">
              <w:rPr>
                <w:rFonts w:ascii="Times New Roman" w:hAnsi="Times New Roman" w:cs="Times New Roman"/>
                <w:i/>
                <w:iCs/>
              </w:rPr>
              <w:t xml:space="preserve"> 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β</w:t>
            </w:r>
            <w:r w:rsidRPr="002A1408">
              <w:rPr>
                <w:rFonts w:ascii="Times New Roman" w:hAnsi="Times New Roman" w:cs="Times New Roman"/>
                <w:i/>
                <w:iCs/>
                <w:vertAlign w:val="subscript"/>
              </w:rPr>
              <w:t>2</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D</w:t>
            </w:r>
            <w:r w:rsidRPr="002A1408">
              <w:rPr>
                <w:rFonts w:ascii="Times New Roman" w:hAnsi="Times New Roman" w:cs="Times New Roman"/>
                <w:i/>
                <w:iCs/>
                <w:vertAlign w:val="subscript"/>
              </w:rPr>
              <w:t>COGI</w:t>
            </w:r>
            <w:r w:rsidRPr="002A1408">
              <w:rPr>
                <w:rFonts w:ascii="Times New Roman" w:hAnsi="Times New Roman" w:cs="Times New Roman"/>
              </w:rPr>
              <w:t xml:space="preserve">) </w:t>
            </w:r>
          </w:p>
          <w:p w14:paraId="5F464148" w14:textId="77777777" w:rsidR="00BB1F86" w:rsidRPr="002A1408" w:rsidRDefault="00BB1F86" w:rsidP="00BF2605">
            <w:pPr>
              <w:tabs>
                <w:tab w:val="left" w:pos="426"/>
              </w:tabs>
              <w:spacing w:line="288" w:lineRule="auto"/>
              <w:jc w:val="center"/>
              <w:rPr>
                <w:rFonts w:ascii="Times New Roman" w:hAnsi="Times New Roman" w:cs="Times New Roman"/>
              </w:rPr>
            </w:pPr>
            <w:r w:rsidRPr="002A1408">
              <w:rPr>
                <w:rFonts w:ascii="Times New Roman" w:hAnsi="Times New Roman" w:cs="Times New Roman"/>
                <w:i/>
                <w:iCs/>
              </w:rPr>
              <w:t>+ β</w:t>
            </w:r>
            <w:r w:rsidRPr="002A1408">
              <w:rPr>
                <w:rFonts w:ascii="Times New Roman" w:hAnsi="Times New Roman" w:cs="Times New Roman"/>
                <w:i/>
                <w:iCs/>
                <w:vertAlign w:val="subscript"/>
              </w:rPr>
              <w:t>3</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D</w:t>
            </w:r>
            <w:r w:rsidRPr="002A1408">
              <w:rPr>
                <w:rFonts w:ascii="Times New Roman" w:hAnsi="Times New Roman" w:cs="Times New Roman"/>
                <w:i/>
                <w:iCs/>
                <w:vertAlign w:val="subscript"/>
              </w:rPr>
              <w:t>FIND</w:t>
            </w:r>
            <w:r w:rsidRPr="002A1408">
              <w:rPr>
                <w:rFonts w:ascii="Times New Roman" w:hAnsi="Times New Roman" w:cs="Times New Roman"/>
              </w:rPr>
              <w:t xml:space="preserve">) </w:t>
            </w:r>
            <w:r w:rsidRPr="002A1408">
              <w:rPr>
                <w:rFonts w:ascii="Times New Roman" w:hAnsi="Times New Roman" w:cs="Times New Roman"/>
                <w:i/>
                <w:iCs/>
              </w:rPr>
              <w:t>+ β</w:t>
            </w:r>
            <w:r w:rsidRPr="002A1408">
              <w:rPr>
                <w:rFonts w:ascii="Times New Roman" w:hAnsi="Times New Roman" w:cs="Times New Roman"/>
                <w:i/>
                <w:iCs/>
                <w:vertAlign w:val="subscript"/>
              </w:rPr>
              <w:t>4</w:t>
            </w:r>
            <w:r w:rsidRPr="002A1408">
              <w:rPr>
                <w:rFonts w:ascii="Times New Roman" w:hAnsi="Times New Roman" w:cs="Times New Roman"/>
                <w:i/>
                <w:iCs/>
              </w:rPr>
              <w:t xml:space="preserve"> </w:t>
            </w:r>
            <w:r w:rsidRPr="002A1408">
              <w:rPr>
                <w:rFonts w:ascii="Times New Roman" w:hAnsi="Times New Roman" w:cs="Times New Roman"/>
              </w:rPr>
              <w:t>(</w:t>
            </w:r>
            <w:r w:rsidRPr="002A1408">
              <w:rPr>
                <w:rFonts w:ascii="Times New Roman" w:hAnsi="Times New Roman" w:cs="Times New Roman"/>
                <w:i/>
                <w:iCs/>
              </w:rPr>
              <w:t>GOVI</w:t>
            </w:r>
            <w:r w:rsidRPr="002A1408">
              <w:rPr>
                <w:rFonts w:ascii="Times New Roman" w:hAnsi="Times New Roman" w:cs="Times New Roman"/>
                <w:i/>
                <w:iCs/>
                <w:vertAlign w:val="subscript"/>
              </w:rPr>
              <w:t>i,t</w:t>
            </w:r>
            <w:r w:rsidRPr="002A1408">
              <w:rPr>
                <w:rFonts w:ascii="Times New Roman" w:hAnsi="Times New Roman" w:cs="Times New Roman"/>
                <w:i/>
                <w:iCs/>
              </w:rPr>
              <w:t xml:space="preserve"> × D</w:t>
            </w:r>
            <w:r w:rsidRPr="002A1408">
              <w:rPr>
                <w:rFonts w:ascii="Times New Roman" w:hAnsi="Times New Roman" w:cs="Times New Roman"/>
                <w:i/>
                <w:iCs/>
                <w:vertAlign w:val="subscript"/>
              </w:rPr>
              <w:t>EXCD</w:t>
            </w:r>
            <w:r w:rsidRPr="002A1408">
              <w:rPr>
                <w:rFonts w:ascii="Times New Roman" w:hAnsi="Times New Roman" w:cs="Times New Roman"/>
              </w:rPr>
              <w:t xml:space="preserve">) </w:t>
            </w:r>
          </w:p>
          <w:p w14:paraId="37B77BB3" w14:textId="25433E6A" w:rsidR="002D08A4" w:rsidRPr="002A1A6A" w:rsidRDefault="00BB1F86" w:rsidP="00BF2605">
            <w:pPr>
              <w:tabs>
                <w:tab w:val="left" w:pos="426"/>
              </w:tabs>
              <w:spacing w:line="288" w:lineRule="auto"/>
              <w:jc w:val="center"/>
              <w:rPr>
                <w:rFonts w:ascii="Times New Roman" w:hAnsi="Times New Roman" w:cs="Times New Roman"/>
                <w:lang w:val="fr-FR"/>
              </w:rPr>
            </w:pPr>
            <w:r w:rsidRPr="002A1A6A">
              <w:rPr>
                <w:rFonts w:ascii="Times New Roman" w:hAnsi="Times New Roman" w:cs="Times New Roman"/>
                <w:i/>
                <w:iCs/>
                <w:lang w:val="fr-FR"/>
              </w:rPr>
              <w:t>+ Control Variables (SIZE</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/LEVG</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/GROW</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LGPC</w:t>
            </w:r>
            <w:r w:rsidRPr="002A1A6A">
              <w:rPr>
                <w:rFonts w:ascii="Times New Roman" w:hAnsi="Times New Roman" w:cs="Times New Roman"/>
                <w:i/>
                <w:iCs/>
                <w:vertAlign w:val="subscript"/>
                <w:lang w:val="fr-FR"/>
              </w:rPr>
              <w:t>i,t</w:t>
            </w:r>
            <w:r w:rsidRPr="002A1A6A">
              <w:rPr>
                <w:rFonts w:ascii="Times New Roman" w:hAnsi="Times New Roman" w:cs="Times New Roman"/>
                <w:i/>
                <w:iCs/>
                <w:lang w:val="fr-FR"/>
              </w:rPr>
              <w:t xml:space="preserve">) + </w:t>
            </w:r>
            <w:r w:rsidRPr="002A1408">
              <w:rPr>
                <w:rFonts w:ascii="Times New Roman" w:hAnsi="Times New Roman" w:cs="Times New Roman"/>
                <w:i/>
                <w:iCs/>
              </w:rPr>
              <w:t>ε</w:t>
            </w:r>
            <w:r w:rsidRPr="002A1A6A">
              <w:rPr>
                <w:rFonts w:ascii="Times New Roman" w:hAnsi="Times New Roman" w:cs="Times New Roman"/>
                <w:i/>
                <w:iCs/>
                <w:vertAlign w:val="subscript"/>
                <w:lang w:val="fr-FR"/>
              </w:rPr>
              <w:t>i,t</w:t>
            </w:r>
          </w:p>
        </w:tc>
        <w:tc>
          <w:tcPr>
            <w:tcW w:w="625" w:type="dxa"/>
            <w:vAlign w:val="center"/>
          </w:tcPr>
          <w:p w14:paraId="15115DAB" w14:textId="0FB538AE" w:rsidR="002D08A4" w:rsidRPr="002A1408" w:rsidRDefault="002D08A4" w:rsidP="00BF2605">
            <w:pPr>
              <w:tabs>
                <w:tab w:val="left" w:pos="426"/>
              </w:tabs>
              <w:spacing w:line="288" w:lineRule="auto"/>
              <w:jc w:val="right"/>
              <w:rPr>
                <w:rFonts w:ascii="Times New Roman" w:hAnsi="Times New Roman" w:cs="Times New Roman"/>
              </w:rPr>
            </w:pPr>
            <w:r w:rsidRPr="002A1408">
              <w:rPr>
                <w:rFonts w:ascii="Times New Roman" w:hAnsi="Times New Roman" w:cs="Times New Roman"/>
              </w:rPr>
              <w:t>(</w:t>
            </w:r>
            <w:r w:rsidR="006B2419" w:rsidRPr="002A1408">
              <w:rPr>
                <w:rFonts w:ascii="Times New Roman" w:hAnsi="Times New Roman" w:cs="Times New Roman"/>
              </w:rPr>
              <w:t>4</w:t>
            </w:r>
            <w:r w:rsidRPr="002A1408">
              <w:rPr>
                <w:rFonts w:ascii="Times New Roman" w:hAnsi="Times New Roman" w:cs="Times New Roman"/>
              </w:rPr>
              <w:t>)</w:t>
            </w:r>
          </w:p>
        </w:tc>
      </w:tr>
      <w:tr w:rsidR="000E06DA" w14:paraId="294AD1CC" w14:textId="77777777" w:rsidTr="000B0019">
        <w:tc>
          <w:tcPr>
            <w:tcW w:w="8725" w:type="dxa"/>
            <w:vAlign w:val="center"/>
          </w:tcPr>
          <w:p w14:paraId="6884818D" w14:textId="77777777" w:rsidR="000E06DA" w:rsidRPr="003C1E59" w:rsidRDefault="000E06DA" w:rsidP="00BF2605">
            <w:pPr>
              <w:tabs>
                <w:tab w:val="left" w:pos="426"/>
              </w:tabs>
              <w:spacing w:line="288" w:lineRule="auto"/>
              <w:jc w:val="center"/>
              <w:rPr>
                <w:rFonts w:ascii="Times New Roman" w:hAnsi="Times New Roman" w:cs="Times New Roman"/>
                <w:i/>
                <w:iCs/>
                <w:sz w:val="10"/>
                <w:szCs w:val="10"/>
              </w:rPr>
            </w:pPr>
          </w:p>
        </w:tc>
        <w:tc>
          <w:tcPr>
            <w:tcW w:w="625" w:type="dxa"/>
            <w:vAlign w:val="center"/>
          </w:tcPr>
          <w:p w14:paraId="3E6AFBCE" w14:textId="77777777" w:rsidR="000E06DA" w:rsidRPr="003C1E59" w:rsidRDefault="000E06DA" w:rsidP="00BF2605">
            <w:pPr>
              <w:tabs>
                <w:tab w:val="left" w:pos="426"/>
              </w:tabs>
              <w:spacing w:line="288" w:lineRule="auto"/>
              <w:jc w:val="center"/>
              <w:rPr>
                <w:rFonts w:ascii="Times New Roman" w:hAnsi="Times New Roman" w:cs="Times New Roman"/>
                <w:sz w:val="10"/>
                <w:szCs w:val="10"/>
              </w:rPr>
            </w:pPr>
          </w:p>
        </w:tc>
      </w:tr>
    </w:tbl>
    <w:p w14:paraId="35D2CF31" w14:textId="5BBD61A7" w:rsidR="00BB1F86" w:rsidRDefault="0095672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E62302">
        <w:rPr>
          <w:rFonts w:ascii="Times New Roman" w:hAnsi="Times New Roman" w:cs="Times New Roman"/>
          <w:sz w:val="24"/>
          <w:szCs w:val="24"/>
        </w:rPr>
        <w:t>here t</w:t>
      </w:r>
      <w:r w:rsidR="00E62302">
        <w:rPr>
          <w:rFonts w:asciiTheme="majorBidi" w:hAnsiTheme="majorBidi" w:cstheme="majorBidi"/>
          <w:color w:val="000000"/>
          <w:sz w:val="24"/>
          <w:szCs w:val="24"/>
        </w:rPr>
        <w:t>he dummy variables (D</w:t>
      </w:r>
      <w:r w:rsidR="00E62302">
        <w:rPr>
          <w:rFonts w:asciiTheme="majorBidi" w:hAnsiTheme="majorBidi" w:cstheme="majorBidi"/>
          <w:color w:val="000000"/>
          <w:sz w:val="24"/>
          <w:szCs w:val="24"/>
          <w:vertAlign w:val="subscript"/>
        </w:rPr>
        <w:t>COGI</w:t>
      </w:r>
      <w:r w:rsidR="00E62302">
        <w:rPr>
          <w:rFonts w:asciiTheme="majorBidi" w:hAnsiTheme="majorBidi" w:cstheme="majorBidi"/>
          <w:color w:val="000000"/>
          <w:sz w:val="24"/>
          <w:szCs w:val="24"/>
        </w:rPr>
        <w:t xml:space="preserve"> and D</w:t>
      </w:r>
      <w:r w:rsidR="00E62302">
        <w:rPr>
          <w:rFonts w:asciiTheme="majorBidi" w:hAnsiTheme="majorBidi" w:cstheme="majorBidi"/>
          <w:color w:val="000000"/>
          <w:sz w:val="24"/>
          <w:szCs w:val="24"/>
          <w:vertAlign w:val="subscript"/>
        </w:rPr>
        <w:t>FIND</w:t>
      </w:r>
      <w:r w:rsidR="00E62302">
        <w:rPr>
          <w:rFonts w:asciiTheme="majorBidi" w:hAnsiTheme="majorBidi" w:cstheme="majorBidi"/>
          <w:color w:val="000000"/>
          <w:sz w:val="24"/>
          <w:szCs w:val="24"/>
        </w:rPr>
        <w:t>) take the value 1 if the score of the country on the index is above the median value for all countries in the sample or 0 otherwise.</w:t>
      </w:r>
      <w:r w:rsidR="00E62302">
        <w:rPr>
          <w:rFonts w:ascii="Times New Roman" w:hAnsi="Times New Roman" w:cs="Times New Roman"/>
          <w:sz w:val="24"/>
          <w:szCs w:val="24"/>
        </w:rPr>
        <w:t xml:space="preserve"> </w:t>
      </w:r>
      <w:r w:rsidR="00FD1906">
        <w:rPr>
          <w:rFonts w:ascii="Times New Roman" w:hAnsi="Times New Roman" w:cs="Times New Roman"/>
          <w:sz w:val="24"/>
          <w:szCs w:val="24"/>
        </w:rPr>
        <w:t xml:space="preserve">The financial development score </w:t>
      </w:r>
      <w:r w:rsidR="00E62302">
        <w:rPr>
          <w:rFonts w:ascii="Times New Roman" w:hAnsi="Times New Roman" w:cs="Times New Roman"/>
          <w:sz w:val="24"/>
          <w:szCs w:val="24"/>
        </w:rPr>
        <w:t xml:space="preserve">(FIND) </w:t>
      </w:r>
      <w:r w:rsidR="00FD1906">
        <w:rPr>
          <w:rFonts w:ascii="Times New Roman" w:hAnsi="Times New Roman" w:cs="Times New Roman"/>
          <w:sz w:val="24"/>
          <w:szCs w:val="24"/>
        </w:rPr>
        <w:t>is calculated</w:t>
      </w:r>
      <w:r w:rsidR="002C5F09">
        <w:rPr>
          <w:rFonts w:ascii="Times New Roman" w:hAnsi="Times New Roman" w:cs="Times New Roman"/>
          <w:sz w:val="24"/>
          <w:szCs w:val="24"/>
        </w:rPr>
        <w:t xml:space="preserve"> using PCA</w:t>
      </w:r>
      <w:r w:rsidR="00FD1906">
        <w:rPr>
          <w:rFonts w:ascii="Times New Roman" w:hAnsi="Times New Roman" w:cs="Times New Roman"/>
          <w:sz w:val="24"/>
          <w:szCs w:val="24"/>
        </w:rPr>
        <w:t xml:space="preserve"> based on the scores</w:t>
      </w:r>
      <w:r w:rsidR="002C5F09">
        <w:rPr>
          <w:rFonts w:ascii="Times New Roman" w:hAnsi="Times New Roman" w:cs="Times New Roman"/>
          <w:sz w:val="24"/>
          <w:szCs w:val="24"/>
        </w:rPr>
        <w:t xml:space="preserve"> of the 8</w:t>
      </w:r>
      <w:r w:rsidR="002C5F09" w:rsidRPr="002C5F09">
        <w:rPr>
          <w:rFonts w:ascii="Times New Roman" w:hAnsi="Times New Roman" w:cs="Times New Roman"/>
          <w:sz w:val="24"/>
          <w:szCs w:val="24"/>
          <w:vertAlign w:val="superscript"/>
        </w:rPr>
        <w:t>th</w:t>
      </w:r>
      <w:r w:rsidR="002C5F09">
        <w:rPr>
          <w:rFonts w:ascii="Times New Roman" w:hAnsi="Times New Roman" w:cs="Times New Roman"/>
          <w:sz w:val="24"/>
          <w:szCs w:val="24"/>
        </w:rPr>
        <w:t xml:space="preserve"> pillar (financial market development) of the GCI report (discussed earlier)</w:t>
      </w:r>
      <w:r w:rsidR="002C5F09">
        <w:rPr>
          <w:rStyle w:val="FootnoteReference"/>
          <w:rFonts w:ascii="Times New Roman" w:hAnsi="Times New Roman" w:cs="Times New Roman"/>
          <w:sz w:val="24"/>
          <w:szCs w:val="24"/>
        </w:rPr>
        <w:footnoteReference w:id="10"/>
      </w:r>
      <w:r w:rsidR="002C5F09">
        <w:rPr>
          <w:rFonts w:ascii="Times New Roman" w:hAnsi="Times New Roman" w:cs="Times New Roman"/>
          <w:sz w:val="24"/>
          <w:szCs w:val="24"/>
        </w:rPr>
        <w:t>.</w:t>
      </w:r>
      <w:r w:rsidR="00BB1F86">
        <w:rPr>
          <w:rFonts w:ascii="Times New Roman" w:hAnsi="Times New Roman" w:cs="Times New Roman"/>
          <w:sz w:val="24"/>
          <w:szCs w:val="24"/>
        </w:rPr>
        <w:t xml:space="preserve"> </w:t>
      </w:r>
      <w:r w:rsidR="00BB1F86">
        <w:rPr>
          <w:rFonts w:asciiTheme="majorBidi" w:hAnsiTheme="majorBidi" w:cstheme="majorBidi"/>
          <w:color w:val="000000"/>
          <w:sz w:val="24"/>
          <w:szCs w:val="24"/>
        </w:rPr>
        <w:t>D</w:t>
      </w:r>
      <w:r w:rsidR="00BB1F86">
        <w:rPr>
          <w:rFonts w:asciiTheme="majorBidi" w:hAnsiTheme="majorBidi" w:cstheme="majorBidi"/>
          <w:color w:val="000000"/>
          <w:sz w:val="24"/>
          <w:szCs w:val="24"/>
          <w:vertAlign w:val="subscript"/>
        </w:rPr>
        <w:t>EXCD</w:t>
      </w:r>
      <w:r w:rsidR="00BB1F86">
        <w:rPr>
          <w:rFonts w:asciiTheme="majorBidi" w:hAnsiTheme="majorBidi" w:cstheme="majorBidi"/>
          <w:color w:val="000000"/>
          <w:sz w:val="24"/>
          <w:szCs w:val="24"/>
        </w:rPr>
        <w:t xml:space="preserve"> is a dummy variable for </w:t>
      </w:r>
      <w:r w:rsidR="00BB1F86">
        <w:rPr>
          <w:rFonts w:ascii="Times New Roman" w:hAnsi="Times New Roman" w:cs="Times New Roman"/>
          <w:sz w:val="24"/>
          <w:szCs w:val="24"/>
        </w:rPr>
        <w:t>the firm’s</w:t>
      </w:r>
      <w:r w:rsidR="00BB1F86" w:rsidRPr="002B3A53">
        <w:rPr>
          <w:rFonts w:ascii="Times New Roman" w:hAnsi="Times New Roman" w:cs="Times New Roman"/>
          <w:sz w:val="24"/>
          <w:szCs w:val="24"/>
        </w:rPr>
        <w:t xml:space="preserve"> External Capital Dependence (EXCD)</w:t>
      </w:r>
      <w:r w:rsidR="00BB1F86">
        <w:rPr>
          <w:rFonts w:ascii="Times New Roman" w:hAnsi="Times New Roman" w:cs="Times New Roman"/>
          <w:sz w:val="24"/>
          <w:szCs w:val="24"/>
        </w:rPr>
        <w:t xml:space="preserve"> and </w:t>
      </w:r>
      <w:r w:rsidR="00BB1F86" w:rsidRPr="002B3A53">
        <w:rPr>
          <w:rFonts w:ascii="Times New Roman" w:hAnsi="Times New Roman" w:cs="Times New Roman"/>
          <w:sz w:val="24"/>
          <w:szCs w:val="24"/>
        </w:rPr>
        <w:t>takes the value 1 (high dependence on external financing) if the external capital dependence ratio (capital expenditure minus cash-flow from operations divided by capital expenditure) for a particular firm is above the median value for all firms in the sample or 0 otherwise</w:t>
      </w:r>
      <w:r w:rsidR="00BB1F86">
        <w:rPr>
          <w:rFonts w:ascii="Times New Roman" w:hAnsi="Times New Roman" w:cs="Times New Roman"/>
          <w:sz w:val="24"/>
          <w:szCs w:val="24"/>
        </w:rPr>
        <w:t>.</w:t>
      </w:r>
    </w:p>
    <w:p w14:paraId="352621DF" w14:textId="77777777" w:rsidR="000C20D9" w:rsidRDefault="000C20D9" w:rsidP="00BF2605">
      <w:pPr>
        <w:tabs>
          <w:tab w:val="left" w:pos="426"/>
        </w:tabs>
        <w:spacing w:after="0" w:line="288" w:lineRule="auto"/>
        <w:jc w:val="both"/>
        <w:rPr>
          <w:rFonts w:ascii="Times New Roman" w:hAnsi="Times New Roman" w:cs="Times New Roman"/>
          <w:sz w:val="24"/>
          <w:szCs w:val="24"/>
        </w:rPr>
      </w:pPr>
    </w:p>
    <w:p w14:paraId="1F5BE994" w14:textId="12EE33B1" w:rsidR="002C280E"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62430">
        <w:rPr>
          <w:rFonts w:ascii="Times New Roman" w:hAnsi="Times New Roman" w:cs="Times New Roman"/>
          <w:sz w:val="24"/>
          <w:szCs w:val="24"/>
        </w:rPr>
        <w:t>Compared to model (</w:t>
      </w:r>
      <w:r w:rsidR="006B2419">
        <w:rPr>
          <w:rFonts w:ascii="Times New Roman" w:hAnsi="Times New Roman" w:cs="Times New Roman"/>
          <w:sz w:val="24"/>
          <w:szCs w:val="24"/>
        </w:rPr>
        <w:t>3c</w:t>
      </w:r>
      <w:r w:rsidR="00362430">
        <w:rPr>
          <w:rFonts w:ascii="Times New Roman" w:hAnsi="Times New Roman" w:cs="Times New Roman"/>
          <w:sz w:val="24"/>
          <w:szCs w:val="24"/>
        </w:rPr>
        <w:t xml:space="preserve">), the additional </w:t>
      </w:r>
      <w:r w:rsidR="00E62302">
        <w:rPr>
          <w:rFonts w:ascii="Times New Roman" w:hAnsi="Times New Roman" w:cs="Times New Roman"/>
          <w:sz w:val="24"/>
          <w:szCs w:val="24"/>
        </w:rPr>
        <w:t>independent variable</w:t>
      </w:r>
      <w:r w:rsidR="00362430">
        <w:rPr>
          <w:rFonts w:ascii="Times New Roman" w:hAnsi="Times New Roman" w:cs="Times New Roman"/>
          <w:sz w:val="24"/>
          <w:szCs w:val="24"/>
        </w:rPr>
        <w:t xml:space="preserve"> </w:t>
      </w:r>
      <w:r w:rsidR="00362430" w:rsidRPr="002B3A53">
        <w:rPr>
          <w:rFonts w:ascii="Times New Roman" w:hAnsi="Times New Roman" w:cs="Times New Roman"/>
          <w:sz w:val="24"/>
          <w:szCs w:val="24"/>
        </w:rPr>
        <w:t>(</w:t>
      </w:r>
      <w:r w:rsidR="00E62302">
        <w:rPr>
          <w:rFonts w:ascii="Times New Roman" w:hAnsi="Times New Roman" w:cs="Times New Roman"/>
          <w:i/>
          <w:iCs/>
          <w:sz w:val="24"/>
          <w:szCs w:val="24"/>
        </w:rPr>
        <w:t>GOVI</w:t>
      </w:r>
      <w:r w:rsidR="00E62302" w:rsidRPr="003C1E59">
        <w:rPr>
          <w:rFonts w:ascii="Times New Roman" w:hAnsi="Times New Roman" w:cs="Times New Roman"/>
          <w:i/>
          <w:iCs/>
          <w:sz w:val="24"/>
          <w:szCs w:val="24"/>
          <w:vertAlign w:val="subscript"/>
        </w:rPr>
        <w:t>i</w:t>
      </w:r>
      <w:r w:rsidR="00E62302">
        <w:rPr>
          <w:rFonts w:ascii="Times New Roman" w:hAnsi="Times New Roman" w:cs="Times New Roman"/>
          <w:i/>
          <w:iCs/>
          <w:sz w:val="24"/>
          <w:szCs w:val="24"/>
          <w:vertAlign w:val="subscript"/>
        </w:rPr>
        <w:t>,t</w:t>
      </w:r>
      <w:r w:rsidR="00E62302" w:rsidRPr="003C1E59">
        <w:rPr>
          <w:rFonts w:ascii="Times New Roman" w:hAnsi="Times New Roman" w:cs="Times New Roman"/>
          <w:i/>
          <w:iCs/>
          <w:sz w:val="24"/>
          <w:szCs w:val="24"/>
        </w:rPr>
        <w:t xml:space="preserve"> </w:t>
      </w:r>
      <w:r w:rsidR="00E62302">
        <w:rPr>
          <w:rFonts w:ascii="Times New Roman" w:hAnsi="Times New Roman" w:cs="Times New Roman"/>
          <w:i/>
          <w:iCs/>
          <w:sz w:val="24"/>
          <w:szCs w:val="24"/>
        </w:rPr>
        <w:t>× D</w:t>
      </w:r>
      <w:r w:rsidR="00E62302">
        <w:rPr>
          <w:rFonts w:ascii="Times New Roman" w:hAnsi="Times New Roman" w:cs="Times New Roman"/>
          <w:i/>
          <w:iCs/>
          <w:sz w:val="24"/>
          <w:szCs w:val="24"/>
          <w:vertAlign w:val="subscript"/>
        </w:rPr>
        <w:t>FIND</w:t>
      </w:r>
      <w:r w:rsidR="00362430" w:rsidRPr="002B3A53">
        <w:rPr>
          <w:rFonts w:ascii="Times New Roman" w:hAnsi="Times New Roman" w:cs="Times New Roman"/>
          <w:sz w:val="24"/>
          <w:szCs w:val="24"/>
        </w:rPr>
        <w:t>)</w:t>
      </w:r>
      <w:r w:rsidR="00362430">
        <w:rPr>
          <w:rFonts w:ascii="Times New Roman" w:hAnsi="Times New Roman" w:cs="Times New Roman"/>
          <w:sz w:val="24"/>
          <w:szCs w:val="24"/>
        </w:rPr>
        <w:t xml:space="preserve"> is added to investigate the effect of improving firm-level governance in a </w:t>
      </w:r>
      <w:r w:rsidR="003708BB">
        <w:rPr>
          <w:rFonts w:ascii="Times New Roman" w:hAnsi="Times New Roman" w:cs="Times New Roman"/>
          <w:sz w:val="24"/>
          <w:szCs w:val="24"/>
        </w:rPr>
        <w:t>countr</w:t>
      </w:r>
      <w:r w:rsidR="00362430">
        <w:rPr>
          <w:rFonts w:ascii="Times New Roman" w:hAnsi="Times New Roman" w:cs="Times New Roman"/>
          <w:sz w:val="24"/>
          <w:szCs w:val="24"/>
        </w:rPr>
        <w:t>y with high financial development on firm value/performance.</w:t>
      </w:r>
      <w:r w:rsidR="00BB1F86">
        <w:rPr>
          <w:rFonts w:ascii="Times New Roman" w:hAnsi="Times New Roman" w:cs="Times New Roman"/>
          <w:sz w:val="24"/>
          <w:szCs w:val="24"/>
        </w:rPr>
        <w:t xml:space="preserve"> While, the independent variable </w:t>
      </w:r>
      <w:r w:rsidR="00BB1F86" w:rsidRPr="002B3A53">
        <w:rPr>
          <w:rFonts w:ascii="Times New Roman" w:hAnsi="Times New Roman" w:cs="Times New Roman"/>
          <w:sz w:val="24"/>
          <w:szCs w:val="24"/>
        </w:rPr>
        <w:t>(</w:t>
      </w:r>
      <w:r w:rsidR="00BB1F86">
        <w:rPr>
          <w:rFonts w:ascii="Times New Roman" w:hAnsi="Times New Roman" w:cs="Times New Roman"/>
          <w:i/>
          <w:iCs/>
          <w:sz w:val="24"/>
          <w:szCs w:val="24"/>
        </w:rPr>
        <w:t>GOVI</w:t>
      </w:r>
      <w:r w:rsidR="00BB1F86" w:rsidRPr="003C1E59">
        <w:rPr>
          <w:rFonts w:ascii="Times New Roman" w:hAnsi="Times New Roman" w:cs="Times New Roman"/>
          <w:i/>
          <w:iCs/>
          <w:sz w:val="24"/>
          <w:szCs w:val="24"/>
          <w:vertAlign w:val="subscript"/>
        </w:rPr>
        <w:t>i</w:t>
      </w:r>
      <w:r w:rsidR="00BB1F86">
        <w:rPr>
          <w:rFonts w:ascii="Times New Roman" w:hAnsi="Times New Roman" w:cs="Times New Roman"/>
          <w:i/>
          <w:iCs/>
          <w:sz w:val="24"/>
          <w:szCs w:val="24"/>
          <w:vertAlign w:val="subscript"/>
        </w:rPr>
        <w:t>,t</w:t>
      </w:r>
      <w:r w:rsidR="00BB1F86" w:rsidRPr="003C1E59">
        <w:rPr>
          <w:rFonts w:ascii="Times New Roman" w:hAnsi="Times New Roman" w:cs="Times New Roman"/>
          <w:i/>
          <w:iCs/>
          <w:sz w:val="24"/>
          <w:szCs w:val="24"/>
        </w:rPr>
        <w:t xml:space="preserve"> </w:t>
      </w:r>
      <w:r w:rsidR="00BB1F86">
        <w:rPr>
          <w:rFonts w:ascii="Times New Roman" w:hAnsi="Times New Roman" w:cs="Times New Roman"/>
          <w:i/>
          <w:iCs/>
          <w:sz w:val="24"/>
          <w:szCs w:val="24"/>
        </w:rPr>
        <w:t>× D</w:t>
      </w:r>
      <w:r w:rsidR="00BB1F86">
        <w:rPr>
          <w:rFonts w:ascii="Times New Roman" w:hAnsi="Times New Roman" w:cs="Times New Roman"/>
          <w:i/>
          <w:iCs/>
          <w:sz w:val="24"/>
          <w:szCs w:val="24"/>
          <w:vertAlign w:val="subscript"/>
        </w:rPr>
        <w:t>EXCD</w:t>
      </w:r>
      <w:r w:rsidR="00BB1F86" w:rsidRPr="002B3A53">
        <w:rPr>
          <w:rFonts w:ascii="Times New Roman" w:hAnsi="Times New Roman" w:cs="Times New Roman"/>
          <w:sz w:val="24"/>
          <w:szCs w:val="24"/>
        </w:rPr>
        <w:t>)</w:t>
      </w:r>
      <w:r w:rsidR="00BB1F86">
        <w:rPr>
          <w:rFonts w:ascii="Times New Roman" w:hAnsi="Times New Roman" w:cs="Times New Roman"/>
          <w:sz w:val="24"/>
          <w:szCs w:val="24"/>
        </w:rPr>
        <w:t xml:space="preserve">  is added to examine the effect of improving firm-level governance in a firm with high financing needs on firm value/performance.</w:t>
      </w:r>
    </w:p>
    <w:p w14:paraId="132E05B5" w14:textId="77777777" w:rsidR="000C20D9" w:rsidRDefault="000C20D9" w:rsidP="00BF2605">
      <w:pPr>
        <w:tabs>
          <w:tab w:val="left" w:pos="426"/>
        </w:tabs>
        <w:spacing w:after="0" w:line="288" w:lineRule="auto"/>
        <w:jc w:val="both"/>
        <w:rPr>
          <w:rFonts w:asciiTheme="majorBidi" w:hAnsiTheme="majorBidi" w:cstheme="majorBidi"/>
          <w:b/>
          <w:bCs/>
          <w:sz w:val="24"/>
          <w:szCs w:val="24"/>
        </w:rPr>
      </w:pPr>
    </w:p>
    <w:p w14:paraId="462FC0C8" w14:textId="13DEFC82" w:rsidR="00703E8D" w:rsidRDefault="00AE1D43" w:rsidP="00BF2605">
      <w:pPr>
        <w:tabs>
          <w:tab w:val="left" w:pos="426"/>
        </w:tabs>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IV. </w:t>
      </w:r>
      <w:r w:rsidR="00703E8D" w:rsidRPr="00703E8D">
        <w:rPr>
          <w:rFonts w:asciiTheme="majorBidi" w:hAnsiTheme="majorBidi" w:cstheme="majorBidi"/>
          <w:b/>
          <w:bCs/>
          <w:sz w:val="24"/>
          <w:szCs w:val="24"/>
        </w:rPr>
        <w:t>Results and Discussion</w:t>
      </w:r>
    </w:p>
    <w:p w14:paraId="31038289" w14:textId="680CDAD5" w:rsidR="008078CD" w:rsidRPr="002A1408" w:rsidRDefault="008078CD" w:rsidP="00BF2605">
      <w:pPr>
        <w:keepNext/>
        <w:tabs>
          <w:tab w:val="left" w:pos="426"/>
        </w:tabs>
        <w:spacing w:after="0" w:line="288" w:lineRule="auto"/>
        <w:jc w:val="both"/>
        <w:rPr>
          <w:rFonts w:ascii="Times New Roman" w:hAnsi="Times New Roman" w:cs="Times New Roman"/>
          <w:b/>
          <w:bCs/>
          <w:sz w:val="12"/>
          <w:szCs w:val="12"/>
        </w:rPr>
      </w:pPr>
    </w:p>
    <w:p w14:paraId="0DCF73AC" w14:textId="77777777" w:rsidR="00441C4F" w:rsidRDefault="003806B0" w:rsidP="00BF2605">
      <w:pPr>
        <w:keepNext/>
        <w:tabs>
          <w:tab w:val="left" w:pos="426"/>
        </w:tabs>
        <w:spacing w:after="0" w:line="288" w:lineRule="auto"/>
        <w:jc w:val="both"/>
        <w:rPr>
          <w:rFonts w:ascii="Times New Roman" w:hAnsi="Times New Roman" w:cs="Times New Roman"/>
          <w:sz w:val="24"/>
          <w:szCs w:val="24"/>
        </w:rPr>
      </w:pPr>
      <w:r w:rsidRPr="0095672A">
        <w:rPr>
          <w:rFonts w:ascii="Times New Roman" w:hAnsi="Times New Roman" w:cs="Times New Roman"/>
          <w:sz w:val="24"/>
          <w:szCs w:val="24"/>
        </w:rPr>
        <w:t xml:space="preserve">Panel A in Table 2 </w:t>
      </w:r>
      <w:r w:rsidR="00AD1226">
        <w:rPr>
          <w:rFonts w:ascii="Times New Roman" w:hAnsi="Times New Roman" w:cs="Times New Roman"/>
          <w:sz w:val="24"/>
          <w:szCs w:val="24"/>
        </w:rPr>
        <w:t xml:space="preserve">provides descriptive statistics for the country-level factors included in our analysis </w:t>
      </w:r>
      <w:r w:rsidR="000B10A4">
        <w:rPr>
          <w:rFonts w:ascii="Times New Roman" w:hAnsi="Times New Roman" w:cs="Times New Roman"/>
          <w:sz w:val="24"/>
          <w:szCs w:val="24"/>
        </w:rPr>
        <w:t>after splitting the sample</w:t>
      </w:r>
      <w:r w:rsidR="007D29AE">
        <w:rPr>
          <w:rFonts w:ascii="Times New Roman" w:hAnsi="Times New Roman" w:cs="Times New Roman"/>
          <w:sz w:val="24"/>
          <w:szCs w:val="24"/>
        </w:rPr>
        <w:t xml:space="preserve"> </w:t>
      </w:r>
      <w:r w:rsidR="000B10A4">
        <w:rPr>
          <w:rFonts w:ascii="Times New Roman" w:hAnsi="Times New Roman" w:cs="Times New Roman"/>
          <w:sz w:val="24"/>
          <w:szCs w:val="24"/>
        </w:rPr>
        <w:t xml:space="preserve">into two groups based on the average governance score </w:t>
      </w:r>
      <w:r w:rsidR="00E17359">
        <w:rPr>
          <w:rFonts w:ascii="Times New Roman" w:hAnsi="Times New Roman" w:cs="Times New Roman"/>
          <w:sz w:val="24"/>
          <w:szCs w:val="24"/>
        </w:rPr>
        <w:t xml:space="preserve">of the firms operating in each </w:t>
      </w:r>
      <w:r w:rsidR="003708BB">
        <w:rPr>
          <w:rFonts w:ascii="Times New Roman" w:hAnsi="Times New Roman" w:cs="Times New Roman"/>
          <w:sz w:val="24"/>
          <w:szCs w:val="24"/>
        </w:rPr>
        <w:t>countr</w:t>
      </w:r>
      <w:r w:rsidR="00E17359">
        <w:rPr>
          <w:rFonts w:ascii="Times New Roman" w:hAnsi="Times New Roman" w:cs="Times New Roman"/>
          <w:sz w:val="24"/>
          <w:szCs w:val="24"/>
        </w:rPr>
        <w:t>y</w:t>
      </w:r>
      <w:r w:rsidR="000B10A4">
        <w:rPr>
          <w:rFonts w:ascii="Times New Roman" w:hAnsi="Times New Roman" w:cs="Times New Roman"/>
          <w:sz w:val="24"/>
          <w:szCs w:val="24"/>
        </w:rPr>
        <w:t>.</w:t>
      </w:r>
      <w:r w:rsidR="00E17359">
        <w:rPr>
          <w:rFonts w:ascii="Times New Roman" w:hAnsi="Times New Roman" w:cs="Times New Roman"/>
          <w:sz w:val="24"/>
          <w:szCs w:val="24"/>
        </w:rPr>
        <w:t xml:space="preserve"> </w:t>
      </w:r>
      <w:r w:rsidR="00C329E8">
        <w:rPr>
          <w:rFonts w:ascii="Times New Roman" w:hAnsi="Times New Roman" w:cs="Times New Roman"/>
          <w:sz w:val="24"/>
          <w:szCs w:val="24"/>
        </w:rPr>
        <w:t xml:space="preserve">It is clear from an analysis of the </w:t>
      </w:r>
      <w:r w:rsidR="006D1A30">
        <w:rPr>
          <w:rFonts w:ascii="Times New Roman" w:hAnsi="Times New Roman" w:cs="Times New Roman"/>
          <w:sz w:val="24"/>
          <w:szCs w:val="24"/>
        </w:rPr>
        <w:t xml:space="preserve">statistics reported in the </w:t>
      </w:r>
      <w:r w:rsidR="00C329E8">
        <w:rPr>
          <w:rFonts w:ascii="Times New Roman" w:hAnsi="Times New Roman" w:cs="Times New Roman"/>
          <w:sz w:val="24"/>
          <w:szCs w:val="24"/>
        </w:rPr>
        <w:t xml:space="preserve">table </w:t>
      </w:r>
      <w:r w:rsidR="00F67160">
        <w:rPr>
          <w:rFonts w:ascii="Times New Roman" w:hAnsi="Times New Roman" w:cs="Times New Roman"/>
          <w:sz w:val="24"/>
          <w:szCs w:val="24"/>
        </w:rPr>
        <w:t xml:space="preserve">that </w:t>
      </w:r>
      <w:r w:rsidR="003708BB">
        <w:rPr>
          <w:rFonts w:ascii="Times New Roman" w:hAnsi="Times New Roman" w:cs="Times New Roman"/>
          <w:sz w:val="24"/>
          <w:szCs w:val="24"/>
        </w:rPr>
        <w:t>countr</w:t>
      </w:r>
      <w:r w:rsidR="00F67160">
        <w:rPr>
          <w:rFonts w:ascii="Times New Roman" w:hAnsi="Times New Roman" w:cs="Times New Roman"/>
          <w:sz w:val="24"/>
          <w:szCs w:val="24"/>
        </w:rPr>
        <w:t xml:space="preserve">ies with high </w:t>
      </w:r>
      <w:r w:rsidR="00065D65">
        <w:rPr>
          <w:rFonts w:ascii="Times New Roman" w:hAnsi="Times New Roman" w:cs="Times New Roman"/>
          <w:sz w:val="24"/>
          <w:szCs w:val="24"/>
        </w:rPr>
        <w:t>average governance</w:t>
      </w:r>
      <w:r w:rsidR="00751816">
        <w:rPr>
          <w:rFonts w:ascii="Times New Roman" w:hAnsi="Times New Roman" w:cs="Times New Roman"/>
          <w:sz w:val="24"/>
          <w:szCs w:val="24"/>
        </w:rPr>
        <w:t xml:space="preserve"> </w:t>
      </w:r>
      <w:r w:rsidR="00065D65">
        <w:rPr>
          <w:rFonts w:ascii="Times New Roman" w:hAnsi="Times New Roman" w:cs="Times New Roman"/>
          <w:sz w:val="24"/>
          <w:szCs w:val="24"/>
        </w:rPr>
        <w:t xml:space="preserve">scores have significantly higher scores in the different country-level factors. This indicates the presence of a positive link between each of these factors and firm-level governance. </w:t>
      </w:r>
    </w:p>
    <w:p w14:paraId="7AFB2E43" w14:textId="77777777" w:rsidR="00441C4F" w:rsidRDefault="00441C4F" w:rsidP="00BF2605">
      <w:pPr>
        <w:keepNext/>
        <w:tabs>
          <w:tab w:val="left" w:pos="426"/>
        </w:tabs>
        <w:spacing w:after="0" w:line="288" w:lineRule="auto"/>
        <w:jc w:val="both"/>
        <w:rPr>
          <w:rFonts w:ascii="Times New Roman" w:hAnsi="Times New Roman" w:cs="Times New Roman"/>
          <w:sz w:val="24"/>
          <w:szCs w:val="24"/>
        </w:rPr>
      </w:pPr>
    </w:p>
    <w:p w14:paraId="6EB39F5A" w14:textId="112AA75F" w:rsidR="006225AF" w:rsidRDefault="00441C4F" w:rsidP="00BF2605">
      <w:pPr>
        <w:keepNext/>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46AA3">
        <w:rPr>
          <w:rFonts w:ascii="Times New Roman" w:hAnsi="Times New Roman" w:cs="Times New Roman"/>
          <w:sz w:val="24"/>
          <w:szCs w:val="24"/>
        </w:rPr>
        <w:t>Although with a lesser degree of significance, t</w:t>
      </w:r>
      <w:r w:rsidR="00065D65">
        <w:rPr>
          <w:rFonts w:ascii="Times New Roman" w:hAnsi="Times New Roman" w:cs="Times New Roman"/>
          <w:sz w:val="24"/>
          <w:szCs w:val="24"/>
        </w:rPr>
        <w:t xml:space="preserve">he </w:t>
      </w:r>
      <w:r w:rsidR="006D1A30">
        <w:rPr>
          <w:rFonts w:ascii="Times New Roman" w:hAnsi="Times New Roman" w:cs="Times New Roman"/>
          <w:sz w:val="24"/>
          <w:szCs w:val="24"/>
        </w:rPr>
        <w:t>analysis</w:t>
      </w:r>
      <w:r w:rsidR="00146AA3">
        <w:rPr>
          <w:rFonts w:ascii="Times New Roman" w:hAnsi="Times New Roman" w:cs="Times New Roman"/>
          <w:sz w:val="24"/>
          <w:szCs w:val="24"/>
        </w:rPr>
        <w:t xml:space="preserve"> </w:t>
      </w:r>
      <w:r w:rsidR="00065D65">
        <w:rPr>
          <w:rFonts w:ascii="Times New Roman" w:hAnsi="Times New Roman" w:cs="Times New Roman"/>
          <w:sz w:val="24"/>
          <w:szCs w:val="24"/>
        </w:rPr>
        <w:t>also indicate</w:t>
      </w:r>
      <w:r w:rsidR="006D1A30">
        <w:rPr>
          <w:rFonts w:ascii="Times New Roman" w:hAnsi="Times New Roman" w:cs="Times New Roman"/>
          <w:sz w:val="24"/>
          <w:szCs w:val="24"/>
        </w:rPr>
        <w:t>s</w:t>
      </w:r>
      <w:r w:rsidR="00065D65">
        <w:rPr>
          <w:rFonts w:ascii="Times New Roman" w:hAnsi="Times New Roman" w:cs="Times New Roman"/>
          <w:sz w:val="24"/>
          <w:szCs w:val="24"/>
        </w:rPr>
        <w:t xml:space="preserve"> that high governance </w:t>
      </w:r>
      <w:r w:rsidR="003708BB">
        <w:rPr>
          <w:rFonts w:ascii="Times New Roman" w:hAnsi="Times New Roman" w:cs="Times New Roman"/>
          <w:sz w:val="24"/>
          <w:szCs w:val="24"/>
        </w:rPr>
        <w:t>countr</w:t>
      </w:r>
      <w:r w:rsidR="00065D65">
        <w:rPr>
          <w:rFonts w:ascii="Times New Roman" w:hAnsi="Times New Roman" w:cs="Times New Roman"/>
          <w:sz w:val="24"/>
          <w:szCs w:val="24"/>
        </w:rPr>
        <w:t xml:space="preserve">ies </w:t>
      </w:r>
      <w:r w:rsidR="00146AA3">
        <w:rPr>
          <w:rFonts w:ascii="Times New Roman" w:hAnsi="Times New Roman" w:cs="Times New Roman"/>
          <w:sz w:val="24"/>
          <w:szCs w:val="24"/>
        </w:rPr>
        <w:t xml:space="preserve">tend to have more developed financial markets. This is in line with our earlier discussion </w:t>
      </w:r>
      <w:r w:rsidR="006D1A30">
        <w:rPr>
          <w:rFonts w:ascii="Times New Roman" w:hAnsi="Times New Roman" w:cs="Times New Roman"/>
          <w:sz w:val="24"/>
          <w:szCs w:val="24"/>
        </w:rPr>
        <w:t>of</w:t>
      </w:r>
      <w:r w:rsidR="00146AA3">
        <w:rPr>
          <w:rFonts w:ascii="Times New Roman" w:hAnsi="Times New Roman" w:cs="Times New Roman"/>
          <w:sz w:val="24"/>
          <w:szCs w:val="24"/>
        </w:rPr>
        <w:t xml:space="preserve"> the effect that the financial markets development levels have on the firms’ governance framework. This is also confirmed by examining the difference results from </w:t>
      </w:r>
      <w:r w:rsidR="00146AA3" w:rsidRPr="0095672A">
        <w:rPr>
          <w:rFonts w:ascii="Times New Roman" w:hAnsi="Times New Roman" w:cs="Times New Roman"/>
          <w:sz w:val="24"/>
          <w:szCs w:val="24"/>
        </w:rPr>
        <w:t xml:space="preserve">Panel B </w:t>
      </w:r>
      <w:r w:rsidR="006225AF" w:rsidRPr="0095672A">
        <w:rPr>
          <w:rFonts w:ascii="Times New Roman" w:hAnsi="Times New Roman" w:cs="Times New Roman"/>
          <w:sz w:val="24"/>
          <w:szCs w:val="24"/>
        </w:rPr>
        <w:t>of</w:t>
      </w:r>
      <w:r w:rsidR="00146AA3" w:rsidRPr="0095672A">
        <w:rPr>
          <w:rFonts w:ascii="Times New Roman" w:hAnsi="Times New Roman" w:cs="Times New Roman"/>
          <w:sz w:val="24"/>
          <w:szCs w:val="24"/>
        </w:rPr>
        <w:t xml:space="preserve"> Table 2</w:t>
      </w:r>
      <w:r w:rsidR="006B3F17">
        <w:rPr>
          <w:rFonts w:ascii="Times New Roman" w:hAnsi="Times New Roman" w:cs="Times New Roman"/>
          <w:sz w:val="24"/>
          <w:szCs w:val="24"/>
        </w:rPr>
        <w:t xml:space="preserve"> which show that </w:t>
      </w:r>
      <w:r w:rsidR="003708BB">
        <w:rPr>
          <w:rFonts w:ascii="Times New Roman" w:hAnsi="Times New Roman" w:cs="Times New Roman"/>
          <w:sz w:val="24"/>
          <w:szCs w:val="24"/>
        </w:rPr>
        <w:t>countr</w:t>
      </w:r>
      <w:r w:rsidR="00AE1F12">
        <w:rPr>
          <w:rFonts w:ascii="Times New Roman" w:hAnsi="Times New Roman" w:cs="Times New Roman"/>
          <w:sz w:val="24"/>
          <w:szCs w:val="24"/>
        </w:rPr>
        <w:t>ies with high</w:t>
      </w:r>
      <w:r w:rsidR="006D1A30">
        <w:rPr>
          <w:rFonts w:ascii="Times New Roman" w:hAnsi="Times New Roman" w:cs="Times New Roman"/>
          <w:sz w:val="24"/>
          <w:szCs w:val="24"/>
        </w:rPr>
        <w:t>er</w:t>
      </w:r>
      <w:r w:rsidR="00AE1F12">
        <w:rPr>
          <w:rFonts w:ascii="Times New Roman" w:hAnsi="Times New Roman" w:cs="Times New Roman"/>
          <w:sz w:val="24"/>
          <w:szCs w:val="24"/>
        </w:rPr>
        <w:t xml:space="preserve"> financial development score</w:t>
      </w:r>
      <w:r w:rsidR="006D1A30">
        <w:rPr>
          <w:rFonts w:ascii="Times New Roman" w:hAnsi="Times New Roman" w:cs="Times New Roman"/>
          <w:sz w:val="24"/>
          <w:szCs w:val="24"/>
        </w:rPr>
        <w:t xml:space="preserve">s also have a higher score on each of the </w:t>
      </w:r>
      <w:r w:rsidR="00AE1F12">
        <w:rPr>
          <w:rFonts w:ascii="Times New Roman" w:hAnsi="Times New Roman" w:cs="Times New Roman"/>
          <w:sz w:val="24"/>
          <w:szCs w:val="24"/>
        </w:rPr>
        <w:t xml:space="preserve">country-level factors as well as </w:t>
      </w:r>
      <w:r w:rsidR="006D1A30">
        <w:rPr>
          <w:rFonts w:ascii="Times New Roman" w:hAnsi="Times New Roman" w:cs="Times New Roman"/>
          <w:sz w:val="24"/>
          <w:szCs w:val="24"/>
        </w:rPr>
        <w:t xml:space="preserve">the </w:t>
      </w:r>
      <w:r w:rsidR="00AE1F12">
        <w:rPr>
          <w:rFonts w:ascii="Times New Roman" w:hAnsi="Times New Roman" w:cs="Times New Roman"/>
          <w:sz w:val="24"/>
          <w:szCs w:val="24"/>
        </w:rPr>
        <w:t xml:space="preserve">average governance scores. </w:t>
      </w:r>
    </w:p>
    <w:p w14:paraId="24D7C6F0" w14:textId="50340707" w:rsidR="000C20D9" w:rsidRDefault="000C20D9" w:rsidP="00BF2605">
      <w:pPr>
        <w:tabs>
          <w:tab w:val="left" w:pos="426"/>
        </w:tabs>
        <w:spacing w:after="0" w:line="288" w:lineRule="auto"/>
        <w:jc w:val="both"/>
        <w:rPr>
          <w:rFonts w:ascii="Times New Roman" w:hAnsi="Times New Roman" w:cs="Times New Roman"/>
          <w:b/>
          <w:bCs/>
          <w:sz w:val="24"/>
          <w:szCs w:val="24"/>
        </w:rPr>
      </w:pPr>
    </w:p>
    <w:p w14:paraId="7006A72E" w14:textId="77777777" w:rsidR="0095672A" w:rsidRDefault="0095672A">
      <w:r>
        <w:br w:type="page"/>
      </w:r>
    </w:p>
    <w:tbl>
      <w:tblPr>
        <w:tblStyle w:val="TableGrid"/>
        <w:tblW w:w="10357" w:type="dxa"/>
        <w:jc w:val="center"/>
        <w:tblLayout w:type="fixed"/>
        <w:tblLook w:val="04A0" w:firstRow="1" w:lastRow="0" w:firstColumn="1" w:lastColumn="0" w:noHBand="0" w:noVBand="1"/>
      </w:tblPr>
      <w:tblGrid>
        <w:gridCol w:w="3330"/>
        <w:gridCol w:w="1035"/>
        <w:gridCol w:w="1035"/>
        <w:gridCol w:w="360"/>
        <w:gridCol w:w="1035"/>
        <w:gridCol w:w="1035"/>
        <w:gridCol w:w="360"/>
        <w:gridCol w:w="1083"/>
        <w:gridCol w:w="1052"/>
        <w:gridCol w:w="25"/>
        <w:gridCol w:w="7"/>
      </w:tblGrid>
      <w:tr w:rsidR="0095672A" w:rsidRPr="002E1EC0" w14:paraId="0659E5FD" w14:textId="77777777" w:rsidTr="008A71E8">
        <w:trPr>
          <w:gridAfter w:val="2"/>
          <w:wAfter w:w="32" w:type="dxa"/>
          <w:jc w:val="center"/>
        </w:trPr>
        <w:tc>
          <w:tcPr>
            <w:tcW w:w="10325" w:type="dxa"/>
            <w:gridSpan w:val="9"/>
            <w:tcBorders>
              <w:top w:val="nil"/>
              <w:left w:val="nil"/>
              <w:bottom w:val="single" w:sz="8" w:space="0" w:color="auto"/>
              <w:right w:val="nil"/>
            </w:tcBorders>
            <w:vAlign w:val="center"/>
          </w:tcPr>
          <w:p w14:paraId="3CCA2E46" w14:textId="51777D16" w:rsidR="0095672A" w:rsidRDefault="0095672A" w:rsidP="008A71E8">
            <w:pPr>
              <w:tabs>
                <w:tab w:val="left" w:pos="426"/>
              </w:tabs>
              <w:jc w:val="center"/>
              <w:rPr>
                <w:rFonts w:asciiTheme="majorBidi" w:hAnsiTheme="majorBidi" w:cstheme="majorBidi"/>
                <w:b/>
                <w:bCs/>
                <w:color w:val="000000"/>
              </w:rPr>
            </w:pPr>
            <w:r w:rsidRPr="00F87EE2">
              <w:rPr>
                <w:rFonts w:asciiTheme="majorBidi" w:hAnsiTheme="majorBidi" w:cstheme="majorBidi"/>
                <w:b/>
                <w:bCs/>
                <w:color w:val="000000"/>
              </w:rPr>
              <w:lastRenderedPageBreak/>
              <w:t>Table 2</w:t>
            </w:r>
            <w:r>
              <w:rPr>
                <w:rFonts w:asciiTheme="majorBidi" w:hAnsiTheme="majorBidi" w:cstheme="majorBidi"/>
                <w:b/>
                <w:bCs/>
                <w:color w:val="000000"/>
              </w:rPr>
              <w:t xml:space="preserve">: </w:t>
            </w:r>
            <w:r w:rsidRPr="00F87EE2">
              <w:rPr>
                <w:rFonts w:asciiTheme="majorBidi" w:hAnsiTheme="majorBidi" w:cstheme="majorBidi"/>
                <w:b/>
                <w:bCs/>
                <w:color w:val="000000"/>
              </w:rPr>
              <w:t>Descriptive Statistics and Correlation Structure</w:t>
            </w:r>
          </w:p>
          <w:p w14:paraId="335E191C" w14:textId="77777777" w:rsidR="0095672A" w:rsidRPr="00444DFA" w:rsidRDefault="0095672A" w:rsidP="008A71E8">
            <w:pPr>
              <w:tabs>
                <w:tab w:val="left" w:pos="426"/>
              </w:tabs>
              <w:jc w:val="center"/>
              <w:rPr>
                <w:rFonts w:asciiTheme="majorBidi" w:hAnsiTheme="majorBidi" w:cstheme="majorBidi"/>
                <w:b/>
                <w:bCs/>
                <w:color w:val="000000"/>
                <w:sz w:val="10"/>
                <w:szCs w:val="10"/>
              </w:rPr>
            </w:pPr>
          </w:p>
          <w:p w14:paraId="1594D2F5" w14:textId="34357800" w:rsidR="006C236C" w:rsidRDefault="0095672A" w:rsidP="008A71E8">
            <w:pPr>
              <w:tabs>
                <w:tab w:val="left" w:pos="426"/>
              </w:tabs>
              <w:jc w:val="both"/>
              <w:rPr>
                <w:rFonts w:asciiTheme="majorBidi" w:hAnsiTheme="majorBidi" w:cstheme="majorBidi"/>
                <w:color w:val="000000"/>
                <w:sz w:val="20"/>
                <w:szCs w:val="20"/>
              </w:rPr>
            </w:pPr>
            <w:r w:rsidRPr="00EB0B20">
              <w:rPr>
                <w:rFonts w:asciiTheme="majorBidi" w:hAnsiTheme="majorBidi" w:cstheme="majorBidi"/>
                <w:color w:val="000000"/>
                <w:sz w:val="20"/>
                <w:szCs w:val="20"/>
              </w:rPr>
              <w:t xml:space="preserve">Panels A and B present the mean and median differences in the different country-level variables after splitting the sample into two groups based on average governance score and financial development score, respectively. </w:t>
            </w:r>
          </w:p>
          <w:p w14:paraId="024955F8" w14:textId="77777777" w:rsidR="006C236C" w:rsidRPr="006C236C" w:rsidRDefault="006C236C" w:rsidP="008A71E8">
            <w:pPr>
              <w:tabs>
                <w:tab w:val="left" w:pos="426"/>
              </w:tabs>
              <w:jc w:val="both"/>
              <w:rPr>
                <w:rFonts w:asciiTheme="majorBidi" w:hAnsiTheme="majorBidi" w:cstheme="majorBidi"/>
                <w:color w:val="000000"/>
                <w:sz w:val="6"/>
                <w:szCs w:val="6"/>
              </w:rPr>
            </w:pPr>
          </w:p>
          <w:p w14:paraId="3EA1CA5C" w14:textId="5FDCF85F" w:rsidR="006C236C" w:rsidRDefault="0095672A" w:rsidP="008A71E8">
            <w:pPr>
              <w:tabs>
                <w:tab w:val="left" w:pos="426"/>
              </w:tabs>
              <w:jc w:val="both"/>
              <w:rPr>
                <w:rFonts w:asciiTheme="majorBidi" w:hAnsiTheme="majorBidi" w:cstheme="majorBidi"/>
                <w:color w:val="000000"/>
                <w:sz w:val="20"/>
                <w:szCs w:val="20"/>
              </w:rPr>
            </w:pPr>
            <w:r w:rsidRPr="00EB0B20">
              <w:rPr>
                <w:rFonts w:asciiTheme="majorBidi" w:hAnsiTheme="majorBidi" w:cstheme="majorBidi"/>
                <w:color w:val="000000"/>
                <w:sz w:val="20"/>
                <w:szCs w:val="20"/>
              </w:rPr>
              <w:t xml:space="preserve">The test for the equality of means uses Welch’s t-test, while the test for the equality of medians uses Wilcoxon’s rank-sum test. </w:t>
            </w:r>
          </w:p>
          <w:p w14:paraId="3B314342" w14:textId="77777777" w:rsidR="006C236C" w:rsidRPr="006C236C" w:rsidRDefault="006C236C" w:rsidP="008A71E8">
            <w:pPr>
              <w:tabs>
                <w:tab w:val="left" w:pos="426"/>
              </w:tabs>
              <w:jc w:val="both"/>
              <w:rPr>
                <w:rFonts w:asciiTheme="majorBidi" w:hAnsiTheme="majorBidi" w:cstheme="majorBidi"/>
                <w:color w:val="000000"/>
                <w:sz w:val="6"/>
                <w:szCs w:val="6"/>
              </w:rPr>
            </w:pPr>
          </w:p>
          <w:p w14:paraId="515B3CB9" w14:textId="6BEE0048" w:rsidR="006C236C" w:rsidRDefault="0095672A" w:rsidP="008A71E8">
            <w:pPr>
              <w:tabs>
                <w:tab w:val="left" w:pos="426"/>
              </w:tabs>
              <w:jc w:val="both"/>
              <w:rPr>
                <w:rFonts w:asciiTheme="majorBidi" w:hAnsiTheme="majorBidi" w:cstheme="majorBidi"/>
                <w:color w:val="000000"/>
                <w:sz w:val="20"/>
                <w:szCs w:val="20"/>
              </w:rPr>
            </w:pPr>
            <w:r w:rsidRPr="00EB0B20">
              <w:rPr>
                <w:rFonts w:asciiTheme="majorBidi" w:hAnsiTheme="majorBidi" w:cstheme="majorBidi"/>
                <w:color w:val="000000"/>
                <w:sz w:val="20"/>
                <w:szCs w:val="20"/>
              </w:rPr>
              <w:t xml:space="preserve">The p-values are reported in the parentheses. </w:t>
            </w:r>
          </w:p>
          <w:p w14:paraId="248DCB09" w14:textId="77777777" w:rsidR="006C236C" w:rsidRPr="006C236C" w:rsidRDefault="006C236C" w:rsidP="008A71E8">
            <w:pPr>
              <w:tabs>
                <w:tab w:val="left" w:pos="426"/>
              </w:tabs>
              <w:jc w:val="both"/>
              <w:rPr>
                <w:rFonts w:asciiTheme="majorBidi" w:hAnsiTheme="majorBidi" w:cstheme="majorBidi"/>
                <w:color w:val="000000"/>
                <w:sz w:val="6"/>
                <w:szCs w:val="6"/>
              </w:rPr>
            </w:pPr>
          </w:p>
          <w:p w14:paraId="3BF60D4E" w14:textId="096DB8E7" w:rsidR="0095672A" w:rsidRPr="00EB0B20" w:rsidRDefault="0095672A" w:rsidP="008A71E8">
            <w:pPr>
              <w:tabs>
                <w:tab w:val="left" w:pos="426"/>
              </w:tabs>
              <w:jc w:val="both"/>
              <w:rPr>
                <w:rFonts w:asciiTheme="majorBidi" w:hAnsiTheme="majorBidi" w:cstheme="majorBidi"/>
                <w:color w:val="000000"/>
                <w:sz w:val="20"/>
                <w:szCs w:val="20"/>
              </w:rPr>
            </w:pPr>
            <w:r w:rsidRPr="00EB0B20">
              <w:rPr>
                <w:rFonts w:asciiTheme="majorBidi" w:hAnsiTheme="majorBidi" w:cstheme="majorBidi"/>
                <w:color w:val="000000"/>
                <w:sz w:val="20"/>
                <w:szCs w:val="20"/>
              </w:rPr>
              <w:t>*Significant at the 10% level. **Significant at the 5% level. ***Significant at the 1% level.</w:t>
            </w:r>
          </w:p>
          <w:p w14:paraId="696943C6" w14:textId="77777777" w:rsidR="0095672A" w:rsidRPr="009159CB" w:rsidRDefault="0095672A" w:rsidP="008A71E8">
            <w:pPr>
              <w:tabs>
                <w:tab w:val="left" w:pos="426"/>
              </w:tabs>
              <w:jc w:val="center"/>
              <w:rPr>
                <w:rFonts w:asciiTheme="majorBidi" w:hAnsiTheme="majorBidi" w:cstheme="majorBidi"/>
                <w:b/>
                <w:bCs/>
                <w:color w:val="000000"/>
                <w:sz w:val="16"/>
                <w:szCs w:val="16"/>
              </w:rPr>
            </w:pPr>
          </w:p>
        </w:tc>
      </w:tr>
      <w:tr w:rsidR="0095672A" w14:paraId="3630351A" w14:textId="77777777" w:rsidTr="008A71E8">
        <w:trPr>
          <w:gridAfter w:val="1"/>
          <w:wAfter w:w="7" w:type="dxa"/>
          <w:trHeight w:val="295"/>
          <w:jc w:val="center"/>
        </w:trPr>
        <w:tc>
          <w:tcPr>
            <w:tcW w:w="10350" w:type="dxa"/>
            <w:gridSpan w:val="10"/>
            <w:tcBorders>
              <w:top w:val="single" w:sz="8" w:space="0" w:color="auto"/>
              <w:left w:val="nil"/>
              <w:bottom w:val="single" w:sz="12" w:space="0" w:color="auto"/>
              <w:right w:val="nil"/>
            </w:tcBorders>
            <w:vAlign w:val="center"/>
          </w:tcPr>
          <w:p w14:paraId="41D8D355" w14:textId="44F924DD" w:rsidR="0095672A" w:rsidRPr="002E1EC0" w:rsidRDefault="0095672A" w:rsidP="006C236C">
            <w:pPr>
              <w:tabs>
                <w:tab w:val="left" w:pos="426"/>
              </w:tabs>
              <w:spacing w:before="60" w:after="60"/>
              <w:jc w:val="center"/>
              <w:rPr>
                <w:rFonts w:asciiTheme="majorBidi" w:hAnsiTheme="majorBidi" w:cstheme="majorBidi"/>
                <w:b/>
                <w:bCs/>
                <w:color w:val="000000"/>
              </w:rPr>
            </w:pPr>
            <w:r w:rsidRPr="008B51A8">
              <w:rPr>
                <w:rFonts w:asciiTheme="majorBidi" w:hAnsiTheme="majorBidi" w:cstheme="majorBidi"/>
                <w:b/>
                <w:bCs/>
                <w:color w:val="000000"/>
                <w:sz w:val="20"/>
                <w:szCs w:val="20"/>
              </w:rPr>
              <w:t xml:space="preserve">Panel A: Mean and Median </w:t>
            </w:r>
            <w:r w:rsidR="00441C4F">
              <w:rPr>
                <w:rFonts w:asciiTheme="majorBidi" w:hAnsiTheme="majorBidi" w:cstheme="majorBidi"/>
                <w:b/>
                <w:bCs/>
                <w:color w:val="000000"/>
                <w:sz w:val="20"/>
                <w:szCs w:val="20"/>
              </w:rPr>
              <w:t>C</w:t>
            </w:r>
            <w:r w:rsidRPr="008B51A8">
              <w:rPr>
                <w:rFonts w:asciiTheme="majorBidi" w:hAnsiTheme="majorBidi" w:cstheme="majorBidi"/>
                <w:b/>
                <w:bCs/>
                <w:color w:val="000000"/>
                <w:sz w:val="20"/>
                <w:szCs w:val="20"/>
              </w:rPr>
              <w:t xml:space="preserve">omparisons </w:t>
            </w:r>
            <w:r w:rsidR="00441C4F">
              <w:rPr>
                <w:rFonts w:asciiTheme="majorBidi" w:hAnsiTheme="majorBidi" w:cstheme="majorBidi"/>
                <w:b/>
                <w:bCs/>
                <w:color w:val="000000"/>
                <w:sz w:val="20"/>
                <w:szCs w:val="20"/>
              </w:rPr>
              <w:t>B</w:t>
            </w:r>
            <w:r w:rsidRPr="008B51A8">
              <w:rPr>
                <w:rFonts w:asciiTheme="majorBidi" w:hAnsiTheme="majorBidi" w:cstheme="majorBidi"/>
                <w:b/>
                <w:bCs/>
                <w:color w:val="000000"/>
                <w:sz w:val="20"/>
                <w:szCs w:val="20"/>
              </w:rPr>
              <w:t xml:space="preserve">ased on the Governance </w:t>
            </w:r>
            <w:r w:rsidR="00441C4F">
              <w:rPr>
                <w:rFonts w:asciiTheme="majorBidi" w:hAnsiTheme="majorBidi" w:cstheme="majorBidi"/>
                <w:b/>
                <w:bCs/>
                <w:color w:val="000000"/>
                <w:sz w:val="20"/>
                <w:szCs w:val="20"/>
              </w:rPr>
              <w:t>I</w:t>
            </w:r>
            <w:r w:rsidRPr="008B51A8">
              <w:rPr>
                <w:rFonts w:asciiTheme="majorBidi" w:hAnsiTheme="majorBidi" w:cstheme="majorBidi"/>
                <w:b/>
                <w:bCs/>
                <w:color w:val="000000"/>
                <w:sz w:val="20"/>
                <w:szCs w:val="20"/>
              </w:rPr>
              <w:t xml:space="preserve">ndex </w:t>
            </w:r>
            <w:r w:rsidR="00441C4F">
              <w:rPr>
                <w:rFonts w:asciiTheme="majorBidi" w:hAnsiTheme="majorBidi" w:cstheme="majorBidi"/>
                <w:b/>
                <w:bCs/>
                <w:color w:val="000000"/>
                <w:sz w:val="20"/>
                <w:szCs w:val="20"/>
              </w:rPr>
              <w:t>Sc</w:t>
            </w:r>
            <w:r>
              <w:rPr>
                <w:rFonts w:asciiTheme="majorBidi" w:hAnsiTheme="majorBidi" w:cstheme="majorBidi"/>
                <w:b/>
                <w:bCs/>
                <w:color w:val="000000"/>
                <w:sz w:val="20"/>
                <w:szCs w:val="20"/>
              </w:rPr>
              <w:t>ores</w:t>
            </w:r>
            <w:r w:rsidR="00441C4F">
              <w:rPr>
                <w:rFonts w:asciiTheme="majorBidi" w:hAnsiTheme="majorBidi" w:cstheme="majorBidi"/>
                <w:b/>
                <w:bCs/>
                <w:color w:val="000000"/>
                <w:sz w:val="20"/>
                <w:szCs w:val="20"/>
              </w:rPr>
              <w:t xml:space="preserve"> 2017</w:t>
            </w:r>
          </w:p>
        </w:tc>
      </w:tr>
      <w:tr w:rsidR="0095672A" w:rsidRPr="002E1EC0" w14:paraId="58280614" w14:textId="77777777" w:rsidTr="008A71E8">
        <w:trPr>
          <w:trHeight w:val="330"/>
          <w:jc w:val="center"/>
        </w:trPr>
        <w:tc>
          <w:tcPr>
            <w:tcW w:w="3330" w:type="dxa"/>
            <w:tcBorders>
              <w:top w:val="single" w:sz="8" w:space="0" w:color="auto"/>
              <w:left w:val="nil"/>
              <w:bottom w:val="nil"/>
              <w:right w:val="nil"/>
            </w:tcBorders>
            <w:vAlign w:val="center"/>
          </w:tcPr>
          <w:p w14:paraId="7271FC63" w14:textId="77777777" w:rsidR="0095672A" w:rsidRPr="008B51A8" w:rsidRDefault="0095672A" w:rsidP="008A71E8">
            <w:pPr>
              <w:tabs>
                <w:tab w:val="left" w:pos="426"/>
              </w:tabs>
              <w:rPr>
                <w:rFonts w:asciiTheme="majorBidi" w:hAnsiTheme="majorBidi" w:cstheme="majorBidi"/>
                <w:color w:val="000000"/>
                <w:sz w:val="20"/>
                <w:szCs w:val="20"/>
              </w:rPr>
            </w:pPr>
          </w:p>
        </w:tc>
        <w:tc>
          <w:tcPr>
            <w:tcW w:w="2070" w:type="dxa"/>
            <w:gridSpan w:val="2"/>
            <w:tcBorders>
              <w:top w:val="single" w:sz="8" w:space="0" w:color="auto"/>
              <w:left w:val="nil"/>
              <w:bottom w:val="single" w:sz="8" w:space="0" w:color="auto"/>
              <w:right w:val="nil"/>
            </w:tcBorders>
            <w:vAlign w:val="center"/>
          </w:tcPr>
          <w:p w14:paraId="19EC48EB"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Upper 50%</w:t>
            </w:r>
          </w:p>
        </w:tc>
        <w:tc>
          <w:tcPr>
            <w:tcW w:w="360" w:type="dxa"/>
            <w:tcBorders>
              <w:top w:val="single" w:sz="8" w:space="0" w:color="auto"/>
              <w:left w:val="nil"/>
              <w:bottom w:val="nil"/>
              <w:right w:val="nil"/>
            </w:tcBorders>
            <w:vAlign w:val="center"/>
          </w:tcPr>
          <w:p w14:paraId="18B62907"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2070" w:type="dxa"/>
            <w:gridSpan w:val="2"/>
            <w:tcBorders>
              <w:top w:val="single" w:sz="8" w:space="0" w:color="auto"/>
              <w:left w:val="nil"/>
              <w:bottom w:val="single" w:sz="8" w:space="0" w:color="auto"/>
              <w:right w:val="nil"/>
            </w:tcBorders>
            <w:vAlign w:val="center"/>
          </w:tcPr>
          <w:p w14:paraId="1F50BA3A"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Lower 50%</w:t>
            </w:r>
          </w:p>
        </w:tc>
        <w:tc>
          <w:tcPr>
            <w:tcW w:w="360" w:type="dxa"/>
            <w:tcBorders>
              <w:top w:val="nil"/>
              <w:left w:val="nil"/>
              <w:bottom w:val="nil"/>
              <w:right w:val="nil"/>
            </w:tcBorders>
            <w:vAlign w:val="center"/>
          </w:tcPr>
          <w:p w14:paraId="7704FDE3" w14:textId="77777777" w:rsidR="0095672A" w:rsidRPr="008B51A8" w:rsidRDefault="0095672A" w:rsidP="008A71E8">
            <w:pPr>
              <w:tabs>
                <w:tab w:val="left" w:pos="426"/>
              </w:tabs>
              <w:rPr>
                <w:rFonts w:asciiTheme="majorBidi" w:hAnsiTheme="majorBidi" w:cstheme="majorBidi"/>
                <w:color w:val="000000"/>
                <w:sz w:val="20"/>
                <w:szCs w:val="20"/>
              </w:rPr>
            </w:pPr>
          </w:p>
        </w:tc>
        <w:tc>
          <w:tcPr>
            <w:tcW w:w="2167" w:type="dxa"/>
            <w:gridSpan w:val="4"/>
            <w:tcBorders>
              <w:top w:val="nil"/>
              <w:left w:val="nil"/>
              <w:bottom w:val="single" w:sz="8" w:space="0" w:color="auto"/>
              <w:right w:val="nil"/>
            </w:tcBorders>
            <w:vAlign w:val="center"/>
          </w:tcPr>
          <w:p w14:paraId="158CDDDC"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Difference</w:t>
            </w:r>
          </w:p>
        </w:tc>
      </w:tr>
      <w:tr w:rsidR="0095672A" w:rsidRPr="002E1EC0" w14:paraId="1BE96820" w14:textId="77777777" w:rsidTr="008A71E8">
        <w:trPr>
          <w:trHeight w:val="322"/>
          <w:jc w:val="center"/>
        </w:trPr>
        <w:tc>
          <w:tcPr>
            <w:tcW w:w="3330" w:type="dxa"/>
            <w:tcBorders>
              <w:top w:val="nil"/>
              <w:left w:val="nil"/>
              <w:bottom w:val="single" w:sz="4" w:space="0" w:color="auto"/>
              <w:right w:val="nil"/>
            </w:tcBorders>
            <w:vAlign w:val="center"/>
          </w:tcPr>
          <w:p w14:paraId="127E2035" w14:textId="77777777" w:rsidR="0095672A" w:rsidRPr="008B51A8" w:rsidRDefault="0095672A" w:rsidP="008A71E8">
            <w:pPr>
              <w:tabs>
                <w:tab w:val="left" w:pos="426"/>
              </w:tabs>
              <w:rPr>
                <w:rFonts w:asciiTheme="majorBidi" w:hAnsiTheme="majorBidi" w:cstheme="majorBidi"/>
                <w:color w:val="000000"/>
                <w:sz w:val="20"/>
                <w:szCs w:val="20"/>
              </w:rPr>
            </w:pPr>
          </w:p>
        </w:tc>
        <w:tc>
          <w:tcPr>
            <w:tcW w:w="1035" w:type="dxa"/>
            <w:tcBorders>
              <w:top w:val="single" w:sz="8" w:space="0" w:color="auto"/>
              <w:left w:val="nil"/>
              <w:bottom w:val="single" w:sz="4" w:space="0" w:color="auto"/>
              <w:right w:val="nil"/>
            </w:tcBorders>
            <w:vAlign w:val="center"/>
          </w:tcPr>
          <w:p w14:paraId="0BA65D29"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Mean</w:t>
            </w:r>
          </w:p>
        </w:tc>
        <w:tc>
          <w:tcPr>
            <w:tcW w:w="1035" w:type="dxa"/>
            <w:tcBorders>
              <w:top w:val="single" w:sz="8" w:space="0" w:color="auto"/>
              <w:left w:val="nil"/>
              <w:bottom w:val="single" w:sz="4" w:space="0" w:color="auto"/>
              <w:right w:val="nil"/>
            </w:tcBorders>
            <w:vAlign w:val="center"/>
          </w:tcPr>
          <w:p w14:paraId="0850A173"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Median</w:t>
            </w:r>
          </w:p>
        </w:tc>
        <w:tc>
          <w:tcPr>
            <w:tcW w:w="360" w:type="dxa"/>
            <w:tcBorders>
              <w:top w:val="nil"/>
              <w:left w:val="nil"/>
              <w:bottom w:val="single" w:sz="4" w:space="0" w:color="auto"/>
              <w:right w:val="nil"/>
            </w:tcBorders>
            <w:vAlign w:val="center"/>
          </w:tcPr>
          <w:p w14:paraId="184E6B0F"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single" w:sz="8" w:space="0" w:color="auto"/>
              <w:left w:val="nil"/>
              <w:bottom w:val="single" w:sz="4" w:space="0" w:color="auto"/>
              <w:right w:val="nil"/>
            </w:tcBorders>
            <w:vAlign w:val="center"/>
          </w:tcPr>
          <w:p w14:paraId="136DCD5B"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Mean</w:t>
            </w:r>
          </w:p>
        </w:tc>
        <w:tc>
          <w:tcPr>
            <w:tcW w:w="1035" w:type="dxa"/>
            <w:tcBorders>
              <w:top w:val="single" w:sz="8" w:space="0" w:color="auto"/>
              <w:left w:val="nil"/>
              <w:bottom w:val="single" w:sz="4" w:space="0" w:color="auto"/>
              <w:right w:val="nil"/>
            </w:tcBorders>
            <w:vAlign w:val="center"/>
          </w:tcPr>
          <w:p w14:paraId="766BEAA8"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Median</w:t>
            </w:r>
          </w:p>
        </w:tc>
        <w:tc>
          <w:tcPr>
            <w:tcW w:w="360" w:type="dxa"/>
            <w:tcBorders>
              <w:top w:val="nil"/>
              <w:left w:val="nil"/>
              <w:bottom w:val="single" w:sz="4" w:space="0" w:color="auto"/>
              <w:right w:val="nil"/>
            </w:tcBorders>
            <w:vAlign w:val="center"/>
          </w:tcPr>
          <w:p w14:paraId="25161DA1"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single" w:sz="8" w:space="0" w:color="auto"/>
              <w:left w:val="nil"/>
              <w:bottom w:val="single" w:sz="4" w:space="0" w:color="auto"/>
              <w:right w:val="nil"/>
            </w:tcBorders>
            <w:vAlign w:val="center"/>
          </w:tcPr>
          <w:p w14:paraId="5C7B60DC"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Mean</w:t>
            </w:r>
          </w:p>
        </w:tc>
        <w:tc>
          <w:tcPr>
            <w:tcW w:w="1084" w:type="dxa"/>
            <w:gridSpan w:val="3"/>
            <w:tcBorders>
              <w:top w:val="single" w:sz="8" w:space="0" w:color="auto"/>
              <w:left w:val="nil"/>
              <w:bottom w:val="single" w:sz="4" w:space="0" w:color="auto"/>
              <w:right w:val="nil"/>
            </w:tcBorders>
            <w:vAlign w:val="center"/>
          </w:tcPr>
          <w:p w14:paraId="043FBAAE"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Median</w:t>
            </w:r>
          </w:p>
        </w:tc>
      </w:tr>
      <w:tr w:rsidR="0095672A" w:rsidRPr="002E1EC0" w14:paraId="52595A4A" w14:textId="77777777" w:rsidTr="008A71E8">
        <w:trPr>
          <w:trHeight w:val="356"/>
          <w:jc w:val="center"/>
        </w:trPr>
        <w:tc>
          <w:tcPr>
            <w:tcW w:w="3330" w:type="dxa"/>
            <w:tcBorders>
              <w:top w:val="single" w:sz="4" w:space="0" w:color="auto"/>
              <w:left w:val="nil"/>
              <w:bottom w:val="nil"/>
              <w:right w:val="nil"/>
            </w:tcBorders>
            <w:vAlign w:val="center"/>
          </w:tcPr>
          <w:p w14:paraId="644C4EF7" w14:textId="77777777" w:rsidR="0095672A" w:rsidRPr="008B51A8" w:rsidRDefault="0095672A" w:rsidP="008A71E8">
            <w:pPr>
              <w:tabs>
                <w:tab w:val="left" w:pos="426"/>
              </w:tabs>
              <w:rPr>
                <w:rFonts w:asciiTheme="majorBidi" w:hAnsiTheme="majorBidi" w:cstheme="majorBidi"/>
                <w:color w:val="000000"/>
                <w:sz w:val="20"/>
                <w:szCs w:val="20"/>
              </w:rPr>
            </w:pPr>
            <w:r w:rsidRPr="008B51A8">
              <w:rPr>
                <w:rFonts w:asciiTheme="majorBidi" w:hAnsiTheme="majorBidi" w:cstheme="majorBidi"/>
                <w:color w:val="000000"/>
                <w:sz w:val="20"/>
                <w:szCs w:val="20"/>
              </w:rPr>
              <w:t>Rule of Law (RLAW)</w:t>
            </w:r>
          </w:p>
        </w:tc>
        <w:tc>
          <w:tcPr>
            <w:tcW w:w="1035" w:type="dxa"/>
            <w:tcBorders>
              <w:top w:val="single" w:sz="4" w:space="0" w:color="auto"/>
              <w:left w:val="nil"/>
              <w:bottom w:val="nil"/>
              <w:right w:val="nil"/>
            </w:tcBorders>
            <w:vAlign w:val="center"/>
          </w:tcPr>
          <w:p w14:paraId="5E7E5489"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1.164</w:t>
            </w:r>
          </w:p>
        </w:tc>
        <w:tc>
          <w:tcPr>
            <w:tcW w:w="1035" w:type="dxa"/>
            <w:tcBorders>
              <w:top w:val="single" w:sz="4" w:space="0" w:color="auto"/>
              <w:left w:val="nil"/>
              <w:bottom w:val="nil"/>
              <w:right w:val="nil"/>
            </w:tcBorders>
            <w:vAlign w:val="center"/>
          </w:tcPr>
          <w:p w14:paraId="2F7E00CF"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2.147</w:t>
            </w:r>
          </w:p>
        </w:tc>
        <w:tc>
          <w:tcPr>
            <w:tcW w:w="360" w:type="dxa"/>
            <w:tcBorders>
              <w:top w:val="single" w:sz="4" w:space="0" w:color="auto"/>
              <w:left w:val="nil"/>
              <w:bottom w:val="nil"/>
              <w:right w:val="nil"/>
            </w:tcBorders>
            <w:vAlign w:val="center"/>
          </w:tcPr>
          <w:p w14:paraId="0FF1D467"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single" w:sz="4" w:space="0" w:color="auto"/>
              <w:left w:val="nil"/>
              <w:bottom w:val="nil"/>
              <w:right w:val="nil"/>
            </w:tcBorders>
            <w:vAlign w:val="center"/>
          </w:tcPr>
          <w:p w14:paraId="4B6E26AB"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-1.111</w:t>
            </w:r>
          </w:p>
        </w:tc>
        <w:tc>
          <w:tcPr>
            <w:tcW w:w="1035" w:type="dxa"/>
            <w:tcBorders>
              <w:top w:val="single" w:sz="4" w:space="0" w:color="auto"/>
              <w:left w:val="nil"/>
              <w:bottom w:val="nil"/>
              <w:right w:val="nil"/>
            </w:tcBorders>
            <w:vAlign w:val="center"/>
          </w:tcPr>
          <w:p w14:paraId="5BCE5140"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-0.446</w:t>
            </w:r>
          </w:p>
        </w:tc>
        <w:tc>
          <w:tcPr>
            <w:tcW w:w="360" w:type="dxa"/>
            <w:tcBorders>
              <w:top w:val="single" w:sz="4" w:space="0" w:color="auto"/>
              <w:left w:val="nil"/>
              <w:bottom w:val="nil"/>
              <w:right w:val="nil"/>
            </w:tcBorders>
            <w:vAlign w:val="center"/>
          </w:tcPr>
          <w:p w14:paraId="150FEA01"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bottom"/>
          </w:tcPr>
          <w:p w14:paraId="1E90F578"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2.275***</w:t>
            </w:r>
            <w:r w:rsidRPr="0071713E">
              <w:rPr>
                <w:rFonts w:asciiTheme="majorBidi" w:hAnsiTheme="majorBidi" w:cstheme="majorBidi"/>
                <w:color w:val="000000"/>
                <w:sz w:val="20"/>
                <w:szCs w:val="20"/>
              </w:rPr>
              <w:br/>
              <w:t>(0.003)</w:t>
            </w:r>
          </w:p>
        </w:tc>
        <w:tc>
          <w:tcPr>
            <w:tcW w:w="1084" w:type="dxa"/>
            <w:gridSpan w:val="3"/>
            <w:tcBorders>
              <w:top w:val="nil"/>
              <w:left w:val="nil"/>
              <w:bottom w:val="nil"/>
              <w:right w:val="nil"/>
            </w:tcBorders>
            <w:shd w:val="clear" w:color="auto" w:fill="auto"/>
            <w:vAlign w:val="bottom"/>
          </w:tcPr>
          <w:p w14:paraId="3A25AC8C"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2.593***</w:t>
            </w:r>
            <w:r w:rsidRPr="0071713E">
              <w:rPr>
                <w:rFonts w:asciiTheme="majorBidi" w:hAnsiTheme="majorBidi" w:cstheme="majorBidi"/>
                <w:color w:val="000000"/>
                <w:sz w:val="20"/>
                <w:szCs w:val="20"/>
              </w:rPr>
              <w:br/>
              <w:t>(0.002)</w:t>
            </w:r>
          </w:p>
        </w:tc>
      </w:tr>
      <w:tr w:rsidR="0095672A" w:rsidRPr="002E1EC0" w14:paraId="63D3CE30" w14:textId="77777777" w:rsidTr="008A71E8">
        <w:trPr>
          <w:trHeight w:val="356"/>
          <w:jc w:val="center"/>
        </w:trPr>
        <w:tc>
          <w:tcPr>
            <w:tcW w:w="3330" w:type="dxa"/>
            <w:tcBorders>
              <w:top w:val="nil"/>
              <w:left w:val="nil"/>
              <w:bottom w:val="nil"/>
              <w:right w:val="nil"/>
            </w:tcBorders>
            <w:vAlign w:val="center"/>
          </w:tcPr>
          <w:p w14:paraId="48E9A425" w14:textId="77777777" w:rsidR="0095672A" w:rsidRPr="008B51A8" w:rsidRDefault="0095672A" w:rsidP="008A71E8">
            <w:pPr>
              <w:tabs>
                <w:tab w:val="left" w:pos="426"/>
              </w:tabs>
              <w:rPr>
                <w:rFonts w:asciiTheme="majorBidi" w:hAnsiTheme="majorBidi" w:cstheme="majorBidi"/>
                <w:color w:val="000000"/>
                <w:sz w:val="20"/>
                <w:szCs w:val="20"/>
              </w:rPr>
            </w:pPr>
            <w:r>
              <w:rPr>
                <w:rFonts w:asciiTheme="majorBidi" w:hAnsiTheme="majorBidi" w:cstheme="majorBidi"/>
                <w:color w:val="000000"/>
                <w:sz w:val="20"/>
                <w:szCs w:val="20"/>
              </w:rPr>
              <w:t>Freedom of Media</w:t>
            </w:r>
            <w:r w:rsidRPr="008B51A8">
              <w:rPr>
                <w:rFonts w:asciiTheme="majorBidi" w:hAnsiTheme="majorBidi" w:cstheme="majorBidi"/>
                <w:color w:val="000000"/>
                <w:sz w:val="20"/>
                <w:szCs w:val="20"/>
              </w:rPr>
              <w:t xml:space="preserve"> (MEDI)</w:t>
            </w:r>
          </w:p>
        </w:tc>
        <w:tc>
          <w:tcPr>
            <w:tcW w:w="1035" w:type="dxa"/>
            <w:tcBorders>
              <w:top w:val="nil"/>
              <w:left w:val="nil"/>
              <w:bottom w:val="nil"/>
              <w:right w:val="nil"/>
            </w:tcBorders>
            <w:vAlign w:val="center"/>
          </w:tcPr>
          <w:p w14:paraId="464B026C"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0.617</w:t>
            </w:r>
          </w:p>
        </w:tc>
        <w:tc>
          <w:tcPr>
            <w:tcW w:w="1035" w:type="dxa"/>
            <w:tcBorders>
              <w:top w:val="nil"/>
              <w:left w:val="nil"/>
              <w:bottom w:val="nil"/>
              <w:right w:val="nil"/>
            </w:tcBorders>
            <w:vAlign w:val="center"/>
          </w:tcPr>
          <w:p w14:paraId="46A8C10D"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1.064</w:t>
            </w:r>
          </w:p>
        </w:tc>
        <w:tc>
          <w:tcPr>
            <w:tcW w:w="360" w:type="dxa"/>
            <w:tcBorders>
              <w:top w:val="nil"/>
              <w:left w:val="nil"/>
              <w:bottom w:val="nil"/>
              <w:right w:val="nil"/>
            </w:tcBorders>
            <w:vAlign w:val="center"/>
          </w:tcPr>
          <w:p w14:paraId="5302E511"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311A92BF"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-0.579</w:t>
            </w:r>
          </w:p>
        </w:tc>
        <w:tc>
          <w:tcPr>
            <w:tcW w:w="1035" w:type="dxa"/>
            <w:tcBorders>
              <w:top w:val="nil"/>
              <w:left w:val="nil"/>
              <w:bottom w:val="nil"/>
              <w:right w:val="nil"/>
            </w:tcBorders>
            <w:vAlign w:val="center"/>
          </w:tcPr>
          <w:p w14:paraId="637C6D7F"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-0.234</w:t>
            </w:r>
          </w:p>
        </w:tc>
        <w:tc>
          <w:tcPr>
            <w:tcW w:w="360" w:type="dxa"/>
            <w:tcBorders>
              <w:top w:val="nil"/>
              <w:left w:val="nil"/>
              <w:bottom w:val="nil"/>
              <w:right w:val="nil"/>
            </w:tcBorders>
            <w:vAlign w:val="center"/>
          </w:tcPr>
          <w:p w14:paraId="37817F3F"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bottom"/>
          </w:tcPr>
          <w:p w14:paraId="7DFB731E"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1.185**</w:t>
            </w:r>
            <w:r w:rsidRPr="0071713E">
              <w:rPr>
                <w:rFonts w:asciiTheme="majorBidi" w:hAnsiTheme="majorBidi" w:cstheme="majorBidi"/>
                <w:color w:val="000000"/>
                <w:sz w:val="20"/>
                <w:szCs w:val="20"/>
              </w:rPr>
              <w:br/>
              <w:t>(0.019)</w:t>
            </w:r>
          </w:p>
        </w:tc>
        <w:tc>
          <w:tcPr>
            <w:tcW w:w="1084" w:type="dxa"/>
            <w:gridSpan w:val="3"/>
            <w:tcBorders>
              <w:top w:val="nil"/>
              <w:left w:val="nil"/>
              <w:bottom w:val="nil"/>
              <w:right w:val="nil"/>
            </w:tcBorders>
            <w:shd w:val="clear" w:color="auto" w:fill="auto"/>
            <w:vAlign w:val="bottom"/>
          </w:tcPr>
          <w:p w14:paraId="327C40EF"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1.298***</w:t>
            </w:r>
            <w:r w:rsidRPr="0071713E">
              <w:rPr>
                <w:rFonts w:asciiTheme="majorBidi" w:hAnsiTheme="majorBidi" w:cstheme="majorBidi"/>
                <w:color w:val="000000"/>
                <w:sz w:val="20"/>
                <w:szCs w:val="20"/>
              </w:rPr>
              <w:br/>
              <w:t>(0.007)</w:t>
            </w:r>
          </w:p>
        </w:tc>
      </w:tr>
      <w:tr w:rsidR="0095672A" w:rsidRPr="002E1EC0" w14:paraId="2105CA3B" w14:textId="77777777" w:rsidTr="008A71E8">
        <w:trPr>
          <w:trHeight w:val="356"/>
          <w:jc w:val="center"/>
        </w:trPr>
        <w:tc>
          <w:tcPr>
            <w:tcW w:w="3330" w:type="dxa"/>
            <w:tcBorders>
              <w:top w:val="nil"/>
              <w:left w:val="nil"/>
              <w:bottom w:val="nil"/>
              <w:right w:val="nil"/>
            </w:tcBorders>
            <w:vAlign w:val="center"/>
          </w:tcPr>
          <w:p w14:paraId="4F99FE93" w14:textId="77777777" w:rsidR="0095672A" w:rsidRPr="008B51A8" w:rsidRDefault="0095672A" w:rsidP="008A71E8">
            <w:pPr>
              <w:tabs>
                <w:tab w:val="left" w:pos="426"/>
              </w:tabs>
              <w:rPr>
                <w:rFonts w:asciiTheme="majorBidi" w:hAnsiTheme="majorBidi" w:cstheme="majorBidi"/>
                <w:color w:val="000000"/>
                <w:sz w:val="20"/>
                <w:szCs w:val="20"/>
              </w:rPr>
            </w:pPr>
            <w:r w:rsidRPr="008B51A8">
              <w:rPr>
                <w:rFonts w:asciiTheme="majorBidi" w:hAnsiTheme="majorBidi" w:cstheme="majorBidi"/>
                <w:color w:val="000000"/>
                <w:sz w:val="20"/>
                <w:szCs w:val="20"/>
              </w:rPr>
              <w:t xml:space="preserve">Social and Cultural </w:t>
            </w:r>
            <w:r>
              <w:rPr>
                <w:rFonts w:asciiTheme="majorBidi" w:hAnsiTheme="majorBidi" w:cstheme="majorBidi"/>
                <w:color w:val="000000"/>
                <w:sz w:val="20"/>
                <w:szCs w:val="20"/>
              </w:rPr>
              <w:t>index</w:t>
            </w:r>
            <w:r w:rsidRPr="008B51A8">
              <w:rPr>
                <w:rFonts w:asciiTheme="majorBidi" w:hAnsiTheme="majorBidi" w:cstheme="majorBidi"/>
                <w:color w:val="000000"/>
                <w:sz w:val="20"/>
                <w:szCs w:val="20"/>
              </w:rPr>
              <w:t xml:space="preserve"> (SOCL) </w:t>
            </w:r>
          </w:p>
        </w:tc>
        <w:tc>
          <w:tcPr>
            <w:tcW w:w="1035" w:type="dxa"/>
            <w:tcBorders>
              <w:top w:val="nil"/>
              <w:left w:val="nil"/>
              <w:bottom w:val="nil"/>
              <w:right w:val="nil"/>
            </w:tcBorders>
            <w:vAlign w:val="center"/>
          </w:tcPr>
          <w:p w14:paraId="61C81FE6"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0.754</w:t>
            </w:r>
          </w:p>
        </w:tc>
        <w:tc>
          <w:tcPr>
            <w:tcW w:w="1035" w:type="dxa"/>
            <w:tcBorders>
              <w:top w:val="nil"/>
              <w:left w:val="nil"/>
              <w:bottom w:val="nil"/>
              <w:right w:val="nil"/>
            </w:tcBorders>
            <w:vAlign w:val="center"/>
          </w:tcPr>
          <w:p w14:paraId="557C93DE"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1.327</w:t>
            </w:r>
          </w:p>
        </w:tc>
        <w:tc>
          <w:tcPr>
            <w:tcW w:w="360" w:type="dxa"/>
            <w:tcBorders>
              <w:top w:val="nil"/>
              <w:left w:val="nil"/>
              <w:bottom w:val="nil"/>
              <w:right w:val="nil"/>
            </w:tcBorders>
            <w:vAlign w:val="center"/>
          </w:tcPr>
          <w:p w14:paraId="27419945"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1AA1BBF1"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-0.720</w:t>
            </w:r>
          </w:p>
        </w:tc>
        <w:tc>
          <w:tcPr>
            <w:tcW w:w="1035" w:type="dxa"/>
            <w:tcBorders>
              <w:top w:val="nil"/>
              <w:left w:val="nil"/>
              <w:bottom w:val="nil"/>
              <w:right w:val="nil"/>
            </w:tcBorders>
            <w:vAlign w:val="center"/>
          </w:tcPr>
          <w:p w14:paraId="49B3D827"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-0.394</w:t>
            </w:r>
          </w:p>
        </w:tc>
        <w:tc>
          <w:tcPr>
            <w:tcW w:w="360" w:type="dxa"/>
            <w:tcBorders>
              <w:top w:val="nil"/>
              <w:left w:val="nil"/>
              <w:bottom w:val="nil"/>
              <w:right w:val="nil"/>
            </w:tcBorders>
            <w:vAlign w:val="center"/>
          </w:tcPr>
          <w:p w14:paraId="13783493"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bottom"/>
          </w:tcPr>
          <w:p w14:paraId="0585AE2B"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1.473***</w:t>
            </w:r>
            <w:r w:rsidRPr="0071713E">
              <w:rPr>
                <w:rFonts w:asciiTheme="majorBidi" w:hAnsiTheme="majorBidi" w:cstheme="majorBidi"/>
                <w:color w:val="000000"/>
                <w:sz w:val="20"/>
                <w:szCs w:val="20"/>
              </w:rPr>
              <w:br/>
              <w:t>(0.003)</w:t>
            </w:r>
          </w:p>
        </w:tc>
        <w:tc>
          <w:tcPr>
            <w:tcW w:w="1084" w:type="dxa"/>
            <w:gridSpan w:val="3"/>
            <w:tcBorders>
              <w:top w:val="nil"/>
              <w:left w:val="nil"/>
              <w:bottom w:val="nil"/>
              <w:right w:val="nil"/>
            </w:tcBorders>
            <w:shd w:val="clear" w:color="auto" w:fill="auto"/>
            <w:vAlign w:val="bottom"/>
          </w:tcPr>
          <w:p w14:paraId="74775506"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1.720***</w:t>
            </w:r>
            <w:r w:rsidRPr="0071713E">
              <w:rPr>
                <w:rFonts w:asciiTheme="majorBidi" w:hAnsiTheme="majorBidi" w:cstheme="majorBidi"/>
                <w:color w:val="000000"/>
                <w:sz w:val="20"/>
                <w:szCs w:val="20"/>
              </w:rPr>
              <w:br/>
              <w:t>(0.002)</w:t>
            </w:r>
          </w:p>
        </w:tc>
      </w:tr>
      <w:tr w:rsidR="0095672A" w:rsidRPr="002E1EC0" w14:paraId="49EF1ABE" w14:textId="77777777" w:rsidTr="008A71E8">
        <w:trPr>
          <w:trHeight w:val="356"/>
          <w:jc w:val="center"/>
        </w:trPr>
        <w:tc>
          <w:tcPr>
            <w:tcW w:w="3330" w:type="dxa"/>
            <w:tcBorders>
              <w:top w:val="nil"/>
              <w:left w:val="nil"/>
              <w:bottom w:val="nil"/>
              <w:right w:val="nil"/>
            </w:tcBorders>
            <w:vAlign w:val="center"/>
          </w:tcPr>
          <w:p w14:paraId="762C076E" w14:textId="77777777" w:rsidR="0095672A" w:rsidRPr="008B51A8" w:rsidRDefault="0095672A" w:rsidP="008A71E8">
            <w:pPr>
              <w:tabs>
                <w:tab w:val="left" w:pos="426"/>
              </w:tabs>
              <w:rPr>
                <w:rFonts w:asciiTheme="majorBidi" w:hAnsiTheme="majorBidi" w:cstheme="majorBidi"/>
                <w:color w:val="000000"/>
                <w:sz w:val="20"/>
                <w:szCs w:val="20"/>
              </w:rPr>
            </w:pPr>
            <w:r w:rsidRPr="008B51A8">
              <w:rPr>
                <w:rFonts w:asciiTheme="majorBidi" w:hAnsiTheme="majorBidi" w:cstheme="majorBidi"/>
                <w:color w:val="000000"/>
                <w:sz w:val="20"/>
                <w:szCs w:val="20"/>
              </w:rPr>
              <w:t xml:space="preserve">Market </w:t>
            </w:r>
            <w:r>
              <w:rPr>
                <w:rFonts w:asciiTheme="majorBidi" w:hAnsiTheme="majorBidi" w:cstheme="majorBidi"/>
                <w:color w:val="000000"/>
                <w:sz w:val="20"/>
                <w:szCs w:val="20"/>
              </w:rPr>
              <w:t>C</w:t>
            </w:r>
            <w:r w:rsidRPr="008B51A8">
              <w:rPr>
                <w:rFonts w:asciiTheme="majorBidi" w:hAnsiTheme="majorBidi" w:cstheme="majorBidi"/>
                <w:color w:val="000000"/>
                <w:sz w:val="20"/>
                <w:szCs w:val="20"/>
              </w:rPr>
              <w:t>ompetitiveness (COMP)</w:t>
            </w:r>
          </w:p>
        </w:tc>
        <w:tc>
          <w:tcPr>
            <w:tcW w:w="1035" w:type="dxa"/>
            <w:tcBorders>
              <w:top w:val="nil"/>
              <w:left w:val="nil"/>
              <w:bottom w:val="nil"/>
              <w:right w:val="nil"/>
            </w:tcBorders>
            <w:vAlign w:val="center"/>
          </w:tcPr>
          <w:p w14:paraId="12260A8A"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0.811</w:t>
            </w:r>
          </w:p>
        </w:tc>
        <w:tc>
          <w:tcPr>
            <w:tcW w:w="1035" w:type="dxa"/>
            <w:tcBorders>
              <w:top w:val="nil"/>
              <w:left w:val="nil"/>
              <w:bottom w:val="nil"/>
              <w:right w:val="nil"/>
            </w:tcBorders>
            <w:vAlign w:val="center"/>
          </w:tcPr>
          <w:p w14:paraId="586F021C"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1.381</w:t>
            </w:r>
          </w:p>
        </w:tc>
        <w:tc>
          <w:tcPr>
            <w:tcW w:w="360" w:type="dxa"/>
            <w:tcBorders>
              <w:top w:val="nil"/>
              <w:left w:val="nil"/>
              <w:bottom w:val="nil"/>
              <w:right w:val="nil"/>
            </w:tcBorders>
            <w:vAlign w:val="center"/>
          </w:tcPr>
          <w:p w14:paraId="35B0CBEE"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5A8C488B"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-0.774</w:t>
            </w:r>
          </w:p>
        </w:tc>
        <w:tc>
          <w:tcPr>
            <w:tcW w:w="1035" w:type="dxa"/>
            <w:tcBorders>
              <w:top w:val="nil"/>
              <w:left w:val="nil"/>
              <w:bottom w:val="nil"/>
              <w:right w:val="nil"/>
            </w:tcBorders>
            <w:vAlign w:val="center"/>
          </w:tcPr>
          <w:p w14:paraId="52C7E997"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-1.299</w:t>
            </w:r>
          </w:p>
        </w:tc>
        <w:tc>
          <w:tcPr>
            <w:tcW w:w="360" w:type="dxa"/>
            <w:tcBorders>
              <w:top w:val="nil"/>
              <w:left w:val="nil"/>
              <w:bottom w:val="nil"/>
              <w:right w:val="nil"/>
            </w:tcBorders>
            <w:vAlign w:val="center"/>
          </w:tcPr>
          <w:p w14:paraId="5A5931AD"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bottom"/>
          </w:tcPr>
          <w:p w14:paraId="2AD3A24D"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1.584***</w:t>
            </w:r>
            <w:r w:rsidRPr="0071713E">
              <w:rPr>
                <w:rFonts w:asciiTheme="majorBidi" w:hAnsiTheme="majorBidi" w:cstheme="majorBidi"/>
                <w:color w:val="000000"/>
                <w:sz w:val="20"/>
                <w:szCs w:val="20"/>
              </w:rPr>
              <w:br/>
              <w:t>(0.004)</w:t>
            </w:r>
          </w:p>
        </w:tc>
        <w:tc>
          <w:tcPr>
            <w:tcW w:w="1084" w:type="dxa"/>
            <w:gridSpan w:val="3"/>
            <w:tcBorders>
              <w:top w:val="nil"/>
              <w:left w:val="nil"/>
              <w:bottom w:val="nil"/>
              <w:right w:val="nil"/>
            </w:tcBorders>
            <w:shd w:val="clear" w:color="auto" w:fill="auto"/>
            <w:vAlign w:val="bottom"/>
          </w:tcPr>
          <w:p w14:paraId="14061F65"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2.679**</w:t>
            </w:r>
            <w:r w:rsidRPr="0071713E">
              <w:rPr>
                <w:rFonts w:asciiTheme="majorBidi" w:hAnsiTheme="majorBidi" w:cstheme="majorBidi"/>
                <w:color w:val="000000"/>
                <w:sz w:val="20"/>
                <w:szCs w:val="20"/>
              </w:rPr>
              <w:br/>
              <w:t>(0.012)</w:t>
            </w:r>
          </w:p>
        </w:tc>
      </w:tr>
      <w:tr w:rsidR="0095672A" w:rsidRPr="002E1EC0" w14:paraId="2716ECD2" w14:textId="77777777" w:rsidTr="008A71E8">
        <w:trPr>
          <w:trHeight w:val="356"/>
          <w:jc w:val="center"/>
        </w:trPr>
        <w:tc>
          <w:tcPr>
            <w:tcW w:w="3330" w:type="dxa"/>
            <w:tcBorders>
              <w:top w:val="nil"/>
              <w:left w:val="nil"/>
              <w:bottom w:val="nil"/>
              <w:right w:val="nil"/>
            </w:tcBorders>
            <w:vAlign w:val="center"/>
          </w:tcPr>
          <w:p w14:paraId="74E1B593" w14:textId="77777777" w:rsidR="0095672A" w:rsidRPr="008B51A8" w:rsidRDefault="0095672A" w:rsidP="008A71E8">
            <w:pPr>
              <w:tabs>
                <w:tab w:val="left" w:pos="426"/>
              </w:tabs>
              <w:rPr>
                <w:rFonts w:asciiTheme="majorBidi" w:hAnsiTheme="majorBidi" w:cstheme="majorBidi"/>
                <w:color w:val="000000"/>
                <w:sz w:val="20"/>
                <w:szCs w:val="20"/>
              </w:rPr>
            </w:pPr>
            <w:r>
              <w:rPr>
                <w:rFonts w:asciiTheme="majorBidi" w:hAnsiTheme="majorBidi" w:cstheme="majorBidi"/>
                <w:color w:val="000000"/>
                <w:sz w:val="20"/>
                <w:szCs w:val="20"/>
              </w:rPr>
              <w:t>Financial Development Score (FIND)</w:t>
            </w:r>
          </w:p>
        </w:tc>
        <w:tc>
          <w:tcPr>
            <w:tcW w:w="1035" w:type="dxa"/>
            <w:tcBorders>
              <w:top w:val="nil"/>
              <w:left w:val="nil"/>
              <w:bottom w:val="nil"/>
              <w:right w:val="nil"/>
            </w:tcBorders>
            <w:vAlign w:val="center"/>
          </w:tcPr>
          <w:p w14:paraId="11FFBE58"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0.691</w:t>
            </w:r>
          </w:p>
        </w:tc>
        <w:tc>
          <w:tcPr>
            <w:tcW w:w="1035" w:type="dxa"/>
            <w:tcBorders>
              <w:top w:val="nil"/>
              <w:left w:val="nil"/>
              <w:bottom w:val="nil"/>
              <w:right w:val="nil"/>
            </w:tcBorders>
            <w:vAlign w:val="center"/>
          </w:tcPr>
          <w:p w14:paraId="1B35E5DA"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0.819</w:t>
            </w:r>
          </w:p>
        </w:tc>
        <w:tc>
          <w:tcPr>
            <w:tcW w:w="360" w:type="dxa"/>
            <w:tcBorders>
              <w:top w:val="nil"/>
              <w:left w:val="nil"/>
              <w:bottom w:val="nil"/>
              <w:right w:val="nil"/>
            </w:tcBorders>
            <w:vAlign w:val="center"/>
          </w:tcPr>
          <w:p w14:paraId="7DBF924A"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395C26A1"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-0.660</w:t>
            </w:r>
          </w:p>
        </w:tc>
        <w:tc>
          <w:tcPr>
            <w:tcW w:w="1035" w:type="dxa"/>
            <w:tcBorders>
              <w:top w:val="nil"/>
              <w:left w:val="nil"/>
              <w:bottom w:val="nil"/>
              <w:right w:val="nil"/>
            </w:tcBorders>
            <w:vAlign w:val="center"/>
          </w:tcPr>
          <w:p w14:paraId="1F42D12C" w14:textId="77777777" w:rsidR="0095672A" w:rsidRPr="008B51A8" w:rsidRDefault="0095672A" w:rsidP="008A71E8">
            <w:pPr>
              <w:tabs>
                <w:tab w:val="left" w:pos="426"/>
              </w:tabs>
              <w:jc w:val="center"/>
              <w:rPr>
                <w:rFonts w:asciiTheme="majorBidi" w:hAnsiTheme="majorBidi" w:cstheme="majorBidi"/>
                <w:color w:val="000000"/>
                <w:sz w:val="20"/>
                <w:szCs w:val="20"/>
              </w:rPr>
            </w:pPr>
            <w:r>
              <w:rPr>
                <w:rFonts w:asciiTheme="majorBidi" w:hAnsiTheme="majorBidi" w:cstheme="majorBidi"/>
                <w:color w:val="000000"/>
                <w:sz w:val="20"/>
                <w:szCs w:val="20"/>
              </w:rPr>
              <w:t>-0.832</w:t>
            </w:r>
          </w:p>
        </w:tc>
        <w:tc>
          <w:tcPr>
            <w:tcW w:w="360" w:type="dxa"/>
            <w:tcBorders>
              <w:top w:val="nil"/>
              <w:left w:val="nil"/>
              <w:bottom w:val="nil"/>
              <w:right w:val="nil"/>
            </w:tcBorders>
            <w:vAlign w:val="center"/>
          </w:tcPr>
          <w:p w14:paraId="615F40ED"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bottom"/>
          </w:tcPr>
          <w:p w14:paraId="1E4AA9ED"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1.350*</w:t>
            </w:r>
            <w:r w:rsidRPr="0071713E">
              <w:rPr>
                <w:rFonts w:asciiTheme="majorBidi" w:hAnsiTheme="majorBidi" w:cstheme="majorBidi"/>
                <w:color w:val="000000"/>
                <w:sz w:val="20"/>
                <w:szCs w:val="20"/>
              </w:rPr>
              <w:br/>
              <w:t>(0.059)</w:t>
            </w:r>
          </w:p>
        </w:tc>
        <w:tc>
          <w:tcPr>
            <w:tcW w:w="1084" w:type="dxa"/>
            <w:gridSpan w:val="3"/>
            <w:tcBorders>
              <w:top w:val="nil"/>
              <w:left w:val="nil"/>
              <w:bottom w:val="nil"/>
              <w:right w:val="nil"/>
            </w:tcBorders>
            <w:shd w:val="clear" w:color="auto" w:fill="auto"/>
            <w:vAlign w:val="bottom"/>
          </w:tcPr>
          <w:p w14:paraId="3165BD2B" w14:textId="77777777" w:rsidR="0095672A" w:rsidRPr="0071713E" w:rsidRDefault="0095672A" w:rsidP="008A71E8">
            <w:pPr>
              <w:tabs>
                <w:tab w:val="left" w:pos="426"/>
              </w:tabs>
              <w:jc w:val="center"/>
              <w:rPr>
                <w:rFonts w:asciiTheme="majorBidi" w:hAnsiTheme="majorBidi" w:cstheme="majorBidi"/>
                <w:color w:val="000000"/>
                <w:sz w:val="20"/>
                <w:szCs w:val="20"/>
              </w:rPr>
            </w:pPr>
            <w:r w:rsidRPr="0071713E">
              <w:rPr>
                <w:rFonts w:asciiTheme="majorBidi" w:hAnsiTheme="majorBidi" w:cstheme="majorBidi"/>
                <w:color w:val="000000"/>
                <w:sz w:val="20"/>
                <w:szCs w:val="20"/>
              </w:rPr>
              <w:t>1.651*</w:t>
            </w:r>
            <w:r w:rsidRPr="0071713E">
              <w:rPr>
                <w:rFonts w:asciiTheme="majorBidi" w:hAnsiTheme="majorBidi" w:cstheme="majorBidi"/>
                <w:color w:val="000000"/>
                <w:sz w:val="20"/>
                <w:szCs w:val="20"/>
              </w:rPr>
              <w:br/>
              <w:t>(0.065)</w:t>
            </w:r>
          </w:p>
        </w:tc>
      </w:tr>
      <w:tr w:rsidR="0095672A" w:rsidRPr="00FC5602" w14:paraId="10B41A9D" w14:textId="77777777" w:rsidTr="008A71E8">
        <w:trPr>
          <w:trHeight w:val="144"/>
          <w:jc w:val="center"/>
        </w:trPr>
        <w:tc>
          <w:tcPr>
            <w:tcW w:w="3330" w:type="dxa"/>
            <w:tcBorders>
              <w:top w:val="nil"/>
              <w:left w:val="nil"/>
              <w:bottom w:val="nil"/>
              <w:right w:val="nil"/>
            </w:tcBorders>
            <w:vAlign w:val="center"/>
          </w:tcPr>
          <w:p w14:paraId="3587F1BB" w14:textId="77777777" w:rsidR="0095672A" w:rsidRPr="00FC5602" w:rsidRDefault="0095672A" w:rsidP="008A71E8">
            <w:pPr>
              <w:tabs>
                <w:tab w:val="left" w:pos="426"/>
              </w:tabs>
              <w:rPr>
                <w:rFonts w:asciiTheme="majorBidi" w:hAnsiTheme="majorBidi" w:cstheme="majorBidi"/>
                <w:color w:val="000000"/>
                <w:sz w:val="6"/>
                <w:szCs w:val="6"/>
              </w:rPr>
            </w:pPr>
          </w:p>
        </w:tc>
        <w:tc>
          <w:tcPr>
            <w:tcW w:w="1035" w:type="dxa"/>
            <w:tcBorders>
              <w:top w:val="nil"/>
              <w:left w:val="nil"/>
              <w:bottom w:val="nil"/>
              <w:right w:val="nil"/>
            </w:tcBorders>
            <w:vAlign w:val="center"/>
          </w:tcPr>
          <w:p w14:paraId="3B516AAD" w14:textId="77777777" w:rsidR="0095672A" w:rsidRPr="00FC5602" w:rsidRDefault="0095672A" w:rsidP="008A71E8">
            <w:pPr>
              <w:tabs>
                <w:tab w:val="left" w:pos="426"/>
              </w:tabs>
              <w:jc w:val="center"/>
              <w:rPr>
                <w:rFonts w:asciiTheme="majorBidi" w:hAnsiTheme="majorBidi" w:cstheme="majorBidi"/>
                <w:color w:val="000000"/>
                <w:sz w:val="6"/>
                <w:szCs w:val="6"/>
              </w:rPr>
            </w:pPr>
          </w:p>
        </w:tc>
        <w:tc>
          <w:tcPr>
            <w:tcW w:w="1035" w:type="dxa"/>
            <w:tcBorders>
              <w:top w:val="nil"/>
              <w:left w:val="nil"/>
              <w:bottom w:val="nil"/>
              <w:right w:val="nil"/>
            </w:tcBorders>
            <w:vAlign w:val="center"/>
          </w:tcPr>
          <w:p w14:paraId="3D763D39" w14:textId="77777777" w:rsidR="0095672A" w:rsidRPr="00FC5602" w:rsidRDefault="0095672A" w:rsidP="008A71E8">
            <w:pPr>
              <w:tabs>
                <w:tab w:val="left" w:pos="426"/>
              </w:tabs>
              <w:jc w:val="center"/>
              <w:rPr>
                <w:rFonts w:asciiTheme="majorBidi" w:hAnsiTheme="majorBidi" w:cstheme="majorBidi"/>
                <w:color w:val="000000"/>
                <w:sz w:val="6"/>
                <w:szCs w:val="6"/>
              </w:rPr>
            </w:pPr>
          </w:p>
        </w:tc>
        <w:tc>
          <w:tcPr>
            <w:tcW w:w="360" w:type="dxa"/>
            <w:tcBorders>
              <w:top w:val="nil"/>
              <w:left w:val="nil"/>
              <w:bottom w:val="nil"/>
              <w:right w:val="nil"/>
            </w:tcBorders>
            <w:vAlign w:val="center"/>
          </w:tcPr>
          <w:p w14:paraId="7C178D65" w14:textId="77777777" w:rsidR="0095672A" w:rsidRPr="00FC5602" w:rsidRDefault="0095672A" w:rsidP="008A71E8">
            <w:pPr>
              <w:tabs>
                <w:tab w:val="left" w:pos="426"/>
              </w:tabs>
              <w:jc w:val="center"/>
              <w:rPr>
                <w:rFonts w:asciiTheme="majorBidi" w:hAnsiTheme="majorBidi" w:cstheme="majorBidi"/>
                <w:color w:val="000000"/>
                <w:sz w:val="6"/>
                <w:szCs w:val="6"/>
              </w:rPr>
            </w:pPr>
          </w:p>
        </w:tc>
        <w:tc>
          <w:tcPr>
            <w:tcW w:w="1035" w:type="dxa"/>
            <w:tcBorders>
              <w:top w:val="nil"/>
              <w:left w:val="nil"/>
              <w:bottom w:val="nil"/>
              <w:right w:val="nil"/>
            </w:tcBorders>
            <w:vAlign w:val="center"/>
          </w:tcPr>
          <w:p w14:paraId="2E9845CB" w14:textId="77777777" w:rsidR="0095672A" w:rsidRPr="00FC5602" w:rsidRDefault="0095672A" w:rsidP="008A71E8">
            <w:pPr>
              <w:tabs>
                <w:tab w:val="left" w:pos="426"/>
              </w:tabs>
              <w:jc w:val="center"/>
              <w:rPr>
                <w:rFonts w:asciiTheme="majorBidi" w:hAnsiTheme="majorBidi" w:cstheme="majorBidi"/>
                <w:color w:val="000000"/>
                <w:sz w:val="6"/>
                <w:szCs w:val="6"/>
              </w:rPr>
            </w:pPr>
          </w:p>
        </w:tc>
        <w:tc>
          <w:tcPr>
            <w:tcW w:w="1035" w:type="dxa"/>
            <w:tcBorders>
              <w:top w:val="nil"/>
              <w:left w:val="nil"/>
              <w:bottom w:val="nil"/>
              <w:right w:val="nil"/>
            </w:tcBorders>
            <w:vAlign w:val="center"/>
          </w:tcPr>
          <w:p w14:paraId="22BA3804" w14:textId="77777777" w:rsidR="0095672A" w:rsidRPr="00FC5602" w:rsidRDefault="0095672A" w:rsidP="008A71E8">
            <w:pPr>
              <w:tabs>
                <w:tab w:val="left" w:pos="426"/>
              </w:tabs>
              <w:jc w:val="center"/>
              <w:rPr>
                <w:rFonts w:asciiTheme="majorBidi" w:hAnsiTheme="majorBidi" w:cstheme="majorBidi"/>
                <w:color w:val="000000"/>
                <w:sz w:val="6"/>
                <w:szCs w:val="6"/>
              </w:rPr>
            </w:pPr>
          </w:p>
        </w:tc>
        <w:tc>
          <w:tcPr>
            <w:tcW w:w="360" w:type="dxa"/>
            <w:tcBorders>
              <w:top w:val="nil"/>
              <w:left w:val="nil"/>
              <w:bottom w:val="nil"/>
              <w:right w:val="nil"/>
            </w:tcBorders>
            <w:vAlign w:val="center"/>
          </w:tcPr>
          <w:p w14:paraId="5D03BEED" w14:textId="77777777" w:rsidR="0095672A" w:rsidRPr="00FC5602" w:rsidRDefault="0095672A" w:rsidP="008A71E8">
            <w:pPr>
              <w:tabs>
                <w:tab w:val="left" w:pos="426"/>
              </w:tabs>
              <w:rPr>
                <w:rFonts w:asciiTheme="majorBidi" w:hAnsiTheme="majorBidi" w:cstheme="majorBidi"/>
                <w:color w:val="000000"/>
                <w:sz w:val="6"/>
                <w:szCs w:val="6"/>
              </w:rPr>
            </w:pPr>
          </w:p>
        </w:tc>
        <w:tc>
          <w:tcPr>
            <w:tcW w:w="1083" w:type="dxa"/>
            <w:tcBorders>
              <w:top w:val="nil"/>
              <w:left w:val="nil"/>
              <w:bottom w:val="nil"/>
              <w:right w:val="nil"/>
            </w:tcBorders>
            <w:vAlign w:val="center"/>
          </w:tcPr>
          <w:p w14:paraId="73C08341" w14:textId="77777777" w:rsidR="0095672A" w:rsidRPr="00FC5602" w:rsidRDefault="0095672A" w:rsidP="008A71E8">
            <w:pPr>
              <w:tabs>
                <w:tab w:val="left" w:pos="426"/>
              </w:tabs>
              <w:jc w:val="center"/>
              <w:rPr>
                <w:rFonts w:asciiTheme="majorBidi" w:hAnsiTheme="majorBidi" w:cstheme="majorBidi"/>
                <w:color w:val="000000"/>
                <w:sz w:val="6"/>
                <w:szCs w:val="6"/>
              </w:rPr>
            </w:pPr>
          </w:p>
        </w:tc>
        <w:tc>
          <w:tcPr>
            <w:tcW w:w="1084" w:type="dxa"/>
            <w:gridSpan w:val="3"/>
            <w:tcBorders>
              <w:top w:val="nil"/>
              <w:left w:val="nil"/>
              <w:bottom w:val="nil"/>
              <w:right w:val="nil"/>
            </w:tcBorders>
            <w:vAlign w:val="center"/>
          </w:tcPr>
          <w:p w14:paraId="3B7849CD" w14:textId="77777777" w:rsidR="0095672A" w:rsidRPr="00FC5602" w:rsidRDefault="0095672A" w:rsidP="008A71E8">
            <w:pPr>
              <w:tabs>
                <w:tab w:val="left" w:pos="426"/>
              </w:tabs>
              <w:jc w:val="center"/>
              <w:rPr>
                <w:rFonts w:asciiTheme="majorBidi" w:hAnsiTheme="majorBidi" w:cstheme="majorBidi"/>
                <w:color w:val="000000"/>
                <w:sz w:val="6"/>
                <w:szCs w:val="6"/>
              </w:rPr>
            </w:pPr>
          </w:p>
        </w:tc>
      </w:tr>
      <w:tr w:rsidR="0095672A" w:rsidRPr="002E1EC0" w14:paraId="513B1DE0" w14:textId="77777777" w:rsidTr="008A71E8">
        <w:trPr>
          <w:gridAfter w:val="1"/>
          <w:wAfter w:w="7" w:type="dxa"/>
          <w:trHeight w:val="295"/>
          <w:jc w:val="center"/>
        </w:trPr>
        <w:tc>
          <w:tcPr>
            <w:tcW w:w="10350" w:type="dxa"/>
            <w:gridSpan w:val="10"/>
            <w:tcBorders>
              <w:top w:val="single" w:sz="8" w:space="0" w:color="auto"/>
              <w:left w:val="nil"/>
              <w:bottom w:val="single" w:sz="12" w:space="0" w:color="auto"/>
              <w:right w:val="nil"/>
            </w:tcBorders>
            <w:vAlign w:val="center"/>
          </w:tcPr>
          <w:p w14:paraId="686DA40B" w14:textId="2CCC4728" w:rsidR="0095672A" w:rsidRPr="002E1EC0" w:rsidRDefault="0095672A" w:rsidP="006C236C">
            <w:pPr>
              <w:tabs>
                <w:tab w:val="left" w:pos="426"/>
              </w:tabs>
              <w:spacing w:before="60" w:after="60"/>
              <w:jc w:val="center"/>
              <w:rPr>
                <w:rFonts w:asciiTheme="majorBidi" w:hAnsiTheme="majorBidi" w:cstheme="majorBidi"/>
                <w:b/>
                <w:bCs/>
                <w:color w:val="000000"/>
              </w:rPr>
            </w:pPr>
            <w:r w:rsidRPr="008B51A8">
              <w:rPr>
                <w:rFonts w:asciiTheme="majorBidi" w:hAnsiTheme="majorBidi" w:cstheme="majorBidi"/>
                <w:b/>
                <w:bCs/>
                <w:color w:val="000000"/>
                <w:sz w:val="20"/>
                <w:szCs w:val="20"/>
              </w:rPr>
              <w:t xml:space="preserve">Panel </w:t>
            </w:r>
            <w:r>
              <w:rPr>
                <w:rFonts w:asciiTheme="majorBidi" w:hAnsiTheme="majorBidi" w:cstheme="majorBidi"/>
                <w:b/>
                <w:bCs/>
                <w:color w:val="000000"/>
                <w:sz w:val="20"/>
                <w:szCs w:val="20"/>
              </w:rPr>
              <w:t>B</w:t>
            </w:r>
            <w:r w:rsidRPr="008B51A8">
              <w:rPr>
                <w:rFonts w:asciiTheme="majorBidi" w:hAnsiTheme="majorBidi" w:cstheme="majorBidi"/>
                <w:b/>
                <w:bCs/>
                <w:color w:val="000000"/>
                <w:sz w:val="20"/>
                <w:szCs w:val="20"/>
              </w:rPr>
              <w:t xml:space="preserve">: Mean and Median </w:t>
            </w:r>
            <w:r w:rsidR="00441C4F">
              <w:rPr>
                <w:rFonts w:asciiTheme="majorBidi" w:hAnsiTheme="majorBidi" w:cstheme="majorBidi"/>
                <w:b/>
                <w:bCs/>
                <w:color w:val="000000"/>
                <w:sz w:val="20"/>
                <w:szCs w:val="20"/>
              </w:rPr>
              <w:t>C</w:t>
            </w:r>
            <w:r w:rsidRPr="008B51A8">
              <w:rPr>
                <w:rFonts w:asciiTheme="majorBidi" w:hAnsiTheme="majorBidi" w:cstheme="majorBidi"/>
                <w:b/>
                <w:bCs/>
                <w:color w:val="000000"/>
                <w:sz w:val="20"/>
                <w:szCs w:val="20"/>
              </w:rPr>
              <w:t xml:space="preserve">omparisons </w:t>
            </w:r>
            <w:r w:rsidR="00441C4F">
              <w:rPr>
                <w:rFonts w:asciiTheme="majorBidi" w:hAnsiTheme="majorBidi" w:cstheme="majorBidi"/>
                <w:b/>
                <w:bCs/>
                <w:color w:val="000000"/>
                <w:sz w:val="20"/>
                <w:szCs w:val="20"/>
              </w:rPr>
              <w:t>Based</w:t>
            </w:r>
            <w:r w:rsidRPr="008B51A8">
              <w:rPr>
                <w:rFonts w:asciiTheme="majorBidi" w:hAnsiTheme="majorBidi" w:cstheme="majorBidi"/>
                <w:b/>
                <w:bCs/>
                <w:color w:val="000000"/>
                <w:sz w:val="20"/>
                <w:szCs w:val="20"/>
              </w:rPr>
              <w:t xml:space="preserve"> on the </w:t>
            </w:r>
            <w:r>
              <w:rPr>
                <w:rFonts w:asciiTheme="majorBidi" w:hAnsiTheme="majorBidi" w:cstheme="majorBidi"/>
                <w:b/>
                <w:bCs/>
                <w:color w:val="000000"/>
                <w:sz w:val="20"/>
                <w:szCs w:val="20"/>
              </w:rPr>
              <w:t xml:space="preserve">Financial Development </w:t>
            </w:r>
            <w:r w:rsidR="00441C4F">
              <w:rPr>
                <w:rFonts w:asciiTheme="majorBidi" w:hAnsiTheme="majorBidi" w:cstheme="majorBidi"/>
                <w:b/>
                <w:bCs/>
                <w:color w:val="000000"/>
                <w:sz w:val="20"/>
                <w:szCs w:val="20"/>
              </w:rPr>
              <w:t>Sc</w:t>
            </w:r>
            <w:r>
              <w:rPr>
                <w:rFonts w:asciiTheme="majorBidi" w:hAnsiTheme="majorBidi" w:cstheme="majorBidi"/>
                <w:b/>
                <w:bCs/>
                <w:color w:val="000000"/>
                <w:sz w:val="20"/>
                <w:szCs w:val="20"/>
              </w:rPr>
              <w:t>ore</w:t>
            </w:r>
            <w:r w:rsidR="00441C4F">
              <w:rPr>
                <w:rFonts w:asciiTheme="majorBidi" w:hAnsiTheme="majorBidi" w:cstheme="majorBidi"/>
                <w:b/>
                <w:bCs/>
                <w:color w:val="000000"/>
                <w:sz w:val="20"/>
                <w:szCs w:val="20"/>
              </w:rPr>
              <w:t xml:space="preserve"> 2017</w:t>
            </w:r>
          </w:p>
        </w:tc>
      </w:tr>
      <w:tr w:rsidR="0095672A" w:rsidRPr="008B51A8" w14:paraId="40B4FC10" w14:textId="77777777" w:rsidTr="008A71E8">
        <w:trPr>
          <w:trHeight w:val="330"/>
          <w:jc w:val="center"/>
        </w:trPr>
        <w:tc>
          <w:tcPr>
            <w:tcW w:w="3330" w:type="dxa"/>
            <w:tcBorders>
              <w:top w:val="single" w:sz="8" w:space="0" w:color="auto"/>
              <w:left w:val="nil"/>
              <w:bottom w:val="nil"/>
              <w:right w:val="nil"/>
            </w:tcBorders>
            <w:vAlign w:val="center"/>
          </w:tcPr>
          <w:p w14:paraId="63F5F915" w14:textId="77777777" w:rsidR="0095672A" w:rsidRPr="008B51A8" w:rsidRDefault="0095672A" w:rsidP="008A71E8">
            <w:pPr>
              <w:tabs>
                <w:tab w:val="left" w:pos="426"/>
              </w:tabs>
              <w:rPr>
                <w:rFonts w:asciiTheme="majorBidi" w:hAnsiTheme="majorBidi" w:cstheme="majorBidi"/>
                <w:color w:val="000000"/>
                <w:sz w:val="20"/>
                <w:szCs w:val="20"/>
              </w:rPr>
            </w:pPr>
          </w:p>
        </w:tc>
        <w:tc>
          <w:tcPr>
            <w:tcW w:w="2070" w:type="dxa"/>
            <w:gridSpan w:val="2"/>
            <w:tcBorders>
              <w:top w:val="single" w:sz="8" w:space="0" w:color="auto"/>
              <w:left w:val="nil"/>
              <w:bottom w:val="single" w:sz="8" w:space="0" w:color="auto"/>
              <w:right w:val="nil"/>
            </w:tcBorders>
            <w:vAlign w:val="center"/>
          </w:tcPr>
          <w:p w14:paraId="6E618B3E"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Upper 50%</w:t>
            </w:r>
          </w:p>
        </w:tc>
        <w:tc>
          <w:tcPr>
            <w:tcW w:w="360" w:type="dxa"/>
            <w:tcBorders>
              <w:top w:val="single" w:sz="8" w:space="0" w:color="auto"/>
              <w:left w:val="nil"/>
              <w:bottom w:val="nil"/>
              <w:right w:val="nil"/>
            </w:tcBorders>
            <w:vAlign w:val="center"/>
          </w:tcPr>
          <w:p w14:paraId="2F27C9F4"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2070" w:type="dxa"/>
            <w:gridSpan w:val="2"/>
            <w:tcBorders>
              <w:top w:val="single" w:sz="8" w:space="0" w:color="auto"/>
              <w:left w:val="nil"/>
              <w:bottom w:val="single" w:sz="8" w:space="0" w:color="auto"/>
              <w:right w:val="nil"/>
            </w:tcBorders>
            <w:vAlign w:val="center"/>
          </w:tcPr>
          <w:p w14:paraId="247B5602"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Lower 50%</w:t>
            </w:r>
          </w:p>
        </w:tc>
        <w:tc>
          <w:tcPr>
            <w:tcW w:w="360" w:type="dxa"/>
            <w:tcBorders>
              <w:top w:val="nil"/>
              <w:left w:val="nil"/>
              <w:bottom w:val="nil"/>
              <w:right w:val="nil"/>
            </w:tcBorders>
            <w:vAlign w:val="center"/>
          </w:tcPr>
          <w:p w14:paraId="2A9F3F54" w14:textId="77777777" w:rsidR="0095672A" w:rsidRPr="008B51A8" w:rsidRDefault="0095672A" w:rsidP="008A71E8">
            <w:pPr>
              <w:tabs>
                <w:tab w:val="left" w:pos="426"/>
              </w:tabs>
              <w:rPr>
                <w:rFonts w:asciiTheme="majorBidi" w:hAnsiTheme="majorBidi" w:cstheme="majorBidi"/>
                <w:color w:val="000000"/>
                <w:sz w:val="20"/>
                <w:szCs w:val="20"/>
              </w:rPr>
            </w:pPr>
          </w:p>
        </w:tc>
        <w:tc>
          <w:tcPr>
            <w:tcW w:w="2167" w:type="dxa"/>
            <w:gridSpan w:val="4"/>
            <w:tcBorders>
              <w:top w:val="nil"/>
              <w:left w:val="nil"/>
              <w:bottom w:val="single" w:sz="8" w:space="0" w:color="auto"/>
              <w:right w:val="nil"/>
            </w:tcBorders>
            <w:vAlign w:val="center"/>
          </w:tcPr>
          <w:p w14:paraId="3A4D40A0"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Difference</w:t>
            </w:r>
          </w:p>
        </w:tc>
      </w:tr>
      <w:tr w:rsidR="0095672A" w:rsidRPr="008B51A8" w14:paraId="70BD30AE" w14:textId="77777777" w:rsidTr="008A71E8">
        <w:trPr>
          <w:trHeight w:val="322"/>
          <w:jc w:val="center"/>
        </w:trPr>
        <w:tc>
          <w:tcPr>
            <w:tcW w:w="3330" w:type="dxa"/>
            <w:tcBorders>
              <w:top w:val="nil"/>
              <w:left w:val="nil"/>
              <w:bottom w:val="single" w:sz="4" w:space="0" w:color="auto"/>
              <w:right w:val="nil"/>
            </w:tcBorders>
            <w:vAlign w:val="center"/>
          </w:tcPr>
          <w:p w14:paraId="7A36C5A7" w14:textId="77777777" w:rsidR="0095672A" w:rsidRPr="008B51A8" w:rsidRDefault="0095672A" w:rsidP="008A71E8">
            <w:pPr>
              <w:tabs>
                <w:tab w:val="left" w:pos="426"/>
              </w:tabs>
              <w:rPr>
                <w:rFonts w:asciiTheme="majorBidi" w:hAnsiTheme="majorBidi" w:cstheme="majorBidi"/>
                <w:color w:val="000000"/>
                <w:sz w:val="20"/>
                <w:szCs w:val="20"/>
              </w:rPr>
            </w:pPr>
          </w:p>
        </w:tc>
        <w:tc>
          <w:tcPr>
            <w:tcW w:w="1035" w:type="dxa"/>
            <w:tcBorders>
              <w:top w:val="single" w:sz="8" w:space="0" w:color="auto"/>
              <w:left w:val="nil"/>
              <w:bottom w:val="single" w:sz="4" w:space="0" w:color="auto"/>
              <w:right w:val="nil"/>
            </w:tcBorders>
            <w:vAlign w:val="center"/>
          </w:tcPr>
          <w:p w14:paraId="2249A1B0"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Mean</w:t>
            </w:r>
          </w:p>
        </w:tc>
        <w:tc>
          <w:tcPr>
            <w:tcW w:w="1035" w:type="dxa"/>
            <w:tcBorders>
              <w:top w:val="single" w:sz="8" w:space="0" w:color="auto"/>
              <w:left w:val="nil"/>
              <w:bottom w:val="single" w:sz="4" w:space="0" w:color="auto"/>
              <w:right w:val="nil"/>
            </w:tcBorders>
            <w:vAlign w:val="center"/>
          </w:tcPr>
          <w:p w14:paraId="7DCCA6E3"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Median</w:t>
            </w:r>
          </w:p>
        </w:tc>
        <w:tc>
          <w:tcPr>
            <w:tcW w:w="360" w:type="dxa"/>
            <w:tcBorders>
              <w:top w:val="nil"/>
              <w:left w:val="nil"/>
              <w:bottom w:val="single" w:sz="4" w:space="0" w:color="auto"/>
              <w:right w:val="nil"/>
            </w:tcBorders>
            <w:vAlign w:val="center"/>
          </w:tcPr>
          <w:p w14:paraId="2F2B5D62"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single" w:sz="8" w:space="0" w:color="auto"/>
              <w:left w:val="nil"/>
              <w:bottom w:val="single" w:sz="4" w:space="0" w:color="auto"/>
              <w:right w:val="nil"/>
            </w:tcBorders>
            <w:vAlign w:val="center"/>
          </w:tcPr>
          <w:p w14:paraId="2DAA4973"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Mean</w:t>
            </w:r>
          </w:p>
        </w:tc>
        <w:tc>
          <w:tcPr>
            <w:tcW w:w="1035" w:type="dxa"/>
            <w:tcBorders>
              <w:top w:val="single" w:sz="8" w:space="0" w:color="auto"/>
              <w:left w:val="nil"/>
              <w:bottom w:val="single" w:sz="4" w:space="0" w:color="auto"/>
              <w:right w:val="nil"/>
            </w:tcBorders>
            <w:vAlign w:val="center"/>
          </w:tcPr>
          <w:p w14:paraId="78D09A3D"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Median</w:t>
            </w:r>
          </w:p>
        </w:tc>
        <w:tc>
          <w:tcPr>
            <w:tcW w:w="360" w:type="dxa"/>
            <w:tcBorders>
              <w:top w:val="nil"/>
              <w:left w:val="nil"/>
              <w:bottom w:val="single" w:sz="4" w:space="0" w:color="auto"/>
              <w:right w:val="nil"/>
            </w:tcBorders>
            <w:vAlign w:val="center"/>
          </w:tcPr>
          <w:p w14:paraId="75BA11B7" w14:textId="77777777" w:rsidR="0095672A" w:rsidRPr="008B51A8" w:rsidRDefault="0095672A" w:rsidP="008A71E8">
            <w:pPr>
              <w:tabs>
                <w:tab w:val="left" w:pos="426"/>
              </w:tabs>
              <w:rPr>
                <w:rFonts w:asciiTheme="majorBidi" w:hAnsiTheme="majorBidi" w:cstheme="majorBidi"/>
                <w:color w:val="000000"/>
                <w:sz w:val="20"/>
                <w:szCs w:val="20"/>
              </w:rPr>
            </w:pPr>
          </w:p>
        </w:tc>
        <w:tc>
          <w:tcPr>
            <w:tcW w:w="1083" w:type="dxa"/>
            <w:tcBorders>
              <w:top w:val="single" w:sz="8" w:space="0" w:color="auto"/>
              <w:left w:val="nil"/>
              <w:bottom w:val="single" w:sz="4" w:space="0" w:color="auto"/>
              <w:right w:val="nil"/>
            </w:tcBorders>
            <w:vAlign w:val="center"/>
          </w:tcPr>
          <w:p w14:paraId="7E46878C"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Mean</w:t>
            </w:r>
          </w:p>
        </w:tc>
        <w:tc>
          <w:tcPr>
            <w:tcW w:w="1084" w:type="dxa"/>
            <w:gridSpan w:val="3"/>
            <w:tcBorders>
              <w:top w:val="single" w:sz="8" w:space="0" w:color="auto"/>
              <w:left w:val="nil"/>
              <w:bottom w:val="single" w:sz="4" w:space="0" w:color="auto"/>
              <w:right w:val="nil"/>
            </w:tcBorders>
            <w:vAlign w:val="center"/>
          </w:tcPr>
          <w:p w14:paraId="72CAFF9D" w14:textId="77777777" w:rsidR="0095672A" w:rsidRPr="008B51A8" w:rsidRDefault="0095672A" w:rsidP="008A71E8">
            <w:pPr>
              <w:tabs>
                <w:tab w:val="left" w:pos="426"/>
              </w:tabs>
              <w:jc w:val="center"/>
              <w:rPr>
                <w:rFonts w:asciiTheme="majorBidi" w:hAnsiTheme="majorBidi" w:cstheme="majorBidi"/>
                <w:color w:val="000000"/>
                <w:sz w:val="20"/>
                <w:szCs w:val="20"/>
              </w:rPr>
            </w:pPr>
            <w:r w:rsidRPr="008B51A8">
              <w:rPr>
                <w:rFonts w:asciiTheme="majorBidi" w:hAnsiTheme="majorBidi" w:cstheme="majorBidi"/>
                <w:color w:val="000000"/>
                <w:sz w:val="20"/>
                <w:szCs w:val="20"/>
              </w:rPr>
              <w:t>Median</w:t>
            </w:r>
          </w:p>
        </w:tc>
      </w:tr>
      <w:tr w:rsidR="0095672A" w:rsidRPr="008B51A8" w14:paraId="40021DCF" w14:textId="77777777" w:rsidTr="008A71E8">
        <w:trPr>
          <w:trHeight w:val="356"/>
          <w:jc w:val="center"/>
        </w:trPr>
        <w:tc>
          <w:tcPr>
            <w:tcW w:w="3330" w:type="dxa"/>
            <w:tcBorders>
              <w:top w:val="single" w:sz="4" w:space="0" w:color="auto"/>
              <w:left w:val="nil"/>
              <w:bottom w:val="nil"/>
              <w:right w:val="nil"/>
            </w:tcBorders>
            <w:vAlign w:val="center"/>
          </w:tcPr>
          <w:p w14:paraId="25016CC9" w14:textId="77777777" w:rsidR="0095672A" w:rsidRPr="008B51A8" w:rsidRDefault="0095672A" w:rsidP="008A71E8">
            <w:pPr>
              <w:tabs>
                <w:tab w:val="left" w:pos="426"/>
              </w:tabs>
              <w:rPr>
                <w:rFonts w:asciiTheme="majorBidi" w:hAnsiTheme="majorBidi" w:cstheme="majorBidi"/>
                <w:color w:val="000000"/>
                <w:sz w:val="20"/>
                <w:szCs w:val="20"/>
              </w:rPr>
            </w:pPr>
            <w:r w:rsidRPr="008B51A8">
              <w:rPr>
                <w:rFonts w:asciiTheme="majorBidi" w:hAnsiTheme="majorBidi" w:cstheme="majorBidi"/>
                <w:color w:val="000000"/>
                <w:sz w:val="20"/>
                <w:szCs w:val="20"/>
              </w:rPr>
              <w:t>Rule of Law (RLAW)</w:t>
            </w:r>
          </w:p>
        </w:tc>
        <w:tc>
          <w:tcPr>
            <w:tcW w:w="1035" w:type="dxa"/>
            <w:tcBorders>
              <w:top w:val="single" w:sz="4" w:space="0" w:color="auto"/>
              <w:left w:val="nil"/>
              <w:bottom w:val="nil"/>
              <w:right w:val="nil"/>
            </w:tcBorders>
            <w:vAlign w:val="center"/>
          </w:tcPr>
          <w:p w14:paraId="42B73250" w14:textId="77777777" w:rsidR="0095672A" w:rsidRPr="00180216" w:rsidRDefault="0095672A" w:rsidP="008A71E8">
            <w:pPr>
              <w:tabs>
                <w:tab w:val="left" w:pos="426"/>
              </w:tabs>
              <w:jc w:val="center"/>
              <w:rPr>
                <w:rFonts w:asciiTheme="majorBidi" w:hAnsiTheme="majorBidi" w:cstheme="majorBidi"/>
                <w:color w:val="000000"/>
                <w:sz w:val="20"/>
                <w:szCs w:val="20"/>
              </w:rPr>
            </w:pPr>
            <w:r w:rsidRPr="00180216">
              <w:rPr>
                <w:rFonts w:asciiTheme="majorBidi" w:hAnsiTheme="majorBidi" w:cstheme="majorBidi"/>
                <w:color w:val="000000"/>
                <w:sz w:val="20"/>
                <w:szCs w:val="20"/>
              </w:rPr>
              <w:t>1.468</w:t>
            </w:r>
          </w:p>
        </w:tc>
        <w:tc>
          <w:tcPr>
            <w:tcW w:w="1035" w:type="dxa"/>
            <w:tcBorders>
              <w:top w:val="single" w:sz="4" w:space="0" w:color="auto"/>
              <w:left w:val="nil"/>
              <w:bottom w:val="nil"/>
              <w:right w:val="nil"/>
            </w:tcBorders>
            <w:vAlign w:val="center"/>
          </w:tcPr>
          <w:p w14:paraId="0911F1FF"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2.131</w:t>
            </w:r>
          </w:p>
        </w:tc>
        <w:tc>
          <w:tcPr>
            <w:tcW w:w="360" w:type="dxa"/>
            <w:tcBorders>
              <w:top w:val="single" w:sz="4" w:space="0" w:color="auto"/>
              <w:left w:val="nil"/>
              <w:bottom w:val="nil"/>
              <w:right w:val="nil"/>
            </w:tcBorders>
            <w:vAlign w:val="center"/>
          </w:tcPr>
          <w:p w14:paraId="107D6954"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single" w:sz="4" w:space="0" w:color="auto"/>
              <w:left w:val="nil"/>
              <w:bottom w:val="nil"/>
              <w:right w:val="nil"/>
            </w:tcBorders>
            <w:vAlign w:val="center"/>
          </w:tcPr>
          <w:p w14:paraId="363E7D01"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-1.401</w:t>
            </w:r>
          </w:p>
        </w:tc>
        <w:tc>
          <w:tcPr>
            <w:tcW w:w="1035" w:type="dxa"/>
            <w:tcBorders>
              <w:top w:val="single" w:sz="4" w:space="0" w:color="auto"/>
              <w:left w:val="nil"/>
              <w:bottom w:val="nil"/>
              <w:right w:val="nil"/>
            </w:tcBorders>
            <w:vAlign w:val="center"/>
          </w:tcPr>
          <w:p w14:paraId="164E5FC4"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-2.011</w:t>
            </w:r>
          </w:p>
        </w:tc>
        <w:tc>
          <w:tcPr>
            <w:tcW w:w="360" w:type="dxa"/>
            <w:tcBorders>
              <w:top w:val="single" w:sz="4" w:space="0" w:color="auto"/>
              <w:left w:val="nil"/>
              <w:bottom w:val="nil"/>
              <w:right w:val="nil"/>
            </w:tcBorders>
            <w:vAlign w:val="center"/>
          </w:tcPr>
          <w:p w14:paraId="57BC91DB"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center"/>
          </w:tcPr>
          <w:p w14:paraId="78346C7A"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2.869***</w:t>
            </w:r>
            <w:r w:rsidRPr="003670CD">
              <w:rPr>
                <w:rFonts w:asciiTheme="majorBidi" w:hAnsiTheme="majorBidi" w:cstheme="majorBidi"/>
                <w:color w:val="000000"/>
                <w:sz w:val="20"/>
                <w:szCs w:val="20"/>
              </w:rPr>
              <w:br/>
              <w:t>(0</w:t>
            </w:r>
            <w:r>
              <w:rPr>
                <w:rFonts w:asciiTheme="majorBidi" w:hAnsiTheme="majorBidi" w:cstheme="majorBidi"/>
                <w:color w:val="000000"/>
                <w:sz w:val="20"/>
                <w:szCs w:val="20"/>
              </w:rPr>
              <w:t>.000</w:t>
            </w:r>
            <w:r w:rsidRPr="003670CD">
              <w:rPr>
                <w:rFonts w:asciiTheme="majorBidi" w:hAnsiTheme="majorBidi" w:cstheme="majorBidi"/>
                <w:color w:val="000000"/>
                <w:sz w:val="20"/>
                <w:szCs w:val="20"/>
              </w:rPr>
              <w:t>)</w:t>
            </w:r>
          </w:p>
        </w:tc>
        <w:tc>
          <w:tcPr>
            <w:tcW w:w="1084" w:type="dxa"/>
            <w:gridSpan w:val="3"/>
            <w:tcBorders>
              <w:top w:val="nil"/>
              <w:left w:val="nil"/>
              <w:bottom w:val="nil"/>
              <w:right w:val="nil"/>
            </w:tcBorders>
            <w:shd w:val="clear" w:color="auto" w:fill="auto"/>
            <w:vAlign w:val="center"/>
          </w:tcPr>
          <w:p w14:paraId="0E327012" w14:textId="77777777" w:rsidR="0095672A" w:rsidRPr="00F74309" w:rsidRDefault="0095672A" w:rsidP="008A71E8">
            <w:pPr>
              <w:tabs>
                <w:tab w:val="left" w:pos="426"/>
              </w:tabs>
              <w:jc w:val="center"/>
              <w:rPr>
                <w:rFonts w:asciiTheme="majorBidi" w:hAnsiTheme="majorBidi" w:cstheme="majorBidi"/>
                <w:color w:val="000000"/>
                <w:sz w:val="20"/>
                <w:szCs w:val="20"/>
              </w:rPr>
            </w:pPr>
            <w:r w:rsidRPr="00F74309">
              <w:rPr>
                <w:rFonts w:asciiTheme="majorBidi" w:hAnsiTheme="majorBidi" w:cstheme="majorBidi"/>
                <w:color w:val="000000"/>
                <w:sz w:val="20"/>
                <w:szCs w:val="20"/>
              </w:rPr>
              <w:t>4.142***</w:t>
            </w:r>
            <w:r w:rsidRPr="00F74309">
              <w:rPr>
                <w:rFonts w:asciiTheme="majorBidi" w:hAnsiTheme="majorBidi" w:cstheme="majorBidi"/>
                <w:color w:val="000000"/>
                <w:sz w:val="20"/>
                <w:szCs w:val="20"/>
              </w:rPr>
              <w:br/>
              <w:t>(0</w:t>
            </w:r>
            <w:r>
              <w:rPr>
                <w:rFonts w:asciiTheme="majorBidi" w:hAnsiTheme="majorBidi" w:cstheme="majorBidi"/>
                <w:color w:val="000000"/>
                <w:sz w:val="20"/>
                <w:szCs w:val="20"/>
              </w:rPr>
              <w:t>.000</w:t>
            </w:r>
            <w:r w:rsidRPr="00F74309">
              <w:rPr>
                <w:rFonts w:asciiTheme="majorBidi" w:hAnsiTheme="majorBidi" w:cstheme="majorBidi"/>
                <w:color w:val="000000"/>
                <w:sz w:val="20"/>
                <w:szCs w:val="20"/>
              </w:rPr>
              <w:t>)</w:t>
            </w:r>
          </w:p>
        </w:tc>
      </w:tr>
      <w:tr w:rsidR="0095672A" w:rsidRPr="008B51A8" w14:paraId="73A04743" w14:textId="77777777" w:rsidTr="008A71E8">
        <w:trPr>
          <w:trHeight w:val="356"/>
          <w:jc w:val="center"/>
        </w:trPr>
        <w:tc>
          <w:tcPr>
            <w:tcW w:w="3330" w:type="dxa"/>
            <w:tcBorders>
              <w:top w:val="nil"/>
              <w:left w:val="nil"/>
              <w:bottom w:val="nil"/>
              <w:right w:val="nil"/>
            </w:tcBorders>
            <w:vAlign w:val="center"/>
          </w:tcPr>
          <w:p w14:paraId="2C3E5BAD" w14:textId="77777777" w:rsidR="0095672A" w:rsidRPr="008B51A8" w:rsidRDefault="0095672A" w:rsidP="008A71E8">
            <w:pPr>
              <w:tabs>
                <w:tab w:val="left" w:pos="426"/>
              </w:tabs>
              <w:rPr>
                <w:rFonts w:asciiTheme="majorBidi" w:hAnsiTheme="majorBidi" w:cstheme="majorBidi"/>
                <w:color w:val="000000"/>
                <w:sz w:val="20"/>
                <w:szCs w:val="20"/>
              </w:rPr>
            </w:pPr>
            <w:r>
              <w:rPr>
                <w:rFonts w:asciiTheme="majorBidi" w:hAnsiTheme="majorBidi" w:cstheme="majorBidi"/>
                <w:color w:val="000000"/>
                <w:sz w:val="20"/>
                <w:szCs w:val="20"/>
              </w:rPr>
              <w:t>Freedom of Media</w:t>
            </w:r>
            <w:r w:rsidRPr="008B51A8">
              <w:rPr>
                <w:rFonts w:asciiTheme="majorBidi" w:hAnsiTheme="majorBidi" w:cstheme="majorBidi"/>
                <w:color w:val="000000"/>
                <w:sz w:val="20"/>
                <w:szCs w:val="20"/>
              </w:rPr>
              <w:t xml:space="preserve"> (MEDI)</w:t>
            </w:r>
          </w:p>
        </w:tc>
        <w:tc>
          <w:tcPr>
            <w:tcW w:w="1035" w:type="dxa"/>
            <w:tcBorders>
              <w:top w:val="nil"/>
              <w:left w:val="nil"/>
              <w:bottom w:val="nil"/>
              <w:right w:val="nil"/>
            </w:tcBorders>
            <w:vAlign w:val="center"/>
          </w:tcPr>
          <w:p w14:paraId="6F4FCEA4" w14:textId="77777777" w:rsidR="0095672A" w:rsidRPr="00180216" w:rsidRDefault="0095672A" w:rsidP="008A71E8">
            <w:pPr>
              <w:tabs>
                <w:tab w:val="left" w:pos="426"/>
              </w:tabs>
              <w:jc w:val="center"/>
              <w:rPr>
                <w:rFonts w:asciiTheme="majorBidi" w:hAnsiTheme="majorBidi" w:cstheme="majorBidi"/>
                <w:color w:val="000000"/>
                <w:sz w:val="20"/>
                <w:szCs w:val="20"/>
              </w:rPr>
            </w:pPr>
            <w:r w:rsidRPr="00180216">
              <w:rPr>
                <w:rFonts w:asciiTheme="majorBidi" w:hAnsiTheme="majorBidi" w:cstheme="majorBidi"/>
                <w:color w:val="000000"/>
                <w:sz w:val="20"/>
                <w:szCs w:val="20"/>
              </w:rPr>
              <w:t>0.490</w:t>
            </w:r>
          </w:p>
        </w:tc>
        <w:tc>
          <w:tcPr>
            <w:tcW w:w="1035" w:type="dxa"/>
            <w:tcBorders>
              <w:top w:val="nil"/>
              <w:left w:val="nil"/>
              <w:bottom w:val="nil"/>
              <w:right w:val="nil"/>
            </w:tcBorders>
            <w:vAlign w:val="center"/>
          </w:tcPr>
          <w:p w14:paraId="63B75EC4"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0.904</w:t>
            </w:r>
          </w:p>
        </w:tc>
        <w:tc>
          <w:tcPr>
            <w:tcW w:w="360" w:type="dxa"/>
            <w:tcBorders>
              <w:top w:val="nil"/>
              <w:left w:val="nil"/>
              <w:bottom w:val="nil"/>
              <w:right w:val="nil"/>
            </w:tcBorders>
            <w:vAlign w:val="center"/>
          </w:tcPr>
          <w:p w14:paraId="0CBB6258"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0BB874FB"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-0.468</w:t>
            </w:r>
          </w:p>
        </w:tc>
        <w:tc>
          <w:tcPr>
            <w:tcW w:w="1035" w:type="dxa"/>
            <w:tcBorders>
              <w:top w:val="nil"/>
              <w:left w:val="nil"/>
              <w:bottom w:val="nil"/>
              <w:right w:val="nil"/>
            </w:tcBorders>
            <w:vAlign w:val="center"/>
          </w:tcPr>
          <w:p w14:paraId="3E6C7EB3"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-0.234</w:t>
            </w:r>
          </w:p>
        </w:tc>
        <w:tc>
          <w:tcPr>
            <w:tcW w:w="360" w:type="dxa"/>
            <w:tcBorders>
              <w:top w:val="nil"/>
              <w:left w:val="nil"/>
              <w:bottom w:val="nil"/>
              <w:right w:val="nil"/>
            </w:tcBorders>
            <w:vAlign w:val="center"/>
          </w:tcPr>
          <w:p w14:paraId="634577BC"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center"/>
          </w:tcPr>
          <w:p w14:paraId="7B0F57E9"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0.958</w:t>
            </w:r>
            <w:r>
              <w:rPr>
                <w:rFonts w:asciiTheme="majorBidi" w:hAnsiTheme="majorBidi" w:cstheme="majorBidi"/>
                <w:color w:val="000000"/>
                <w:sz w:val="20"/>
                <w:szCs w:val="20"/>
              </w:rPr>
              <w:t>*</w:t>
            </w:r>
            <w:r w:rsidRPr="003670CD">
              <w:rPr>
                <w:rFonts w:asciiTheme="majorBidi" w:hAnsiTheme="majorBidi" w:cstheme="majorBidi"/>
                <w:color w:val="000000"/>
                <w:sz w:val="20"/>
                <w:szCs w:val="20"/>
              </w:rPr>
              <w:br/>
              <w:t>(0.06</w:t>
            </w:r>
            <w:r>
              <w:rPr>
                <w:rFonts w:asciiTheme="majorBidi" w:hAnsiTheme="majorBidi" w:cstheme="majorBidi"/>
                <w:color w:val="000000"/>
                <w:sz w:val="20"/>
                <w:szCs w:val="20"/>
              </w:rPr>
              <w:t>0</w:t>
            </w:r>
            <w:r w:rsidRPr="003670CD">
              <w:rPr>
                <w:rFonts w:asciiTheme="majorBidi" w:hAnsiTheme="majorBidi" w:cstheme="majorBidi"/>
                <w:color w:val="000000"/>
                <w:sz w:val="20"/>
                <w:szCs w:val="20"/>
              </w:rPr>
              <w:t>)</w:t>
            </w:r>
          </w:p>
        </w:tc>
        <w:tc>
          <w:tcPr>
            <w:tcW w:w="1084" w:type="dxa"/>
            <w:gridSpan w:val="3"/>
            <w:tcBorders>
              <w:top w:val="nil"/>
              <w:left w:val="nil"/>
              <w:bottom w:val="nil"/>
              <w:right w:val="nil"/>
            </w:tcBorders>
            <w:shd w:val="clear" w:color="auto" w:fill="auto"/>
            <w:vAlign w:val="center"/>
          </w:tcPr>
          <w:p w14:paraId="16AC8613" w14:textId="77777777" w:rsidR="0095672A" w:rsidRPr="00F74309" w:rsidRDefault="0095672A" w:rsidP="008A71E8">
            <w:pPr>
              <w:tabs>
                <w:tab w:val="left" w:pos="426"/>
              </w:tabs>
              <w:jc w:val="center"/>
              <w:rPr>
                <w:rFonts w:asciiTheme="majorBidi" w:hAnsiTheme="majorBidi" w:cstheme="majorBidi"/>
                <w:color w:val="000000"/>
                <w:sz w:val="20"/>
                <w:szCs w:val="20"/>
              </w:rPr>
            </w:pPr>
            <w:r w:rsidRPr="00F74309">
              <w:rPr>
                <w:rFonts w:asciiTheme="majorBidi" w:hAnsiTheme="majorBidi" w:cstheme="majorBidi"/>
                <w:color w:val="000000"/>
                <w:sz w:val="20"/>
                <w:szCs w:val="20"/>
              </w:rPr>
              <w:t>1.138**</w:t>
            </w:r>
            <w:r w:rsidRPr="00F74309">
              <w:rPr>
                <w:rFonts w:asciiTheme="majorBidi" w:hAnsiTheme="majorBidi" w:cstheme="majorBidi"/>
                <w:color w:val="000000"/>
                <w:sz w:val="20"/>
                <w:szCs w:val="20"/>
              </w:rPr>
              <w:br/>
              <w:t>(0.022)</w:t>
            </w:r>
          </w:p>
        </w:tc>
      </w:tr>
      <w:tr w:rsidR="0095672A" w:rsidRPr="008B51A8" w14:paraId="5EC06895" w14:textId="77777777" w:rsidTr="008A71E8">
        <w:trPr>
          <w:trHeight w:val="356"/>
          <w:jc w:val="center"/>
        </w:trPr>
        <w:tc>
          <w:tcPr>
            <w:tcW w:w="3330" w:type="dxa"/>
            <w:tcBorders>
              <w:top w:val="nil"/>
              <w:left w:val="nil"/>
              <w:bottom w:val="nil"/>
              <w:right w:val="nil"/>
            </w:tcBorders>
            <w:vAlign w:val="center"/>
          </w:tcPr>
          <w:p w14:paraId="66DAD6AA" w14:textId="77777777" w:rsidR="0095672A" w:rsidRPr="008B51A8" w:rsidRDefault="0095672A" w:rsidP="008A71E8">
            <w:pPr>
              <w:tabs>
                <w:tab w:val="left" w:pos="426"/>
              </w:tabs>
              <w:rPr>
                <w:rFonts w:asciiTheme="majorBidi" w:hAnsiTheme="majorBidi" w:cstheme="majorBidi"/>
                <w:color w:val="000000"/>
                <w:sz w:val="20"/>
                <w:szCs w:val="20"/>
              </w:rPr>
            </w:pPr>
            <w:r w:rsidRPr="008B51A8">
              <w:rPr>
                <w:rFonts w:asciiTheme="majorBidi" w:hAnsiTheme="majorBidi" w:cstheme="majorBidi"/>
                <w:color w:val="000000"/>
                <w:sz w:val="20"/>
                <w:szCs w:val="20"/>
              </w:rPr>
              <w:t xml:space="preserve">Social and Cultural </w:t>
            </w:r>
            <w:r>
              <w:rPr>
                <w:rFonts w:asciiTheme="majorBidi" w:hAnsiTheme="majorBidi" w:cstheme="majorBidi"/>
                <w:color w:val="000000"/>
                <w:sz w:val="20"/>
                <w:szCs w:val="20"/>
              </w:rPr>
              <w:t>index (</w:t>
            </w:r>
            <w:r w:rsidRPr="008B51A8">
              <w:rPr>
                <w:rFonts w:asciiTheme="majorBidi" w:hAnsiTheme="majorBidi" w:cstheme="majorBidi"/>
                <w:color w:val="000000"/>
                <w:sz w:val="20"/>
                <w:szCs w:val="20"/>
              </w:rPr>
              <w:t xml:space="preserve">SOCL) </w:t>
            </w:r>
          </w:p>
        </w:tc>
        <w:tc>
          <w:tcPr>
            <w:tcW w:w="1035" w:type="dxa"/>
            <w:tcBorders>
              <w:top w:val="nil"/>
              <w:left w:val="nil"/>
              <w:bottom w:val="nil"/>
              <w:right w:val="nil"/>
            </w:tcBorders>
            <w:vAlign w:val="center"/>
          </w:tcPr>
          <w:p w14:paraId="746A2560" w14:textId="77777777" w:rsidR="0095672A" w:rsidRPr="00180216" w:rsidRDefault="0095672A" w:rsidP="008A71E8">
            <w:pPr>
              <w:tabs>
                <w:tab w:val="left" w:pos="426"/>
              </w:tabs>
              <w:jc w:val="center"/>
              <w:rPr>
                <w:rFonts w:asciiTheme="majorBidi" w:hAnsiTheme="majorBidi" w:cstheme="majorBidi"/>
                <w:color w:val="000000"/>
                <w:sz w:val="20"/>
                <w:szCs w:val="20"/>
              </w:rPr>
            </w:pPr>
            <w:r w:rsidRPr="00180216">
              <w:rPr>
                <w:rFonts w:asciiTheme="majorBidi" w:hAnsiTheme="majorBidi" w:cstheme="majorBidi"/>
                <w:color w:val="000000"/>
                <w:sz w:val="20"/>
                <w:szCs w:val="20"/>
              </w:rPr>
              <w:t>1.018</w:t>
            </w:r>
          </w:p>
        </w:tc>
        <w:tc>
          <w:tcPr>
            <w:tcW w:w="1035" w:type="dxa"/>
            <w:tcBorders>
              <w:top w:val="nil"/>
              <w:left w:val="nil"/>
              <w:bottom w:val="nil"/>
              <w:right w:val="nil"/>
            </w:tcBorders>
            <w:vAlign w:val="center"/>
          </w:tcPr>
          <w:p w14:paraId="2728CA1D"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1.397</w:t>
            </w:r>
          </w:p>
        </w:tc>
        <w:tc>
          <w:tcPr>
            <w:tcW w:w="360" w:type="dxa"/>
            <w:tcBorders>
              <w:top w:val="nil"/>
              <w:left w:val="nil"/>
              <w:bottom w:val="nil"/>
              <w:right w:val="nil"/>
            </w:tcBorders>
            <w:vAlign w:val="center"/>
          </w:tcPr>
          <w:p w14:paraId="62DE8649"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0DD290DD"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-0.971</w:t>
            </w:r>
          </w:p>
        </w:tc>
        <w:tc>
          <w:tcPr>
            <w:tcW w:w="1035" w:type="dxa"/>
            <w:tcBorders>
              <w:top w:val="nil"/>
              <w:left w:val="nil"/>
              <w:bottom w:val="nil"/>
              <w:right w:val="nil"/>
            </w:tcBorders>
            <w:vAlign w:val="center"/>
          </w:tcPr>
          <w:p w14:paraId="620C28CD"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-0.808</w:t>
            </w:r>
          </w:p>
        </w:tc>
        <w:tc>
          <w:tcPr>
            <w:tcW w:w="360" w:type="dxa"/>
            <w:tcBorders>
              <w:top w:val="nil"/>
              <w:left w:val="nil"/>
              <w:bottom w:val="nil"/>
              <w:right w:val="nil"/>
            </w:tcBorders>
            <w:vAlign w:val="center"/>
          </w:tcPr>
          <w:p w14:paraId="07863B5C"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center"/>
          </w:tcPr>
          <w:p w14:paraId="439FE7B4"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1.989***</w:t>
            </w:r>
            <w:r w:rsidRPr="003670CD">
              <w:rPr>
                <w:rFonts w:asciiTheme="majorBidi" w:hAnsiTheme="majorBidi" w:cstheme="majorBidi"/>
                <w:color w:val="000000"/>
                <w:sz w:val="20"/>
                <w:szCs w:val="20"/>
              </w:rPr>
              <w:br/>
              <w:t>(0</w:t>
            </w:r>
            <w:r>
              <w:rPr>
                <w:rFonts w:asciiTheme="majorBidi" w:hAnsiTheme="majorBidi" w:cstheme="majorBidi"/>
                <w:color w:val="000000"/>
                <w:sz w:val="20"/>
                <w:szCs w:val="20"/>
              </w:rPr>
              <w:t>.000</w:t>
            </w:r>
            <w:r w:rsidRPr="003670CD">
              <w:rPr>
                <w:rFonts w:asciiTheme="majorBidi" w:hAnsiTheme="majorBidi" w:cstheme="majorBidi"/>
                <w:color w:val="000000"/>
                <w:sz w:val="20"/>
                <w:szCs w:val="20"/>
              </w:rPr>
              <w:t>)</w:t>
            </w:r>
          </w:p>
        </w:tc>
        <w:tc>
          <w:tcPr>
            <w:tcW w:w="1084" w:type="dxa"/>
            <w:gridSpan w:val="3"/>
            <w:tcBorders>
              <w:top w:val="nil"/>
              <w:left w:val="nil"/>
              <w:bottom w:val="nil"/>
              <w:right w:val="nil"/>
            </w:tcBorders>
            <w:shd w:val="clear" w:color="auto" w:fill="auto"/>
            <w:vAlign w:val="center"/>
          </w:tcPr>
          <w:p w14:paraId="6888AF77" w14:textId="77777777" w:rsidR="0095672A" w:rsidRPr="00F74309" w:rsidRDefault="0095672A" w:rsidP="008A71E8">
            <w:pPr>
              <w:tabs>
                <w:tab w:val="left" w:pos="426"/>
              </w:tabs>
              <w:jc w:val="center"/>
              <w:rPr>
                <w:rFonts w:asciiTheme="majorBidi" w:hAnsiTheme="majorBidi" w:cstheme="majorBidi"/>
                <w:color w:val="000000"/>
                <w:sz w:val="20"/>
                <w:szCs w:val="20"/>
              </w:rPr>
            </w:pPr>
            <w:r w:rsidRPr="00F74309">
              <w:rPr>
                <w:rFonts w:asciiTheme="majorBidi" w:hAnsiTheme="majorBidi" w:cstheme="majorBidi"/>
                <w:color w:val="000000"/>
                <w:sz w:val="20"/>
                <w:szCs w:val="20"/>
              </w:rPr>
              <w:t>2.205***</w:t>
            </w:r>
            <w:r w:rsidRPr="00F74309">
              <w:rPr>
                <w:rFonts w:asciiTheme="majorBidi" w:hAnsiTheme="majorBidi" w:cstheme="majorBidi"/>
                <w:color w:val="000000"/>
                <w:sz w:val="20"/>
                <w:szCs w:val="20"/>
              </w:rPr>
              <w:br/>
              <w:t>(0</w:t>
            </w:r>
            <w:r>
              <w:rPr>
                <w:rFonts w:asciiTheme="majorBidi" w:hAnsiTheme="majorBidi" w:cstheme="majorBidi"/>
                <w:color w:val="000000"/>
                <w:sz w:val="20"/>
                <w:szCs w:val="20"/>
              </w:rPr>
              <w:t>.000</w:t>
            </w:r>
            <w:r w:rsidRPr="00F74309">
              <w:rPr>
                <w:rFonts w:asciiTheme="majorBidi" w:hAnsiTheme="majorBidi" w:cstheme="majorBidi"/>
                <w:color w:val="000000"/>
                <w:sz w:val="20"/>
                <w:szCs w:val="20"/>
              </w:rPr>
              <w:t>)</w:t>
            </w:r>
          </w:p>
        </w:tc>
      </w:tr>
      <w:tr w:rsidR="0095672A" w:rsidRPr="008B51A8" w14:paraId="628B0328" w14:textId="77777777" w:rsidTr="006C236C">
        <w:trPr>
          <w:trHeight w:val="356"/>
          <w:jc w:val="center"/>
        </w:trPr>
        <w:tc>
          <w:tcPr>
            <w:tcW w:w="3330" w:type="dxa"/>
            <w:tcBorders>
              <w:top w:val="nil"/>
              <w:left w:val="nil"/>
              <w:bottom w:val="nil"/>
              <w:right w:val="nil"/>
            </w:tcBorders>
            <w:vAlign w:val="center"/>
          </w:tcPr>
          <w:p w14:paraId="1678FBBE" w14:textId="77777777" w:rsidR="0095672A" w:rsidRPr="008B51A8" w:rsidRDefault="0095672A" w:rsidP="008A71E8">
            <w:pPr>
              <w:tabs>
                <w:tab w:val="left" w:pos="426"/>
              </w:tabs>
              <w:rPr>
                <w:rFonts w:asciiTheme="majorBidi" w:hAnsiTheme="majorBidi" w:cstheme="majorBidi"/>
                <w:color w:val="000000"/>
                <w:sz w:val="20"/>
                <w:szCs w:val="20"/>
              </w:rPr>
            </w:pPr>
            <w:r w:rsidRPr="008B51A8">
              <w:rPr>
                <w:rFonts w:asciiTheme="majorBidi" w:hAnsiTheme="majorBidi" w:cstheme="majorBidi"/>
                <w:color w:val="000000"/>
                <w:sz w:val="20"/>
                <w:szCs w:val="20"/>
              </w:rPr>
              <w:t>Market competitiveness (COMP)</w:t>
            </w:r>
          </w:p>
        </w:tc>
        <w:tc>
          <w:tcPr>
            <w:tcW w:w="1035" w:type="dxa"/>
            <w:tcBorders>
              <w:top w:val="nil"/>
              <w:left w:val="nil"/>
              <w:bottom w:val="nil"/>
              <w:right w:val="nil"/>
            </w:tcBorders>
            <w:vAlign w:val="center"/>
          </w:tcPr>
          <w:p w14:paraId="3A5E52CF" w14:textId="77777777" w:rsidR="0095672A" w:rsidRPr="00180216" w:rsidRDefault="0095672A" w:rsidP="008A71E8">
            <w:pPr>
              <w:tabs>
                <w:tab w:val="left" w:pos="426"/>
              </w:tabs>
              <w:jc w:val="center"/>
              <w:rPr>
                <w:rFonts w:asciiTheme="majorBidi" w:hAnsiTheme="majorBidi" w:cstheme="majorBidi"/>
                <w:color w:val="000000"/>
                <w:sz w:val="20"/>
                <w:szCs w:val="20"/>
              </w:rPr>
            </w:pPr>
            <w:r w:rsidRPr="00180216">
              <w:rPr>
                <w:rFonts w:asciiTheme="majorBidi" w:hAnsiTheme="majorBidi" w:cstheme="majorBidi"/>
                <w:color w:val="000000"/>
                <w:sz w:val="20"/>
                <w:szCs w:val="20"/>
              </w:rPr>
              <w:t>1.340</w:t>
            </w:r>
          </w:p>
        </w:tc>
        <w:tc>
          <w:tcPr>
            <w:tcW w:w="1035" w:type="dxa"/>
            <w:tcBorders>
              <w:top w:val="nil"/>
              <w:left w:val="nil"/>
              <w:bottom w:val="nil"/>
              <w:right w:val="nil"/>
            </w:tcBorders>
            <w:vAlign w:val="center"/>
          </w:tcPr>
          <w:p w14:paraId="4F9B9E2C"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1.657</w:t>
            </w:r>
          </w:p>
        </w:tc>
        <w:tc>
          <w:tcPr>
            <w:tcW w:w="360" w:type="dxa"/>
            <w:tcBorders>
              <w:top w:val="nil"/>
              <w:left w:val="nil"/>
              <w:bottom w:val="nil"/>
              <w:right w:val="nil"/>
            </w:tcBorders>
            <w:vAlign w:val="center"/>
          </w:tcPr>
          <w:p w14:paraId="200FE90F"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nil"/>
              <w:right w:val="nil"/>
            </w:tcBorders>
            <w:vAlign w:val="center"/>
          </w:tcPr>
          <w:p w14:paraId="1D6CAD95"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-1.279</w:t>
            </w:r>
          </w:p>
        </w:tc>
        <w:tc>
          <w:tcPr>
            <w:tcW w:w="1035" w:type="dxa"/>
            <w:tcBorders>
              <w:top w:val="nil"/>
              <w:left w:val="nil"/>
              <w:bottom w:val="nil"/>
              <w:right w:val="nil"/>
            </w:tcBorders>
            <w:vAlign w:val="center"/>
          </w:tcPr>
          <w:p w14:paraId="6D4BEB64"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-1.767</w:t>
            </w:r>
          </w:p>
        </w:tc>
        <w:tc>
          <w:tcPr>
            <w:tcW w:w="360" w:type="dxa"/>
            <w:tcBorders>
              <w:top w:val="nil"/>
              <w:left w:val="nil"/>
              <w:bottom w:val="nil"/>
              <w:right w:val="nil"/>
            </w:tcBorders>
            <w:vAlign w:val="center"/>
          </w:tcPr>
          <w:p w14:paraId="1492595C"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83" w:type="dxa"/>
            <w:tcBorders>
              <w:top w:val="nil"/>
              <w:left w:val="nil"/>
              <w:bottom w:val="nil"/>
              <w:right w:val="nil"/>
            </w:tcBorders>
            <w:shd w:val="clear" w:color="auto" w:fill="auto"/>
            <w:vAlign w:val="center"/>
          </w:tcPr>
          <w:p w14:paraId="4D7AE5FA"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2.619***</w:t>
            </w:r>
            <w:r w:rsidRPr="003670CD">
              <w:rPr>
                <w:rFonts w:asciiTheme="majorBidi" w:hAnsiTheme="majorBidi" w:cstheme="majorBidi"/>
                <w:color w:val="000000"/>
                <w:sz w:val="20"/>
                <w:szCs w:val="20"/>
              </w:rPr>
              <w:br/>
              <w:t>(0</w:t>
            </w:r>
            <w:r>
              <w:rPr>
                <w:rFonts w:asciiTheme="majorBidi" w:hAnsiTheme="majorBidi" w:cstheme="majorBidi"/>
                <w:color w:val="000000"/>
                <w:sz w:val="20"/>
                <w:szCs w:val="20"/>
              </w:rPr>
              <w:t>.000</w:t>
            </w:r>
            <w:r w:rsidRPr="003670CD">
              <w:rPr>
                <w:rFonts w:asciiTheme="majorBidi" w:hAnsiTheme="majorBidi" w:cstheme="majorBidi"/>
                <w:color w:val="000000"/>
                <w:sz w:val="20"/>
                <w:szCs w:val="20"/>
              </w:rPr>
              <w:t>)</w:t>
            </w:r>
          </w:p>
        </w:tc>
        <w:tc>
          <w:tcPr>
            <w:tcW w:w="1084" w:type="dxa"/>
            <w:gridSpan w:val="3"/>
            <w:tcBorders>
              <w:top w:val="nil"/>
              <w:left w:val="nil"/>
              <w:bottom w:val="nil"/>
              <w:right w:val="nil"/>
            </w:tcBorders>
            <w:shd w:val="clear" w:color="auto" w:fill="auto"/>
            <w:vAlign w:val="center"/>
          </w:tcPr>
          <w:p w14:paraId="7ED59390" w14:textId="77777777" w:rsidR="0095672A" w:rsidRPr="00F74309" w:rsidRDefault="0095672A" w:rsidP="008A71E8">
            <w:pPr>
              <w:tabs>
                <w:tab w:val="left" w:pos="426"/>
              </w:tabs>
              <w:jc w:val="center"/>
              <w:rPr>
                <w:rFonts w:asciiTheme="majorBidi" w:hAnsiTheme="majorBidi" w:cstheme="majorBidi"/>
                <w:color w:val="000000"/>
                <w:sz w:val="20"/>
                <w:szCs w:val="20"/>
              </w:rPr>
            </w:pPr>
            <w:r w:rsidRPr="00F74309">
              <w:rPr>
                <w:rFonts w:asciiTheme="majorBidi" w:hAnsiTheme="majorBidi" w:cstheme="majorBidi"/>
                <w:color w:val="000000"/>
                <w:sz w:val="20"/>
                <w:szCs w:val="20"/>
              </w:rPr>
              <w:t>3.424***</w:t>
            </w:r>
            <w:r w:rsidRPr="00F74309">
              <w:rPr>
                <w:rFonts w:asciiTheme="majorBidi" w:hAnsiTheme="majorBidi" w:cstheme="majorBidi"/>
                <w:color w:val="000000"/>
                <w:sz w:val="20"/>
                <w:szCs w:val="20"/>
              </w:rPr>
              <w:br/>
              <w:t>(0</w:t>
            </w:r>
            <w:r>
              <w:rPr>
                <w:rFonts w:asciiTheme="majorBidi" w:hAnsiTheme="majorBidi" w:cstheme="majorBidi"/>
                <w:color w:val="000000"/>
                <w:sz w:val="20"/>
                <w:szCs w:val="20"/>
              </w:rPr>
              <w:t>.000</w:t>
            </w:r>
            <w:r w:rsidRPr="00F74309">
              <w:rPr>
                <w:rFonts w:asciiTheme="majorBidi" w:hAnsiTheme="majorBidi" w:cstheme="majorBidi"/>
                <w:color w:val="000000"/>
                <w:sz w:val="20"/>
                <w:szCs w:val="20"/>
              </w:rPr>
              <w:t>)</w:t>
            </w:r>
          </w:p>
        </w:tc>
      </w:tr>
      <w:tr w:rsidR="0095672A" w:rsidRPr="008B51A8" w14:paraId="27751370" w14:textId="77777777" w:rsidTr="006C236C">
        <w:trPr>
          <w:trHeight w:val="80"/>
          <w:jc w:val="center"/>
        </w:trPr>
        <w:tc>
          <w:tcPr>
            <w:tcW w:w="3330" w:type="dxa"/>
            <w:tcBorders>
              <w:top w:val="nil"/>
              <w:left w:val="nil"/>
              <w:bottom w:val="single" w:sz="4" w:space="0" w:color="auto"/>
              <w:right w:val="nil"/>
            </w:tcBorders>
            <w:vAlign w:val="center"/>
          </w:tcPr>
          <w:p w14:paraId="0A04FB83" w14:textId="77777777" w:rsidR="0095672A" w:rsidRPr="008B51A8" w:rsidRDefault="0095672A" w:rsidP="008A71E8">
            <w:pPr>
              <w:tabs>
                <w:tab w:val="left" w:pos="426"/>
              </w:tabs>
              <w:rPr>
                <w:rFonts w:asciiTheme="majorBidi" w:hAnsiTheme="majorBidi" w:cstheme="majorBidi"/>
                <w:color w:val="000000"/>
                <w:sz w:val="20"/>
                <w:szCs w:val="20"/>
              </w:rPr>
            </w:pPr>
            <w:r>
              <w:rPr>
                <w:rFonts w:asciiTheme="majorBidi" w:hAnsiTheme="majorBidi" w:cstheme="majorBidi"/>
                <w:color w:val="000000"/>
                <w:sz w:val="20"/>
                <w:szCs w:val="20"/>
              </w:rPr>
              <w:t>Governance index (GOVI)</w:t>
            </w:r>
          </w:p>
        </w:tc>
        <w:tc>
          <w:tcPr>
            <w:tcW w:w="1035" w:type="dxa"/>
            <w:tcBorders>
              <w:top w:val="nil"/>
              <w:left w:val="nil"/>
              <w:bottom w:val="single" w:sz="4" w:space="0" w:color="auto"/>
              <w:right w:val="nil"/>
            </w:tcBorders>
            <w:vAlign w:val="center"/>
          </w:tcPr>
          <w:p w14:paraId="7C318C3B" w14:textId="77777777" w:rsidR="0095672A" w:rsidRPr="00180216" w:rsidRDefault="0095672A" w:rsidP="008A71E8">
            <w:pPr>
              <w:tabs>
                <w:tab w:val="left" w:pos="426"/>
              </w:tabs>
              <w:jc w:val="center"/>
              <w:rPr>
                <w:rFonts w:asciiTheme="majorBidi" w:hAnsiTheme="majorBidi" w:cstheme="majorBidi"/>
                <w:color w:val="000000"/>
                <w:sz w:val="20"/>
                <w:szCs w:val="20"/>
              </w:rPr>
            </w:pPr>
            <w:r w:rsidRPr="00180216">
              <w:rPr>
                <w:rFonts w:asciiTheme="majorBidi" w:hAnsiTheme="majorBidi" w:cstheme="majorBidi"/>
                <w:color w:val="000000"/>
                <w:sz w:val="20"/>
                <w:szCs w:val="20"/>
              </w:rPr>
              <w:t>62.697</w:t>
            </w:r>
          </w:p>
        </w:tc>
        <w:tc>
          <w:tcPr>
            <w:tcW w:w="1035" w:type="dxa"/>
            <w:tcBorders>
              <w:top w:val="nil"/>
              <w:left w:val="nil"/>
              <w:bottom w:val="single" w:sz="4" w:space="0" w:color="auto"/>
              <w:right w:val="nil"/>
            </w:tcBorders>
            <w:vAlign w:val="center"/>
          </w:tcPr>
          <w:p w14:paraId="13DDA3C1"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63.356</w:t>
            </w:r>
          </w:p>
        </w:tc>
        <w:tc>
          <w:tcPr>
            <w:tcW w:w="360" w:type="dxa"/>
            <w:tcBorders>
              <w:top w:val="nil"/>
              <w:left w:val="nil"/>
              <w:bottom w:val="single" w:sz="4" w:space="0" w:color="auto"/>
              <w:right w:val="nil"/>
            </w:tcBorders>
            <w:vAlign w:val="center"/>
          </w:tcPr>
          <w:p w14:paraId="38DFE161"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35" w:type="dxa"/>
            <w:tcBorders>
              <w:top w:val="nil"/>
              <w:left w:val="nil"/>
              <w:bottom w:val="single" w:sz="4" w:space="0" w:color="auto"/>
              <w:right w:val="nil"/>
            </w:tcBorders>
            <w:vAlign w:val="center"/>
          </w:tcPr>
          <w:p w14:paraId="7FD61DE7"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56.243</w:t>
            </w:r>
          </w:p>
        </w:tc>
        <w:tc>
          <w:tcPr>
            <w:tcW w:w="1035" w:type="dxa"/>
            <w:tcBorders>
              <w:top w:val="nil"/>
              <w:left w:val="nil"/>
              <w:bottom w:val="single" w:sz="4" w:space="0" w:color="auto"/>
              <w:right w:val="nil"/>
            </w:tcBorders>
            <w:vAlign w:val="center"/>
          </w:tcPr>
          <w:p w14:paraId="544614B0"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56.659</w:t>
            </w:r>
          </w:p>
        </w:tc>
        <w:tc>
          <w:tcPr>
            <w:tcW w:w="360" w:type="dxa"/>
            <w:tcBorders>
              <w:top w:val="nil"/>
              <w:left w:val="nil"/>
              <w:bottom w:val="single" w:sz="4" w:space="0" w:color="auto"/>
              <w:right w:val="nil"/>
            </w:tcBorders>
            <w:vAlign w:val="center"/>
          </w:tcPr>
          <w:p w14:paraId="1F9481D3" w14:textId="77777777" w:rsidR="0095672A" w:rsidRPr="008B51A8" w:rsidRDefault="0095672A" w:rsidP="008A71E8">
            <w:pPr>
              <w:tabs>
                <w:tab w:val="left" w:pos="426"/>
              </w:tabs>
              <w:jc w:val="center"/>
              <w:rPr>
                <w:rFonts w:asciiTheme="majorBidi" w:hAnsiTheme="majorBidi" w:cstheme="majorBidi"/>
                <w:color w:val="000000"/>
                <w:sz w:val="20"/>
                <w:szCs w:val="20"/>
              </w:rPr>
            </w:pPr>
          </w:p>
        </w:tc>
        <w:tc>
          <w:tcPr>
            <w:tcW w:w="1083" w:type="dxa"/>
            <w:tcBorders>
              <w:top w:val="nil"/>
              <w:left w:val="nil"/>
              <w:bottom w:val="single" w:sz="4" w:space="0" w:color="auto"/>
              <w:right w:val="nil"/>
            </w:tcBorders>
            <w:shd w:val="clear" w:color="auto" w:fill="auto"/>
            <w:vAlign w:val="center"/>
          </w:tcPr>
          <w:p w14:paraId="1F4545FC" w14:textId="77777777" w:rsidR="0095672A" w:rsidRPr="003670CD" w:rsidRDefault="0095672A" w:rsidP="008A71E8">
            <w:pPr>
              <w:tabs>
                <w:tab w:val="left" w:pos="426"/>
              </w:tabs>
              <w:jc w:val="center"/>
              <w:rPr>
                <w:rFonts w:asciiTheme="majorBidi" w:hAnsiTheme="majorBidi" w:cstheme="majorBidi"/>
                <w:color w:val="000000"/>
                <w:sz w:val="20"/>
                <w:szCs w:val="20"/>
              </w:rPr>
            </w:pPr>
            <w:r w:rsidRPr="003670CD">
              <w:rPr>
                <w:rFonts w:asciiTheme="majorBidi" w:hAnsiTheme="majorBidi" w:cstheme="majorBidi"/>
                <w:color w:val="000000"/>
                <w:sz w:val="20"/>
                <w:szCs w:val="20"/>
              </w:rPr>
              <w:t>6.454*</w:t>
            </w:r>
            <w:r w:rsidRPr="003670CD">
              <w:rPr>
                <w:rFonts w:asciiTheme="majorBidi" w:hAnsiTheme="majorBidi" w:cstheme="majorBidi"/>
                <w:color w:val="000000"/>
                <w:sz w:val="20"/>
                <w:szCs w:val="20"/>
              </w:rPr>
              <w:br/>
              <w:t>(0.053)</w:t>
            </w:r>
          </w:p>
        </w:tc>
        <w:tc>
          <w:tcPr>
            <w:tcW w:w="1084" w:type="dxa"/>
            <w:gridSpan w:val="3"/>
            <w:tcBorders>
              <w:top w:val="nil"/>
              <w:left w:val="nil"/>
              <w:bottom w:val="single" w:sz="4" w:space="0" w:color="auto"/>
              <w:right w:val="nil"/>
            </w:tcBorders>
            <w:shd w:val="clear" w:color="auto" w:fill="auto"/>
            <w:vAlign w:val="center"/>
          </w:tcPr>
          <w:p w14:paraId="3F9A8F37" w14:textId="77777777" w:rsidR="0095672A" w:rsidRPr="00F74309" w:rsidRDefault="0095672A" w:rsidP="008A71E8">
            <w:pPr>
              <w:tabs>
                <w:tab w:val="left" w:pos="426"/>
              </w:tabs>
              <w:jc w:val="center"/>
              <w:rPr>
                <w:rFonts w:asciiTheme="majorBidi" w:hAnsiTheme="majorBidi" w:cstheme="majorBidi"/>
                <w:color w:val="000000"/>
                <w:sz w:val="20"/>
                <w:szCs w:val="20"/>
              </w:rPr>
            </w:pPr>
            <w:r w:rsidRPr="00F74309">
              <w:rPr>
                <w:rFonts w:asciiTheme="majorBidi" w:hAnsiTheme="majorBidi" w:cstheme="majorBidi"/>
                <w:color w:val="000000"/>
                <w:sz w:val="20"/>
                <w:szCs w:val="20"/>
              </w:rPr>
              <w:t>6.697**</w:t>
            </w:r>
            <w:r w:rsidRPr="00F74309">
              <w:rPr>
                <w:rFonts w:asciiTheme="majorBidi" w:hAnsiTheme="majorBidi" w:cstheme="majorBidi"/>
                <w:color w:val="000000"/>
                <w:sz w:val="20"/>
                <w:szCs w:val="20"/>
              </w:rPr>
              <w:br/>
              <w:t>(0.035)</w:t>
            </w:r>
          </w:p>
        </w:tc>
      </w:tr>
    </w:tbl>
    <w:p w14:paraId="76FE75BA" w14:textId="1AF746C6" w:rsidR="0095672A" w:rsidRDefault="0095672A" w:rsidP="00BF2605">
      <w:pPr>
        <w:tabs>
          <w:tab w:val="left" w:pos="426"/>
        </w:tabs>
        <w:spacing w:after="0" w:line="288" w:lineRule="auto"/>
        <w:jc w:val="both"/>
        <w:rPr>
          <w:rFonts w:ascii="Times New Roman" w:hAnsi="Times New Roman" w:cs="Times New Roman"/>
          <w:b/>
          <w:bCs/>
          <w:sz w:val="24"/>
          <w:szCs w:val="24"/>
        </w:rPr>
      </w:pPr>
    </w:p>
    <w:p w14:paraId="1B62EA7B" w14:textId="77777777" w:rsidR="0095672A" w:rsidRDefault="0095672A" w:rsidP="00BF2605">
      <w:pPr>
        <w:tabs>
          <w:tab w:val="left" w:pos="426"/>
        </w:tabs>
        <w:spacing w:after="0" w:line="288" w:lineRule="auto"/>
        <w:jc w:val="both"/>
        <w:rPr>
          <w:rFonts w:ascii="Times New Roman" w:hAnsi="Times New Roman" w:cs="Times New Roman"/>
          <w:b/>
          <w:bCs/>
          <w:sz w:val="24"/>
          <w:szCs w:val="24"/>
        </w:rPr>
      </w:pPr>
    </w:p>
    <w:p w14:paraId="7BF53AE0" w14:textId="679D9E88" w:rsidR="00656ED9" w:rsidRDefault="00957C4B" w:rsidP="00BF2605">
      <w:pPr>
        <w:tabs>
          <w:tab w:val="left" w:pos="426"/>
        </w:tabs>
        <w:spacing w:after="0" w:line="28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Explaining the </w:t>
      </w:r>
      <w:r w:rsidRPr="00957C4B">
        <w:rPr>
          <w:rFonts w:ascii="Times New Roman" w:hAnsi="Times New Roman" w:cs="Times New Roman"/>
          <w:b/>
          <w:bCs/>
          <w:sz w:val="24"/>
          <w:szCs w:val="24"/>
        </w:rPr>
        <w:t>Cross-Country Diffe</w:t>
      </w:r>
      <w:r>
        <w:rPr>
          <w:rFonts w:ascii="Times New Roman" w:hAnsi="Times New Roman" w:cs="Times New Roman"/>
          <w:b/>
          <w:bCs/>
          <w:sz w:val="24"/>
          <w:szCs w:val="24"/>
        </w:rPr>
        <w:t>rences in Firm-level Governance</w:t>
      </w:r>
    </w:p>
    <w:p w14:paraId="00D2DAA0" w14:textId="77777777" w:rsidR="002A1408" w:rsidRPr="002A1408" w:rsidRDefault="002A1408" w:rsidP="00BF2605">
      <w:pPr>
        <w:tabs>
          <w:tab w:val="left" w:pos="426"/>
        </w:tabs>
        <w:spacing w:after="0" w:line="288" w:lineRule="auto"/>
        <w:jc w:val="both"/>
        <w:rPr>
          <w:rFonts w:ascii="Times New Roman" w:hAnsi="Times New Roman" w:cs="Times New Roman"/>
          <w:sz w:val="8"/>
          <w:szCs w:val="8"/>
        </w:rPr>
      </w:pPr>
    </w:p>
    <w:p w14:paraId="07BCCFDD" w14:textId="2DE5F5C4" w:rsidR="000E23CD" w:rsidRDefault="0050445D" w:rsidP="00BF2605">
      <w:pPr>
        <w:tabs>
          <w:tab w:val="left" w:pos="426"/>
        </w:tabs>
        <w:spacing w:after="0" w:line="288" w:lineRule="auto"/>
        <w:jc w:val="both"/>
        <w:rPr>
          <w:rFonts w:ascii="Times New Roman" w:hAnsi="Times New Roman" w:cs="Times New Roman"/>
          <w:sz w:val="24"/>
          <w:szCs w:val="24"/>
        </w:rPr>
      </w:pPr>
      <w:r w:rsidRPr="002A1408">
        <w:rPr>
          <w:rFonts w:ascii="Times New Roman" w:hAnsi="Times New Roman" w:cs="Times New Roman"/>
          <w:sz w:val="24"/>
          <w:szCs w:val="24"/>
        </w:rPr>
        <w:t>Table 3</w:t>
      </w:r>
      <w:r>
        <w:rPr>
          <w:rFonts w:ascii="Times New Roman" w:hAnsi="Times New Roman" w:cs="Times New Roman"/>
          <w:sz w:val="24"/>
          <w:szCs w:val="24"/>
        </w:rPr>
        <w:t xml:space="preserve"> </w:t>
      </w:r>
      <w:r w:rsidR="00D66370">
        <w:rPr>
          <w:rFonts w:ascii="Times New Roman" w:hAnsi="Times New Roman" w:cs="Times New Roman"/>
          <w:sz w:val="24"/>
          <w:szCs w:val="24"/>
        </w:rPr>
        <w:t xml:space="preserve">shows the results of regressing the firm-level governance index on the different country-level variables and firm-level </w:t>
      </w:r>
      <w:r w:rsidR="00D66370" w:rsidRPr="00474494">
        <w:rPr>
          <w:rFonts w:ascii="Times New Roman" w:hAnsi="Times New Roman" w:cs="Times New Roman"/>
          <w:sz w:val="24"/>
          <w:szCs w:val="24"/>
        </w:rPr>
        <w:t xml:space="preserve">control variables. </w:t>
      </w:r>
      <w:r w:rsidR="00FA7D84">
        <w:rPr>
          <w:rFonts w:ascii="Times New Roman" w:hAnsi="Times New Roman" w:cs="Times New Roman"/>
          <w:sz w:val="24"/>
          <w:szCs w:val="24"/>
        </w:rPr>
        <w:t>T</w:t>
      </w:r>
      <w:r w:rsidR="00FA7D84" w:rsidRPr="00FA7D84">
        <w:rPr>
          <w:rFonts w:ascii="Times New Roman" w:hAnsi="Times New Roman" w:cs="Times New Roman"/>
          <w:sz w:val="24"/>
          <w:szCs w:val="24"/>
        </w:rPr>
        <w:t>he R</w:t>
      </w:r>
      <w:r w:rsidR="00FA7D84" w:rsidRPr="00FA7D84">
        <w:rPr>
          <w:rFonts w:ascii="Times New Roman" w:hAnsi="Times New Roman" w:cs="Times New Roman"/>
          <w:sz w:val="24"/>
          <w:szCs w:val="24"/>
          <w:vertAlign w:val="superscript"/>
        </w:rPr>
        <w:t>2</w:t>
      </w:r>
      <w:r w:rsidR="00FA7D84">
        <w:rPr>
          <w:rFonts w:ascii="Times New Roman" w:hAnsi="Times New Roman" w:cs="Times New Roman"/>
          <w:sz w:val="24"/>
          <w:szCs w:val="24"/>
          <w:vertAlign w:val="superscript"/>
        </w:rPr>
        <w:t xml:space="preserve"> </w:t>
      </w:r>
      <w:r w:rsidR="00FA7D84">
        <w:rPr>
          <w:rFonts w:ascii="Times New Roman" w:hAnsi="Times New Roman" w:cs="Times New Roman"/>
          <w:sz w:val="24"/>
          <w:szCs w:val="24"/>
        </w:rPr>
        <w:t xml:space="preserve">reported in each of the first four columns </w:t>
      </w:r>
      <w:r w:rsidR="00347516">
        <w:rPr>
          <w:rFonts w:ascii="Times New Roman" w:hAnsi="Times New Roman" w:cs="Times New Roman"/>
          <w:sz w:val="24"/>
          <w:szCs w:val="24"/>
        </w:rPr>
        <w:t xml:space="preserve">when </w:t>
      </w:r>
      <w:r w:rsidR="00347516" w:rsidRPr="00347516">
        <w:rPr>
          <w:rFonts w:ascii="Times New Roman" w:hAnsi="Times New Roman" w:cs="Times New Roman"/>
          <w:sz w:val="24"/>
          <w:szCs w:val="24"/>
        </w:rPr>
        <w:t xml:space="preserve">we regress the governance index on each of the country variables </w:t>
      </w:r>
      <w:r w:rsidR="00FA7D84">
        <w:rPr>
          <w:rFonts w:ascii="Times New Roman" w:hAnsi="Times New Roman" w:cs="Times New Roman"/>
          <w:sz w:val="24"/>
          <w:szCs w:val="24"/>
        </w:rPr>
        <w:t>is much greater than the (unreported) R</w:t>
      </w:r>
      <w:r w:rsidR="00FA7D84" w:rsidRPr="00FA7D84">
        <w:rPr>
          <w:rFonts w:ascii="Times New Roman" w:hAnsi="Times New Roman" w:cs="Times New Roman"/>
          <w:sz w:val="24"/>
          <w:szCs w:val="24"/>
          <w:vertAlign w:val="superscript"/>
        </w:rPr>
        <w:t>2</w:t>
      </w:r>
      <w:r w:rsidR="00FA7D84">
        <w:rPr>
          <w:rFonts w:ascii="Times New Roman" w:hAnsi="Times New Roman" w:cs="Times New Roman"/>
          <w:sz w:val="24"/>
          <w:szCs w:val="24"/>
          <w:vertAlign w:val="superscript"/>
        </w:rPr>
        <w:t xml:space="preserve"> </w:t>
      </w:r>
      <w:r w:rsidR="00FA7D84">
        <w:rPr>
          <w:rFonts w:ascii="Times New Roman" w:hAnsi="Times New Roman" w:cs="Times New Roman"/>
          <w:sz w:val="24"/>
          <w:szCs w:val="24"/>
        </w:rPr>
        <w:t xml:space="preserve">of 0.037 for the basic regression that only includes the control variables which indicates the significant role played by the country variables </w:t>
      </w:r>
      <w:r w:rsidR="00FA1C4D">
        <w:rPr>
          <w:rFonts w:ascii="Times New Roman" w:hAnsi="Times New Roman" w:cs="Times New Roman"/>
          <w:sz w:val="24"/>
          <w:szCs w:val="24"/>
        </w:rPr>
        <w:t xml:space="preserve">in explaining the governance framework at </w:t>
      </w:r>
      <w:r w:rsidR="00FA7D84">
        <w:rPr>
          <w:rFonts w:ascii="Times New Roman" w:hAnsi="Times New Roman" w:cs="Times New Roman"/>
          <w:sz w:val="24"/>
          <w:szCs w:val="24"/>
        </w:rPr>
        <w:t xml:space="preserve">the </w:t>
      </w:r>
      <w:r w:rsidR="00FA1C4D">
        <w:rPr>
          <w:rFonts w:ascii="Times New Roman" w:hAnsi="Times New Roman" w:cs="Times New Roman"/>
          <w:sz w:val="24"/>
          <w:szCs w:val="24"/>
        </w:rPr>
        <w:t>firm-level. For example, when we include the rule of law index and the legal origin as independent</w:t>
      </w:r>
      <w:r w:rsidR="006029F4">
        <w:rPr>
          <w:rFonts w:ascii="Times New Roman" w:hAnsi="Times New Roman" w:cs="Times New Roman"/>
          <w:sz w:val="24"/>
          <w:szCs w:val="24"/>
        </w:rPr>
        <w:t xml:space="preserve"> </w:t>
      </w:r>
      <w:r w:rsidR="00FA1C4D">
        <w:rPr>
          <w:rFonts w:ascii="Times New Roman" w:hAnsi="Times New Roman" w:cs="Times New Roman"/>
          <w:sz w:val="24"/>
          <w:szCs w:val="24"/>
        </w:rPr>
        <w:t xml:space="preserve">variables </w:t>
      </w:r>
      <w:r w:rsidR="00BB1973">
        <w:rPr>
          <w:rFonts w:ascii="Times New Roman" w:hAnsi="Times New Roman" w:cs="Times New Roman"/>
          <w:sz w:val="24"/>
          <w:szCs w:val="24"/>
        </w:rPr>
        <w:t xml:space="preserve">the </w:t>
      </w:r>
      <w:r w:rsidR="001B01FB">
        <w:rPr>
          <w:rFonts w:ascii="Times New Roman" w:hAnsi="Times New Roman" w:cs="Times New Roman"/>
          <w:sz w:val="24"/>
          <w:szCs w:val="24"/>
        </w:rPr>
        <w:t>R</w:t>
      </w:r>
      <w:r w:rsidR="001B01FB" w:rsidRPr="001B01FB">
        <w:rPr>
          <w:rFonts w:ascii="Times New Roman" w:hAnsi="Times New Roman" w:cs="Times New Roman"/>
          <w:sz w:val="24"/>
          <w:szCs w:val="24"/>
          <w:vertAlign w:val="superscript"/>
        </w:rPr>
        <w:t>2</w:t>
      </w:r>
      <w:r w:rsidR="00BB1973">
        <w:rPr>
          <w:rFonts w:ascii="Times New Roman" w:hAnsi="Times New Roman" w:cs="Times New Roman"/>
          <w:sz w:val="24"/>
          <w:szCs w:val="24"/>
        </w:rPr>
        <w:t xml:space="preserve"> (within </w:t>
      </w:r>
      <w:r w:rsidR="003708BB">
        <w:rPr>
          <w:rFonts w:ascii="Times New Roman" w:hAnsi="Times New Roman" w:cs="Times New Roman"/>
          <w:sz w:val="24"/>
          <w:szCs w:val="24"/>
        </w:rPr>
        <w:t>countr</w:t>
      </w:r>
      <w:r w:rsidR="00BB1973">
        <w:rPr>
          <w:rFonts w:ascii="Times New Roman" w:hAnsi="Times New Roman" w:cs="Times New Roman"/>
          <w:sz w:val="24"/>
          <w:szCs w:val="24"/>
        </w:rPr>
        <w:t>ies) value improves by five</w:t>
      </w:r>
      <w:r w:rsidR="00FA1C4D">
        <w:rPr>
          <w:rFonts w:ascii="Times New Roman" w:hAnsi="Times New Roman" w:cs="Times New Roman"/>
          <w:sz w:val="24"/>
          <w:szCs w:val="24"/>
        </w:rPr>
        <w:t xml:space="preserve"> times compared to </w:t>
      </w:r>
      <w:r w:rsidR="008D328C">
        <w:rPr>
          <w:rFonts w:ascii="Times New Roman" w:hAnsi="Times New Roman" w:cs="Times New Roman"/>
          <w:sz w:val="24"/>
          <w:szCs w:val="24"/>
        </w:rPr>
        <w:t xml:space="preserve">the </w:t>
      </w:r>
      <w:r w:rsidR="00474494">
        <w:rPr>
          <w:rFonts w:ascii="Times New Roman" w:hAnsi="Times New Roman" w:cs="Times New Roman"/>
          <w:sz w:val="24"/>
          <w:szCs w:val="24"/>
        </w:rPr>
        <w:t>basic regression</w:t>
      </w:r>
      <w:r w:rsidR="00FA1C4D">
        <w:rPr>
          <w:rFonts w:ascii="Times New Roman" w:hAnsi="Times New Roman" w:cs="Times New Roman"/>
          <w:sz w:val="24"/>
          <w:szCs w:val="24"/>
        </w:rPr>
        <w:t xml:space="preserve">. </w:t>
      </w:r>
    </w:p>
    <w:p w14:paraId="6A123971" w14:textId="58328AB4" w:rsidR="005B75D3" w:rsidRDefault="005B75D3" w:rsidP="00BF2605">
      <w:pPr>
        <w:tabs>
          <w:tab w:val="left" w:pos="426"/>
        </w:tabs>
        <w:spacing w:after="0" w:line="288" w:lineRule="auto"/>
        <w:jc w:val="both"/>
        <w:rPr>
          <w:rFonts w:ascii="Times New Roman" w:hAnsi="Times New Roman" w:cs="Times New Roman"/>
          <w:sz w:val="24"/>
          <w:szCs w:val="24"/>
        </w:rPr>
      </w:pPr>
    </w:p>
    <w:tbl>
      <w:tblPr>
        <w:tblStyle w:val="TableGrid"/>
        <w:tblW w:w="10890" w:type="dxa"/>
        <w:jc w:val="center"/>
        <w:tblLayout w:type="fixed"/>
        <w:tblLook w:val="04A0" w:firstRow="1" w:lastRow="0" w:firstColumn="1" w:lastColumn="0" w:noHBand="0" w:noVBand="1"/>
      </w:tblPr>
      <w:tblGrid>
        <w:gridCol w:w="2520"/>
        <w:gridCol w:w="1674"/>
        <w:gridCol w:w="1674"/>
        <w:gridCol w:w="1674"/>
        <w:gridCol w:w="1674"/>
        <w:gridCol w:w="1674"/>
      </w:tblGrid>
      <w:tr w:rsidR="006260AA" w:rsidRPr="009159CB" w14:paraId="4117CAE2" w14:textId="77777777" w:rsidTr="008A71E8">
        <w:trPr>
          <w:jc w:val="center"/>
        </w:trPr>
        <w:tc>
          <w:tcPr>
            <w:tcW w:w="10890" w:type="dxa"/>
            <w:gridSpan w:val="6"/>
            <w:tcBorders>
              <w:top w:val="nil"/>
              <w:left w:val="nil"/>
              <w:bottom w:val="single" w:sz="8" w:space="0" w:color="auto"/>
              <w:right w:val="nil"/>
            </w:tcBorders>
            <w:vAlign w:val="center"/>
          </w:tcPr>
          <w:p w14:paraId="366E32A2" w14:textId="77777777" w:rsidR="006260AA" w:rsidRDefault="006260AA" w:rsidP="008A71E8">
            <w:pPr>
              <w:tabs>
                <w:tab w:val="left" w:pos="426"/>
              </w:tabs>
              <w:jc w:val="center"/>
              <w:rPr>
                <w:rFonts w:asciiTheme="majorBidi" w:hAnsiTheme="majorBidi" w:cstheme="majorBidi"/>
                <w:b/>
                <w:bCs/>
                <w:color w:val="000000"/>
              </w:rPr>
            </w:pPr>
            <w:r w:rsidRPr="00653CC9">
              <w:rPr>
                <w:rFonts w:asciiTheme="majorBidi" w:hAnsiTheme="majorBidi" w:cstheme="majorBidi"/>
                <w:b/>
                <w:bCs/>
                <w:color w:val="000000"/>
              </w:rPr>
              <w:lastRenderedPageBreak/>
              <w:t>Table 3</w:t>
            </w:r>
            <w:r>
              <w:rPr>
                <w:rFonts w:asciiTheme="majorBidi" w:hAnsiTheme="majorBidi" w:cstheme="majorBidi"/>
                <w:b/>
                <w:bCs/>
                <w:color w:val="000000"/>
              </w:rPr>
              <w:t xml:space="preserve">: </w:t>
            </w:r>
            <w:r w:rsidRPr="00653CC9">
              <w:rPr>
                <w:rFonts w:asciiTheme="majorBidi" w:hAnsiTheme="majorBidi" w:cstheme="majorBidi"/>
                <w:b/>
                <w:bCs/>
                <w:color w:val="000000"/>
              </w:rPr>
              <w:t>HLM Analysis of Firm-level Governance and Country-level Factors</w:t>
            </w:r>
          </w:p>
          <w:p w14:paraId="3C994B5E" w14:textId="77777777" w:rsidR="006260AA" w:rsidRPr="006260AA" w:rsidRDefault="006260AA" w:rsidP="008A71E8">
            <w:pPr>
              <w:tabs>
                <w:tab w:val="left" w:pos="426"/>
              </w:tabs>
              <w:jc w:val="center"/>
              <w:rPr>
                <w:rFonts w:asciiTheme="majorBidi" w:hAnsiTheme="majorBidi" w:cstheme="majorBidi"/>
                <w:b/>
                <w:bCs/>
                <w:color w:val="000000"/>
                <w:sz w:val="6"/>
                <w:szCs w:val="6"/>
              </w:rPr>
            </w:pPr>
          </w:p>
          <w:p w14:paraId="5FED18CF" w14:textId="77777777" w:rsidR="006260AA" w:rsidRPr="00EB0B20" w:rsidRDefault="006260AA" w:rsidP="008A71E8">
            <w:pPr>
              <w:tabs>
                <w:tab w:val="left" w:pos="426"/>
              </w:tabs>
              <w:jc w:val="both"/>
              <w:rPr>
                <w:rFonts w:asciiTheme="majorBidi" w:hAnsiTheme="majorBidi" w:cstheme="majorBidi"/>
                <w:color w:val="000000"/>
                <w:sz w:val="20"/>
                <w:szCs w:val="20"/>
              </w:rPr>
            </w:pPr>
            <w:r w:rsidRPr="00EB0B20">
              <w:rPr>
                <w:rFonts w:asciiTheme="majorBidi" w:hAnsiTheme="majorBidi" w:cstheme="majorBidi"/>
                <w:color w:val="000000"/>
                <w:sz w:val="20"/>
                <w:szCs w:val="20"/>
              </w:rPr>
              <w:t>The table presents the results of five hierarchical linear modeling (HLM) regressions using industry and year dummies with the Governance index (GOVI) measure as the dependent variable. GOVI is a firm-level additive index of governance constructed using a collection of individual measures of governance (see text for details). The Rule of Law Index (RLAW) is a score of the country’s legal system and its law enforcement power.</w:t>
            </w:r>
            <w:r w:rsidRPr="00EB0B20">
              <w:rPr>
                <w:sz w:val="20"/>
                <w:szCs w:val="20"/>
              </w:rPr>
              <w:t xml:space="preserve"> </w:t>
            </w:r>
            <w:r w:rsidRPr="00EB0B20">
              <w:rPr>
                <w:rFonts w:asciiTheme="majorBidi" w:hAnsiTheme="majorBidi" w:cstheme="majorBidi"/>
                <w:color w:val="000000"/>
                <w:sz w:val="20"/>
                <w:szCs w:val="20"/>
              </w:rPr>
              <w:t xml:space="preserve">The legal system origin (LORG) is a dummy variable which takes the value 1 if the country’s legal system is based on common law or 0 if it is based on civil law. Media (MEDI) is a score that assesses the degree of media freedom in a particular country. The Social and Cultural index (SOCL) assesses the characteristics of the education and health systems as well as training and technological readiness in a country. Christianity (CHRN) and Islam (ISLM) are dummy variables which take the value 1 if the country’s predominant religion is Christianity and Islam, respectively, or 0 otherwise. The Market Competitiveness index (COMP) measures the efficiency of the goods and labor markets as well as innovation and business sophistication </w:t>
            </w:r>
            <w:r>
              <w:rPr>
                <w:rFonts w:asciiTheme="majorBidi" w:hAnsiTheme="majorBidi" w:cstheme="majorBidi"/>
                <w:color w:val="000000"/>
                <w:sz w:val="20"/>
                <w:szCs w:val="20"/>
              </w:rPr>
              <w:t xml:space="preserve">in </w:t>
            </w:r>
            <w:r w:rsidRPr="00EB0B20">
              <w:rPr>
                <w:rFonts w:asciiTheme="majorBidi" w:hAnsiTheme="majorBidi" w:cstheme="majorBidi"/>
                <w:color w:val="000000"/>
                <w:sz w:val="20"/>
                <w:szCs w:val="20"/>
              </w:rPr>
              <w:t>a particular country. Countries with better or more positive conditions will score higher in the respective index. The control variables (SIZE/LEVG/GROW/LGPC) are explained in the text. The z-Statistics reported in the parentheses are based on country clustered standard errors. *Significant at the 10% level. **Significant at the 5% level. ***Significant at the 1% level. The Mean Variance Inflation Factor (VIF) is a measure of the severity of multicollinearity in a regression. “L1” and “L2” denote level 1 and level 2 predictors in the HLM analysis, respectively. The Akaike information criterion (AIC) measures the relative quality of a model compared to other models, through considering the tradeoff between the model’s complexity and its goodness of fit.</w:t>
            </w:r>
          </w:p>
          <w:p w14:paraId="25DD97DD" w14:textId="77777777" w:rsidR="006260AA" w:rsidRPr="009159CB" w:rsidRDefault="006260AA" w:rsidP="008A71E8">
            <w:pPr>
              <w:tabs>
                <w:tab w:val="left" w:pos="426"/>
              </w:tabs>
              <w:jc w:val="center"/>
              <w:rPr>
                <w:rFonts w:asciiTheme="majorBidi" w:hAnsiTheme="majorBidi" w:cstheme="majorBidi"/>
                <w:b/>
                <w:bCs/>
                <w:color w:val="000000"/>
                <w:sz w:val="16"/>
                <w:szCs w:val="16"/>
              </w:rPr>
            </w:pPr>
          </w:p>
        </w:tc>
      </w:tr>
      <w:tr w:rsidR="006260AA" w:rsidRPr="006260AA" w14:paraId="7A4F117C" w14:textId="77777777" w:rsidTr="008A71E8">
        <w:trPr>
          <w:trHeight w:val="295"/>
          <w:jc w:val="center"/>
        </w:trPr>
        <w:tc>
          <w:tcPr>
            <w:tcW w:w="2520" w:type="dxa"/>
            <w:tcBorders>
              <w:top w:val="single" w:sz="8" w:space="0" w:color="auto"/>
              <w:left w:val="nil"/>
              <w:bottom w:val="single" w:sz="12" w:space="0" w:color="auto"/>
              <w:right w:val="nil"/>
            </w:tcBorders>
            <w:vAlign w:val="center"/>
          </w:tcPr>
          <w:p w14:paraId="48CF1286" w14:textId="77777777" w:rsidR="006260AA" w:rsidRPr="006260AA" w:rsidRDefault="006260AA" w:rsidP="008A71E8">
            <w:pPr>
              <w:tabs>
                <w:tab w:val="left" w:pos="426"/>
              </w:tabs>
              <w:rPr>
                <w:rFonts w:ascii="Times New Roman" w:hAnsi="Times New Roman" w:cs="Times New Roman"/>
                <w:b/>
                <w:bCs/>
                <w:color w:val="000000"/>
              </w:rPr>
            </w:pPr>
          </w:p>
        </w:tc>
        <w:tc>
          <w:tcPr>
            <w:tcW w:w="1674" w:type="dxa"/>
            <w:tcBorders>
              <w:top w:val="single" w:sz="8" w:space="0" w:color="auto"/>
              <w:left w:val="nil"/>
              <w:bottom w:val="single" w:sz="12" w:space="0" w:color="auto"/>
              <w:right w:val="nil"/>
            </w:tcBorders>
            <w:vAlign w:val="center"/>
          </w:tcPr>
          <w:p w14:paraId="4B067107" w14:textId="77777777" w:rsidR="006260AA" w:rsidRPr="006260AA" w:rsidRDefault="006260AA" w:rsidP="008A71E8">
            <w:pPr>
              <w:tabs>
                <w:tab w:val="left" w:pos="426"/>
              </w:tabs>
              <w:jc w:val="center"/>
              <w:rPr>
                <w:rFonts w:ascii="Times New Roman" w:hAnsi="Times New Roman" w:cs="Times New Roman"/>
                <w:b/>
                <w:bCs/>
                <w:color w:val="000000"/>
              </w:rPr>
            </w:pPr>
            <w:r w:rsidRPr="006260AA">
              <w:rPr>
                <w:rFonts w:ascii="Times New Roman" w:hAnsi="Times New Roman" w:cs="Times New Roman"/>
                <w:b/>
                <w:bCs/>
                <w:color w:val="000000"/>
              </w:rPr>
              <w:t>1</w:t>
            </w:r>
          </w:p>
        </w:tc>
        <w:tc>
          <w:tcPr>
            <w:tcW w:w="1674" w:type="dxa"/>
            <w:tcBorders>
              <w:top w:val="single" w:sz="8" w:space="0" w:color="auto"/>
              <w:left w:val="nil"/>
              <w:bottom w:val="single" w:sz="12" w:space="0" w:color="auto"/>
              <w:right w:val="nil"/>
            </w:tcBorders>
            <w:vAlign w:val="center"/>
          </w:tcPr>
          <w:p w14:paraId="512AE4EC" w14:textId="77777777" w:rsidR="006260AA" w:rsidRPr="006260AA" w:rsidRDefault="006260AA" w:rsidP="008A71E8">
            <w:pPr>
              <w:tabs>
                <w:tab w:val="left" w:pos="426"/>
              </w:tabs>
              <w:jc w:val="center"/>
              <w:rPr>
                <w:rFonts w:ascii="Times New Roman" w:hAnsi="Times New Roman" w:cs="Times New Roman"/>
                <w:b/>
                <w:bCs/>
                <w:color w:val="000000"/>
              </w:rPr>
            </w:pPr>
            <w:r w:rsidRPr="006260AA">
              <w:rPr>
                <w:rFonts w:ascii="Times New Roman" w:hAnsi="Times New Roman" w:cs="Times New Roman"/>
                <w:b/>
                <w:bCs/>
                <w:color w:val="000000"/>
              </w:rPr>
              <w:t>2</w:t>
            </w:r>
          </w:p>
        </w:tc>
        <w:tc>
          <w:tcPr>
            <w:tcW w:w="1674" w:type="dxa"/>
            <w:tcBorders>
              <w:top w:val="single" w:sz="8" w:space="0" w:color="auto"/>
              <w:left w:val="nil"/>
              <w:bottom w:val="single" w:sz="12" w:space="0" w:color="auto"/>
              <w:right w:val="nil"/>
            </w:tcBorders>
            <w:vAlign w:val="center"/>
          </w:tcPr>
          <w:p w14:paraId="759D013B" w14:textId="77777777" w:rsidR="006260AA" w:rsidRPr="006260AA" w:rsidRDefault="006260AA" w:rsidP="008A71E8">
            <w:pPr>
              <w:tabs>
                <w:tab w:val="left" w:pos="426"/>
              </w:tabs>
              <w:jc w:val="center"/>
              <w:rPr>
                <w:rFonts w:ascii="Times New Roman" w:hAnsi="Times New Roman" w:cs="Times New Roman"/>
                <w:b/>
                <w:bCs/>
                <w:color w:val="000000"/>
              </w:rPr>
            </w:pPr>
            <w:r w:rsidRPr="006260AA">
              <w:rPr>
                <w:rFonts w:ascii="Times New Roman" w:hAnsi="Times New Roman" w:cs="Times New Roman"/>
                <w:b/>
                <w:bCs/>
                <w:color w:val="000000"/>
              </w:rPr>
              <w:t>3</w:t>
            </w:r>
          </w:p>
        </w:tc>
        <w:tc>
          <w:tcPr>
            <w:tcW w:w="1674" w:type="dxa"/>
            <w:tcBorders>
              <w:top w:val="single" w:sz="8" w:space="0" w:color="auto"/>
              <w:left w:val="nil"/>
              <w:bottom w:val="single" w:sz="12" w:space="0" w:color="auto"/>
              <w:right w:val="nil"/>
            </w:tcBorders>
            <w:vAlign w:val="center"/>
          </w:tcPr>
          <w:p w14:paraId="234529EC" w14:textId="77777777" w:rsidR="006260AA" w:rsidRPr="006260AA" w:rsidRDefault="006260AA" w:rsidP="008A71E8">
            <w:pPr>
              <w:tabs>
                <w:tab w:val="left" w:pos="426"/>
              </w:tabs>
              <w:jc w:val="center"/>
              <w:rPr>
                <w:rFonts w:ascii="Times New Roman" w:hAnsi="Times New Roman" w:cs="Times New Roman"/>
                <w:b/>
                <w:bCs/>
                <w:color w:val="000000"/>
              </w:rPr>
            </w:pPr>
            <w:r w:rsidRPr="006260AA">
              <w:rPr>
                <w:rFonts w:ascii="Times New Roman" w:hAnsi="Times New Roman" w:cs="Times New Roman"/>
                <w:b/>
                <w:bCs/>
                <w:color w:val="000000"/>
              </w:rPr>
              <w:t>4</w:t>
            </w:r>
          </w:p>
        </w:tc>
        <w:tc>
          <w:tcPr>
            <w:tcW w:w="1674" w:type="dxa"/>
            <w:tcBorders>
              <w:top w:val="nil"/>
              <w:left w:val="nil"/>
              <w:bottom w:val="single" w:sz="12" w:space="0" w:color="auto"/>
              <w:right w:val="nil"/>
            </w:tcBorders>
            <w:vAlign w:val="center"/>
          </w:tcPr>
          <w:p w14:paraId="2F661562" w14:textId="77777777" w:rsidR="006260AA" w:rsidRPr="006260AA" w:rsidRDefault="006260AA" w:rsidP="008A71E8">
            <w:pPr>
              <w:tabs>
                <w:tab w:val="left" w:pos="426"/>
              </w:tabs>
              <w:jc w:val="center"/>
              <w:rPr>
                <w:rFonts w:ascii="Times New Roman" w:hAnsi="Times New Roman" w:cs="Times New Roman"/>
                <w:b/>
                <w:bCs/>
                <w:color w:val="000000"/>
              </w:rPr>
            </w:pPr>
            <w:r w:rsidRPr="006260AA">
              <w:rPr>
                <w:rFonts w:ascii="Times New Roman" w:hAnsi="Times New Roman" w:cs="Times New Roman"/>
                <w:b/>
                <w:bCs/>
                <w:color w:val="000000"/>
              </w:rPr>
              <w:t>5</w:t>
            </w:r>
          </w:p>
        </w:tc>
      </w:tr>
      <w:tr w:rsidR="006260AA" w:rsidRPr="006260AA" w14:paraId="4709DB30" w14:textId="77777777" w:rsidTr="008A71E8">
        <w:trPr>
          <w:trHeight w:val="432"/>
          <w:jc w:val="center"/>
        </w:trPr>
        <w:tc>
          <w:tcPr>
            <w:tcW w:w="2520" w:type="dxa"/>
            <w:tcBorders>
              <w:top w:val="single" w:sz="12" w:space="0" w:color="auto"/>
              <w:left w:val="nil"/>
              <w:bottom w:val="nil"/>
              <w:right w:val="nil"/>
            </w:tcBorders>
            <w:vAlign w:val="center"/>
          </w:tcPr>
          <w:p w14:paraId="465ECDCA"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Intercept</w:t>
            </w:r>
          </w:p>
        </w:tc>
        <w:tc>
          <w:tcPr>
            <w:tcW w:w="1674" w:type="dxa"/>
            <w:tcBorders>
              <w:top w:val="nil"/>
              <w:left w:val="nil"/>
              <w:bottom w:val="nil"/>
              <w:right w:val="nil"/>
            </w:tcBorders>
            <w:shd w:val="clear" w:color="auto" w:fill="auto"/>
            <w:vAlign w:val="bottom"/>
          </w:tcPr>
          <w:p w14:paraId="3E098F1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6.447</w:t>
            </w:r>
            <w:r w:rsidRPr="006260AA">
              <w:rPr>
                <w:rFonts w:ascii="Times New Roman" w:hAnsi="Times New Roman" w:cs="Times New Roman"/>
              </w:rPr>
              <w:br/>
              <w:t>(0.100)</w:t>
            </w:r>
          </w:p>
        </w:tc>
        <w:tc>
          <w:tcPr>
            <w:tcW w:w="1674" w:type="dxa"/>
            <w:tcBorders>
              <w:top w:val="nil"/>
              <w:left w:val="nil"/>
              <w:bottom w:val="nil"/>
              <w:right w:val="nil"/>
            </w:tcBorders>
            <w:shd w:val="clear" w:color="auto" w:fill="auto"/>
            <w:vAlign w:val="bottom"/>
          </w:tcPr>
          <w:p w14:paraId="0FC2E429"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5.750</w:t>
            </w:r>
            <w:r w:rsidRPr="006260AA">
              <w:rPr>
                <w:rFonts w:ascii="Times New Roman" w:hAnsi="Times New Roman" w:cs="Times New Roman"/>
              </w:rPr>
              <w:br/>
              <w:t>(0.050)</w:t>
            </w:r>
          </w:p>
        </w:tc>
        <w:tc>
          <w:tcPr>
            <w:tcW w:w="1674" w:type="dxa"/>
            <w:tcBorders>
              <w:top w:val="nil"/>
              <w:left w:val="nil"/>
              <w:bottom w:val="nil"/>
              <w:right w:val="nil"/>
            </w:tcBorders>
            <w:shd w:val="clear" w:color="auto" w:fill="auto"/>
            <w:vAlign w:val="bottom"/>
          </w:tcPr>
          <w:p w14:paraId="42B7AFF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1.389</w:t>
            </w:r>
            <w:r w:rsidRPr="006260AA">
              <w:rPr>
                <w:rFonts w:ascii="Times New Roman" w:hAnsi="Times New Roman" w:cs="Times New Roman"/>
              </w:rPr>
              <w:br/>
              <w:t>(0.480)</w:t>
            </w:r>
          </w:p>
        </w:tc>
        <w:tc>
          <w:tcPr>
            <w:tcW w:w="1674" w:type="dxa"/>
            <w:tcBorders>
              <w:top w:val="nil"/>
              <w:left w:val="nil"/>
              <w:bottom w:val="nil"/>
              <w:right w:val="nil"/>
            </w:tcBorders>
            <w:shd w:val="clear" w:color="auto" w:fill="auto"/>
            <w:vAlign w:val="bottom"/>
          </w:tcPr>
          <w:p w14:paraId="1BE683FA"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0.727</w:t>
            </w:r>
            <w:r w:rsidRPr="006260AA">
              <w:rPr>
                <w:rFonts w:ascii="Times New Roman" w:hAnsi="Times New Roman" w:cs="Times New Roman"/>
              </w:rPr>
              <w:br/>
              <w:t>(0.240)</w:t>
            </w:r>
          </w:p>
        </w:tc>
        <w:tc>
          <w:tcPr>
            <w:tcW w:w="1674" w:type="dxa"/>
            <w:tcBorders>
              <w:top w:val="nil"/>
              <w:left w:val="nil"/>
              <w:bottom w:val="nil"/>
              <w:right w:val="nil"/>
            </w:tcBorders>
            <w:shd w:val="clear" w:color="auto" w:fill="auto"/>
            <w:vAlign w:val="bottom"/>
          </w:tcPr>
          <w:p w14:paraId="7561E136"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0.816</w:t>
            </w:r>
            <w:r w:rsidRPr="006260AA">
              <w:rPr>
                <w:rFonts w:ascii="Times New Roman" w:hAnsi="Times New Roman" w:cs="Times New Roman"/>
              </w:rPr>
              <w:br/>
              <w:t>(0.180)</w:t>
            </w:r>
          </w:p>
        </w:tc>
      </w:tr>
      <w:tr w:rsidR="006260AA" w:rsidRPr="006260AA" w14:paraId="2DA2BAF8" w14:textId="77777777" w:rsidTr="008A71E8">
        <w:trPr>
          <w:trHeight w:val="432"/>
          <w:jc w:val="center"/>
        </w:trPr>
        <w:tc>
          <w:tcPr>
            <w:tcW w:w="2520" w:type="dxa"/>
            <w:tcBorders>
              <w:top w:val="nil"/>
              <w:left w:val="nil"/>
              <w:bottom w:val="nil"/>
              <w:right w:val="nil"/>
            </w:tcBorders>
            <w:vAlign w:val="center"/>
          </w:tcPr>
          <w:p w14:paraId="602AA2F7"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RLAW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5EBAD876"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1.199*</w:t>
            </w:r>
            <w:r w:rsidRPr="006260AA">
              <w:rPr>
                <w:rFonts w:ascii="Times New Roman" w:hAnsi="Times New Roman" w:cs="Times New Roman"/>
              </w:rPr>
              <w:br/>
              <w:t>(1.860)</w:t>
            </w:r>
          </w:p>
        </w:tc>
        <w:tc>
          <w:tcPr>
            <w:tcW w:w="1674" w:type="dxa"/>
            <w:tcBorders>
              <w:top w:val="nil"/>
              <w:left w:val="nil"/>
              <w:bottom w:val="nil"/>
              <w:right w:val="nil"/>
            </w:tcBorders>
            <w:shd w:val="clear" w:color="auto" w:fill="auto"/>
            <w:vAlign w:val="bottom"/>
          </w:tcPr>
          <w:p w14:paraId="410F14F0"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7AA30E81"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5C706A77"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5FB13DF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0.507*</w:t>
            </w:r>
            <w:r w:rsidRPr="006260AA">
              <w:rPr>
                <w:rFonts w:ascii="Times New Roman" w:hAnsi="Times New Roman" w:cs="Times New Roman"/>
              </w:rPr>
              <w:br/>
              <w:t>(1.920)</w:t>
            </w:r>
          </w:p>
        </w:tc>
      </w:tr>
      <w:tr w:rsidR="006260AA" w:rsidRPr="006260AA" w14:paraId="398E35F9" w14:textId="77777777" w:rsidTr="008A71E8">
        <w:trPr>
          <w:trHeight w:val="432"/>
          <w:jc w:val="center"/>
        </w:trPr>
        <w:tc>
          <w:tcPr>
            <w:tcW w:w="2520" w:type="dxa"/>
            <w:tcBorders>
              <w:top w:val="nil"/>
              <w:left w:val="nil"/>
              <w:bottom w:val="nil"/>
              <w:right w:val="nil"/>
            </w:tcBorders>
            <w:vAlign w:val="center"/>
          </w:tcPr>
          <w:p w14:paraId="56EB8333"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LORG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241523D4"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12.058***</w:t>
            </w:r>
            <w:r w:rsidRPr="006260AA">
              <w:rPr>
                <w:rFonts w:ascii="Times New Roman" w:hAnsi="Times New Roman" w:cs="Times New Roman"/>
              </w:rPr>
              <w:br/>
              <w:t>(7.640)</w:t>
            </w:r>
          </w:p>
        </w:tc>
        <w:tc>
          <w:tcPr>
            <w:tcW w:w="1674" w:type="dxa"/>
            <w:tcBorders>
              <w:top w:val="nil"/>
              <w:left w:val="nil"/>
              <w:bottom w:val="nil"/>
              <w:right w:val="nil"/>
            </w:tcBorders>
            <w:shd w:val="clear" w:color="auto" w:fill="auto"/>
            <w:vAlign w:val="bottom"/>
          </w:tcPr>
          <w:p w14:paraId="5A0C4FDC"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25608E94"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044A8D93"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3B25F0A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14.647***</w:t>
            </w:r>
            <w:r w:rsidRPr="006260AA">
              <w:rPr>
                <w:rFonts w:ascii="Times New Roman" w:hAnsi="Times New Roman" w:cs="Times New Roman"/>
              </w:rPr>
              <w:br/>
              <w:t>(3.880)</w:t>
            </w:r>
          </w:p>
        </w:tc>
      </w:tr>
      <w:tr w:rsidR="006260AA" w:rsidRPr="006260AA" w14:paraId="174D63A0" w14:textId="77777777" w:rsidTr="008A71E8">
        <w:trPr>
          <w:trHeight w:val="432"/>
          <w:jc w:val="center"/>
        </w:trPr>
        <w:tc>
          <w:tcPr>
            <w:tcW w:w="2520" w:type="dxa"/>
            <w:tcBorders>
              <w:top w:val="nil"/>
              <w:left w:val="nil"/>
              <w:bottom w:val="nil"/>
              <w:right w:val="nil"/>
            </w:tcBorders>
            <w:vAlign w:val="center"/>
          </w:tcPr>
          <w:p w14:paraId="1FB95C3D"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MEDI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25144E47"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170BC386"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4.025***</w:t>
            </w:r>
            <w:r w:rsidRPr="006260AA">
              <w:rPr>
                <w:rFonts w:ascii="Times New Roman" w:hAnsi="Times New Roman" w:cs="Times New Roman"/>
              </w:rPr>
              <w:br/>
              <w:t>(3.590)</w:t>
            </w:r>
          </w:p>
        </w:tc>
        <w:tc>
          <w:tcPr>
            <w:tcW w:w="1674" w:type="dxa"/>
            <w:tcBorders>
              <w:top w:val="nil"/>
              <w:left w:val="nil"/>
              <w:bottom w:val="nil"/>
              <w:right w:val="nil"/>
            </w:tcBorders>
            <w:shd w:val="clear" w:color="auto" w:fill="auto"/>
            <w:vAlign w:val="bottom"/>
          </w:tcPr>
          <w:p w14:paraId="3958BB54"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1C176294"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482D922B"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2.874**</w:t>
            </w:r>
            <w:r w:rsidRPr="006260AA">
              <w:rPr>
                <w:rFonts w:ascii="Times New Roman" w:hAnsi="Times New Roman" w:cs="Times New Roman"/>
              </w:rPr>
              <w:br/>
              <w:t>(2.020)</w:t>
            </w:r>
          </w:p>
        </w:tc>
      </w:tr>
      <w:tr w:rsidR="006260AA" w:rsidRPr="006260AA" w14:paraId="2C3A448E" w14:textId="77777777" w:rsidTr="008A71E8">
        <w:trPr>
          <w:trHeight w:val="432"/>
          <w:jc w:val="center"/>
        </w:trPr>
        <w:tc>
          <w:tcPr>
            <w:tcW w:w="2520" w:type="dxa"/>
            <w:tcBorders>
              <w:top w:val="nil"/>
              <w:left w:val="nil"/>
              <w:bottom w:val="nil"/>
              <w:right w:val="nil"/>
            </w:tcBorders>
            <w:vAlign w:val="center"/>
          </w:tcPr>
          <w:p w14:paraId="0EF3A91A"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SOCL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34AAF1DC"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1D0D4D3B"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22588EC7"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0.505***</w:t>
            </w:r>
            <w:r w:rsidRPr="006260AA">
              <w:rPr>
                <w:rFonts w:ascii="Times New Roman" w:hAnsi="Times New Roman" w:cs="Times New Roman"/>
              </w:rPr>
              <w:br/>
              <w:t>(2.620)</w:t>
            </w:r>
          </w:p>
        </w:tc>
        <w:tc>
          <w:tcPr>
            <w:tcW w:w="1674" w:type="dxa"/>
            <w:tcBorders>
              <w:top w:val="nil"/>
              <w:left w:val="nil"/>
              <w:bottom w:val="nil"/>
              <w:right w:val="nil"/>
            </w:tcBorders>
            <w:shd w:val="clear" w:color="auto" w:fill="auto"/>
            <w:vAlign w:val="bottom"/>
          </w:tcPr>
          <w:p w14:paraId="3A6A2091"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14701DF7"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0.318*</w:t>
            </w:r>
            <w:r w:rsidRPr="006260AA">
              <w:rPr>
                <w:rFonts w:ascii="Times New Roman" w:hAnsi="Times New Roman" w:cs="Times New Roman"/>
              </w:rPr>
              <w:br/>
              <w:t>(1.650)</w:t>
            </w:r>
          </w:p>
        </w:tc>
      </w:tr>
      <w:tr w:rsidR="006260AA" w:rsidRPr="006260AA" w14:paraId="142D9AB4" w14:textId="77777777" w:rsidTr="008A71E8">
        <w:trPr>
          <w:trHeight w:val="432"/>
          <w:jc w:val="center"/>
        </w:trPr>
        <w:tc>
          <w:tcPr>
            <w:tcW w:w="2520" w:type="dxa"/>
            <w:tcBorders>
              <w:top w:val="nil"/>
              <w:left w:val="nil"/>
              <w:bottom w:val="nil"/>
              <w:right w:val="nil"/>
            </w:tcBorders>
            <w:vAlign w:val="center"/>
          </w:tcPr>
          <w:p w14:paraId="5264BB6D"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CHRN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7D771524"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5C731065"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4548D88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11.679***</w:t>
            </w:r>
            <w:r w:rsidRPr="006260AA">
              <w:rPr>
                <w:rFonts w:ascii="Times New Roman" w:hAnsi="Times New Roman" w:cs="Times New Roman"/>
              </w:rPr>
              <w:br/>
              <w:t>(5.920)</w:t>
            </w:r>
          </w:p>
        </w:tc>
        <w:tc>
          <w:tcPr>
            <w:tcW w:w="1674" w:type="dxa"/>
            <w:tcBorders>
              <w:top w:val="nil"/>
              <w:left w:val="nil"/>
              <w:bottom w:val="nil"/>
              <w:right w:val="nil"/>
            </w:tcBorders>
            <w:shd w:val="clear" w:color="auto" w:fill="auto"/>
            <w:vAlign w:val="bottom"/>
          </w:tcPr>
          <w:p w14:paraId="16A73A64"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2877BA2A"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13.212**</w:t>
            </w:r>
            <w:r w:rsidRPr="006260AA">
              <w:rPr>
                <w:rFonts w:ascii="Times New Roman" w:hAnsi="Times New Roman" w:cs="Times New Roman"/>
              </w:rPr>
              <w:br/>
              <w:t>(2.30)</w:t>
            </w:r>
          </w:p>
        </w:tc>
      </w:tr>
      <w:tr w:rsidR="006260AA" w:rsidRPr="006260AA" w14:paraId="0A7EC77A" w14:textId="77777777" w:rsidTr="008A71E8">
        <w:trPr>
          <w:trHeight w:val="432"/>
          <w:jc w:val="center"/>
        </w:trPr>
        <w:tc>
          <w:tcPr>
            <w:tcW w:w="2520" w:type="dxa"/>
            <w:tcBorders>
              <w:top w:val="nil"/>
              <w:left w:val="nil"/>
              <w:bottom w:val="nil"/>
              <w:right w:val="nil"/>
            </w:tcBorders>
            <w:vAlign w:val="center"/>
          </w:tcPr>
          <w:p w14:paraId="34949CC5"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ISLM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444EFFF1"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bottom"/>
          </w:tcPr>
          <w:p w14:paraId="25BD9A3E"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75D30041"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1.577</w:t>
            </w:r>
            <w:r w:rsidRPr="006260AA">
              <w:rPr>
                <w:rFonts w:ascii="Times New Roman" w:hAnsi="Times New Roman" w:cs="Times New Roman"/>
              </w:rPr>
              <w:br/>
              <w:t>(1.090)</w:t>
            </w:r>
          </w:p>
        </w:tc>
        <w:tc>
          <w:tcPr>
            <w:tcW w:w="1674" w:type="dxa"/>
            <w:tcBorders>
              <w:top w:val="nil"/>
              <w:left w:val="nil"/>
              <w:bottom w:val="nil"/>
              <w:right w:val="nil"/>
            </w:tcBorders>
            <w:vAlign w:val="center"/>
          </w:tcPr>
          <w:p w14:paraId="3ABDC59C"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1D52BF3A"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1.759</w:t>
            </w:r>
            <w:r w:rsidRPr="006260AA">
              <w:rPr>
                <w:rFonts w:ascii="Times New Roman" w:hAnsi="Times New Roman" w:cs="Times New Roman"/>
              </w:rPr>
              <w:br/>
              <w:t>(1.620)</w:t>
            </w:r>
          </w:p>
        </w:tc>
      </w:tr>
      <w:tr w:rsidR="006260AA" w:rsidRPr="006260AA" w14:paraId="3CDB12F8" w14:textId="77777777" w:rsidTr="008A71E8">
        <w:trPr>
          <w:trHeight w:val="432"/>
          <w:jc w:val="center"/>
        </w:trPr>
        <w:tc>
          <w:tcPr>
            <w:tcW w:w="2520" w:type="dxa"/>
            <w:tcBorders>
              <w:top w:val="nil"/>
              <w:left w:val="nil"/>
              <w:bottom w:val="nil"/>
              <w:right w:val="nil"/>
            </w:tcBorders>
            <w:vAlign w:val="center"/>
          </w:tcPr>
          <w:p w14:paraId="3CB737A9"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COMP </w:t>
            </w:r>
            <w:r w:rsidRPr="006260AA">
              <w:rPr>
                <w:rFonts w:ascii="Times New Roman" w:hAnsi="Times New Roman" w:cs="Times New Roman"/>
                <w:b/>
                <w:bCs/>
                <w:i/>
                <w:iCs/>
              </w:rPr>
              <w:t>(L2)</w:t>
            </w:r>
          </w:p>
        </w:tc>
        <w:tc>
          <w:tcPr>
            <w:tcW w:w="1674" w:type="dxa"/>
            <w:tcBorders>
              <w:top w:val="nil"/>
              <w:left w:val="nil"/>
              <w:bottom w:val="nil"/>
              <w:right w:val="nil"/>
            </w:tcBorders>
            <w:vAlign w:val="center"/>
          </w:tcPr>
          <w:p w14:paraId="5BDF2BE7"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bottom"/>
          </w:tcPr>
          <w:p w14:paraId="1BA43122"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shd w:val="clear" w:color="auto" w:fill="auto"/>
            <w:vAlign w:val="bottom"/>
          </w:tcPr>
          <w:p w14:paraId="04FDB4A1"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bottom"/>
          </w:tcPr>
          <w:p w14:paraId="14073EB6"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1.326**</w:t>
            </w:r>
            <w:r w:rsidRPr="006260AA">
              <w:rPr>
                <w:rFonts w:ascii="Times New Roman" w:hAnsi="Times New Roman" w:cs="Times New Roman"/>
              </w:rPr>
              <w:br/>
              <w:t>(2.530)</w:t>
            </w:r>
          </w:p>
        </w:tc>
        <w:tc>
          <w:tcPr>
            <w:tcW w:w="1674" w:type="dxa"/>
            <w:tcBorders>
              <w:top w:val="nil"/>
              <w:left w:val="nil"/>
              <w:bottom w:val="nil"/>
              <w:right w:val="nil"/>
            </w:tcBorders>
            <w:shd w:val="clear" w:color="auto" w:fill="auto"/>
            <w:vAlign w:val="bottom"/>
          </w:tcPr>
          <w:p w14:paraId="74FD84C3"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1.025*</w:t>
            </w:r>
            <w:r w:rsidRPr="006260AA">
              <w:rPr>
                <w:rFonts w:ascii="Times New Roman" w:hAnsi="Times New Roman" w:cs="Times New Roman"/>
              </w:rPr>
              <w:br/>
              <w:t>(1.920)</w:t>
            </w:r>
          </w:p>
        </w:tc>
      </w:tr>
      <w:tr w:rsidR="006260AA" w:rsidRPr="006260AA" w14:paraId="3516F339" w14:textId="77777777" w:rsidTr="008A71E8">
        <w:trPr>
          <w:trHeight w:val="432"/>
          <w:jc w:val="center"/>
        </w:trPr>
        <w:tc>
          <w:tcPr>
            <w:tcW w:w="2520" w:type="dxa"/>
            <w:tcBorders>
              <w:top w:val="nil"/>
              <w:left w:val="nil"/>
              <w:bottom w:val="nil"/>
              <w:right w:val="nil"/>
            </w:tcBorders>
            <w:vAlign w:val="center"/>
          </w:tcPr>
          <w:p w14:paraId="3B737DC0"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SIZE </w:t>
            </w:r>
            <w:r w:rsidRPr="006260AA">
              <w:rPr>
                <w:rFonts w:ascii="Times New Roman" w:hAnsi="Times New Roman" w:cs="Times New Roman"/>
                <w:b/>
                <w:bCs/>
                <w:i/>
                <w:iCs/>
              </w:rPr>
              <w:t>(L1)</w:t>
            </w:r>
          </w:p>
        </w:tc>
        <w:tc>
          <w:tcPr>
            <w:tcW w:w="1674" w:type="dxa"/>
            <w:tcBorders>
              <w:top w:val="nil"/>
              <w:left w:val="nil"/>
              <w:bottom w:val="nil"/>
              <w:right w:val="nil"/>
            </w:tcBorders>
            <w:shd w:val="clear" w:color="auto" w:fill="auto"/>
            <w:vAlign w:val="bottom"/>
          </w:tcPr>
          <w:p w14:paraId="58ABF76E"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0.694***</w:t>
            </w:r>
            <w:r w:rsidRPr="006260AA">
              <w:rPr>
                <w:rFonts w:ascii="Times New Roman" w:hAnsi="Times New Roman" w:cs="Times New Roman"/>
              </w:rPr>
              <w:br/>
              <w:t>(4.380)</w:t>
            </w:r>
          </w:p>
        </w:tc>
        <w:tc>
          <w:tcPr>
            <w:tcW w:w="1674" w:type="dxa"/>
            <w:tcBorders>
              <w:top w:val="nil"/>
              <w:left w:val="nil"/>
              <w:bottom w:val="nil"/>
              <w:right w:val="nil"/>
            </w:tcBorders>
            <w:shd w:val="clear" w:color="auto" w:fill="auto"/>
            <w:vAlign w:val="bottom"/>
          </w:tcPr>
          <w:p w14:paraId="58401824"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0.693***</w:t>
            </w:r>
            <w:r w:rsidRPr="006260AA">
              <w:rPr>
                <w:rFonts w:ascii="Times New Roman" w:hAnsi="Times New Roman" w:cs="Times New Roman"/>
              </w:rPr>
              <w:br/>
              <w:t>(4.390)</w:t>
            </w:r>
          </w:p>
        </w:tc>
        <w:tc>
          <w:tcPr>
            <w:tcW w:w="1674" w:type="dxa"/>
            <w:tcBorders>
              <w:top w:val="nil"/>
              <w:left w:val="nil"/>
              <w:bottom w:val="nil"/>
              <w:right w:val="nil"/>
            </w:tcBorders>
            <w:shd w:val="clear" w:color="auto" w:fill="auto"/>
            <w:vAlign w:val="bottom"/>
          </w:tcPr>
          <w:p w14:paraId="2DEB0D79"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0.693***</w:t>
            </w:r>
            <w:r w:rsidRPr="006260AA">
              <w:rPr>
                <w:rFonts w:ascii="Times New Roman" w:hAnsi="Times New Roman" w:cs="Times New Roman"/>
              </w:rPr>
              <w:br/>
              <w:t>(4.390)</w:t>
            </w:r>
          </w:p>
        </w:tc>
        <w:tc>
          <w:tcPr>
            <w:tcW w:w="1674" w:type="dxa"/>
            <w:tcBorders>
              <w:top w:val="nil"/>
              <w:left w:val="nil"/>
              <w:bottom w:val="nil"/>
              <w:right w:val="nil"/>
            </w:tcBorders>
            <w:shd w:val="clear" w:color="auto" w:fill="auto"/>
            <w:vAlign w:val="bottom"/>
          </w:tcPr>
          <w:p w14:paraId="2D70A01E"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0.693***</w:t>
            </w:r>
            <w:r w:rsidRPr="006260AA">
              <w:rPr>
                <w:rFonts w:ascii="Times New Roman" w:hAnsi="Times New Roman" w:cs="Times New Roman"/>
              </w:rPr>
              <w:br/>
              <w:t>(4.380)</w:t>
            </w:r>
          </w:p>
        </w:tc>
        <w:tc>
          <w:tcPr>
            <w:tcW w:w="1674" w:type="dxa"/>
            <w:tcBorders>
              <w:top w:val="nil"/>
              <w:left w:val="nil"/>
              <w:bottom w:val="nil"/>
              <w:right w:val="nil"/>
            </w:tcBorders>
            <w:shd w:val="clear" w:color="auto" w:fill="auto"/>
            <w:vAlign w:val="bottom"/>
          </w:tcPr>
          <w:p w14:paraId="54BB6B79"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0.696***</w:t>
            </w:r>
            <w:r w:rsidRPr="006260AA">
              <w:rPr>
                <w:rFonts w:ascii="Times New Roman" w:hAnsi="Times New Roman" w:cs="Times New Roman"/>
              </w:rPr>
              <w:br/>
              <w:t>(4.40)</w:t>
            </w:r>
          </w:p>
        </w:tc>
      </w:tr>
      <w:tr w:rsidR="006260AA" w:rsidRPr="006260AA" w14:paraId="6A4B4912" w14:textId="77777777" w:rsidTr="008A71E8">
        <w:trPr>
          <w:trHeight w:val="432"/>
          <w:jc w:val="center"/>
        </w:trPr>
        <w:tc>
          <w:tcPr>
            <w:tcW w:w="2520" w:type="dxa"/>
            <w:tcBorders>
              <w:top w:val="nil"/>
              <w:left w:val="nil"/>
              <w:bottom w:val="nil"/>
              <w:right w:val="nil"/>
            </w:tcBorders>
            <w:vAlign w:val="center"/>
          </w:tcPr>
          <w:p w14:paraId="4C7DAB9F"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LEVG </w:t>
            </w:r>
            <w:r w:rsidRPr="006260AA">
              <w:rPr>
                <w:rFonts w:ascii="Times New Roman" w:hAnsi="Times New Roman" w:cs="Times New Roman"/>
                <w:b/>
                <w:bCs/>
                <w:i/>
                <w:iCs/>
              </w:rPr>
              <w:t>(L1)</w:t>
            </w:r>
          </w:p>
        </w:tc>
        <w:tc>
          <w:tcPr>
            <w:tcW w:w="1674" w:type="dxa"/>
            <w:tcBorders>
              <w:top w:val="nil"/>
              <w:left w:val="nil"/>
              <w:bottom w:val="nil"/>
              <w:right w:val="nil"/>
            </w:tcBorders>
            <w:shd w:val="clear" w:color="auto" w:fill="auto"/>
            <w:vAlign w:val="bottom"/>
          </w:tcPr>
          <w:p w14:paraId="0C2DCB6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-0.273</w:t>
            </w:r>
            <w:r w:rsidRPr="006260AA">
              <w:rPr>
                <w:rFonts w:ascii="Times New Roman" w:hAnsi="Times New Roman" w:cs="Times New Roman"/>
              </w:rPr>
              <w:br/>
              <w:t>(-0.410)</w:t>
            </w:r>
          </w:p>
        </w:tc>
        <w:tc>
          <w:tcPr>
            <w:tcW w:w="1674" w:type="dxa"/>
            <w:tcBorders>
              <w:top w:val="nil"/>
              <w:left w:val="nil"/>
              <w:bottom w:val="nil"/>
              <w:right w:val="nil"/>
            </w:tcBorders>
            <w:shd w:val="clear" w:color="auto" w:fill="auto"/>
            <w:vAlign w:val="bottom"/>
          </w:tcPr>
          <w:p w14:paraId="53E103AF"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-0.289</w:t>
            </w:r>
            <w:r w:rsidRPr="006260AA">
              <w:rPr>
                <w:rFonts w:ascii="Times New Roman" w:hAnsi="Times New Roman" w:cs="Times New Roman"/>
              </w:rPr>
              <w:br/>
              <w:t>(-0.430)</w:t>
            </w:r>
          </w:p>
        </w:tc>
        <w:tc>
          <w:tcPr>
            <w:tcW w:w="1674" w:type="dxa"/>
            <w:tcBorders>
              <w:top w:val="nil"/>
              <w:left w:val="nil"/>
              <w:bottom w:val="nil"/>
              <w:right w:val="nil"/>
            </w:tcBorders>
            <w:shd w:val="clear" w:color="auto" w:fill="auto"/>
            <w:vAlign w:val="bottom"/>
          </w:tcPr>
          <w:p w14:paraId="7A574589"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-0.275</w:t>
            </w:r>
            <w:r w:rsidRPr="006260AA">
              <w:rPr>
                <w:rFonts w:ascii="Times New Roman" w:hAnsi="Times New Roman" w:cs="Times New Roman"/>
              </w:rPr>
              <w:br/>
              <w:t>(-0.410)</w:t>
            </w:r>
          </w:p>
        </w:tc>
        <w:tc>
          <w:tcPr>
            <w:tcW w:w="1674" w:type="dxa"/>
            <w:tcBorders>
              <w:top w:val="nil"/>
              <w:left w:val="nil"/>
              <w:bottom w:val="nil"/>
              <w:right w:val="nil"/>
            </w:tcBorders>
            <w:shd w:val="clear" w:color="auto" w:fill="auto"/>
            <w:vAlign w:val="bottom"/>
          </w:tcPr>
          <w:p w14:paraId="0113875E"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-0.268</w:t>
            </w:r>
            <w:r w:rsidRPr="006260AA">
              <w:rPr>
                <w:rFonts w:ascii="Times New Roman" w:hAnsi="Times New Roman" w:cs="Times New Roman"/>
              </w:rPr>
              <w:br/>
              <w:t>(-0.400)</w:t>
            </w:r>
          </w:p>
        </w:tc>
        <w:tc>
          <w:tcPr>
            <w:tcW w:w="1674" w:type="dxa"/>
            <w:tcBorders>
              <w:top w:val="nil"/>
              <w:left w:val="nil"/>
              <w:bottom w:val="nil"/>
              <w:right w:val="nil"/>
            </w:tcBorders>
            <w:shd w:val="clear" w:color="auto" w:fill="auto"/>
            <w:vAlign w:val="bottom"/>
          </w:tcPr>
          <w:p w14:paraId="653CD88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-0.278</w:t>
            </w:r>
            <w:r w:rsidRPr="006260AA">
              <w:rPr>
                <w:rFonts w:ascii="Times New Roman" w:hAnsi="Times New Roman" w:cs="Times New Roman"/>
              </w:rPr>
              <w:br/>
              <w:t>(-0.410)</w:t>
            </w:r>
          </w:p>
        </w:tc>
      </w:tr>
      <w:tr w:rsidR="006260AA" w:rsidRPr="006260AA" w14:paraId="3A99022B" w14:textId="77777777" w:rsidTr="008A71E8">
        <w:trPr>
          <w:trHeight w:val="432"/>
          <w:jc w:val="center"/>
        </w:trPr>
        <w:tc>
          <w:tcPr>
            <w:tcW w:w="2520" w:type="dxa"/>
            <w:tcBorders>
              <w:top w:val="nil"/>
              <w:left w:val="nil"/>
              <w:bottom w:val="nil"/>
              <w:right w:val="nil"/>
            </w:tcBorders>
            <w:vAlign w:val="center"/>
          </w:tcPr>
          <w:p w14:paraId="653F2C47"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 xml:space="preserve">GROW </w:t>
            </w:r>
            <w:r w:rsidRPr="006260AA">
              <w:rPr>
                <w:rFonts w:ascii="Times New Roman" w:hAnsi="Times New Roman" w:cs="Times New Roman"/>
                <w:b/>
                <w:bCs/>
                <w:i/>
                <w:iCs/>
              </w:rPr>
              <w:t>(L1)</w:t>
            </w:r>
          </w:p>
        </w:tc>
        <w:tc>
          <w:tcPr>
            <w:tcW w:w="1674" w:type="dxa"/>
            <w:tcBorders>
              <w:top w:val="nil"/>
              <w:left w:val="nil"/>
              <w:bottom w:val="nil"/>
              <w:right w:val="nil"/>
            </w:tcBorders>
            <w:shd w:val="clear" w:color="auto" w:fill="auto"/>
            <w:vAlign w:val="bottom"/>
          </w:tcPr>
          <w:p w14:paraId="4392797B"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-0.000</w:t>
            </w:r>
            <w:r w:rsidRPr="006260AA">
              <w:rPr>
                <w:rFonts w:ascii="Times New Roman" w:hAnsi="Times New Roman" w:cs="Times New Roman"/>
              </w:rPr>
              <w:br/>
              <w:t>(-0.800)</w:t>
            </w:r>
          </w:p>
        </w:tc>
        <w:tc>
          <w:tcPr>
            <w:tcW w:w="1674" w:type="dxa"/>
            <w:tcBorders>
              <w:top w:val="nil"/>
              <w:left w:val="nil"/>
              <w:bottom w:val="nil"/>
              <w:right w:val="nil"/>
            </w:tcBorders>
            <w:shd w:val="clear" w:color="auto" w:fill="auto"/>
            <w:vAlign w:val="bottom"/>
          </w:tcPr>
          <w:p w14:paraId="654B4DC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-0.000</w:t>
            </w:r>
            <w:r w:rsidRPr="006260AA">
              <w:rPr>
                <w:rFonts w:ascii="Times New Roman" w:hAnsi="Times New Roman" w:cs="Times New Roman"/>
              </w:rPr>
              <w:br/>
              <w:t>(-0.750)</w:t>
            </w:r>
          </w:p>
        </w:tc>
        <w:tc>
          <w:tcPr>
            <w:tcW w:w="1674" w:type="dxa"/>
            <w:tcBorders>
              <w:top w:val="nil"/>
              <w:left w:val="nil"/>
              <w:bottom w:val="nil"/>
              <w:right w:val="nil"/>
            </w:tcBorders>
            <w:shd w:val="clear" w:color="auto" w:fill="auto"/>
            <w:vAlign w:val="bottom"/>
          </w:tcPr>
          <w:p w14:paraId="14F3D34A"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-0.000</w:t>
            </w:r>
            <w:r w:rsidRPr="006260AA">
              <w:rPr>
                <w:rFonts w:ascii="Times New Roman" w:hAnsi="Times New Roman" w:cs="Times New Roman"/>
              </w:rPr>
              <w:br/>
              <w:t>(-0.800)</w:t>
            </w:r>
          </w:p>
        </w:tc>
        <w:tc>
          <w:tcPr>
            <w:tcW w:w="1674" w:type="dxa"/>
            <w:tcBorders>
              <w:top w:val="nil"/>
              <w:left w:val="nil"/>
              <w:bottom w:val="nil"/>
              <w:right w:val="nil"/>
            </w:tcBorders>
            <w:shd w:val="clear" w:color="auto" w:fill="auto"/>
            <w:vAlign w:val="bottom"/>
          </w:tcPr>
          <w:p w14:paraId="68FD8B5B"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-0.000</w:t>
            </w:r>
            <w:r w:rsidRPr="006260AA">
              <w:rPr>
                <w:rFonts w:ascii="Times New Roman" w:hAnsi="Times New Roman" w:cs="Times New Roman"/>
              </w:rPr>
              <w:br/>
              <w:t>(-0.800)</w:t>
            </w:r>
          </w:p>
        </w:tc>
        <w:tc>
          <w:tcPr>
            <w:tcW w:w="1674" w:type="dxa"/>
            <w:tcBorders>
              <w:top w:val="nil"/>
              <w:left w:val="nil"/>
              <w:bottom w:val="nil"/>
              <w:right w:val="nil"/>
            </w:tcBorders>
            <w:shd w:val="clear" w:color="auto" w:fill="auto"/>
            <w:vAlign w:val="bottom"/>
          </w:tcPr>
          <w:p w14:paraId="61D81B37"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-0.000</w:t>
            </w:r>
            <w:r w:rsidRPr="006260AA">
              <w:rPr>
                <w:rFonts w:ascii="Times New Roman" w:hAnsi="Times New Roman" w:cs="Times New Roman"/>
              </w:rPr>
              <w:br/>
              <w:t>(-0.760)</w:t>
            </w:r>
          </w:p>
        </w:tc>
      </w:tr>
      <w:tr w:rsidR="006260AA" w:rsidRPr="006260AA" w14:paraId="680F7790" w14:textId="77777777" w:rsidTr="008A71E8">
        <w:trPr>
          <w:trHeight w:val="432"/>
          <w:jc w:val="center"/>
        </w:trPr>
        <w:tc>
          <w:tcPr>
            <w:tcW w:w="2520" w:type="dxa"/>
            <w:tcBorders>
              <w:top w:val="nil"/>
              <w:left w:val="nil"/>
              <w:bottom w:val="nil"/>
              <w:right w:val="nil"/>
            </w:tcBorders>
            <w:vAlign w:val="center"/>
          </w:tcPr>
          <w:p w14:paraId="1AF508C2" w14:textId="77777777" w:rsidR="006260AA" w:rsidRPr="006260AA" w:rsidRDefault="006260AA" w:rsidP="008A71E8">
            <w:pPr>
              <w:tabs>
                <w:tab w:val="left" w:pos="426"/>
              </w:tabs>
              <w:rPr>
                <w:rFonts w:ascii="Times New Roman" w:hAnsi="Times New Roman" w:cs="Times New Roman"/>
                <w:highlight w:val="yellow"/>
              </w:rPr>
            </w:pPr>
            <w:r w:rsidRPr="006260AA">
              <w:rPr>
                <w:rFonts w:ascii="Times New Roman" w:hAnsi="Times New Roman" w:cs="Times New Roman"/>
              </w:rPr>
              <w:t xml:space="preserve">LGPC </w:t>
            </w:r>
            <w:r w:rsidRPr="006260AA">
              <w:rPr>
                <w:rFonts w:ascii="Times New Roman" w:hAnsi="Times New Roman" w:cs="Times New Roman"/>
                <w:b/>
                <w:bCs/>
                <w:i/>
                <w:iCs/>
              </w:rPr>
              <w:t>(L2)</w:t>
            </w:r>
          </w:p>
        </w:tc>
        <w:tc>
          <w:tcPr>
            <w:tcW w:w="1674" w:type="dxa"/>
            <w:tcBorders>
              <w:top w:val="nil"/>
              <w:left w:val="nil"/>
              <w:bottom w:val="nil"/>
              <w:right w:val="nil"/>
            </w:tcBorders>
            <w:shd w:val="clear" w:color="auto" w:fill="auto"/>
            <w:vAlign w:val="bottom"/>
          </w:tcPr>
          <w:p w14:paraId="455DCBD9"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4.068*</w:t>
            </w:r>
            <w:r w:rsidRPr="006260AA">
              <w:rPr>
                <w:rFonts w:ascii="Times New Roman" w:hAnsi="Times New Roman" w:cs="Times New Roman"/>
              </w:rPr>
              <w:br/>
              <w:t>(1.800)</w:t>
            </w:r>
          </w:p>
        </w:tc>
        <w:tc>
          <w:tcPr>
            <w:tcW w:w="1674" w:type="dxa"/>
            <w:tcBorders>
              <w:top w:val="nil"/>
              <w:left w:val="nil"/>
              <w:bottom w:val="nil"/>
              <w:right w:val="nil"/>
            </w:tcBorders>
            <w:shd w:val="clear" w:color="auto" w:fill="auto"/>
            <w:vAlign w:val="bottom"/>
          </w:tcPr>
          <w:p w14:paraId="3A6227B6"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4.446***</w:t>
            </w:r>
            <w:r w:rsidRPr="006260AA">
              <w:rPr>
                <w:rFonts w:ascii="Times New Roman" w:hAnsi="Times New Roman" w:cs="Times New Roman"/>
              </w:rPr>
              <w:br/>
              <w:t>(2.880)</w:t>
            </w:r>
          </w:p>
        </w:tc>
        <w:tc>
          <w:tcPr>
            <w:tcW w:w="1674" w:type="dxa"/>
            <w:tcBorders>
              <w:top w:val="nil"/>
              <w:left w:val="nil"/>
              <w:bottom w:val="nil"/>
              <w:right w:val="nil"/>
            </w:tcBorders>
            <w:shd w:val="clear" w:color="auto" w:fill="auto"/>
            <w:vAlign w:val="bottom"/>
          </w:tcPr>
          <w:p w14:paraId="629A4FD3"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4.621***</w:t>
            </w:r>
            <w:r w:rsidRPr="006260AA">
              <w:rPr>
                <w:rFonts w:ascii="Times New Roman" w:hAnsi="Times New Roman" w:cs="Times New Roman"/>
              </w:rPr>
              <w:br/>
              <w:t>(3.400)</w:t>
            </w:r>
          </w:p>
        </w:tc>
        <w:tc>
          <w:tcPr>
            <w:tcW w:w="1674" w:type="dxa"/>
            <w:tcBorders>
              <w:top w:val="nil"/>
              <w:left w:val="nil"/>
              <w:bottom w:val="nil"/>
              <w:right w:val="nil"/>
            </w:tcBorders>
            <w:shd w:val="clear" w:color="auto" w:fill="auto"/>
            <w:vAlign w:val="bottom"/>
          </w:tcPr>
          <w:p w14:paraId="54F5424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5.094**</w:t>
            </w:r>
            <w:r w:rsidRPr="006260AA">
              <w:rPr>
                <w:rFonts w:ascii="Times New Roman" w:hAnsi="Times New Roman" w:cs="Times New Roman"/>
              </w:rPr>
              <w:br/>
              <w:t>(2.440)</w:t>
            </w:r>
          </w:p>
        </w:tc>
        <w:tc>
          <w:tcPr>
            <w:tcW w:w="1674" w:type="dxa"/>
            <w:tcBorders>
              <w:top w:val="nil"/>
              <w:left w:val="nil"/>
              <w:bottom w:val="nil"/>
              <w:right w:val="nil"/>
            </w:tcBorders>
            <w:shd w:val="clear" w:color="auto" w:fill="auto"/>
            <w:vAlign w:val="bottom"/>
          </w:tcPr>
          <w:p w14:paraId="5FFC2B21"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3.216**</w:t>
            </w:r>
            <w:r w:rsidRPr="006260AA">
              <w:rPr>
                <w:rFonts w:ascii="Times New Roman" w:hAnsi="Times New Roman" w:cs="Times New Roman"/>
              </w:rPr>
              <w:br/>
              <w:t>(2.310)</w:t>
            </w:r>
          </w:p>
        </w:tc>
      </w:tr>
      <w:tr w:rsidR="006260AA" w:rsidRPr="006260AA" w14:paraId="622CD221" w14:textId="77777777" w:rsidTr="008A71E8">
        <w:trPr>
          <w:jc w:val="center"/>
        </w:trPr>
        <w:tc>
          <w:tcPr>
            <w:tcW w:w="2520" w:type="dxa"/>
            <w:tcBorders>
              <w:top w:val="nil"/>
              <w:left w:val="nil"/>
              <w:bottom w:val="nil"/>
              <w:right w:val="nil"/>
            </w:tcBorders>
          </w:tcPr>
          <w:p w14:paraId="346AC2B4" w14:textId="77777777" w:rsidR="006260AA" w:rsidRPr="006260AA" w:rsidRDefault="006260AA" w:rsidP="008A71E8">
            <w:pPr>
              <w:tabs>
                <w:tab w:val="left" w:pos="426"/>
              </w:tabs>
              <w:rPr>
                <w:rFonts w:ascii="Times New Roman" w:hAnsi="Times New Roman" w:cs="Times New Roman"/>
              </w:rPr>
            </w:pPr>
          </w:p>
        </w:tc>
        <w:tc>
          <w:tcPr>
            <w:tcW w:w="1674" w:type="dxa"/>
            <w:tcBorders>
              <w:top w:val="nil"/>
              <w:left w:val="nil"/>
              <w:bottom w:val="nil"/>
              <w:right w:val="nil"/>
            </w:tcBorders>
            <w:vAlign w:val="center"/>
          </w:tcPr>
          <w:p w14:paraId="7EBC42BC"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center"/>
          </w:tcPr>
          <w:p w14:paraId="17593437"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center"/>
          </w:tcPr>
          <w:p w14:paraId="5434D6A7"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center"/>
          </w:tcPr>
          <w:p w14:paraId="0A1BB91C" w14:textId="77777777" w:rsidR="006260AA" w:rsidRPr="006260AA" w:rsidRDefault="006260AA" w:rsidP="008A71E8">
            <w:pPr>
              <w:tabs>
                <w:tab w:val="left" w:pos="426"/>
              </w:tabs>
              <w:jc w:val="center"/>
              <w:rPr>
                <w:rFonts w:ascii="Times New Roman" w:hAnsi="Times New Roman" w:cs="Times New Roman"/>
              </w:rPr>
            </w:pPr>
          </w:p>
        </w:tc>
        <w:tc>
          <w:tcPr>
            <w:tcW w:w="1674" w:type="dxa"/>
            <w:tcBorders>
              <w:top w:val="nil"/>
              <w:left w:val="nil"/>
              <w:bottom w:val="nil"/>
              <w:right w:val="nil"/>
            </w:tcBorders>
            <w:vAlign w:val="center"/>
          </w:tcPr>
          <w:p w14:paraId="649924FC" w14:textId="77777777" w:rsidR="006260AA" w:rsidRPr="006260AA" w:rsidRDefault="006260AA" w:rsidP="008A71E8">
            <w:pPr>
              <w:tabs>
                <w:tab w:val="left" w:pos="426"/>
              </w:tabs>
              <w:jc w:val="center"/>
              <w:rPr>
                <w:rFonts w:ascii="Times New Roman" w:hAnsi="Times New Roman" w:cs="Times New Roman"/>
              </w:rPr>
            </w:pPr>
          </w:p>
        </w:tc>
      </w:tr>
      <w:tr w:rsidR="006260AA" w:rsidRPr="006260AA" w14:paraId="712875DC" w14:textId="77777777" w:rsidTr="008A71E8">
        <w:trPr>
          <w:trHeight w:val="288"/>
          <w:jc w:val="center"/>
        </w:trPr>
        <w:tc>
          <w:tcPr>
            <w:tcW w:w="2520" w:type="dxa"/>
            <w:tcBorders>
              <w:top w:val="nil"/>
              <w:left w:val="nil"/>
              <w:bottom w:val="nil"/>
              <w:right w:val="nil"/>
            </w:tcBorders>
            <w:vAlign w:val="center"/>
          </w:tcPr>
          <w:p w14:paraId="6C861C1E" w14:textId="77777777" w:rsidR="006260AA" w:rsidRPr="00B73017" w:rsidRDefault="006260AA" w:rsidP="008A71E8">
            <w:pPr>
              <w:tabs>
                <w:tab w:val="left" w:pos="426"/>
              </w:tabs>
              <w:rPr>
                <w:rFonts w:ascii="Times New Roman" w:hAnsi="Times New Roman" w:cs="Times New Roman"/>
              </w:rPr>
            </w:pPr>
            <w:r w:rsidRPr="00B73017">
              <w:rPr>
                <w:rFonts w:ascii="Times New Roman" w:hAnsi="Times New Roman" w:cs="Times New Roman"/>
              </w:rPr>
              <w:t>R</w:t>
            </w:r>
            <w:r w:rsidRPr="00B73017">
              <w:rPr>
                <w:rFonts w:ascii="Times New Roman" w:hAnsi="Times New Roman" w:cs="Times New Roman"/>
                <w:vertAlign w:val="superscript"/>
              </w:rPr>
              <w:t>2</w:t>
            </w:r>
            <w:r w:rsidRPr="00B73017">
              <w:rPr>
                <w:rFonts w:ascii="Times New Roman" w:hAnsi="Times New Roman" w:cs="Times New Roman"/>
              </w:rPr>
              <w:t xml:space="preserve"> (within countries)</w:t>
            </w:r>
          </w:p>
        </w:tc>
        <w:tc>
          <w:tcPr>
            <w:tcW w:w="1674" w:type="dxa"/>
            <w:tcBorders>
              <w:top w:val="nil"/>
              <w:left w:val="nil"/>
              <w:bottom w:val="nil"/>
              <w:right w:val="nil"/>
            </w:tcBorders>
            <w:shd w:val="clear" w:color="auto" w:fill="auto"/>
            <w:vAlign w:val="bottom"/>
          </w:tcPr>
          <w:p w14:paraId="6FF1ACD2"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0.208</w:t>
            </w:r>
          </w:p>
        </w:tc>
        <w:tc>
          <w:tcPr>
            <w:tcW w:w="1674" w:type="dxa"/>
            <w:tcBorders>
              <w:top w:val="nil"/>
              <w:left w:val="nil"/>
              <w:bottom w:val="nil"/>
              <w:right w:val="nil"/>
            </w:tcBorders>
            <w:shd w:val="clear" w:color="auto" w:fill="auto"/>
            <w:vAlign w:val="bottom"/>
          </w:tcPr>
          <w:p w14:paraId="257FF34B"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0.166</w:t>
            </w:r>
          </w:p>
        </w:tc>
        <w:tc>
          <w:tcPr>
            <w:tcW w:w="1674" w:type="dxa"/>
            <w:tcBorders>
              <w:top w:val="nil"/>
              <w:left w:val="nil"/>
              <w:bottom w:val="nil"/>
              <w:right w:val="nil"/>
            </w:tcBorders>
            <w:shd w:val="clear" w:color="auto" w:fill="auto"/>
            <w:vAlign w:val="bottom"/>
          </w:tcPr>
          <w:p w14:paraId="38A55997"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0.164</w:t>
            </w:r>
          </w:p>
        </w:tc>
        <w:tc>
          <w:tcPr>
            <w:tcW w:w="1674" w:type="dxa"/>
            <w:tcBorders>
              <w:top w:val="nil"/>
              <w:left w:val="nil"/>
              <w:bottom w:val="nil"/>
              <w:right w:val="nil"/>
            </w:tcBorders>
            <w:shd w:val="clear" w:color="auto" w:fill="auto"/>
            <w:vAlign w:val="bottom"/>
          </w:tcPr>
          <w:p w14:paraId="3A6ACB6D"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0.077</w:t>
            </w:r>
          </w:p>
        </w:tc>
        <w:tc>
          <w:tcPr>
            <w:tcW w:w="1674" w:type="dxa"/>
            <w:tcBorders>
              <w:top w:val="nil"/>
              <w:left w:val="nil"/>
              <w:bottom w:val="nil"/>
              <w:right w:val="nil"/>
            </w:tcBorders>
            <w:shd w:val="clear" w:color="auto" w:fill="auto"/>
            <w:vAlign w:val="bottom"/>
          </w:tcPr>
          <w:p w14:paraId="2E0AD8B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0.348</w:t>
            </w:r>
          </w:p>
        </w:tc>
      </w:tr>
      <w:tr w:rsidR="006260AA" w:rsidRPr="006260AA" w14:paraId="40332A66" w14:textId="77777777" w:rsidTr="008A71E8">
        <w:trPr>
          <w:trHeight w:val="288"/>
          <w:jc w:val="center"/>
        </w:trPr>
        <w:tc>
          <w:tcPr>
            <w:tcW w:w="2520" w:type="dxa"/>
            <w:tcBorders>
              <w:top w:val="nil"/>
              <w:left w:val="nil"/>
              <w:bottom w:val="nil"/>
              <w:right w:val="nil"/>
            </w:tcBorders>
            <w:vAlign w:val="center"/>
          </w:tcPr>
          <w:p w14:paraId="383E7E85" w14:textId="77777777" w:rsidR="006260AA" w:rsidRPr="00B73017" w:rsidRDefault="006260AA" w:rsidP="008A71E8">
            <w:pPr>
              <w:tabs>
                <w:tab w:val="left" w:pos="426"/>
              </w:tabs>
              <w:rPr>
                <w:rFonts w:ascii="Times New Roman" w:hAnsi="Times New Roman" w:cs="Times New Roman"/>
              </w:rPr>
            </w:pPr>
            <w:r w:rsidRPr="00B73017">
              <w:rPr>
                <w:rFonts w:ascii="Times New Roman" w:hAnsi="Times New Roman" w:cs="Times New Roman"/>
              </w:rPr>
              <w:t>R</w:t>
            </w:r>
            <w:r w:rsidRPr="00B73017">
              <w:rPr>
                <w:rFonts w:ascii="Times New Roman" w:hAnsi="Times New Roman" w:cs="Times New Roman"/>
                <w:vertAlign w:val="superscript"/>
              </w:rPr>
              <w:t>2</w:t>
            </w:r>
            <w:r w:rsidRPr="00B73017">
              <w:rPr>
                <w:rFonts w:ascii="Times New Roman" w:hAnsi="Times New Roman" w:cs="Times New Roman"/>
              </w:rPr>
              <w:t xml:space="preserve"> (between countries)</w:t>
            </w:r>
          </w:p>
        </w:tc>
        <w:tc>
          <w:tcPr>
            <w:tcW w:w="1674" w:type="dxa"/>
            <w:tcBorders>
              <w:top w:val="nil"/>
              <w:left w:val="nil"/>
              <w:bottom w:val="nil"/>
              <w:right w:val="nil"/>
            </w:tcBorders>
            <w:shd w:val="clear" w:color="auto" w:fill="auto"/>
            <w:vAlign w:val="bottom"/>
          </w:tcPr>
          <w:p w14:paraId="5088890F"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0.389</w:t>
            </w:r>
          </w:p>
        </w:tc>
        <w:tc>
          <w:tcPr>
            <w:tcW w:w="1674" w:type="dxa"/>
            <w:tcBorders>
              <w:top w:val="nil"/>
              <w:left w:val="nil"/>
              <w:bottom w:val="nil"/>
              <w:right w:val="nil"/>
            </w:tcBorders>
            <w:shd w:val="clear" w:color="auto" w:fill="auto"/>
            <w:vAlign w:val="bottom"/>
          </w:tcPr>
          <w:p w14:paraId="20FEEF00"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0.303</w:t>
            </w:r>
          </w:p>
        </w:tc>
        <w:tc>
          <w:tcPr>
            <w:tcW w:w="1674" w:type="dxa"/>
            <w:tcBorders>
              <w:top w:val="nil"/>
              <w:left w:val="nil"/>
              <w:bottom w:val="nil"/>
              <w:right w:val="nil"/>
            </w:tcBorders>
            <w:shd w:val="clear" w:color="auto" w:fill="auto"/>
            <w:vAlign w:val="bottom"/>
          </w:tcPr>
          <w:p w14:paraId="6F2391B6"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0.299</w:t>
            </w:r>
          </w:p>
        </w:tc>
        <w:tc>
          <w:tcPr>
            <w:tcW w:w="1674" w:type="dxa"/>
            <w:tcBorders>
              <w:top w:val="nil"/>
              <w:left w:val="nil"/>
              <w:bottom w:val="nil"/>
              <w:right w:val="nil"/>
            </w:tcBorders>
            <w:shd w:val="clear" w:color="auto" w:fill="auto"/>
            <w:vAlign w:val="bottom"/>
          </w:tcPr>
          <w:p w14:paraId="4299F49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0.121</w:t>
            </w:r>
          </w:p>
        </w:tc>
        <w:tc>
          <w:tcPr>
            <w:tcW w:w="1674" w:type="dxa"/>
            <w:tcBorders>
              <w:top w:val="nil"/>
              <w:left w:val="nil"/>
              <w:bottom w:val="nil"/>
              <w:right w:val="nil"/>
            </w:tcBorders>
            <w:shd w:val="clear" w:color="auto" w:fill="auto"/>
            <w:vAlign w:val="bottom"/>
          </w:tcPr>
          <w:p w14:paraId="27494044"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0.676</w:t>
            </w:r>
          </w:p>
        </w:tc>
      </w:tr>
      <w:tr w:rsidR="006260AA" w:rsidRPr="006260AA" w14:paraId="316167CC" w14:textId="77777777" w:rsidTr="008A71E8">
        <w:trPr>
          <w:trHeight w:val="288"/>
          <w:jc w:val="center"/>
        </w:trPr>
        <w:tc>
          <w:tcPr>
            <w:tcW w:w="2520" w:type="dxa"/>
            <w:tcBorders>
              <w:top w:val="nil"/>
              <w:left w:val="nil"/>
              <w:bottom w:val="nil"/>
              <w:right w:val="nil"/>
            </w:tcBorders>
            <w:vAlign w:val="center"/>
          </w:tcPr>
          <w:p w14:paraId="05EE5FA7"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AIC score</w:t>
            </w:r>
          </w:p>
        </w:tc>
        <w:tc>
          <w:tcPr>
            <w:tcW w:w="1674" w:type="dxa"/>
            <w:tcBorders>
              <w:top w:val="nil"/>
              <w:left w:val="nil"/>
              <w:bottom w:val="nil"/>
              <w:right w:val="nil"/>
            </w:tcBorders>
            <w:shd w:val="clear" w:color="auto" w:fill="auto"/>
            <w:vAlign w:val="bottom"/>
          </w:tcPr>
          <w:p w14:paraId="24D83FEB"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96,493</w:t>
            </w:r>
          </w:p>
        </w:tc>
        <w:tc>
          <w:tcPr>
            <w:tcW w:w="1674" w:type="dxa"/>
            <w:tcBorders>
              <w:top w:val="nil"/>
              <w:left w:val="nil"/>
              <w:bottom w:val="nil"/>
              <w:right w:val="nil"/>
            </w:tcBorders>
            <w:shd w:val="clear" w:color="auto" w:fill="auto"/>
            <w:vAlign w:val="bottom"/>
          </w:tcPr>
          <w:p w14:paraId="1718E15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96,491</w:t>
            </w:r>
          </w:p>
        </w:tc>
        <w:tc>
          <w:tcPr>
            <w:tcW w:w="1674" w:type="dxa"/>
            <w:tcBorders>
              <w:top w:val="nil"/>
              <w:left w:val="nil"/>
              <w:bottom w:val="nil"/>
              <w:right w:val="nil"/>
            </w:tcBorders>
            <w:shd w:val="clear" w:color="auto" w:fill="auto"/>
            <w:vAlign w:val="bottom"/>
          </w:tcPr>
          <w:p w14:paraId="30892DE1"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96,501</w:t>
            </w:r>
          </w:p>
        </w:tc>
        <w:tc>
          <w:tcPr>
            <w:tcW w:w="1674" w:type="dxa"/>
            <w:tcBorders>
              <w:top w:val="nil"/>
              <w:left w:val="nil"/>
              <w:bottom w:val="nil"/>
              <w:right w:val="nil"/>
            </w:tcBorders>
            <w:shd w:val="clear" w:color="auto" w:fill="auto"/>
            <w:vAlign w:val="bottom"/>
          </w:tcPr>
          <w:p w14:paraId="19B1ECD4"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96,507</w:t>
            </w:r>
          </w:p>
        </w:tc>
        <w:tc>
          <w:tcPr>
            <w:tcW w:w="1674" w:type="dxa"/>
            <w:tcBorders>
              <w:top w:val="nil"/>
              <w:left w:val="nil"/>
              <w:bottom w:val="nil"/>
              <w:right w:val="nil"/>
            </w:tcBorders>
            <w:shd w:val="clear" w:color="auto" w:fill="auto"/>
            <w:vAlign w:val="bottom"/>
          </w:tcPr>
          <w:p w14:paraId="59D73D8E"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96,473</w:t>
            </w:r>
          </w:p>
        </w:tc>
      </w:tr>
      <w:tr w:rsidR="006260AA" w:rsidRPr="006260AA" w14:paraId="044BF46F" w14:textId="77777777" w:rsidTr="008A71E8">
        <w:trPr>
          <w:trHeight w:val="288"/>
          <w:jc w:val="center"/>
        </w:trPr>
        <w:tc>
          <w:tcPr>
            <w:tcW w:w="2520" w:type="dxa"/>
            <w:tcBorders>
              <w:top w:val="nil"/>
              <w:left w:val="nil"/>
              <w:bottom w:val="nil"/>
              <w:right w:val="nil"/>
            </w:tcBorders>
            <w:vAlign w:val="center"/>
          </w:tcPr>
          <w:p w14:paraId="00D7D694" w14:textId="77777777"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Mean VIF</w:t>
            </w:r>
          </w:p>
        </w:tc>
        <w:tc>
          <w:tcPr>
            <w:tcW w:w="1674" w:type="dxa"/>
            <w:tcBorders>
              <w:top w:val="nil"/>
              <w:left w:val="nil"/>
              <w:bottom w:val="nil"/>
              <w:right w:val="nil"/>
            </w:tcBorders>
            <w:vAlign w:val="center"/>
          </w:tcPr>
          <w:p w14:paraId="734F9A9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2.45</w:t>
            </w:r>
          </w:p>
        </w:tc>
        <w:tc>
          <w:tcPr>
            <w:tcW w:w="1674" w:type="dxa"/>
            <w:tcBorders>
              <w:top w:val="nil"/>
              <w:left w:val="nil"/>
              <w:bottom w:val="nil"/>
              <w:right w:val="nil"/>
            </w:tcBorders>
            <w:vAlign w:val="center"/>
          </w:tcPr>
          <w:p w14:paraId="4FEAA737"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2.53</w:t>
            </w:r>
          </w:p>
        </w:tc>
        <w:tc>
          <w:tcPr>
            <w:tcW w:w="1674" w:type="dxa"/>
            <w:tcBorders>
              <w:top w:val="nil"/>
              <w:left w:val="nil"/>
              <w:bottom w:val="nil"/>
              <w:right w:val="nil"/>
            </w:tcBorders>
            <w:vAlign w:val="center"/>
          </w:tcPr>
          <w:p w14:paraId="781DC0DE"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2.36</w:t>
            </w:r>
          </w:p>
        </w:tc>
        <w:tc>
          <w:tcPr>
            <w:tcW w:w="1674" w:type="dxa"/>
            <w:tcBorders>
              <w:top w:val="nil"/>
              <w:left w:val="nil"/>
              <w:bottom w:val="nil"/>
              <w:right w:val="nil"/>
            </w:tcBorders>
            <w:vAlign w:val="center"/>
          </w:tcPr>
          <w:p w14:paraId="287D0753"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2.54</w:t>
            </w:r>
          </w:p>
        </w:tc>
        <w:tc>
          <w:tcPr>
            <w:tcW w:w="1674" w:type="dxa"/>
            <w:tcBorders>
              <w:top w:val="nil"/>
              <w:left w:val="nil"/>
              <w:bottom w:val="nil"/>
              <w:right w:val="nil"/>
            </w:tcBorders>
            <w:vAlign w:val="center"/>
          </w:tcPr>
          <w:p w14:paraId="5F8ECC99"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3.72</w:t>
            </w:r>
          </w:p>
        </w:tc>
      </w:tr>
      <w:tr w:rsidR="006260AA" w:rsidRPr="006260AA" w14:paraId="303E7ED0" w14:textId="77777777" w:rsidTr="008A71E8">
        <w:trPr>
          <w:trHeight w:val="288"/>
          <w:jc w:val="center"/>
        </w:trPr>
        <w:tc>
          <w:tcPr>
            <w:tcW w:w="2520" w:type="dxa"/>
            <w:tcBorders>
              <w:top w:val="nil"/>
              <w:left w:val="nil"/>
              <w:bottom w:val="nil"/>
              <w:right w:val="nil"/>
            </w:tcBorders>
            <w:vAlign w:val="center"/>
          </w:tcPr>
          <w:p w14:paraId="70ECFA8C" w14:textId="21B47E26"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N</w:t>
            </w:r>
            <w:r w:rsidR="00B73017">
              <w:rPr>
                <w:rFonts w:ascii="Times New Roman" w:hAnsi="Times New Roman" w:cs="Times New Roman"/>
              </w:rPr>
              <w:t>umber</w:t>
            </w:r>
            <w:r w:rsidRPr="006260AA">
              <w:rPr>
                <w:rFonts w:ascii="Times New Roman" w:hAnsi="Times New Roman" w:cs="Times New Roman"/>
              </w:rPr>
              <w:t xml:space="preserve"> of Firms</w:t>
            </w:r>
          </w:p>
        </w:tc>
        <w:tc>
          <w:tcPr>
            <w:tcW w:w="1674" w:type="dxa"/>
            <w:tcBorders>
              <w:top w:val="nil"/>
              <w:left w:val="nil"/>
              <w:bottom w:val="nil"/>
              <w:right w:val="nil"/>
            </w:tcBorders>
            <w:vAlign w:val="center"/>
          </w:tcPr>
          <w:p w14:paraId="4E54BDDA"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3301</w:t>
            </w:r>
          </w:p>
        </w:tc>
        <w:tc>
          <w:tcPr>
            <w:tcW w:w="1674" w:type="dxa"/>
            <w:tcBorders>
              <w:top w:val="nil"/>
              <w:left w:val="nil"/>
              <w:bottom w:val="nil"/>
              <w:right w:val="nil"/>
            </w:tcBorders>
            <w:vAlign w:val="center"/>
          </w:tcPr>
          <w:p w14:paraId="24042ABD"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3301</w:t>
            </w:r>
          </w:p>
        </w:tc>
        <w:tc>
          <w:tcPr>
            <w:tcW w:w="1674" w:type="dxa"/>
            <w:tcBorders>
              <w:top w:val="nil"/>
              <w:left w:val="nil"/>
              <w:bottom w:val="nil"/>
              <w:right w:val="nil"/>
            </w:tcBorders>
            <w:vAlign w:val="center"/>
          </w:tcPr>
          <w:p w14:paraId="4EE866A2"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3301</w:t>
            </w:r>
          </w:p>
        </w:tc>
        <w:tc>
          <w:tcPr>
            <w:tcW w:w="1674" w:type="dxa"/>
            <w:tcBorders>
              <w:top w:val="nil"/>
              <w:left w:val="nil"/>
              <w:bottom w:val="nil"/>
              <w:right w:val="nil"/>
            </w:tcBorders>
            <w:vAlign w:val="center"/>
          </w:tcPr>
          <w:p w14:paraId="44B623C0"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3301</w:t>
            </w:r>
          </w:p>
        </w:tc>
        <w:tc>
          <w:tcPr>
            <w:tcW w:w="1674" w:type="dxa"/>
            <w:tcBorders>
              <w:top w:val="nil"/>
              <w:left w:val="nil"/>
              <w:bottom w:val="nil"/>
              <w:right w:val="nil"/>
            </w:tcBorders>
            <w:vAlign w:val="center"/>
          </w:tcPr>
          <w:p w14:paraId="1A8660DB"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3301</w:t>
            </w:r>
          </w:p>
        </w:tc>
      </w:tr>
      <w:tr w:rsidR="006260AA" w:rsidRPr="006260AA" w14:paraId="62CC9BB1" w14:textId="77777777" w:rsidTr="008A71E8">
        <w:trPr>
          <w:trHeight w:val="288"/>
          <w:jc w:val="center"/>
        </w:trPr>
        <w:tc>
          <w:tcPr>
            <w:tcW w:w="2520" w:type="dxa"/>
            <w:tcBorders>
              <w:top w:val="nil"/>
              <w:left w:val="nil"/>
              <w:bottom w:val="nil"/>
              <w:right w:val="nil"/>
            </w:tcBorders>
            <w:vAlign w:val="center"/>
          </w:tcPr>
          <w:p w14:paraId="6893AF73" w14:textId="526CDE0F" w:rsidR="006260AA" w:rsidRPr="006260AA" w:rsidRDefault="006260AA" w:rsidP="008A71E8">
            <w:pPr>
              <w:tabs>
                <w:tab w:val="left" w:pos="426"/>
              </w:tabs>
              <w:rPr>
                <w:rFonts w:ascii="Times New Roman" w:hAnsi="Times New Roman" w:cs="Times New Roman"/>
              </w:rPr>
            </w:pPr>
            <w:r w:rsidRPr="006260AA">
              <w:rPr>
                <w:rFonts w:ascii="Times New Roman" w:hAnsi="Times New Roman" w:cs="Times New Roman"/>
              </w:rPr>
              <w:t>N</w:t>
            </w:r>
            <w:r w:rsidR="00B73017">
              <w:rPr>
                <w:rFonts w:ascii="Times New Roman" w:hAnsi="Times New Roman" w:cs="Times New Roman"/>
              </w:rPr>
              <w:t>umber o</w:t>
            </w:r>
            <w:r w:rsidRPr="006260AA">
              <w:rPr>
                <w:rFonts w:ascii="Times New Roman" w:hAnsi="Times New Roman" w:cs="Times New Roman"/>
              </w:rPr>
              <w:t>f Countries</w:t>
            </w:r>
          </w:p>
        </w:tc>
        <w:tc>
          <w:tcPr>
            <w:tcW w:w="1674" w:type="dxa"/>
            <w:tcBorders>
              <w:top w:val="nil"/>
              <w:left w:val="nil"/>
              <w:bottom w:val="nil"/>
              <w:right w:val="nil"/>
            </w:tcBorders>
            <w:vAlign w:val="center"/>
          </w:tcPr>
          <w:p w14:paraId="04BED055"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43</w:t>
            </w:r>
          </w:p>
        </w:tc>
        <w:tc>
          <w:tcPr>
            <w:tcW w:w="1674" w:type="dxa"/>
            <w:tcBorders>
              <w:top w:val="nil"/>
              <w:left w:val="nil"/>
              <w:bottom w:val="nil"/>
              <w:right w:val="nil"/>
            </w:tcBorders>
            <w:vAlign w:val="center"/>
          </w:tcPr>
          <w:p w14:paraId="274B028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43</w:t>
            </w:r>
          </w:p>
        </w:tc>
        <w:tc>
          <w:tcPr>
            <w:tcW w:w="1674" w:type="dxa"/>
            <w:tcBorders>
              <w:top w:val="nil"/>
              <w:left w:val="nil"/>
              <w:bottom w:val="nil"/>
              <w:right w:val="nil"/>
            </w:tcBorders>
            <w:vAlign w:val="center"/>
          </w:tcPr>
          <w:p w14:paraId="03ACD0FC"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43</w:t>
            </w:r>
          </w:p>
        </w:tc>
        <w:tc>
          <w:tcPr>
            <w:tcW w:w="1674" w:type="dxa"/>
            <w:tcBorders>
              <w:top w:val="nil"/>
              <w:left w:val="nil"/>
              <w:bottom w:val="nil"/>
              <w:right w:val="nil"/>
            </w:tcBorders>
            <w:vAlign w:val="center"/>
          </w:tcPr>
          <w:p w14:paraId="17DA0228"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43</w:t>
            </w:r>
          </w:p>
        </w:tc>
        <w:tc>
          <w:tcPr>
            <w:tcW w:w="1674" w:type="dxa"/>
            <w:tcBorders>
              <w:top w:val="nil"/>
              <w:left w:val="nil"/>
              <w:bottom w:val="nil"/>
              <w:right w:val="nil"/>
            </w:tcBorders>
            <w:vAlign w:val="center"/>
          </w:tcPr>
          <w:p w14:paraId="21916B43" w14:textId="77777777" w:rsidR="006260AA" w:rsidRPr="006260AA" w:rsidRDefault="006260AA" w:rsidP="008A71E8">
            <w:pPr>
              <w:tabs>
                <w:tab w:val="left" w:pos="426"/>
              </w:tabs>
              <w:jc w:val="center"/>
              <w:rPr>
                <w:rFonts w:ascii="Times New Roman" w:hAnsi="Times New Roman" w:cs="Times New Roman"/>
              </w:rPr>
            </w:pPr>
            <w:r w:rsidRPr="006260AA">
              <w:rPr>
                <w:rFonts w:ascii="Times New Roman" w:hAnsi="Times New Roman" w:cs="Times New Roman"/>
              </w:rPr>
              <w:t>43</w:t>
            </w:r>
          </w:p>
        </w:tc>
      </w:tr>
      <w:tr w:rsidR="006260AA" w:rsidRPr="00486141" w14:paraId="14B267B5" w14:textId="77777777" w:rsidTr="008A71E8">
        <w:trPr>
          <w:trHeight w:val="80"/>
          <w:jc w:val="center"/>
        </w:trPr>
        <w:tc>
          <w:tcPr>
            <w:tcW w:w="2520" w:type="dxa"/>
            <w:tcBorders>
              <w:top w:val="nil"/>
              <w:left w:val="nil"/>
              <w:bottom w:val="single" w:sz="12" w:space="0" w:color="auto"/>
              <w:right w:val="nil"/>
            </w:tcBorders>
          </w:tcPr>
          <w:p w14:paraId="5E7DB189" w14:textId="77777777" w:rsidR="006260AA" w:rsidRPr="00486141" w:rsidRDefault="006260AA" w:rsidP="008A71E8">
            <w:pPr>
              <w:tabs>
                <w:tab w:val="left" w:pos="426"/>
              </w:tabs>
              <w:rPr>
                <w:rFonts w:asciiTheme="majorBidi" w:hAnsiTheme="majorBidi" w:cstheme="majorBidi"/>
                <w:sz w:val="8"/>
                <w:szCs w:val="8"/>
              </w:rPr>
            </w:pPr>
          </w:p>
        </w:tc>
        <w:tc>
          <w:tcPr>
            <w:tcW w:w="1674" w:type="dxa"/>
            <w:tcBorders>
              <w:top w:val="nil"/>
              <w:left w:val="nil"/>
              <w:bottom w:val="single" w:sz="12" w:space="0" w:color="auto"/>
              <w:right w:val="nil"/>
            </w:tcBorders>
          </w:tcPr>
          <w:p w14:paraId="1710C59D" w14:textId="77777777" w:rsidR="006260AA" w:rsidRPr="00486141" w:rsidRDefault="006260AA" w:rsidP="008A71E8">
            <w:pPr>
              <w:tabs>
                <w:tab w:val="left" w:pos="426"/>
              </w:tabs>
              <w:jc w:val="center"/>
              <w:rPr>
                <w:rFonts w:asciiTheme="majorBidi" w:hAnsiTheme="majorBidi" w:cstheme="majorBidi"/>
                <w:sz w:val="8"/>
                <w:szCs w:val="8"/>
              </w:rPr>
            </w:pPr>
          </w:p>
        </w:tc>
        <w:tc>
          <w:tcPr>
            <w:tcW w:w="1674" w:type="dxa"/>
            <w:tcBorders>
              <w:top w:val="nil"/>
              <w:left w:val="nil"/>
              <w:bottom w:val="single" w:sz="12" w:space="0" w:color="auto"/>
              <w:right w:val="nil"/>
            </w:tcBorders>
          </w:tcPr>
          <w:p w14:paraId="7979E0A3" w14:textId="77777777" w:rsidR="006260AA" w:rsidRPr="00486141" w:rsidRDefault="006260AA" w:rsidP="008A71E8">
            <w:pPr>
              <w:tabs>
                <w:tab w:val="left" w:pos="426"/>
              </w:tabs>
              <w:jc w:val="center"/>
              <w:rPr>
                <w:rFonts w:asciiTheme="majorBidi" w:hAnsiTheme="majorBidi" w:cstheme="majorBidi"/>
                <w:sz w:val="8"/>
                <w:szCs w:val="8"/>
              </w:rPr>
            </w:pPr>
          </w:p>
        </w:tc>
        <w:tc>
          <w:tcPr>
            <w:tcW w:w="1674" w:type="dxa"/>
            <w:tcBorders>
              <w:top w:val="nil"/>
              <w:left w:val="nil"/>
              <w:bottom w:val="single" w:sz="12" w:space="0" w:color="auto"/>
              <w:right w:val="nil"/>
            </w:tcBorders>
          </w:tcPr>
          <w:p w14:paraId="53ABCDCA" w14:textId="77777777" w:rsidR="006260AA" w:rsidRPr="00486141" w:rsidRDefault="006260AA" w:rsidP="008A71E8">
            <w:pPr>
              <w:tabs>
                <w:tab w:val="left" w:pos="426"/>
              </w:tabs>
              <w:jc w:val="center"/>
              <w:rPr>
                <w:rFonts w:asciiTheme="majorBidi" w:hAnsiTheme="majorBidi" w:cstheme="majorBidi"/>
                <w:sz w:val="8"/>
                <w:szCs w:val="8"/>
              </w:rPr>
            </w:pPr>
          </w:p>
        </w:tc>
        <w:tc>
          <w:tcPr>
            <w:tcW w:w="1674" w:type="dxa"/>
            <w:tcBorders>
              <w:top w:val="nil"/>
              <w:left w:val="nil"/>
              <w:bottom w:val="single" w:sz="12" w:space="0" w:color="auto"/>
              <w:right w:val="nil"/>
            </w:tcBorders>
          </w:tcPr>
          <w:p w14:paraId="0102B2E7" w14:textId="77777777" w:rsidR="006260AA" w:rsidRPr="00486141" w:rsidRDefault="006260AA" w:rsidP="008A71E8">
            <w:pPr>
              <w:tabs>
                <w:tab w:val="left" w:pos="426"/>
              </w:tabs>
              <w:jc w:val="center"/>
              <w:rPr>
                <w:rFonts w:asciiTheme="majorBidi" w:hAnsiTheme="majorBidi" w:cstheme="majorBidi"/>
                <w:sz w:val="8"/>
                <w:szCs w:val="8"/>
              </w:rPr>
            </w:pPr>
          </w:p>
        </w:tc>
        <w:tc>
          <w:tcPr>
            <w:tcW w:w="1674" w:type="dxa"/>
            <w:tcBorders>
              <w:top w:val="nil"/>
              <w:left w:val="nil"/>
              <w:bottom w:val="single" w:sz="12" w:space="0" w:color="auto"/>
              <w:right w:val="nil"/>
            </w:tcBorders>
          </w:tcPr>
          <w:p w14:paraId="5F95E656" w14:textId="77777777" w:rsidR="006260AA" w:rsidRPr="00486141" w:rsidRDefault="006260AA" w:rsidP="008A71E8">
            <w:pPr>
              <w:tabs>
                <w:tab w:val="left" w:pos="426"/>
              </w:tabs>
              <w:jc w:val="center"/>
              <w:rPr>
                <w:rFonts w:asciiTheme="majorBidi" w:hAnsiTheme="majorBidi" w:cstheme="majorBidi"/>
                <w:sz w:val="8"/>
                <w:szCs w:val="8"/>
              </w:rPr>
            </w:pPr>
          </w:p>
        </w:tc>
      </w:tr>
    </w:tbl>
    <w:p w14:paraId="668F7431" w14:textId="4136C0E6" w:rsidR="005B75D3" w:rsidRDefault="005B75D3" w:rsidP="005B75D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We observe similar results when we include our media freedom index as well as our social and cultural index and predominant religion dummies. This is largely in line with the findings of </w:t>
      </w:r>
      <w:r w:rsidRPr="002531C9">
        <w:rPr>
          <w:rFonts w:ascii="Times New Roman" w:hAnsi="Times New Roman" w:cs="Times New Roman"/>
          <w:sz w:val="24"/>
          <w:szCs w:val="24"/>
        </w:rPr>
        <w:t xml:space="preserve">La Porta </w:t>
      </w:r>
      <w:r w:rsidR="002A1A6A" w:rsidRPr="002A1A6A">
        <w:rPr>
          <w:rFonts w:ascii="Times New Roman" w:hAnsi="Times New Roman" w:cs="Times New Roman"/>
          <w:i/>
          <w:iCs/>
          <w:sz w:val="24"/>
          <w:szCs w:val="24"/>
        </w:rPr>
        <w:t>et al.</w:t>
      </w:r>
      <w:r w:rsidRPr="002531C9">
        <w:rPr>
          <w:rFonts w:ascii="Times New Roman" w:hAnsi="Times New Roman" w:cs="Times New Roman"/>
          <w:sz w:val="24"/>
          <w:szCs w:val="24"/>
        </w:rPr>
        <w:t xml:space="preserve"> (2000</w:t>
      </w:r>
      <w:r>
        <w:rPr>
          <w:rFonts w:ascii="Times New Roman" w:hAnsi="Times New Roman" w:cs="Times New Roman"/>
          <w:sz w:val="24"/>
          <w:szCs w:val="24"/>
        </w:rPr>
        <w:t xml:space="preserve">) and </w:t>
      </w:r>
      <w:r w:rsidRPr="002531C9">
        <w:rPr>
          <w:rFonts w:ascii="Times New Roman" w:hAnsi="Times New Roman" w:cs="Times New Roman"/>
          <w:sz w:val="24"/>
          <w:szCs w:val="24"/>
        </w:rPr>
        <w:t>Stulz and Williamson (2003)</w:t>
      </w:r>
      <w:r>
        <w:rPr>
          <w:rFonts w:ascii="Times New Roman" w:hAnsi="Times New Roman" w:cs="Times New Roman"/>
          <w:sz w:val="24"/>
          <w:szCs w:val="24"/>
        </w:rPr>
        <w:t xml:space="preserve"> who found that the legal and cultural factors, respectively, are more powerful than economic and financial factors in explaining cross-country differences in the governance practices. Furthermore, although with a lesser magnitude, R</w:t>
      </w:r>
      <w:r w:rsidRPr="001B01FB">
        <w:rPr>
          <w:rFonts w:ascii="Times New Roman" w:hAnsi="Times New Roman" w:cs="Times New Roman"/>
          <w:sz w:val="24"/>
          <w:szCs w:val="24"/>
          <w:vertAlign w:val="superscript"/>
        </w:rPr>
        <w:t>2</w:t>
      </w:r>
      <w:r>
        <w:rPr>
          <w:rFonts w:ascii="Times New Roman" w:hAnsi="Times New Roman" w:cs="Times New Roman"/>
          <w:sz w:val="24"/>
          <w:szCs w:val="24"/>
        </w:rPr>
        <w:t xml:space="preserve"> scores are also higher for the regression including our market competition index. </w:t>
      </w:r>
    </w:p>
    <w:p w14:paraId="4E91476E" w14:textId="77777777" w:rsidR="006260AA" w:rsidRDefault="006260AA" w:rsidP="00BF2605">
      <w:pPr>
        <w:tabs>
          <w:tab w:val="left" w:pos="426"/>
        </w:tabs>
        <w:spacing w:after="0" w:line="288" w:lineRule="auto"/>
        <w:jc w:val="both"/>
        <w:rPr>
          <w:rFonts w:ascii="Times New Roman" w:hAnsi="Times New Roman" w:cs="Times New Roman"/>
          <w:sz w:val="24"/>
          <w:szCs w:val="24"/>
        </w:rPr>
      </w:pPr>
    </w:p>
    <w:p w14:paraId="20849686" w14:textId="2DB10D51" w:rsidR="00120429"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A75271">
        <w:rPr>
          <w:rFonts w:ascii="Times New Roman" w:hAnsi="Times New Roman" w:cs="Times New Roman"/>
          <w:sz w:val="24"/>
          <w:szCs w:val="24"/>
        </w:rPr>
        <w:t xml:space="preserve">In </w:t>
      </w:r>
      <w:r w:rsidR="00EC4667">
        <w:rPr>
          <w:rFonts w:ascii="Times New Roman" w:hAnsi="Times New Roman" w:cs="Times New Roman"/>
          <w:sz w:val="24"/>
          <w:szCs w:val="24"/>
        </w:rPr>
        <w:t xml:space="preserve">column five we report a regression which includes all </w:t>
      </w:r>
      <w:r w:rsidR="008F7B50">
        <w:rPr>
          <w:rFonts w:ascii="Times New Roman" w:hAnsi="Times New Roman" w:cs="Times New Roman"/>
          <w:sz w:val="24"/>
          <w:szCs w:val="24"/>
        </w:rPr>
        <w:t xml:space="preserve">of the </w:t>
      </w:r>
      <w:r w:rsidR="008D328C">
        <w:rPr>
          <w:rFonts w:ascii="Times New Roman" w:hAnsi="Times New Roman" w:cs="Times New Roman"/>
          <w:sz w:val="24"/>
          <w:szCs w:val="24"/>
        </w:rPr>
        <w:t>country-level</w:t>
      </w:r>
      <w:r w:rsidR="00EC4667">
        <w:rPr>
          <w:rFonts w:ascii="Times New Roman" w:hAnsi="Times New Roman" w:cs="Times New Roman"/>
          <w:sz w:val="24"/>
          <w:szCs w:val="24"/>
        </w:rPr>
        <w:t xml:space="preserve"> measures as explanatory variables</w:t>
      </w:r>
      <w:r w:rsidR="00363903">
        <w:rPr>
          <w:rFonts w:ascii="Times New Roman" w:hAnsi="Times New Roman" w:cs="Times New Roman"/>
          <w:sz w:val="24"/>
          <w:szCs w:val="24"/>
        </w:rPr>
        <w:t>. The</w:t>
      </w:r>
      <w:r w:rsidR="001B01FB">
        <w:rPr>
          <w:rFonts w:ascii="Times New Roman" w:hAnsi="Times New Roman" w:cs="Times New Roman"/>
          <w:sz w:val="24"/>
          <w:szCs w:val="24"/>
        </w:rPr>
        <w:t xml:space="preserve"> R</w:t>
      </w:r>
      <w:r w:rsidR="001B01FB" w:rsidRPr="001B01FB">
        <w:rPr>
          <w:rFonts w:ascii="Times New Roman" w:hAnsi="Times New Roman" w:cs="Times New Roman"/>
          <w:sz w:val="24"/>
          <w:szCs w:val="24"/>
          <w:vertAlign w:val="superscript"/>
        </w:rPr>
        <w:t>2</w:t>
      </w:r>
      <w:r w:rsidR="00363903">
        <w:rPr>
          <w:rFonts w:ascii="Times New Roman" w:hAnsi="Times New Roman" w:cs="Times New Roman"/>
          <w:sz w:val="24"/>
          <w:szCs w:val="24"/>
        </w:rPr>
        <w:t xml:space="preserve"> </w:t>
      </w:r>
      <w:r w:rsidR="00BB1973">
        <w:rPr>
          <w:rFonts w:ascii="Times New Roman" w:hAnsi="Times New Roman" w:cs="Times New Roman"/>
          <w:sz w:val="24"/>
          <w:szCs w:val="24"/>
        </w:rPr>
        <w:t xml:space="preserve">(within and between </w:t>
      </w:r>
      <w:r w:rsidR="003708BB">
        <w:rPr>
          <w:rFonts w:ascii="Times New Roman" w:hAnsi="Times New Roman" w:cs="Times New Roman"/>
          <w:sz w:val="24"/>
          <w:szCs w:val="24"/>
        </w:rPr>
        <w:t>countr</w:t>
      </w:r>
      <w:r w:rsidR="00BB1973">
        <w:rPr>
          <w:rFonts w:ascii="Times New Roman" w:hAnsi="Times New Roman" w:cs="Times New Roman"/>
          <w:sz w:val="24"/>
          <w:szCs w:val="24"/>
        </w:rPr>
        <w:t xml:space="preserve">ies) </w:t>
      </w:r>
      <w:r w:rsidR="00363903">
        <w:rPr>
          <w:rFonts w:ascii="Times New Roman" w:hAnsi="Times New Roman" w:cs="Times New Roman"/>
          <w:sz w:val="24"/>
          <w:szCs w:val="24"/>
        </w:rPr>
        <w:t xml:space="preserve">is now significantly higher compared to that </w:t>
      </w:r>
      <w:r w:rsidR="00363903" w:rsidRPr="00474494">
        <w:rPr>
          <w:rFonts w:ascii="Times New Roman" w:hAnsi="Times New Roman" w:cs="Times New Roman"/>
          <w:sz w:val="24"/>
          <w:szCs w:val="24"/>
        </w:rPr>
        <w:t>of regression</w:t>
      </w:r>
      <w:r w:rsidR="00B764C2" w:rsidRPr="00474494">
        <w:rPr>
          <w:rFonts w:ascii="Times New Roman" w:hAnsi="Times New Roman" w:cs="Times New Roman"/>
          <w:sz w:val="24"/>
          <w:szCs w:val="24"/>
        </w:rPr>
        <w:t>s</w:t>
      </w:r>
      <w:r w:rsidR="00363903" w:rsidRPr="00474494">
        <w:rPr>
          <w:rFonts w:ascii="Times New Roman" w:hAnsi="Times New Roman" w:cs="Times New Roman"/>
          <w:sz w:val="24"/>
          <w:szCs w:val="24"/>
        </w:rPr>
        <w:t xml:space="preserve"> </w:t>
      </w:r>
      <w:r w:rsidR="008F7B50">
        <w:rPr>
          <w:rFonts w:ascii="Times New Roman" w:hAnsi="Times New Roman" w:cs="Times New Roman"/>
          <w:sz w:val="24"/>
          <w:szCs w:val="24"/>
        </w:rPr>
        <w:t>reported in the first four columns</w:t>
      </w:r>
      <w:r w:rsidR="00295C53">
        <w:rPr>
          <w:rFonts w:ascii="Times New Roman" w:hAnsi="Times New Roman" w:cs="Times New Roman"/>
          <w:sz w:val="24"/>
          <w:szCs w:val="24"/>
        </w:rPr>
        <w:t>, all of the country variables are positive and all but</w:t>
      </w:r>
      <w:r w:rsidR="008F7B50">
        <w:rPr>
          <w:rFonts w:ascii="Times New Roman" w:hAnsi="Times New Roman" w:cs="Times New Roman"/>
          <w:sz w:val="24"/>
          <w:szCs w:val="24"/>
        </w:rPr>
        <w:t xml:space="preserve"> </w:t>
      </w:r>
      <w:r w:rsidR="00BB1973">
        <w:rPr>
          <w:rFonts w:ascii="Times New Roman" w:hAnsi="Times New Roman" w:cs="Times New Roman"/>
          <w:sz w:val="24"/>
          <w:szCs w:val="24"/>
        </w:rPr>
        <w:t>ISLM</w:t>
      </w:r>
      <w:r w:rsidR="00363903">
        <w:rPr>
          <w:rFonts w:ascii="Times New Roman" w:hAnsi="Times New Roman" w:cs="Times New Roman"/>
          <w:sz w:val="24"/>
          <w:szCs w:val="24"/>
        </w:rPr>
        <w:t xml:space="preserve"> are significant.</w:t>
      </w:r>
      <w:r w:rsidR="004376D1">
        <w:rPr>
          <w:rFonts w:ascii="Times New Roman" w:hAnsi="Times New Roman" w:cs="Times New Roman"/>
          <w:sz w:val="24"/>
          <w:szCs w:val="24"/>
        </w:rPr>
        <w:t xml:space="preserve"> </w:t>
      </w:r>
      <w:r w:rsidR="004376D1" w:rsidRPr="004376D1">
        <w:rPr>
          <w:rFonts w:ascii="Times New Roman" w:hAnsi="Times New Roman" w:cs="Times New Roman"/>
          <w:sz w:val="24"/>
          <w:szCs w:val="24"/>
        </w:rPr>
        <w:t>The</w:t>
      </w:r>
      <w:r w:rsidR="004376D1">
        <w:rPr>
          <w:rFonts w:ascii="Times New Roman" w:hAnsi="Times New Roman" w:cs="Times New Roman"/>
          <w:sz w:val="24"/>
          <w:szCs w:val="24"/>
        </w:rPr>
        <w:t xml:space="preserve"> </w:t>
      </w:r>
      <w:r w:rsidR="00572CA4">
        <w:rPr>
          <w:rFonts w:ascii="Times New Roman" w:hAnsi="Times New Roman" w:cs="Times New Roman"/>
          <w:sz w:val="24"/>
          <w:szCs w:val="24"/>
        </w:rPr>
        <w:t xml:space="preserve">lower </w:t>
      </w:r>
      <w:r w:rsidR="004376D1">
        <w:rPr>
          <w:rFonts w:ascii="Times New Roman" w:hAnsi="Times New Roman" w:cs="Times New Roman"/>
          <w:sz w:val="24"/>
          <w:szCs w:val="24"/>
        </w:rPr>
        <w:t>AIC scor</w:t>
      </w:r>
      <w:r w:rsidR="00474494">
        <w:rPr>
          <w:rFonts w:ascii="Times New Roman" w:hAnsi="Times New Roman" w:cs="Times New Roman"/>
          <w:sz w:val="24"/>
          <w:szCs w:val="24"/>
        </w:rPr>
        <w:t xml:space="preserve">es also suggest that </w:t>
      </w:r>
      <w:r w:rsidR="008D328C">
        <w:rPr>
          <w:rFonts w:ascii="Times New Roman" w:hAnsi="Times New Roman" w:cs="Times New Roman"/>
          <w:sz w:val="24"/>
          <w:szCs w:val="24"/>
        </w:rPr>
        <w:t xml:space="preserve">the </w:t>
      </w:r>
      <w:r w:rsidR="00474494">
        <w:rPr>
          <w:rFonts w:ascii="Times New Roman" w:hAnsi="Times New Roman" w:cs="Times New Roman"/>
          <w:sz w:val="24"/>
          <w:szCs w:val="24"/>
        </w:rPr>
        <w:t xml:space="preserve">regression </w:t>
      </w:r>
      <w:r w:rsidR="00120429">
        <w:rPr>
          <w:rFonts w:ascii="Times New Roman" w:hAnsi="Times New Roman" w:cs="Times New Roman"/>
          <w:sz w:val="24"/>
          <w:szCs w:val="24"/>
        </w:rPr>
        <w:t>containing</w:t>
      </w:r>
      <w:r w:rsidR="008F7B50">
        <w:rPr>
          <w:rFonts w:ascii="Times New Roman" w:hAnsi="Times New Roman" w:cs="Times New Roman"/>
          <w:sz w:val="24"/>
          <w:szCs w:val="24"/>
        </w:rPr>
        <w:t xml:space="preserve"> all of the </w:t>
      </w:r>
      <w:r w:rsidR="008D328C">
        <w:rPr>
          <w:rFonts w:ascii="Times New Roman" w:hAnsi="Times New Roman" w:cs="Times New Roman"/>
          <w:sz w:val="24"/>
          <w:szCs w:val="24"/>
        </w:rPr>
        <w:t xml:space="preserve">country-level </w:t>
      </w:r>
      <w:r w:rsidR="008F7B50">
        <w:rPr>
          <w:rFonts w:ascii="Times New Roman" w:hAnsi="Times New Roman" w:cs="Times New Roman"/>
          <w:sz w:val="24"/>
          <w:szCs w:val="24"/>
        </w:rPr>
        <w:t>measures</w:t>
      </w:r>
      <w:r w:rsidR="00474494">
        <w:rPr>
          <w:rFonts w:ascii="Times New Roman" w:hAnsi="Times New Roman" w:cs="Times New Roman"/>
          <w:sz w:val="24"/>
          <w:szCs w:val="24"/>
        </w:rPr>
        <w:t xml:space="preserve"> </w:t>
      </w:r>
      <w:r w:rsidR="004376D1">
        <w:rPr>
          <w:rFonts w:ascii="Times New Roman" w:hAnsi="Times New Roman" w:cs="Times New Roman"/>
          <w:sz w:val="24"/>
          <w:szCs w:val="24"/>
        </w:rPr>
        <w:t>provide</w:t>
      </w:r>
      <w:r w:rsidR="00474494">
        <w:rPr>
          <w:rFonts w:ascii="Times New Roman" w:hAnsi="Times New Roman" w:cs="Times New Roman"/>
          <w:sz w:val="24"/>
          <w:szCs w:val="24"/>
        </w:rPr>
        <w:t>s</w:t>
      </w:r>
      <w:r w:rsidR="004376D1">
        <w:rPr>
          <w:rFonts w:ascii="Times New Roman" w:hAnsi="Times New Roman" w:cs="Times New Roman"/>
          <w:sz w:val="24"/>
          <w:szCs w:val="24"/>
        </w:rPr>
        <w:t xml:space="preserve"> a better fit to </w:t>
      </w:r>
      <w:r w:rsidR="00120429">
        <w:rPr>
          <w:rFonts w:ascii="Times New Roman" w:hAnsi="Times New Roman" w:cs="Times New Roman"/>
          <w:sz w:val="24"/>
          <w:szCs w:val="24"/>
        </w:rPr>
        <w:t xml:space="preserve">the </w:t>
      </w:r>
      <w:r w:rsidR="004376D1">
        <w:rPr>
          <w:rFonts w:ascii="Times New Roman" w:hAnsi="Times New Roman" w:cs="Times New Roman"/>
          <w:sz w:val="24"/>
          <w:szCs w:val="24"/>
        </w:rPr>
        <w:t xml:space="preserve">data </w:t>
      </w:r>
      <w:r w:rsidR="00120429">
        <w:rPr>
          <w:rFonts w:ascii="Times New Roman" w:hAnsi="Times New Roman" w:cs="Times New Roman"/>
          <w:sz w:val="24"/>
          <w:szCs w:val="24"/>
        </w:rPr>
        <w:t>after</w:t>
      </w:r>
      <w:r w:rsidR="004376D1">
        <w:rPr>
          <w:rFonts w:ascii="Times New Roman" w:hAnsi="Times New Roman" w:cs="Times New Roman"/>
          <w:sz w:val="24"/>
          <w:szCs w:val="24"/>
        </w:rPr>
        <w:t xml:space="preserve"> </w:t>
      </w:r>
      <w:r w:rsidR="00572CA4">
        <w:rPr>
          <w:rFonts w:ascii="Times New Roman" w:hAnsi="Times New Roman" w:cs="Times New Roman"/>
          <w:sz w:val="24"/>
          <w:szCs w:val="24"/>
        </w:rPr>
        <w:t>accounting for the higher</w:t>
      </w:r>
      <w:r w:rsidR="00B764C2">
        <w:rPr>
          <w:rFonts w:ascii="Times New Roman" w:hAnsi="Times New Roman" w:cs="Times New Roman"/>
          <w:sz w:val="24"/>
          <w:szCs w:val="24"/>
        </w:rPr>
        <w:t xml:space="preserve"> </w:t>
      </w:r>
      <w:r w:rsidR="00474494">
        <w:rPr>
          <w:rFonts w:ascii="Times New Roman" w:hAnsi="Times New Roman" w:cs="Times New Roman"/>
          <w:sz w:val="24"/>
          <w:szCs w:val="24"/>
        </w:rPr>
        <w:t>complexity of this</w:t>
      </w:r>
      <w:r w:rsidR="004376D1">
        <w:rPr>
          <w:rFonts w:ascii="Times New Roman" w:hAnsi="Times New Roman" w:cs="Times New Roman"/>
          <w:sz w:val="24"/>
          <w:szCs w:val="24"/>
        </w:rPr>
        <w:t xml:space="preserve"> </w:t>
      </w:r>
      <w:r w:rsidR="00572CA4">
        <w:rPr>
          <w:rFonts w:ascii="Times New Roman" w:hAnsi="Times New Roman" w:cs="Times New Roman"/>
          <w:sz w:val="24"/>
          <w:szCs w:val="24"/>
        </w:rPr>
        <w:t>regression (</w:t>
      </w:r>
      <w:r w:rsidR="00F27C61">
        <w:rPr>
          <w:rFonts w:ascii="Times New Roman" w:hAnsi="Times New Roman" w:cs="Times New Roman"/>
          <w:sz w:val="24"/>
          <w:szCs w:val="24"/>
        </w:rPr>
        <w:t>that is,</w:t>
      </w:r>
      <w:r w:rsidR="00572CA4">
        <w:rPr>
          <w:rFonts w:ascii="Times New Roman" w:hAnsi="Times New Roman" w:cs="Times New Roman"/>
          <w:sz w:val="24"/>
          <w:szCs w:val="24"/>
        </w:rPr>
        <w:t xml:space="preserve"> more independent variables) </w:t>
      </w:r>
      <w:r w:rsidR="00120429">
        <w:rPr>
          <w:rFonts w:ascii="Times New Roman" w:hAnsi="Times New Roman" w:cs="Times New Roman"/>
          <w:sz w:val="24"/>
          <w:szCs w:val="24"/>
        </w:rPr>
        <w:t>than the regressions reported in the first four columns</w:t>
      </w:r>
      <w:r w:rsidR="008D328C">
        <w:rPr>
          <w:rFonts w:ascii="Times New Roman" w:hAnsi="Times New Roman" w:cs="Times New Roman"/>
          <w:sz w:val="24"/>
          <w:szCs w:val="24"/>
        </w:rPr>
        <w:t>.</w:t>
      </w:r>
    </w:p>
    <w:p w14:paraId="5A3B2FD2" w14:textId="77777777" w:rsidR="000C20D9" w:rsidRDefault="000C20D9" w:rsidP="00BF2605">
      <w:pPr>
        <w:tabs>
          <w:tab w:val="left" w:pos="426"/>
        </w:tabs>
        <w:spacing w:after="0" w:line="288" w:lineRule="auto"/>
        <w:jc w:val="both"/>
        <w:rPr>
          <w:rFonts w:ascii="Times New Roman" w:hAnsi="Times New Roman" w:cs="Times New Roman"/>
          <w:sz w:val="24"/>
          <w:szCs w:val="24"/>
        </w:rPr>
      </w:pPr>
    </w:p>
    <w:p w14:paraId="463E0468" w14:textId="49FDD3F0" w:rsidR="00004F41"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911B4">
        <w:rPr>
          <w:rFonts w:ascii="Times New Roman" w:hAnsi="Times New Roman" w:cs="Times New Roman"/>
          <w:sz w:val="24"/>
          <w:szCs w:val="24"/>
        </w:rPr>
        <w:t>T</w:t>
      </w:r>
      <w:r w:rsidR="001B01FB">
        <w:rPr>
          <w:rFonts w:ascii="Times New Roman" w:hAnsi="Times New Roman" w:cs="Times New Roman"/>
          <w:sz w:val="24"/>
          <w:szCs w:val="24"/>
        </w:rPr>
        <w:t xml:space="preserve">he </w:t>
      </w:r>
      <w:r w:rsidR="00F61AA4">
        <w:rPr>
          <w:rFonts w:ascii="Times New Roman" w:hAnsi="Times New Roman" w:cs="Times New Roman"/>
          <w:sz w:val="24"/>
          <w:szCs w:val="24"/>
        </w:rPr>
        <w:t xml:space="preserve">positive </w:t>
      </w:r>
      <w:r w:rsidR="0069220B">
        <w:rPr>
          <w:rFonts w:ascii="Times New Roman" w:hAnsi="Times New Roman" w:cs="Times New Roman"/>
          <w:sz w:val="24"/>
          <w:szCs w:val="24"/>
        </w:rPr>
        <w:t xml:space="preserve">sign of the </w:t>
      </w:r>
      <w:r w:rsidR="001B01FB">
        <w:rPr>
          <w:rFonts w:ascii="Times New Roman" w:hAnsi="Times New Roman" w:cs="Times New Roman"/>
          <w:sz w:val="24"/>
          <w:szCs w:val="24"/>
        </w:rPr>
        <w:t>rule of law</w:t>
      </w:r>
      <w:r w:rsidR="0069220B">
        <w:rPr>
          <w:rFonts w:ascii="Times New Roman" w:hAnsi="Times New Roman" w:cs="Times New Roman"/>
          <w:sz w:val="24"/>
          <w:szCs w:val="24"/>
        </w:rPr>
        <w:t xml:space="preserve"> index suggests that</w:t>
      </w:r>
      <w:r w:rsidR="001B01FB">
        <w:rPr>
          <w:rFonts w:ascii="Times New Roman" w:hAnsi="Times New Roman" w:cs="Times New Roman"/>
          <w:sz w:val="24"/>
          <w:szCs w:val="24"/>
        </w:rPr>
        <w:t xml:space="preserve"> </w:t>
      </w:r>
      <w:r w:rsidR="00D40192">
        <w:rPr>
          <w:rFonts w:ascii="Times New Roman" w:hAnsi="Times New Roman" w:cs="Times New Roman"/>
          <w:sz w:val="24"/>
          <w:szCs w:val="24"/>
        </w:rPr>
        <w:t>more effective law enforcement and judicial syst</w:t>
      </w:r>
      <w:r w:rsidR="00C45972">
        <w:rPr>
          <w:rFonts w:ascii="Times New Roman" w:hAnsi="Times New Roman" w:cs="Times New Roman"/>
          <w:sz w:val="24"/>
          <w:szCs w:val="24"/>
        </w:rPr>
        <w:t xml:space="preserve">ems are likely to </w:t>
      </w:r>
      <w:r w:rsidR="004002EC">
        <w:rPr>
          <w:rFonts w:ascii="Times New Roman" w:hAnsi="Times New Roman" w:cs="Times New Roman"/>
          <w:sz w:val="24"/>
          <w:szCs w:val="24"/>
        </w:rPr>
        <w:t>be associated with</w:t>
      </w:r>
      <w:r w:rsidR="00C45972">
        <w:rPr>
          <w:rFonts w:ascii="Times New Roman" w:hAnsi="Times New Roman" w:cs="Times New Roman"/>
          <w:sz w:val="24"/>
          <w:szCs w:val="24"/>
        </w:rPr>
        <w:t xml:space="preserve"> </w:t>
      </w:r>
      <w:r w:rsidR="0069220B">
        <w:rPr>
          <w:rFonts w:ascii="Times New Roman" w:hAnsi="Times New Roman" w:cs="Times New Roman"/>
          <w:sz w:val="24"/>
          <w:szCs w:val="24"/>
        </w:rPr>
        <w:t>better firm-level governance (</w:t>
      </w:r>
      <w:r w:rsidR="0069220B" w:rsidRPr="00CA2CBE">
        <w:rPr>
          <w:rFonts w:ascii="Times New Roman" w:hAnsi="Times New Roman" w:cs="Times New Roman"/>
          <w:sz w:val="24"/>
          <w:szCs w:val="24"/>
        </w:rPr>
        <w:t>Doid</w:t>
      </w:r>
      <w:r w:rsidR="0069220B">
        <w:rPr>
          <w:rFonts w:ascii="Times New Roman" w:hAnsi="Times New Roman" w:cs="Times New Roman"/>
          <w:sz w:val="24"/>
          <w:szCs w:val="24"/>
        </w:rPr>
        <w:t>ge et al. 2007)</w:t>
      </w:r>
      <w:r w:rsidR="00C45972">
        <w:rPr>
          <w:rFonts w:ascii="Times New Roman" w:hAnsi="Times New Roman" w:cs="Times New Roman"/>
          <w:sz w:val="24"/>
          <w:szCs w:val="24"/>
        </w:rPr>
        <w:t>.</w:t>
      </w:r>
      <w:r w:rsidR="0069220B">
        <w:rPr>
          <w:rFonts w:ascii="Times New Roman" w:hAnsi="Times New Roman" w:cs="Times New Roman"/>
          <w:sz w:val="24"/>
          <w:szCs w:val="24"/>
        </w:rPr>
        <w:t xml:space="preserve"> </w:t>
      </w:r>
      <w:r w:rsidR="000E23CD">
        <w:rPr>
          <w:rFonts w:ascii="Times New Roman" w:hAnsi="Times New Roman" w:cs="Times New Roman"/>
          <w:sz w:val="24"/>
          <w:szCs w:val="24"/>
        </w:rPr>
        <w:t xml:space="preserve">Furthermore, </w:t>
      </w:r>
      <w:r w:rsidR="006F7ACF">
        <w:rPr>
          <w:rFonts w:ascii="Times New Roman" w:hAnsi="Times New Roman" w:cs="Times New Roman"/>
          <w:sz w:val="24"/>
          <w:szCs w:val="24"/>
        </w:rPr>
        <w:t xml:space="preserve">our </w:t>
      </w:r>
      <w:r w:rsidR="004429ED">
        <w:rPr>
          <w:rFonts w:ascii="Times New Roman" w:hAnsi="Times New Roman" w:cs="Times New Roman"/>
          <w:sz w:val="24"/>
          <w:szCs w:val="24"/>
        </w:rPr>
        <w:t xml:space="preserve">results show that </w:t>
      </w:r>
      <w:r w:rsidR="003708BB">
        <w:rPr>
          <w:rFonts w:ascii="Times New Roman" w:hAnsi="Times New Roman" w:cs="Times New Roman"/>
          <w:sz w:val="24"/>
          <w:szCs w:val="24"/>
        </w:rPr>
        <w:t>countr</w:t>
      </w:r>
      <w:r w:rsidR="004429ED">
        <w:rPr>
          <w:rFonts w:ascii="Times New Roman" w:hAnsi="Times New Roman" w:cs="Times New Roman"/>
          <w:sz w:val="24"/>
          <w:szCs w:val="24"/>
        </w:rPr>
        <w:t xml:space="preserve">ies with common law origins tend to be associated with better firm-level governance when compared </w:t>
      </w:r>
      <w:r w:rsidR="00A367C2">
        <w:rPr>
          <w:rFonts w:ascii="Times New Roman" w:hAnsi="Times New Roman" w:cs="Times New Roman"/>
          <w:sz w:val="24"/>
          <w:szCs w:val="24"/>
        </w:rPr>
        <w:t xml:space="preserve">to those with </w:t>
      </w:r>
      <w:r w:rsidR="004429ED">
        <w:rPr>
          <w:rFonts w:ascii="Times New Roman" w:hAnsi="Times New Roman" w:cs="Times New Roman"/>
          <w:sz w:val="24"/>
          <w:szCs w:val="24"/>
        </w:rPr>
        <w:t xml:space="preserve">civil law </w:t>
      </w:r>
      <w:r w:rsidR="00A367C2">
        <w:rPr>
          <w:rFonts w:ascii="Times New Roman" w:hAnsi="Times New Roman" w:cs="Times New Roman"/>
          <w:sz w:val="24"/>
          <w:szCs w:val="24"/>
        </w:rPr>
        <w:t>origins</w:t>
      </w:r>
      <w:r w:rsidR="004429ED">
        <w:rPr>
          <w:rFonts w:ascii="Times New Roman" w:hAnsi="Times New Roman" w:cs="Times New Roman"/>
          <w:sz w:val="24"/>
          <w:szCs w:val="24"/>
        </w:rPr>
        <w:t xml:space="preserve">. </w:t>
      </w:r>
      <w:r w:rsidR="000A1F59">
        <w:rPr>
          <w:rFonts w:ascii="Times New Roman" w:hAnsi="Times New Roman" w:cs="Times New Roman"/>
          <w:sz w:val="24"/>
          <w:szCs w:val="24"/>
        </w:rPr>
        <w:t>This finding</w:t>
      </w:r>
      <w:r w:rsidR="00F61AA4">
        <w:rPr>
          <w:rFonts w:ascii="Times New Roman" w:hAnsi="Times New Roman" w:cs="Times New Roman"/>
          <w:sz w:val="24"/>
          <w:szCs w:val="24"/>
        </w:rPr>
        <w:t xml:space="preserve"> </w:t>
      </w:r>
      <w:r w:rsidR="00A367C2">
        <w:rPr>
          <w:rFonts w:ascii="Times New Roman" w:hAnsi="Times New Roman" w:cs="Times New Roman"/>
          <w:sz w:val="24"/>
          <w:szCs w:val="24"/>
        </w:rPr>
        <w:t xml:space="preserve">is in agreement with the findings of </w:t>
      </w:r>
      <w:r w:rsidR="00A367C2" w:rsidRPr="00A367C2">
        <w:rPr>
          <w:rFonts w:ascii="Times New Roman" w:hAnsi="Times New Roman" w:cs="Times New Roman"/>
          <w:sz w:val="24"/>
          <w:szCs w:val="24"/>
        </w:rPr>
        <w:t xml:space="preserve">La Porta </w:t>
      </w:r>
      <w:r w:rsidR="002A1A6A" w:rsidRPr="002A1A6A">
        <w:rPr>
          <w:rFonts w:ascii="Times New Roman" w:hAnsi="Times New Roman" w:cs="Times New Roman"/>
          <w:i/>
          <w:iCs/>
          <w:sz w:val="24"/>
          <w:szCs w:val="24"/>
        </w:rPr>
        <w:t>et al.</w:t>
      </w:r>
      <w:r w:rsidR="00A367C2" w:rsidRPr="00A367C2">
        <w:rPr>
          <w:rFonts w:ascii="Times New Roman" w:hAnsi="Times New Roman" w:cs="Times New Roman"/>
          <w:sz w:val="24"/>
          <w:szCs w:val="24"/>
        </w:rPr>
        <w:t xml:space="preserve"> (1997, 1998, 2000)</w:t>
      </w:r>
      <w:r w:rsidR="00A367C2">
        <w:rPr>
          <w:rFonts w:ascii="Times New Roman" w:hAnsi="Times New Roman" w:cs="Times New Roman"/>
          <w:sz w:val="24"/>
          <w:szCs w:val="24"/>
        </w:rPr>
        <w:t xml:space="preserve"> and others, who ar</w:t>
      </w:r>
      <w:r w:rsidR="006E1F37">
        <w:rPr>
          <w:rFonts w:ascii="Times New Roman" w:hAnsi="Times New Roman" w:cs="Times New Roman"/>
          <w:sz w:val="24"/>
          <w:szCs w:val="24"/>
        </w:rPr>
        <w:t>gue</w:t>
      </w:r>
      <w:r w:rsidR="00A367C2">
        <w:rPr>
          <w:rFonts w:ascii="Times New Roman" w:hAnsi="Times New Roman" w:cs="Times New Roman"/>
          <w:sz w:val="24"/>
          <w:szCs w:val="24"/>
        </w:rPr>
        <w:t xml:space="preserve"> that </w:t>
      </w:r>
      <w:r w:rsidR="003708BB">
        <w:rPr>
          <w:rFonts w:ascii="Times New Roman" w:hAnsi="Times New Roman" w:cs="Times New Roman"/>
          <w:sz w:val="24"/>
          <w:szCs w:val="24"/>
        </w:rPr>
        <w:t>countr</w:t>
      </w:r>
      <w:r w:rsidR="00A367C2">
        <w:rPr>
          <w:rFonts w:ascii="Times New Roman" w:hAnsi="Times New Roman" w:cs="Times New Roman"/>
          <w:sz w:val="24"/>
          <w:szCs w:val="24"/>
        </w:rPr>
        <w:t>ies with common law origins tend to have the strongest investor protection frameworks which in turn influence firm-level protections by imposing higher governance requirements. This influence also manifests through the fact that common law countries tend to have more develo</w:t>
      </w:r>
      <w:r w:rsidR="00B22B89">
        <w:rPr>
          <w:rFonts w:ascii="Times New Roman" w:hAnsi="Times New Roman" w:cs="Times New Roman"/>
          <w:sz w:val="24"/>
          <w:szCs w:val="24"/>
        </w:rPr>
        <w:t>ped markets which incentivizes the</w:t>
      </w:r>
      <w:r w:rsidR="00A367C2">
        <w:rPr>
          <w:rFonts w:ascii="Times New Roman" w:hAnsi="Times New Roman" w:cs="Times New Roman"/>
          <w:sz w:val="24"/>
          <w:szCs w:val="24"/>
        </w:rPr>
        <w:t xml:space="preserve"> firm to adopt a more stringent governance framework </w:t>
      </w:r>
      <w:r w:rsidR="00306044">
        <w:rPr>
          <w:rFonts w:ascii="Times New Roman" w:hAnsi="Times New Roman" w:cs="Times New Roman"/>
          <w:sz w:val="24"/>
          <w:szCs w:val="24"/>
        </w:rPr>
        <w:t xml:space="preserve">in order </w:t>
      </w:r>
      <w:r w:rsidR="00A367C2">
        <w:rPr>
          <w:rFonts w:ascii="Times New Roman" w:hAnsi="Times New Roman" w:cs="Times New Roman"/>
          <w:sz w:val="24"/>
          <w:szCs w:val="24"/>
        </w:rPr>
        <w:t>to secure a more fa</w:t>
      </w:r>
      <w:r w:rsidR="00306044">
        <w:rPr>
          <w:rFonts w:ascii="Times New Roman" w:hAnsi="Times New Roman" w:cs="Times New Roman"/>
          <w:sz w:val="24"/>
          <w:szCs w:val="24"/>
        </w:rPr>
        <w:t xml:space="preserve">vorable access to these </w:t>
      </w:r>
      <w:r w:rsidR="00A367C2">
        <w:rPr>
          <w:rFonts w:ascii="Times New Roman" w:hAnsi="Times New Roman" w:cs="Times New Roman"/>
          <w:sz w:val="24"/>
          <w:szCs w:val="24"/>
        </w:rPr>
        <w:t>markets</w:t>
      </w:r>
      <w:r w:rsidR="00306044">
        <w:rPr>
          <w:rStyle w:val="FootnoteReference"/>
          <w:rFonts w:ascii="Times New Roman" w:hAnsi="Times New Roman" w:cs="Times New Roman"/>
          <w:sz w:val="24"/>
          <w:szCs w:val="24"/>
        </w:rPr>
        <w:footnoteReference w:id="11"/>
      </w:r>
      <w:r w:rsidR="00A367C2">
        <w:rPr>
          <w:rFonts w:ascii="Times New Roman" w:hAnsi="Times New Roman" w:cs="Times New Roman"/>
          <w:sz w:val="24"/>
          <w:szCs w:val="24"/>
        </w:rPr>
        <w:t>.</w:t>
      </w:r>
      <w:r w:rsidR="00306044">
        <w:rPr>
          <w:rFonts w:ascii="Times New Roman" w:hAnsi="Times New Roman" w:cs="Times New Roman"/>
          <w:sz w:val="24"/>
          <w:szCs w:val="24"/>
        </w:rPr>
        <w:t xml:space="preserve"> </w:t>
      </w:r>
    </w:p>
    <w:p w14:paraId="47658517" w14:textId="77777777" w:rsidR="000C20D9" w:rsidRDefault="000C20D9" w:rsidP="00BF2605">
      <w:pPr>
        <w:tabs>
          <w:tab w:val="left" w:pos="426"/>
        </w:tabs>
        <w:spacing w:after="0" w:line="288" w:lineRule="auto"/>
        <w:jc w:val="both"/>
        <w:rPr>
          <w:rFonts w:ascii="Times New Roman" w:hAnsi="Times New Roman" w:cs="Times New Roman"/>
          <w:sz w:val="24"/>
          <w:szCs w:val="24"/>
        </w:rPr>
      </w:pPr>
    </w:p>
    <w:p w14:paraId="717F0D60" w14:textId="64A31287" w:rsidR="0071098F"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E1D6F">
        <w:rPr>
          <w:rFonts w:ascii="Times New Roman" w:hAnsi="Times New Roman" w:cs="Times New Roman"/>
          <w:sz w:val="24"/>
          <w:szCs w:val="24"/>
        </w:rPr>
        <w:t>With regards to the role of media in influencing governance quality, the results of our regression show the presence of a positive link between the strength and effectiveness of media and</w:t>
      </w:r>
      <w:r w:rsidR="0071098F">
        <w:rPr>
          <w:rFonts w:ascii="Times New Roman" w:hAnsi="Times New Roman" w:cs="Times New Roman"/>
          <w:sz w:val="24"/>
          <w:szCs w:val="24"/>
        </w:rPr>
        <w:t xml:space="preserve"> the strength</w:t>
      </w:r>
      <w:r w:rsidR="00F0315C">
        <w:rPr>
          <w:rFonts w:ascii="Times New Roman" w:hAnsi="Times New Roman" w:cs="Times New Roman"/>
          <w:sz w:val="24"/>
          <w:szCs w:val="24"/>
        </w:rPr>
        <w:t xml:space="preserve"> of</w:t>
      </w:r>
      <w:r w:rsidR="005E1D6F">
        <w:rPr>
          <w:rFonts w:ascii="Times New Roman" w:hAnsi="Times New Roman" w:cs="Times New Roman"/>
          <w:sz w:val="24"/>
          <w:szCs w:val="24"/>
        </w:rPr>
        <w:t xml:space="preserve"> firm-level governance. </w:t>
      </w:r>
      <w:r w:rsidR="000C2E93">
        <w:rPr>
          <w:rFonts w:ascii="Times New Roman" w:hAnsi="Times New Roman" w:cs="Times New Roman"/>
          <w:sz w:val="24"/>
          <w:szCs w:val="24"/>
        </w:rPr>
        <w:t>It can</w:t>
      </w:r>
      <w:r w:rsidR="0071098F">
        <w:rPr>
          <w:rFonts w:ascii="Times New Roman" w:hAnsi="Times New Roman" w:cs="Times New Roman"/>
          <w:sz w:val="24"/>
          <w:szCs w:val="24"/>
        </w:rPr>
        <w:t xml:space="preserve"> </w:t>
      </w:r>
      <w:r w:rsidR="000C2E93">
        <w:rPr>
          <w:rFonts w:ascii="Times New Roman" w:hAnsi="Times New Roman" w:cs="Times New Roman"/>
          <w:sz w:val="24"/>
          <w:szCs w:val="24"/>
        </w:rPr>
        <w:t xml:space="preserve">be </w:t>
      </w:r>
      <w:r w:rsidR="0071098F">
        <w:rPr>
          <w:rFonts w:ascii="Times New Roman" w:hAnsi="Times New Roman" w:cs="Times New Roman"/>
          <w:sz w:val="24"/>
          <w:szCs w:val="24"/>
        </w:rPr>
        <w:t>argue</w:t>
      </w:r>
      <w:r w:rsidR="000C2E93">
        <w:rPr>
          <w:rFonts w:ascii="Times New Roman" w:hAnsi="Times New Roman" w:cs="Times New Roman"/>
          <w:sz w:val="24"/>
          <w:szCs w:val="24"/>
        </w:rPr>
        <w:t>d</w:t>
      </w:r>
      <w:r w:rsidR="0071098F">
        <w:rPr>
          <w:rFonts w:ascii="Times New Roman" w:hAnsi="Times New Roman" w:cs="Times New Roman"/>
          <w:sz w:val="24"/>
          <w:szCs w:val="24"/>
        </w:rPr>
        <w:t xml:space="preserve"> that an active and </w:t>
      </w:r>
      <w:r w:rsidR="000F23A8">
        <w:rPr>
          <w:rFonts w:ascii="Times New Roman" w:hAnsi="Times New Roman" w:cs="Times New Roman"/>
          <w:sz w:val="24"/>
          <w:szCs w:val="24"/>
        </w:rPr>
        <w:t xml:space="preserve">a </w:t>
      </w:r>
      <w:r w:rsidR="0071098F">
        <w:rPr>
          <w:rFonts w:ascii="Times New Roman" w:hAnsi="Times New Roman" w:cs="Times New Roman"/>
          <w:sz w:val="24"/>
          <w:szCs w:val="24"/>
        </w:rPr>
        <w:t>free media sector does not only help monitor and rectify governance shortfalls</w:t>
      </w:r>
      <w:r w:rsidR="000F23A8">
        <w:rPr>
          <w:rFonts w:ascii="Times New Roman" w:hAnsi="Times New Roman" w:cs="Times New Roman"/>
          <w:sz w:val="24"/>
          <w:szCs w:val="24"/>
        </w:rPr>
        <w:t>,</w:t>
      </w:r>
      <w:r w:rsidR="0071098F">
        <w:rPr>
          <w:rFonts w:ascii="Times New Roman" w:hAnsi="Times New Roman" w:cs="Times New Roman"/>
          <w:sz w:val="24"/>
          <w:szCs w:val="24"/>
        </w:rPr>
        <w:t xml:space="preserve"> but also </w:t>
      </w:r>
      <w:r w:rsidR="000F23A8">
        <w:rPr>
          <w:rFonts w:ascii="Times New Roman" w:hAnsi="Times New Roman" w:cs="Times New Roman"/>
          <w:sz w:val="24"/>
          <w:szCs w:val="24"/>
        </w:rPr>
        <w:t xml:space="preserve">act as an independent watchdog that forces firms </w:t>
      </w:r>
      <w:r w:rsidR="00FB01E8">
        <w:rPr>
          <w:rFonts w:ascii="Times New Roman" w:hAnsi="Times New Roman" w:cs="Times New Roman"/>
          <w:sz w:val="24"/>
          <w:szCs w:val="24"/>
        </w:rPr>
        <w:t xml:space="preserve">to </w:t>
      </w:r>
      <w:r w:rsidR="000F23A8">
        <w:rPr>
          <w:rFonts w:ascii="Times New Roman" w:hAnsi="Times New Roman" w:cs="Times New Roman"/>
          <w:sz w:val="24"/>
          <w:szCs w:val="24"/>
        </w:rPr>
        <w:t xml:space="preserve">adopt a more stringent governance framework. </w:t>
      </w:r>
      <w:r w:rsidR="008D328C">
        <w:rPr>
          <w:rFonts w:ascii="Times New Roman" w:hAnsi="Times New Roman" w:cs="Times New Roman"/>
          <w:sz w:val="24"/>
          <w:szCs w:val="24"/>
        </w:rPr>
        <w:t>The m</w:t>
      </w:r>
      <w:r w:rsidR="00B62BF3">
        <w:rPr>
          <w:rFonts w:ascii="Times New Roman" w:hAnsi="Times New Roman" w:cs="Times New Roman"/>
          <w:sz w:val="24"/>
          <w:szCs w:val="24"/>
        </w:rPr>
        <w:t>edia influences the governance quality of a firm through reportin</w:t>
      </w:r>
      <w:r w:rsidR="000C2E93">
        <w:rPr>
          <w:rFonts w:ascii="Times New Roman" w:hAnsi="Times New Roman" w:cs="Times New Roman"/>
          <w:sz w:val="24"/>
          <w:szCs w:val="24"/>
        </w:rPr>
        <w:t>g</w:t>
      </w:r>
      <w:r w:rsidR="00B62BF3">
        <w:rPr>
          <w:rFonts w:ascii="Times New Roman" w:hAnsi="Times New Roman" w:cs="Times New Roman"/>
          <w:sz w:val="24"/>
          <w:szCs w:val="24"/>
        </w:rPr>
        <w:t xml:space="preserve"> </w:t>
      </w:r>
      <w:r w:rsidR="000C2E93">
        <w:rPr>
          <w:rFonts w:ascii="Times New Roman" w:hAnsi="Times New Roman" w:cs="Times New Roman"/>
          <w:sz w:val="24"/>
          <w:szCs w:val="24"/>
        </w:rPr>
        <w:t xml:space="preserve">governance </w:t>
      </w:r>
      <w:r w:rsidR="00B62BF3">
        <w:rPr>
          <w:rFonts w:ascii="Times New Roman" w:hAnsi="Times New Roman" w:cs="Times New Roman"/>
          <w:sz w:val="24"/>
          <w:szCs w:val="24"/>
        </w:rPr>
        <w:t>violations</w:t>
      </w:r>
      <w:r w:rsidR="00A22459">
        <w:rPr>
          <w:rFonts w:ascii="Times New Roman" w:hAnsi="Times New Roman" w:cs="Times New Roman"/>
          <w:sz w:val="24"/>
          <w:szCs w:val="24"/>
        </w:rPr>
        <w:t xml:space="preserve"> and</w:t>
      </w:r>
      <w:r w:rsidR="000C2E93">
        <w:rPr>
          <w:rFonts w:ascii="Times New Roman" w:hAnsi="Times New Roman" w:cs="Times New Roman"/>
          <w:sz w:val="24"/>
          <w:szCs w:val="24"/>
        </w:rPr>
        <w:t xml:space="preserve"> shortfalls</w:t>
      </w:r>
      <w:r w:rsidR="00BB1973">
        <w:rPr>
          <w:rFonts w:ascii="Times New Roman" w:hAnsi="Times New Roman" w:cs="Times New Roman"/>
          <w:sz w:val="24"/>
          <w:szCs w:val="24"/>
        </w:rPr>
        <w:t xml:space="preserve"> to the public</w:t>
      </w:r>
      <w:r w:rsidR="00474494">
        <w:rPr>
          <w:rFonts w:ascii="Times New Roman" w:hAnsi="Times New Roman" w:cs="Times New Roman"/>
          <w:sz w:val="24"/>
          <w:szCs w:val="24"/>
        </w:rPr>
        <w:t xml:space="preserve"> </w:t>
      </w:r>
      <w:r w:rsidR="00474494" w:rsidRPr="00427F97">
        <w:rPr>
          <w:rFonts w:ascii="Times New Roman" w:hAnsi="Times New Roman" w:cs="Times New Roman"/>
          <w:sz w:val="24"/>
          <w:szCs w:val="24"/>
        </w:rPr>
        <w:t>(</w:t>
      </w:r>
      <w:r w:rsidR="005E0490">
        <w:rPr>
          <w:rFonts w:ascii="Times New Roman" w:hAnsi="Times New Roman" w:cs="Times New Roman"/>
          <w:sz w:val="24"/>
          <w:szCs w:val="24"/>
        </w:rPr>
        <w:t xml:space="preserve">for example, </w:t>
      </w:r>
      <w:r w:rsidR="00427F97" w:rsidRPr="00427F97">
        <w:rPr>
          <w:rFonts w:ascii="Times New Roman" w:hAnsi="Times New Roman" w:cs="Times New Roman"/>
          <w:sz w:val="24"/>
          <w:szCs w:val="24"/>
        </w:rPr>
        <w:t>Bednar</w:t>
      </w:r>
      <w:r w:rsidR="00427F97">
        <w:rPr>
          <w:rFonts w:ascii="Times New Roman" w:hAnsi="Times New Roman" w:cs="Times New Roman"/>
          <w:sz w:val="24"/>
          <w:szCs w:val="24"/>
        </w:rPr>
        <w:t xml:space="preserve"> </w:t>
      </w:r>
      <w:r w:rsidRPr="001F2E5E">
        <w:rPr>
          <w:rFonts w:ascii="Times New Roman" w:hAnsi="Times New Roman" w:cs="Times New Roman"/>
          <w:i/>
          <w:iCs/>
        </w:rPr>
        <w:t>et al.</w:t>
      </w:r>
      <w:r w:rsidR="00427F97">
        <w:rPr>
          <w:rFonts w:ascii="Times New Roman" w:hAnsi="Times New Roman" w:cs="Times New Roman"/>
          <w:sz w:val="24"/>
          <w:szCs w:val="24"/>
        </w:rPr>
        <w:t xml:space="preserve"> </w:t>
      </w:r>
      <w:r w:rsidR="00427F97" w:rsidRPr="00427F97">
        <w:rPr>
          <w:rFonts w:ascii="Times New Roman" w:hAnsi="Times New Roman" w:cs="Times New Roman"/>
          <w:sz w:val="24"/>
          <w:szCs w:val="24"/>
        </w:rPr>
        <w:t>2013</w:t>
      </w:r>
      <w:r w:rsidR="00682D1F">
        <w:rPr>
          <w:rFonts w:ascii="Times New Roman" w:hAnsi="Times New Roman" w:cs="Times New Roman"/>
          <w:sz w:val="24"/>
          <w:szCs w:val="24"/>
        </w:rPr>
        <w:t>,</w:t>
      </w:r>
      <w:r w:rsidR="00427F97">
        <w:rPr>
          <w:rFonts w:ascii="Times New Roman" w:hAnsi="Times New Roman" w:cs="Times New Roman"/>
          <w:sz w:val="24"/>
          <w:szCs w:val="24"/>
        </w:rPr>
        <w:t xml:space="preserve"> </w:t>
      </w:r>
      <w:r w:rsidR="00427F97" w:rsidRPr="00427F97">
        <w:rPr>
          <w:rFonts w:ascii="Times New Roman" w:hAnsi="Times New Roman" w:cs="Times New Roman"/>
          <w:sz w:val="24"/>
          <w:szCs w:val="24"/>
        </w:rPr>
        <w:t>Joe</w:t>
      </w:r>
      <w:r w:rsidR="00427F97">
        <w:rPr>
          <w:rFonts w:ascii="Times New Roman" w:hAnsi="Times New Roman" w:cs="Times New Roman"/>
          <w:sz w:val="24"/>
          <w:szCs w:val="24"/>
        </w:rPr>
        <w:t xml:space="preserve"> </w:t>
      </w:r>
      <w:r w:rsidRPr="001F2E5E">
        <w:rPr>
          <w:rFonts w:ascii="Times New Roman" w:hAnsi="Times New Roman" w:cs="Times New Roman"/>
          <w:i/>
          <w:iCs/>
        </w:rPr>
        <w:t>et al.</w:t>
      </w:r>
      <w:r w:rsidR="00427F97">
        <w:rPr>
          <w:rFonts w:ascii="Times New Roman" w:hAnsi="Times New Roman" w:cs="Times New Roman"/>
          <w:sz w:val="24"/>
          <w:szCs w:val="24"/>
        </w:rPr>
        <w:t xml:space="preserve"> </w:t>
      </w:r>
      <w:r w:rsidR="00427F97" w:rsidRPr="00427F97">
        <w:rPr>
          <w:rFonts w:ascii="Times New Roman" w:hAnsi="Times New Roman" w:cs="Times New Roman"/>
          <w:sz w:val="24"/>
          <w:szCs w:val="24"/>
        </w:rPr>
        <w:t>2009</w:t>
      </w:r>
      <w:r w:rsidR="00474494" w:rsidRPr="00427F97">
        <w:rPr>
          <w:rFonts w:ascii="Times New Roman" w:hAnsi="Times New Roman" w:cs="Times New Roman"/>
          <w:sz w:val="24"/>
          <w:szCs w:val="24"/>
        </w:rPr>
        <w:t>)</w:t>
      </w:r>
      <w:r w:rsidR="00BB1973">
        <w:rPr>
          <w:rFonts w:ascii="Times New Roman" w:hAnsi="Times New Roman" w:cs="Times New Roman"/>
          <w:sz w:val="24"/>
          <w:szCs w:val="24"/>
        </w:rPr>
        <w:t xml:space="preserve">. </w:t>
      </w:r>
      <w:r w:rsidR="00F0315C">
        <w:rPr>
          <w:rFonts w:ascii="Times New Roman" w:hAnsi="Times New Roman" w:cs="Times New Roman"/>
          <w:sz w:val="24"/>
          <w:szCs w:val="24"/>
        </w:rPr>
        <w:t>The</w:t>
      </w:r>
      <w:r w:rsidR="00B62BF3">
        <w:rPr>
          <w:rFonts w:ascii="Times New Roman" w:hAnsi="Times New Roman" w:cs="Times New Roman"/>
          <w:sz w:val="24"/>
          <w:szCs w:val="24"/>
        </w:rPr>
        <w:t xml:space="preserve"> publicity generated by negative media coverage threatens the reputations of the firm and its managers </w:t>
      </w:r>
      <w:r w:rsidR="000C2E93">
        <w:rPr>
          <w:rFonts w:ascii="Times New Roman" w:hAnsi="Times New Roman" w:cs="Times New Roman"/>
          <w:sz w:val="24"/>
          <w:szCs w:val="24"/>
        </w:rPr>
        <w:t xml:space="preserve">and directors </w:t>
      </w:r>
      <w:r w:rsidR="00B62BF3">
        <w:rPr>
          <w:rFonts w:ascii="Times New Roman" w:hAnsi="Times New Roman" w:cs="Times New Roman"/>
          <w:sz w:val="24"/>
          <w:szCs w:val="24"/>
        </w:rPr>
        <w:t>causing th</w:t>
      </w:r>
      <w:r w:rsidR="000C2E93">
        <w:rPr>
          <w:rFonts w:ascii="Times New Roman" w:hAnsi="Times New Roman" w:cs="Times New Roman"/>
          <w:sz w:val="24"/>
          <w:szCs w:val="24"/>
        </w:rPr>
        <w:t>em to</w:t>
      </w:r>
      <w:r w:rsidR="00B62BF3">
        <w:rPr>
          <w:rFonts w:ascii="Times New Roman" w:hAnsi="Times New Roman" w:cs="Times New Roman"/>
          <w:sz w:val="24"/>
          <w:szCs w:val="24"/>
        </w:rPr>
        <w:t xml:space="preserve"> react quickly and ensure</w:t>
      </w:r>
      <w:r w:rsidR="008D328C">
        <w:rPr>
          <w:rFonts w:ascii="Times New Roman" w:hAnsi="Times New Roman" w:cs="Times New Roman"/>
          <w:sz w:val="24"/>
          <w:szCs w:val="24"/>
        </w:rPr>
        <w:t>s</w:t>
      </w:r>
      <w:r w:rsidR="00B62BF3">
        <w:rPr>
          <w:rFonts w:ascii="Times New Roman" w:hAnsi="Times New Roman" w:cs="Times New Roman"/>
          <w:sz w:val="24"/>
          <w:szCs w:val="24"/>
        </w:rPr>
        <w:t xml:space="preserve"> that proper controls are put in place </w:t>
      </w:r>
      <w:r w:rsidR="000C2E93">
        <w:rPr>
          <w:rFonts w:ascii="Times New Roman" w:hAnsi="Times New Roman" w:cs="Times New Roman"/>
          <w:sz w:val="24"/>
          <w:szCs w:val="24"/>
        </w:rPr>
        <w:t xml:space="preserve">in order </w:t>
      </w:r>
      <w:r w:rsidR="00B62BF3">
        <w:rPr>
          <w:rFonts w:ascii="Times New Roman" w:hAnsi="Times New Roman" w:cs="Times New Roman"/>
          <w:sz w:val="24"/>
          <w:szCs w:val="24"/>
        </w:rPr>
        <w:t xml:space="preserve">to avoid future </w:t>
      </w:r>
      <w:r w:rsidR="000C2E93">
        <w:rPr>
          <w:rFonts w:ascii="Times New Roman" w:hAnsi="Times New Roman" w:cs="Times New Roman"/>
          <w:sz w:val="24"/>
          <w:szCs w:val="24"/>
        </w:rPr>
        <w:t>coverage</w:t>
      </w:r>
      <w:r w:rsidR="008D328C">
        <w:rPr>
          <w:rFonts w:ascii="Times New Roman" w:hAnsi="Times New Roman" w:cs="Times New Roman"/>
          <w:sz w:val="24"/>
          <w:szCs w:val="24"/>
        </w:rPr>
        <w:t xml:space="preserve"> (Bednar 2012</w:t>
      </w:r>
      <w:r w:rsidR="00682D1F">
        <w:rPr>
          <w:rFonts w:ascii="Times New Roman" w:hAnsi="Times New Roman" w:cs="Times New Roman"/>
          <w:sz w:val="24"/>
          <w:szCs w:val="24"/>
        </w:rPr>
        <w:t>,</w:t>
      </w:r>
      <w:r w:rsidR="008D328C">
        <w:rPr>
          <w:rFonts w:ascii="Times New Roman" w:hAnsi="Times New Roman" w:cs="Times New Roman"/>
          <w:sz w:val="24"/>
          <w:szCs w:val="24"/>
        </w:rPr>
        <w:t xml:space="preserve"> Core</w:t>
      </w:r>
      <w:r w:rsidRPr="000C20D9">
        <w:rPr>
          <w:rFonts w:ascii="Times New Roman" w:hAnsi="Times New Roman" w:cs="Times New Roman"/>
          <w:i/>
          <w:iCs/>
        </w:rPr>
        <w:t xml:space="preserve"> </w:t>
      </w:r>
      <w:r w:rsidRPr="001F2E5E">
        <w:rPr>
          <w:rFonts w:ascii="Times New Roman" w:hAnsi="Times New Roman" w:cs="Times New Roman"/>
          <w:i/>
          <w:iCs/>
        </w:rPr>
        <w:t>et al.</w:t>
      </w:r>
      <w:r w:rsidR="008D328C">
        <w:rPr>
          <w:rFonts w:ascii="Times New Roman" w:hAnsi="Times New Roman" w:cs="Times New Roman"/>
          <w:sz w:val="24"/>
          <w:szCs w:val="24"/>
        </w:rPr>
        <w:t xml:space="preserve"> </w:t>
      </w:r>
      <w:r w:rsidR="008D328C" w:rsidRPr="00AE4AC4">
        <w:rPr>
          <w:rFonts w:ascii="Times New Roman" w:hAnsi="Times New Roman" w:cs="Times New Roman"/>
          <w:sz w:val="24"/>
          <w:szCs w:val="24"/>
        </w:rPr>
        <w:t>2008</w:t>
      </w:r>
      <w:r w:rsidR="00682D1F">
        <w:rPr>
          <w:rFonts w:ascii="Times New Roman" w:hAnsi="Times New Roman" w:cs="Times New Roman"/>
          <w:sz w:val="24"/>
          <w:szCs w:val="24"/>
        </w:rPr>
        <w:t>,</w:t>
      </w:r>
      <w:r w:rsidR="008D328C">
        <w:rPr>
          <w:rFonts w:ascii="Times New Roman" w:hAnsi="Times New Roman" w:cs="Times New Roman"/>
          <w:sz w:val="24"/>
          <w:szCs w:val="24"/>
        </w:rPr>
        <w:t xml:space="preserve"> </w:t>
      </w:r>
      <w:r w:rsidR="00AE4AC4">
        <w:rPr>
          <w:rFonts w:ascii="Times New Roman" w:hAnsi="Times New Roman" w:cs="Times New Roman"/>
          <w:sz w:val="24"/>
          <w:szCs w:val="24"/>
        </w:rPr>
        <w:t xml:space="preserve">Dyck </w:t>
      </w:r>
      <w:r w:rsidRPr="001F2E5E">
        <w:rPr>
          <w:rFonts w:ascii="Times New Roman" w:hAnsi="Times New Roman" w:cs="Times New Roman"/>
          <w:i/>
          <w:iCs/>
        </w:rPr>
        <w:t>et al.</w:t>
      </w:r>
      <w:r w:rsidR="00AE4AC4" w:rsidRPr="0082541B">
        <w:rPr>
          <w:rFonts w:ascii="Times New Roman" w:hAnsi="Times New Roman" w:cs="Times New Roman"/>
          <w:sz w:val="24"/>
          <w:szCs w:val="24"/>
        </w:rPr>
        <w:t>2008</w:t>
      </w:r>
      <w:r w:rsidR="00AE4AC4">
        <w:rPr>
          <w:rFonts w:ascii="Times New Roman" w:hAnsi="Times New Roman" w:cs="Times New Roman"/>
          <w:sz w:val="24"/>
          <w:szCs w:val="24"/>
        </w:rPr>
        <w:t>)</w:t>
      </w:r>
      <w:r w:rsidR="008D328C">
        <w:rPr>
          <w:rFonts w:ascii="Times New Roman" w:hAnsi="Times New Roman" w:cs="Times New Roman"/>
          <w:sz w:val="24"/>
          <w:szCs w:val="24"/>
        </w:rPr>
        <w:t xml:space="preserve">. </w:t>
      </w:r>
    </w:p>
    <w:p w14:paraId="0BF93B93" w14:textId="77777777" w:rsidR="000C20D9" w:rsidRDefault="000C20D9" w:rsidP="00BF2605">
      <w:pPr>
        <w:tabs>
          <w:tab w:val="left" w:pos="426"/>
        </w:tabs>
        <w:spacing w:after="0" w:line="288" w:lineRule="auto"/>
        <w:jc w:val="both"/>
        <w:rPr>
          <w:rFonts w:ascii="Times New Roman" w:hAnsi="Times New Roman" w:cs="Times New Roman"/>
          <w:sz w:val="24"/>
          <w:szCs w:val="24"/>
        </w:rPr>
      </w:pPr>
    </w:p>
    <w:p w14:paraId="32310FA4" w14:textId="6E23ADEF" w:rsidR="00923D5D" w:rsidRDefault="000C20D9"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E310A">
        <w:rPr>
          <w:rFonts w:ascii="Times New Roman" w:hAnsi="Times New Roman" w:cs="Times New Roman"/>
          <w:sz w:val="24"/>
          <w:szCs w:val="24"/>
        </w:rPr>
        <w:t>The results of the regression also show a positive relationship between our</w:t>
      </w:r>
      <w:r w:rsidR="00123716">
        <w:rPr>
          <w:rFonts w:ascii="Times New Roman" w:hAnsi="Times New Roman" w:cs="Times New Roman"/>
          <w:sz w:val="24"/>
          <w:szCs w:val="24"/>
        </w:rPr>
        <w:t xml:space="preserve"> social and c</w:t>
      </w:r>
      <w:r w:rsidR="00123716" w:rsidRPr="00123716">
        <w:rPr>
          <w:rFonts w:ascii="Times New Roman" w:hAnsi="Times New Roman" w:cs="Times New Roman"/>
          <w:sz w:val="24"/>
          <w:szCs w:val="24"/>
        </w:rPr>
        <w:t xml:space="preserve">ultural index </w:t>
      </w:r>
      <w:r w:rsidR="00FC08DC">
        <w:rPr>
          <w:rFonts w:ascii="Times New Roman" w:hAnsi="Times New Roman" w:cs="Times New Roman"/>
          <w:sz w:val="24"/>
          <w:szCs w:val="24"/>
        </w:rPr>
        <w:t xml:space="preserve">and governance at firm level. </w:t>
      </w:r>
      <w:r w:rsidR="00860D3D">
        <w:rPr>
          <w:rFonts w:ascii="Times New Roman" w:hAnsi="Times New Roman" w:cs="Times New Roman"/>
          <w:sz w:val="24"/>
          <w:szCs w:val="24"/>
        </w:rPr>
        <w:t xml:space="preserve">This is consistent with </w:t>
      </w:r>
      <w:r w:rsidR="006703BC">
        <w:rPr>
          <w:rFonts w:ascii="Times New Roman" w:hAnsi="Times New Roman" w:cs="Times New Roman"/>
          <w:sz w:val="24"/>
          <w:szCs w:val="24"/>
        </w:rPr>
        <w:t xml:space="preserve">a better educated individual </w:t>
      </w:r>
      <w:r w:rsidR="00860D3D">
        <w:rPr>
          <w:rFonts w:ascii="Times New Roman" w:hAnsi="Times New Roman" w:cs="Times New Roman"/>
          <w:sz w:val="24"/>
          <w:szCs w:val="24"/>
        </w:rPr>
        <w:t>being more involved and astute</w:t>
      </w:r>
      <w:r w:rsidR="006703BC">
        <w:rPr>
          <w:rFonts w:ascii="Times New Roman" w:hAnsi="Times New Roman" w:cs="Times New Roman"/>
          <w:sz w:val="24"/>
          <w:szCs w:val="24"/>
        </w:rPr>
        <w:t xml:space="preserve"> when investing in the capital markets</w:t>
      </w:r>
      <w:r w:rsidR="00860D3D">
        <w:rPr>
          <w:rFonts w:ascii="Times New Roman" w:hAnsi="Times New Roman" w:cs="Times New Roman"/>
          <w:sz w:val="24"/>
          <w:szCs w:val="24"/>
        </w:rPr>
        <w:t xml:space="preserve"> and so putting more pressure </w:t>
      </w:r>
      <w:r w:rsidR="006703BC">
        <w:rPr>
          <w:rFonts w:ascii="Times New Roman" w:hAnsi="Times New Roman" w:cs="Times New Roman"/>
          <w:sz w:val="24"/>
          <w:szCs w:val="24"/>
        </w:rPr>
        <w:t>on firms to improve their governance framework</w:t>
      </w:r>
      <w:r w:rsidR="00860D3D">
        <w:rPr>
          <w:rFonts w:ascii="Times New Roman" w:hAnsi="Times New Roman" w:cs="Times New Roman"/>
          <w:sz w:val="24"/>
          <w:szCs w:val="24"/>
        </w:rPr>
        <w:t xml:space="preserve"> (Bebchuk and Neeman 2010)</w:t>
      </w:r>
      <w:r w:rsidR="008D328C">
        <w:rPr>
          <w:rFonts w:ascii="Times New Roman" w:hAnsi="Times New Roman" w:cs="Times New Roman"/>
          <w:sz w:val="24"/>
          <w:szCs w:val="24"/>
        </w:rPr>
        <w:t>.</w:t>
      </w:r>
      <w:r w:rsidR="008D38DB">
        <w:rPr>
          <w:rFonts w:ascii="Times New Roman" w:hAnsi="Times New Roman" w:cs="Times New Roman"/>
          <w:sz w:val="24"/>
          <w:szCs w:val="24"/>
        </w:rPr>
        <w:t xml:space="preserve"> Additionally, technological advances </w:t>
      </w:r>
      <w:r w:rsidR="00024ABE">
        <w:rPr>
          <w:rFonts w:ascii="Times New Roman" w:hAnsi="Times New Roman" w:cs="Times New Roman"/>
          <w:sz w:val="24"/>
          <w:szCs w:val="24"/>
        </w:rPr>
        <w:t xml:space="preserve">help </w:t>
      </w:r>
      <w:r w:rsidR="00024ABE" w:rsidRPr="00024ABE">
        <w:rPr>
          <w:rFonts w:ascii="Times New Roman" w:hAnsi="Times New Roman" w:cs="Times New Roman"/>
          <w:sz w:val="24"/>
          <w:szCs w:val="24"/>
        </w:rPr>
        <w:t xml:space="preserve">create a more informed pool of investors </w:t>
      </w:r>
      <w:r w:rsidR="00024ABE">
        <w:rPr>
          <w:rFonts w:ascii="Times New Roman" w:hAnsi="Times New Roman" w:cs="Times New Roman"/>
          <w:sz w:val="24"/>
          <w:szCs w:val="24"/>
        </w:rPr>
        <w:t>by</w:t>
      </w:r>
      <w:r w:rsidR="008D38DB">
        <w:rPr>
          <w:rFonts w:ascii="Times New Roman" w:hAnsi="Times New Roman" w:cs="Times New Roman"/>
          <w:sz w:val="24"/>
          <w:szCs w:val="24"/>
        </w:rPr>
        <w:t xml:space="preserve"> </w:t>
      </w:r>
      <w:r w:rsidR="00024ABE">
        <w:rPr>
          <w:rFonts w:ascii="Times New Roman" w:hAnsi="Times New Roman" w:cs="Times New Roman"/>
          <w:sz w:val="24"/>
          <w:szCs w:val="24"/>
        </w:rPr>
        <w:t>improving</w:t>
      </w:r>
      <w:r w:rsidR="008D38DB">
        <w:rPr>
          <w:rFonts w:ascii="Times New Roman" w:hAnsi="Times New Roman" w:cs="Times New Roman"/>
          <w:sz w:val="24"/>
          <w:szCs w:val="24"/>
        </w:rPr>
        <w:t xml:space="preserve"> </w:t>
      </w:r>
      <w:r w:rsidR="00024ABE">
        <w:rPr>
          <w:rFonts w:ascii="Times New Roman" w:hAnsi="Times New Roman" w:cs="Times New Roman"/>
          <w:sz w:val="24"/>
          <w:szCs w:val="24"/>
        </w:rPr>
        <w:t xml:space="preserve">the </w:t>
      </w:r>
      <w:r w:rsidR="008D38DB">
        <w:rPr>
          <w:rFonts w:ascii="Times New Roman" w:hAnsi="Times New Roman" w:cs="Times New Roman"/>
          <w:sz w:val="24"/>
          <w:szCs w:val="24"/>
        </w:rPr>
        <w:t xml:space="preserve">availability </w:t>
      </w:r>
      <w:r w:rsidR="00024ABE">
        <w:rPr>
          <w:rFonts w:ascii="Times New Roman" w:hAnsi="Times New Roman" w:cs="Times New Roman"/>
          <w:sz w:val="24"/>
          <w:szCs w:val="24"/>
        </w:rPr>
        <w:t xml:space="preserve">of </w:t>
      </w:r>
      <w:r w:rsidR="008D38DB">
        <w:rPr>
          <w:rFonts w:ascii="Times New Roman" w:hAnsi="Times New Roman" w:cs="Times New Roman"/>
          <w:sz w:val="24"/>
          <w:szCs w:val="24"/>
        </w:rPr>
        <w:t xml:space="preserve">information to the different </w:t>
      </w:r>
      <w:r w:rsidR="00024ABE">
        <w:rPr>
          <w:rFonts w:ascii="Times New Roman" w:hAnsi="Times New Roman" w:cs="Times New Roman"/>
          <w:sz w:val="24"/>
          <w:szCs w:val="24"/>
        </w:rPr>
        <w:t>stakeholders</w:t>
      </w:r>
      <w:r w:rsidR="008D38DB">
        <w:rPr>
          <w:rFonts w:ascii="Times New Roman" w:hAnsi="Times New Roman" w:cs="Times New Roman"/>
          <w:sz w:val="24"/>
          <w:szCs w:val="24"/>
        </w:rPr>
        <w:t>,</w:t>
      </w:r>
      <w:r w:rsidR="00024ABE">
        <w:rPr>
          <w:rFonts w:ascii="Times New Roman" w:hAnsi="Times New Roman" w:cs="Times New Roman"/>
          <w:sz w:val="24"/>
          <w:szCs w:val="24"/>
        </w:rPr>
        <w:t xml:space="preserve"> which in turn increases</w:t>
      </w:r>
      <w:r w:rsidR="008D38DB">
        <w:rPr>
          <w:rFonts w:ascii="Times New Roman" w:hAnsi="Times New Roman" w:cs="Times New Roman"/>
          <w:sz w:val="24"/>
          <w:szCs w:val="24"/>
        </w:rPr>
        <w:t xml:space="preserve"> the pressure on the firms to improve their </w:t>
      </w:r>
      <w:r w:rsidR="00860D3D">
        <w:rPr>
          <w:rFonts w:ascii="Times New Roman" w:hAnsi="Times New Roman" w:cs="Times New Roman"/>
          <w:sz w:val="24"/>
          <w:szCs w:val="24"/>
        </w:rPr>
        <w:t xml:space="preserve">image by </w:t>
      </w:r>
      <w:r w:rsidR="00024ABE">
        <w:rPr>
          <w:rFonts w:ascii="Times New Roman" w:hAnsi="Times New Roman" w:cs="Times New Roman"/>
          <w:sz w:val="24"/>
          <w:szCs w:val="24"/>
        </w:rPr>
        <w:t xml:space="preserve">adopting </w:t>
      </w:r>
      <w:r w:rsidR="00860D3D">
        <w:rPr>
          <w:rFonts w:ascii="Times New Roman" w:hAnsi="Times New Roman" w:cs="Times New Roman"/>
          <w:sz w:val="24"/>
          <w:szCs w:val="24"/>
        </w:rPr>
        <w:t xml:space="preserve">a </w:t>
      </w:r>
      <w:r w:rsidR="008D38DB">
        <w:rPr>
          <w:rFonts w:ascii="Times New Roman" w:hAnsi="Times New Roman" w:cs="Times New Roman"/>
          <w:sz w:val="24"/>
          <w:szCs w:val="24"/>
        </w:rPr>
        <w:t xml:space="preserve">more stringent </w:t>
      </w:r>
      <w:r w:rsidR="00860D3D">
        <w:rPr>
          <w:rFonts w:ascii="Times New Roman" w:hAnsi="Times New Roman" w:cs="Times New Roman"/>
          <w:sz w:val="24"/>
          <w:szCs w:val="24"/>
        </w:rPr>
        <w:t xml:space="preserve">governance </w:t>
      </w:r>
      <w:r w:rsidR="008D38DB">
        <w:rPr>
          <w:rFonts w:ascii="Times New Roman" w:hAnsi="Times New Roman" w:cs="Times New Roman"/>
          <w:sz w:val="24"/>
          <w:szCs w:val="24"/>
        </w:rPr>
        <w:t>framework.</w:t>
      </w:r>
      <w:r w:rsidR="00024ABE">
        <w:rPr>
          <w:rFonts w:ascii="Times New Roman" w:hAnsi="Times New Roman" w:cs="Times New Roman"/>
          <w:sz w:val="24"/>
          <w:szCs w:val="24"/>
        </w:rPr>
        <w:t xml:space="preserve"> </w:t>
      </w:r>
    </w:p>
    <w:p w14:paraId="69D4A215" w14:textId="77777777" w:rsidR="005B75D3" w:rsidRDefault="005B75D3" w:rsidP="00BF2605">
      <w:pPr>
        <w:tabs>
          <w:tab w:val="left" w:pos="426"/>
        </w:tabs>
        <w:spacing w:after="0" w:line="288" w:lineRule="auto"/>
        <w:jc w:val="both"/>
        <w:rPr>
          <w:rFonts w:ascii="Times New Roman" w:hAnsi="Times New Roman" w:cs="Times New Roman"/>
          <w:sz w:val="24"/>
          <w:szCs w:val="24"/>
        </w:rPr>
      </w:pPr>
    </w:p>
    <w:p w14:paraId="7EF5CA42" w14:textId="6864DA2C" w:rsidR="0046787B" w:rsidRDefault="005B75D3"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E36FAE">
        <w:rPr>
          <w:rFonts w:ascii="Times New Roman" w:hAnsi="Times New Roman" w:cs="Times New Roman"/>
          <w:sz w:val="24"/>
          <w:szCs w:val="24"/>
        </w:rPr>
        <w:t>C</w:t>
      </w:r>
      <w:r w:rsidR="00E63F90">
        <w:rPr>
          <w:rFonts w:ascii="Times New Roman" w:hAnsi="Times New Roman" w:cs="Times New Roman"/>
          <w:sz w:val="24"/>
          <w:szCs w:val="24"/>
        </w:rPr>
        <w:t xml:space="preserve">ontrary to the findings of </w:t>
      </w:r>
      <w:r w:rsidR="00E63F90" w:rsidRPr="00E63F90">
        <w:rPr>
          <w:rFonts w:ascii="Times New Roman" w:hAnsi="Times New Roman" w:cs="Times New Roman"/>
          <w:sz w:val="24"/>
          <w:szCs w:val="24"/>
        </w:rPr>
        <w:t>Stulz and Williamson (2003)</w:t>
      </w:r>
      <w:r w:rsidR="009B60FA">
        <w:rPr>
          <w:rFonts w:ascii="Times New Roman" w:hAnsi="Times New Roman" w:cs="Times New Roman"/>
          <w:sz w:val="24"/>
          <w:szCs w:val="24"/>
        </w:rPr>
        <w:t>, the re</w:t>
      </w:r>
      <w:r w:rsidR="00087C5F">
        <w:rPr>
          <w:rFonts w:ascii="Times New Roman" w:hAnsi="Times New Roman" w:cs="Times New Roman"/>
          <w:sz w:val="24"/>
          <w:szCs w:val="24"/>
        </w:rPr>
        <w:t xml:space="preserve">sults of our regression </w:t>
      </w:r>
      <w:r w:rsidR="006678FC">
        <w:rPr>
          <w:rFonts w:ascii="Times New Roman" w:hAnsi="Times New Roman" w:cs="Times New Roman"/>
          <w:sz w:val="24"/>
          <w:szCs w:val="24"/>
        </w:rPr>
        <w:t>suggest</w:t>
      </w:r>
      <w:r w:rsidR="00087C5F">
        <w:rPr>
          <w:rFonts w:ascii="Times New Roman" w:hAnsi="Times New Roman" w:cs="Times New Roman"/>
          <w:sz w:val="24"/>
          <w:szCs w:val="24"/>
        </w:rPr>
        <w:t xml:space="preserve"> the presence of a positive association between firm-level governance and Christianity and Islam as predominant religions</w:t>
      </w:r>
      <w:r w:rsidR="008D328C">
        <w:rPr>
          <w:rFonts w:ascii="Times New Roman" w:hAnsi="Times New Roman" w:cs="Times New Roman"/>
          <w:sz w:val="24"/>
          <w:szCs w:val="24"/>
        </w:rPr>
        <w:t xml:space="preserve"> when compared to other religions and beliefs, albeit the dummy variable representing Islam is insignificant in this case.</w:t>
      </w:r>
      <w:r w:rsidR="00087C5F">
        <w:rPr>
          <w:rFonts w:ascii="Times New Roman" w:hAnsi="Times New Roman" w:cs="Times New Roman"/>
          <w:sz w:val="24"/>
          <w:szCs w:val="24"/>
        </w:rPr>
        <w:t xml:space="preserve"> One </w:t>
      </w:r>
      <w:r w:rsidR="001E6AD4">
        <w:rPr>
          <w:rFonts w:ascii="Times New Roman" w:hAnsi="Times New Roman" w:cs="Times New Roman"/>
          <w:sz w:val="24"/>
          <w:szCs w:val="24"/>
        </w:rPr>
        <w:t>possible</w:t>
      </w:r>
      <w:r w:rsidR="00087C5F">
        <w:rPr>
          <w:rFonts w:ascii="Times New Roman" w:hAnsi="Times New Roman" w:cs="Times New Roman"/>
          <w:sz w:val="24"/>
          <w:szCs w:val="24"/>
        </w:rPr>
        <w:t xml:space="preserve"> explanation for this relationship is that </w:t>
      </w:r>
      <w:r w:rsidR="003B49A7">
        <w:rPr>
          <w:rFonts w:ascii="Times New Roman" w:hAnsi="Times New Roman" w:cs="Times New Roman"/>
          <w:sz w:val="24"/>
          <w:szCs w:val="24"/>
        </w:rPr>
        <w:t xml:space="preserve">the prescriptive nature of these two religions </w:t>
      </w:r>
      <w:r w:rsidR="0091768B">
        <w:rPr>
          <w:rFonts w:ascii="Times New Roman" w:hAnsi="Times New Roman" w:cs="Times New Roman"/>
          <w:sz w:val="24"/>
          <w:szCs w:val="24"/>
        </w:rPr>
        <w:t xml:space="preserve">compared to other beliefs </w:t>
      </w:r>
      <w:r w:rsidR="003B49A7">
        <w:rPr>
          <w:rFonts w:ascii="Times New Roman" w:hAnsi="Times New Roman" w:cs="Times New Roman"/>
          <w:sz w:val="24"/>
          <w:szCs w:val="24"/>
        </w:rPr>
        <w:t xml:space="preserve">might </w:t>
      </w:r>
      <w:r w:rsidR="0091768B">
        <w:rPr>
          <w:rFonts w:ascii="Times New Roman" w:hAnsi="Times New Roman" w:cs="Times New Roman"/>
          <w:sz w:val="24"/>
          <w:szCs w:val="24"/>
        </w:rPr>
        <w:t>contribute to the establishment of a minimum benchmark of accepted business and governance practices, which in turn influences the firm-level governance practices.</w:t>
      </w:r>
      <w:r w:rsidR="002B19B8">
        <w:rPr>
          <w:rFonts w:ascii="Times New Roman" w:hAnsi="Times New Roman" w:cs="Times New Roman"/>
          <w:sz w:val="24"/>
          <w:szCs w:val="24"/>
        </w:rPr>
        <w:t xml:space="preserve"> </w:t>
      </w:r>
      <w:r w:rsidR="001E6AD4">
        <w:rPr>
          <w:rFonts w:ascii="Times New Roman" w:hAnsi="Times New Roman" w:cs="Times New Roman"/>
          <w:sz w:val="24"/>
          <w:szCs w:val="24"/>
        </w:rPr>
        <w:t>Another possible explanation for this result could be related to the fact that our sample is dominated by Christian</w:t>
      </w:r>
      <w:r w:rsidR="0091768B">
        <w:rPr>
          <w:rFonts w:ascii="Times New Roman" w:hAnsi="Times New Roman" w:cs="Times New Roman"/>
          <w:sz w:val="24"/>
          <w:szCs w:val="24"/>
        </w:rPr>
        <w:t xml:space="preserve"> and Islamic</w:t>
      </w:r>
      <w:r w:rsidR="001E6AD4">
        <w:rPr>
          <w:rFonts w:ascii="Times New Roman" w:hAnsi="Times New Roman" w:cs="Times New Roman"/>
          <w:sz w:val="24"/>
          <w:szCs w:val="24"/>
        </w:rPr>
        <w:t xml:space="preserve"> high </w:t>
      </w:r>
      <w:r w:rsidR="0091768B">
        <w:rPr>
          <w:rFonts w:ascii="Times New Roman" w:hAnsi="Times New Roman" w:cs="Times New Roman"/>
          <w:sz w:val="24"/>
          <w:szCs w:val="24"/>
        </w:rPr>
        <w:t xml:space="preserve">to middle </w:t>
      </w:r>
      <w:r w:rsidR="001E6AD4">
        <w:rPr>
          <w:rFonts w:ascii="Times New Roman" w:hAnsi="Times New Roman" w:cs="Times New Roman"/>
          <w:sz w:val="24"/>
          <w:szCs w:val="24"/>
        </w:rPr>
        <w:t>income countrie</w:t>
      </w:r>
      <w:r w:rsidR="00B625E3">
        <w:rPr>
          <w:rFonts w:ascii="Times New Roman" w:hAnsi="Times New Roman" w:cs="Times New Roman"/>
          <w:sz w:val="24"/>
          <w:szCs w:val="24"/>
        </w:rPr>
        <w:t>s with more developed financial markets, which could lead to observing a higher association between firm-level governance and the religion dummy</w:t>
      </w:r>
      <w:r w:rsidR="00427F97">
        <w:rPr>
          <w:rFonts w:ascii="Times New Roman" w:hAnsi="Times New Roman" w:cs="Times New Roman"/>
          <w:sz w:val="24"/>
          <w:szCs w:val="24"/>
        </w:rPr>
        <w:t xml:space="preserve"> (see La Porta </w:t>
      </w:r>
      <w:r w:rsidR="00A94F42" w:rsidRPr="00A94F42">
        <w:rPr>
          <w:rFonts w:ascii="Times New Roman" w:hAnsi="Times New Roman" w:cs="Times New Roman"/>
          <w:i/>
          <w:iCs/>
          <w:sz w:val="24"/>
          <w:szCs w:val="24"/>
        </w:rPr>
        <w:t>et al.</w:t>
      </w:r>
      <w:r w:rsidR="00427F97">
        <w:rPr>
          <w:rFonts w:ascii="Times New Roman" w:hAnsi="Times New Roman" w:cs="Times New Roman"/>
          <w:sz w:val="24"/>
          <w:szCs w:val="24"/>
        </w:rPr>
        <w:t xml:space="preserve"> 1999)</w:t>
      </w:r>
      <w:r w:rsidR="00B625E3">
        <w:rPr>
          <w:rFonts w:ascii="Times New Roman" w:hAnsi="Times New Roman" w:cs="Times New Roman"/>
          <w:sz w:val="24"/>
          <w:szCs w:val="24"/>
        </w:rPr>
        <w:t xml:space="preserve">. </w:t>
      </w:r>
    </w:p>
    <w:p w14:paraId="1B55C530" w14:textId="77777777" w:rsidR="006C236C" w:rsidRDefault="006C236C" w:rsidP="00BF2605">
      <w:pPr>
        <w:tabs>
          <w:tab w:val="left" w:pos="426"/>
        </w:tabs>
        <w:spacing w:after="0" w:line="288" w:lineRule="auto"/>
        <w:jc w:val="both"/>
        <w:rPr>
          <w:rFonts w:ascii="Times New Roman" w:hAnsi="Times New Roman" w:cs="Times New Roman"/>
          <w:sz w:val="24"/>
          <w:szCs w:val="24"/>
        </w:rPr>
      </w:pPr>
    </w:p>
    <w:p w14:paraId="1F31D27C" w14:textId="452689AA" w:rsidR="006E1F37" w:rsidRDefault="006C236C" w:rsidP="00BF2605">
      <w:pPr>
        <w:tabs>
          <w:tab w:val="left" w:pos="426"/>
        </w:tabs>
        <w:spacing w:after="0" w:line="288" w:lineRule="auto"/>
        <w:jc w:val="both"/>
      </w:pPr>
      <w:r>
        <w:rPr>
          <w:rFonts w:ascii="Times New Roman" w:hAnsi="Times New Roman" w:cs="Times New Roman"/>
          <w:sz w:val="24"/>
          <w:szCs w:val="24"/>
        </w:rPr>
        <w:tab/>
      </w:r>
      <w:r w:rsidR="00923D5D">
        <w:rPr>
          <w:rFonts w:ascii="Times New Roman" w:hAnsi="Times New Roman" w:cs="Times New Roman"/>
          <w:sz w:val="24"/>
          <w:szCs w:val="24"/>
        </w:rPr>
        <w:t xml:space="preserve">With regards to market competitiveness, the results confirm the existence of a positive association between our market competitiveness index which measures </w:t>
      </w:r>
      <w:r w:rsidR="002B19B8" w:rsidRPr="002B19B8">
        <w:rPr>
          <w:rFonts w:ascii="Times New Roman" w:hAnsi="Times New Roman" w:cs="Times New Roman"/>
          <w:sz w:val="24"/>
          <w:szCs w:val="24"/>
        </w:rPr>
        <w:t>the efficiency of the goods and labor markets as well as innovation and business sophis</w:t>
      </w:r>
      <w:r w:rsidR="00923D5D">
        <w:rPr>
          <w:rFonts w:ascii="Times New Roman" w:hAnsi="Times New Roman" w:cs="Times New Roman"/>
          <w:sz w:val="24"/>
          <w:szCs w:val="24"/>
        </w:rPr>
        <w:t xml:space="preserve">tication, and firm level governance. In other words, </w:t>
      </w:r>
      <w:r w:rsidR="003708BB">
        <w:rPr>
          <w:rFonts w:ascii="Times New Roman" w:hAnsi="Times New Roman" w:cs="Times New Roman"/>
          <w:sz w:val="24"/>
          <w:szCs w:val="24"/>
        </w:rPr>
        <w:t>countr</w:t>
      </w:r>
      <w:r w:rsidR="00923D5D">
        <w:rPr>
          <w:rFonts w:ascii="Times New Roman" w:hAnsi="Times New Roman" w:cs="Times New Roman"/>
          <w:sz w:val="24"/>
          <w:szCs w:val="24"/>
        </w:rPr>
        <w:t xml:space="preserve">ies with more efficient and competitive domestic markets tend to have higher governance quality at </w:t>
      </w:r>
      <w:r w:rsidR="00A97B62">
        <w:rPr>
          <w:rFonts w:ascii="Times New Roman" w:hAnsi="Times New Roman" w:cs="Times New Roman"/>
          <w:sz w:val="24"/>
          <w:szCs w:val="24"/>
        </w:rPr>
        <w:t xml:space="preserve">the </w:t>
      </w:r>
      <w:r w:rsidR="00923D5D">
        <w:rPr>
          <w:rFonts w:ascii="Times New Roman" w:hAnsi="Times New Roman" w:cs="Times New Roman"/>
          <w:sz w:val="24"/>
          <w:szCs w:val="24"/>
        </w:rPr>
        <w:t xml:space="preserve">firm level. This observation is </w:t>
      </w:r>
      <w:r w:rsidR="00965717">
        <w:rPr>
          <w:rFonts w:ascii="Times New Roman" w:hAnsi="Times New Roman" w:cs="Times New Roman"/>
          <w:sz w:val="24"/>
          <w:szCs w:val="24"/>
        </w:rPr>
        <w:t>expected given the fact that highly competitive environments force firms to continuously improve their governance and internal controls to be able to survive (</w:t>
      </w:r>
      <w:r w:rsidR="00965717" w:rsidRPr="00923D5D">
        <w:rPr>
          <w:rFonts w:ascii="Times New Roman" w:hAnsi="Times New Roman" w:cs="Times New Roman"/>
          <w:sz w:val="24"/>
          <w:szCs w:val="24"/>
        </w:rPr>
        <w:t>see Claessens and Yurtoglu 2015</w:t>
      </w:r>
      <w:r w:rsidR="00965717">
        <w:rPr>
          <w:rFonts w:ascii="Times New Roman" w:hAnsi="Times New Roman" w:cs="Times New Roman"/>
          <w:sz w:val="24"/>
          <w:szCs w:val="24"/>
        </w:rPr>
        <w:t>). This is also in agre</w:t>
      </w:r>
      <w:r w:rsidR="008E2D51">
        <w:rPr>
          <w:rFonts w:ascii="Times New Roman" w:hAnsi="Times New Roman" w:cs="Times New Roman"/>
          <w:sz w:val="24"/>
          <w:szCs w:val="24"/>
        </w:rPr>
        <w:t>ement with prior studies that reported higher CEO turnover and more focus on efficiency and performance in competitive environments (Baggs and De Bettignies 2</w:t>
      </w:r>
      <w:r w:rsidR="008E2D51" w:rsidRPr="00965717">
        <w:rPr>
          <w:rFonts w:ascii="Times New Roman" w:hAnsi="Times New Roman" w:cs="Times New Roman"/>
          <w:sz w:val="24"/>
          <w:szCs w:val="24"/>
        </w:rPr>
        <w:t>007</w:t>
      </w:r>
      <w:r w:rsidR="00682D1F">
        <w:rPr>
          <w:rFonts w:ascii="Times New Roman" w:hAnsi="Times New Roman" w:cs="Times New Roman"/>
          <w:sz w:val="24"/>
          <w:szCs w:val="24"/>
        </w:rPr>
        <w:t>,</w:t>
      </w:r>
      <w:r w:rsidR="008E2D51">
        <w:rPr>
          <w:rFonts w:ascii="Times New Roman" w:hAnsi="Times New Roman" w:cs="Times New Roman"/>
          <w:sz w:val="24"/>
          <w:szCs w:val="24"/>
        </w:rPr>
        <w:t xml:space="preserve"> </w:t>
      </w:r>
      <w:r w:rsidR="008E2D51" w:rsidRPr="00965717">
        <w:rPr>
          <w:rFonts w:ascii="Times New Roman" w:hAnsi="Times New Roman" w:cs="Times New Roman"/>
          <w:sz w:val="24"/>
          <w:szCs w:val="24"/>
        </w:rPr>
        <w:t>DeFond and P</w:t>
      </w:r>
      <w:r w:rsidR="008E2D51">
        <w:rPr>
          <w:rFonts w:ascii="Times New Roman" w:hAnsi="Times New Roman" w:cs="Times New Roman"/>
          <w:sz w:val="24"/>
          <w:szCs w:val="24"/>
        </w:rPr>
        <w:t xml:space="preserve">ark </w:t>
      </w:r>
      <w:r w:rsidR="008E2D51" w:rsidRPr="00965717">
        <w:rPr>
          <w:rFonts w:ascii="Times New Roman" w:hAnsi="Times New Roman" w:cs="Times New Roman"/>
          <w:sz w:val="24"/>
          <w:szCs w:val="24"/>
        </w:rPr>
        <w:t>1999</w:t>
      </w:r>
      <w:r w:rsidR="00682D1F">
        <w:rPr>
          <w:rFonts w:ascii="Times New Roman" w:hAnsi="Times New Roman" w:cs="Times New Roman"/>
          <w:sz w:val="24"/>
          <w:szCs w:val="24"/>
        </w:rPr>
        <w:t>,</w:t>
      </w:r>
      <w:r w:rsidR="008E2D51">
        <w:rPr>
          <w:rFonts w:ascii="Times New Roman" w:hAnsi="Times New Roman" w:cs="Times New Roman"/>
          <w:sz w:val="24"/>
          <w:szCs w:val="24"/>
        </w:rPr>
        <w:t xml:space="preserve"> Fee and Hadlock </w:t>
      </w:r>
      <w:r w:rsidR="008E2D51" w:rsidRPr="00965717">
        <w:rPr>
          <w:rFonts w:ascii="Times New Roman" w:hAnsi="Times New Roman" w:cs="Times New Roman"/>
          <w:sz w:val="24"/>
          <w:szCs w:val="24"/>
        </w:rPr>
        <w:t>2000</w:t>
      </w:r>
      <w:r w:rsidR="008E2D51">
        <w:rPr>
          <w:rFonts w:ascii="Times New Roman" w:hAnsi="Times New Roman" w:cs="Times New Roman"/>
          <w:sz w:val="24"/>
          <w:szCs w:val="24"/>
        </w:rPr>
        <w:t>).</w:t>
      </w:r>
      <w:r w:rsidR="008E2D51" w:rsidRPr="008E2D51">
        <w:t xml:space="preserve"> </w:t>
      </w:r>
    </w:p>
    <w:p w14:paraId="536E198C" w14:textId="77777777" w:rsidR="006C236C" w:rsidRDefault="006C236C" w:rsidP="00BF2605">
      <w:pPr>
        <w:tabs>
          <w:tab w:val="left" w:pos="426"/>
        </w:tabs>
        <w:spacing w:after="0" w:line="288" w:lineRule="auto"/>
        <w:jc w:val="both"/>
      </w:pPr>
    </w:p>
    <w:p w14:paraId="55649299" w14:textId="10AE4E55" w:rsidR="00957C4B" w:rsidRPr="00957C4B" w:rsidRDefault="00C32AD0" w:rsidP="00BF2605">
      <w:pPr>
        <w:tabs>
          <w:tab w:val="left" w:pos="426"/>
        </w:tabs>
        <w:spacing w:after="0" w:line="288" w:lineRule="auto"/>
        <w:jc w:val="both"/>
        <w:rPr>
          <w:rFonts w:ascii="Times New Roman" w:hAnsi="Times New Roman" w:cs="Times New Roman"/>
          <w:b/>
          <w:bCs/>
          <w:sz w:val="24"/>
          <w:szCs w:val="24"/>
        </w:rPr>
      </w:pPr>
      <w:r>
        <w:rPr>
          <w:rFonts w:ascii="Times New Roman" w:hAnsi="Times New Roman" w:cs="Times New Roman"/>
          <w:b/>
          <w:bCs/>
          <w:sz w:val="24"/>
          <w:szCs w:val="24"/>
        </w:rPr>
        <w:t>The Relationship Between Firm-Level and Country-L</w:t>
      </w:r>
      <w:r w:rsidR="00957C4B">
        <w:rPr>
          <w:rFonts w:ascii="Times New Roman" w:hAnsi="Times New Roman" w:cs="Times New Roman"/>
          <w:b/>
          <w:bCs/>
          <w:sz w:val="24"/>
          <w:szCs w:val="24"/>
        </w:rPr>
        <w:t>evel Governance</w:t>
      </w:r>
    </w:p>
    <w:p w14:paraId="0E58D03A" w14:textId="41D6EDF8" w:rsidR="008078CD" w:rsidRPr="006C236C" w:rsidRDefault="008078CD" w:rsidP="00BF2605">
      <w:pPr>
        <w:tabs>
          <w:tab w:val="left" w:pos="426"/>
        </w:tabs>
        <w:spacing w:after="0" w:line="288" w:lineRule="auto"/>
        <w:jc w:val="both"/>
        <w:rPr>
          <w:rFonts w:ascii="Times New Roman" w:hAnsi="Times New Roman" w:cs="Times New Roman"/>
          <w:b/>
          <w:bCs/>
          <w:sz w:val="12"/>
          <w:szCs w:val="12"/>
        </w:rPr>
      </w:pPr>
    </w:p>
    <w:p w14:paraId="6106DFD1" w14:textId="77777777" w:rsidR="00E44B0C" w:rsidRDefault="00965CF1" w:rsidP="00BF2605">
      <w:pPr>
        <w:tabs>
          <w:tab w:val="left" w:pos="426"/>
        </w:tabs>
        <w:spacing w:after="0" w:line="288" w:lineRule="auto"/>
        <w:jc w:val="both"/>
        <w:rPr>
          <w:rFonts w:ascii="Times New Roman" w:hAnsi="Times New Roman" w:cs="Times New Roman"/>
          <w:sz w:val="24"/>
          <w:szCs w:val="24"/>
        </w:rPr>
      </w:pPr>
      <w:r w:rsidRPr="006C236C">
        <w:rPr>
          <w:rFonts w:ascii="Times New Roman" w:hAnsi="Times New Roman" w:cs="Times New Roman"/>
          <w:sz w:val="24"/>
          <w:szCs w:val="24"/>
        </w:rPr>
        <w:t>Table 4</w:t>
      </w:r>
      <w:r>
        <w:rPr>
          <w:rFonts w:ascii="Times New Roman" w:hAnsi="Times New Roman" w:cs="Times New Roman"/>
          <w:i/>
          <w:iCs/>
          <w:sz w:val="24"/>
          <w:szCs w:val="24"/>
        </w:rPr>
        <w:t xml:space="preserve"> </w:t>
      </w:r>
      <w:r>
        <w:rPr>
          <w:rFonts w:ascii="Times New Roman" w:hAnsi="Times New Roman" w:cs="Times New Roman"/>
          <w:sz w:val="24"/>
          <w:szCs w:val="24"/>
        </w:rPr>
        <w:t>shows the results from our set</w:t>
      </w:r>
      <w:r w:rsidR="00EF7E74">
        <w:rPr>
          <w:rFonts w:ascii="Times New Roman" w:hAnsi="Times New Roman" w:cs="Times New Roman"/>
          <w:sz w:val="24"/>
          <w:szCs w:val="24"/>
        </w:rPr>
        <w:t>s</w:t>
      </w:r>
      <w:r>
        <w:rPr>
          <w:rFonts w:ascii="Times New Roman" w:hAnsi="Times New Roman" w:cs="Times New Roman"/>
          <w:sz w:val="24"/>
          <w:szCs w:val="24"/>
        </w:rPr>
        <w:t xml:space="preserve"> of regressions</w:t>
      </w:r>
      <w:r w:rsidR="008D2C32">
        <w:rPr>
          <w:rFonts w:ascii="Times New Roman" w:hAnsi="Times New Roman" w:cs="Times New Roman"/>
          <w:sz w:val="24"/>
          <w:szCs w:val="24"/>
        </w:rPr>
        <w:t xml:space="preserve"> (</w:t>
      </w:r>
      <w:r w:rsidR="008D2C32" w:rsidRPr="006C236C">
        <w:rPr>
          <w:rFonts w:ascii="Times New Roman" w:hAnsi="Times New Roman" w:cs="Times New Roman"/>
          <w:sz w:val="24"/>
          <w:szCs w:val="24"/>
        </w:rPr>
        <w:t>Models 2a</w:t>
      </w:r>
      <w:r w:rsidR="00EF7E74" w:rsidRPr="006C236C">
        <w:rPr>
          <w:rFonts w:ascii="Times New Roman" w:hAnsi="Times New Roman" w:cs="Times New Roman"/>
          <w:sz w:val="24"/>
          <w:szCs w:val="24"/>
        </w:rPr>
        <w:t>-2c</w:t>
      </w:r>
      <w:r w:rsidR="008D2C32" w:rsidRPr="006C236C">
        <w:rPr>
          <w:rFonts w:ascii="Times New Roman" w:hAnsi="Times New Roman" w:cs="Times New Roman"/>
          <w:sz w:val="24"/>
          <w:szCs w:val="24"/>
        </w:rPr>
        <w:t xml:space="preserve"> and </w:t>
      </w:r>
      <w:r w:rsidR="00EF7E74" w:rsidRPr="006C236C">
        <w:rPr>
          <w:rFonts w:ascii="Times New Roman" w:hAnsi="Times New Roman" w:cs="Times New Roman"/>
          <w:sz w:val="24"/>
          <w:szCs w:val="24"/>
        </w:rPr>
        <w:t>3</w:t>
      </w:r>
      <w:r w:rsidR="008D2C32" w:rsidRPr="006C236C">
        <w:rPr>
          <w:rFonts w:ascii="Times New Roman" w:hAnsi="Times New Roman" w:cs="Times New Roman"/>
          <w:sz w:val="24"/>
          <w:szCs w:val="24"/>
        </w:rPr>
        <w:t>a</w:t>
      </w:r>
      <w:r w:rsidR="00EF7E74" w:rsidRPr="006C236C">
        <w:rPr>
          <w:rFonts w:ascii="Times New Roman" w:hAnsi="Times New Roman" w:cs="Times New Roman"/>
          <w:sz w:val="24"/>
          <w:szCs w:val="24"/>
        </w:rPr>
        <w:t>-3c</w:t>
      </w:r>
      <w:r w:rsidR="008D2C32">
        <w:rPr>
          <w:rFonts w:ascii="Times New Roman" w:hAnsi="Times New Roman" w:cs="Times New Roman"/>
          <w:sz w:val="24"/>
          <w:szCs w:val="24"/>
        </w:rPr>
        <w:t>)</w:t>
      </w:r>
      <w:r w:rsidR="00EF7E74" w:rsidRPr="00EF7E74">
        <w:rPr>
          <w:rFonts w:ascii="Times New Roman" w:hAnsi="Times New Roman" w:cs="Times New Roman"/>
          <w:sz w:val="24"/>
          <w:szCs w:val="24"/>
        </w:rPr>
        <w:t xml:space="preserve"> </w:t>
      </w:r>
      <w:r w:rsidR="00EF7E74">
        <w:rPr>
          <w:rFonts w:ascii="Times New Roman" w:hAnsi="Times New Roman" w:cs="Times New Roman"/>
          <w:sz w:val="24"/>
          <w:szCs w:val="24"/>
        </w:rPr>
        <w:t>intended to examine the most suitable</w:t>
      </w:r>
      <w:r w:rsidR="00EF7E74" w:rsidRPr="00EF7E74">
        <w:rPr>
          <w:rFonts w:ascii="Times New Roman" w:hAnsi="Times New Roman" w:cs="Times New Roman"/>
          <w:sz w:val="24"/>
          <w:szCs w:val="24"/>
        </w:rPr>
        <w:t xml:space="preserve"> causal-relationship model </w:t>
      </w:r>
      <w:r w:rsidR="00EF7E74">
        <w:rPr>
          <w:rFonts w:ascii="Times New Roman" w:hAnsi="Times New Roman" w:cs="Times New Roman"/>
          <w:sz w:val="24"/>
          <w:szCs w:val="24"/>
        </w:rPr>
        <w:t>to</w:t>
      </w:r>
      <w:r w:rsidR="00EF7E74" w:rsidRPr="00EF7E74">
        <w:rPr>
          <w:rFonts w:ascii="Times New Roman" w:hAnsi="Times New Roman" w:cs="Times New Roman"/>
          <w:sz w:val="24"/>
          <w:szCs w:val="24"/>
        </w:rPr>
        <w:t xml:space="preserve"> </w:t>
      </w:r>
      <w:r w:rsidR="00EF7E74">
        <w:rPr>
          <w:rFonts w:ascii="Times New Roman" w:hAnsi="Times New Roman" w:cs="Times New Roman"/>
          <w:sz w:val="24"/>
          <w:szCs w:val="24"/>
        </w:rPr>
        <w:t>represent</w:t>
      </w:r>
      <w:r w:rsidR="00EF7E74" w:rsidRPr="00EF7E74">
        <w:rPr>
          <w:rFonts w:ascii="Times New Roman" w:hAnsi="Times New Roman" w:cs="Times New Roman"/>
          <w:sz w:val="24"/>
          <w:szCs w:val="24"/>
        </w:rPr>
        <w:t xml:space="preserve"> the relationship between country-level factors and firm-level governance mechanisms</w:t>
      </w:r>
      <w:r w:rsidR="00EF7E74">
        <w:rPr>
          <w:rFonts w:ascii="Times New Roman" w:hAnsi="Times New Roman" w:cs="Times New Roman"/>
          <w:sz w:val="24"/>
          <w:szCs w:val="24"/>
        </w:rPr>
        <w:t>. The regressions reported i</w:t>
      </w:r>
      <w:r w:rsidR="00EF7E74" w:rsidRPr="006C236C">
        <w:rPr>
          <w:rFonts w:ascii="Times New Roman" w:hAnsi="Times New Roman" w:cs="Times New Roman"/>
          <w:sz w:val="24"/>
          <w:szCs w:val="24"/>
        </w:rPr>
        <w:t>n Panel A include the individual country variables, while the regressions reported in Panel B includ</w:t>
      </w:r>
      <w:r w:rsidR="00EF7E74">
        <w:rPr>
          <w:rFonts w:ascii="Times New Roman" w:hAnsi="Times New Roman" w:cs="Times New Roman"/>
          <w:sz w:val="24"/>
          <w:szCs w:val="24"/>
        </w:rPr>
        <w:t xml:space="preserve">e the country-level index only. </w:t>
      </w:r>
    </w:p>
    <w:p w14:paraId="3EC7DFA1" w14:textId="53954F38" w:rsidR="00E44B0C" w:rsidRDefault="00E44B0C">
      <w:pPr>
        <w:rPr>
          <w:rFonts w:ascii="Times New Roman" w:hAnsi="Times New Roman" w:cs="Times New Roman"/>
          <w:sz w:val="24"/>
          <w:szCs w:val="24"/>
        </w:rPr>
        <w:sectPr w:rsidR="00E44B0C" w:rsidSect="00C85B86">
          <w:footerReference w:type="default" r:id="rId9"/>
          <w:pgSz w:w="12240" w:h="15840" w:code="1"/>
          <w:pgMar w:top="1440" w:right="1440" w:bottom="1440" w:left="1440" w:header="720" w:footer="720" w:gutter="0"/>
          <w:cols w:space="720"/>
          <w:titlePg/>
          <w:docGrid w:linePitch="360"/>
        </w:sectPr>
      </w:pPr>
      <w:r>
        <w:rPr>
          <w:rFonts w:ascii="Times New Roman" w:hAnsi="Times New Roman" w:cs="Times New Roman"/>
          <w:sz w:val="24"/>
          <w:szCs w:val="24"/>
        </w:rPr>
        <w:br w:type="page"/>
      </w:r>
    </w:p>
    <w:tbl>
      <w:tblPr>
        <w:tblStyle w:val="TableGrid"/>
        <w:tblW w:w="13590" w:type="dxa"/>
        <w:jc w:val="center"/>
        <w:tblLayout w:type="fixed"/>
        <w:tblLook w:val="04A0" w:firstRow="1" w:lastRow="0" w:firstColumn="1" w:lastColumn="0" w:noHBand="0" w:noVBand="1"/>
      </w:tblPr>
      <w:tblGrid>
        <w:gridCol w:w="2790"/>
        <w:gridCol w:w="1740"/>
        <w:gridCol w:w="1740"/>
        <w:gridCol w:w="1740"/>
        <w:gridCol w:w="540"/>
        <w:gridCol w:w="1676"/>
        <w:gridCol w:w="1676"/>
        <w:gridCol w:w="1676"/>
        <w:gridCol w:w="12"/>
      </w:tblGrid>
      <w:tr w:rsidR="00E44B0C" w:rsidRPr="002E1EC0" w14:paraId="04423460" w14:textId="77777777" w:rsidTr="00305090">
        <w:trPr>
          <w:jc w:val="center"/>
        </w:trPr>
        <w:tc>
          <w:tcPr>
            <w:tcW w:w="13590" w:type="dxa"/>
            <w:gridSpan w:val="9"/>
            <w:tcBorders>
              <w:top w:val="nil"/>
              <w:left w:val="nil"/>
              <w:bottom w:val="single" w:sz="8" w:space="0" w:color="auto"/>
              <w:right w:val="nil"/>
            </w:tcBorders>
            <w:vAlign w:val="center"/>
          </w:tcPr>
          <w:p w14:paraId="4784D01B" w14:textId="77777777" w:rsidR="00E44B0C" w:rsidRDefault="00E44B0C" w:rsidP="008A71E8">
            <w:pPr>
              <w:tabs>
                <w:tab w:val="left" w:pos="426"/>
              </w:tabs>
              <w:jc w:val="center"/>
              <w:rPr>
                <w:rFonts w:asciiTheme="majorBidi" w:hAnsiTheme="majorBidi" w:cstheme="majorBidi"/>
                <w:b/>
                <w:bCs/>
                <w:color w:val="000000"/>
              </w:rPr>
            </w:pPr>
            <w:r>
              <w:lastRenderedPageBreak/>
              <w:br w:type="page"/>
            </w:r>
            <w:r w:rsidRPr="00992F0C">
              <w:rPr>
                <w:rFonts w:asciiTheme="majorBidi" w:hAnsiTheme="majorBidi" w:cstheme="majorBidi"/>
                <w:b/>
                <w:bCs/>
                <w:color w:val="000000"/>
              </w:rPr>
              <w:t>Table 4:</w:t>
            </w:r>
            <w:r>
              <w:rPr>
                <w:rFonts w:asciiTheme="majorBidi" w:hAnsiTheme="majorBidi" w:cstheme="majorBidi"/>
                <w:b/>
                <w:bCs/>
                <w:color w:val="000000"/>
              </w:rPr>
              <w:t xml:space="preserve"> </w:t>
            </w:r>
            <w:r w:rsidRPr="00992F0C">
              <w:rPr>
                <w:rFonts w:asciiTheme="majorBidi" w:hAnsiTheme="majorBidi" w:cstheme="majorBidi"/>
                <w:b/>
                <w:bCs/>
                <w:color w:val="000000"/>
              </w:rPr>
              <w:t xml:space="preserve">Multivariate Regressions of Return and Value Measures </w:t>
            </w:r>
          </w:p>
          <w:p w14:paraId="4D30774C" w14:textId="1564F8DE" w:rsidR="00E44B0C" w:rsidRPr="00992F0C" w:rsidRDefault="00E44B0C" w:rsidP="008A71E8">
            <w:pPr>
              <w:tabs>
                <w:tab w:val="left" w:pos="426"/>
              </w:tabs>
              <w:spacing w:after="120"/>
              <w:jc w:val="center"/>
              <w:rPr>
                <w:rFonts w:asciiTheme="majorBidi" w:hAnsiTheme="majorBidi" w:cstheme="majorBidi"/>
                <w:b/>
                <w:bCs/>
                <w:color w:val="000000"/>
              </w:rPr>
            </w:pPr>
            <w:r w:rsidRPr="00992F0C">
              <w:rPr>
                <w:rFonts w:asciiTheme="majorBidi" w:hAnsiTheme="majorBidi" w:cstheme="majorBidi"/>
                <w:b/>
                <w:bCs/>
                <w:color w:val="000000"/>
              </w:rPr>
              <w:t xml:space="preserve">on the Firm-level Governance </w:t>
            </w:r>
            <w:r w:rsidR="005E0490">
              <w:rPr>
                <w:rFonts w:asciiTheme="majorBidi" w:hAnsiTheme="majorBidi" w:cstheme="majorBidi"/>
                <w:b/>
                <w:bCs/>
                <w:color w:val="000000"/>
              </w:rPr>
              <w:t>I</w:t>
            </w:r>
            <w:r w:rsidRPr="00992F0C">
              <w:rPr>
                <w:rFonts w:asciiTheme="majorBidi" w:hAnsiTheme="majorBidi" w:cstheme="majorBidi"/>
                <w:b/>
                <w:bCs/>
                <w:color w:val="000000"/>
              </w:rPr>
              <w:t xml:space="preserve">ndex and Country-level </w:t>
            </w:r>
            <w:r w:rsidR="005E0490">
              <w:rPr>
                <w:rFonts w:asciiTheme="majorBidi" w:hAnsiTheme="majorBidi" w:cstheme="majorBidi"/>
                <w:b/>
                <w:bCs/>
                <w:color w:val="000000"/>
              </w:rPr>
              <w:t>V</w:t>
            </w:r>
            <w:r w:rsidRPr="00992F0C">
              <w:rPr>
                <w:rFonts w:asciiTheme="majorBidi" w:hAnsiTheme="majorBidi" w:cstheme="majorBidi"/>
                <w:b/>
                <w:bCs/>
                <w:color w:val="000000"/>
              </w:rPr>
              <w:t>ariables</w:t>
            </w:r>
          </w:p>
          <w:p w14:paraId="575D7021"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The table presents the results of six ordinary least squares regressions using industry and year dummies with two measures of return and value: Return on Equity (ROE) and Tobin’s Q, as the dependent variables. Panel A presents the regressions with the individual country-level variables, while Panel B presents the regressions with the country level index. </w:t>
            </w:r>
          </w:p>
          <w:p w14:paraId="36A393CE"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3C6A1C4E"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ROE is net income divided by equity. Tobin’s Q is calculated as the sum of the book value of preferred equity, book value of long-term debt, short-term debt minus short-term marketable securities, and market value of equity divided by the book value of total assets. This method of calculating Tobin’s Q was found by Chung and Pruitt (1994) to have a very high correlation with the results of the original Tobin’s Q. </w:t>
            </w:r>
          </w:p>
          <w:p w14:paraId="4DCCA757"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3F3C87A0"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GOVI is a firm-level additive index of governance constructed using a collection of individual measures of governance (see text for details). COGI is a country-level governance index (explained in the text). </w:t>
            </w:r>
          </w:p>
          <w:p w14:paraId="102BE8DC"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7F90EA54" w14:textId="77777777" w:rsidR="00E44B0C" w:rsidRDefault="00E44B0C" w:rsidP="008A71E8">
            <w:pPr>
              <w:tabs>
                <w:tab w:val="left" w:pos="426"/>
              </w:tabs>
              <w:jc w:val="both"/>
            </w:pPr>
            <w:r w:rsidRPr="00992F0C">
              <w:rPr>
                <w:rFonts w:asciiTheme="majorBidi" w:hAnsiTheme="majorBidi" w:cstheme="majorBidi"/>
                <w:color w:val="000000"/>
              </w:rPr>
              <w:t>The Rule of Law Index (RLAW) is a score of the country’s legal system and its law enforcement power.</w:t>
            </w:r>
            <w:r w:rsidRPr="00992F0C">
              <w:t xml:space="preserve"> </w:t>
            </w:r>
          </w:p>
          <w:p w14:paraId="757A915F" w14:textId="77777777" w:rsidR="00E44B0C" w:rsidRPr="00F326D2" w:rsidRDefault="00E44B0C" w:rsidP="008A71E8">
            <w:pPr>
              <w:tabs>
                <w:tab w:val="left" w:pos="426"/>
              </w:tabs>
              <w:jc w:val="both"/>
              <w:rPr>
                <w:sz w:val="16"/>
                <w:szCs w:val="16"/>
              </w:rPr>
            </w:pPr>
          </w:p>
          <w:p w14:paraId="7A27E943"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Media (MEDI) is a score that assesses the degree of media freedom in a particular country. </w:t>
            </w:r>
          </w:p>
          <w:p w14:paraId="682CA400"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139C8D29"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The Social and Cultural index (SOCL) assesses the characteristics of the education and health systems as well as training and technological readiness in a country. </w:t>
            </w:r>
          </w:p>
          <w:p w14:paraId="77E02CB7"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6E206BFA"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The Market Competitiveness index (COMP) measures the efficiency of the goods and labor markets as well as innovation and business sophistication in a particular country. </w:t>
            </w:r>
          </w:p>
          <w:p w14:paraId="6CDB4DA1"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343E0469"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The control variables (SIZE/LEVG/GROW/LGPC) are explained in the text</w:t>
            </w:r>
            <w:r>
              <w:rPr>
                <w:rFonts w:asciiTheme="majorBidi" w:hAnsiTheme="majorBidi" w:cstheme="majorBidi"/>
                <w:color w:val="000000"/>
              </w:rPr>
              <w:t>.</w:t>
            </w:r>
          </w:p>
          <w:p w14:paraId="4A3C11C7"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7D82CCC4"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The t-Statistics reported in the parentheses are based on country clustered standard errors. </w:t>
            </w:r>
          </w:p>
          <w:p w14:paraId="1DF6745D"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12DAE2B0"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w:t>
            </w:r>
            <w:r>
              <w:rPr>
                <w:rFonts w:asciiTheme="majorBidi" w:hAnsiTheme="majorBidi" w:cstheme="majorBidi"/>
                <w:color w:val="000000"/>
              </w:rPr>
              <w:t xml:space="preserve"> </w:t>
            </w:r>
            <w:r w:rsidRPr="00992F0C">
              <w:rPr>
                <w:rFonts w:asciiTheme="majorBidi" w:hAnsiTheme="majorBidi" w:cstheme="majorBidi"/>
                <w:color w:val="000000"/>
              </w:rPr>
              <w:t xml:space="preserve">Significant at the 10% level. **Significant at the 5% level. ***Significant at the 1% level. </w:t>
            </w:r>
          </w:p>
          <w:p w14:paraId="723737AD"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4B5FDB76"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 xml:space="preserve">The Akaike information criterion (AIC) measures the relative quality of a model compared to other models, through considering the tradeoff between the model’s complexity and its goodness of fit. </w:t>
            </w:r>
          </w:p>
          <w:p w14:paraId="37732232"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56F3BA52" w14:textId="77777777" w:rsidR="00E44B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The</w:t>
            </w:r>
            <w:r w:rsidRPr="00992F0C">
              <w:t xml:space="preserve"> </w:t>
            </w:r>
            <w:r w:rsidRPr="00992F0C">
              <w:rPr>
                <w:rFonts w:asciiTheme="majorBidi" w:hAnsiTheme="majorBidi" w:cstheme="majorBidi"/>
                <w:color w:val="000000"/>
              </w:rPr>
              <w:t>Likelihood-ratio and the Davidson-MacKinnon J tests are model selection tests used for nested and non-nested models, respectively. The</w:t>
            </w:r>
            <w:r w:rsidRPr="00992F0C">
              <w:t xml:space="preserve"> </w:t>
            </w:r>
            <w:r w:rsidRPr="00992F0C">
              <w:rPr>
                <w:rFonts w:asciiTheme="majorBidi" w:hAnsiTheme="majorBidi" w:cstheme="majorBidi"/>
                <w:color w:val="000000"/>
              </w:rPr>
              <w:t xml:space="preserve">Likelihood-ratio test compares the additive/moderating models to the independent model. </w:t>
            </w:r>
          </w:p>
          <w:p w14:paraId="5F3FB3AE" w14:textId="77777777" w:rsidR="00E44B0C" w:rsidRPr="00F326D2" w:rsidRDefault="00E44B0C" w:rsidP="008A71E8">
            <w:pPr>
              <w:tabs>
                <w:tab w:val="left" w:pos="426"/>
              </w:tabs>
              <w:jc w:val="both"/>
              <w:rPr>
                <w:rFonts w:asciiTheme="majorBidi" w:hAnsiTheme="majorBidi" w:cstheme="majorBidi"/>
                <w:color w:val="000000"/>
                <w:sz w:val="16"/>
                <w:szCs w:val="16"/>
              </w:rPr>
            </w:pPr>
          </w:p>
          <w:p w14:paraId="29DCF686" w14:textId="77777777" w:rsidR="00E44B0C" w:rsidRPr="00992F0C" w:rsidRDefault="00E44B0C" w:rsidP="008A71E8">
            <w:pPr>
              <w:tabs>
                <w:tab w:val="left" w:pos="426"/>
              </w:tabs>
              <w:jc w:val="both"/>
              <w:rPr>
                <w:rFonts w:asciiTheme="majorBidi" w:hAnsiTheme="majorBidi" w:cstheme="majorBidi"/>
                <w:color w:val="000000"/>
              </w:rPr>
            </w:pPr>
            <w:r w:rsidRPr="00992F0C">
              <w:rPr>
                <w:rFonts w:asciiTheme="majorBidi" w:hAnsiTheme="majorBidi" w:cstheme="majorBidi"/>
                <w:color w:val="000000"/>
              </w:rPr>
              <w:t>The Davidson-MacKinnon J test compares each model to the other two alternatives. In both cases, rejecting the null hypothesis (significant results) would result in selecting the alternative model. For both tests, we report the test statistics value and the significance level.</w:t>
            </w:r>
            <w:r>
              <w:rPr>
                <w:rFonts w:asciiTheme="majorBidi" w:hAnsiTheme="majorBidi" w:cstheme="majorBidi"/>
                <w:color w:val="000000"/>
              </w:rPr>
              <w:t xml:space="preserve">  </w:t>
            </w:r>
          </w:p>
          <w:p w14:paraId="1CEA4421" w14:textId="702634EC" w:rsidR="00E44B0C" w:rsidRDefault="00E44B0C" w:rsidP="008A71E8">
            <w:pPr>
              <w:tabs>
                <w:tab w:val="left" w:pos="426"/>
              </w:tabs>
              <w:jc w:val="center"/>
              <w:rPr>
                <w:rFonts w:asciiTheme="majorBidi" w:hAnsiTheme="majorBidi" w:cstheme="majorBidi"/>
                <w:b/>
                <w:bCs/>
                <w:color w:val="000000"/>
              </w:rPr>
            </w:pPr>
          </w:p>
          <w:p w14:paraId="04C94337" w14:textId="2EC49400" w:rsidR="008A71E8" w:rsidRDefault="008A71E8" w:rsidP="008A71E8">
            <w:pPr>
              <w:tabs>
                <w:tab w:val="left" w:pos="426"/>
              </w:tabs>
              <w:jc w:val="center"/>
              <w:rPr>
                <w:rFonts w:asciiTheme="majorBidi" w:hAnsiTheme="majorBidi" w:cstheme="majorBidi"/>
                <w:b/>
                <w:bCs/>
                <w:color w:val="000000"/>
              </w:rPr>
            </w:pPr>
          </w:p>
          <w:p w14:paraId="466E960C" w14:textId="77777777" w:rsidR="00305090" w:rsidRDefault="00305090" w:rsidP="008A71E8">
            <w:pPr>
              <w:tabs>
                <w:tab w:val="left" w:pos="426"/>
              </w:tabs>
              <w:jc w:val="center"/>
              <w:rPr>
                <w:rFonts w:asciiTheme="majorBidi" w:hAnsiTheme="majorBidi" w:cstheme="majorBidi"/>
                <w:b/>
                <w:bCs/>
                <w:color w:val="000000"/>
              </w:rPr>
            </w:pPr>
          </w:p>
          <w:p w14:paraId="62448A73" w14:textId="77777777" w:rsidR="008A71E8" w:rsidRDefault="008A71E8" w:rsidP="008A71E8">
            <w:pPr>
              <w:tabs>
                <w:tab w:val="left" w:pos="426"/>
              </w:tabs>
              <w:jc w:val="center"/>
              <w:rPr>
                <w:rFonts w:asciiTheme="majorBidi" w:hAnsiTheme="majorBidi" w:cstheme="majorBidi"/>
                <w:b/>
                <w:bCs/>
                <w:color w:val="000000"/>
              </w:rPr>
            </w:pPr>
          </w:p>
          <w:p w14:paraId="5A8D92B6" w14:textId="77777777" w:rsidR="00E44B0C" w:rsidRPr="00E44B0C" w:rsidRDefault="00E44B0C" w:rsidP="008A71E8">
            <w:pPr>
              <w:tabs>
                <w:tab w:val="left" w:pos="426"/>
              </w:tabs>
              <w:jc w:val="center"/>
              <w:rPr>
                <w:rFonts w:asciiTheme="majorBidi" w:hAnsiTheme="majorBidi" w:cstheme="majorBidi"/>
                <w:b/>
                <w:bCs/>
                <w:color w:val="000000"/>
                <w:sz w:val="2"/>
                <w:szCs w:val="2"/>
              </w:rPr>
            </w:pPr>
          </w:p>
        </w:tc>
      </w:tr>
      <w:tr w:rsidR="00E44B0C" w14:paraId="7DC7DE09" w14:textId="77777777" w:rsidTr="00305090">
        <w:trPr>
          <w:gridAfter w:val="1"/>
          <w:wAfter w:w="12" w:type="dxa"/>
          <w:trHeight w:val="295"/>
          <w:jc w:val="center"/>
        </w:trPr>
        <w:tc>
          <w:tcPr>
            <w:tcW w:w="13578" w:type="dxa"/>
            <w:gridSpan w:val="8"/>
            <w:tcBorders>
              <w:top w:val="single" w:sz="8" w:space="0" w:color="auto"/>
              <w:left w:val="nil"/>
              <w:bottom w:val="single" w:sz="4" w:space="0" w:color="FFFFFF" w:themeColor="background1"/>
              <w:right w:val="single" w:sz="4" w:space="0" w:color="FFFFFF" w:themeColor="background1"/>
            </w:tcBorders>
            <w:vAlign w:val="center"/>
          </w:tcPr>
          <w:p w14:paraId="7ADFFBB2"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lastRenderedPageBreak/>
              <w:t>Panel A: Regressions with the Individual Country-level Factors</w:t>
            </w:r>
          </w:p>
        </w:tc>
      </w:tr>
      <w:tr w:rsidR="00E44B0C" w14:paraId="08E5D810" w14:textId="77777777" w:rsidTr="00305090">
        <w:trPr>
          <w:gridAfter w:val="1"/>
          <w:wAfter w:w="12" w:type="dxa"/>
          <w:trHeight w:val="295"/>
          <w:jc w:val="center"/>
        </w:trPr>
        <w:tc>
          <w:tcPr>
            <w:tcW w:w="2790" w:type="dxa"/>
            <w:tcBorders>
              <w:top w:val="single" w:sz="8" w:space="0" w:color="auto"/>
              <w:left w:val="nil"/>
              <w:bottom w:val="single" w:sz="4" w:space="0" w:color="FFFFFF" w:themeColor="background1"/>
              <w:right w:val="nil"/>
            </w:tcBorders>
            <w:vAlign w:val="center"/>
          </w:tcPr>
          <w:p w14:paraId="779E0191" w14:textId="77777777" w:rsidR="00E44B0C" w:rsidRPr="00992F0C" w:rsidRDefault="00E44B0C" w:rsidP="008A71E8">
            <w:pPr>
              <w:tabs>
                <w:tab w:val="left" w:pos="426"/>
              </w:tabs>
              <w:rPr>
                <w:rFonts w:ascii="Times New Roman" w:hAnsi="Times New Roman" w:cs="Times New Roman"/>
                <w:b/>
                <w:bCs/>
                <w:color w:val="000000"/>
                <w:sz w:val="21"/>
                <w:szCs w:val="21"/>
              </w:rPr>
            </w:pPr>
          </w:p>
        </w:tc>
        <w:tc>
          <w:tcPr>
            <w:tcW w:w="5220" w:type="dxa"/>
            <w:gridSpan w:val="3"/>
            <w:tcBorders>
              <w:top w:val="single" w:sz="8" w:space="0" w:color="auto"/>
              <w:left w:val="nil"/>
              <w:bottom w:val="single" w:sz="4" w:space="0" w:color="auto"/>
              <w:right w:val="nil"/>
            </w:tcBorders>
            <w:vAlign w:val="center"/>
          </w:tcPr>
          <w:p w14:paraId="03AF1316"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With ROE as Dependent Variables</w:t>
            </w:r>
          </w:p>
        </w:tc>
        <w:tc>
          <w:tcPr>
            <w:tcW w:w="540" w:type="dxa"/>
            <w:tcBorders>
              <w:top w:val="single" w:sz="8" w:space="0" w:color="auto"/>
              <w:left w:val="nil"/>
              <w:bottom w:val="single" w:sz="4" w:space="0" w:color="FFFFFF" w:themeColor="background1"/>
              <w:right w:val="nil"/>
            </w:tcBorders>
            <w:vAlign w:val="center"/>
          </w:tcPr>
          <w:p w14:paraId="6E7BECC2" w14:textId="77777777" w:rsidR="00E44B0C" w:rsidRPr="00992F0C" w:rsidRDefault="00E44B0C" w:rsidP="008A71E8">
            <w:pPr>
              <w:tabs>
                <w:tab w:val="left" w:pos="426"/>
              </w:tabs>
              <w:jc w:val="center"/>
              <w:rPr>
                <w:rFonts w:ascii="Times New Roman" w:hAnsi="Times New Roman" w:cs="Times New Roman"/>
                <w:b/>
                <w:bCs/>
                <w:color w:val="000000"/>
                <w:sz w:val="21"/>
                <w:szCs w:val="21"/>
              </w:rPr>
            </w:pPr>
          </w:p>
        </w:tc>
        <w:tc>
          <w:tcPr>
            <w:tcW w:w="5028" w:type="dxa"/>
            <w:gridSpan w:val="3"/>
            <w:tcBorders>
              <w:top w:val="single" w:sz="8" w:space="0" w:color="auto"/>
              <w:left w:val="nil"/>
              <w:bottom w:val="single" w:sz="4" w:space="0" w:color="auto"/>
              <w:right w:val="nil"/>
            </w:tcBorders>
            <w:vAlign w:val="center"/>
          </w:tcPr>
          <w:p w14:paraId="2336D068"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With Tobin’s Q as Dependent Variables</w:t>
            </w:r>
          </w:p>
        </w:tc>
      </w:tr>
      <w:tr w:rsidR="00E44B0C" w14:paraId="746A2DE4" w14:textId="77777777" w:rsidTr="00305090">
        <w:trPr>
          <w:gridAfter w:val="1"/>
          <w:wAfter w:w="12" w:type="dxa"/>
          <w:trHeight w:val="295"/>
          <w:jc w:val="center"/>
        </w:trPr>
        <w:tc>
          <w:tcPr>
            <w:tcW w:w="2790" w:type="dxa"/>
            <w:tcBorders>
              <w:top w:val="single" w:sz="4" w:space="0" w:color="FFFFFF" w:themeColor="background1"/>
              <w:left w:val="nil"/>
              <w:bottom w:val="single" w:sz="12" w:space="0" w:color="auto"/>
              <w:right w:val="nil"/>
            </w:tcBorders>
            <w:vAlign w:val="center"/>
          </w:tcPr>
          <w:p w14:paraId="749E8CB7" w14:textId="77777777" w:rsidR="00E44B0C" w:rsidRPr="00992F0C" w:rsidRDefault="00E44B0C" w:rsidP="008A71E8">
            <w:pPr>
              <w:tabs>
                <w:tab w:val="left" w:pos="426"/>
              </w:tabs>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Model Category</w:t>
            </w:r>
          </w:p>
        </w:tc>
        <w:tc>
          <w:tcPr>
            <w:tcW w:w="1740" w:type="dxa"/>
            <w:tcBorders>
              <w:top w:val="single" w:sz="4" w:space="0" w:color="auto"/>
              <w:left w:val="nil"/>
              <w:bottom w:val="single" w:sz="12" w:space="0" w:color="auto"/>
              <w:right w:val="nil"/>
            </w:tcBorders>
            <w:vAlign w:val="center"/>
          </w:tcPr>
          <w:p w14:paraId="01893D73"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Independent</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(I)</w:t>
            </w:r>
          </w:p>
        </w:tc>
        <w:tc>
          <w:tcPr>
            <w:tcW w:w="1740" w:type="dxa"/>
            <w:tcBorders>
              <w:top w:val="single" w:sz="4" w:space="0" w:color="auto"/>
              <w:left w:val="nil"/>
              <w:bottom w:val="single" w:sz="12" w:space="0" w:color="auto"/>
              <w:right w:val="nil"/>
            </w:tcBorders>
            <w:vAlign w:val="center"/>
          </w:tcPr>
          <w:p w14:paraId="090706B9"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Additive</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(A)</w:t>
            </w:r>
          </w:p>
        </w:tc>
        <w:tc>
          <w:tcPr>
            <w:tcW w:w="1740" w:type="dxa"/>
            <w:tcBorders>
              <w:top w:val="single" w:sz="4" w:space="0" w:color="auto"/>
              <w:left w:val="nil"/>
              <w:bottom w:val="single" w:sz="12" w:space="0" w:color="auto"/>
              <w:right w:val="nil"/>
            </w:tcBorders>
            <w:vAlign w:val="center"/>
          </w:tcPr>
          <w:p w14:paraId="6D99A58C"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Moderating</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(M)</w:t>
            </w:r>
          </w:p>
        </w:tc>
        <w:tc>
          <w:tcPr>
            <w:tcW w:w="540" w:type="dxa"/>
            <w:tcBorders>
              <w:top w:val="single" w:sz="4" w:space="0" w:color="FFFFFF" w:themeColor="background1"/>
              <w:left w:val="nil"/>
              <w:bottom w:val="single" w:sz="12" w:space="0" w:color="auto"/>
              <w:right w:val="nil"/>
            </w:tcBorders>
            <w:vAlign w:val="center"/>
          </w:tcPr>
          <w:p w14:paraId="3A70D5FF" w14:textId="77777777" w:rsidR="00E44B0C" w:rsidRPr="00992F0C" w:rsidRDefault="00E44B0C" w:rsidP="008A71E8">
            <w:pPr>
              <w:tabs>
                <w:tab w:val="left" w:pos="426"/>
              </w:tabs>
              <w:jc w:val="center"/>
              <w:rPr>
                <w:rFonts w:ascii="Times New Roman" w:hAnsi="Times New Roman" w:cs="Times New Roman"/>
                <w:b/>
                <w:bCs/>
                <w:color w:val="000000"/>
                <w:sz w:val="21"/>
                <w:szCs w:val="21"/>
              </w:rPr>
            </w:pPr>
          </w:p>
        </w:tc>
        <w:tc>
          <w:tcPr>
            <w:tcW w:w="1676" w:type="dxa"/>
            <w:tcBorders>
              <w:top w:val="single" w:sz="4" w:space="0" w:color="auto"/>
              <w:left w:val="nil"/>
              <w:bottom w:val="single" w:sz="12" w:space="0" w:color="auto"/>
              <w:right w:val="nil"/>
            </w:tcBorders>
            <w:vAlign w:val="center"/>
          </w:tcPr>
          <w:p w14:paraId="15CE69B0"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Independent</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(I)</w:t>
            </w:r>
          </w:p>
        </w:tc>
        <w:tc>
          <w:tcPr>
            <w:tcW w:w="1676" w:type="dxa"/>
            <w:tcBorders>
              <w:top w:val="single" w:sz="4" w:space="0" w:color="auto"/>
              <w:left w:val="nil"/>
              <w:bottom w:val="single" w:sz="12" w:space="0" w:color="auto"/>
              <w:right w:val="nil"/>
            </w:tcBorders>
            <w:vAlign w:val="center"/>
          </w:tcPr>
          <w:p w14:paraId="2AB93472"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Additive</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(A)</w:t>
            </w:r>
          </w:p>
        </w:tc>
        <w:tc>
          <w:tcPr>
            <w:tcW w:w="1676" w:type="dxa"/>
            <w:tcBorders>
              <w:top w:val="single" w:sz="4" w:space="0" w:color="auto"/>
              <w:left w:val="nil"/>
              <w:bottom w:val="single" w:sz="12" w:space="0" w:color="auto"/>
              <w:right w:val="nil"/>
            </w:tcBorders>
            <w:vAlign w:val="center"/>
          </w:tcPr>
          <w:p w14:paraId="1E1DB309" w14:textId="77777777" w:rsidR="00E44B0C" w:rsidRPr="00992F0C" w:rsidRDefault="00E44B0C" w:rsidP="008A71E8">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Moderating</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(M)</w:t>
            </w:r>
          </w:p>
        </w:tc>
      </w:tr>
      <w:tr w:rsidR="00E44B0C" w14:paraId="5ECDE6C8" w14:textId="77777777" w:rsidTr="00305090">
        <w:trPr>
          <w:gridAfter w:val="1"/>
          <w:wAfter w:w="12" w:type="dxa"/>
          <w:trHeight w:val="432"/>
          <w:jc w:val="center"/>
        </w:trPr>
        <w:tc>
          <w:tcPr>
            <w:tcW w:w="2790" w:type="dxa"/>
            <w:tcBorders>
              <w:top w:val="single" w:sz="12" w:space="0" w:color="auto"/>
              <w:left w:val="nil"/>
              <w:bottom w:val="nil"/>
              <w:right w:val="nil"/>
            </w:tcBorders>
            <w:vAlign w:val="center"/>
          </w:tcPr>
          <w:p w14:paraId="286F8AED"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Intercept</w:t>
            </w:r>
          </w:p>
        </w:tc>
        <w:tc>
          <w:tcPr>
            <w:tcW w:w="1740" w:type="dxa"/>
            <w:tcBorders>
              <w:top w:val="nil"/>
              <w:left w:val="nil"/>
              <w:bottom w:val="nil"/>
              <w:right w:val="nil"/>
            </w:tcBorders>
            <w:shd w:val="clear" w:color="auto" w:fill="auto"/>
            <w:vAlign w:val="bottom"/>
          </w:tcPr>
          <w:p w14:paraId="5A316CC1"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0.861***</w:t>
            </w:r>
            <w:r w:rsidRPr="00992F0C">
              <w:rPr>
                <w:rFonts w:ascii="Times New Roman" w:hAnsi="Times New Roman" w:cs="Times New Roman"/>
                <w:sz w:val="21"/>
                <w:szCs w:val="21"/>
              </w:rPr>
              <w:br/>
              <w:t>(3.090)</w:t>
            </w:r>
          </w:p>
        </w:tc>
        <w:tc>
          <w:tcPr>
            <w:tcW w:w="1740" w:type="dxa"/>
            <w:tcBorders>
              <w:top w:val="nil"/>
              <w:left w:val="nil"/>
              <w:bottom w:val="nil"/>
              <w:right w:val="nil"/>
            </w:tcBorders>
            <w:shd w:val="clear" w:color="auto" w:fill="auto"/>
            <w:vAlign w:val="bottom"/>
          </w:tcPr>
          <w:p w14:paraId="35260CF8"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0.821**</w:t>
            </w:r>
            <w:r w:rsidRPr="00992F0C">
              <w:rPr>
                <w:rFonts w:ascii="Times New Roman" w:hAnsi="Times New Roman" w:cs="Times New Roman"/>
                <w:sz w:val="21"/>
                <w:szCs w:val="21"/>
              </w:rPr>
              <w:br/>
              <w:t>(2.610)</w:t>
            </w:r>
          </w:p>
        </w:tc>
        <w:tc>
          <w:tcPr>
            <w:tcW w:w="1740" w:type="dxa"/>
            <w:tcBorders>
              <w:top w:val="nil"/>
              <w:left w:val="nil"/>
              <w:bottom w:val="nil"/>
              <w:right w:val="nil"/>
            </w:tcBorders>
            <w:shd w:val="clear" w:color="auto" w:fill="auto"/>
            <w:vAlign w:val="bottom"/>
          </w:tcPr>
          <w:p w14:paraId="0FCC4C4E"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0.869</w:t>
            </w:r>
            <w:r w:rsidRPr="00992F0C">
              <w:rPr>
                <w:rFonts w:ascii="Times New Roman" w:hAnsi="Times New Roman" w:cs="Times New Roman"/>
                <w:sz w:val="21"/>
                <w:szCs w:val="21"/>
              </w:rPr>
              <w:br/>
              <w:t>(1.620)</w:t>
            </w:r>
          </w:p>
        </w:tc>
        <w:tc>
          <w:tcPr>
            <w:tcW w:w="540" w:type="dxa"/>
            <w:tcBorders>
              <w:top w:val="nil"/>
              <w:left w:val="nil"/>
              <w:bottom w:val="nil"/>
              <w:right w:val="nil"/>
            </w:tcBorders>
            <w:shd w:val="clear" w:color="auto" w:fill="auto"/>
            <w:vAlign w:val="center"/>
          </w:tcPr>
          <w:p w14:paraId="2B980762"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025FF32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0.208**</w:t>
            </w:r>
            <w:r w:rsidRPr="00992F0C">
              <w:rPr>
                <w:rFonts w:ascii="Times New Roman" w:hAnsi="Times New Roman" w:cs="Times New Roman"/>
                <w:sz w:val="21"/>
                <w:szCs w:val="21"/>
              </w:rPr>
              <w:br/>
              <w:t>(2.590)</w:t>
            </w:r>
          </w:p>
        </w:tc>
        <w:tc>
          <w:tcPr>
            <w:tcW w:w="1676" w:type="dxa"/>
            <w:tcBorders>
              <w:top w:val="nil"/>
              <w:left w:val="nil"/>
              <w:bottom w:val="nil"/>
              <w:right w:val="nil"/>
            </w:tcBorders>
            <w:shd w:val="clear" w:color="auto" w:fill="auto"/>
            <w:vAlign w:val="bottom"/>
          </w:tcPr>
          <w:p w14:paraId="3600BE25"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0.167*</w:t>
            </w:r>
            <w:r w:rsidRPr="00992F0C">
              <w:rPr>
                <w:rFonts w:ascii="Times New Roman" w:hAnsi="Times New Roman" w:cs="Times New Roman"/>
                <w:sz w:val="21"/>
                <w:szCs w:val="21"/>
              </w:rPr>
              <w:br/>
              <w:t>(1.910)</w:t>
            </w:r>
          </w:p>
        </w:tc>
        <w:tc>
          <w:tcPr>
            <w:tcW w:w="1676" w:type="dxa"/>
            <w:tcBorders>
              <w:top w:val="nil"/>
              <w:left w:val="nil"/>
              <w:bottom w:val="nil"/>
              <w:right w:val="nil"/>
            </w:tcBorders>
            <w:shd w:val="clear" w:color="auto" w:fill="auto"/>
            <w:vAlign w:val="bottom"/>
          </w:tcPr>
          <w:p w14:paraId="558B5F25"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0.217*</w:t>
            </w:r>
            <w:r w:rsidRPr="00992F0C">
              <w:rPr>
                <w:rFonts w:ascii="Times New Roman" w:hAnsi="Times New Roman" w:cs="Times New Roman"/>
                <w:sz w:val="21"/>
                <w:szCs w:val="21"/>
              </w:rPr>
              <w:br/>
              <w:t>(1.700)</w:t>
            </w:r>
          </w:p>
        </w:tc>
      </w:tr>
      <w:tr w:rsidR="00E44B0C" w14:paraId="267F8667" w14:textId="77777777" w:rsidTr="00305090">
        <w:trPr>
          <w:gridAfter w:val="1"/>
          <w:wAfter w:w="12" w:type="dxa"/>
          <w:trHeight w:val="432"/>
          <w:jc w:val="center"/>
        </w:trPr>
        <w:tc>
          <w:tcPr>
            <w:tcW w:w="2790" w:type="dxa"/>
            <w:tcBorders>
              <w:top w:val="nil"/>
              <w:left w:val="nil"/>
              <w:bottom w:val="nil"/>
              <w:right w:val="nil"/>
            </w:tcBorders>
            <w:vAlign w:val="center"/>
          </w:tcPr>
          <w:p w14:paraId="1C1B666B"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GOVI</w:t>
            </w:r>
          </w:p>
        </w:tc>
        <w:tc>
          <w:tcPr>
            <w:tcW w:w="1740" w:type="dxa"/>
            <w:tcBorders>
              <w:top w:val="nil"/>
              <w:left w:val="nil"/>
              <w:bottom w:val="nil"/>
              <w:right w:val="nil"/>
            </w:tcBorders>
            <w:shd w:val="clear" w:color="auto" w:fill="auto"/>
            <w:vAlign w:val="bottom"/>
          </w:tcPr>
          <w:p w14:paraId="6234CF97"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0.266*</w:t>
            </w:r>
            <w:r w:rsidRPr="00992F0C">
              <w:rPr>
                <w:rFonts w:ascii="Times New Roman" w:hAnsi="Times New Roman" w:cs="Times New Roman"/>
                <w:sz w:val="21"/>
                <w:szCs w:val="21"/>
              </w:rPr>
              <w:br/>
              <w:t>(1.880)</w:t>
            </w:r>
          </w:p>
        </w:tc>
        <w:tc>
          <w:tcPr>
            <w:tcW w:w="1740" w:type="dxa"/>
            <w:tcBorders>
              <w:top w:val="nil"/>
              <w:left w:val="nil"/>
              <w:bottom w:val="nil"/>
              <w:right w:val="nil"/>
            </w:tcBorders>
            <w:shd w:val="clear" w:color="auto" w:fill="auto"/>
            <w:vAlign w:val="bottom"/>
          </w:tcPr>
          <w:p w14:paraId="1F0CC0F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0.503***</w:t>
            </w:r>
            <w:r w:rsidRPr="00992F0C">
              <w:rPr>
                <w:rFonts w:ascii="Times New Roman" w:hAnsi="Times New Roman" w:cs="Times New Roman"/>
                <w:sz w:val="21"/>
                <w:szCs w:val="21"/>
              </w:rPr>
              <w:br/>
              <w:t>(2.770)</w:t>
            </w:r>
          </w:p>
        </w:tc>
        <w:tc>
          <w:tcPr>
            <w:tcW w:w="1740" w:type="dxa"/>
            <w:tcBorders>
              <w:top w:val="nil"/>
              <w:left w:val="nil"/>
              <w:bottom w:val="nil"/>
              <w:right w:val="nil"/>
            </w:tcBorders>
            <w:shd w:val="clear" w:color="auto" w:fill="auto"/>
            <w:vAlign w:val="bottom"/>
          </w:tcPr>
          <w:p w14:paraId="47531619"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0.308**</w:t>
            </w:r>
            <w:r w:rsidRPr="00992F0C">
              <w:rPr>
                <w:rFonts w:ascii="Times New Roman" w:hAnsi="Times New Roman" w:cs="Times New Roman"/>
                <w:sz w:val="21"/>
                <w:szCs w:val="21"/>
              </w:rPr>
              <w:br/>
              <w:t>(2.460)</w:t>
            </w:r>
          </w:p>
        </w:tc>
        <w:tc>
          <w:tcPr>
            <w:tcW w:w="540" w:type="dxa"/>
            <w:tcBorders>
              <w:top w:val="nil"/>
              <w:left w:val="nil"/>
              <w:bottom w:val="nil"/>
              <w:right w:val="nil"/>
            </w:tcBorders>
            <w:shd w:val="clear" w:color="auto" w:fill="auto"/>
            <w:vAlign w:val="center"/>
          </w:tcPr>
          <w:p w14:paraId="5983A588"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2A723430"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0.046**</w:t>
            </w:r>
            <w:r w:rsidRPr="00992F0C">
              <w:rPr>
                <w:rFonts w:ascii="Times New Roman" w:hAnsi="Times New Roman" w:cs="Times New Roman"/>
                <w:sz w:val="21"/>
                <w:szCs w:val="21"/>
              </w:rPr>
              <w:br/>
              <w:t>(2.300)</w:t>
            </w:r>
          </w:p>
        </w:tc>
        <w:tc>
          <w:tcPr>
            <w:tcW w:w="1676" w:type="dxa"/>
            <w:tcBorders>
              <w:top w:val="nil"/>
              <w:left w:val="nil"/>
              <w:bottom w:val="nil"/>
              <w:right w:val="nil"/>
            </w:tcBorders>
            <w:shd w:val="clear" w:color="auto" w:fill="auto"/>
            <w:vAlign w:val="bottom"/>
          </w:tcPr>
          <w:p w14:paraId="7A48F0D9"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0.093*</w:t>
            </w:r>
            <w:r w:rsidRPr="00992F0C">
              <w:rPr>
                <w:rFonts w:ascii="Times New Roman" w:hAnsi="Times New Roman" w:cs="Times New Roman"/>
                <w:sz w:val="21"/>
                <w:szCs w:val="21"/>
              </w:rPr>
              <w:br/>
              <w:t>(1.790)</w:t>
            </w:r>
          </w:p>
        </w:tc>
        <w:tc>
          <w:tcPr>
            <w:tcW w:w="1676" w:type="dxa"/>
            <w:tcBorders>
              <w:top w:val="nil"/>
              <w:left w:val="nil"/>
              <w:bottom w:val="nil"/>
              <w:right w:val="nil"/>
            </w:tcBorders>
            <w:shd w:val="clear" w:color="auto" w:fill="auto"/>
            <w:vAlign w:val="bottom"/>
          </w:tcPr>
          <w:p w14:paraId="5B4CA5BF"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0.051**</w:t>
            </w:r>
            <w:r w:rsidRPr="00992F0C">
              <w:rPr>
                <w:rFonts w:ascii="Times New Roman" w:hAnsi="Times New Roman" w:cs="Times New Roman"/>
                <w:sz w:val="21"/>
                <w:szCs w:val="21"/>
              </w:rPr>
              <w:br/>
              <w:t>(2.210)</w:t>
            </w:r>
          </w:p>
        </w:tc>
      </w:tr>
      <w:tr w:rsidR="00E44B0C" w14:paraId="7239F5D3" w14:textId="77777777" w:rsidTr="00305090">
        <w:trPr>
          <w:gridAfter w:val="1"/>
          <w:wAfter w:w="12" w:type="dxa"/>
          <w:trHeight w:val="432"/>
          <w:jc w:val="center"/>
        </w:trPr>
        <w:tc>
          <w:tcPr>
            <w:tcW w:w="2790" w:type="dxa"/>
            <w:tcBorders>
              <w:top w:val="nil"/>
              <w:left w:val="nil"/>
              <w:bottom w:val="nil"/>
              <w:right w:val="nil"/>
            </w:tcBorders>
            <w:vAlign w:val="center"/>
          </w:tcPr>
          <w:p w14:paraId="0553D41F"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RLAW</w:t>
            </w:r>
          </w:p>
        </w:tc>
        <w:tc>
          <w:tcPr>
            <w:tcW w:w="1740" w:type="dxa"/>
            <w:tcBorders>
              <w:top w:val="nil"/>
              <w:left w:val="nil"/>
              <w:bottom w:val="nil"/>
              <w:right w:val="nil"/>
            </w:tcBorders>
            <w:shd w:val="clear" w:color="auto" w:fill="auto"/>
            <w:vAlign w:val="bottom"/>
          </w:tcPr>
          <w:p w14:paraId="7BFD4D4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0.600**</w:t>
            </w:r>
            <w:r w:rsidRPr="00992F0C">
              <w:rPr>
                <w:rFonts w:ascii="Times New Roman" w:hAnsi="Times New Roman" w:cs="Times New Roman"/>
                <w:sz w:val="21"/>
                <w:szCs w:val="21"/>
              </w:rPr>
              <w:br/>
              <w:t>(2.250)</w:t>
            </w:r>
          </w:p>
        </w:tc>
        <w:tc>
          <w:tcPr>
            <w:tcW w:w="1740" w:type="dxa"/>
            <w:tcBorders>
              <w:top w:val="nil"/>
              <w:left w:val="nil"/>
              <w:bottom w:val="nil"/>
              <w:right w:val="nil"/>
            </w:tcBorders>
            <w:shd w:val="clear" w:color="auto" w:fill="auto"/>
            <w:vAlign w:val="bottom"/>
          </w:tcPr>
          <w:p w14:paraId="3F8B6AF9"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0.267</w:t>
            </w:r>
            <w:r w:rsidRPr="00992F0C">
              <w:rPr>
                <w:rFonts w:ascii="Times New Roman" w:hAnsi="Times New Roman" w:cs="Times New Roman"/>
                <w:sz w:val="21"/>
                <w:szCs w:val="21"/>
              </w:rPr>
              <w:br/>
              <w:t>(0.650)</w:t>
            </w:r>
          </w:p>
        </w:tc>
        <w:tc>
          <w:tcPr>
            <w:tcW w:w="1740" w:type="dxa"/>
            <w:tcBorders>
              <w:top w:val="nil"/>
              <w:left w:val="nil"/>
              <w:bottom w:val="nil"/>
              <w:right w:val="nil"/>
            </w:tcBorders>
            <w:shd w:val="clear" w:color="auto" w:fill="auto"/>
            <w:vAlign w:val="bottom"/>
          </w:tcPr>
          <w:p w14:paraId="6293B0CA" w14:textId="77777777" w:rsidR="00E44B0C" w:rsidRPr="00992F0C" w:rsidRDefault="00E44B0C" w:rsidP="008A71E8">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center"/>
          </w:tcPr>
          <w:p w14:paraId="56F22985"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232FC1F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0.431</w:t>
            </w:r>
            <w:r w:rsidRPr="00992F0C">
              <w:rPr>
                <w:rFonts w:ascii="Times New Roman" w:hAnsi="Times New Roman" w:cs="Times New Roman"/>
                <w:sz w:val="21"/>
                <w:szCs w:val="21"/>
              </w:rPr>
              <w:br/>
              <w:t>(1.220)</w:t>
            </w:r>
          </w:p>
        </w:tc>
        <w:tc>
          <w:tcPr>
            <w:tcW w:w="1676" w:type="dxa"/>
            <w:tcBorders>
              <w:top w:val="nil"/>
              <w:left w:val="nil"/>
              <w:bottom w:val="nil"/>
              <w:right w:val="nil"/>
            </w:tcBorders>
            <w:shd w:val="clear" w:color="auto" w:fill="auto"/>
            <w:vAlign w:val="bottom"/>
          </w:tcPr>
          <w:p w14:paraId="7A31C53F"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0.132</w:t>
            </w:r>
            <w:r w:rsidRPr="00992F0C">
              <w:rPr>
                <w:rFonts w:ascii="Times New Roman" w:hAnsi="Times New Roman" w:cs="Times New Roman"/>
                <w:sz w:val="21"/>
                <w:szCs w:val="21"/>
              </w:rPr>
              <w:br/>
              <w:t>(1.120)</w:t>
            </w:r>
          </w:p>
        </w:tc>
        <w:tc>
          <w:tcPr>
            <w:tcW w:w="1676" w:type="dxa"/>
            <w:tcBorders>
              <w:top w:val="nil"/>
              <w:left w:val="nil"/>
              <w:bottom w:val="nil"/>
              <w:right w:val="nil"/>
            </w:tcBorders>
            <w:shd w:val="clear" w:color="auto" w:fill="auto"/>
            <w:vAlign w:val="bottom"/>
          </w:tcPr>
          <w:p w14:paraId="626906E2" w14:textId="77777777" w:rsidR="00E44B0C" w:rsidRPr="00992F0C" w:rsidRDefault="00E44B0C" w:rsidP="008A71E8">
            <w:pPr>
              <w:tabs>
                <w:tab w:val="left" w:pos="426"/>
              </w:tabs>
              <w:jc w:val="center"/>
              <w:rPr>
                <w:rFonts w:ascii="Times New Roman" w:hAnsi="Times New Roman" w:cs="Times New Roman"/>
                <w:sz w:val="21"/>
                <w:szCs w:val="21"/>
              </w:rPr>
            </w:pPr>
          </w:p>
        </w:tc>
      </w:tr>
      <w:tr w:rsidR="00E44B0C" w14:paraId="1C2A61FD" w14:textId="77777777" w:rsidTr="00305090">
        <w:trPr>
          <w:gridAfter w:val="1"/>
          <w:wAfter w:w="12" w:type="dxa"/>
          <w:trHeight w:val="432"/>
          <w:jc w:val="center"/>
        </w:trPr>
        <w:tc>
          <w:tcPr>
            <w:tcW w:w="2790" w:type="dxa"/>
            <w:tcBorders>
              <w:top w:val="nil"/>
              <w:left w:val="nil"/>
              <w:bottom w:val="nil"/>
              <w:right w:val="nil"/>
            </w:tcBorders>
            <w:vAlign w:val="center"/>
          </w:tcPr>
          <w:p w14:paraId="349884CE"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MEDI</w:t>
            </w:r>
          </w:p>
        </w:tc>
        <w:tc>
          <w:tcPr>
            <w:tcW w:w="1740" w:type="dxa"/>
            <w:tcBorders>
              <w:top w:val="nil"/>
              <w:left w:val="nil"/>
              <w:bottom w:val="nil"/>
              <w:right w:val="nil"/>
            </w:tcBorders>
            <w:shd w:val="clear" w:color="auto" w:fill="auto"/>
            <w:vAlign w:val="bottom"/>
          </w:tcPr>
          <w:p w14:paraId="5A2BB511"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0.192</w:t>
            </w:r>
            <w:r w:rsidRPr="00992F0C">
              <w:rPr>
                <w:rFonts w:ascii="Times New Roman" w:hAnsi="Times New Roman" w:cs="Times New Roman"/>
                <w:sz w:val="21"/>
                <w:szCs w:val="21"/>
              </w:rPr>
              <w:br/>
              <w:t>(1.190)</w:t>
            </w:r>
          </w:p>
        </w:tc>
        <w:tc>
          <w:tcPr>
            <w:tcW w:w="1740" w:type="dxa"/>
            <w:tcBorders>
              <w:top w:val="nil"/>
              <w:left w:val="nil"/>
              <w:bottom w:val="nil"/>
              <w:right w:val="nil"/>
            </w:tcBorders>
            <w:shd w:val="clear" w:color="auto" w:fill="auto"/>
            <w:vAlign w:val="bottom"/>
          </w:tcPr>
          <w:p w14:paraId="59CE2C09"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0.372</w:t>
            </w:r>
            <w:r w:rsidRPr="00992F0C">
              <w:rPr>
                <w:rFonts w:ascii="Times New Roman" w:hAnsi="Times New Roman" w:cs="Times New Roman"/>
                <w:sz w:val="21"/>
                <w:szCs w:val="21"/>
              </w:rPr>
              <w:br/>
              <w:t>(0.800)</w:t>
            </w:r>
          </w:p>
        </w:tc>
        <w:tc>
          <w:tcPr>
            <w:tcW w:w="1740" w:type="dxa"/>
            <w:tcBorders>
              <w:top w:val="nil"/>
              <w:left w:val="nil"/>
              <w:bottom w:val="nil"/>
              <w:right w:val="nil"/>
            </w:tcBorders>
            <w:shd w:val="clear" w:color="auto" w:fill="auto"/>
            <w:vAlign w:val="bottom"/>
          </w:tcPr>
          <w:p w14:paraId="557C2D76" w14:textId="77777777" w:rsidR="00E44B0C" w:rsidRPr="00992F0C" w:rsidRDefault="00E44B0C" w:rsidP="008A71E8">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center"/>
          </w:tcPr>
          <w:p w14:paraId="17E8D9B1"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5AF41C4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0.508**</w:t>
            </w:r>
            <w:r w:rsidRPr="00992F0C">
              <w:rPr>
                <w:rFonts w:ascii="Times New Roman" w:hAnsi="Times New Roman" w:cs="Times New Roman"/>
                <w:sz w:val="21"/>
                <w:szCs w:val="21"/>
              </w:rPr>
              <w:br/>
              <w:t>(2.100)</w:t>
            </w:r>
          </w:p>
        </w:tc>
        <w:tc>
          <w:tcPr>
            <w:tcW w:w="1676" w:type="dxa"/>
            <w:tcBorders>
              <w:top w:val="nil"/>
              <w:left w:val="nil"/>
              <w:bottom w:val="nil"/>
              <w:right w:val="nil"/>
            </w:tcBorders>
            <w:shd w:val="clear" w:color="auto" w:fill="auto"/>
            <w:vAlign w:val="bottom"/>
          </w:tcPr>
          <w:p w14:paraId="61ED22AF"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0.031</w:t>
            </w:r>
            <w:r w:rsidRPr="00992F0C">
              <w:rPr>
                <w:rFonts w:ascii="Times New Roman" w:hAnsi="Times New Roman" w:cs="Times New Roman"/>
                <w:sz w:val="21"/>
                <w:szCs w:val="21"/>
              </w:rPr>
              <w:br/>
              <w:t>(0.060)</w:t>
            </w:r>
          </w:p>
        </w:tc>
        <w:tc>
          <w:tcPr>
            <w:tcW w:w="1676" w:type="dxa"/>
            <w:tcBorders>
              <w:top w:val="nil"/>
              <w:left w:val="nil"/>
              <w:bottom w:val="nil"/>
              <w:right w:val="nil"/>
            </w:tcBorders>
            <w:shd w:val="clear" w:color="auto" w:fill="auto"/>
            <w:vAlign w:val="bottom"/>
          </w:tcPr>
          <w:p w14:paraId="61588670" w14:textId="77777777" w:rsidR="00E44B0C" w:rsidRPr="00992F0C" w:rsidRDefault="00E44B0C" w:rsidP="008A71E8">
            <w:pPr>
              <w:tabs>
                <w:tab w:val="left" w:pos="426"/>
              </w:tabs>
              <w:jc w:val="center"/>
              <w:rPr>
                <w:rFonts w:ascii="Times New Roman" w:hAnsi="Times New Roman" w:cs="Times New Roman"/>
                <w:sz w:val="21"/>
                <w:szCs w:val="21"/>
              </w:rPr>
            </w:pPr>
          </w:p>
        </w:tc>
      </w:tr>
      <w:tr w:rsidR="00E44B0C" w14:paraId="783EBD4B" w14:textId="77777777" w:rsidTr="00305090">
        <w:trPr>
          <w:gridAfter w:val="1"/>
          <w:wAfter w:w="12" w:type="dxa"/>
          <w:trHeight w:val="432"/>
          <w:jc w:val="center"/>
        </w:trPr>
        <w:tc>
          <w:tcPr>
            <w:tcW w:w="2790" w:type="dxa"/>
            <w:tcBorders>
              <w:top w:val="nil"/>
              <w:left w:val="nil"/>
              <w:bottom w:val="nil"/>
              <w:right w:val="nil"/>
            </w:tcBorders>
            <w:vAlign w:val="center"/>
          </w:tcPr>
          <w:p w14:paraId="20FDDE96"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SOCL</w:t>
            </w:r>
          </w:p>
        </w:tc>
        <w:tc>
          <w:tcPr>
            <w:tcW w:w="1740" w:type="dxa"/>
            <w:tcBorders>
              <w:top w:val="nil"/>
              <w:left w:val="nil"/>
              <w:bottom w:val="nil"/>
              <w:right w:val="nil"/>
            </w:tcBorders>
            <w:shd w:val="clear" w:color="auto" w:fill="auto"/>
            <w:vAlign w:val="bottom"/>
          </w:tcPr>
          <w:p w14:paraId="4650D265"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0.421</w:t>
            </w:r>
            <w:r w:rsidRPr="00992F0C">
              <w:rPr>
                <w:rFonts w:ascii="Times New Roman" w:hAnsi="Times New Roman" w:cs="Times New Roman"/>
                <w:sz w:val="21"/>
                <w:szCs w:val="21"/>
              </w:rPr>
              <w:br/>
              <w:t>(1.520)</w:t>
            </w:r>
          </w:p>
        </w:tc>
        <w:tc>
          <w:tcPr>
            <w:tcW w:w="1740" w:type="dxa"/>
            <w:tcBorders>
              <w:top w:val="nil"/>
              <w:left w:val="nil"/>
              <w:bottom w:val="nil"/>
              <w:right w:val="nil"/>
            </w:tcBorders>
            <w:shd w:val="clear" w:color="auto" w:fill="auto"/>
            <w:vAlign w:val="bottom"/>
          </w:tcPr>
          <w:p w14:paraId="25A4457C"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0.139</w:t>
            </w:r>
            <w:r w:rsidRPr="00992F0C">
              <w:rPr>
                <w:rFonts w:ascii="Times New Roman" w:hAnsi="Times New Roman" w:cs="Times New Roman"/>
                <w:sz w:val="21"/>
                <w:szCs w:val="21"/>
              </w:rPr>
              <w:br/>
              <w:t>(0.270)</w:t>
            </w:r>
          </w:p>
        </w:tc>
        <w:tc>
          <w:tcPr>
            <w:tcW w:w="1740" w:type="dxa"/>
            <w:tcBorders>
              <w:top w:val="nil"/>
              <w:left w:val="nil"/>
              <w:bottom w:val="nil"/>
              <w:right w:val="nil"/>
            </w:tcBorders>
            <w:shd w:val="clear" w:color="auto" w:fill="auto"/>
            <w:vAlign w:val="bottom"/>
          </w:tcPr>
          <w:p w14:paraId="2A0A62E4" w14:textId="77777777" w:rsidR="00E44B0C" w:rsidRPr="00992F0C" w:rsidRDefault="00E44B0C" w:rsidP="008A71E8">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center"/>
          </w:tcPr>
          <w:p w14:paraId="6B808B2F"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3D68796B"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0.359</w:t>
            </w:r>
            <w:r w:rsidRPr="00992F0C">
              <w:rPr>
                <w:rFonts w:ascii="Times New Roman" w:hAnsi="Times New Roman" w:cs="Times New Roman"/>
                <w:sz w:val="21"/>
                <w:szCs w:val="21"/>
              </w:rPr>
              <w:br/>
              <w:t>(1.450)</w:t>
            </w:r>
          </w:p>
        </w:tc>
        <w:tc>
          <w:tcPr>
            <w:tcW w:w="1676" w:type="dxa"/>
            <w:tcBorders>
              <w:top w:val="nil"/>
              <w:left w:val="nil"/>
              <w:bottom w:val="nil"/>
              <w:right w:val="nil"/>
            </w:tcBorders>
            <w:shd w:val="clear" w:color="auto" w:fill="auto"/>
            <w:vAlign w:val="bottom"/>
          </w:tcPr>
          <w:p w14:paraId="6C06D4B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0.830</w:t>
            </w:r>
            <w:r w:rsidRPr="00992F0C">
              <w:rPr>
                <w:rFonts w:ascii="Times New Roman" w:hAnsi="Times New Roman" w:cs="Times New Roman"/>
                <w:sz w:val="21"/>
                <w:szCs w:val="21"/>
              </w:rPr>
              <w:br/>
              <w:t>(0.680)</w:t>
            </w:r>
          </w:p>
        </w:tc>
        <w:tc>
          <w:tcPr>
            <w:tcW w:w="1676" w:type="dxa"/>
            <w:tcBorders>
              <w:top w:val="nil"/>
              <w:left w:val="nil"/>
              <w:bottom w:val="nil"/>
              <w:right w:val="nil"/>
            </w:tcBorders>
            <w:shd w:val="clear" w:color="auto" w:fill="auto"/>
            <w:vAlign w:val="bottom"/>
          </w:tcPr>
          <w:p w14:paraId="5D1B37F6" w14:textId="77777777" w:rsidR="00E44B0C" w:rsidRPr="00992F0C" w:rsidRDefault="00E44B0C" w:rsidP="008A71E8">
            <w:pPr>
              <w:tabs>
                <w:tab w:val="left" w:pos="426"/>
              </w:tabs>
              <w:jc w:val="center"/>
              <w:rPr>
                <w:rFonts w:ascii="Times New Roman" w:hAnsi="Times New Roman" w:cs="Times New Roman"/>
                <w:sz w:val="21"/>
                <w:szCs w:val="21"/>
              </w:rPr>
            </w:pPr>
          </w:p>
        </w:tc>
      </w:tr>
      <w:tr w:rsidR="00E44B0C" w14:paraId="13643822" w14:textId="77777777" w:rsidTr="00305090">
        <w:trPr>
          <w:gridAfter w:val="1"/>
          <w:wAfter w:w="12" w:type="dxa"/>
          <w:trHeight w:val="432"/>
          <w:jc w:val="center"/>
        </w:trPr>
        <w:tc>
          <w:tcPr>
            <w:tcW w:w="2790" w:type="dxa"/>
            <w:tcBorders>
              <w:top w:val="nil"/>
              <w:left w:val="nil"/>
              <w:bottom w:val="nil"/>
              <w:right w:val="nil"/>
            </w:tcBorders>
            <w:vAlign w:val="center"/>
          </w:tcPr>
          <w:p w14:paraId="19F0D9CA"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COMP</w:t>
            </w:r>
          </w:p>
        </w:tc>
        <w:tc>
          <w:tcPr>
            <w:tcW w:w="1740" w:type="dxa"/>
            <w:tcBorders>
              <w:top w:val="nil"/>
              <w:left w:val="nil"/>
              <w:bottom w:val="nil"/>
              <w:right w:val="nil"/>
            </w:tcBorders>
            <w:shd w:val="clear" w:color="auto" w:fill="auto"/>
            <w:vAlign w:val="bottom"/>
          </w:tcPr>
          <w:p w14:paraId="47DFD17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0.343</w:t>
            </w:r>
            <w:r w:rsidRPr="00992F0C">
              <w:rPr>
                <w:rFonts w:ascii="Times New Roman" w:hAnsi="Times New Roman" w:cs="Times New Roman"/>
                <w:sz w:val="21"/>
                <w:szCs w:val="21"/>
              </w:rPr>
              <w:br/>
              <w:t>(0.210)</w:t>
            </w:r>
          </w:p>
        </w:tc>
        <w:tc>
          <w:tcPr>
            <w:tcW w:w="1740" w:type="dxa"/>
            <w:tcBorders>
              <w:top w:val="nil"/>
              <w:left w:val="nil"/>
              <w:bottom w:val="nil"/>
              <w:right w:val="nil"/>
            </w:tcBorders>
            <w:shd w:val="clear" w:color="auto" w:fill="auto"/>
            <w:vAlign w:val="bottom"/>
          </w:tcPr>
          <w:p w14:paraId="70733C62"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0.140***</w:t>
            </w:r>
            <w:r w:rsidRPr="00992F0C">
              <w:rPr>
                <w:rFonts w:ascii="Times New Roman" w:hAnsi="Times New Roman" w:cs="Times New Roman"/>
                <w:sz w:val="21"/>
                <w:szCs w:val="21"/>
              </w:rPr>
              <w:br/>
              <w:t>(2.770)</w:t>
            </w:r>
          </w:p>
        </w:tc>
        <w:tc>
          <w:tcPr>
            <w:tcW w:w="1740" w:type="dxa"/>
            <w:tcBorders>
              <w:top w:val="nil"/>
              <w:left w:val="nil"/>
              <w:bottom w:val="nil"/>
              <w:right w:val="nil"/>
            </w:tcBorders>
            <w:shd w:val="clear" w:color="auto" w:fill="auto"/>
            <w:vAlign w:val="bottom"/>
          </w:tcPr>
          <w:p w14:paraId="0FE0755D" w14:textId="77777777" w:rsidR="00E44B0C" w:rsidRPr="00992F0C" w:rsidRDefault="00E44B0C" w:rsidP="008A71E8">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center"/>
          </w:tcPr>
          <w:p w14:paraId="31032AB5"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618A24E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0.374</w:t>
            </w:r>
            <w:r w:rsidRPr="00992F0C">
              <w:rPr>
                <w:rFonts w:ascii="Times New Roman" w:hAnsi="Times New Roman" w:cs="Times New Roman"/>
                <w:sz w:val="21"/>
                <w:szCs w:val="21"/>
              </w:rPr>
              <w:br/>
              <w:t>(1.230)</w:t>
            </w:r>
          </w:p>
        </w:tc>
        <w:tc>
          <w:tcPr>
            <w:tcW w:w="1676" w:type="dxa"/>
            <w:tcBorders>
              <w:top w:val="nil"/>
              <w:left w:val="nil"/>
              <w:bottom w:val="nil"/>
              <w:right w:val="nil"/>
            </w:tcBorders>
            <w:shd w:val="clear" w:color="auto" w:fill="auto"/>
            <w:vAlign w:val="bottom"/>
          </w:tcPr>
          <w:p w14:paraId="0BB60F1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0.279*</w:t>
            </w:r>
            <w:r w:rsidRPr="00992F0C">
              <w:rPr>
                <w:rFonts w:ascii="Times New Roman" w:hAnsi="Times New Roman" w:cs="Times New Roman"/>
                <w:sz w:val="21"/>
                <w:szCs w:val="21"/>
              </w:rPr>
              <w:br/>
              <w:t>(1.860)</w:t>
            </w:r>
          </w:p>
        </w:tc>
        <w:tc>
          <w:tcPr>
            <w:tcW w:w="1676" w:type="dxa"/>
            <w:tcBorders>
              <w:top w:val="nil"/>
              <w:left w:val="nil"/>
              <w:bottom w:val="nil"/>
              <w:right w:val="nil"/>
            </w:tcBorders>
            <w:shd w:val="clear" w:color="auto" w:fill="auto"/>
            <w:vAlign w:val="bottom"/>
          </w:tcPr>
          <w:p w14:paraId="626D3A58" w14:textId="77777777" w:rsidR="00E44B0C" w:rsidRPr="00992F0C" w:rsidRDefault="00E44B0C" w:rsidP="008A71E8">
            <w:pPr>
              <w:tabs>
                <w:tab w:val="left" w:pos="426"/>
              </w:tabs>
              <w:jc w:val="center"/>
              <w:rPr>
                <w:rFonts w:ascii="Times New Roman" w:hAnsi="Times New Roman" w:cs="Times New Roman"/>
                <w:sz w:val="21"/>
                <w:szCs w:val="21"/>
              </w:rPr>
            </w:pPr>
          </w:p>
        </w:tc>
      </w:tr>
      <w:tr w:rsidR="00E44B0C" w14:paraId="33D493D3" w14:textId="77777777" w:rsidTr="00305090">
        <w:trPr>
          <w:gridAfter w:val="1"/>
          <w:wAfter w:w="12" w:type="dxa"/>
          <w:trHeight w:val="432"/>
          <w:jc w:val="center"/>
        </w:trPr>
        <w:tc>
          <w:tcPr>
            <w:tcW w:w="2790" w:type="dxa"/>
            <w:tcBorders>
              <w:top w:val="nil"/>
              <w:left w:val="nil"/>
              <w:bottom w:val="nil"/>
              <w:right w:val="nil"/>
            </w:tcBorders>
            <w:vAlign w:val="center"/>
          </w:tcPr>
          <w:p w14:paraId="06CA34FD"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GOVI*RLAW</w:t>
            </w:r>
          </w:p>
        </w:tc>
        <w:tc>
          <w:tcPr>
            <w:tcW w:w="1740" w:type="dxa"/>
            <w:tcBorders>
              <w:top w:val="nil"/>
              <w:left w:val="nil"/>
              <w:bottom w:val="nil"/>
              <w:right w:val="nil"/>
            </w:tcBorders>
            <w:shd w:val="clear" w:color="auto" w:fill="auto"/>
            <w:vAlign w:val="bottom"/>
          </w:tcPr>
          <w:p w14:paraId="165F901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0.984**</w:t>
            </w:r>
            <w:r w:rsidRPr="00992F0C">
              <w:rPr>
                <w:rFonts w:ascii="Times New Roman" w:hAnsi="Times New Roman" w:cs="Times New Roman"/>
                <w:sz w:val="21"/>
                <w:szCs w:val="21"/>
              </w:rPr>
              <w:br/>
              <w:t>(2.120)</w:t>
            </w:r>
          </w:p>
        </w:tc>
        <w:tc>
          <w:tcPr>
            <w:tcW w:w="1740" w:type="dxa"/>
            <w:tcBorders>
              <w:top w:val="nil"/>
              <w:left w:val="nil"/>
              <w:bottom w:val="nil"/>
              <w:right w:val="nil"/>
            </w:tcBorders>
            <w:shd w:val="clear" w:color="auto" w:fill="auto"/>
            <w:vAlign w:val="bottom"/>
          </w:tcPr>
          <w:p w14:paraId="6B26EB49"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4F1D4D2C"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0.015***</w:t>
            </w:r>
            <w:r w:rsidRPr="00992F0C">
              <w:rPr>
                <w:rFonts w:ascii="Times New Roman" w:hAnsi="Times New Roman" w:cs="Times New Roman"/>
                <w:sz w:val="21"/>
                <w:szCs w:val="21"/>
              </w:rPr>
              <w:br/>
              <w:t>(3.160)</w:t>
            </w:r>
          </w:p>
        </w:tc>
        <w:tc>
          <w:tcPr>
            <w:tcW w:w="540" w:type="dxa"/>
            <w:tcBorders>
              <w:top w:val="nil"/>
              <w:left w:val="nil"/>
              <w:bottom w:val="nil"/>
              <w:right w:val="nil"/>
            </w:tcBorders>
            <w:shd w:val="clear" w:color="auto" w:fill="auto"/>
            <w:vAlign w:val="center"/>
          </w:tcPr>
          <w:p w14:paraId="3226825A"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0A6389B8"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0.092</w:t>
            </w:r>
            <w:r w:rsidRPr="00992F0C">
              <w:rPr>
                <w:rFonts w:ascii="Times New Roman" w:hAnsi="Times New Roman" w:cs="Times New Roman"/>
                <w:sz w:val="21"/>
                <w:szCs w:val="21"/>
              </w:rPr>
              <w:br/>
              <w:t>(1.260)</w:t>
            </w:r>
          </w:p>
        </w:tc>
        <w:tc>
          <w:tcPr>
            <w:tcW w:w="1676" w:type="dxa"/>
            <w:tcBorders>
              <w:top w:val="nil"/>
              <w:left w:val="nil"/>
              <w:bottom w:val="nil"/>
              <w:right w:val="nil"/>
            </w:tcBorders>
            <w:shd w:val="clear" w:color="auto" w:fill="auto"/>
            <w:vAlign w:val="bottom"/>
          </w:tcPr>
          <w:p w14:paraId="27A71536"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4FE5896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0.021**</w:t>
            </w:r>
            <w:r w:rsidRPr="00992F0C">
              <w:rPr>
                <w:rFonts w:ascii="Times New Roman" w:hAnsi="Times New Roman" w:cs="Times New Roman"/>
                <w:sz w:val="21"/>
                <w:szCs w:val="21"/>
              </w:rPr>
              <w:br/>
              <w:t>(2.170)</w:t>
            </w:r>
          </w:p>
        </w:tc>
      </w:tr>
      <w:tr w:rsidR="00E44B0C" w14:paraId="1B656A84" w14:textId="77777777" w:rsidTr="00305090">
        <w:trPr>
          <w:gridAfter w:val="1"/>
          <w:wAfter w:w="12" w:type="dxa"/>
          <w:trHeight w:val="432"/>
          <w:jc w:val="center"/>
        </w:trPr>
        <w:tc>
          <w:tcPr>
            <w:tcW w:w="2790" w:type="dxa"/>
            <w:tcBorders>
              <w:top w:val="nil"/>
              <w:left w:val="nil"/>
              <w:bottom w:val="nil"/>
              <w:right w:val="nil"/>
            </w:tcBorders>
            <w:vAlign w:val="center"/>
          </w:tcPr>
          <w:p w14:paraId="7D37DEF7"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GOVI*MEDI</w:t>
            </w:r>
          </w:p>
        </w:tc>
        <w:tc>
          <w:tcPr>
            <w:tcW w:w="1740" w:type="dxa"/>
            <w:tcBorders>
              <w:top w:val="nil"/>
              <w:left w:val="nil"/>
              <w:bottom w:val="nil"/>
              <w:right w:val="nil"/>
            </w:tcBorders>
            <w:shd w:val="clear" w:color="auto" w:fill="auto"/>
            <w:vAlign w:val="bottom"/>
          </w:tcPr>
          <w:p w14:paraId="63719759"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0.318</w:t>
            </w:r>
            <w:r w:rsidRPr="00992F0C">
              <w:rPr>
                <w:rFonts w:ascii="Times New Roman" w:hAnsi="Times New Roman" w:cs="Times New Roman"/>
                <w:sz w:val="21"/>
                <w:szCs w:val="21"/>
              </w:rPr>
              <w:br/>
              <w:t>(1.090)</w:t>
            </w:r>
          </w:p>
        </w:tc>
        <w:tc>
          <w:tcPr>
            <w:tcW w:w="1740" w:type="dxa"/>
            <w:tcBorders>
              <w:top w:val="nil"/>
              <w:left w:val="nil"/>
              <w:bottom w:val="nil"/>
              <w:right w:val="nil"/>
            </w:tcBorders>
            <w:shd w:val="clear" w:color="auto" w:fill="auto"/>
            <w:vAlign w:val="bottom"/>
          </w:tcPr>
          <w:p w14:paraId="17C827A6"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74A5B782"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0.042*</w:t>
            </w:r>
            <w:r w:rsidRPr="00992F0C">
              <w:rPr>
                <w:rFonts w:ascii="Times New Roman" w:hAnsi="Times New Roman" w:cs="Times New Roman"/>
                <w:sz w:val="21"/>
                <w:szCs w:val="21"/>
              </w:rPr>
              <w:br/>
              <w:t>(1.910)</w:t>
            </w:r>
          </w:p>
        </w:tc>
        <w:tc>
          <w:tcPr>
            <w:tcW w:w="540" w:type="dxa"/>
            <w:tcBorders>
              <w:top w:val="nil"/>
              <w:left w:val="nil"/>
              <w:bottom w:val="nil"/>
              <w:right w:val="nil"/>
            </w:tcBorders>
            <w:shd w:val="clear" w:color="auto" w:fill="auto"/>
            <w:vAlign w:val="center"/>
          </w:tcPr>
          <w:p w14:paraId="147DFCE0"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405AE09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0.104**</w:t>
            </w:r>
            <w:r w:rsidRPr="00992F0C">
              <w:rPr>
                <w:rFonts w:ascii="Times New Roman" w:hAnsi="Times New Roman" w:cs="Times New Roman"/>
                <w:sz w:val="21"/>
                <w:szCs w:val="21"/>
              </w:rPr>
              <w:br/>
              <w:t>(2.090)</w:t>
            </w:r>
          </w:p>
        </w:tc>
        <w:tc>
          <w:tcPr>
            <w:tcW w:w="1676" w:type="dxa"/>
            <w:tcBorders>
              <w:top w:val="nil"/>
              <w:left w:val="nil"/>
              <w:bottom w:val="nil"/>
              <w:right w:val="nil"/>
            </w:tcBorders>
            <w:shd w:val="clear" w:color="auto" w:fill="auto"/>
            <w:vAlign w:val="bottom"/>
          </w:tcPr>
          <w:p w14:paraId="7966B1B5"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73BC571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0.008</w:t>
            </w:r>
            <w:r w:rsidRPr="00992F0C">
              <w:rPr>
                <w:rFonts w:ascii="Times New Roman" w:hAnsi="Times New Roman" w:cs="Times New Roman"/>
                <w:sz w:val="21"/>
                <w:szCs w:val="21"/>
              </w:rPr>
              <w:br/>
              <w:t>(0.900)</w:t>
            </w:r>
          </w:p>
        </w:tc>
      </w:tr>
      <w:tr w:rsidR="00E44B0C" w14:paraId="0A77B6CF" w14:textId="77777777" w:rsidTr="00305090">
        <w:trPr>
          <w:gridAfter w:val="1"/>
          <w:wAfter w:w="12" w:type="dxa"/>
          <w:trHeight w:val="432"/>
          <w:jc w:val="center"/>
        </w:trPr>
        <w:tc>
          <w:tcPr>
            <w:tcW w:w="2790" w:type="dxa"/>
            <w:tcBorders>
              <w:top w:val="nil"/>
              <w:left w:val="nil"/>
              <w:bottom w:val="nil"/>
              <w:right w:val="nil"/>
            </w:tcBorders>
            <w:vAlign w:val="center"/>
          </w:tcPr>
          <w:p w14:paraId="1CB4121D"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GOVI*SOCL</w:t>
            </w:r>
          </w:p>
        </w:tc>
        <w:tc>
          <w:tcPr>
            <w:tcW w:w="1740" w:type="dxa"/>
            <w:tcBorders>
              <w:top w:val="nil"/>
              <w:left w:val="nil"/>
              <w:bottom w:val="nil"/>
              <w:right w:val="nil"/>
            </w:tcBorders>
            <w:shd w:val="clear" w:color="auto" w:fill="auto"/>
            <w:vAlign w:val="bottom"/>
          </w:tcPr>
          <w:p w14:paraId="432792F0"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0.705</w:t>
            </w:r>
            <w:r w:rsidRPr="00992F0C">
              <w:rPr>
                <w:rFonts w:ascii="Times New Roman" w:hAnsi="Times New Roman" w:cs="Times New Roman"/>
                <w:sz w:val="21"/>
                <w:szCs w:val="21"/>
              </w:rPr>
              <w:br/>
              <w:t>(1.510)</w:t>
            </w:r>
          </w:p>
        </w:tc>
        <w:tc>
          <w:tcPr>
            <w:tcW w:w="1740" w:type="dxa"/>
            <w:tcBorders>
              <w:top w:val="nil"/>
              <w:left w:val="nil"/>
              <w:bottom w:val="nil"/>
              <w:right w:val="nil"/>
            </w:tcBorders>
            <w:shd w:val="clear" w:color="auto" w:fill="auto"/>
            <w:vAlign w:val="bottom"/>
          </w:tcPr>
          <w:p w14:paraId="603CE810"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1B9F96B7"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0.049***</w:t>
            </w:r>
            <w:r w:rsidRPr="00992F0C">
              <w:rPr>
                <w:rFonts w:ascii="Times New Roman" w:hAnsi="Times New Roman" w:cs="Times New Roman"/>
                <w:sz w:val="21"/>
                <w:szCs w:val="21"/>
              </w:rPr>
              <w:br/>
              <w:t>(3.050)</w:t>
            </w:r>
          </w:p>
        </w:tc>
        <w:tc>
          <w:tcPr>
            <w:tcW w:w="540" w:type="dxa"/>
            <w:tcBorders>
              <w:top w:val="nil"/>
              <w:left w:val="nil"/>
              <w:bottom w:val="nil"/>
              <w:right w:val="nil"/>
            </w:tcBorders>
            <w:shd w:val="clear" w:color="auto" w:fill="auto"/>
            <w:vAlign w:val="center"/>
          </w:tcPr>
          <w:p w14:paraId="5465A958"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5B1E7E0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0.063</w:t>
            </w:r>
            <w:r w:rsidRPr="00992F0C">
              <w:rPr>
                <w:rFonts w:ascii="Times New Roman" w:hAnsi="Times New Roman" w:cs="Times New Roman"/>
                <w:sz w:val="21"/>
                <w:szCs w:val="21"/>
              </w:rPr>
              <w:br/>
              <w:t>(1.210)</w:t>
            </w:r>
          </w:p>
        </w:tc>
        <w:tc>
          <w:tcPr>
            <w:tcW w:w="1676" w:type="dxa"/>
            <w:tcBorders>
              <w:top w:val="nil"/>
              <w:left w:val="nil"/>
              <w:bottom w:val="nil"/>
              <w:right w:val="nil"/>
            </w:tcBorders>
            <w:shd w:val="clear" w:color="auto" w:fill="auto"/>
            <w:vAlign w:val="bottom"/>
          </w:tcPr>
          <w:p w14:paraId="3BD5529E"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01CF583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0.016*</w:t>
            </w:r>
            <w:r w:rsidRPr="00992F0C">
              <w:rPr>
                <w:rFonts w:ascii="Times New Roman" w:hAnsi="Times New Roman" w:cs="Times New Roman"/>
                <w:sz w:val="21"/>
                <w:szCs w:val="21"/>
              </w:rPr>
              <w:br/>
              <w:t>(1.820)</w:t>
            </w:r>
          </w:p>
        </w:tc>
      </w:tr>
      <w:tr w:rsidR="00E44B0C" w14:paraId="328E09F9" w14:textId="77777777" w:rsidTr="00305090">
        <w:trPr>
          <w:gridAfter w:val="1"/>
          <w:wAfter w:w="12" w:type="dxa"/>
          <w:trHeight w:val="432"/>
          <w:jc w:val="center"/>
        </w:trPr>
        <w:tc>
          <w:tcPr>
            <w:tcW w:w="2790" w:type="dxa"/>
            <w:tcBorders>
              <w:top w:val="nil"/>
              <w:left w:val="nil"/>
              <w:bottom w:val="nil"/>
              <w:right w:val="nil"/>
            </w:tcBorders>
            <w:vAlign w:val="center"/>
          </w:tcPr>
          <w:p w14:paraId="2DACD69B"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GOVI*COMP</w:t>
            </w:r>
          </w:p>
        </w:tc>
        <w:tc>
          <w:tcPr>
            <w:tcW w:w="1740" w:type="dxa"/>
            <w:tcBorders>
              <w:top w:val="nil"/>
              <w:left w:val="nil"/>
              <w:bottom w:val="nil"/>
              <w:right w:val="nil"/>
            </w:tcBorders>
            <w:shd w:val="clear" w:color="auto" w:fill="auto"/>
            <w:vAlign w:val="bottom"/>
          </w:tcPr>
          <w:p w14:paraId="5AB1B3A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0.303</w:t>
            </w:r>
            <w:r w:rsidRPr="00992F0C">
              <w:rPr>
                <w:rFonts w:ascii="Times New Roman" w:hAnsi="Times New Roman" w:cs="Times New Roman"/>
                <w:sz w:val="21"/>
                <w:szCs w:val="21"/>
              </w:rPr>
              <w:br/>
              <w:t>(1.180)</w:t>
            </w:r>
          </w:p>
        </w:tc>
        <w:tc>
          <w:tcPr>
            <w:tcW w:w="1740" w:type="dxa"/>
            <w:tcBorders>
              <w:top w:val="nil"/>
              <w:left w:val="nil"/>
              <w:bottom w:val="nil"/>
              <w:right w:val="nil"/>
            </w:tcBorders>
            <w:shd w:val="clear" w:color="auto" w:fill="auto"/>
            <w:vAlign w:val="bottom"/>
          </w:tcPr>
          <w:p w14:paraId="6E458623"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7C37CFEB"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0.241**</w:t>
            </w:r>
            <w:r w:rsidRPr="00992F0C">
              <w:rPr>
                <w:rFonts w:ascii="Times New Roman" w:hAnsi="Times New Roman" w:cs="Times New Roman"/>
                <w:sz w:val="21"/>
                <w:szCs w:val="21"/>
              </w:rPr>
              <w:br/>
              <w:t>(2.550)</w:t>
            </w:r>
          </w:p>
        </w:tc>
        <w:tc>
          <w:tcPr>
            <w:tcW w:w="540" w:type="dxa"/>
            <w:tcBorders>
              <w:top w:val="nil"/>
              <w:left w:val="nil"/>
              <w:bottom w:val="nil"/>
              <w:right w:val="nil"/>
            </w:tcBorders>
            <w:shd w:val="clear" w:color="auto" w:fill="auto"/>
            <w:vAlign w:val="center"/>
          </w:tcPr>
          <w:p w14:paraId="04305719"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4D89FCC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0.113</w:t>
            </w:r>
            <w:r w:rsidRPr="00992F0C">
              <w:rPr>
                <w:rFonts w:ascii="Times New Roman" w:hAnsi="Times New Roman" w:cs="Times New Roman"/>
                <w:sz w:val="21"/>
                <w:szCs w:val="21"/>
              </w:rPr>
              <w:br/>
              <w:t>(1.550)</w:t>
            </w:r>
          </w:p>
        </w:tc>
        <w:tc>
          <w:tcPr>
            <w:tcW w:w="1676" w:type="dxa"/>
            <w:tcBorders>
              <w:top w:val="nil"/>
              <w:left w:val="nil"/>
              <w:bottom w:val="nil"/>
              <w:right w:val="nil"/>
            </w:tcBorders>
            <w:shd w:val="clear" w:color="auto" w:fill="auto"/>
            <w:vAlign w:val="bottom"/>
          </w:tcPr>
          <w:p w14:paraId="41B31597"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0E501DA5"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0.052*</w:t>
            </w:r>
            <w:r w:rsidRPr="00992F0C">
              <w:rPr>
                <w:rFonts w:ascii="Times New Roman" w:hAnsi="Times New Roman" w:cs="Times New Roman"/>
                <w:sz w:val="21"/>
                <w:szCs w:val="21"/>
              </w:rPr>
              <w:br/>
              <w:t>(1.960)</w:t>
            </w:r>
          </w:p>
        </w:tc>
      </w:tr>
      <w:tr w:rsidR="00E44B0C" w14:paraId="70AFA700" w14:textId="77777777" w:rsidTr="00305090">
        <w:trPr>
          <w:gridAfter w:val="1"/>
          <w:wAfter w:w="12" w:type="dxa"/>
          <w:trHeight w:val="432"/>
          <w:jc w:val="center"/>
        </w:trPr>
        <w:tc>
          <w:tcPr>
            <w:tcW w:w="2790" w:type="dxa"/>
            <w:tcBorders>
              <w:top w:val="nil"/>
              <w:left w:val="nil"/>
              <w:bottom w:val="nil"/>
              <w:right w:val="nil"/>
            </w:tcBorders>
            <w:vAlign w:val="center"/>
          </w:tcPr>
          <w:p w14:paraId="0E2176CB"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SIZE</w:t>
            </w:r>
          </w:p>
        </w:tc>
        <w:tc>
          <w:tcPr>
            <w:tcW w:w="1740" w:type="dxa"/>
            <w:tcBorders>
              <w:top w:val="nil"/>
              <w:left w:val="nil"/>
              <w:bottom w:val="nil"/>
              <w:right w:val="nil"/>
            </w:tcBorders>
            <w:shd w:val="clear" w:color="auto" w:fill="auto"/>
            <w:vAlign w:val="bottom"/>
          </w:tcPr>
          <w:p w14:paraId="34D6FB5A"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0.129</w:t>
            </w:r>
            <w:r w:rsidRPr="00992F0C">
              <w:rPr>
                <w:rFonts w:ascii="Times New Roman" w:hAnsi="Times New Roman" w:cs="Times New Roman"/>
                <w:sz w:val="21"/>
                <w:szCs w:val="21"/>
              </w:rPr>
              <w:br/>
              <w:t>(1.070)</w:t>
            </w:r>
          </w:p>
        </w:tc>
        <w:tc>
          <w:tcPr>
            <w:tcW w:w="1740" w:type="dxa"/>
            <w:tcBorders>
              <w:top w:val="nil"/>
              <w:left w:val="nil"/>
              <w:bottom w:val="nil"/>
              <w:right w:val="nil"/>
            </w:tcBorders>
            <w:shd w:val="clear" w:color="auto" w:fill="auto"/>
            <w:vAlign w:val="bottom"/>
          </w:tcPr>
          <w:p w14:paraId="3675689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0.130</w:t>
            </w:r>
            <w:r w:rsidRPr="00992F0C">
              <w:rPr>
                <w:rFonts w:ascii="Times New Roman" w:hAnsi="Times New Roman" w:cs="Times New Roman"/>
                <w:sz w:val="21"/>
                <w:szCs w:val="21"/>
              </w:rPr>
              <w:br/>
              <w:t>(1.080)</w:t>
            </w:r>
          </w:p>
        </w:tc>
        <w:tc>
          <w:tcPr>
            <w:tcW w:w="1740" w:type="dxa"/>
            <w:tcBorders>
              <w:top w:val="nil"/>
              <w:left w:val="nil"/>
              <w:bottom w:val="nil"/>
              <w:right w:val="nil"/>
            </w:tcBorders>
            <w:shd w:val="clear" w:color="auto" w:fill="auto"/>
            <w:vAlign w:val="bottom"/>
          </w:tcPr>
          <w:p w14:paraId="513B1C5C"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0.130</w:t>
            </w:r>
            <w:r w:rsidRPr="00992F0C">
              <w:rPr>
                <w:rFonts w:ascii="Times New Roman" w:hAnsi="Times New Roman" w:cs="Times New Roman"/>
                <w:sz w:val="21"/>
                <w:szCs w:val="21"/>
              </w:rPr>
              <w:br/>
              <w:t>(1.080)</w:t>
            </w:r>
          </w:p>
        </w:tc>
        <w:tc>
          <w:tcPr>
            <w:tcW w:w="540" w:type="dxa"/>
            <w:tcBorders>
              <w:top w:val="nil"/>
              <w:left w:val="nil"/>
              <w:bottom w:val="nil"/>
              <w:right w:val="nil"/>
            </w:tcBorders>
            <w:shd w:val="clear" w:color="auto" w:fill="auto"/>
            <w:vAlign w:val="center"/>
          </w:tcPr>
          <w:p w14:paraId="63BBE0A4"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39A5F102"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-0.351***</w:t>
            </w:r>
            <w:r w:rsidRPr="00992F0C">
              <w:rPr>
                <w:rFonts w:ascii="Times New Roman" w:hAnsi="Times New Roman" w:cs="Times New Roman"/>
                <w:sz w:val="21"/>
                <w:szCs w:val="21"/>
              </w:rPr>
              <w:br/>
              <w:t>(-4.020)</w:t>
            </w:r>
          </w:p>
        </w:tc>
        <w:tc>
          <w:tcPr>
            <w:tcW w:w="1676" w:type="dxa"/>
            <w:tcBorders>
              <w:top w:val="nil"/>
              <w:left w:val="nil"/>
              <w:bottom w:val="nil"/>
              <w:right w:val="nil"/>
            </w:tcBorders>
            <w:shd w:val="clear" w:color="auto" w:fill="auto"/>
            <w:vAlign w:val="bottom"/>
          </w:tcPr>
          <w:p w14:paraId="2E1BB61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0.350***</w:t>
            </w:r>
            <w:r w:rsidRPr="00992F0C">
              <w:rPr>
                <w:rFonts w:ascii="Times New Roman" w:hAnsi="Times New Roman" w:cs="Times New Roman"/>
                <w:sz w:val="21"/>
                <w:szCs w:val="21"/>
              </w:rPr>
              <w:br/>
              <w:t>(-4.120)</w:t>
            </w:r>
          </w:p>
        </w:tc>
        <w:tc>
          <w:tcPr>
            <w:tcW w:w="1676" w:type="dxa"/>
            <w:tcBorders>
              <w:top w:val="nil"/>
              <w:left w:val="nil"/>
              <w:bottom w:val="nil"/>
              <w:right w:val="nil"/>
            </w:tcBorders>
            <w:shd w:val="clear" w:color="auto" w:fill="auto"/>
            <w:vAlign w:val="bottom"/>
          </w:tcPr>
          <w:p w14:paraId="78264EF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-0.348***</w:t>
            </w:r>
            <w:r w:rsidRPr="00992F0C">
              <w:rPr>
                <w:rFonts w:ascii="Times New Roman" w:hAnsi="Times New Roman" w:cs="Times New Roman"/>
                <w:sz w:val="21"/>
                <w:szCs w:val="21"/>
              </w:rPr>
              <w:br/>
              <w:t>(-4.060)</w:t>
            </w:r>
          </w:p>
        </w:tc>
      </w:tr>
      <w:tr w:rsidR="00E44B0C" w14:paraId="564259D1" w14:textId="77777777" w:rsidTr="00305090">
        <w:trPr>
          <w:gridAfter w:val="1"/>
          <w:wAfter w:w="12" w:type="dxa"/>
          <w:trHeight w:val="432"/>
          <w:jc w:val="center"/>
        </w:trPr>
        <w:tc>
          <w:tcPr>
            <w:tcW w:w="2790" w:type="dxa"/>
            <w:tcBorders>
              <w:top w:val="nil"/>
              <w:left w:val="nil"/>
              <w:bottom w:val="nil"/>
              <w:right w:val="nil"/>
            </w:tcBorders>
            <w:vAlign w:val="center"/>
          </w:tcPr>
          <w:p w14:paraId="1DA6AC67"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LEVG</w:t>
            </w:r>
          </w:p>
        </w:tc>
        <w:tc>
          <w:tcPr>
            <w:tcW w:w="1740" w:type="dxa"/>
            <w:tcBorders>
              <w:top w:val="nil"/>
              <w:left w:val="nil"/>
              <w:bottom w:val="nil"/>
              <w:right w:val="nil"/>
            </w:tcBorders>
            <w:shd w:val="clear" w:color="auto" w:fill="auto"/>
            <w:vAlign w:val="bottom"/>
          </w:tcPr>
          <w:p w14:paraId="1E30B992"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0.736*</w:t>
            </w:r>
            <w:r w:rsidRPr="00992F0C">
              <w:rPr>
                <w:rFonts w:ascii="Times New Roman" w:hAnsi="Times New Roman" w:cs="Times New Roman"/>
                <w:sz w:val="21"/>
                <w:szCs w:val="21"/>
              </w:rPr>
              <w:br/>
              <w:t>(1.980)</w:t>
            </w:r>
          </w:p>
        </w:tc>
        <w:tc>
          <w:tcPr>
            <w:tcW w:w="1740" w:type="dxa"/>
            <w:tcBorders>
              <w:top w:val="nil"/>
              <w:left w:val="nil"/>
              <w:bottom w:val="nil"/>
              <w:right w:val="nil"/>
            </w:tcBorders>
            <w:shd w:val="clear" w:color="auto" w:fill="auto"/>
            <w:vAlign w:val="bottom"/>
          </w:tcPr>
          <w:p w14:paraId="4E4BDAD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0.733*</w:t>
            </w:r>
            <w:r w:rsidRPr="00992F0C">
              <w:rPr>
                <w:rFonts w:ascii="Times New Roman" w:hAnsi="Times New Roman" w:cs="Times New Roman"/>
                <w:sz w:val="21"/>
                <w:szCs w:val="21"/>
              </w:rPr>
              <w:br/>
              <w:t>(1.980)</w:t>
            </w:r>
          </w:p>
        </w:tc>
        <w:tc>
          <w:tcPr>
            <w:tcW w:w="1740" w:type="dxa"/>
            <w:tcBorders>
              <w:top w:val="nil"/>
              <w:left w:val="nil"/>
              <w:bottom w:val="nil"/>
              <w:right w:val="nil"/>
            </w:tcBorders>
            <w:shd w:val="clear" w:color="auto" w:fill="auto"/>
            <w:vAlign w:val="bottom"/>
          </w:tcPr>
          <w:p w14:paraId="4F16A0C0"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0.734*</w:t>
            </w:r>
            <w:r w:rsidRPr="00992F0C">
              <w:rPr>
                <w:rFonts w:ascii="Times New Roman" w:hAnsi="Times New Roman" w:cs="Times New Roman"/>
                <w:sz w:val="21"/>
                <w:szCs w:val="21"/>
              </w:rPr>
              <w:br/>
              <w:t>(1.980)</w:t>
            </w:r>
          </w:p>
        </w:tc>
        <w:tc>
          <w:tcPr>
            <w:tcW w:w="540" w:type="dxa"/>
            <w:tcBorders>
              <w:top w:val="nil"/>
              <w:left w:val="nil"/>
              <w:bottom w:val="nil"/>
              <w:right w:val="nil"/>
            </w:tcBorders>
            <w:shd w:val="clear" w:color="auto" w:fill="auto"/>
            <w:vAlign w:val="center"/>
          </w:tcPr>
          <w:p w14:paraId="3221C642"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54BFAA0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0.935</w:t>
            </w:r>
            <w:r w:rsidRPr="00992F0C">
              <w:rPr>
                <w:rFonts w:ascii="Times New Roman" w:hAnsi="Times New Roman" w:cs="Times New Roman"/>
                <w:sz w:val="21"/>
                <w:szCs w:val="21"/>
              </w:rPr>
              <w:br/>
              <w:t>(0.340)</w:t>
            </w:r>
          </w:p>
        </w:tc>
        <w:tc>
          <w:tcPr>
            <w:tcW w:w="1676" w:type="dxa"/>
            <w:tcBorders>
              <w:top w:val="nil"/>
              <w:left w:val="nil"/>
              <w:bottom w:val="nil"/>
              <w:right w:val="nil"/>
            </w:tcBorders>
            <w:shd w:val="clear" w:color="auto" w:fill="auto"/>
            <w:vAlign w:val="bottom"/>
          </w:tcPr>
          <w:p w14:paraId="57EA45B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0.829</w:t>
            </w:r>
            <w:r w:rsidRPr="00992F0C">
              <w:rPr>
                <w:rFonts w:ascii="Times New Roman" w:hAnsi="Times New Roman" w:cs="Times New Roman"/>
                <w:sz w:val="21"/>
                <w:szCs w:val="21"/>
              </w:rPr>
              <w:br/>
              <w:t>(0.300)</w:t>
            </w:r>
          </w:p>
        </w:tc>
        <w:tc>
          <w:tcPr>
            <w:tcW w:w="1676" w:type="dxa"/>
            <w:tcBorders>
              <w:top w:val="nil"/>
              <w:left w:val="nil"/>
              <w:bottom w:val="nil"/>
              <w:right w:val="nil"/>
            </w:tcBorders>
            <w:shd w:val="clear" w:color="auto" w:fill="auto"/>
            <w:vAlign w:val="bottom"/>
          </w:tcPr>
          <w:p w14:paraId="5180D398"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0.806</w:t>
            </w:r>
            <w:r w:rsidRPr="00992F0C">
              <w:rPr>
                <w:rFonts w:ascii="Times New Roman" w:hAnsi="Times New Roman" w:cs="Times New Roman"/>
                <w:sz w:val="21"/>
                <w:szCs w:val="21"/>
              </w:rPr>
              <w:br/>
              <w:t>(0.300)</w:t>
            </w:r>
          </w:p>
        </w:tc>
      </w:tr>
      <w:tr w:rsidR="00E44B0C" w14:paraId="54A5B8AC" w14:textId="77777777" w:rsidTr="00305090">
        <w:trPr>
          <w:gridAfter w:val="1"/>
          <w:wAfter w:w="12" w:type="dxa"/>
          <w:trHeight w:val="432"/>
          <w:jc w:val="center"/>
        </w:trPr>
        <w:tc>
          <w:tcPr>
            <w:tcW w:w="2790" w:type="dxa"/>
            <w:tcBorders>
              <w:top w:val="nil"/>
              <w:left w:val="nil"/>
              <w:bottom w:val="nil"/>
              <w:right w:val="nil"/>
            </w:tcBorders>
            <w:vAlign w:val="center"/>
          </w:tcPr>
          <w:p w14:paraId="4A7C7A78"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GROW</w:t>
            </w:r>
          </w:p>
        </w:tc>
        <w:tc>
          <w:tcPr>
            <w:tcW w:w="1740" w:type="dxa"/>
            <w:tcBorders>
              <w:top w:val="nil"/>
              <w:left w:val="nil"/>
              <w:bottom w:val="nil"/>
              <w:right w:val="nil"/>
            </w:tcBorders>
            <w:shd w:val="clear" w:color="auto" w:fill="auto"/>
            <w:vAlign w:val="bottom"/>
          </w:tcPr>
          <w:p w14:paraId="24733BBE"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0.000</w:t>
            </w:r>
            <w:r w:rsidRPr="00992F0C">
              <w:rPr>
                <w:rFonts w:ascii="Times New Roman" w:hAnsi="Times New Roman" w:cs="Times New Roman"/>
                <w:sz w:val="21"/>
                <w:szCs w:val="21"/>
              </w:rPr>
              <w:br/>
              <w:t>(1.500)</w:t>
            </w:r>
          </w:p>
        </w:tc>
        <w:tc>
          <w:tcPr>
            <w:tcW w:w="1740" w:type="dxa"/>
            <w:tcBorders>
              <w:top w:val="nil"/>
              <w:left w:val="nil"/>
              <w:bottom w:val="nil"/>
              <w:right w:val="nil"/>
            </w:tcBorders>
            <w:shd w:val="clear" w:color="auto" w:fill="auto"/>
            <w:vAlign w:val="bottom"/>
          </w:tcPr>
          <w:p w14:paraId="73C79BF2"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0.000</w:t>
            </w:r>
            <w:r w:rsidRPr="00992F0C">
              <w:rPr>
                <w:rFonts w:ascii="Times New Roman" w:hAnsi="Times New Roman" w:cs="Times New Roman"/>
                <w:sz w:val="21"/>
                <w:szCs w:val="21"/>
              </w:rPr>
              <w:br/>
              <w:t>(1.450)</w:t>
            </w:r>
          </w:p>
        </w:tc>
        <w:tc>
          <w:tcPr>
            <w:tcW w:w="1740" w:type="dxa"/>
            <w:tcBorders>
              <w:top w:val="nil"/>
              <w:left w:val="nil"/>
              <w:bottom w:val="nil"/>
              <w:right w:val="nil"/>
            </w:tcBorders>
            <w:shd w:val="clear" w:color="auto" w:fill="auto"/>
            <w:vAlign w:val="bottom"/>
          </w:tcPr>
          <w:p w14:paraId="4BB68E65"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0.000</w:t>
            </w:r>
            <w:r w:rsidRPr="00992F0C">
              <w:rPr>
                <w:rFonts w:ascii="Times New Roman" w:hAnsi="Times New Roman" w:cs="Times New Roman"/>
                <w:sz w:val="21"/>
                <w:szCs w:val="21"/>
              </w:rPr>
              <w:br/>
              <w:t>(1.480)</w:t>
            </w:r>
          </w:p>
        </w:tc>
        <w:tc>
          <w:tcPr>
            <w:tcW w:w="540" w:type="dxa"/>
            <w:tcBorders>
              <w:top w:val="nil"/>
              <w:left w:val="nil"/>
              <w:bottom w:val="nil"/>
              <w:right w:val="nil"/>
            </w:tcBorders>
            <w:shd w:val="clear" w:color="auto" w:fill="auto"/>
            <w:vAlign w:val="center"/>
          </w:tcPr>
          <w:p w14:paraId="35819FB8"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48D92651"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0.000</w:t>
            </w:r>
            <w:r w:rsidRPr="00992F0C">
              <w:rPr>
                <w:rFonts w:ascii="Times New Roman" w:hAnsi="Times New Roman" w:cs="Times New Roman"/>
                <w:sz w:val="21"/>
                <w:szCs w:val="21"/>
              </w:rPr>
              <w:br/>
              <w:t>(0.780)</w:t>
            </w:r>
          </w:p>
        </w:tc>
        <w:tc>
          <w:tcPr>
            <w:tcW w:w="1676" w:type="dxa"/>
            <w:tcBorders>
              <w:top w:val="nil"/>
              <w:left w:val="nil"/>
              <w:bottom w:val="nil"/>
              <w:right w:val="nil"/>
            </w:tcBorders>
            <w:shd w:val="clear" w:color="auto" w:fill="auto"/>
            <w:vAlign w:val="bottom"/>
          </w:tcPr>
          <w:p w14:paraId="4D9FCE69"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0.000</w:t>
            </w:r>
            <w:r w:rsidRPr="00992F0C">
              <w:rPr>
                <w:rFonts w:ascii="Times New Roman" w:hAnsi="Times New Roman" w:cs="Times New Roman"/>
                <w:sz w:val="21"/>
                <w:szCs w:val="21"/>
              </w:rPr>
              <w:br/>
              <w:t>(0.610)</w:t>
            </w:r>
          </w:p>
        </w:tc>
        <w:tc>
          <w:tcPr>
            <w:tcW w:w="1676" w:type="dxa"/>
            <w:tcBorders>
              <w:top w:val="nil"/>
              <w:left w:val="nil"/>
              <w:bottom w:val="nil"/>
              <w:right w:val="nil"/>
            </w:tcBorders>
            <w:shd w:val="clear" w:color="auto" w:fill="auto"/>
            <w:vAlign w:val="bottom"/>
          </w:tcPr>
          <w:p w14:paraId="06BE7BF2"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0.000</w:t>
            </w:r>
            <w:r w:rsidRPr="00992F0C">
              <w:rPr>
                <w:rFonts w:ascii="Times New Roman" w:hAnsi="Times New Roman" w:cs="Times New Roman"/>
                <w:sz w:val="21"/>
                <w:szCs w:val="21"/>
              </w:rPr>
              <w:br/>
              <w:t>(0.650)</w:t>
            </w:r>
          </w:p>
        </w:tc>
      </w:tr>
      <w:tr w:rsidR="00E44B0C" w14:paraId="3BAE7788" w14:textId="77777777" w:rsidTr="00305090">
        <w:trPr>
          <w:gridAfter w:val="1"/>
          <w:wAfter w:w="12" w:type="dxa"/>
          <w:trHeight w:val="432"/>
          <w:jc w:val="center"/>
        </w:trPr>
        <w:tc>
          <w:tcPr>
            <w:tcW w:w="2790" w:type="dxa"/>
            <w:tcBorders>
              <w:top w:val="nil"/>
              <w:left w:val="nil"/>
              <w:bottom w:val="nil"/>
              <w:right w:val="nil"/>
            </w:tcBorders>
            <w:vAlign w:val="center"/>
          </w:tcPr>
          <w:p w14:paraId="74AA7C71"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LGPC</w:t>
            </w:r>
          </w:p>
        </w:tc>
        <w:tc>
          <w:tcPr>
            <w:tcW w:w="1740" w:type="dxa"/>
            <w:tcBorders>
              <w:top w:val="nil"/>
              <w:left w:val="nil"/>
              <w:bottom w:val="nil"/>
              <w:right w:val="nil"/>
            </w:tcBorders>
            <w:shd w:val="clear" w:color="auto" w:fill="auto"/>
            <w:vAlign w:val="bottom"/>
          </w:tcPr>
          <w:p w14:paraId="4B74F2B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-0.904**</w:t>
            </w:r>
            <w:r w:rsidRPr="00992F0C">
              <w:rPr>
                <w:rFonts w:ascii="Times New Roman" w:hAnsi="Times New Roman" w:cs="Times New Roman"/>
                <w:sz w:val="21"/>
                <w:szCs w:val="21"/>
              </w:rPr>
              <w:br/>
              <w:t>(-2.580)</w:t>
            </w:r>
          </w:p>
        </w:tc>
        <w:tc>
          <w:tcPr>
            <w:tcW w:w="1740" w:type="dxa"/>
            <w:tcBorders>
              <w:top w:val="nil"/>
              <w:left w:val="nil"/>
              <w:bottom w:val="nil"/>
              <w:right w:val="nil"/>
            </w:tcBorders>
            <w:shd w:val="clear" w:color="auto" w:fill="auto"/>
            <w:vAlign w:val="bottom"/>
          </w:tcPr>
          <w:p w14:paraId="60900D1A"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-0.990***</w:t>
            </w:r>
            <w:r w:rsidRPr="00992F0C">
              <w:rPr>
                <w:rFonts w:ascii="Times New Roman" w:hAnsi="Times New Roman" w:cs="Times New Roman"/>
                <w:sz w:val="21"/>
                <w:szCs w:val="21"/>
              </w:rPr>
              <w:br/>
              <w:t>(-2.820)</w:t>
            </w:r>
          </w:p>
        </w:tc>
        <w:tc>
          <w:tcPr>
            <w:tcW w:w="1740" w:type="dxa"/>
            <w:tcBorders>
              <w:top w:val="nil"/>
              <w:left w:val="nil"/>
              <w:bottom w:val="nil"/>
              <w:right w:val="nil"/>
            </w:tcBorders>
            <w:shd w:val="clear" w:color="auto" w:fill="auto"/>
            <w:vAlign w:val="bottom"/>
          </w:tcPr>
          <w:p w14:paraId="1153883F"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-0.938***</w:t>
            </w:r>
            <w:r w:rsidRPr="00992F0C">
              <w:rPr>
                <w:rFonts w:ascii="Times New Roman" w:hAnsi="Times New Roman" w:cs="Times New Roman"/>
                <w:sz w:val="21"/>
                <w:szCs w:val="21"/>
              </w:rPr>
              <w:br/>
              <w:t>(-3.310)</w:t>
            </w:r>
          </w:p>
        </w:tc>
        <w:tc>
          <w:tcPr>
            <w:tcW w:w="540" w:type="dxa"/>
            <w:tcBorders>
              <w:top w:val="nil"/>
              <w:left w:val="nil"/>
              <w:bottom w:val="nil"/>
              <w:right w:val="nil"/>
            </w:tcBorders>
            <w:shd w:val="clear" w:color="auto" w:fill="auto"/>
            <w:vAlign w:val="center"/>
          </w:tcPr>
          <w:p w14:paraId="4C9E9EA5"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7C38FDE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-0.914*</w:t>
            </w:r>
            <w:r w:rsidRPr="00992F0C">
              <w:rPr>
                <w:rFonts w:ascii="Times New Roman" w:hAnsi="Times New Roman" w:cs="Times New Roman"/>
                <w:sz w:val="21"/>
                <w:szCs w:val="21"/>
              </w:rPr>
              <w:br/>
              <w:t>(-1.780)</w:t>
            </w:r>
          </w:p>
        </w:tc>
        <w:tc>
          <w:tcPr>
            <w:tcW w:w="1676" w:type="dxa"/>
            <w:tcBorders>
              <w:top w:val="nil"/>
              <w:left w:val="nil"/>
              <w:bottom w:val="nil"/>
              <w:right w:val="nil"/>
            </w:tcBorders>
            <w:shd w:val="clear" w:color="auto" w:fill="auto"/>
            <w:vAlign w:val="bottom"/>
          </w:tcPr>
          <w:p w14:paraId="31715837"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-0.946</w:t>
            </w:r>
            <w:r w:rsidRPr="00992F0C">
              <w:rPr>
                <w:rFonts w:ascii="Times New Roman" w:hAnsi="Times New Roman" w:cs="Times New Roman"/>
                <w:sz w:val="21"/>
                <w:szCs w:val="21"/>
              </w:rPr>
              <w:br/>
              <w:t>(-1.530)</w:t>
            </w:r>
          </w:p>
        </w:tc>
        <w:tc>
          <w:tcPr>
            <w:tcW w:w="1676" w:type="dxa"/>
            <w:tcBorders>
              <w:top w:val="nil"/>
              <w:left w:val="nil"/>
              <w:bottom w:val="nil"/>
              <w:right w:val="nil"/>
            </w:tcBorders>
            <w:shd w:val="clear" w:color="auto" w:fill="auto"/>
            <w:vAlign w:val="bottom"/>
          </w:tcPr>
          <w:p w14:paraId="645212F7"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-0.987*</w:t>
            </w:r>
            <w:r w:rsidRPr="00992F0C">
              <w:rPr>
                <w:rFonts w:ascii="Times New Roman" w:hAnsi="Times New Roman" w:cs="Times New Roman"/>
                <w:sz w:val="21"/>
                <w:szCs w:val="21"/>
              </w:rPr>
              <w:br/>
              <w:t>(-1.890)</w:t>
            </w:r>
          </w:p>
        </w:tc>
      </w:tr>
      <w:tr w:rsidR="00E44B0C" w14:paraId="5BB9086E" w14:textId="77777777" w:rsidTr="00305090">
        <w:trPr>
          <w:gridAfter w:val="1"/>
          <w:wAfter w:w="12" w:type="dxa"/>
          <w:trHeight w:val="288"/>
          <w:jc w:val="center"/>
        </w:trPr>
        <w:tc>
          <w:tcPr>
            <w:tcW w:w="2790" w:type="dxa"/>
            <w:tcBorders>
              <w:top w:val="nil"/>
              <w:left w:val="nil"/>
              <w:bottom w:val="nil"/>
              <w:right w:val="nil"/>
            </w:tcBorders>
            <w:vAlign w:val="center"/>
          </w:tcPr>
          <w:p w14:paraId="2F2C622A"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Adjusted R-squared</w:t>
            </w:r>
          </w:p>
        </w:tc>
        <w:tc>
          <w:tcPr>
            <w:tcW w:w="1740" w:type="dxa"/>
            <w:tcBorders>
              <w:top w:val="nil"/>
              <w:left w:val="nil"/>
              <w:bottom w:val="nil"/>
              <w:right w:val="nil"/>
            </w:tcBorders>
            <w:shd w:val="clear" w:color="auto" w:fill="auto"/>
            <w:vAlign w:val="bottom"/>
          </w:tcPr>
          <w:p w14:paraId="54BEC338"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0.150</w:t>
            </w:r>
          </w:p>
        </w:tc>
        <w:tc>
          <w:tcPr>
            <w:tcW w:w="1740" w:type="dxa"/>
            <w:tcBorders>
              <w:top w:val="nil"/>
              <w:left w:val="nil"/>
              <w:bottom w:val="nil"/>
              <w:right w:val="nil"/>
            </w:tcBorders>
            <w:shd w:val="clear" w:color="auto" w:fill="auto"/>
            <w:vAlign w:val="bottom"/>
          </w:tcPr>
          <w:p w14:paraId="35540CA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0.148</w:t>
            </w:r>
          </w:p>
        </w:tc>
        <w:tc>
          <w:tcPr>
            <w:tcW w:w="1740" w:type="dxa"/>
            <w:tcBorders>
              <w:top w:val="nil"/>
              <w:left w:val="nil"/>
              <w:bottom w:val="nil"/>
              <w:right w:val="nil"/>
            </w:tcBorders>
            <w:shd w:val="clear" w:color="auto" w:fill="auto"/>
            <w:vAlign w:val="bottom"/>
          </w:tcPr>
          <w:p w14:paraId="7475CC7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0.149</w:t>
            </w:r>
          </w:p>
        </w:tc>
        <w:tc>
          <w:tcPr>
            <w:tcW w:w="540" w:type="dxa"/>
            <w:tcBorders>
              <w:top w:val="nil"/>
              <w:left w:val="nil"/>
              <w:bottom w:val="nil"/>
              <w:right w:val="nil"/>
            </w:tcBorders>
            <w:shd w:val="clear" w:color="auto" w:fill="auto"/>
            <w:vAlign w:val="bottom"/>
          </w:tcPr>
          <w:p w14:paraId="6632BA3D"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431FA67A"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0.124</w:t>
            </w:r>
          </w:p>
        </w:tc>
        <w:tc>
          <w:tcPr>
            <w:tcW w:w="1676" w:type="dxa"/>
            <w:tcBorders>
              <w:top w:val="nil"/>
              <w:left w:val="nil"/>
              <w:bottom w:val="nil"/>
              <w:right w:val="nil"/>
            </w:tcBorders>
            <w:shd w:val="clear" w:color="auto" w:fill="auto"/>
            <w:vAlign w:val="bottom"/>
          </w:tcPr>
          <w:p w14:paraId="30427AE0"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0.102</w:t>
            </w:r>
          </w:p>
        </w:tc>
        <w:tc>
          <w:tcPr>
            <w:tcW w:w="1676" w:type="dxa"/>
            <w:tcBorders>
              <w:top w:val="nil"/>
              <w:left w:val="nil"/>
              <w:bottom w:val="nil"/>
              <w:right w:val="nil"/>
            </w:tcBorders>
            <w:shd w:val="clear" w:color="auto" w:fill="auto"/>
            <w:vAlign w:val="bottom"/>
          </w:tcPr>
          <w:p w14:paraId="0170B414"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0.113</w:t>
            </w:r>
          </w:p>
        </w:tc>
      </w:tr>
      <w:tr w:rsidR="00E44B0C" w14:paraId="58F73187" w14:textId="77777777" w:rsidTr="00305090">
        <w:trPr>
          <w:gridAfter w:val="1"/>
          <w:wAfter w:w="12" w:type="dxa"/>
          <w:trHeight w:val="288"/>
          <w:jc w:val="center"/>
        </w:trPr>
        <w:tc>
          <w:tcPr>
            <w:tcW w:w="2790" w:type="dxa"/>
            <w:tcBorders>
              <w:top w:val="nil"/>
              <w:left w:val="nil"/>
              <w:bottom w:val="nil"/>
              <w:right w:val="nil"/>
            </w:tcBorders>
            <w:vAlign w:val="center"/>
          </w:tcPr>
          <w:p w14:paraId="64854165"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AIC score</w:t>
            </w:r>
          </w:p>
        </w:tc>
        <w:tc>
          <w:tcPr>
            <w:tcW w:w="1740" w:type="dxa"/>
            <w:tcBorders>
              <w:top w:val="nil"/>
              <w:left w:val="nil"/>
              <w:bottom w:val="nil"/>
              <w:right w:val="nil"/>
            </w:tcBorders>
            <w:shd w:val="clear" w:color="auto" w:fill="auto"/>
            <w:vAlign w:val="center"/>
          </w:tcPr>
          <w:p w14:paraId="672AB866"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172,380</w:t>
            </w:r>
          </w:p>
        </w:tc>
        <w:tc>
          <w:tcPr>
            <w:tcW w:w="1740" w:type="dxa"/>
            <w:tcBorders>
              <w:top w:val="nil"/>
              <w:left w:val="nil"/>
              <w:bottom w:val="nil"/>
              <w:right w:val="nil"/>
            </w:tcBorders>
            <w:shd w:val="clear" w:color="auto" w:fill="auto"/>
            <w:vAlign w:val="center"/>
          </w:tcPr>
          <w:p w14:paraId="6CF112CB"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172,377</w:t>
            </w:r>
          </w:p>
        </w:tc>
        <w:tc>
          <w:tcPr>
            <w:tcW w:w="1740" w:type="dxa"/>
            <w:tcBorders>
              <w:top w:val="nil"/>
              <w:left w:val="nil"/>
              <w:bottom w:val="nil"/>
              <w:right w:val="nil"/>
            </w:tcBorders>
            <w:shd w:val="clear" w:color="auto" w:fill="auto"/>
            <w:vAlign w:val="center"/>
          </w:tcPr>
          <w:p w14:paraId="776AEB9B"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172,375</w:t>
            </w:r>
          </w:p>
        </w:tc>
        <w:tc>
          <w:tcPr>
            <w:tcW w:w="540" w:type="dxa"/>
            <w:tcBorders>
              <w:top w:val="nil"/>
              <w:left w:val="nil"/>
              <w:bottom w:val="nil"/>
              <w:right w:val="nil"/>
            </w:tcBorders>
            <w:shd w:val="clear" w:color="auto" w:fill="auto"/>
            <w:vAlign w:val="center"/>
          </w:tcPr>
          <w:p w14:paraId="5BDD8EDF"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5DBEDAB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121,036</w:t>
            </w:r>
          </w:p>
        </w:tc>
        <w:tc>
          <w:tcPr>
            <w:tcW w:w="1676" w:type="dxa"/>
            <w:tcBorders>
              <w:top w:val="nil"/>
              <w:left w:val="nil"/>
              <w:bottom w:val="nil"/>
              <w:right w:val="nil"/>
            </w:tcBorders>
            <w:shd w:val="clear" w:color="auto" w:fill="auto"/>
            <w:vAlign w:val="center"/>
          </w:tcPr>
          <w:p w14:paraId="7DD8EF1F"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121,049</w:t>
            </w:r>
          </w:p>
        </w:tc>
        <w:tc>
          <w:tcPr>
            <w:tcW w:w="1676" w:type="dxa"/>
            <w:tcBorders>
              <w:top w:val="nil"/>
              <w:left w:val="nil"/>
              <w:bottom w:val="nil"/>
              <w:right w:val="nil"/>
            </w:tcBorders>
            <w:shd w:val="clear" w:color="auto" w:fill="auto"/>
            <w:vAlign w:val="center"/>
          </w:tcPr>
          <w:p w14:paraId="065A804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121,027</w:t>
            </w:r>
          </w:p>
        </w:tc>
      </w:tr>
      <w:tr w:rsidR="00E44B0C" w14:paraId="6EBE07A6" w14:textId="77777777" w:rsidTr="00305090">
        <w:trPr>
          <w:gridAfter w:val="1"/>
          <w:wAfter w:w="12" w:type="dxa"/>
          <w:trHeight w:val="288"/>
          <w:jc w:val="center"/>
        </w:trPr>
        <w:tc>
          <w:tcPr>
            <w:tcW w:w="2790" w:type="dxa"/>
            <w:tcBorders>
              <w:top w:val="nil"/>
              <w:left w:val="nil"/>
              <w:bottom w:val="nil"/>
              <w:right w:val="nil"/>
            </w:tcBorders>
            <w:vAlign w:val="center"/>
          </w:tcPr>
          <w:p w14:paraId="1E33E1CF"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 xml:space="preserve">Likelihood-ratio test </w:t>
            </w:r>
          </w:p>
        </w:tc>
        <w:tc>
          <w:tcPr>
            <w:tcW w:w="1740" w:type="dxa"/>
            <w:tcBorders>
              <w:top w:val="nil"/>
              <w:left w:val="nil"/>
              <w:bottom w:val="nil"/>
              <w:right w:val="nil"/>
            </w:tcBorders>
            <w:shd w:val="clear" w:color="auto" w:fill="auto"/>
            <w:vAlign w:val="center"/>
          </w:tcPr>
          <w:p w14:paraId="476A8CE7"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center"/>
          </w:tcPr>
          <w:p w14:paraId="5DAC576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3.330</w:t>
            </w:r>
          </w:p>
        </w:tc>
        <w:tc>
          <w:tcPr>
            <w:tcW w:w="1740" w:type="dxa"/>
            <w:tcBorders>
              <w:top w:val="nil"/>
              <w:left w:val="nil"/>
              <w:bottom w:val="nil"/>
              <w:right w:val="nil"/>
            </w:tcBorders>
            <w:shd w:val="clear" w:color="auto" w:fill="auto"/>
            <w:vAlign w:val="center"/>
          </w:tcPr>
          <w:p w14:paraId="37A2E4D0"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1.470</w:t>
            </w:r>
          </w:p>
        </w:tc>
        <w:tc>
          <w:tcPr>
            <w:tcW w:w="540" w:type="dxa"/>
            <w:tcBorders>
              <w:top w:val="nil"/>
              <w:left w:val="nil"/>
              <w:bottom w:val="nil"/>
              <w:right w:val="nil"/>
            </w:tcBorders>
            <w:shd w:val="clear" w:color="auto" w:fill="auto"/>
            <w:vAlign w:val="center"/>
          </w:tcPr>
          <w:p w14:paraId="7F30CED5"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0E7BC854"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3DC0F73D"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2.280</w:t>
            </w:r>
          </w:p>
        </w:tc>
        <w:tc>
          <w:tcPr>
            <w:tcW w:w="1676" w:type="dxa"/>
            <w:tcBorders>
              <w:top w:val="nil"/>
              <w:left w:val="nil"/>
              <w:bottom w:val="nil"/>
              <w:right w:val="nil"/>
            </w:tcBorders>
            <w:shd w:val="clear" w:color="auto" w:fill="auto"/>
            <w:vAlign w:val="center"/>
          </w:tcPr>
          <w:p w14:paraId="2ED9A5E5"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1.560</w:t>
            </w:r>
          </w:p>
        </w:tc>
      </w:tr>
      <w:tr w:rsidR="00E44B0C" w14:paraId="2725B47D" w14:textId="77777777" w:rsidTr="00305090">
        <w:trPr>
          <w:gridAfter w:val="1"/>
          <w:wAfter w:w="12" w:type="dxa"/>
          <w:trHeight w:val="288"/>
          <w:jc w:val="center"/>
        </w:trPr>
        <w:tc>
          <w:tcPr>
            <w:tcW w:w="2790" w:type="dxa"/>
            <w:tcBorders>
              <w:top w:val="nil"/>
              <w:left w:val="nil"/>
              <w:bottom w:val="nil"/>
              <w:right w:val="nil"/>
            </w:tcBorders>
            <w:vAlign w:val="center"/>
          </w:tcPr>
          <w:p w14:paraId="0B3853C2" w14:textId="77777777" w:rsidR="00E44B0C" w:rsidRPr="00992F0C" w:rsidRDefault="00E44B0C" w:rsidP="008A71E8">
            <w:pPr>
              <w:tabs>
                <w:tab w:val="left" w:pos="426"/>
              </w:tabs>
              <w:rPr>
                <w:rFonts w:ascii="Times New Roman" w:hAnsi="Times New Roman" w:cs="Times New Roman"/>
                <w:sz w:val="21"/>
                <w:szCs w:val="21"/>
              </w:rPr>
            </w:pPr>
            <w:r w:rsidRPr="00992F0C">
              <w:rPr>
                <w:rFonts w:ascii="Times New Roman" w:hAnsi="Times New Roman" w:cs="Times New Roman"/>
                <w:sz w:val="21"/>
                <w:szCs w:val="21"/>
              </w:rPr>
              <w:t>Davidson-MacKinnon J test</w:t>
            </w:r>
          </w:p>
        </w:tc>
        <w:tc>
          <w:tcPr>
            <w:tcW w:w="1740" w:type="dxa"/>
            <w:tcBorders>
              <w:top w:val="nil"/>
              <w:left w:val="nil"/>
              <w:bottom w:val="nil"/>
              <w:right w:val="nil"/>
            </w:tcBorders>
            <w:shd w:val="clear" w:color="auto" w:fill="auto"/>
            <w:vAlign w:val="center"/>
          </w:tcPr>
          <w:p w14:paraId="0AF1F50C"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center"/>
          </w:tcPr>
          <w:p w14:paraId="7F529057"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center"/>
          </w:tcPr>
          <w:p w14:paraId="1D7868A5" w14:textId="77777777" w:rsidR="00E44B0C" w:rsidRPr="00992F0C" w:rsidRDefault="00E44B0C" w:rsidP="008A71E8">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center"/>
          </w:tcPr>
          <w:p w14:paraId="2F535257"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2A8AA9A0"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249A26AF"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48CACCF5" w14:textId="77777777" w:rsidR="00E44B0C" w:rsidRPr="00992F0C" w:rsidRDefault="00E44B0C" w:rsidP="008A71E8">
            <w:pPr>
              <w:tabs>
                <w:tab w:val="left" w:pos="426"/>
              </w:tabs>
              <w:jc w:val="center"/>
              <w:rPr>
                <w:rFonts w:ascii="Times New Roman" w:hAnsi="Times New Roman" w:cs="Times New Roman"/>
                <w:sz w:val="21"/>
                <w:szCs w:val="21"/>
              </w:rPr>
            </w:pPr>
          </w:p>
        </w:tc>
      </w:tr>
      <w:tr w:rsidR="00E44B0C" w14:paraId="0EB5B9A4" w14:textId="77777777" w:rsidTr="00305090">
        <w:trPr>
          <w:gridAfter w:val="1"/>
          <w:wAfter w:w="12" w:type="dxa"/>
          <w:trHeight w:val="288"/>
          <w:jc w:val="center"/>
        </w:trPr>
        <w:tc>
          <w:tcPr>
            <w:tcW w:w="2790" w:type="dxa"/>
            <w:tcBorders>
              <w:top w:val="nil"/>
              <w:left w:val="nil"/>
              <w:bottom w:val="nil"/>
              <w:right w:val="nil"/>
            </w:tcBorders>
            <w:vAlign w:val="center"/>
          </w:tcPr>
          <w:p w14:paraId="6C89DEF2" w14:textId="77777777" w:rsidR="00E44B0C" w:rsidRPr="00992F0C" w:rsidRDefault="00E44B0C" w:rsidP="008A71E8">
            <w:pPr>
              <w:tabs>
                <w:tab w:val="left" w:pos="426"/>
              </w:tabs>
              <w:rPr>
                <w:rFonts w:ascii="Times New Roman" w:hAnsi="Times New Roman" w:cs="Times New Roman"/>
                <w:i/>
                <w:iCs/>
                <w:sz w:val="21"/>
                <w:szCs w:val="21"/>
              </w:rPr>
            </w:pPr>
            <w:r w:rsidRPr="00992F0C">
              <w:rPr>
                <w:rFonts w:ascii="Times New Roman" w:hAnsi="Times New Roman" w:cs="Times New Roman"/>
                <w:i/>
                <w:iCs/>
                <w:sz w:val="21"/>
                <w:szCs w:val="21"/>
              </w:rPr>
              <w:t xml:space="preserve">      H</w:t>
            </w:r>
            <w:r w:rsidRPr="00992F0C">
              <w:rPr>
                <w:rFonts w:ascii="Times New Roman" w:hAnsi="Times New Roman" w:cs="Times New Roman"/>
                <w:i/>
                <w:iCs/>
                <w:sz w:val="21"/>
                <w:szCs w:val="21"/>
                <w:vertAlign w:val="subscript"/>
              </w:rPr>
              <w:t>A</w:t>
            </w:r>
            <w:r w:rsidRPr="00992F0C">
              <w:rPr>
                <w:rFonts w:ascii="Times New Roman" w:hAnsi="Times New Roman" w:cs="Times New Roman"/>
                <w:i/>
                <w:iCs/>
                <w:sz w:val="21"/>
                <w:szCs w:val="21"/>
              </w:rPr>
              <w:t>: Independent</w:t>
            </w:r>
          </w:p>
        </w:tc>
        <w:tc>
          <w:tcPr>
            <w:tcW w:w="1740" w:type="dxa"/>
            <w:tcBorders>
              <w:top w:val="nil"/>
              <w:left w:val="nil"/>
              <w:bottom w:val="nil"/>
              <w:right w:val="nil"/>
            </w:tcBorders>
            <w:shd w:val="clear" w:color="auto" w:fill="auto"/>
            <w:vAlign w:val="center"/>
          </w:tcPr>
          <w:p w14:paraId="003AEB52" w14:textId="77777777" w:rsidR="00E44B0C" w:rsidRPr="00992F0C" w:rsidRDefault="00E44B0C" w:rsidP="008A71E8">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center"/>
          </w:tcPr>
          <w:p w14:paraId="6F625093"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1.310</w:t>
            </w:r>
          </w:p>
        </w:tc>
        <w:tc>
          <w:tcPr>
            <w:tcW w:w="1740" w:type="dxa"/>
            <w:tcBorders>
              <w:top w:val="nil"/>
              <w:left w:val="nil"/>
              <w:bottom w:val="nil"/>
              <w:right w:val="nil"/>
            </w:tcBorders>
            <w:shd w:val="clear" w:color="auto" w:fill="auto"/>
            <w:vAlign w:val="center"/>
          </w:tcPr>
          <w:p w14:paraId="29BA028E"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1.210</w:t>
            </w:r>
          </w:p>
        </w:tc>
        <w:tc>
          <w:tcPr>
            <w:tcW w:w="540" w:type="dxa"/>
            <w:tcBorders>
              <w:top w:val="nil"/>
              <w:left w:val="nil"/>
              <w:bottom w:val="nil"/>
              <w:right w:val="nil"/>
            </w:tcBorders>
            <w:shd w:val="clear" w:color="auto" w:fill="auto"/>
            <w:vAlign w:val="center"/>
          </w:tcPr>
          <w:p w14:paraId="6000B9B5"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16E13078" w14:textId="77777777" w:rsidR="00E44B0C" w:rsidRPr="00992F0C" w:rsidRDefault="00E44B0C" w:rsidP="008A71E8">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580D2BA8" w14:textId="77777777" w:rsidR="00E44B0C" w:rsidRPr="00992F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1.040</w:t>
            </w:r>
          </w:p>
        </w:tc>
        <w:tc>
          <w:tcPr>
            <w:tcW w:w="1676" w:type="dxa"/>
            <w:tcBorders>
              <w:top w:val="nil"/>
              <w:left w:val="nil"/>
              <w:bottom w:val="nil"/>
              <w:right w:val="nil"/>
            </w:tcBorders>
            <w:shd w:val="clear" w:color="auto" w:fill="auto"/>
            <w:vAlign w:val="center"/>
          </w:tcPr>
          <w:p w14:paraId="452BFC69" w14:textId="77777777" w:rsidR="00E44B0C" w:rsidRDefault="00E44B0C" w:rsidP="008A71E8">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1.110</w:t>
            </w:r>
          </w:p>
          <w:p w14:paraId="0C50B17D" w14:textId="551296B2" w:rsidR="00646676" w:rsidRPr="00992F0C" w:rsidRDefault="00646676" w:rsidP="008A71E8">
            <w:pPr>
              <w:tabs>
                <w:tab w:val="left" w:pos="426"/>
              </w:tabs>
              <w:jc w:val="center"/>
              <w:rPr>
                <w:rFonts w:ascii="Times New Roman" w:hAnsi="Times New Roman" w:cs="Times New Roman"/>
                <w:sz w:val="21"/>
                <w:szCs w:val="21"/>
              </w:rPr>
            </w:pPr>
          </w:p>
        </w:tc>
      </w:tr>
      <w:tr w:rsidR="00872780" w14:paraId="0D7CB0BE" w14:textId="77777777" w:rsidTr="00305090">
        <w:trPr>
          <w:gridAfter w:val="1"/>
          <w:wAfter w:w="12" w:type="dxa"/>
          <w:trHeight w:val="288"/>
          <w:jc w:val="center"/>
        </w:trPr>
        <w:tc>
          <w:tcPr>
            <w:tcW w:w="2790" w:type="dxa"/>
            <w:tcBorders>
              <w:top w:val="nil"/>
              <w:left w:val="nil"/>
              <w:bottom w:val="nil"/>
              <w:right w:val="nil"/>
            </w:tcBorders>
            <w:vAlign w:val="center"/>
          </w:tcPr>
          <w:p w14:paraId="0035095A" w14:textId="58DA8B51" w:rsidR="00872780" w:rsidRPr="00992F0C" w:rsidRDefault="00872780" w:rsidP="00872780">
            <w:pPr>
              <w:tabs>
                <w:tab w:val="left" w:pos="426"/>
              </w:tabs>
              <w:rPr>
                <w:rFonts w:ascii="Times New Roman" w:hAnsi="Times New Roman" w:cs="Times New Roman"/>
                <w:i/>
                <w:iCs/>
                <w:sz w:val="21"/>
                <w:szCs w:val="21"/>
              </w:rPr>
            </w:pPr>
            <w:r w:rsidRPr="00992F0C">
              <w:rPr>
                <w:rFonts w:ascii="Times New Roman" w:hAnsi="Times New Roman" w:cs="Times New Roman"/>
                <w:i/>
                <w:iCs/>
                <w:sz w:val="21"/>
                <w:szCs w:val="21"/>
              </w:rPr>
              <w:t xml:space="preserve">      H</w:t>
            </w:r>
            <w:r w:rsidRPr="00992F0C">
              <w:rPr>
                <w:rFonts w:ascii="Times New Roman" w:hAnsi="Times New Roman" w:cs="Times New Roman"/>
                <w:i/>
                <w:iCs/>
                <w:sz w:val="21"/>
                <w:szCs w:val="21"/>
                <w:vertAlign w:val="subscript"/>
              </w:rPr>
              <w:t>A</w:t>
            </w:r>
            <w:r w:rsidRPr="00992F0C">
              <w:rPr>
                <w:rFonts w:ascii="Times New Roman" w:hAnsi="Times New Roman" w:cs="Times New Roman"/>
                <w:i/>
                <w:iCs/>
                <w:sz w:val="21"/>
                <w:szCs w:val="21"/>
              </w:rPr>
              <w:t>: Additive</w:t>
            </w:r>
          </w:p>
        </w:tc>
        <w:tc>
          <w:tcPr>
            <w:tcW w:w="1740" w:type="dxa"/>
            <w:tcBorders>
              <w:top w:val="nil"/>
              <w:left w:val="nil"/>
              <w:bottom w:val="nil"/>
              <w:right w:val="nil"/>
            </w:tcBorders>
            <w:shd w:val="clear" w:color="auto" w:fill="auto"/>
            <w:vAlign w:val="center"/>
          </w:tcPr>
          <w:p w14:paraId="0DB45F38" w14:textId="531F961D"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10.470***</w:t>
            </w:r>
          </w:p>
        </w:tc>
        <w:tc>
          <w:tcPr>
            <w:tcW w:w="1740" w:type="dxa"/>
            <w:tcBorders>
              <w:top w:val="nil"/>
              <w:left w:val="nil"/>
              <w:bottom w:val="nil"/>
              <w:right w:val="nil"/>
            </w:tcBorders>
            <w:shd w:val="clear" w:color="auto" w:fill="auto"/>
            <w:vAlign w:val="center"/>
          </w:tcPr>
          <w:p w14:paraId="5BB5B08C" w14:textId="77777777" w:rsidR="00872780" w:rsidRPr="00992F0C" w:rsidRDefault="00872780" w:rsidP="00872780">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center"/>
          </w:tcPr>
          <w:p w14:paraId="6442E4D2" w14:textId="7DCEC1C1"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-0.190</w:t>
            </w:r>
          </w:p>
        </w:tc>
        <w:tc>
          <w:tcPr>
            <w:tcW w:w="540" w:type="dxa"/>
            <w:tcBorders>
              <w:top w:val="nil"/>
              <w:left w:val="nil"/>
              <w:bottom w:val="nil"/>
              <w:right w:val="nil"/>
            </w:tcBorders>
            <w:shd w:val="clear" w:color="auto" w:fill="auto"/>
            <w:vAlign w:val="center"/>
          </w:tcPr>
          <w:p w14:paraId="75514944" w14:textId="77777777" w:rsidR="00872780" w:rsidRPr="00992F0C" w:rsidRDefault="00872780" w:rsidP="00872780">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4A74B502" w14:textId="7FEC068A"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3.370***</w:t>
            </w:r>
          </w:p>
        </w:tc>
        <w:tc>
          <w:tcPr>
            <w:tcW w:w="1676" w:type="dxa"/>
            <w:tcBorders>
              <w:top w:val="nil"/>
              <w:left w:val="nil"/>
              <w:bottom w:val="nil"/>
              <w:right w:val="nil"/>
            </w:tcBorders>
            <w:shd w:val="clear" w:color="auto" w:fill="auto"/>
            <w:vAlign w:val="center"/>
          </w:tcPr>
          <w:p w14:paraId="7A50D894" w14:textId="77777777" w:rsidR="00872780" w:rsidRPr="00992F0C" w:rsidRDefault="00872780" w:rsidP="00872780">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0A919137" w14:textId="1CC3DF09"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-0.820</w:t>
            </w:r>
          </w:p>
        </w:tc>
      </w:tr>
      <w:tr w:rsidR="00872780" w14:paraId="79EC039A" w14:textId="77777777" w:rsidTr="00305090">
        <w:trPr>
          <w:gridAfter w:val="1"/>
          <w:wAfter w:w="12" w:type="dxa"/>
          <w:trHeight w:val="288"/>
          <w:jc w:val="center"/>
        </w:trPr>
        <w:tc>
          <w:tcPr>
            <w:tcW w:w="2790" w:type="dxa"/>
            <w:tcBorders>
              <w:top w:val="nil"/>
              <w:left w:val="nil"/>
              <w:bottom w:val="single" w:sz="4" w:space="0" w:color="auto"/>
              <w:right w:val="nil"/>
            </w:tcBorders>
            <w:vAlign w:val="center"/>
          </w:tcPr>
          <w:p w14:paraId="060BA196" w14:textId="6E5314BE" w:rsidR="00872780" w:rsidRPr="00992F0C" w:rsidRDefault="00872780" w:rsidP="00872780">
            <w:pPr>
              <w:tabs>
                <w:tab w:val="left" w:pos="426"/>
              </w:tabs>
              <w:rPr>
                <w:rFonts w:ascii="Times New Roman" w:hAnsi="Times New Roman" w:cs="Times New Roman"/>
                <w:i/>
                <w:iCs/>
                <w:sz w:val="21"/>
                <w:szCs w:val="21"/>
              </w:rPr>
            </w:pPr>
            <w:r w:rsidRPr="00992F0C">
              <w:rPr>
                <w:rFonts w:ascii="Times New Roman" w:hAnsi="Times New Roman" w:cs="Times New Roman"/>
                <w:i/>
                <w:iCs/>
                <w:sz w:val="21"/>
                <w:szCs w:val="21"/>
              </w:rPr>
              <w:t xml:space="preserve">      H</w:t>
            </w:r>
            <w:r w:rsidRPr="00992F0C">
              <w:rPr>
                <w:rFonts w:ascii="Times New Roman" w:hAnsi="Times New Roman" w:cs="Times New Roman"/>
                <w:i/>
                <w:iCs/>
                <w:sz w:val="21"/>
                <w:szCs w:val="21"/>
                <w:vertAlign w:val="subscript"/>
              </w:rPr>
              <w:t>A</w:t>
            </w:r>
            <w:r w:rsidRPr="00992F0C">
              <w:rPr>
                <w:rFonts w:ascii="Times New Roman" w:hAnsi="Times New Roman" w:cs="Times New Roman"/>
                <w:i/>
                <w:iCs/>
                <w:sz w:val="21"/>
                <w:szCs w:val="21"/>
              </w:rPr>
              <w:t>: Moderating</w:t>
            </w:r>
          </w:p>
        </w:tc>
        <w:tc>
          <w:tcPr>
            <w:tcW w:w="1740" w:type="dxa"/>
            <w:tcBorders>
              <w:top w:val="nil"/>
              <w:left w:val="nil"/>
              <w:bottom w:val="single" w:sz="4" w:space="0" w:color="auto"/>
              <w:right w:val="nil"/>
            </w:tcBorders>
            <w:shd w:val="clear" w:color="auto" w:fill="auto"/>
            <w:vAlign w:val="center"/>
          </w:tcPr>
          <w:p w14:paraId="07429CD0" w14:textId="044FA926"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10.470***</w:t>
            </w:r>
          </w:p>
        </w:tc>
        <w:tc>
          <w:tcPr>
            <w:tcW w:w="1740" w:type="dxa"/>
            <w:tcBorders>
              <w:top w:val="nil"/>
              <w:left w:val="nil"/>
              <w:bottom w:val="single" w:sz="4" w:space="0" w:color="auto"/>
              <w:right w:val="nil"/>
            </w:tcBorders>
            <w:shd w:val="clear" w:color="auto" w:fill="auto"/>
            <w:vAlign w:val="center"/>
          </w:tcPr>
          <w:p w14:paraId="21868D34" w14:textId="7F18CE79"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3.320***</w:t>
            </w:r>
          </w:p>
        </w:tc>
        <w:tc>
          <w:tcPr>
            <w:tcW w:w="1740" w:type="dxa"/>
            <w:tcBorders>
              <w:top w:val="nil"/>
              <w:left w:val="nil"/>
              <w:bottom w:val="single" w:sz="4" w:space="0" w:color="auto"/>
              <w:right w:val="nil"/>
            </w:tcBorders>
            <w:shd w:val="clear" w:color="auto" w:fill="auto"/>
            <w:vAlign w:val="center"/>
          </w:tcPr>
          <w:p w14:paraId="41E3D092" w14:textId="77777777" w:rsidR="00872780" w:rsidRPr="00992F0C" w:rsidRDefault="00872780" w:rsidP="00872780">
            <w:pPr>
              <w:tabs>
                <w:tab w:val="left" w:pos="426"/>
              </w:tabs>
              <w:jc w:val="center"/>
              <w:rPr>
                <w:rFonts w:ascii="Times New Roman" w:hAnsi="Times New Roman" w:cs="Times New Roman"/>
                <w:sz w:val="21"/>
                <w:szCs w:val="21"/>
              </w:rPr>
            </w:pPr>
          </w:p>
        </w:tc>
        <w:tc>
          <w:tcPr>
            <w:tcW w:w="540" w:type="dxa"/>
            <w:tcBorders>
              <w:top w:val="nil"/>
              <w:left w:val="nil"/>
              <w:bottom w:val="single" w:sz="4" w:space="0" w:color="auto"/>
              <w:right w:val="nil"/>
            </w:tcBorders>
            <w:shd w:val="clear" w:color="auto" w:fill="auto"/>
            <w:vAlign w:val="center"/>
          </w:tcPr>
          <w:p w14:paraId="5BC54B54" w14:textId="77777777" w:rsidR="00872780" w:rsidRPr="00992F0C" w:rsidRDefault="00872780" w:rsidP="00872780">
            <w:pPr>
              <w:tabs>
                <w:tab w:val="left" w:pos="426"/>
              </w:tabs>
              <w:jc w:val="center"/>
              <w:rPr>
                <w:rFonts w:ascii="Times New Roman" w:hAnsi="Times New Roman" w:cs="Times New Roman"/>
                <w:sz w:val="21"/>
                <w:szCs w:val="21"/>
              </w:rPr>
            </w:pPr>
          </w:p>
        </w:tc>
        <w:tc>
          <w:tcPr>
            <w:tcW w:w="1676" w:type="dxa"/>
            <w:tcBorders>
              <w:top w:val="nil"/>
              <w:left w:val="nil"/>
              <w:bottom w:val="single" w:sz="4" w:space="0" w:color="auto"/>
              <w:right w:val="nil"/>
            </w:tcBorders>
            <w:shd w:val="clear" w:color="auto" w:fill="auto"/>
            <w:vAlign w:val="center"/>
          </w:tcPr>
          <w:p w14:paraId="3AE7AAA3" w14:textId="75B5F695"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3.370***</w:t>
            </w:r>
          </w:p>
        </w:tc>
        <w:tc>
          <w:tcPr>
            <w:tcW w:w="1676" w:type="dxa"/>
            <w:tcBorders>
              <w:top w:val="nil"/>
              <w:left w:val="nil"/>
              <w:bottom w:val="single" w:sz="4" w:space="0" w:color="auto"/>
              <w:right w:val="nil"/>
            </w:tcBorders>
            <w:shd w:val="clear" w:color="auto" w:fill="auto"/>
            <w:vAlign w:val="center"/>
          </w:tcPr>
          <w:p w14:paraId="6489EFE0" w14:textId="60C1B16E" w:rsidR="00872780" w:rsidRPr="00992F0C" w:rsidRDefault="00872780" w:rsidP="00872780">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1.820*</w:t>
            </w:r>
          </w:p>
        </w:tc>
        <w:tc>
          <w:tcPr>
            <w:tcW w:w="1676" w:type="dxa"/>
            <w:tcBorders>
              <w:top w:val="nil"/>
              <w:left w:val="nil"/>
              <w:bottom w:val="single" w:sz="4" w:space="0" w:color="auto"/>
              <w:right w:val="nil"/>
            </w:tcBorders>
            <w:shd w:val="clear" w:color="auto" w:fill="auto"/>
            <w:vAlign w:val="center"/>
          </w:tcPr>
          <w:p w14:paraId="1AC45B37" w14:textId="77777777" w:rsidR="00872780" w:rsidRPr="00992F0C" w:rsidRDefault="00872780" w:rsidP="00872780">
            <w:pPr>
              <w:tabs>
                <w:tab w:val="left" w:pos="426"/>
              </w:tabs>
              <w:jc w:val="center"/>
              <w:rPr>
                <w:rFonts w:ascii="Times New Roman" w:hAnsi="Times New Roman" w:cs="Times New Roman"/>
                <w:sz w:val="21"/>
                <w:szCs w:val="21"/>
              </w:rPr>
            </w:pPr>
          </w:p>
        </w:tc>
      </w:tr>
      <w:tr w:rsidR="00AE1D43" w14:paraId="7AB846D1" w14:textId="77777777" w:rsidTr="00305090">
        <w:trPr>
          <w:gridAfter w:val="1"/>
          <w:wAfter w:w="12" w:type="dxa"/>
          <w:trHeight w:val="288"/>
          <w:jc w:val="center"/>
        </w:trPr>
        <w:tc>
          <w:tcPr>
            <w:tcW w:w="2790" w:type="dxa"/>
            <w:tcBorders>
              <w:top w:val="single" w:sz="4" w:space="0" w:color="auto"/>
              <w:left w:val="nil"/>
              <w:bottom w:val="single" w:sz="4" w:space="0" w:color="auto"/>
              <w:right w:val="nil"/>
            </w:tcBorders>
            <w:vAlign w:val="center"/>
          </w:tcPr>
          <w:p w14:paraId="1ED87F61" w14:textId="120711C8" w:rsidR="00AE1D43" w:rsidRPr="00646676" w:rsidRDefault="00646676" w:rsidP="00C96975">
            <w:pPr>
              <w:tabs>
                <w:tab w:val="left" w:pos="426"/>
              </w:tabs>
              <w:rPr>
                <w:rFonts w:ascii="Times New Roman" w:hAnsi="Times New Roman" w:cs="Times New Roman"/>
                <w:i/>
                <w:iCs/>
                <w:color w:val="000000"/>
                <w:sz w:val="21"/>
                <w:szCs w:val="21"/>
              </w:rPr>
            </w:pPr>
            <w:r>
              <w:rPr>
                <w:rFonts w:ascii="Times New Roman" w:hAnsi="Times New Roman" w:cs="Times New Roman"/>
                <w:i/>
                <w:iCs/>
                <w:color w:val="000000"/>
                <w:sz w:val="21"/>
                <w:szCs w:val="21"/>
              </w:rPr>
              <w:lastRenderedPageBreak/>
              <w:t>Panel A, continued</w:t>
            </w:r>
          </w:p>
        </w:tc>
        <w:tc>
          <w:tcPr>
            <w:tcW w:w="5220" w:type="dxa"/>
            <w:gridSpan w:val="3"/>
            <w:tcBorders>
              <w:top w:val="single" w:sz="4" w:space="0" w:color="auto"/>
              <w:left w:val="nil"/>
              <w:bottom w:val="single" w:sz="4" w:space="0" w:color="auto"/>
              <w:right w:val="nil"/>
            </w:tcBorders>
            <w:shd w:val="clear" w:color="auto" w:fill="auto"/>
            <w:vAlign w:val="center"/>
          </w:tcPr>
          <w:p w14:paraId="7B523869" w14:textId="328F1812" w:rsidR="00AE1D43" w:rsidRPr="00992F0C" w:rsidRDefault="00AE1D43" w:rsidP="00C96975">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With ROE as Dependent Variables</w:t>
            </w:r>
          </w:p>
        </w:tc>
        <w:tc>
          <w:tcPr>
            <w:tcW w:w="540" w:type="dxa"/>
            <w:tcBorders>
              <w:top w:val="single" w:sz="4" w:space="0" w:color="auto"/>
              <w:left w:val="nil"/>
              <w:bottom w:val="single" w:sz="4" w:space="0" w:color="auto"/>
              <w:right w:val="nil"/>
            </w:tcBorders>
            <w:shd w:val="clear" w:color="auto" w:fill="auto"/>
            <w:vAlign w:val="center"/>
          </w:tcPr>
          <w:p w14:paraId="1C4B1B78" w14:textId="77777777" w:rsidR="00AE1D43" w:rsidRPr="00992F0C" w:rsidRDefault="00AE1D43" w:rsidP="00C96975">
            <w:pPr>
              <w:tabs>
                <w:tab w:val="left" w:pos="426"/>
              </w:tabs>
              <w:jc w:val="center"/>
              <w:rPr>
                <w:rFonts w:ascii="Times New Roman" w:hAnsi="Times New Roman" w:cs="Times New Roman"/>
                <w:sz w:val="21"/>
                <w:szCs w:val="21"/>
              </w:rPr>
            </w:pPr>
          </w:p>
        </w:tc>
        <w:tc>
          <w:tcPr>
            <w:tcW w:w="5028" w:type="dxa"/>
            <w:gridSpan w:val="3"/>
            <w:tcBorders>
              <w:top w:val="single" w:sz="4" w:space="0" w:color="auto"/>
              <w:left w:val="nil"/>
              <w:bottom w:val="single" w:sz="4" w:space="0" w:color="auto"/>
              <w:right w:val="nil"/>
            </w:tcBorders>
            <w:shd w:val="clear" w:color="auto" w:fill="auto"/>
            <w:vAlign w:val="center"/>
          </w:tcPr>
          <w:p w14:paraId="12C3C063" w14:textId="623CC28C" w:rsidR="00AE1D43" w:rsidRPr="00992F0C" w:rsidRDefault="00AE1D43" w:rsidP="00C96975">
            <w:pPr>
              <w:tabs>
                <w:tab w:val="left" w:pos="426"/>
              </w:tabs>
              <w:jc w:val="center"/>
              <w:rPr>
                <w:rFonts w:ascii="Times New Roman" w:hAnsi="Times New Roman" w:cs="Times New Roman"/>
                <w:b/>
                <w:bCs/>
                <w:color w:val="000000"/>
                <w:sz w:val="21"/>
                <w:szCs w:val="21"/>
              </w:rPr>
            </w:pPr>
            <w:r w:rsidRPr="00992F0C">
              <w:rPr>
                <w:rFonts w:ascii="Times New Roman" w:hAnsi="Times New Roman" w:cs="Times New Roman"/>
                <w:b/>
                <w:bCs/>
                <w:color w:val="000000"/>
                <w:sz w:val="21"/>
                <w:szCs w:val="21"/>
              </w:rPr>
              <w:t>With Tobin’s Q as Dependent Variables</w:t>
            </w:r>
          </w:p>
        </w:tc>
      </w:tr>
      <w:tr w:rsidR="00883722" w14:paraId="5671D656" w14:textId="77777777" w:rsidTr="00305090">
        <w:trPr>
          <w:gridAfter w:val="1"/>
          <w:wAfter w:w="12" w:type="dxa"/>
          <w:trHeight w:val="288"/>
          <w:jc w:val="center"/>
        </w:trPr>
        <w:tc>
          <w:tcPr>
            <w:tcW w:w="2790" w:type="dxa"/>
            <w:tcBorders>
              <w:top w:val="single" w:sz="4" w:space="0" w:color="auto"/>
              <w:left w:val="nil"/>
              <w:bottom w:val="single" w:sz="4" w:space="0" w:color="auto"/>
              <w:right w:val="nil"/>
            </w:tcBorders>
            <w:vAlign w:val="center"/>
          </w:tcPr>
          <w:p w14:paraId="1CD32E99" w14:textId="0C6D1304" w:rsidR="00883722" w:rsidRPr="00992F0C" w:rsidRDefault="00883722" w:rsidP="00C96975">
            <w:pPr>
              <w:tabs>
                <w:tab w:val="left" w:pos="426"/>
              </w:tabs>
              <w:rPr>
                <w:rFonts w:ascii="Times New Roman" w:hAnsi="Times New Roman" w:cs="Times New Roman"/>
                <w:i/>
                <w:iCs/>
                <w:sz w:val="21"/>
                <w:szCs w:val="21"/>
              </w:rPr>
            </w:pPr>
            <w:r w:rsidRPr="00992F0C">
              <w:rPr>
                <w:rFonts w:ascii="Times New Roman" w:hAnsi="Times New Roman" w:cs="Times New Roman"/>
                <w:b/>
                <w:bCs/>
                <w:color w:val="000000"/>
                <w:sz w:val="21"/>
                <w:szCs w:val="21"/>
              </w:rPr>
              <w:t>Model Category</w:t>
            </w:r>
          </w:p>
        </w:tc>
        <w:tc>
          <w:tcPr>
            <w:tcW w:w="1740" w:type="dxa"/>
            <w:tcBorders>
              <w:top w:val="single" w:sz="4" w:space="0" w:color="auto"/>
              <w:left w:val="nil"/>
              <w:bottom w:val="single" w:sz="4" w:space="0" w:color="auto"/>
              <w:right w:val="nil"/>
            </w:tcBorders>
            <w:shd w:val="clear" w:color="auto" w:fill="auto"/>
            <w:vAlign w:val="center"/>
          </w:tcPr>
          <w:p w14:paraId="6CAF6CC9" w14:textId="4F7F307B"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b/>
                <w:bCs/>
                <w:color w:val="000000"/>
                <w:sz w:val="21"/>
                <w:szCs w:val="21"/>
              </w:rPr>
              <w:t>Independent</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(I)</w:t>
            </w:r>
          </w:p>
        </w:tc>
        <w:tc>
          <w:tcPr>
            <w:tcW w:w="1740" w:type="dxa"/>
            <w:tcBorders>
              <w:top w:val="single" w:sz="4" w:space="0" w:color="auto"/>
              <w:left w:val="nil"/>
              <w:bottom w:val="single" w:sz="4" w:space="0" w:color="auto"/>
              <w:right w:val="nil"/>
            </w:tcBorders>
            <w:shd w:val="clear" w:color="auto" w:fill="auto"/>
            <w:vAlign w:val="center"/>
          </w:tcPr>
          <w:p w14:paraId="20ED469E" w14:textId="5D73C915"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b/>
                <w:bCs/>
                <w:color w:val="000000"/>
                <w:sz w:val="21"/>
                <w:szCs w:val="21"/>
              </w:rPr>
              <w:t>Additive</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(A)</w:t>
            </w:r>
          </w:p>
        </w:tc>
        <w:tc>
          <w:tcPr>
            <w:tcW w:w="1740" w:type="dxa"/>
            <w:tcBorders>
              <w:top w:val="single" w:sz="4" w:space="0" w:color="auto"/>
              <w:left w:val="nil"/>
              <w:bottom w:val="single" w:sz="4" w:space="0" w:color="auto"/>
              <w:right w:val="nil"/>
            </w:tcBorders>
            <w:shd w:val="clear" w:color="auto" w:fill="auto"/>
            <w:vAlign w:val="center"/>
          </w:tcPr>
          <w:p w14:paraId="49BAEEF1" w14:textId="3DF601C5"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b/>
                <w:bCs/>
                <w:color w:val="000000"/>
                <w:sz w:val="21"/>
                <w:szCs w:val="21"/>
              </w:rPr>
              <w:t>Moderating</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(M)</w:t>
            </w:r>
          </w:p>
        </w:tc>
        <w:tc>
          <w:tcPr>
            <w:tcW w:w="540" w:type="dxa"/>
            <w:tcBorders>
              <w:top w:val="single" w:sz="4" w:space="0" w:color="auto"/>
              <w:left w:val="nil"/>
              <w:bottom w:val="single" w:sz="4" w:space="0" w:color="auto"/>
              <w:right w:val="nil"/>
            </w:tcBorders>
            <w:shd w:val="clear" w:color="auto" w:fill="auto"/>
            <w:vAlign w:val="center"/>
          </w:tcPr>
          <w:p w14:paraId="236D81B3" w14:textId="77777777" w:rsidR="00883722" w:rsidRPr="00992F0C" w:rsidRDefault="00883722" w:rsidP="00C96975">
            <w:pPr>
              <w:tabs>
                <w:tab w:val="left" w:pos="426"/>
              </w:tabs>
              <w:jc w:val="center"/>
              <w:rPr>
                <w:rFonts w:ascii="Times New Roman" w:hAnsi="Times New Roman" w:cs="Times New Roman"/>
                <w:sz w:val="21"/>
                <w:szCs w:val="21"/>
              </w:rPr>
            </w:pPr>
          </w:p>
        </w:tc>
        <w:tc>
          <w:tcPr>
            <w:tcW w:w="1676" w:type="dxa"/>
            <w:tcBorders>
              <w:top w:val="single" w:sz="4" w:space="0" w:color="auto"/>
              <w:left w:val="nil"/>
              <w:bottom w:val="single" w:sz="4" w:space="0" w:color="auto"/>
              <w:right w:val="nil"/>
            </w:tcBorders>
            <w:shd w:val="clear" w:color="auto" w:fill="auto"/>
            <w:vAlign w:val="center"/>
          </w:tcPr>
          <w:p w14:paraId="3B1563F4" w14:textId="21AEC5EC"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b/>
                <w:bCs/>
                <w:color w:val="000000"/>
                <w:sz w:val="21"/>
                <w:szCs w:val="21"/>
              </w:rPr>
              <w:t>Independent</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(I)</w:t>
            </w:r>
          </w:p>
        </w:tc>
        <w:tc>
          <w:tcPr>
            <w:tcW w:w="1676" w:type="dxa"/>
            <w:tcBorders>
              <w:top w:val="single" w:sz="4" w:space="0" w:color="auto"/>
              <w:left w:val="nil"/>
              <w:bottom w:val="single" w:sz="4" w:space="0" w:color="auto"/>
              <w:right w:val="nil"/>
            </w:tcBorders>
            <w:shd w:val="clear" w:color="auto" w:fill="auto"/>
            <w:vAlign w:val="center"/>
          </w:tcPr>
          <w:p w14:paraId="3EA85CC2" w14:textId="48EBC30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b/>
                <w:bCs/>
                <w:color w:val="000000"/>
                <w:sz w:val="21"/>
                <w:szCs w:val="21"/>
              </w:rPr>
              <w:t>Additive</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(A)</w:t>
            </w:r>
          </w:p>
        </w:tc>
        <w:tc>
          <w:tcPr>
            <w:tcW w:w="1676" w:type="dxa"/>
            <w:tcBorders>
              <w:top w:val="single" w:sz="4" w:space="0" w:color="auto"/>
              <w:left w:val="nil"/>
              <w:bottom w:val="single" w:sz="4" w:space="0" w:color="auto"/>
              <w:right w:val="nil"/>
            </w:tcBorders>
            <w:shd w:val="clear" w:color="auto" w:fill="auto"/>
            <w:vAlign w:val="center"/>
          </w:tcPr>
          <w:p w14:paraId="5BFB6580" w14:textId="17A5CAA6"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b/>
                <w:bCs/>
                <w:color w:val="000000"/>
                <w:sz w:val="21"/>
                <w:szCs w:val="21"/>
              </w:rPr>
              <w:t>Moderating</w:t>
            </w:r>
            <w:r>
              <w:rPr>
                <w:rFonts w:ascii="Times New Roman" w:hAnsi="Times New Roman" w:cs="Times New Roman"/>
                <w:b/>
                <w:bCs/>
                <w:color w:val="000000"/>
                <w:sz w:val="21"/>
                <w:szCs w:val="21"/>
              </w:rPr>
              <w:t xml:space="preserve"> </w:t>
            </w:r>
            <w:r w:rsidRPr="00992F0C">
              <w:rPr>
                <w:rFonts w:ascii="Times New Roman" w:hAnsi="Times New Roman" w:cs="Times New Roman"/>
                <w:b/>
                <w:bCs/>
                <w:color w:val="000000"/>
                <w:sz w:val="21"/>
                <w:szCs w:val="21"/>
              </w:rPr>
              <w:t>(M)</w:t>
            </w:r>
          </w:p>
        </w:tc>
      </w:tr>
      <w:tr w:rsidR="00883722" w14:paraId="7DE5FAF7" w14:textId="77777777" w:rsidTr="00305090">
        <w:trPr>
          <w:gridAfter w:val="1"/>
          <w:wAfter w:w="12" w:type="dxa"/>
          <w:trHeight w:val="288"/>
          <w:jc w:val="center"/>
        </w:trPr>
        <w:tc>
          <w:tcPr>
            <w:tcW w:w="2790" w:type="dxa"/>
            <w:tcBorders>
              <w:top w:val="nil"/>
              <w:left w:val="nil"/>
              <w:bottom w:val="nil"/>
              <w:right w:val="nil"/>
            </w:tcBorders>
            <w:vAlign w:val="center"/>
          </w:tcPr>
          <w:p w14:paraId="25797989" w14:textId="77777777" w:rsidR="00883722" w:rsidRPr="00992F0C" w:rsidRDefault="00883722" w:rsidP="00C96975">
            <w:pPr>
              <w:tabs>
                <w:tab w:val="left" w:pos="426"/>
              </w:tabs>
              <w:rPr>
                <w:rFonts w:ascii="Times New Roman" w:hAnsi="Times New Roman" w:cs="Times New Roman"/>
                <w:sz w:val="21"/>
                <w:szCs w:val="21"/>
              </w:rPr>
            </w:pPr>
            <w:r w:rsidRPr="00992F0C">
              <w:rPr>
                <w:rFonts w:ascii="Times New Roman" w:hAnsi="Times New Roman" w:cs="Times New Roman"/>
                <w:sz w:val="21"/>
                <w:szCs w:val="21"/>
              </w:rPr>
              <w:t>N</w:t>
            </w:r>
            <w:r>
              <w:rPr>
                <w:rFonts w:ascii="Times New Roman" w:hAnsi="Times New Roman" w:cs="Times New Roman"/>
                <w:sz w:val="21"/>
                <w:szCs w:val="21"/>
              </w:rPr>
              <w:t>umber</w:t>
            </w:r>
            <w:r w:rsidRPr="00992F0C">
              <w:rPr>
                <w:rFonts w:ascii="Times New Roman" w:hAnsi="Times New Roman" w:cs="Times New Roman"/>
                <w:sz w:val="21"/>
                <w:szCs w:val="21"/>
              </w:rPr>
              <w:t xml:space="preserve"> of Firms</w:t>
            </w:r>
          </w:p>
        </w:tc>
        <w:tc>
          <w:tcPr>
            <w:tcW w:w="1740" w:type="dxa"/>
            <w:tcBorders>
              <w:top w:val="nil"/>
              <w:left w:val="nil"/>
              <w:bottom w:val="nil"/>
              <w:right w:val="nil"/>
            </w:tcBorders>
            <w:vAlign w:val="center"/>
          </w:tcPr>
          <w:p w14:paraId="40385004"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3301</w:t>
            </w:r>
          </w:p>
        </w:tc>
        <w:tc>
          <w:tcPr>
            <w:tcW w:w="1740" w:type="dxa"/>
            <w:tcBorders>
              <w:top w:val="nil"/>
              <w:left w:val="nil"/>
              <w:bottom w:val="nil"/>
              <w:right w:val="nil"/>
            </w:tcBorders>
            <w:vAlign w:val="center"/>
          </w:tcPr>
          <w:p w14:paraId="4B627BB9"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3301</w:t>
            </w:r>
          </w:p>
        </w:tc>
        <w:tc>
          <w:tcPr>
            <w:tcW w:w="1740" w:type="dxa"/>
            <w:tcBorders>
              <w:top w:val="nil"/>
              <w:left w:val="nil"/>
              <w:bottom w:val="nil"/>
              <w:right w:val="nil"/>
            </w:tcBorders>
            <w:vAlign w:val="center"/>
          </w:tcPr>
          <w:p w14:paraId="1C3152FB"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3301</w:t>
            </w:r>
          </w:p>
        </w:tc>
        <w:tc>
          <w:tcPr>
            <w:tcW w:w="540" w:type="dxa"/>
            <w:tcBorders>
              <w:top w:val="nil"/>
              <w:left w:val="nil"/>
              <w:bottom w:val="nil"/>
              <w:right w:val="nil"/>
            </w:tcBorders>
            <w:vAlign w:val="center"/>
          </w:tcPr>
          <w:p w14:paraId="2B493ACE" w14:textId="77777777" w:rsidR="00883722" w:rsidRPr="00992F0C" w:rsidRDefault="00883722" w:rsidP="00C96975">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3361BF96"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3301</w:t>
            </w:r>
          </w:p>
        </w:tc>
        <w:tc>
          <w:tcPr>
            <w:tcW w:w="1676" w:type="dxa"/>
            <w:tcBorders>
              <w:top w:val="nil"/>
              <w:left w:val="nil"/>
              <w:bottom w:val="nil"/>
              <w:right w:val="nil"/>
            </w:tcBorders>
            <w:vAlign w:val="center"/>
          </w:tcPr>
          <w:p w14:paraId="47FFB3A9"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3301</w:t>
            </w:r>
          </w:p>
        </w:tc>
        <w:tc>
          <w:tcPr>
            <w:tcW w:w="1676" w:type="dxa"/>
            <w:tcBorders>
              <w:top w:val="nil"/>
              <w:left w:val="nil"/>
              <w:bottom w:val="nil"/>
              <w:right w:val="nil"/>
            </w:tcBorders>
            <w:vAlign w:val="center"/>
          </w:tcPr>
          <w:p w14:paraId="379C2FE3"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3301</w:t>
            </w:r>
          </w:p>
        </w:tc>
      </w:tr>
      <w:tr w:rsidR="00883722" w14:paraId="3D6BEE2B" w14:textId="77777777" w:rsidTr="00305090">
        <w:trPr>
          <w:gridAfter w:val="1"/>
          <w:wAfter w:w="12" w:type="dxa"/>
          <w:trHeight w:val="288"/>
          <w:jc w:val="center"/>
        </w:trPr>
        <w:tc>
          <w:tcPr>
            <w:tcW w:w="2790" w:type="dxa"/>
            <w:tcBorders>
              <w:top w:val="nil"/>
              <w:left w:val="nil"/>
              <w:bottom w:val="single" w:sz="4" w:space="0" w:color="auto"/>
              <w:right w:val="nil"/>
            </w:tcBorders>
            <w:vAlign w:val="center"/>
          </w:tcPr>
          <w:p w14:paraId="7AD9DE52" w14:textId="04391210" w:rsidR="00883722" w:rsidRPr="00992F0C" w:rsidRDefault="00883722" w:rsidP="00C96975">
            <w:pPr>
              <w:tabs>
                <w:tab w:val="left" w:pos="426"/>
              </w:tabs>
              <w:rPr>
                <w:rFonts w:ascii="Times New Roman" w:hAnsi="Times New Roman" w:cs="Times New Roman"/>
                <w:sz w:val="21"/>
                <w:szCs w:val="21"/>
              </w:rPr>
            </w:pPr>
            <w:r w:rsidRPr="00992F0C">
              <w:rPr>
                <w:rFonts w:ascii="Times New Roman" w:hAnsi="Times New Roman" w:cs="Times New Roman"/>
                <w:sz w:val="21"/>
                <w:szCs w:val="21"/>
              </w:rPr>
              <w:t>N</w:t>
            </w:r>
            <w:r w:rsidR="005E0490">
              <w:rPr>
                <w:rFonts w:ascii="Times New Roman" w:hAnsi="Times New Roman" w:cs="Times New Roman"/>
                <w:sz w:val="21"/>
                <w:szCs w:val="21"/>
              </w:rPr>
              <w:t>umber</w:t>
            </w:r>
            <w:r w:rsidRPr="00992F0C">
              <w:rPr>
                <w:rFonts w:ascii="Times New Roman" w:hAnsi="Times New Roman" w:cs="Times New Roman"/>
                <w:sz w:val="21"/>
                <w:szCs w:val="21"/>
              </w:rPr>
              <w:t xml:space="preserve"> of Countries</w:t>
            </w:r>
          </w:p>
        </w:tc>
        <w:tc>
          <w:tcPr>
            <w:tcW w:w="1740" w:type="dxa"/>
            <w:tcBorders>
              <w:top w:val="nil"/>
              <w:left w:val="nil"/>
              <w:bottom w:val="single" w:sz="4" w:space="0" w:color="auto"/>
              <w:right w:val="nil"/>
            </w:tcBorders>
            <w:vAlign w:val="center"/>
          </w:tcPr>
          <w:p w14:paraId="1332F517"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43</w:t>
            </w:r>
          </w:p>
        </w:tc>
        <w:tc>
          <w:tcPr>
            <w:tcW w:w="1740" w:type="dxa"/>
            <w:tcBorders>
              <w:top w:val="nil"/>
              <w:left w:val="nil"/>
              <w:bottom w:val="single" w:sz="4" w:space="0" w:color="auto"/>
              <w:right w:val="nil"/>
            </w:tcBorders>
            <w:vAlign w:val="center"/>
          </w:tcPr>
          <w:p w14:paraId="24F12C3A"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43</w:t>
            </w:r>
          </w:p>
        </w:tc>
        <w:tc>
          <w:tcPr>
            <w:tcW w:w="1740" w:type="dxa"/>
            <w:tcBorders>
              <w:top w:val="nil"/>
              <w:left w:val="nil"/>
              <w:bottom w:val="single" w:sz="4" w:space="0" w:color="auto"/>
              <w:right w:val="nil"/>
            </w:tcBorders>
            <w:vAlign w:val="center"/>
          </w:tcPr>
          <w:p w14:paraId="533A81BD"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43</w:t>
            </w:r>
          </w:p>
        </w:tc>
        <w:tc>
          <w:tcPr>
            <w:tcW w:w="540" w:type="dxa"/>
            <w:tcBorders>
              <w:top w:val="nil"/>
              <w:left w:val="nil"/>
              <w:bottom w:val="single" w:sz="4" w:space="0" w:color="auto"/>
              <w:right w:val="nil"/>
            </w:tcBorders>
            <w:vAlign w:val="center"/>
          </w:tcPr>
          <w:p w14:paraId="0690133E" w14:textId="77777777" w:rsidR="00883722" w:rsidRPr="00992F0C" w:rsidRDefault="00883722" w:rsidP="00C96975">
            <w:pPr>
              <w:tabs>
                <w:tab w:val="left" w:pos="426"/>
              </w:tabs>
              <w:jc w:val="center"/>
              <w:rPr>
                <w:rFonts w:ascii="Times New Roman" w:hAnsi="Times New Roman" w:cs="Times New Roman"/>
                <w:sz w:val="21"/>
                <w:szCs w:val="21"/>
              </w:rPr>
            </w:pPr>
          </w:p>
        </w:tc>
        <w:tc>
          <w:tcPr>
            <w:tcW w:w="1676" w:type="dxa"/>
            <w:tcBorders>
              <w:top w:val="nil"/>
              <w:left w:val="nil"/>
              <w:bottom w:val="single" w:sz="4" w:space="0" w:color="auto"/>
              <w:right w:val="nil"/>
            </w:tcBorders>
            <w:vAlign w:val="center"/>
          </w:tcPr>
          <w:p w14:paraId="603EF45C"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43</w:t>
            </w:r>
          </w:p>
        </w:tc>
        <w:tc>
          <w:tcPr>
            <w:tcW w:w="1676" w:type="dxa"/>
            <w:tcBorders>
              <w:top w:val="nil"/>
              <w:left w:val="nil"/>
              <w:bottom w:val="single" w:sz="4" w:space="0" w:color="auto"/>
              <w:right w:val="nil"/>
            </w:tcBorders>
            <w:vAlign w:val="center"/>
          </w:tcPr>
          <w:p w14:paraId="6A314828"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43</w:t>
            </w:r>
          </w:p>
        </w:tc>
        <w:tc>
          <w:tcPr>
            <w:tcW w:w="1676" w:type="dxa"/>
            <w:tcBorders>
              <w:top w:val="nil"/>
              <w:left w:val="nil"/>
              <w:bottom w:val="single" w:sz="4" w:space="0" w:color="auto"/>
              <w:right w:val="nil"/>
            </w:tcBorders>
            <w:vAlign w:val="center"/>
          </w:tcPr>
          <w:p w14:paraId="7FAA2575" w14:textId="77777777" w:rsidR="00883722" w:rsidRPr="00992F0C" w:rsidRDefault="00883722" w:rsidP="00C96975">
            <w:pPr>
              <w:tabs>
                <w:tab w:val="left" w:pos="426"/>
              </w:tabs>
              <w:jc w:val="center"/>
              <w:rPr>
                <w:rFonts w:ascii="Times New Roman" w:hAnsi="Times New Roman" w:cs="Times New Roman"/>
                <w:sz w:val="21"/>
                <w:szCs w:val="21"/>
              </w:rPr>
            </w:pPr>
            <w:r w:rsidRPr="00992F0C">
              <w:rPr>
                <w:rFonts w:ascii="Times New Roman" w:hAnsi="Times New Roman" w:cs="Times New Roman"/>
                <w:sz w:val="21"/>
                <w:szCs w:val="21"/>
              </w:rPr>
              <w:t>43</w:t>
            </w:r>
          </w:p>
        </w:tc>
      </w:tr>
      <w:tr w:rsidR="00883722" w:rsidRPr="00486141" w14:paraId="1DC59EA4" w14:textId="77777777" w:rsidTr="00305090">
        <w:trPr>
          <w:gridAfter w:val="1"/>
          <w:wAfter w:w="12" w:type="dxa"/>
          <w:trHeight w:val="80"/>
          <w:jc w:val="center"/>
        </w:trPr>
        <w:tc>
          <w:tcPr>
            <w:tcW w:w="2790" w:type="dxa"/>
            <w:tcBorders>
              <w:top w:val="single" w:sz="4" w:space="0" w:color="auto"/>
              <w:left w:val="nil"/>
              <w:bottom w:val="nil"/>
              <w:right w:val="nil"/>
            </w:tcBorders>
          </w:tcPr>
          <w:p w14:paraId="709CBA6A" w14:textId="77777777" w:rsidR="00883722" w:rsidRPr="00486141" w:rsidRDefault="00883722" w:rsidP="00883722">
            <w:pPr>
              <w:tabs>
                <w:tab w:val="left" w:pos="426"/>
              </w:tabs>
              <w:rPr>
                <w:rFonts w:asciiTheme="majorBidi" w:hAnsiTheme="majorBidi" w:cstheme="majorBidi"/>
                <w:sz w:val="8"/>
                <w:szCs w:val="8"/>
              </w:rPr>
            </w:pPr>
          </w:p>
        </w:tc>
        <w:tc>
          <w:tcPr>
            <w:tcW w:w="1740" w:type="dxa"/>
            <w:tcBorders>
              <w:top w:val="single" w:sz="4" w:space="0" w:color="auto"/>
              <w:left w:val="nil"/>
              <w:bottom w:val="nil"/>
              <w:right w:val="nil"/>
            </w:tcBorders>
            <w:vAlign w:val="center"/>
          </w:tcPr>
          <w:p w14:paraId="47A869B2" w14:textId="77777777" w:rsidR="00883722" w:rsidRPr="00486141" w:rsidRDefault="00883722" w:rsidP="00883722">
            <w:pPr>
              <w:tabs>
                <w:tab w:val="left" w:pos="426"/>
              </w:tabs>
              <w:jc w:val="center"/>
              <w:rPr>
                <w:rFonts w:asciiTheme="majorBidi" w:hAnsiTheme="majorBidi" w:cstheme="majorBidi"/>
                <w:sz w:val="8"/>
                <w:szCs w:val="8"/>
              </w:rPr>
            </w:pPr>
          </w:p>
        </w:tc>
        <w:tc>
          <w:tcPr>
            <w:tcW w:w="1740" w:type="dxa"/>
            <w:tcBorders>
              <w:top w:val="single" w:sz="4" w:space="0" w:color="auto"/>
              <w:left w:val="nil"/>
              <w:bottom w:val="nil"/>
              <w:right w:val="nil"/>
            </w:tcBorders>
            <w:vAlign w:val="center"/>
          </w:tcPr>
          <w:p w14:paraId="22EBAECD" w14:textId="77777777" w:rsidR="00883722" w:rsidRPr="00486141" w:rsidRDefault="00883722" w:rsidP="00883722">
            <w:pPr>
              <w:tabs>
                <w:tab w:val="left" w:pos="426"/>
              </w:tabs>
              <w:jc w:val="center"/>
              <w:rPr>
                <w:rFonts w:asciiTheme="majorBidi" w:hAnsiTheme="majorBidi" w:cstheme="majorBidi"/>
                <w:sz w:val="8"/>
                <w:szCs w:val="8"/>
              </w:rPr>
            </w:pPr>
          </w:p>
        </w:tc>
        <w:tc>
          <w:tcPr>
            <w:tcW w:w="1740" w:type="dxa"/>
            <w:tcBorders>
              <w:top w:val="single" w:sz="4" w:space="0" w:color="auto"/>
              <w:left w:val="nil"/>
              <w:bottom w:val="nil"/>
              <w:right w:val="nil"/>
            </w:tcBorders>
            <w:vAlign w:val="center"/>
          </w:tcPr>
          <w:p w14:paraId="469DBFD8" w14:textId="77777777" w:rsidR="00883722" w:rsidRPr="00486141" w:rsidRDefault="00883722" w:rsidP="00883722">
            <w:pPr>
              <w:tabs>
                <w:tab w:val="left" w:pos="426"/>
              </w:tabs>
              <w:jc w:val="center"/>
              <w:rPr>
                <w:rFonts w:asciiTheme="majorBidi" w:hAnsiTheme="majorBidi" w:cstheme="majorBidi"/>
                <w:sz w:val="8"/>
                <w:szCs w:val="8"/>
              </w:rPr>
            </w:pPr>
          </w:p>
        </w:tc>
        <w:tc>
          <w:tcPr>
            <w:tcW w:w="540" w:type="dxa"/>
            <w:tcBorders>
              <w:top w:val="single" w:sz="4" w:space="0" w:color="auto"/>
              <w:left w:val="nil"/>
              <w:bottom w:val="nil"/>
              <w:right w:val="nil"/>
            </w:tcBorders>
            <w:vAlign w:val="center"/>
          </w:tcPr>
          <w:p w14:paraId="2CD5A55A" w14:textId="77777777" w:rsidR="00883722" w:rsidRPr="00486141" w:rsidRDefault="00883722" w:rsidP="00883722">
            <w:pPr>
              <w:tabs>
                <w:tab w:val="left" w:pos="426"/>
              </w:tabs>
              <w:jc w:val="center"/>
              <w:rPr>
                <w:rFonts w:asciiTheme="majorBidi" w:hAnsiTheme="majorBidi" w:cstheme="majorBidi"/>
                <w:sz w:val="8"/>
                <w:szCs w:val="8"/>
              </w:rPr>
            </w:pPr>
          </w:p>
        </w:tc>
        <w:tc>
          <w:tcPr>
            <w:tcW w:w="1676" w:type="dxa"/>
            <w:tcBorders>
              <w:top w:val="single" w:sz="4" w:space="0" w:color="auto"/>
              <w:left w:val="nil"/>
              <w:bottom w:val="nil"/>
              <w:right w:val="nil"/>
            </w:tcBorders>
            <w:vAlign w:val="center"/>
          </w:tcPr>
          <w:p w14:paraId="1B35260B" w14:textId="77777777" w:rsidR="00883722" w:rsidRPr="00486141" w:rsidRDefault="00883722" w:rsidP="00883722">
            <w:pPr>
              <w:tabs>
                <w:tab w:val="left" w:pos="426"/>
              </w:tabs>
              <w:jc w:val="center"/>
              <w:rPr>
                <w:rFonts w:asciiTheme="majorBidi" w:hAnsiTheme="majorBidi" w:cstheme="majorBidi"/>
                <w:sz w:val="8"/>
                <w:szCs w:val="8"/>
              </w:rPr>
            </w:pPr>
          </w:p>
        </w:tc>
        <w:tc>
          <w:tcPr>
            <w:tcW w:w="1676" w:type="dxa"/>
            <w:tcBorders>
              <w:top w:val="single" w:sz="4" w:space="0" w:color="auto"/>
              <w:left w:val="nil"/>
              <w:bottom w:val="nil"/>
              <w:right w:val="nil"/>
            </w:tcBorders>
            <w:vAlign w:val="center"/>
          </w:tcPr>
          <w:p w14:paraId="61013E40" w14:textId="77777777" w:rsidR="00883722" w:rsidRPr="00486141" w:rsidRDefault="00883722" w:rsidP="00883722">
            <w:pPr>
              <w:tabs>
                <w:tab w:val="left" w:pos="426"/>
              </w:tabs>
              <w:jc w:val="center"/>
              <w:rPr>
                <w:rFonts w:asciiTheme="majorBidi" w:hAnsiTheme="majorBidi" w:cstheme="majorBidi"/>
                <w:sz w:val="8"/>
                <w:szCs w:val="8"/>
              </w:rPr>
            </w:pPr>
          </w:p>
        </w:tc>
        <w:tc>
          <w:tcPr>
            <w:tcW w:w="1676" w:type="dxa"/>
            <w:tcBorders>
              <w:top w:val="single" w:sz="4" w:space="0" w:color="auto"/>
              <w:left w:val="nil"/>
              <w:bottom w:val="nil"/>
              <w:right w:val="nil"/>
            </w:tcBorders>
            <w:vAlign w:val="center"/>
          </w:tcPr>
          <w:p w14:paraId="07BDF751" w14:textId="77777777" w:rsidR="00883722" w:rsidRPr="00486141" w:rsidRDefault="00883722" w:rsidP="00883722">
            <w:pPr>
              <w:tabs>
                <w:tab w:val="left" w:pos="426"/>
              </w:tabs>
              <w:jc w:val="center"/>
              <w:rPr>
                <w:rFonts w:asciiTheme="majorBidi" w:hAnsiTheme="majorBidi" w:cstheme="majorBidi"/>
                <w:sz w:val="8"/>
                <w:szCs w:val="8"/>
              </w:rPr>
            </w:pPr>
          </w:p>
        </w:tc>
      </w:tr>
      <w:tr w:rsidR="00883722" w14:paraId="0B17CF96" w14:textId="77777777" w:rsidTr="00305090">
        <w:trPr>
          <w:gridAfter w:val="1"/>
          <w:wAfter w:w="12" w:type="dxa"/>
          <w:trHeight w:val="295"/>
          <w:jc w:val="center"/>
        </w:trPr>
        <w:tc>
          <w:tcPr>
            <w:tcW w:w="13578" w:type="dxa"/>
            <w:gridSpan w:val="8"/>
            <w:tcBorders>
              <w:top w:val="nil"/>
              <w:left w:val="nil"/>
              <w:bottom w:val="single" w:sz="4" w:space="0" w:color="FFFFFF" w:themeColor="background1"/>
              <w:right w:val="single" w:sz="4" w:space="0" w:color="FFFFFF" w:themeColor="background1"/>
            </w:tcBorders>
            <w:vAlign w:val="center"/>
          </w:tcPr>
          <w:p w14:paraId="4163C69B" w14:textId="1FB2A67D" w:rsidR="00883722" w:rsidRDefault="00883722" w:rsidP="00883722">
            <w:pPr>
              <w:tabs>
                <w:tab w:val="left" w:pos="426"/>
              </w:tabs>
              <w:jc w:val="center"/>
              <w:rPr>
                <w:rFonts w:ascii="Times New Roman" w:hAnsi="Times New Roman" w:cs="Times New Roman"/>
                <w:b/>
                <w:bCs/>
                <w:color w:val="000000"/>
                <w:sz w:val="21"/>
                <w:szCs w:val="21"/>
              </w:rPr>
            </w:pPr>
          </w:p>
          <w:p w14:paraId="23A9C009" w14:textId="77777777" w:rsidR="00872780" w:rsidRPr="00C96975" w:rsidRDefault="00872780" w:rsidP="00883722">
            <w:pPr>
              <w:tabs>
                <w:tab w:val="left" w:pos="426"/>
              </w:tabs>
              <w:jc w:val="center"/>
              <w:rPr>
                <w:rFonts w:ascii="Times New Roman" w:hAnsi="Times New Roman" w:cs="Times New Roman"/>
                <w:b/>
                <w:bCs/>
                <w:color w:val="000000"/>
                <w:sz w:val="21"/>
                <w:szCs w:val="21"/>
              </w:rPr>
            </w:pPr>
          </w:p>
          <w:p w14:paraId="2BC6F7A9"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Panel B: Regressions with the Country-level Index</w:t>
            </w:r>
          </w:p>
        </w:tc>
      </w:tr>
      <w:tr w:rsidR="00883722" w14:paraId="3A660855" w14:textId="77777777" w:rsidTr="00305090">
        <w:trPr>
          <w:gridAfter w:val="1"/>
          <w:wAfter w:w="12" w:type="dxa"/>
          <w:trHeight w:val="295"/>
          <w:jc w:val="center"/>
        </w:trPr>
        <w:tc>
          <w:tcPr>
            <w:tcW w:w="2790" w:type="dxa"/>
            <w:tcBorders>
              <w:top w:val="single" w:sz="8" w:space="0" w:color="auto"/>
              <w:left w:val="nil"/>
              <w:bottom w:val="single" w:sz="4" w:space="0" w:color="FFFFFF" w:themeColor="background1"/>
              <w:right w:val="nil"/>
            </w:tcBorders>
            <w:vAlign w:val="center"/>
          </w:tcPr>
          <w:p w14:paraId="2B836205" w14:textId="77777777" w:rsidR="00883722" w:rsidRPr="00C96975" w:rsidRDefault="00883722" w:rsidP="00883722">
            <w:pPr>
              <w:tabs>
                <w:tab w:val="left" w:pos="426"/>
              </w:tabs>
              <w:rPr>
                <w:rFonts w:ascii="Times New Roman" w:hAnsi="Times New Roman" w:cs="Times New Roman"/>
                <w:b/>
                <w:bCs/>
                <w:color w:val="000000"/>
                <w:sz w:val="21"/>
                <w:szCs w:val="21"/>
              </w:rPr>
            </w:pPr>
          </w:p>
        </w:tc>
        <w:tc>
          <w:tcPr>
            <w:tcW w:w="5220" w:type="dxa"/>
            <w:gridSpan w:val="3"/>
            <w:tcBorders>
              <w:top w:val="single" w:sz="8" w:space="0" w:color="auto"/>
              <w:left w:val="nil"/>
              <w:bottom w:val="single" w:sz="4" w:space="0" w:color="auto"/>
              <w:right w:val="nil"/>
            </w:tcBorders>
            <w:vAlign w:val="center"/>
          </w:tcPr>
          <w:p w14:paraId="6A5419F4"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With ROE as Dependent Variables</w:t>
            </w:r>
          </w:p>
        </w:tc>
        <w:tc>
          <w:tcPr>
            <w:tcW w:w="540" w:type="dxa"/>
            <w:tcBorders>
              <w:top w:val="single" w:sz="8" w:space="0" w:color="auto"/>
              <w:left w:val="nil"/>
              <w:bottom w:val="single" w:sz="4" w:space="0" w:color="FFFFFF" w:themeColor="background1"/>
              <w:right w:val="nil"/>
            </w:tcBorders>
            <w:vAlign w:val="center"/>
          </w:tcPr>
          <w:p w14:paraId="37749210" w14:textId="77777777" w:rsidR="00883722" w:rsidRPr="00C96975" w:rsidRDefault="00883722" w:rsidP="00883722">
            <w:pPr>
              <w:tabs>
                <w:tab w:val="left" w:pos="426"/>
              </w:tabs>
              <w:jc w:val="center"/>
              <w:rPr>
                <w:rFonts w:ascii="Times New Roman" w:hAnsi="Times New Roman" w:cs="Times New Roman"/>
                <w:b/>
                <w:bCs/>
                <w:color w:val="000000"/>
                <w:sz w:val="21"/>
                <w:szCs w:val="21"/>
              </w:rPr>
            </w:pPr>
          </w:p>
        </w:tc>
        <w:tc>
          <w:tcPr>
            <w:tcW w:w="5028" w:type="dxa"/>
            <w:gridSpan w:val="3"/>
            <w:tcBorders>
              <w:top w:val="single" w:sz="8" w:space="0" w:color="auto"/>
              <w:left w:val="nil"/>
              <w:bottom w:val="single" w:sz="4" w:space="0" w:color="auto"/>
              <w:right w:val="nil"/>
            </w:tcBorders>
            <w:vAlign w:val="center"/>
          </w:tcPr>
          <w:p w14:paraId="0E144349"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With Tobin’s Q as Dependent Variables</w:t>
            </w:r>
          </w:p>
        </w:tc>
      </w:tr>
      <w:tr w:rsidR="00883722" w:rsidRPr="002E1EC0" w14:paraId="781217D5" w14:textId="77777777" w:rsidTr="00305090">
        <w:trPr>
          <w:gridAfter w:val="1"/>
          <w:wAfter w:w="12" w:type="dxa"/>
          <w:trHeight w:val="295"/>
          <w:jc w:val="center"/>
        </w:trPr>
        <w:tc>
          <w:tcPr>
            <w:tcW w:w="2790" w:type="dxa"/>
            <w:tcBorders>
              <w:top w:val="single" w:sz="4" w:space="0" w:color="FFFFFF" w:themeColor="background1"/>
              <w:left w:val="nil"/>
              <w:bottom w:val="single" w:sz="12" w:space="0" w:color="auto"/>
              <w:right w:val="nil"/>
            </w:tcBorders>
            <w:vAlign w:val="center"/>
          </w:tcPr>
          <w:p w14:paraId="775A8349" w14:textId="77777777" w:rsidR="00883722" w:rsidRPr="00C96975" w:rsidRDefault="00883722" w:rsidP="00883722">
            <w:pPr>
              <w:tabs>
                <w:tab w:val="left" w:pos="426"/>
              </w:tabs>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Model Category</w:t>
            </w:r>
          </w:p>
        </w:tc>
        <w:tc>
          <w:tcPr>
            <w:tcW w:w="1740" w:type="dxa"/>
            <w:tcBorders>
              <w:top w:val="single" w:sz="4" w:space="0" w:color="auto"/>
              <w:left w:val="nil"/>
              <w:bottom w:val="single" w:sz="12" w:space="0" w:color="auto"/>
              <w:right w:val="nil"/>
            </w:tcBorders>
            <w:vAlign w:val="center"/>
          </w:tcPr>
          <w:p w14:paraId="666B82A0"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Independent</w:t>
            </w:r>
          </w:p>
        </w:tc>
        <w:tc>
          <w:tcPr>
            <w:tcW w:w="1740" w:type="dxa"/>
            <w:tcBorders>
              <w:top w:val="single" w:sz="4" w:space="0" w:color="auto"/>
              <w:left w:val="nil"/>
              <w:bottom w:val="single" w:sz="12" w:space="0" w:color="auto"/>
              <w:right w:val="nil"/>
            </w:tcBorders>
            <w:vAlign w:val="center"/>
          </w:tcPr>
          <w:p w14:paraId="457F1EBF"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Additive</w:t>
            </w:r>
          </w:p>
        </w:tc>
        <w:tc>
          <w:tcPr>
            <w:tcW w:w="1740" w:type="dxa"/>
            <w:tcBorders>
              <w:top w:val="single" w:sz="4" w:space="0" w:color="auto"/>
              <w:left w:val="nil"/>
              <w:bottom w:val="single" w:sz="12" w:space="0" w:color="auto"/>
              <w:right w:val="nil"/>
            </w:tcBorders>
            <w:vAlign w:val="center"/>
          </w:tcPr>
          <w:p w14:paraId="38CB716F"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Moderating</w:t>
            </w:r>
          </w:p>
        </w:tc>
        <w:tc>
          <w:tcPr>
            <w:tcW w:w="540" w:type="dxa"/>
            <w:tcBorders>
              <w:top w:val="single" w:sz="4" w:space="0" w:color="FFFFFF" w:themeColor="background1"/>
              <w:left w:val="nil"/>
              <w:bottom w:val="single" w:sz="12" w:space="0" w:color="auto"/>
              <w:right w:val="nil"/>
            </w:tcBorders>
            <w:vAlign w:val="center"/>
          </w:tcPr>
          <w:p w14:paraId="6FCB8650" w14:textId="77777777" w:rsidR="00883722" w:rsidRPr="00C96975" w:rsidRDefault="00883722" w:rsidP="00883722">
            <w:pPr>
              <w:tabs>
                <w:tab w:val="left" w:pos="426"/>
              </w:tabs>
              <w:jc w:val="center"/>
              <w:rPr>
                <w:rFonts w:ascii="Times New Roman" w:hAnsi="Times New Roman" w:cs="Times New Roman"/>
                <w:b/>
                <w:bCs/>
                <w:color w:val="000000"/>
                <w:sz w:val="21"/>
                <w:szCs w:val="21"/>
              </w:rPr>
            </w:pPr>
          </w:p>
        </w:tc>
        <w:tc>
          <w:tcPr>
            <w:tcW w:w="1676" w:type="dxa"/>
            <w:tcBorders>
              <w:top w:val="single" w:sz="4" w:space="0" w:color="auto"/>
              <w:left w:val="nil"/>
              <w:bottom w:val="single" w:sz="12" w:space="0" w:color="auto"/>
              <w:right w:val="nil"/>
            </w:tcBorders>
            <w:vAlign w:val="center"/>
          </w:tcPr>
          <w:p w14:paraId="6DECA6D7"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Independent</w:t>
            </w:r>
          </w:p>
        </w:tc>
        <w:tc>
          <w:tcPr>
            <w:tcW w:w="1676" w:type="dxa"/>
            <w:tcBorders>
              <w:top w:val="single" w:sz="4" w:space="0" w:color="auto"/>
              <w:left w:val="nil"/>
              <w:bottom w:val="single" w:sz="12" w:space="0" w:color="auto"/>
              <w:right w:val="nil"/>
            </w:tcBorders>
            <w:vAlign w:val="center"/>
          </w:tcPr>
          <w:p w14:paraId="2AC98902"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Additive</w:t>
            </w:r>
          </w:p>
        </w:tc>
        <w:tc>
          <w:tcPr>
            <w:tcW w:w="1676" w:type="dxa"/>
            <w:tcBorders>
              <w:top w:val="single" w:sz="4" w:space="0" w:color="auto"/>
              <w:left w:val="nil"/>
              <w:bottom w:val="single" w:sz="12" w:space="0" w:color="auto"/>
              <w:right w:val="nil"/>
            </w:tcBorders>
            <w:vAlign w:val="center"/>
          </w:tcPr>
          <w:p w14:paraId="1099D1CB" w14:textId="77777777" w:rsidR="00883722" w:rsidRPr="00C96975" w:rsidRDefault="00883722" w:rsidP="00883722">
            <w:pPr>
              <w:tabs>
                <w:tab w:val="left" w:pos="426"/>
              </w:tabs>
              <w:jc w:val="center"/>
              <w:rPr>
                <w:rFonts w:ascii="Times New Roman" w:hAnsi="Times New Roman" w:cs="Times New Roman"/>
                <w:b/>
                <w:bCs/>
                <w:color w:val="000000"/>
                <w:sz w:val="21"/>
                <w:szCs w:val="21"/>
              </w:rPr>
            </w:pPr>
            <w:r w:rsidRPr="00C96975">
              <w:rPr>
                <w:rFonts w:ascii="Times New Roman" w:hAnsi="Times New Roman" w:cs="Times New Roman"/>
                <w:b/>
                <w:bCs/>
                <w:color w:val="000000"/>
                <w:sz w:val="21"/>
                <w:szCs w:val="21"/>
              </w:rPr>
              <w:t>Moderating</w:t>
            </w:r>
          </w:p>
        </w:tc>
      </w:tr>
      <w:tr w:rsidR="00883722" w:rsidRPr="00154180" w14:paraId="69879F1E" w14:textId="77777777" w:rsidTr="00305090">
        <w:trPr>
          <w:gridAfter w:val="1"/>
          <w:wAfter w:w="12" w:type="dxa"/>
          <w:trHeight w:val="432"/>
          <w:jc w:val="center"/>
        </w:trPr>
        <w:tc>
          <w:tcPr>
            <w:tcW w:w="2790" w:type="dxa"/>
            <w:tcBorders>
              <w:top w:val="single" w:sz="12" w:space="0" w:color="auto"/>
              <w:left w:val="nil"/>
              <w:bottom w:val="nil"/>
              <w:right w:val="nil"/>
            </w:tcBorders>
            <w:vAlign w:val="center"/>
          </w:tcPr>
          <w:p w14:paraId="69294455"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Intercept</w:t>
            </w:r>
          </w:p>
        </w:tc>
        <w:tc>
          <w:tcPr>
            <w:tcW w:w="1740" w:type="dxa"/>
            <w:tcBorders>
              <w:top w:val="nil"/>
              <w:left w:val="nil"/>
              <w:bottom w:val="nil"/>
              <w:right w:val="nil"/>
            </w:tcBorders>
            <w:shd w:val="clear" w:color="auto" w:fill="auto"/>
            <w:vAlign w:val="bottom"/>
          </w:tcPr>
          <w:p w14:paraId="6F2F57C1"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0.699**</w:t>
            </w:r>
            <w:r w:rsidRPr="00C96975">
              <w:rPr>
                <w:rFonts w:ascii="Times New Roman" w:hAnsi="Times New Roman" w:cs="Times New Roman"/>
                <w:sz w:val="21"/>
                <w:szCs w:val="21"/>
              </w:rPr>
              <w:br/>
              <w:t>(2.400)</w:t>
            </w:r>
          </w:p>
        </w:tc>
        <w:tc>
          <w:tcPr>
            <w:tcW w:w="1740" w:type="dxa"/>
            <w:tcBorders>
              <w:top w:val="nil"/>
              <w:left w:val="nil"/>
              <w:bottom w:val="nil"/>
              <w:right w:val="nil"/>
            </w:tcBorders>
            <w:shd w:val="clear" w:color="auto" w:fill="auto"/>
            <w:vAlign w:val="bottom"/>
          </w:tcPr>
          <w:p w14:paraId="06467004"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0.635*</w:t>
            </w:r>
            <w:r w:rsidRPr="00C96975">
              <w:rPr>
                <w:rFonts w:ascii="Times New Roman" w:hAnsi="Times New Roman" w:cs="Times New Roman"/>
                <w:sz w:val="21"/>
                <w:szCs w:val="21"/>
              </w:rPr>
              <w:br/>
              <w:t>(1.830)</w:t>
            </w:r>
          </w:p>
        </w:tc>
        <w:tc>
          <w:tcPr>
            <w:tcW w:w="1740" w:type="dxa"/>
            <w:tcBorders>
              <w:top w:val="nil"/>
              <w:left w:val="nil"/>
              <w:bottom w:val="nil"/>
              <w:right w:val="nil"/>
            </w:tcBorders>
            <w:shd w:val="clear" w:color="auto" w:fill="auto"/>
            <w:vAlign w:val="bottom"/>
          </w:tcPr>
          <w:p w14:paraId="57440851"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0.702*</w:t>
            </w:r>
            <w:r w:rsidRPr="00C96975">
              <w:rPr>
                <w:rFonts w:ascii="Times New Roman" w:hAnsi="Times New Roman" w:cs="Times New Roman"/>
                <w:sz w:val="21"/>
                <w:szCs w:val="21"/>
              </w:rPr>
              <w:br/>
              <w:t>(1.840)</w:t>
            </w:r>
          </w:p>
        </w:tc>
        <w:tc>
          <w:tcPr>
            <w:tcW w:w="540" w:type="dxa"/>
            <w:tcBorders>
              <w:top w:val="nil"/>
              <w:left w:val="nil"/>
              <w:bottom w:val="nil"/>
              <w:right w:val="nil"/>
            </w:tcBorders>
            <w:shd w:val="clear" w:color="auto" w:fill="auto"/>
            <w:vAlign w:val="bottom"/>
          </w:tcPr>
          <w:p w14:paraId="67FFF479"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6152B91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0.172**</w:t>
            </w:r>
            <w:r w:rsidRPr="00C96975">
              <w:rPr>
                <w:rFonts w:ascii="Times New Roman" w:hAnsi="Times New Roman" w:cs="Times New Roman"/>
                <w:sz w:val="21"/>
                <w:szCs w:val="21"/>
              </w:rPr>
              <w:br/>
              <w:t>(2.440)</w:t>
            </w:r>
          </w:p>
        </w:tc>
        <w:tc>
          <w:tcPr>
            <w:tcW w:w="1676" w:type="dxa"/>
            <w:tcBorders>
              <w:top w:val="nil"/>
              <w:left w:val="nil"/>
              <w:bottom w:val="nil"/>
              <w:right w:val="nil"/>
            </w:tcBorders>
            <w:shd w:val="clear" w:color="auto" w:fill="auto"/>
            <w:vAlign w:val="bottom"/>
          </w:tcPr>
          <w:p w14:paraId="3D94BB1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0.116*</w:t>
            </w:r>
            <w:r w:rsidRPr="00C96975">
              <w:rPr>
                <w:rFonts w:ascii="Times New Roman" w:hAnsi="Times New Roman" w:cs="Times New Roman"/>
                <w:sz w:val="21"/>
                <w:szCs w:val="21"/>
              </w:rPr>
              <w:br/>
              <w:t>(1.880)</w:t>
            </w:r>
          </w:p>
        </w:tc>
        <w:tc>
          <w:tcPr>
            <w:tcW w:w="1676" w:type="dxa"/>
            <w:tcBorders>
              <w:top w:val="nil"/>
              <w:left w:val="nil"/>
              <w:bottom w:val="nil"/>
              <w:right w:val="nil"/>
            </w:tcBorders>
            <w:shd w:val="clear" w:color="auto" w:fill="auto"/>
            <w:vAlign w:val="bottom"/>
          </w:tcPr>
          <w:p w14:paraId="0DD96F18"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0.164</w:t>
            </w:r>
            <w:r w:rsidRPr="00C96975">
              <w:rPr>
                <w:rFonts w:ascii="Times New Roman" w:hAnsi="Times New Roman" w:cs="Times New Roman"/>
                <w:sz w:val="21"/>
                <w:szCs w:val="21"/>
              </w:rPr>
              <w:br/>
              <w:t>(1.590)</w:t>
            </w:r>
          </w:p>
        </w:tc>
      </w:tr>
      <w:tr w:rsidR="00883722" w:rsidRPr="00154180" w14:paraId="3517F00D" w14:textId="77777777" w:rsidTr="00305090">
        <w:trPr>
          <w:gridAfter w:val="1"/>
          <w:wAfter w:w="12" w:type="dxa"/>
          <w:trHeight w:val="432"/>
          <w:jc w:val="center"/>
        </w:trPr>
        <w:tc>
          <w:tcPr>
            <w:tcW w:w="2790" w:type="dxa"/>
            <w:tcBorders>
              <w:top w:val="nil"/>
              <w:left w:val="nil"/>
              <w:bottom w:val="nil"/>
              <w:right w:val="nil"/>
            </w:tcBorders>
            <w:vAlign w:val="center"/>
          </w:tcPr>
          <w:p w14:paraId="12F032F8"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GOVI</w:t>
            </w:r>
          </w:p>
        </w:tc>
        <w:tc>
          <w:tcPr>
            <w:tcW w:w="1740" w:type="dxa"/>
            <w:tcBorders>
              <w:top w:val="nil"/>
              <w:left w:val="nil"/>
              <w:bottom w:val="nil"/>
              <w:right w:val="nil"/>
            </w:tcBorders>
            <w:shd w:val="clear" w:color="auto" w:fill="auto"/>
            <w:vAlign w:val="bottom"/>
          </w:tcPr>
          <w:p w14:paraId="23E00B3E"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0.329*</w:t>
            </w:r>
            <w:r w:rsidRPr="00C96975">
              <w:rPr>
                <w:rFonts w:ascii="Times New Roman" w:hAnsi="Times New Roman" w:cs="Times New Roman"/>
                <w:sz w:val="21"/>
                <w:szCs w:val="21"/>
              </w:rPr>
              <w:br/>
              <w:t>(1.820)</w:t>
            </w:r>
          </w:p>
        </w:tc>
        <w:tc>
          <w:tcPr>
            <w:tcW w:w="1740" w:type="dxa"/>
            <w:tcBorders>
              <w:top w:val="nil"/>
              <w:left w:val="nil"/>
              <w:bottom w:val="nil"/>
              <w:right w:val="nil"/>
            </w:tcBorders>
            <w:shd w:val="clear" w:color="auto" w:fill="auto"/>
            <w:vAlign w:val="bottom"/>
          </w:tcPr>
          <w:p w14:paraId="651C175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0.458**</w:t>
            </w:r>
            <w:r w:rsidRPr="00C96975">
              <w:rPr>
                <w:rFonts w:ascii="Times New Roman" w:hAnsi="Times New Roman" w:cs="Times New Roman"/>
                <w:sz w:val="21"/>
                <w:szCs w:val="21"/>
              </w:rPr>
              <w:br/>
              <w:t>(2.490)</w:t>
            </w:r>
          </w:p>
        </w:tc>
        <w:tc>
          <w:tcPr>
            <w:tcW w:w="1740" w:type="dxa"/>
            <w:tcBorders>
              <w:top w:val="nil"/>
              <w:left w:val="nil"/>
              <w:bottom w:val="nil"/>
              <w:right w:val="nil"/>
            </w:tcBorders>
            <w:shd w:val="clear" w:color="auto" w:fill="auto"/>
            <w:vAlign w:val="bottom"/>
          </w:tcPr>
          <w:p w14:paraId="01B98D2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0.293**</w:t>
            </w:r>
            <w:r w:rsidRPr="00C96975">
              <w:rPr>
                <w:rFonts w:ascii="Times New Roman" w:hAnsi="Times New Roman" w:cs="Times New Roman"/>
                <w:sz w:val="21"/>
                <w:szCs w:val="21"/>
              </w:rPr>
              <w:br/>
              <w:t>(2.360)</w:t>
            </w:r>
          </w:p>
        </w:tc>
        <w:tc>
          <w:tcPr>
            <w:tcW w:w="540" w:type="dxa"/>
            <w:tcBorders>
              <w:top w:val="nil"/>
              <w:left w:val="nil"/>
              <w:bottom w:val="nil"/>
              <w:right w:val="nil"/>
            </w:tcBorders>
            <w:shd w:val="clear" w:color="auto" w:fill="auto"/>
            <w:vAlign w:val="bottom"/>
          </w:tcPr>
          <w:p w14:paraId="4668CB63"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3D4F73FA"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0.025**</w:t>
            </w:r>
            <w:r w:rsidRPr="00C96975">
              <w:rPr>
                <w:rFonts w:ascii="Times New Roman" w:hAnsi="Times New Roman" w:cs="Times New Roman"/>
                <w:sz w:val="21"/>
                <w:szCs w:val="21"/>
              </w:rPr>
              <w:br/>
              <w:t>(2.070)</w:t>
            </w:r>
          </w:p>
        </w:tc>
        <w:tc>
          <w:tcPr>
            <w:tcW w:w="1676" w:type="dxa"/>
            <w:tcBorders>
              <w:top w:val="nil"/>
              <w:left w:val="nil"/>
              <w:bottom w:val="nil"/>
              <w:right w:val="nil"/>
            </w:tcBorders>
            <w:shd w:val="clear" w:color="auto" w:fill="auto"/>
            <w:vAlign w:val="bottom"/>
          </w:tcPr>
          <w:p w14:paraId="2C21149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0.087**</w:t>
            </w:r>
            <w:r w:rsidRPr="00C96975">
              <w:rPr>
                <w:rFonts w:ascii="Times New Roman" w:hAnsi="Times New Roman" w:cs="Times New Roman"/>
                <w:sz w:val="21"/>
                <w:szCs w:val="21"/>
              </w:rPr>
              <w:br/>
              <w:t>(2.580)</w:t>
            </w:r>
          </w:p>
        </w:tc>
        <w:tc>
          <w:tcPr>
            <w:tcW w:w="1676" w:type="dxa"/>
            <w:tcBorders>
              <w:top w:val="nil"/>
              <w:left w:val="nil"/>
              <w:bottom w:val="nil"/>
              <w:right w:val="nil"/>
            </w:tcBorders>
            <w:shd w:val="clear" w:color="auto" w:fill="auto"/>
            <w:vAlign w:val="bottom"/>
          </w:tcPr>
          <w:p w14:paraId="0C1FA55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0.059**</w:t>
            </w:r>
            <w:r w:rsidRPr="00C96975">
              <w:rPr>
                <w:rFonts w:ascii="Times New Roman" w:hAnsi="Times New Roman" w:cs="Times New Roman"/>
                <w:sz w:val="21"/>
                <w:szCs w:val="21"/>
              </w:rPr>
              <w:br/>
              <w:t>(2.170)</w:t>
            </w:r>
          </w:p>
        </w:tc>
      </w:tr>
      <w:tr w:rsidR="00883722" w:rsidRPr="00154180" w14:paraId="0D8AD68C" w14:textId="77777777" w:rsidTr="00305090">
        <w:trPr>
          <w:gridAfter w:val="1"/>
          <w:wAfter w:w="12" w:type="dxa"/>
          <w:trHeight w:val="432"/>
          <w:jc w:val="center"/>
        </w:trPr>
        <w:tc>
          <w:tcPr>
            <w:tcW w:w="2790" w:type="dxa"/>
            <w:tcBorders>
              <w:top w:val="nil"/>
              <w:left w:val="nil"/>
              <w:bottom w:val="nil"/>
              <w:right w:val="nil"/>
            </w:tcBorders>
            <w:vAlign w:val="center"/>
          </w:tcPr>
          <w:p w14:paraId="7260E196"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COGI</w:t>
            </w:r>
          </w:p>
        </w:tc>
        <w:tc>
          <w:tcPr>
            <w:tcW w:w="1740" w:type="dxa"/>
            <w:tcBorders>
              <w:top w:val="nil"/>
              <w:left w:val="nil"/>
              <w:bottom w:val="nil"/>
              <w:right w:val="nil"/>
            </w:tcBorders>
            <w:shd w:val="clear" w:color="auto" w:fill="auto"/>
            <w:vAlign w:val="bottom"/>
          </w:tcPr>
          <w:p w14:paraId="09BB208C"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0.258</w:t>
            </w:r>
            <w:r w:rsidRPr="00C96975">
              <w:rPr>
                <w:rFonts w:ascii="Times New Roman" w:hAnsi="Times New Roman" w:cs="Times New Roman"/>
                <w:sz w:val="21"/>
                <w:szCs w:val="21"/>
              </w:rPr>
              <w:br/>
              <w:t>(0.130)</w:t>
            </w:r>
          </w:p>
        </w:tc>
        <w:tc>
          <w:tcPr>
            <w:tcW w:w="1740" w:type="dxa"/>
            <w:tcBorders>
              <w:top w:val="nil"/>
              <w:left w:val="nil"/>
              <w:bottom w:val="nil"/>
              <w:right w:val="nil"/>
            </w:tcBorders>
            <w:shd w:val="clear" w:color="auto" w:fill="auto"/>
            <w:vAlign w:val="bottom"/>
          </w:tcPr>
          <w:p w14:paraId="6ADC417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0.106*</w:t>
            </w:r>
            <w:r w:rsidRPr="00C96975">
              <w:rPr>
                <w:rFonts w:ascii="Times New Roman" w:hAnsi="Times New Roman" w:cs="Times New Roman"/>
                <w:sz w:val="21"/>
                <w:szCs w:val="21"/>
              </w:rPr>
              <w:br/>
              <w:t>(1.880)</w:t>
            </w:r>
          </w:p>
        </w:tc>
        <w:tc>
          <w:tcPr>
            <w:tcW w:w="1740" w:type="dxa"/>
            <w:tcBorders>
              <w:top w:val="nil"/>
              <w:left w:val="nil"/>
              <w:bottom w:val="nil"/>
              <w:right w:val="nil"/>
            </w:tcBorders>
            <w:shd w:val="clear" w:color="auto" w:fill="auto"/>
            <w:vAlign w:val="bottom"/>
          </w:tcPr>
          <w:p w14:paraId="1EC7A129" w14:textId="77777777" w:rsidR="00883722" w:rsidRPr="00C96975" w:rsidRDefault="00883722" w:rsidP="00883722">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bottom"/>
          </w:tcPr>
          <w:p w14:paraId="6B7E675A"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6B4FD025"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0.600**</w:t>
            </w:r>
            <w:r w:rsidRPr="00C96975">
              <w:rPr>
                <w:rFonts w:ascii="Times New Roman" w:hAnsi="Times New Roman" w:cs="Times New Roman"/>
                <w:sz w:val="21"/>
                <w:szCs w:val="21"/>
              </w:rPr>
              <w:br/>
              <w:t>(2.260)</w:t>
            </w:r>
          </w:p>
        </w:tc>
        <w:tc>
          <w:tcPr>
            <w:tcW w:w="1676" w:type="dxa"/>
            <w:tcBorders>
              <w:top w:val="nil"/>
              <w:left w:val="nil"/>
              <w:bottom w:val="nil"/>
              <w:right w:val="nil"/>
            </w:tcBorders>
            <w:shd w:val="clear" w:color="auto" w:fill="auto"/>
            <w:vAlign w:val="bottom"/>
          </w:tcPr>
          <w:p w14:paraId="6FF0FD5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0.105</w:t>
            </w:r>
            <w:r w:rsidRPr="00C96975">
              <w:rPr>
                <w:rFonts w:ascii="Times New Roman" w:hAnsi="Times New Roman" w:cs="Times New Roman"/>
                <w:sz w:val="21"/>
                <w:szCs w:val="21"/>
              </w:rPr>
              <w:br/>
              <w:t>(0.990)</w:t>
            </w:r>
          </w:p>
        </w:tc>
        <w:tc>
          <w:tcPr>
            <w:tcW w:w="1676" w:type="dxa"/>
            <w:tcBorders>
              <w:top w:val="nil"/>
              <w:left w:val="nil"/>
              <w:bottom w:val="nil"/>
              <w:right w:val="nil"/>
            </w:tcBorders>
            <w:shd w:val="clear" w:color="auto" w:fill="auto"/>
            <w:vAlign w:val="bottom"/>
          </w:tcPr>
          <w:p w14:paraId="0B350EF0" w14:textId="77777777" w:rsidR="00883722" w:rsidRPr="00C96975" w:rsidRDefault="00883722" w:rsidP="00883722">
            <w:pPr>
              <w:tabs>
                <w:tab w:val="left" w:pos="426"/>
              </w:tabs>
              <w:jc w:val="center"/>
              <w:rPr>
                <w:rFonts w:ascii="Times New Roman" w:hAnsi="Times New Roman" w:cs="Times New Roman"/>
                <w:sz w:val="21"/>
                <w:szCs w:val="21"/>
              </w:rPr>
            </w:pPr>
          </w:p>
        </w:tc>
      </w:tr>
      <w:tr w:rsidR="00883722" w:rsidRPr="00154180" w14:paraId="29A59CF4" w14:textId="77777777" w:rsidTr="00305090">
        <w:trPr>
          <w:gridAfter w:val="1"/>
          <w:wAfter w:w="12" w:type="dxa"/>
          <w:trHeight w:val="432"/>
          <w:jc w:val="center"/>
        </w:trPr>
        <w:tc>
          <w:tcPr>
            <w:tcW w:w="2790" w:type="dxa"/>
            <w:tcBorders>
              <w:top w:val="nil"/>
              <w:left w:val="nil"/>
              <w:bottom w:val="nil"/>
              <w:right w:val="nil"/>
            </w:tcBorders>
            <w:vAlign w:val="center"/>
          </w:tcPr>
          <w:p w14:paraId="225565AB"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GOVI*COGI</w:t>
            </w:r>
          </w:p>
        </w:tc>
        <w:tc>
          <w:tcPr>
            <w:tcW w:w="1740" w:type="dxa"/>
            <w:tcBorders>
              <w:top w:val="nil"/>
              <w:left w:val="nil"/>
              <w:bottom w:val="nil"/>
              <w:right w:val="nil"/>
            </w:tcBorders>
            <w:shd w:val="clear" w:color="auto" w:fill="auto"/>
            <w:vAlign w:val="bottom"/>
          </w:tcPr>
          <w:p w14:paraId="412A1C6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0.151*</w:t>
            </w:r>
            <w:r w:rsidRPr="00C96975">
              <w:rPr>
                <w:rFonts w:ascii="Times New Roman" w:hAnsi="Times New Roman" w:cs="Times New Roman"/>
                <w:sz w:val="21"/>
                <w:szCs w:val="21"/>
              </w:rPr>
              <w:br/>
              <w:t>(1.870)</w:t>
            </w:r>
          </w:p>
        </w:tc>
        <w:tc>
          <w:tcPr>
            <w:tcW w:w="1740" w:type="dxa"/>
            <w:tcBorders>
              <w:top w:val="nil"/>
              <w:left w:val="nil"/>
              <w:bottom w:val="nil"/>
              <w:right w:val="nil"/>
            </w:tcBorders>
            <w:shd w:val="clear" w:color="auto" w:fill="auto"/>
            <w:vAlign w:val="bottom"/>
          </w:tcPr>
          <w:p w14:paraId="07914A22" w14:textId="77777777" w:rsidR="00883722" w:rsidRPr="00C96975" w:rsidRDefault="00883722"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6BD5A73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0.194**</w:t>
            </w:r>
            <w:r w:rsidRPr="00C96975">
              <w:rPr>
                <w:rFonts w:ascii="Times New Roman" w:hAnsi="Times New Roman" w:cs="Times New Roman"/>
                <w:sz w:val="21"/>
                <w:szCs w:val="21"/>
              </w:rPr>
              <w:br/>
              <w:t>(2.300)</w:t>
            </w:r>
          </w:p>
        </w:tc>
        <w:tc>
          <w:tcPr>
            <w:tcW w:w="540" w:type="dxa"/>
            <w:tcBorders>
              <w:top w:val="nil"/>
              <w:left w:val="nil"/>
              <w:bottom w:val="nil"/>
              <w:right w:val="nil"/>
            </w:tcBorders>
            <w:shd w:val="clear" w:color="auto" w:fill="auto"/>
            <w:vAlign w:val="bottom"/>
          </w:tcPr>
          <w:p w14:paraId="7E7D7B11"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2EE7261A"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0.132*</w:t>
            </w:r>
            <w:r w:rsidRPr="00C96975">
              <w:rPr>
                <w:rFonts w:ascii="Times New Roman" w:hAnsi="Times New Roman" w:cs="Times New Roman"/>
                <w:sz w:val="21"/>
                <w:szCs w:val="21"/>
              </w:rPr>
              <w:br/>
              <w:t>(1.740)</w:t>
            </w:r>
          </w:p>
        </w:tc>
        <w:tc>
          <w:tcPr>
            <w:tcW w:w="1676" w:type="dxa"/>
            <w:tcBorders>
              <w:top w:val="nil"/>
              <w:left w:val="nil"/>
              <w:bottom w:val="nil"/>
              <w:right w:val="nil"/>
            </w:tcBorders>
            <w:shd w:val="clear" w:color="auto" w:fill="auto"/>
            <w:vAlign w:val="bottom"/>
          </w:tcPr>
          <w:p w14:paraId="74AD6EB6"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3C7D2FF5"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0.032**</w:t>
            </w:r>
            <w:r w:rsidRPr="00C96975">
              <w:rPr>
                <w:rFonts w:ascii="Times New Roman" w:hAnsi="Times New Roman" w:cs="Times New Roman"/>
                <w:sz w:val="21"/>
                <w:szCs w:val="21"/>
              </w:rPr>
              <w:br/>
              <w:t>(2.030)</w:t>
            </w:r>
          </w:p>
        </w:tc>
      </w:tr>
      <w:tr w:rsidR="00883722" w:rsidRPr="00154180" w14:paraId="7E92197A" w14:textId="77777777" w:rsidTr="00305090">
        <w:trPr>
          <w:gridAfter w:val="1"/>
          <w:wAfter w:w="12" w:type="dxa"/>
          <w:trHeight w:val="432"/>
          <w:jc w:val="center"/>
        </w:trPr>
        <w:tc>
          <w:tcPr>
            <w:tcW w:w="2790" w:type="dxa"/>
            <w:tcBorders>
              <w:top w:val="nil"/>
              <w:left w:val="nil"/>
              <w:bottom w:val="nil"/>
              <w:right w:val="nil"/>
            </w:tcBorders>
            <w:vAlign w:val="center"/>
          </w:tcPr>
          <w:p w14:paraId="5182F30A"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SIZE</w:t>
            </w:r>
          </w:p>
        </w:tc>
        <w:tc>
          <w:tcPr>
            <w:tcW w:w="1740" w:type="dxa"/>
            <w:tcBorders>
              <w:top w:val="nil"/>
              <w:left w:val="nil"/>
              <w:bottom w:val="nil"/>
              <w:right w:val="nil"/>
            </w:tcBorders>
            <w:shd w:val="clear" w:color="auto" w:fill="auto"/>
            <w:vAlign w:val="bottom"/>
          </w:tcPr>
          <w:p w14:paraId="27B29B8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0.160</w:t>
            </w:r>
            <w:r w:rsidRPr="00C96975">
              <w:rPr>
                <w:rFonts w:ascii="Times New Roman" w:hAnsi="Times New Roman" w:cs="Times New Roman"/>
                <w:sz w:val="21"/>
                <w:szCs w:val="21"/>
              </w:rPr>
              <w:br/>
              <w:t>(1.320)</w:t>
            </w:r>
          </w:p>
        </w:tc>
        <w:tc>
          <w:tcPr>
            <w:tcW w:w="1740" w:type="dxa"/>
            <w:tcBorders>
              <w:top w:val="nil"/>
              <w:left w:val="nil"/>
              <w:bottom w:val="nil"/>
              <w:right w:val="nil"/>
            </w:tcBorders>
            <w:shd w:val="clear" w:color="auto" w:fill="auto"/>
            <w:vAlign w:val="bottom"/>
          </w:tcPr>
          <w:p w14:paraId="0A055C2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0.159</w:t>
            </w:r>
            <w:r w:rsidRPr="00C96975">
              <w:rPr>
                <w:rFonts w:ascii="Times New Roman" w:hAnsi="Times New Roman" w:cs="Times New Roman"/>
                <w:sz w:val="21"/>
                <w:szCs w:val="21"/>
              </w:rPr>
              <w:br/>
              <w:t>(1.300)</w:t>
            </w:r>
          </w:p>
        </w:tc>
        <w:tc>
          <w:tcPr>
            <w:tcW w:w="1740" w:type="dxa"/>
            <w:tcBorders>
              <w:top w:val="nil"/>
              <w:left w:val="nil"/>
              <w:bottom w:val="nil"/>
              <w:right w:val="nil"/>
            </w:tcBorders>
            <w:shd w:val="clear" w:color="auto" w:fill="auto"/>
            <w:vAlign w:val="bottom"/>
          </w:tcPr>
          <w:p w14:paraId="0AAD9419"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0.160</w:t>
            </w:r>
            <w:r w:rsidRPr="00C96975">
              <w:rPr>
                <w:rFonts w:ascii="Times New Roman" w:hAnsi="Times New Roman" w:cs="Times New Roman"/>
                <w:sz w:val="21"/>
                <w:szCs w:val="21"/>
              </w:rPr>
              <w:br/>
              <w:t>(1.310)</w:t>
            </w:r>
          </w:p>
        </w:tc>
        <w:tc>
          <w:tcPr>
            <w:tcW w:w="540" w:type="dxa"/>
            <w:tcBorders>
              <w:top w:val="nil"/>
              <w:left w:val="nil"/>
              <w:bottom w:val="nil"/>
              <w:right w:val="nil"/>
            </w:tcBorders>
            <w:shd w:val="clear" w:color="auto" w:fill="auto"/>
            <w:vAlign w:val="bottom"/>
          </w:tcPr>
          <w:p w14:paraId="40173895"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55E27A21"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-0.292***</w:t>
            </w:r>
            <w:r w:rsidRPr="00C96975">
              <w:rPr>
                <w:rFonts w:ascii="Times New Roman" w:hAnsi="Times New Roman" w:cs="Times New Roman"/>
                <w:sz w:val="21"/>
                <w:szCs w:val="21"/>
              </w:rPr>
              <w:br/>
              <w:t>(-2.960)</w:t>
            </w:r>
          </w:p>
        </w:tc>
        <w:tc>
          <w:tcPr>
            <w:tcW w:w="1676" w:type="dxa"/>
            <w:tcBorders>
              <w:top w:val="nil"/>
              <w:left w:val="nil"/>
              <w:bottom w:val="nil"/>
              <w:right w:val="nil"/>
            </w:tcBorders>
            <w:shd w:val="clear" w:color="auto" w:fill="auto"/>
            <w:vAlign w:val="bottom"/>
          </w:tcPr>
          <w:p w14:paraId="6C74213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-0.302***</w:t>
            </w:r>
            <w:r w:rsidRPr="00C96975">
              <w:rPr>
                <w:rFonts w:ascii="Times New Roman" w:hAnsi="Times New Roman" w:cs="Times New Roman"/>
                <w:sz w:val="21"/>
                <w:szCs w:val="21"/>
              </w:rPr>
              <w:br/>
              <w:t>(-3.010)</w:t>
            </w:r>
          </w:p>
        </w:tc>
        <w:tc>
          <w:tcPr>
            <w:tcW w:w="1676" w:type="dxa"/>
            <w:tcBorders>
              <w:top w:val="nil"/>
              <w:left w:val="nil"/>
              <w:bottom w:val="nil"/>
              <w:right w:val="nil"/>
            </w:tcBorders>
            <w:shd w:val="clear" w:color="auto" w:fill="auto"/>
            <w:vAlign w:val="bottom"/>
          </w:tcPr>
          <w:p w14:paraId="3E2A79DE"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-0.294***</w:t>
            </w:r>
            <w:r w:rsidRPr="00C96975">
              <w:rPr>
                <w:rFonts w:ascii="Times New Roman" w:hAnsi="Times New Roman" w:cs="Times New Roman"/>
                <w:sz w:val="21"/>
                <w:szCs w:val="21"/>
              </w:rPr>
              <w:br/>
              <w:t>(-2.970)</w:t>
            </w:r>
          </w:p>
        </w:tc>
      </w:tr>
      <w:tr w:rsidR="00883722" w:rsidRPr="00154180" w14:paraId="31DD2133" w14:textId="77777777" w:rsidTr="00305090">
        <w:trPr>
          <w:gridAfter w:val="1"/>
          <w:wAfter w:w="12" w:type="dxa"/>
          <w:trHeight w:val="432"/>
          <w:jc w:val="center"/>
        </w:trPr>
        <w:tc>
          <w:tcPr>
            <w:tcW w:w="2790" w:type="dxa"/>
            <w:tcBorders>
              <w:top w:val="nil"/>
              <w:left w:val="nil"/>
              <w:bottom w:val="nil"/>
              <w:right w:val="nil"/>
            </w:tcBorders>
            <w:vAlign w:val="center"/>
          </w:tcPr>
          <w:p w14:paraId="45E869BC"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LEVG</w:t>
            </w:r>
          </w:p>
        </w:tc>
        <w:tc>
          <w:tcPr>
            <w:tcW w:w="1740" w:type="dxa"/>
            <w:tcBorders>
              <w:top w:val="nil"/>
              <w:left w:val="nil"/>
              <w:bottom w:val="nil"/>
              <w:right w:val="nil"/>
            </w:tcBorders>
            <w:shd w:val="clear" w:color="auto" w:fill="auto"/>
            <w:vAlign w:val="bottom"/>
          </w:tcPr>
          <w:p w14:paraId="002D3A6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0.737*</w:t>
            </w:r>
            <w:r w:rsidRPr="00C96975">
              <w:rPr>
                <w:rFonts w:ascii="Times New Roman" w:hAnsi="Times New Roman" w:cs="Times New Roman"/>
                <w:sz w:val="21"/>
                <w:szCs w:val="21"/>
              </w:rPr>
              <w:br/>
              <w:t>(1.990)</w:t>
            </w:r>
          </w:p>
        </w:tc>
        <w:tc>
          <w:tcPr>
            <w:tcW w:w="1740" w:type="dxa"/>
            <w:tcBorders>
              <w:top w:val="nil"/>
              <w:left w:val="nil"/>
              <w:bottom w:val="nil"/>
              <w:right w:val="nil"/>
            </w:tcBorders>
            <w:shd w:val="clear" w:color="auto" w:fill="auto"/>
            <w:vAlign w:val="bottom"/>
          </w:tcPr>
          <w:p w14:paraId="62271501"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0.737*</w:t>
            </w:r>
            <w:r w:rsidRPr="00C96975">
              <w:rPr>
                <w:rFonts w:ascii="Times New Roman" w:hAnsi="Times New Roman" w:cs="Times New Roman"/>
                <w:sz w:val="21"/>
                <w:szCs w:val="21"/>
              </w:rPr>
              <w:br/>
              <w:t>(1.990)</w:t>
            </w:r>
          </w:p>
        </w:tc>
        <w:tc>
          <w:tcPr>
            <w:tcW w:w="1740" w:type="dxa"/>
            <w:tcBorders>
              <w:top w:val="nil"/>
              <w:left w:val="nil"/>
              <w:bottom w:val="nil"/>
              <w:right w:val="nil"/>
            </w:tcBorders>
            <w:shd w:val="clear" w:color="auto" w:fill="auto"/>
            <w:vAlign w:val="bottom"/>
          </w:tcPr>
          <w:p w14:paraId="105DA40E"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0.737*</w:t>
            </w:r>
            <w:r w:rsidRPr="00C96975">
              <w:rPr>
                <w:rFonts w:ascii="Times New Roman" w:hAnsi="Times New Roman" w:cs="Times New Roman"/>
                <w:sz w:val="21"/>
                <w:szCs w:val="21"/>
              </w:rPr>
              <w:br/>
              <w:t>(1.990)</w:t>
            </w:r>
          </w:p>
        </w:tc>
        <w:tc>
          <w:tcPr>
            <w:tcW w:w="540" w:type="dxa"/>
            <w:tcBorders>
              <w:top w:val="nil"/>
              <w:left w:val="nil"/>
              <w:bottom w:val="nil"/>
              <w:right w:val="nil"/>
            </w:tcBorders>
            <w:shd w:val="clear" w:color="auto" w:fill="auto"/>
            <w:vAlign w:val="bottom"/>
          </w:tcPr>
          <w:p w14:paraId="736B6308"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79C321B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0.958</w:t>
            </w:r>
            <w:r w:rsidRPr="00C96975">
              <w:rPr>
                <w:rFonts w:ascii="Times New Roman" w:hAnsi="Times New Roman" w:cs="Times New Roman"/>
                <w:sz w:val="21"/>
                <w:szCs w:val="21"/>
              </w:rPr>
              <w:br/>
              <w:t>(0.340)</w:t>
            </w:r>
          </w:p>
        </w:tc>
        <w:tc>
          <w:tcPr>
            <w:tcW w:w="1676" w:type="dxa"/>
            <w:tcBorders>
              <w:top w:val="nil"/>
              <w:left w:val="nil"/>
              <w:bottom w:val="nil"/>
              <w:right w:val="nil"/>
            </w:tcBorders>
            <w:shd w:val="clear" w:color="auto" w:fill="auto"/>
            <w:vAlign w:val="bottom"/>
          </w:tcPr>
          <w:p w14:paraId="4DF1546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0.939</w:t>
            </w:r>
            <w:r w:rsidRPr="00C96975">
              <w:rPr>
                <w:rFonts w:ascii="Times New Roman" w:hAnsi="Times New Roman" w:cs="Times New Roman"/>
                <w:sz w:val="21"/>
                <w:szCs w:val="21"/>
              </w:rPr>
              <w:br/>
              <w:t>(0.340)</w:t>
            </w:r>
          </w:p>
        </w:tc>
        <w:tc>
          <w:tcPr>
            <w:tcW w:w="1676" w:type="dxa"/>
            <w:tcBorders>
              <w:top w:val="nil"/>
              <w:left w:val="nil"/>
              <w:bottom w:val="nil"/>
              <w:right w:val="nil"/>
            </w:tcBorders>
            <w:shd w:val="clear" w:color="auto" w:fill="auto"/>
            <w:vAlign w:val="bottom"/>
          </w:tcPr>
          <w:p w14:paraId="3E3FD50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0.908</w:t>
            </w:r>
            <w:r w:rsidRPr="00C96975">
              <w:rPr>
                <w:rFonts w:ascii="Times New Roman" w:hAnsi="Times New Roman" w:cs="Times New Roman"/>
                <w:sz w:val="21"/>
                <w:szCs w:val="21"/>
              </w:rPr>
              <w:br/>
              <w:t>(0.330)</w:t>
            </w:r>
          </w:p>
        </w:tc>
      </w:tr>
      <w:tr w:rsidR="00883722" w:rsidRPr="00154180" w14:paraId="61928FD3" w14:textId="77777777" w:rsidTr="00305090">
        <w:trPr>
          <w:gridAfter w:val="1"/>
          <w:wAfter w:w="12" w:type="dxa"/>
          <w:trHeight w:val="432"/>
          <w:jc w:val="center"/>
        </w:trPr>
        <w:tc>
          <w:tcPr>
            <w:tcW w:w="2790" w:type="dxa"/>
            <w:tcBorders>
              <w:top w:val="nil"/>
              <w:left w:val="nil"/>
              <w:bottom w:val="nil"/>
              <w:right w:val="nil"/>
            </w:tcBorders>
            <w:vAlign w:val="center"/>
          </w:tcPr>
          <w:p w14:paraId="0B4F7454"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GROW</w:t>
            </w:r>
          </w:p>
        </w:tc>
        <w:tc>
          <w:tcPr>
            <w:tcW w:w="1740" w:type="dxa"/>
            <w:tcBorders>
              <w:top w:val="nil"/>
              <w:left w:val="nil"/>
              <w:bottom w:val="nil"/>
              <w:right w:val="nil"/>
            </w:tcBorders>
            <w:shd w:val="clear" w:color="auto" w:fill="auto"/>
            <w:vAlign w:val="bottom"/>
          </w:tcPr>
          <w:p w14:paraId="022E62F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0.000</w:t>
            </w:r>
            <w:r w:rsidRPr="00C96975">
              <w:rPr>
                <w:rFonts w:ascii="Times New Roman" w:hAnsi="Times New Roman" w:cs="Times New Roman"/>
                <w:sz w:val="21"/>
                <w:szCs w:val="21"/>
              </w:rPr>
              <w:br/>
              <w:t>(1.560)</w:t>
            </w:r>
          </w:p>
        </w:tc>
        <w:tc>
          <w:tcPr>
            <w:tcW w:w="1740" w:type="dxa"/>
            <w:tcBorders>
              <w:top w:val="nil"/>
              <w:left w:val="nil"/>
              <w:bottom w:val="nil"/>
              <w:right w:val="nil"/>
            </w:tcBorders>
            <w:shd w:val="clear" w:color="auto" w:fill="auto"/>
            <w:vAlign w:val="bottom"/>
          </w:tcPr>
          <w:p w14:paraId="4897EDF5"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0.000</w:t>
            </w:r>
            <w:r w:rsidRPr="00C96975">
              <w:rPr>
                <w:rFonts w:ascii="Times New Roman" w:hAnsi="Times New Roman" w:cs="Times New Roman"/>
                <w:sz w:val="21"/>
                <w:szCs w:val="21"/>
              </w:rPr>
              <w:br/>
              <w:t>(1.540)</w:t>
            </w:r>
          </w:p>
        </w:tc>
        <w:tc>
          <w:tcPr>
            <w:tcW w:w="1740" w:type="dxa"/>
            <w:tcBorders>
              <w:top w:val="nil"/>
              <w:left w:val="nil"/>
              <w:bottom w:val="nil"/>
              <w:right w:val="nil"/>
            </w:tcBorders>
            <w:shd w:val="clear" w:color="auto" w:fill="auto"/>
            <w:vAlign w:val="bottom"/>
          </w:tcPr>
          <w:p w14:paraId="0790A16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0.000</w:t>
            </w:r>
            <w:r w:rsidRPr="00C96975">
              <w:rPr>
                <w:rFonts w:ascii="Times New Roman" w:hAnsi="Times New Roman" w:cs="Times New Roman"/>
                <w:sz w:val="21"/>
                <w:szCs w:val="21"/>
              </w:rPr>
              <w:br/>
              <w:t>(1.570)</w:t>
            </w:r>
          </w:p>
        </w:tc>
        <w:tc>
          <w:tcPr>
            <w:tcW w:w="540" w:type="dxa"/>
            <w:tcBorders>
              <w:top w:val="nil"/>
              <w:left w:val="nil"/>
              <w:bottom w:val="nil"/>
              <w:right w:val="nil"/>
            </w:tcBorders>
            <w:shd w:val="clear" w:color="auto" w:fill="auto"/>
            <w:vAlign w:val="bottom"/>
          </w:tcPr>
          <w:p w14:paraId="528BDAC2"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5A541A1E"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0.000</w:t>
            </w:r>
            <w:r w:rsidRPr="00C96975">
              <w:rPr>
                <w:rFonts w:ascii="Times New Roman" w:hAnsi="Times New Roman" w:cs="Times New Roman"/>
                <w:sz w:val="21"/>
                <w:szCs w:val="21"/>
              </w:rPr>
              <w:br/>
              <w:t>(0.650)</w:t>
            </w:r>
          </w:p>
        </w:tc>
        <w:tc>
          <w:tcPr>
            <w:tcW w:w="1676" w:type="dxa"/>
            <w:tcBorders>
              <w:top w:val="nil"/>
              <w:left w:val="nil"/>
              <w:bottom w:val="nil"/>
              <w:right w:val="nil"/>
            </w:tcBorders>
            <w:shd w:val="clear" w:color="auto" w:fill="auto"/>
            <w:vAlign w:val="bottom"/>
          </w:tcPr>
          <w:p w14:paraId="677AE256"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0.000</w:t>
            </w:r>
            <w:r w:rsidRPr="00C96975">
              <w:rPr>
                <w:rFonts w:ascii="Times New Roman" w:hAnsi="Times New Roman" w:cs="Times New Roman"/>
                <w:sz w:val="21"/>
                <w:szCs w:val="21"/>
              </w:rPr>
              <w:br/>
              <w:t>(0.560)</w:t>
            </w:r>
          </w:p>
        </w:tc>
        <w:tc>
          <w:tcPr>
            <w:tcW w:w="1676" w:type="dxa"/>
            <w:tcBorders>
              <w:top w:val="nil"/>
              <w:left w:val="nil"/>
              <w:bottom w:val="nil"/>
              <w:right w:val="nil"/>
            </w:tcBorders>
            <w:shd w:val="clear" w:color="auto" w:fill="auto"/>
            <w:vAlign w:val="bottom"/>
          </w:tcPr>
          <w:p w14:paraId="7049FD9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0.000</w:t>
            </w:r>
            <w:r w:rsidRPr="00C96975">
              <w:rPr>
                <w:rFonts w:ascii="Times New Roman" w:hAnsi="Times New Roman" w:cs="Times New Roman"/>
                <w:sz w:val="21"/>
                <w:szCs w:val="21"/>
              </w:rPr>
              <w:br/>
              <w:t>(0.570)</w:t>
            </w:r>
          </w:p>
        </w:tc>
      </w:tr>
      <w:tr w:rsidR="00883722" w:rsidRPr="00154180" w14:paraId="71F8368C" w14:textId="77777777" w:rsidTr="00305090">
        <w:trPr>
          <w:gridAfter w:val="1"/>
          <w:wAfter w:w="12" w:type="dxa"/>
          <w:trHeight w:val="432"/>
          <w:jc w:val="center"/>
        </w:trPr>
        <w:tc>
          <w:tcPr>
            <w:tcW w:w="2790" w:type="dxa"/>
            <w:tcBorders>
              <w:top w:val="nil"/>
              <w:left w:val="nil"/>
              <w:bottom w:val="nil"/>
              <w:right w:val="nil"/>
            </w:tcBorders>
            <w:vAlign w:val="center"/>
          </w:tcPr>
          <w:p w14:paraId="4EA4892A"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LGPC</w:t>
            </w:r>
          </w:p>
        </w:tc>
        <w:tc>
          <w:tcPr>
            <w:tcW w:w="1740" w:type="dxa"/>
            <w:tcBorders>
              <w:top w:val="nil"/>
              <w:left w:val="nil"/>
              <w:bottom w:val="nil"/>
              <w:right w:val="nil"/>
            </w:tcBorders>
            <w:shd w:val="clear" w:color="auto" w:fill="auto"/>
            <w:vAlign w:val="bottom"/>
          </w:tcPr>
          <w:p w14:paraId="192EDF3C"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-0.827**</w:t>
            </w:r>
            <w:r w:rsidRPr="00C96975">
              <w:rPr>
                <w:rFonts w:ascii="Times New Roman" w:hAnsi="Times New Roman" w:cs="Times New Roman"/>
                <w:sz w:val="21"/>
                <w:szCs w:val="21"/>
              </w:rPr>
              <w:br/>
              <w:t>(-2.180)</w:t>
            </w:r>
          </w:p>
        </w:tc>
        <w:tc>
          <w:tcPr>
            <w:tcW w:w="1740" w:type="dxa"/>
            <w:tcBorders>
              <w:top w:val="nil"/>
              <w:left w:val="nil"/>
              <w:bottom w:val="nil"/>
              <w:right w:val="nil"/>
            </w:tcBorders>
            <w:shd w:val="clear" w:color="auto" w:fill="auto"/>
            <w:vAlign w:val="bottom"/>
          </w:tcPr>
          <w:p w14:paraId="3636C58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-0.826**</w:t>
            </w:r>
            <w:r w:rsidRPr="00C96975">
              <w:rPr>
                <w:rFonts w:ascii="Times New Roman" w:hAnsi="Times New Roman" w:cs="Times New Roman"/>
                <w:sz w:val="21"/>
                <w:szCs w:val="21"/>
              </w:rPr>
              <w:br/>
              <w:t>(-2.150)</w:t>
            </w:r>
          </w:p>
        </w:tc>
        <w:tc>
          <w:tcPr>
            <w:tcW w:w="1740" w:type="dxa"/>
            <w:tcBorders>
              <w:top w:val="nil"/>
              <w:left w:val="nil"/>
              <w:bottom w:val="nil"/>
              <w:right w:val="nil"/>
            </w:tcBorders>
            <w:shd w:val="clear" w:color="auto" w:fill="auto"/>
            <w:vAlign w:val="bottom"/>
          </w:tcPr>
          <w:p w14:paraId="6E43D55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-0.810**</w:t>
            </w:r>
            <w:r w:rsidRPr="00C96975">
              <w:rPr>
                <w:rFonts w:ascii="Times New Roman" w:hAnsi="Times New Roman" w:cs="Times New Roman"/>
                <w:sz w:val="21"/>
                <w:szCs w:val="21"/>
              </w:rPr>
              <w:br/>
              <w:t>(-2.720)</w:t>
            </w:r>
          </w:p>
        </w:tc>
        <w:tc>
          <w:tcPr>
            <w:tcW w:w="540" w:type="dxa"/>
            <w:tcBorders>
              <w:top w:val="nil"/>
              <w:left w:val="nil"/>
              <w:bottom w:val="nil"/>
              <w:right w:val="nil"/>
            </w:tcBorders>
            <w:shd w:val="clear" w:color="auto" w:fill="auto"/>
            <w:vAlign w:val="bottom"/>
          </w:tcPr>
          <w:p w14:paraId="3B5CE8B0"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76577FA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-0.974</w:t>
            </w:r>
            <w:r w:rsidRPr="00C96975">
              <w:rPr>
                <w:rFonts w:ascii="Times New Roman" w:hAnsi="Times New Roman" w:cs="Times New Roman"/>
                <w:sz w:val="21"/>
                <w:szCs w:val="21"/>
              </w:rPr>
              <w:br/>
              <w:t>(-1.610)</w:t>
            </w:r>
          </w:p>
        </w:tc>
        <w:tc>
          <w:tcPr>
            <w:tcW w:w="1676" w:type="dxa"/>
            <w:tcBorders>
              <w:top w:val="nil"/>
              <w:left w:val="nil"/>
              <w:bottom w:val="nil"/>
              <w:right w:val="nil"/>
            </w:tcBorders>
            <w:shd w:val="clear" w:color="auto" w:fill="auto"/>
            <w:vAlign w:val="bottom"/>
          </w:tcPr>
          <w:p w14:paraId="15CA049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-0.972</w:t>
            </w:r>
            <w:r w:rsidRPr="00C96975">
              <w:rPr>
                <w:rFonts w:ascii="Times New Roman" w:hAnsi="Times New Roman" w:cs="Times New Roman"/>
                <w:sz w:val="21"/>
                <w:szCs w:val="21"/>
              </w:rPr>
              <w:br/>
              <w:t>(-1.400)</w:t>
            </w:r>
          </w:p>
        </w:tc>
        <w:tc>
          <w:tcPr>
            <w:tcW w:w="1676" w:type="dxa"/>
            <w:tcBorders>
              <w:top w:val="nil"/>
              <w:left w:val="nil"/>
              <w:bottom w:val="nil"/>
              <w:right w:val="nil"/>
            </w:tcBorders>
            <w:shd w:val="clear" w:color="auto" w:fill="auto"/>
            <w:vAlign w:val="bottom"/>
          </w:tcPr>
          <w:p w14:paraId="021EC856"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-0.135*</w:t>
            </w:r>
            <w:r w:rsidRPr="00C96975">
              <w:rPr>
                <w:rFonts w:ascii="Times New Roman" w:hAnsi="Times New Roman" w:cs="Times New Roman"/>
                <w:sz w:val="21"/>
                <w:szCs w:val="21"/>
              </w:rPr>
              <w:br/>
              <w:t>(-1.750)</w:t>
            </w:r>
          </w:p>
        </w:tc>
      </w:tr>
      <w:tr w:rsidR="00872780" w:rsidRPr="00683D28" w14:paraId="599D09F9" w14:textId="77777777" w:rsidTr="00305090">
        <w:trPr>
          <w:gridAfter w:val="1"/>
          <w:wAfter w:w="12" w:type="dxa"/>
          <w:trHeight w:val="288"/>
          <w:jc w:val="center"/>
        </w:trPr>
        <w:tc>
          <w:tcPr>
            <w:tcW w:w="2790" w:type="dxa"/>
            <w:tcBorders>
              <w:top w:val="nil"/>
              <w:left w:val="nil"/>
              <w:bottom w:val="nil"/>
              <w:right w:val="nil"/>
            </w:tcBorders>
            <w:vAlign w:val="center"/>
          </w:tcPr>
          <w:p w14:paraId="7B4DCBD3" w14:textId="77777777" w:rsidR="00872780" w:rsidRPr="00C96975" w:rsidRDefault="00872780" w:rsidP="00883722">
            <w:pPr>
              <w:tabs>
                <w:tab w:val="left" w:pos="426"/>
              </w:tabs>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7291450D" w14:textId="77777777" w:rsidR="00872780" w:rsidRPr="00C96975" w:rsidRDefault="00872780"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4A12F709" w14:textId="77777777" w:rsidR="00872780" w:rsidRPr="00C96975" w:rsidRDefault="00872780"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549C0316" w14:textId="77777777" w:rsidR="00872780" w:rsidRPr="00C96975" w:rsidRDefault="00872780" w:rsidP="00883722">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bottom"/>
          </w:tcPr>
          <w:p w14:paraId="002F55A3" w14:textId="77777777" w:rsidR="00872780" w:rsidRPr="00C96975" w:rsidRDefault="00872780"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32F4FE3F" w14:textId="77777777" w:rsidR="00872780" w:rsidRPr="00C96975" w:rsidRDefault="00872780"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7BCA7AEB" w14:textId="77777777" w:rsidR="00872780" w:rsidRPr="00C96975" w:rsidRDefault="00872780"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21DA9544" w14:textId="77777777" w:rsidR="00872780" w:rsidRPr="00C96975" w:rsidRDefault="00872780" w:rsidP="00883722">
            <w:pPr>
              <w:tabs>
                <w:tab w:val="left" w:pos="426"/>
              </w:tabs>
              <w:jc w:val="center"/>
              <w:rPr>
                <w:rFonts w:ascii="Times New Roman" w:hAnsi="Times New Roman" w:cs="Times New Roman"/>
                <w:sz w:val="21"/>
                <w:szCs w:val="21"/>
              </w:rPr>
            </w:pPr>
          </w:p>
        </w:tc>
      </w:tr>
      <w:tr w:rsidR="00883722" w:rsidRPr="00683D28" w14:paraId="32505435" w14:textId="77777777" w:rsidTr="00305090">
        <w:trPr>
          <w:gridAfter w:val="1"/>
          <w:wAfter w:w="12" w:type="dxa"/>
          <w:trHeight w:val="288"/>
          <w:jc w:val="center"/>
        </w:trPr>
        <w:tc>
          <w:tcPr>
            <w:tcW w:w="2790" w:type="dxa"/>
            <w:tcBorders>
              <w:top w:val="nil"/>
              <w:left w:val="nil"/>
              <w:bottom w:val="nil"/>
              <w:right w:val="nil"/>
            </w:tcBorders>
            <w:vAlign w:val="center"/>
          </w:tcPr>
          <w:p w14:paraId="59D254B7"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Adjusted R-squared</w:t>
            </w:r>
          </w:p>
        </w:tc>
        <w:tc>
          <w:tcPr>
            <w:tcW w:w="1740" w:type="dxa"/>
            <w:tcBorders>
              <w:top w:val="nil"/>
              <w:left w:val="nil"/>
              <w:bottom w:val="nil"/>
              <w:right w:val="nil"/>
            </w:tcBorders>
            <w:shd w:val="clear" w:color="auto" w:fill="auto"/>
            <w:vAlign w:val="bottom"/>
          </w:tcPr>
          <w:p w14:paraId="7508CF43"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0.138</w:t>
            </w:r>
          </w:p>
        </w:tc>
        <w:tc>
          <w:tcPr>
            <w:tcW w:w="1740" w:type="dxa"/>
            <w:tcBorders>
              <w:top w:val="nil"/>
              <w:left w:val="nil"/>
              <w:bottom w:val="nil"/>
              <w:right w:val="nil"/>
            </w:tcBorders>
            <w:shd w:val="clear" w:color="auto" w:fill="auto"/>
            <w:vAlign w:val="bottom"/>
          </w:tcPr>
          <w:p w14:paraId="6E0434EC"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0.138</w:t>
            </w:r>
          </w:p>
        </w:tc>
        <w:tc>
          <w:tcPr>
            <w:tcW w:w="1740" w:type="dxa"/>
            <w:tcBorders>
              <w:top w:val="nil"/>
              <w:left w:val="nil"/>
              <w:bottom w:val="nil"/>
              <w:right w:val="nil"/>
            </w:tcBorders>
            <w:shd w:val="clear" w:color="auto" w:fill="auto"/>
            <w:vAlign w:val="bottom"/>
          </w:tcPr>
          <w:p w14:paraId="326F3E0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0.138</w:t>
            </w:r>
          </w:p>
        </w:tc>
        <w:tc>
          <w:tcPr>
            <w:tcW w:w="540" w:type="dxa"/>
            <w:tcBorders>
              <w:top w:val="nil"/>
              <w:left w:val="nil"/>
              <w:bottom w:val="nil"/>
              <w:right w:val="nil"/>
            </w:tcBorders>
            <w:shd w:val="clear" w:color="auto" w:fill="auto"/>
            <w:vAlign w:val="bottom"/>
          </w:tcPr>
          <w:p w14:paraId="70ABECA8"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0EA2DFD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0.091</w:t>
            </w:r>
          </w:p>
        </w:tc>
        <w:tc>
          <w:tcPr>
            <w:tcW w:w="1676" w:type="dxa"/>
            <w:tcBorders>
              <w:top w:val="nil"/>
              <w:left w:val="nil"/>
              <w:bottom w:val="nil"/>
              <w:right w:val="nil"/>
            </w:tcBorders>
            <w:shd w:val="clear" w:color="auto" w:fill="auto"/>
            <w:vAlign w:val="bottom"/>
          </w:tcPr>
          <w:p w14:paraId="197324C9"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0.083</w:t>
            </w:r>
          </w:p>
        </w:tc>
        <w:tc>
          <w:tcPr>
            <w:tcW w:w="1676" w:type="dxa"/>
            <w:tcBorders>
              <w:top w:val="nil"/>
              <w:left w:val="nil"/>
              <w:bottom w:val="nil"/>
              <w:right w:val="nil"/>
            </w:tcBorders>
            <w:shd w:val="clear" w:color="auto" w:fill="auto"/>
            <w:vAlign w:val="bottom"/>
          </w:tcPr>
          <w:p w14:paraId="71570464"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0.086</w:t>
            </w:r>
          </w:p>
        </w:tc>
      </w:tr>
      <w:tr w:rsidR="00883722" w:rsidRPr="00683D28" w14:paraId="2BDF0153" w14:textId="77777777" w:rsidTr="00305090">
        <w:trPr>
          <w:gridAfter w:val="1"/>
          <w:wAfter w:w="12" w:type="dxa"/>
          <w:trHeight w:val="288"/>
          <w:jc w:val="center"/>
        </w:trPr>
        <w:tc>
          <w:tcPr>
            <w:tcW w:w="2790" w:type="dxa"/>
            <w:tcBorders>
              <w:top w:val="nil"/>
              <w:left w:val="nil"/>
              <w:bottom w:val="nil"/>
              <w:right w:val="nil"/>
            </w:tcBorders>
            <w:vAlign w:val="center"/>
          </w:tcPr>
          <w:p w14:paraId="4EBB540A"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AIC score</w:t>
            </w:r>
          </w:p>
        </w:tc>
        <w:tc>
          <w:tcPr>
            <w:tcW w:w="1740" w:type="dxa"/>
            <w:tcBorders>
              <w:top w:val="nil"/>
              <w:left w:val="nil"/>
              <w:bottom w:val="nil"/>
              <w:right w:val="nil"/>
            </w:tcBorders>
            <w:shd w:val="clear" w:color="auto" w:fill="auto"/>
            <w:vAlign w:val="bottom"/>
          </w:tcPr>
          <w:p w14:paraId="0393D4DC"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172,386</w:t>
            </w:r>
          </w:p>
        </w:tc>
        <w:tc>
          <w:tcPr>
            <w:tcW w:w="1740" w:type="dxa"/>
            <w:tcBorders>
              <w:top w:val="nil"/>
              <w:left w:val="nil"/>
              <w:bottom w:val="nil"/>
              <w:right w:val="nil"/>
            </w:tcBorders>
            <w:shd w:val="clear" w:color="auto" w:fill="auto"/>
            <w:vAlign w:val="bottom"/>
          </w:tcPr>
          <w:p w14:paraId="5959AB80"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172,384</w:t>
            </w:r>
          </w:p>
        </w:tc>
        <w:tc>
          <w:tcPr>
            <w:tcW w:w="1740" w:type="dxa"/>
            <w:tcBorders>
              <w:top w:val="nil"/>
              <w:left w:val="nil"/>
              <w:bottom w:val="nil"/>
              <w:right w:val="nil"/>
            </w:tcBorders>
            <w:shd w:val="clear" w:color="auto" w:fill="auto"/>
            <w:vAlign w:val="bottom"/>
          </w:tcPr>
          <w:p w14:paraId="60153473"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172,384</w:t>
            </w:r>
          </w:p>
        </w:tc>
        <w:tc>
          <w:tcPr>
            <w:tcW w:w="540" w:type="dxa"/>
            <w:tcBorders>
              <w:top w:val="nil"/>
              <w:left w:val="nil"/>
              <w:bottom w:val="nil"/>
              <w:right w:val="nil"/>
            </w:tcBorders>
            <w:shd w:val="clear" w:color="auto" w:fill="auto"/>
            <w:vAlign w:val="center"/>
          </w:tcPr>
          <w:p w14:paraId="288A0FA6"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53870E0C"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121,066</w:t>
            </w:r>
          </w:p>
        </w:tc>
        <w:tc>
          <w:tcPr>
            <w:tcW w:w="1676" w:type="dxa"/>
            <w:tcBorders>
              <w:top w:val="nil"/>
              <w:left w:val="nil"/>
              <w:bottom w:val="nil"/>
              <w:right w:val="nil"/>
            </w:tcBorders>
            <w:shd w:val="clear" w:color="auto" w:fill="auto"/>
            <w:vAlign w:val="center"/>
          </w:tcPr>
          <w:p w14:paraId="7F32CBC8"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121,070</w:t>
            </w:r>
          </w:p>
        </w:tc>
        <w:tc>
          <w:tcPr>
            <w:tcW w:w="1676" w:type="dxa"/>
            <w:tcBorders>
              <w:top w:val="nil"/>
              <w:left w:val="nil"/>
              <w:bottom w:val="nil"/>
              <w:right w:val="nil"/>
            </w:tcBorders>
            <w:shd w:val="clear" w:color="auto" w:fill="auto"/>
            <w:vAlign w:val="bottom"/>
          </w:tcPr>
          <w:p w14:paraId="5AC0A74C"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121,061</w:t>
            </w:r>
          </w:p>
        </w:tc>
      </w:tr>
      <w:tr w:rsidR="00883722" w:rsidRPr="00683D28" w14:paraId="63384AAA" w14:textId="77777777" w:rsidTr="00305090">
        <w:trPr>
          <w:gridAfter w:val="1"/>
          <w:wAfter w:w="12" w:type="dxa"/>
          <w:trHeight w:val="288"/>
          <w:jc w:val="center"/>
        </w:trPr>
        <w:tc>
          <w:tcPr>
            <w:tcW w:w="2790" w:type="dxa"/>
            <w:tcBorders>
              <w:top w:val="nil"/>
              <w:left w:val="nil"/>
              <w:bottom w:val="nil"/>
              <w:right w:val="nil"/>
            </w:tcBorders>
            <w:vAlign w:val="center"/>
          </w:tcPr>
          <w:p w14:paraId="2542AA84"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 xml:space="preserve">Likelihood-ratio test </w:t>
            </w:r>
          </w:p>
        </w:tc>
        <w:tc>
          <w:tcPr>
            <w:tcW w:w="1740" w:type="dxa"/>
            <w:tcBorders>
              <w:top w:val="nil"/>
              <w:left w:val="nil"/>
              <w:bottom w:val="nil"/>
              <w:right w:val="nil"/>
            </w:tcBorders>
            <w:shd w:val="clear" w:color="auto" w:fill="auto"/>
            <w:vAlign w:val="bottom"/>
          </w:tcPr>
          <w:p w14:paraId="099449DF" w14:textId="77777777" w:rsidR="00883722" w:rsidRPr="00C96975" w:rsidRDefault="00883722"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18E2A12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0.300</w:t>
            </w:r>
          </w:p>
        </w:tc>
        <w:tc>
          <w:tcPr>
            <w:tcW w:w="1740" w:type="dxa"/>
            <w:tcBorders>
              <w:top w:val="nil"/>
              <w:left w:val="nil"/>
              <w:bottom w:val="nil"/>
              <w:right w:val="nil"/>
            </w:tcBorders>
            <w:shd w:val="clear" w:color="auto" w:fill="auto"/>
            <w:vAlign w:val="bottom"/>
          </w:tcPr>
          <w:p w14:paraId="494DA81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0.030</w:t>
            </w:r>
          </w:p>
        </w:tc>
        <w:tc>
          <w:tcPr>
            <w:tcW w:w="540" w:type="dxa"/>
            <w:tcBorders>
              <w:top w:val="nil"/>
              <w:left w:val="nil"/>
              <w:bottom w:val="nil"/>
              <w:right w:val="nil"/>
            </w:tcBorders>
            <w:shd w:val="clear" w:color="auto" w:fill="auto"/>
            <w:vAlign w:val="center"/>
          </w:tcPr>
          <w:p w14:paraId="43366068"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181D5EC2"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39C8FE4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1.120</w:t>
            </w:r>
          </w:p>
        </w:tc>
        <w:tc>
          <w:tcPr>
            <w:tcW w:w="1676" w:type="dxa"/>
            <w:tcBorders>
              <w:top w:val="nil"/>
              <w:left w:val="nil"/>
              <w:bottom w:val="nil"/>
              <w:right w:val="nil"/>
            </w:tcBorders>
            <w:shd w:val="clear" w:color="auto" w:fill="auto"/>
            <w:vAlign w:val="bottom"/>
          </w:tcPr>
          <w:p w14:paraId="6ED101A0"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0.980</w:t>
            </w:r>
          </w:p>
        </w:tc>
      </w:tr>
      <w:tr w:rsidR="00883722" w:rsidRPr="00683D28" w14:paraId="51D4A4A1" w14:textId="77777777" w:rsidTr="00305090">
        <w:trPr>
          <w:gridAfter w:val="1"/>
          <w:wAfter w:w="12" w:type="dxa"/>
          <w:trHeight w:val="288"/>
          <w:jc w:val="center"/>
        </w:trPr>
        <w:tc>
          <w:tcPr>
            <w:tcW w:w="2790" w:type="dxa"/>
            <w:tcBorders>
              <w:top w:val="nil"/>
              <w:left w:val="nil"/>
              <w:bottom w:val="nil"/>
              <w:right w:val="nil"/>
            </w:tcBorders>
            <w:vAlign w:val="center"/>
          </w:tcPr>
          <w:p w14:paraId="01953933" w14:textId="77777777"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Davidson-MacKinnon J test</w:t>
            </w:r>
          </w:p>
        </w:tc>
        <w:tc>
          <w:tcPr>
            <w:tcW w:w="1740" w:type="dxa"/>
            <w:tcBorders>
              <w:top w:val="nil"/>
              <w:left w:val="nil"/>
              <w:bottom w:val="nil"/>
              <w:right w:val="nil"/>
            </w:tcBorders>
            <w:shd w:val="clear" w:color="auto" w:fill="auto"/>
            <w:vAlign w:val="bottom"/>
          </w:tcPr>
          <w:p w14:paraId="54BFFA0C" w14:textId="77777777" w:rsidR="00883722" w:rsidRPr="00C96975" w:rsidRDefault="00883722"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63E871C1" w14:textId="77777777" w:rsidR="00883722" w:rsidRPr="00C96975" w:rsidRDefault="00883722"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shd w:val="clear" w:color="auto" w:fill="auto"/>
            <w:vAlign w:val="bottom"/>
          </w:tcPr>
          <w:p w14:paraId="6760E4C8" w14:textId="77777777" w:rsidR="00883722" w:rsidRPr="00C96975" w:rsidRDefault="00883722" w:rsidP="00883722">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shd w:val="clear" w:color="auto" w:fill="auto"/>
            <w:vAlign w:val="center"/>
          </w:tcPr>
          <w:p w14:paraId="0B35CD89"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2A1AC46E"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center"/>
          </w:tcPr>
          <w:p w14:paraId="5FEE8A9F"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shd w:val="clear" w:color="auto" w:fill="auto"/>
            <w:vAlign w:val="bottom"/>
          </w:tcPr>
          <w:p w14:paraId="5D48EDB8" w14:textId="77777777" w:rsidR="00883722" w:rsidRPr="00C96975" w:rsidRDefault="00883722" w:rsidP="00883722">
            <w:pPr>
              <w:tabs>
                <w:tab w:val="left" w:pos="426"/>
              </w:tabs>
              <w:jc w:val="center"/>
              <w:rPr>
                <w:rFonts w:ascii="Times New Roman" w:hAnsi="Times New Roman" w:cs="Times New Roman"/>
                <w:sz w:val="21"/>
                <w:szCs w:val="21"/>
              </w:rPr>
            </w:pPr>
          </w:p>
        </w:tc>
      </w:tr>
      <w:tr w:rsidR="00883722" w:rsidRPr="002E1EC0" w14:paraId="24A16379" w14:textId="77777777" w:rsidTr="00305090">
        <w:trPr>
          <w:gridAfter w:val="1"/>
          <w:wAfter w:w="12" w:type="dxa"/>
          <w:trHeight w:val="288"/>
          <w:jc w:val="center"/>
        </w:trPr>
        <w:tc>
          <w:tcPr>
            <w:tcW w:w="2790" w:type="dxa"/>
            <w:tcBorders>
              <w:top w:val="nil"/>
              <w:left w:val="nil"/>
              <w:bottom w:val="nil"/>
              <w:right w:val="nil"/>
            </w:tcBorders>
            <w:vAlign w:val="center"/>
          </w:tcPr>
          <w:p w14:paraId="65BC86D5" w14:textId="77777777" w:rsidR="00883722" w:rsidRPr="00C96975" w:rsidRDefault="00883722" w:rsidP="00883722">
            <w:pPr>
              <w:tabs>
                <w:tab w:val="left" w:pos="426"/>
              </w:tabs>
              <w:rPr>
                <w:rFonts w:ascii="Times New Roman" w:hAnsi="Times New Roman" w:cs="Times New Roman"/>
                <w:i/>
                <w:iCs/>
                <w:sz w:val="21"/>
                <w:szCs w:val="21"/>
              </w:rPr>
            </w:pPr>
            <w:r w:rsidRPr="00C96975">
              <w:rPr>
                <w:rFonts w:ascii="Times New Roman" w:hAnsi="Times New Roman" w:cs="Times New Roman"/>
                <w:i/>
                <w:iCs/>
                <w:sz w:val="21"/>
                <w:szCs w:val="21"/>
              </w:rPr>
              <w:t xml:space="preserve">      H</w:t>
            </w:r>
            <w:r w:rsidRPr="00C96975">
              <w:rPr>
                <w:rFonts w:ascii="Times New Roman" w:hAnsi="Times New Roman" w:cs="Times New Roman"/>
                <w:i/>
                <w:iCs/>
                <w:sz w:val="21"/>
                <w:szCs w:val="21"/>
                <w:vertAlign w:val="subscript"/>
              </w:rPr>
              <w:t>A</w:t>
            </w:r>
            <w:r w:rsidRPr="00C96975">
              <w:rPr>
                <w:rFonts w:ascii="Times New Roman" w:hAnsi="Times New Roman" w:cs="Times New Roman"/>
                <w:i/>
                <w:iCs/>
                <w:sz w:val="21"/>
                <w:szCs w:val="21"/>
              </w:rPr>
              <w:t>: Independent</w:t>
            </w:r>
          </w:p>
        </w:tc>
        <w:tc>
          <w:tcPr>
            <w:tcW w:w="1740" w:type="dxa"/>
            <w:tcBorders>
              <w:top w:val="nil"/>
              <w:left w:val="nil"/>
              <w:bottom w:val="nil"/>
              <w:right w:val="nil"/>
            </w:tcBorders>
            <w:vAlign w:val="center"/>
          </w:tcPr>
          <w:p w14:paraId="0C8D8B20" w14:textId="77777777" w:rsidR="00883722" w:rsidRPr="00C96975" w:rsidRDefault="00883722"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vAlign w:val="center"/>
          </w:tcPr>
          <w:p w14:paraId="2D1EF3C3"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0.550</w:t>
            </w:r>
          </w:p>
        </w:tc>
        <w:tc>
          <w:tcPr>
            <w:tcW w:w="1740" w:type="dxa"/>
            <w:tcBorders>
              <w:top w:val="nil"/>
              <w:left w:val="nil"/>
              <w:bottom w:val="nil"/>
              <w:right w:val="nil"/>
            </w:tcBorders>
            <w:vAlign w:val="center"/>
          </w:tcPr>
          <w:p w14:paraId="177A4EF8"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0.869</w:t>
            </w:r>
          </w:p>
        </w:tc>
        <w:tc>
          <w:tcPr>
            <w:tcW w:w="540" w:type="dxa"/>
            <w:tcBorders>
              <w:top w:val="nil"/>
              <w:left w:val="nil"/>
              <w:bottom w:val="nil"/>
              <w:right w:val="nil"/>
            </w:tcBorders>
            <w:vAlign w:val="center"/>
          </w:tcPr>
          <w:p w14:paraId="4A342C60"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4E974620"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1C6A1F01"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1.210</w:t>
            </w:r>
          </w:p>
        </w:tc>
        <w:tc>
          <w:tcPr>
            <w:tcW w:w="1676" w:type="dxa"/>
            <w:tcBorders>
              <w:top w:val="nil"/>
              <w:left w:val="nil"/>
              <w:bottom w:val="nil"/>
              <w:right w:val="nil"/>
            </w:tcBorders>
            <w:vAlign w:val="center"/>
          </w:tcPr>
          <w:p w14:paraId="2E3439F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0.990</w:t>
            </w:r>
          </w:p>
        </w:tc>
      </w:tr>
      <w:tr w:rsidR="00883722" w:rsidRPr="002E1EC0" w14:paraId="29117369" w14:textId="77777777" w:rsidTr="00305090">
        <w:trPr>
          <w:gridAfter w:val="1"/>
          <w:wAfter w:w="12" w:type="dxa"/>
          <w:trHeight w:val="288"/>
          <w:jc w:val="center"/>
        </w:trPr>
        <w:tc>
          <w:tcPr>
            <w:tcW w:w="2790" w:type="dxa"/>
            <w:tcBorders>
              <w:top w:val="nil"/>
              <w:left w:val="nil"/>
              <w:bottom w:val="nil"/>
              <w:right w:val="nil"/>
            </w:tcBorders>
            <w:vAlign w:val="center"/>
          </w:tcPr>
          <w:p w14:paraId="5E71D426" w14:textId="77777777" w:rsidR="00883722" w:rsidRPr="00C96975" w:rsidRDefault="00883722" w:rsidP="00883722">
            <w:pPr>
              <w:tabs>
                <w:tab w:val="left" w:pos="426"/>
              </w:tabs>
              <w:rPr>
                <w:rFonts w:ascii="Times New Roman" w:hAnsi="Times New Roman" w:cs="Times New Roman"/>
                <w:i/>
                <w:iCs/>
                <w:sz w:val="21"/>
                <w:szCs w:val="21"/>
              </w:rPr>
            </w:pPr>
            <w:r w:rsidRPr="00C96975">
              <w:rPr>
                <w:rFonts w:ascii="Times New Roman" w:hAnsi="Times New Roman" w:cs="Times New Roman"/>
                <w:i/>
                <w:iCs/>
                <w:sz w:val="21"/>
                <w:szCs w:val="21"/>
              </w:rPr>
              <w:t xml:space="preserve">      H</w:t>
            </w:r>
            <w:r w:rsidRPr="00C96975">
              <w:rPr>
                <w:rFonts w:ascii="Times New Roman" w:hAnsi="Times New Roman" w:cs="Times New Roman"/>
                <w:i/>
                <w:iCs/>
                <w:sz w:val="21"/>
                <w:szCs w:val="21"/>
                <w:vertAlign w:val="subscript"/>
              </w:rPr>
              <w:t>A</w:t>
            </w:r>
            <w:r w:rsidRPr="00C96975">
              <w:rPr>
                <w:rFonts w:ascii="Times New Roman" w:hAnsi="Times New Roman" w:cs="Times New Roman"/>
                <w:i/>
                <w:iCs/>
                <w:sz w:val="21"/>
                <w:szCs w:val="21"/>
              </w:rPr>
              <w:t>: Additive</w:t>
            </w:r>
          </w:p>
        </w:tc>
        <w:tc>
          <w:tcPr>
            <w:tcW w:w="1740" w:type="dxa"/>
            <w:tcBorders>
              <w:top w:val="nil"/>
              <w:left w:val="nil"/>
              <w:bottom w:val="nil"/>
              <w:right w:val="nil"/>
            </w:tcBorders>
            <w:vAlign w:val="center"/>
          </w:tcPr>
          <w:p w14:paraId="4FE4A2A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10.490***</w:t>
            </w:r>
          </w:p>
        </w:tc>
        <w:tc>
          <w:tcPr>
            <w:tcW w:w="1740" w:type="dxa"/>
            <w:tcBorders>
              <w:top w:val="nil"/>
              <w:left w:val="nil"/>
              <w:bottom w:val="nil"/>
              <w:right w:val="nil"/>
            </w:tcBorders>
            <w:vAlign w:val="center"/>
          </w:tcPr>
          <w:p w14:paraId="11419DC5" w14:textId="77777777" w:rsidR="00883722" w:rsidRPr="00C96975" w:rsidRDefault="00883722" w:rsidP="00883722">
            <w:pPr>
              <w:tabs>
                <w:tab w:val="left" w:pos="426"/>
              </w:tabs>
              <w:jc w:val="center"/>
              <w:rPr>
                <w:rFonts w:ascii="Times New Roman" w:hAnsi="Times New Roman" w:cs="Times New Roman"/>
                <w:sz w:val="21"/>
                <w:szCs w:val="21"/>
              </w:rPr>
            </w:pPr>
          </w:p>
        </w:tc>
        <w:tc>
          <w:tcPr>
            <w:tcW w:w="1740" w:type="dxa"/>
            <w:tcBorders>
              <w:top w:val="nil"/>
              <w:left w:val="nil"/>
              <w:bottom w:val="nil"/>
              <w:right w:val="nil"/>
            </w:tcBorders>
            <w:vAlign w:val="center"/>
          </w:tcPr>
          <w:p w14:paraId="1D4E36A8"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-0.160</w:t>
            </w:r>
          </w:p>
        </w:tc>
        <w:tc>
          <w:tcPr>
            <w:tcW w:w="540" w:type="dxa"/>
            <w:tcBorders>
              <w:top w:val="nil"/>
              <w:left w:val="nil"/>
              <w:bottom w:val="nil"/>
              <w:right w:val="nil"/>
            </w:tcBorders>
            <w:vAlign w:val="center"/>
          </w:tcPr>
          <w:p w14:paraId="5C938553"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226EA72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3.400***</w:t>
            </w:r>
          </w:p>
        </w:tc>
        <w:tc>
          <w:tcPr>
            <w:tcW w:w="1676" w:type="dxa"/>
            <w:tcBorders>
              <w:top w:val="nil"/>
              <w:left w:val="nil"/>
              <w:bottom w:val="nil"/>
              <w:right w:val="nil"/>
            </w:tcBorders>
            <w:vAlign w:val="center"/>
          </w:tcPr>
          <w:p w14:paraId="0A0E7F00"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692AC697"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-0.930</w:t>
            </w:r>
          </w:p>
        </w:tc>
      </w:tr>
      <w:tr w:rsidR="00883722" w:rsidRPr="002E1EC0" w14:paraId="324815AB" w14:textId="77777777" w:rsidTr="00305090">
        <w:trPr>
          <w:gridAfter w:val="1"/>
          <w:wAfter w:w="12" w:type="dxa"/>
          <w:trHeight w:val="288"/>
          <w:jc w:val="center"/>
        </w:trPr>
        <w:tc>
          <w:tcPr>
            <w:tcW w:w="2790" w:type="dxa"/>
            <w:tcBorders>
              <w:top w:val="nil"/>
              <w:left w:val="nil"/>
              <w:bottom w:val="nil"/>
              <w:right w:val="nil"/>
            </w:tcBorders>
            <w:vAlign w:val="center"/>
          </w:tcPr>
          <w:p w14:paraId="1D8553D8" w14:textId="77777777" w:rsidR="00883722" w:rsidRPr="00C96975" w:rsidRDefault="00883722" w:rsidP="00883722">
            <w:pPr>
              <w:tabs>
                <w:tab w:val="left" w:pos="426"/>
              </w:tabs>
              <w:rPr>
                <w:rFonts w:ascii="Times New Roman" w:hAnsi="Times New Roman" w:cs="Times New Roman"/>
                <w:i/>
                <w:iCs/>
                <w:sz w:val="21"/>
                <w:szCs w:val="21"/>
              </w:rPr>
            </w:pPr>
            <w:r w:rsidRPr="00C96975">
              <w:rPr>
                <w:rFonts w:ascii="Times New Roman" w:hAnsi="Times New Roman" w:cs="Times New Roman"/>
                <w:i/>
                <w:iCs/>
                <w:sz w:val="21"/>
                <w:szCs w:val="21"/>
              </w:rPr>
              <w:t xml:space="preserve">      H</w:t>
            </w:r>
            <w:r w:rsidRPr="00C96975">
              <w:rPr>
                <w:rFonts w:ascii="Times New Roman" w:hAnsi="Times New Roman" w:cs="Times New Roman"/>
                <w:i/>
                <w:iCs/>
                <w:sz w:val="21"/>
                <w:szCs w:val="21"/>
                <w:vertAlign w:val="subscript"/>
              </w:rPr>
              <w:t>A</w:t>
            </w:r>
            <w:r w:rsidRPr="00C96975">
              <w:rPr>
                <w:rFonts w:ascii="Times New Roman" w:hAnsi="Times New Roman" w:cs="Times New Roman"/>
                <w:i/>
                <w:iCs/>
                <w:sz w:val="21"/>
                <w:szCs w:val="21"/>
              </w:rPr>
              <w:t>: Moderating</w:t>
            </w:r>
          </w:p>
        </w:tc>
        <w:tc>
          <w:tcPr>
            <w:tcW w:w="1740" w:type="dxa"/>
            <w:tcBorders>
              <w:top w:val="nil"/>
              <w:left w:val="nil"/>
              <w:bottom w:val="nil"/>
              <w:right w:val="nil"/>
            </w:tcBorders>
            <w:vAlign w:val="center"/>
          </w:tcPr>
          <w:p w14:paraId="1EEE5100"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10.490***</w:t>
            </w:r>
          </w:p>
        </w:tc>
        <w:tc>
          <w:tcPr>
            <w:tcW w:w="1740" w:type="dxa"/>
            <w:tcBorders>
              <w:top w:val="nil"/>
              <w:left w:val="nil"/>
              <w:bottom w:val="nil"/>
              <w:right w:val="nil"/>
            </w:tcBorders>
            <w:vAlign w:val="center"/>
          </w:tcPr>
          <w:p w14:paraId="37A62413"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2.030**</w:t>
            </w:r>
          </w:p>
        </w:tc>
        <w:tc>
          <w:tcPr>
            <w:tcW w:w="1740" w:type="dxa"/>
            <w:tcBorders>
              <w:top w:val="nil"/>
              <w:left w:val="nil"/>
              <w:bottom w:val="nil"/>
              <w:right w:val="nil"/>
            </w:tcBorders>
            <w:vAlign w:val="center"/>
          </w:tcPr>
          <w:p w14:paraId="7BC2B3C8" w14:textId="77777777" w:rsidR="00883722" w:rsidRPr="00C96975" w:rsidRDefault="00883722" w:rsidP="00883722">
            <w:pPr>
              <w:tabs>
                <w:tab w:val="left" w:pos="426"/>
              </w:tabs>
              <w:jc w:val="center"/>
              <w:rPr>
                <w:rFonts w:ascii="Times New Roman" w:hAnsi="Times New Roman" w:cs="Times New Roman"/>
                <w:sz w:val="21"/>
                <w:szCs w:val="21"/>
              </w:rPr>
            </w:pPr>
          </w:p>
        </w:tc>
        <w:tc>
          <w:tcPr>
            <w:tcW w:w="540" w:type="dxa"/>
            <w:tcBorders>
              <w:top w:val="nil"/>
              <w:left w:val="nil"/>
              <w:bottom w:val="nil"/>
              <w:right w:val="nil"/>
            </w:tcBorders>
            <w:vAlign w:val="center"/>
          </w:tcPr>
          <w:p w14:paraId="7777F969"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50A837CA"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3.400***</w:t>
            </w:r>
          </w:p>
        </w:tc>
        <w:tc>
          <w:tcPr>
            <w:tcW w:w="1676" w:type="dxa"/>
            <w:tcBorders>
              <w:top w:val="nil"/>
              <w:left w:val="nil"/>
              <w:bottom w:val="nil"/>
              <w:right w:val="nil"/>
            </w:tcBorders>
            <w:vAlign w:val="center"/>
          </w:tcPr>
          <w:p w14:paraId="607129F5"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3.340***</w:t>
            </w:r>
          </w:p>
        </w:tc>
        <w:tc>
          <w:tcPr>
            <w:tcW w:w="1676" w:type="dxa"/>
            <w:tcBorders>
              <w:top w:val="nil"/>
              <w:left w:val="nil"/>
              <w:bottom w:val="nil"/>
              <w:right w:val="nil"/>
            </w:tcBorders>
            <w:vAlign w:val="center"/>
          </w:tcPr>
          <w:p w14:paraId="70637338" w14:textId="77777777" w:rsidR="00883722" w:rsidRPr="00C96975" w:rsidRDefault="00883722" w:rsidP="00883722">
            <w:pPr>
              <w:tabs>
                <w:tab w:val="left" w:pos="426"/>
              </w:tabs>
              <w:jc w:val="center"/>
              <w:rPr>
                <w:rFonts w:ascii="Times New Roman" w:hAnsi="Times New Roman" w:cs="Times New Roman"/>
                <w:sz w:val="21"/>
                <w:szCs w:val="21"/>
              </w:rPr>
            </w:pPr>
          </w:p>
        </w:tc>
      </w:tr>
      <w:tr w:rsidR="00883722" w:rsidRPr="002E1EC0" w14:paraId="30B6A2A4" w14:textId="77777777" w:rsidTr="00305090">
        <w:trPr>
          <w:gridAfter w:val="1"/>
          <w:wAfter w:w="12" w:type="dxa"/>
          <w:trHeight w:val="288"/>
          <w:jc w:val="center"/>
        </w:trPr>
        <w:tc>
          <w:tcPr>
            <w:tcW w:w="2790" w:type="dxa"/>
            <w:tcBorders>
              <w:top w:val="nil"/>
              <w:left w:val="nil"/>
              <w:bottom w:val="nil"/>
              <w:right w:val="nil"/>
            </w:tcBorders>
            <w:vAlign w:val="center"/>
          </w:tcPr>
          <w:p w14:paraId="1274115F" w14:textId="25D9A686"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N</w:t>
            </w:r>
            <w:r w:rsidR="005E0490">
              <w:rPr>
                <w:rFonts w:ascii="Times New Roman" w:hAnsi="Times New Roman" w:cs="Times New Roman"/>
                <w:sz w:val="21"/>
                <w:szCs w:val="21"/>
              </w:rPr>
              <w:t>umber</w:t>
            </w:r>
            <w:r w:rsidRPr="00C96975">
              <w:rPr>
                <w:rFonts w:ascii="Times New Roman" w:hAnsi="Times New Roman" w:cs="Times New Roman"/>
                <w:sz w:val="21"/>
                <w:szCs w:val="21"/>
              </w:rPr>
              <w:t xml:space="preserve"> of Firms</w:t>
            </w:r>
          </w:p>
        </w:tc>
        <w:tc>
          <w:tcPr>
            <w:tcW w:w="1740" w:type="dxa"/>
            <w:tcBorders>
              <w:top w:val="nil"/>
              <w:left w:val="nil"/>
              <w:bottom w:val="nil"/>
              <w:right w:val="nil"/>
            </w:tcBorders>
            <w:vAlign w:val="center"/>
          </w:tcPr>
          <w:p w14:paraId="09CB3199"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3301</w:t>
            </w:r>
          </w:p>
        </w:tc>
        <w:tc>
          <w:tcPr>
            <w:tcW w:w="1740" w:type="dxa"/>
            <w:tcBorders>
              <w:top w:val="nil"/>
              <w:left w:val="nil"/>
              <w:bottom w:val="nil"/>
              <w:right w:val="nil"/>
            </w:tcBorders>
            <w:vAlign w:val="center"/>
          </w:tcPr>
          <w:p w14:paraId="533A6404"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3301</w:t>
            </w:r>
          </w:p>
        </w:tc>
        <w:tc>
          <w:tcPr>
            <w:tcW w:w="1740" w:type="dxa"/>
            <w:tcBorders>
              <w:top w:val="nil"/>
              <w:left w:val="nil"/>
              <w:bottom w:val="nil"/>
              <w:right w:val="nil"/>
            </w:tcBorders>
            <w:vAlign w:val="center"/>
          </w:tcPr>
          <w:p w14:paraId="021BD874"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3301</w:t>
            </w:r>
          </w:p>
        </w:tc>
        <w:tc>
          <w:tcPr>
            <w:tcW w:w="540" w:type="dxa"/>
            <w:tcBorders>
              <w:top w:val="nil"/>
              <w:left w:val="nil"/>
              <w:bottom w:val="nil"/>
              <w:right w:val="nil"/>
            </w:tcBorders>
            <w:vAlign w:val="center"/>
          </w:tcPr>
          <w:p w14:paraId="014B9C4E"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nil"/>
              <w:right w:val="nil"/>
            </w:tcBorders>
            <w:vAlign w:val="center"/>
          </w:tcPr>
          <w:p w14:paraId="4CB81EB9"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3301</w:t>
            </w:r>
          </w:p>
        </w:tc>
        <w:tc>
          <w:tcPr>
            <w:tcW w:w="1676" w:type="dxa"/>
            <w:tcBorders>
              <w:top w:val="nil"/>
              <w:left w:val="nil"/>
              <w:bottom w:val="nil"/>
              <w:right w:val="nil"/>
            </w:tcBorders>
            <w:vAlign w:val="center"/>
          </w:tcPr>
          <w:p w14:paraId="4E7F8D7F"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3301</w:t>
            </w:r>
          </w:p>
        </w:tc>
        <w:tc>
          <w:tcPr>
            <w:tcW w:w="1676" w:type="dxa"/>
            <w:tcBorders>
              <w:top w:val="nil"/>
              <w:left w:val="nil"/>
              <w:bottom w:val="nil"/>
              <w:right w:val="nil"/>
            </w:tcBorders>
            <w:vAlign w:val="center"/>
          </w:tcPr>
          <w:p w14:paraId="0E641642"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3301</w:t>
            </w:r>
          </w:p>
        </w:tc>
      </w:tr>
      <w:tr w:rsidR="00883722" w:rsidRPr="002E1EC0" w14:paraId="5E1AC1FD" w14:textId="77777777" w:rsidTr="00305090">
        <w:trPr>
          <w:gridAfter w:val="1"/>
          <w:wAfter w:w="12" w:type="dxa"/>
          <w:trHeight w:val="288"/>
          <w:jc w:val="center"/>
        </w:trPr>
        <w:tc>
          <w:tcPr>
            <w:tcW w:w="2790" w:type="dxa"/>
            <w:tcBorders>
              <w:top w:val="nil"/>
              <w:left w:val="nil"/>
              <w:bottom w:val="single" w:sz="4" w:space="0" w:color="auto"/>
              <w:right w:val="nil"/>
            </w:tcBorders>
            <w:vAlign w:val="center"/>
          </w:tcPr>
          <w:p w14:paraId="698A3E0D" w14:textId="7E0CB6AE" w:rsidR="00883722" w:rsidRPr="00C96975" w:rsidRDefault="00883722" w:rsidP="00883722">
            <w:pPr>
              <w:tabs>
                <w:tab w:val="left" w:pos="426"/>
              </w:tabs>
              <w:rPr>
                <w:rFonts w:ascii="Times New Roman" w:hAnsi="Times New Roman" w:cs="Times New Roman"/>
                <w:sz w:val="21"/>
                <w:szCs w:val="21"/>
              </w:rPr>
            </w:pPr>
            <w:r w:rsidRPr="00C96975">
              <w:rPr>
                <w:rFonts w:ascii="Times New Roman" w:hAnsi="Times New Roman" w:cs="Times New Roman"/>
                <w:sz w:val="21"/>
                <w:szCs w:val="21"/>
              </w:rPr>
              <w:t>N</w:t>
            </w:r>
            <w:r w:rsidR="005E0490">
              <w:rPr>
                <w:rFonts w:ascii="Times New Roman" w:hAnsi="Times New Roman" w:cs="Times New Roman"/>
                <w:sz w:val="21"/>
                <w:szCs w:val="21"/>
              </w:rPr>
              <w:t>umber</w:t>
            </w:r>
            <w:r w:rsidRPr="00C96975">
              <w:rPr>
                <w:rFonts w:ascii="Times New Roman" w:hAnsi="Times New Roman" w:cs="Times New Roman"/>
                <w:sz w:val="21"/>
                <w:szCs w:val="21"/>
              </w:rPr>
              <w:t xml:space="preserve"> of Countries</w:t>
            </w:r>
          </w:p>
        </w:tc>
        <w:tc>
          <w:tcPr>
            <w:tcW w:w="1740" w:type="dxa"/>
            <w:tcBorders>
              <w:top w:val="nil"/>
              <w:left w:val="nil"/>
              <w:bottom w:val="single" w:sz="4" w:space="0" w:color="auto"/>
              <w:right w:val="nil"/>
            </w:tcBorders>
            <w:vAlign w:val="center"/>
          </w:tcPr>
          <w:p w14:paraId="777B55B5"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43</w:t>
            </w:r>
          </w:p>
        </w:tc>
        <w:tc>
          <w:tcPr>
            <w:tcW w:w="1740" w:type="dxa"/>
            <w:tcBorders>
              <w:top w:val="nil"/>
              <w:left w:val="nil"/>
              <w:bottom w:val="single" w:sz="4" w:space="0" w:color="auto"/>
              <w:right w:val="nil"/>
            </w:tcBorders>
            <w:vAlign w:val="center"/>
          </w:tcPr>
          <w:p w14:paraId="5193EA8D"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43</w:t>
            </w:r>
          </w:p>
        </w:tc>
        <w:tc>
          <w:tcPr>
            <w:tcW w:w="1740" w:type="dxa"/>
            <w:tcBorders>
              <w:top w:val="nil"/>
              <w:left w:val="nil"/>
              <w:bottom w:val="single" w:sz="4" w:space="0" w:color="auto"/>
              <w:right w:val="nil"/>
            </w:tcBorders>
            <w:vAlign w:val="center"/>
          </w:tcPr>
          <w:p w14:paraId="329A0F58"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43</w:t>
            </w:r>
          </w:p>
        </w:tc>
        <w:tc>
          <w:tcPr>
            <w:tcW w:w="540" w:type="dxa"/>
            <w:tcBorders>
              <w:top w:val="nil"/>
              <w:left w:val="nil"/>
              <w:bottom w:val="single" w:sz="4" w:space="0" w:color="auto"/>
              <w:right w:val="nil"/>
            </w:tcBorders>
            <w:vAlign w:val="center"/>
          </w:tcPr>
          <w:p w14:paraId="5B4B80ED" w14:textId="77777777" w:rsidR="00883722" w:rsidRPr="00C96975" w:rsidRDefault="00883722" w:rsidP="00883722">
            <w:pPr>
              <w:tabs>
                <w:tab w:val="left" w:pos="426"/>
              </w:tabs>
              <w:jc w:val="center"/>
              <w:rPr>
                <w:rFonts w:ascii="Times New Roman" w:hAnsi="Times New Roman" w:cs="Times New Roman"/>
                <w:sz w:val="21"/>
                <w:szCs w:val="21"/>
              </w:rPr>
            </w:pPr>
          </w:p>
        </w:tc>
        <w:tc>
          <w:tcPr>
            <w:tcW w:w="1676" w:type="dxa"/>
            <w:tcBorders>
              <w:top w:val="nil"/>
              <w:left w:val="nil"/>
              <w:bottom w:val="single" w:sz="4" w:space="0" w:color="auto"/>
              <w:right w:val="nil"/>
            </w:tcBorders>
            <w:vAlign w:val="center"/>
          </w:tcPr>
          <w:p w14:paraId="7A9DFBC1"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43</w:t>
            </w:r>
          </w:p>
        </w:tc>
        <w:tc>
          <w:tcPr>
            <w:tcW w:w="1676" w:type="dxa"/>
            <w:tcBorders>
              <w:top w:val="nil"/>
              <w:left w:val="nil"/>
              <w:bottom w:val="single" w:sz="4" w:space="0" w:color="auto"/>
              <w:right w:val="nil"/>
            </w:tcBorders>
            <w:vAlign w:val="center"/>
          </w:tcPr>
          <w:p w14:paraId="19D01E64"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43</w:t>
            </w:r>
          </w:p>
        </w:tc>
        <w:tc>
          <w:tcPr>
            <w:tcW w:w="1676" w:type="dxa"/>
            <w:tcBorders>
              <w:top w:val="nil"/>
              <w:left w:val="nil"/>
              <w:bottom w:val="single" w:sz="4" w:space="0" w:color="auto"/>
              <w:right w:val="nil"/>
            </w:tcBorders>
            <w:vAlign w:val="center"/>
          </w:tcPr>
          <w:p w14:paraId="602A9ECB" w14:textId="77777777" w:rsidR="00883722" w:rsidRPr="00C96975" w:rsidRDefault="00883722" w:rsidP="00883722">
            <w:pPr>
              <w:tabs>
                <w:tab w:val="left" w:pos="426"/>
              </w:tabs>
              <w:jc w:val="center"/>
              <w:rPr>
                <w:rFonts w:ascii="Times New Roman" w:hAnsi="Times New Roman" w:cs="Times New Roman"/>
                <w:sz w:val="21"/>
                <w:szCs w:val="21"/>
              </w:rPr>
            </w:pPr>
            <w:r w:rsidRPr="00C96975">
              <w:rPr>
                <w:rFonts w:ascii="Times New Roman" w:hAnsi="Times New Roman" w:cs="Times New Roman"/>
                <w:sz w:val="21"/>
                <w:szCs w:val="21"/>
              </w:rPr>
              <w:t>43</w:t>
            </w:r>
          </w:p>
        </w:tc>
      </w:tr>
    </w:tbl>
    <w:p w14:paraId="30FE8823" w14:textId="77777777" w:rsidR="00E44B0C" w:rsidRDefault="00E44B0C" w:rsidP="00BF2605">
      <w:pPr>
        <w:tabs>
          <w:tab w:val="left" w:pos="426"/>
        </w:tabs>
        <w:spacing w:after="0" w:line="288" w:lineRule="auto"/>
        <w:jc w:val="both"/>
        <w:rPr>
          <w:rFonts w:ascii="Times New Roman" w:hAnsi="Times New Roman" w:cs="Times New Roman"/>
          <w:sz w:val="24"/>
          <w:szCs w:val="24"/>
        </w:rPr>
        <w:sectPr w:rsidR="00E44B0C" w:rsidSect="00646676">
          <w:pgSz w:w="15840" w:h="12240" w:orient="landscape"/>
          <w:pgMar w:top="993" w:right="1440" w:bottom="142" w:left="1440" w:header="720" w:footer="720" w:gutter="0"/>
          <w:cols w:space="720"/>
          <w:docGrid w:linePitch="360"/>
        </w:sectPr>
      </w:pPr>
    </w:p>
    <w:p w14:paraId="6FC91ED7" w14:textId="14531A25" w:rsidR="005D78B7" w:rsidRDefault="00F765FA"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5639D">
        <w:rPr>
          <w:rFonts w:ascii="Times New Roman" w:hAnsi="Times New Roman" w:cs="Times New Roman"/>
          <w:sz w:val="24"/>
          <w:szCs w:val="24"/>
        </w:rPr>
        <w:t xml:space="preserve">First of all, the results of the </w:t>
      </w:r>
      <w:r w:rsidR="00D5639D" w:rsidRPr="00D5639D">
        <w:rPr>
          <w:rFonts w:ascii="Times New Roman" w:hAnsi="Times New Roman" w:cs="Times New Roman"/>
          <w:sz w:val="24"/>
          <w:szCs w:val="24"/>
        </w:rPr>
        <w:t xml:space="preserve">Likelihood-ratio test </w:t>
      </w:r>
      <w:r w:rsidR="00D5639D">
        <w:rPr>
          <w:rFonts w:ascii="Times New Roman" w:hAnsi="Times New Roman" w:cs="Times New Roman"/>
          <w:sz w:val="24"/>
          <w:szCs w:val="24"/>
        </w:rPr>
        <w:t xml:space="preserve">for nested models suggest that both the additive and the moderating models provide better fit than the independent models. </w:t>
      </w:r>
      <w:r w:rsidR="005E4C74">
        <w:rPr>
          <w:rFonts w:ascii="Times New Roman" w:hAnsi="Times New Roman" w:cs="Times New Roman"/>
          <w:sz w:val="24"/>
          <w:szCs w:val="24"/>
        </w:rPr>
        <w:t>Furthermore,</w:t>
      </w:r>
      <w:r w:rsidR="00D5639D">
        <w:rPr>
          <w:rFonts w:ascii="Times New Roman" w:hAnsi="Times New Roman" w:cs="Times New Roman"/>
          <w:sz w:val="24"/>
          <w:szCs w:val="24"/>
        </w:rPr>
        <w:t xml:space="preserve"> the </w:t>
      </w:r>
      <w:r w:rsidR="00D5639D" w:rsidRPr="00D5639D">
        <w:rPr>
          <w:rFonts w:ascii="Times New Roman" w:hAnsi="Times New Roman" w:cs="Times New Roman"/>
          <w:sz w:val="24"/>
          <w:szCs w:val="24"/>
        </w:rPr>
        <w:t>Davidson-MacKinnon J test</w:t>
      </w:r>
      <w:r w:rsidR="00D5639D">
        <w:rPr>
          <w:rFonts w:ascii="Times New Roman" w:hAnsi="Times New Roman" w:cs="Times New Roman"/>
          <w:sz w:val="24"/>
          <w:szCs w:val="24"/>
        </w:rPr>
        <w:t xml:space="preserve"> for non-nested models confirms that the moderating models provide a better fit than both the independent and the additive models. </w:t>
      </w:r>
      <w:r w:rsidR="00B446E1">
        <w:rPr>
          <w:rFonts w:ascii="Times New Roman" w:hAnsi="Times New Roman" w:cs="Times New Roman"/>
          <w:sz w:val="24"/>
          <w:szCs w:val="24"/>
        </w:rPr>
        <w:t>This is also confirmed by the fact that</w:t>
      </w:r>
      <w:r w:rsidR="00D5639D">
        <w:rPr>
          <w:rFonts w:ascii="Times New Roman" w:hAnsi="Times New Roman" w:cs="Times New Roman"/>
          <w:sz w:val="24"/>
          <w:szCs w:val="24"/>
        </w:rPr>
        <w:t xml:space="preserve"> the moderating models have the lowest AIC scores in each group of regressions, which suggests that these models provide a better fit to the data after accounting for the differences in complexity</w:t>
      </w:r>
      <w:r w:rsidR="00D5639D">
        <w:rPr>
          <w:rStyle w:val="FootnoteReference"/>
          <w:rFonts w:ascii="Times New Roman" w:hAnsi="Times New Roman" w:cs="Times New Roman"/>
          <w:sz w:val="24"/>
          <w:szCs w:val="24"/>
        </w:rPr>
        <w:footnoteReference w:id="12"/>
      </w:r>
      <w:r w:rsidR="00D5639D">
        <w:rPr>
          <w:rFonts w:ascii="Times New Roman" w:hAnsi="Times New Roman" w:cs="Times New Roman"/>
          <w:sz w:val="24"/>
          <w:szCs w:val="24"/>
        </w:rPr>
        <w:t>.</w:t>
      </w:r>
      <w:r w:rsidR="00A1625E">
        <w:rPr>
          <w:rFonts w:ascii="Times New Roman" w:hAnsi="Times New Roman" w:cs="Times New Roman"/>
          <w:sz w:val="24"/>
          <w:szCs w:val="24"/>
        </w:rPr>
        <w:t xml:space="preserve"> </w:t>
      </w:r>
      <w:r w:rsidR="0036509C">
        <w:rPr>
          <w:rFonts w:ascii="Times New Roman" w:hAnsi="Times New Roman" w:cs="Times New Roman"/>
          <w:sz w:val="24"/>
          <w:szCs w:val="24"/>
        </w:rPr>
        <w:t xml:space="preserve">With regards to </w:t>
      </w:r>
      <w:r w:rsidR="00B446E1">
        <w:rPr>
          <w:rFonts w:ascii="Times New Roman" w:hAnsi="Times New Roman" w:cs="Times New Roman"/>
          <w:sz w:val="24"/>
          <w:szCs w:val="24"/>
        </w:rPr>
        <w:t xml:space="preserve">the last group </w:t>
      </w:r>
      <w:r w:rsidR="00DA1089">
        <w:rPr>
          <w:rFonts w:ascii="Times New Roman" w:hAnsi="Times New Roman" w:cs="Times New Roman"/>
          <w:sz w:val="24"/>
          <w:szCs w:val="24"/>
        </w:rPr>
        <w:t>o</w:t>
      </w:r>
      <w:r w:rsidR="00B446E1">
        <w:rPr>
          <w:rFonts w:ascii="Times New Roman" w:hAnsi="Times New Roman" w:cs="Times New Roman"/>
          <w:sz w:val="24"/>
          <w:szCs w:val="24"/>
        </w:rPr>
        <w:t xml:space="preserve">f causal-relationship models, </w:t>
      </w:r>
      <w:r w:rsidR="0036509C">
        <w:rPr>
          <w:rFonts w:ascii="Times New Roman" w:hAnsi="Times New Roman" w:cs="Times New Roman"/>
          <w:sz w:val="24"/>
          <w:szCs w:val="24"/>
        </w:rPr>
        <w:t>the intervening models, w</w:t>
      </w:r>
      <w:r w:rsidR="00A1625E">
        <w:rPr>
          <w:rFonts w:ascii="Times New Roman" w:hAnsi="Times New Roman" w:cs="Times New Roman"/>
          <w:sz w:val="24"/>
          <w:szCs w:val="24"/>
        </w:rPr>
        <w:t xml:space="preserve">e find no evidence to support the hypothesis that country-level factors </w:t>
      </w:r>
      <w:r w:rsidR="00E360CB">
        <w:rPr>
          <w:rFonts w:ascii="Times New Roman" w:hAnsi="Times New Roman" w:cs="Times New Roman"/>
          <w:sz w:val="24"/>
          <w:szCs w:val="24"/>
        </w:rPr>
        <w:t>affect firm-level governance and then firm value/performance</w:t>
      </w:r>
      <w:r w:rsidR="0036509C">
        <w:rPr>
          <w:rFonts w:ascii="Times New Roman" w:hAnsi="Times New Roman" w:cs="Times New Roman"/>
          <w:sz w:val="24"/>
          <w:szCs w:val="24"/>
        </w:rPr>
        <w:t>. More specifically, we do not find a significant result using the granger causality test routine to suggest that country-level factors granger-causes firm-level factors</w:t>
      </w:r>
      <w:r w:rsidR="005E4C74">
        <w:rPr>
          <w:rStyle w:val="FootnoteReference"/>
          <w:rFonts w:ascii="Times New Roman" w:hAnsi="Times New Roman" w:cs="Times New Roman"/>
          <w:sz w:val="24"/>
          <w:szCs w:val="24"/>
        </w:rPr>
        <w:footnoteReference w:id="13"/>
      </w:r>
      <w:r w:rsidR="0036509C">
        <w:rPr>
          <w:rFonts w:ascii="Times New Roman" w:hAnsi="Times New Roman" w:cs="Times New Roman"/>
          <w:sz w:val="24"/>
          <w:szCs w:val="24"/>
        </w:rPr>
        <w:t xml:space="preserve">. We also </w:t>
      </w:r>
      <w:r w:rsidR="001E1647">
        <w:rPr>
          <w:rFonts w:ascii="Times New Roman" w:hAnsi="Times New Roman" w:cs="Times New Roman"/>
          <w:sz w:val="24"/>
          <w:szCs w:val="24"/>
        </w:rPr>
        <w:t xml:space="preserve">fail to find any support for </w:t>
      </w:r>
      <w:r w:rsidR="00DA1089">
        <w:rPr>
          <w:rFonts w:ascii="Times New Roman" w:hAnsi="Times New Roman" w:cs="Times New Roman"/>
          <w:sz w:val="24"/>
          <w:szCs w:val="24"/>
        </w:rPr>
        <w:t xml:space="preserve">the </w:t>
      </w:r>
      <w:r w:rsidR="001E1647">
        <w:rPr>
          <w:rFonts w:ascii="Times New Roman" w:hAnsi="Times New Roman" w:cs="Times New Roman"/>
          <w:sz w:val="24"/>
          <w:szCs w:val="24"/>
        </w:rPr>
        <w:t xml:space="preserve">intervening models using the structural equation modelling routine </w:t>
      </w:r>
      <w:r w:rsidR="005E4C74">
        <w:rPr>
          <w:rFonts w:ascii="Times New Roman" w:hAnsi="Times New Roman" w:cs="Times New Roman"/>
          <w:sz w:val="24"/>
          <w:szCs w:val="24"/>
        </w:rPr>
        <w:t>specified below.</w:t>
      </w:r>
    </w:p>
    <w:p w14:paraId="6BD096C3" w14:textId="77777777" w:rsidR="006F6182" w:rsidRPr="005E0490" w:rsidRDefault="006F6182" w:rsidP="00BF2605">
      <w:pPr>
        <w:tabs>
          <w:tab w:val="left" w:pos="426"/>
        </w:tabs>
        <w:spacing w:after="0" w:line="288" w:lineRule="auto"/>
        <w:jc w:val="both"/>
        <w:rPr>
          <w:rFonts w:ascii="Times New Roman" w:hAnsi="Times New Roman" w:cs="Times New Roman"/>
          <w:sz w:val="16"/>
          <w:szCs w:val="16"/>
        </w:rPr>
      </w:pPr>
    </w:p>
    <w:p w14:paraId="5A194B2A" w14:textId="7824AF47" w:rsidR="001E1647" w:rsidRPr="00EF7E74" w:rsidRDefault="001E1647"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i/>
          <w:iCs/>
          <w:noProof/>
          <w:sz w:val="24"/>
          <w:szCs w:val="24"/>
          <w:lang w:val="en-NZ" w:eastAsia="zh-CN"/>
        </w:rPr>
        <mc:AlternateContent>
          <mc:Choice Requires="wps">
            <w:drawing>
              <wp:anchor distT="0" distB="0" distL="114300" distR="114300" simplePos="0" relativeHeight="251661312" behindDoc="0" locked="0" layoutInCell="1" allowOverlap="1" wp14:anchorId="47D60B5C" wp14:editId="7F233D39">
                <wp:simplePos x="0" y="0"/>
                <wp:positionH relativeFrom="column">
                  <wp:posOffset>3752411</wp:posOffset>
                </wp:positionH>
                <wp:positionV relativeFrom="paragraph">
                  <wp:posOffset>247589</wp:posOffset>
                </wp:positionV>
                <wp:extent cx="914400"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102877AF" w14:textId="77777777" w:rsidR="00E219C5" w:rsidRPr="001E1647" w:rsidRDefault="00E219C5" w:rsidP="001E1647">
                            <w:pPr>
                              <w:rPr>
                                <w:rFonts w:asciiTheme="majorBidi" w:hAnsiTheme="majorBidi" w:cstheme="majorBidi"/>
                                <w:b/>
                                <w:bCs/>
                              </w:rPr>
                            </w:pPr>
                            <w:r w:rsidRPr="001E1647">
                              <w:rPr>
                                <w:rFonts w:asciiTheme="majorBidi" w:hAnsiTheme="majorBidi" w:cstheme="majorBidi"/>
                                <w:b/>
                                <w:bCs/>
                              </w:rPr>
                              <w:t>Affects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D60B5C" id="_x0000_t202" coordsize="21600,21600" o:spt="202" path="m,l,21600r21600,l21600,xe">
                <v:stroke joinstyle="miter"/>
                <v:path gradientshapeok="t" o:connecttype="rect"/>
              </v:shapetype>
              <v:shape id="Text Box 8" o:spid="_x0000_s1026" type="#_x0000_t202" style="position:absolute;left:0;text-align:left;margin-left:295.45pt;margin-top:19.5pt;width:1in;height:23.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" filled="f" stroked="f" strokeweight=".5pt">
                <v:textbox>
                  <w:txbxContent>
                    <w:p w14:paraId="102877AF" w14:textId="77777777" w:rsidR="00E219C5" w:rsidRPr="001E1647" w:rsidRDefault="00E219C5" w:rsidP="001E1647">
                      <w:pPr>
                        <w:rPr>
                          <w:rFonts w:asciiTheme="majorBidi" w:hAnsiTheme="majorBidi" w:cstheme="majorBidi"/>
                          <w:b/>
                          <w:bCs/>
                        </w:rPr>
                      </w:pPr>
                      <w:r w:rsidRPr="001E1647">
                        <w:rPr>
                          <w:rFonts w:asciiTheme="majorBidi" w:hAnsiTheme="majorBidi" w:cstheme="majorBidi"/>
                          <w:b/>
                          <w:bCs/>
                        </w:rPr>
                        <w:t>Affects</w:t>
                      </w:r>
                    </w:p>
                  </w:txbxContent>
                </v:textbox>
              </v:shape>
            </w:pict>
          </mc:Fallback>
        </mc:AlternateContent>
      </w:r>
      <w:r>
        <w:rPr>
          <w:rFonts w:ascii="Times New Roman" w:hAnsi="Times New Roman" w:cs="Times New Roman"/>
          <w:i/>
          <w:iCs/>
          <w:noProof/>
          <w:sz w:val="24"/>
          <w:szCs w:val="24"/>
          <w:lang w:val="en-NZ" w:eastAsia="zh-CN"/>
        </w:rPr>
        <mc:AlternateContent>
          <mc:Choice Requires="wps">
            <w:drawing>
              <wp:anchor distT="0" distB="0" distL="114300" distR="114300" simplePos="0" relativeHeight="251659264" behindDoc="0" locked="0" layoutInCell="1" allowOverlap="1" wp14:anchorId="13771952" wp14:editId="61568717">
                <wp:simplePos x="0" y="0"/>
                <wp:positionH relativeFrom="column">
                  <wp:posOffset>1560195</wp:posOffset>
                </wp:positionH>
                <wp:positionV relativeFrom="paragraph">
                  <wp:posOffset>230505</wp:posOffset>
                </wp:positionV>
                <wp:extent cx="914400" cy="29527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3EFD5BAF" w14:textId="4FFC1FEF" w:rsidR="00E219C5" w:rsidRPr="001E1647" w:rsidRDefault="00E219C5">
                            <w:pPr>
                              <w:rPr>
                                <w:rFonts w:asciiTheme="majorBidi" w:hAnsiTheme="majorBidi" w:cstheme="majorBidi"/>
                                <w:b/>
                                <w:bCs/>
                              </w:rPr>
                            </w:pPr>
                            <w:r w:rsidRPr="001E1647">
                              <w:rPr>
                                <w:rFonts w:asciiTheme="majorBidi" w:hAnsiTheme="majorBidi" w:cstheme="majorBidi"/>
                                <w:b/>
                                <w:bCs/>
                              </w:rPr>
                              <w:t>Affects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771952" id="Text Box 7" o:spid="_x0000_s1027" type="#_x0000_t202" style="position:absolute;left:0;text-align:left;margin-left:122.85pt;margin-top:18.15pt;width:1in;height:23.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" filled="f" stroked="f" strokeweight=".5pt">
                <v:textbox>
                  <w:txbxContent>
                    <w:p w14:paraId="3EFD5BAF" w14:textId="4FFC1FEF" w:rsidR="00E219C5" w:rsidRPr="001E1647" w:rsidRDefault="00E219C5">
                      <w:pPr>
                        <w:rPr>
                          <w:rFonts w:asciiTheme="majorBidi" w:hAnsiTheme="majorBidi" w:cstheme="majorBidi"/>
                          <w:b/>
                          <w:bCs/>
                        </w:rPr>
                      </w:pPr>
                      <w:r w:rsidRPr="001E1647">
                        <w:rPr>
                          <w:rFonts w:asciiTheme="majorBidi" w:hAnsiTheme="majorBidi" w:cstheme="majorBidi"/>
                          <w:b/>
                          <w:bCs/>
                        </w:rPr>
                        <w:t>Affects</w:t>
                      </w:r>
                    </w:p>
                  </w:txbxContent>
                </v:textbox>
              </v:shape>
            </w:pict>
          </mc:Fallback>
        </mc:AlternateContent>
      </w:r>
      <w:r>
        <w:rPr>
          <w:rFonts w:ascii="Times New Roman" w:hAnsi="Times New Roman" w:cs="Times New Roman"/>
          <w:i/>
          <w:iCs/>
          <w:noProof/>
          <w:sz w:val="24"/>
          <w:szCs w:val="24"/>
          <w:lang w:val="en-NZ" w:eastAsia="zh-CN"/>
        </w:rPr>
        <mc:AlternateContent>
          <mc:Choice Requires="wpg">
            <w:drawing>
              <wp:inline distT="0" distB="0" distL="0" distR="0" wp14:anchorId="3EAA67A9" wp14:editId="0B227752">
                <wp:extent cx="5943600" cy="1047750"/>
                <wp:effectExtent l="0" t="0" r="19050" b="19050"/>
                <wp:docPr id="6" name="Group 6"/>
                <wp:cNvGraphicFramePr/>
                <a:graphic xmlns:a="http://schemas.openxmlformats.org/drawingml/2006/main">
                  <a:graphicData uri="http://schemas.microsoft.com/office/word/2010/wordprocessingGroup">
                    <wpg:wgp>
                      <wpg:cNvGrpSpPr/>
                      <wpg:grpSpPr>
                        <a:xfrm>
                          <a:off x="0" y="0"/>
                          <a:ext cx="5943600" cy="1047750"/>
                          <a:chOff x="0" y="0"/>
                          <a:chExt cx="6200775" cy="695325"/>
                        </a:xfrm>
                      </wpg:grpSpPr>
                      <wps:wsp>
                        <wps:cNvPr id="1" name="Oval 1"/>
                        <wps:cNvSpPr/>
                        <wps:spPr>
                          <a:xfrm>
                            <a:off x="0" y="0"/>
                            <a:ext cx="1638300" cy="685800"/>
                          </a:xfrm>
                          <a:prstGeom prst="ellipse">
                            <a:avLst/>
                          </a:prstGeom>
                        </wps:spPr>
                        <wps:style>
                          <a:lnRef idx="2">
                            <a:schemeClr val="dk1"/>
                          </a:lnRef>
                          <a:fillRef idx="1">
                            <a:schemeClr val="lt1"/>
                          </a:fillRef>
                          <a:effectRef idx="0">
                            <a:schemeClr val="dk1"/>
                          </a:effectRef>
                          <a:fontRef idx="minor">
                            <a:schemeClr val="dk1"/>
                          </a:fontRef>
                        </wps:style>
                        <wps:txbx>
                          <w:txbxContent>
                            <w:p w14:paraId="5558065D" w14:textId="1645CEFD" w:rsidR="00E219C5" w:rsidRDefault="00E219C5" w:rsidP="001E1647">
                              <w:pPr>
                                <w:spacing w:after="0"/>
                                <w:jc w:val="center"/>
                                <w:rPr>
                                  <w:rFonts w:asciiTheme="majorBidi" w:hAnsiTheme="majorBidi" w:cstheme="majorBidi"/>
                                  <w:sz w:val="24"/>
                                  <w:szCs w:val="24"/>
                                </w:rPr>
                              </w:pPr>
                              <w:r w:rsidRPr="001E1647">
                                <w:rPr>
                                  <w:rFonts w:asciiTheme="majorBidi" w:hAnsiTheme="majorBidi" w:cstheme="majorBidi"/>
                                  <w:sz w:val="24"/>
                                  <w:szCs w:val="24"/>
                                </w:rPr>
                                <w:t>Country-level Factors</w:t>
                              </w:r>
                            </w:p>
                            <w:p w14:paraId="0F22738A" w14:textId="58B1CCB5" w:rsidR="00E219C5" w:rsidRPr="001E1647" w:rsidRDefault="00E219C5" w:rsidP="001E1647">
                              <w:pPr>
                                <w:spacing w:after="0"/>
                                <w:jc w:val="center"/>
                                <w:rPr>
                                  <w:rFonts w:asciiTheme="majorBidi" w:hAnsiTheme="majorBidi" w:cstheme="majorBidi"/>
                                  <w:b/>
                                  <w:bCs/>
                                  <w:sz w:val="24"/>
                                  <w:szCs w:val="24"/>
                                </w:rPr>
                              </w:pPr>
                              <w:r w:rsidRPr="001E1647">
                                <w:rPr>
                                  <w:rFonts w:asciiTheme="majorBidi" w:hAnsiTheme="majorBidi" w:cstheme="majorBidi"/>
                                  <w:b/>
                                  <w:bCs/>
                                  <w:sz w:val="24"/>
                                  <w:szCs w:val="24"/>
                                </w:rPr>
                                <w:t>Exogenous</w:t>
                              </w:r>
                            </w:p>
                            <w:p w14:paraId="42BDDD11" w14:textId="77777777" w:rsidR="00E219C5" w:rsidRPr="001E1647" w:rsidRDefault="00E219C5" w:rsidP="001E1647">
                              <w:pPr>
                                <w:spacing w:after="0"/>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1638300" y="361950"/>
                            <a:ext cx="640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Oval 3"/>
                        <wps:cNvSpPr/>
                        <wps:spPr>
                          <a:xfrm>
                            <a:off x="2276475" y="0"/>
                            <a:ext cx="1638300" cy="685800"/>
                          </a:xfrm>
                          <a:prstGeom prst="ellipse">
                            <a:avLst/>
                          </a:prstGeom>
                        </wps:spPr>
                        <wps:style>
                          <a:lnRef idx="2">
                            <a:schemeClr val="dk1"/>
                          </a:lnRef>
                          <a:fillRef idx="1">
                            <a:schemeClr val="lt1"/>
                          </a:fillRef>
                          <a:effectRef idx="0">
                            <a:schemeClr val="dk1"/>
                          </a:effectRef>
                          <a:fontRef idx="minor">
                            <a:schemeClr val="dk1"/>
                          </a:fontRef>
                        </wps:style>
                        <wps:txbx>
                          <w:txbxContent>
                            <w:p w14:paraId="35299468" w14:textId="7452C000" w:rsidR="00E219C5" w:rsidRDefault="00E219C5" w:rsidP="001E1647">
                              <w:pPr>
                                <w:spacing w:after="0"/>
                                <w:jc w:val="center"/>
                                <w:rPr>
                                  <w:rFonts w:asciiTheme="majorBidi" w:hAnsiTheme="majorBidi" w:cstheme="majorBidi"/>
                                  <w:sz w:val="24"/>
                                  <w:szCs w:val="24"/>
                                </w:rPr>
                              </w:pPr>
                              <w:r>
                                <w:rPr>
                                  <w:rFonts w:asciiTheme="majorBidi" w:hAnsiTheme="majorBidi" w:cstheme="majorBidi"/>
                                  <w:sz w:val="24"/>
                                  <w:szCs w:val="24"/>
                                </w:rPr>
                                <w:t>Firm</w:t>
                              </w:r>
                              <w:r w:rsidRPr="001E1647">
                                <w:rPr>
                                  <w:rFonts w:asciiTheme="majorBidi" w:hAnsiTheme="majorBidi" w:cstheme="majorBidi"/>
                                  <w:sz w:val="24"/>
                                  <w:szCs w:val="24"/>
                                </w:rPr>
                                <w:t>-level Factors</w:t>
                              </w:r>
                            </w:p>
                            <w:p w14:paraId="2E6DC108" w14:textId="312F65D6" w:rsidR="00E219C5" w:rsidRPr="001E1647" w:rsidRDefault="00E219C5" w:rsidP="001E1647">
                              <w:pPr>
                                <w:spacing w:after="0"/>
                                <w:jc w:val="center"/>
                                <w:rPr>
                                  <w:rFonts w:asciiTheme="majorBidi" w:hAnsiTheme="majorBidi" w:cstheme="majorBidi"/>
                                  <w:b/>
                                  <w:bCs/>
                                  <w:sz w:val="24"/>
                                  <w:szCs w:val="24"/>
                                </w:rPr>
                              </w:pPr>
                              <w:r w:rsidRPr="001E1647">
                                <w:rPr>
                                  <w:rFonts w:asciiTheme="majorBidi" w:hAnsiTheme="majorBidi" w:cstheme="majorBidi"/>
                                  <w:b/>
                                  <w:bCs/>
                                  <w:sz w:val="24"/>
                                  <w:szCs w:val="24"/>
                                </w:rPr>
                                <w:t>E</w:t>
                              </w:r>
                              <w:r>
                                <w:rPr>
                                  <w:rFonts w:asciiTheme="majorBidi" w:hAnsiTheme="majorBidi" w:cstheme="majorBidi"/>
                                  <w:b/>
                                  <w:bCs/>
                                  <w:sz w:val="24"/>
                                  <w:szCs w:val="24"/>
                                </w:rPr>
                                <w:t>ndogenous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3914775" y="361950"/>
                            <a:ext cx="640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Oval 5"/>
                        <wps:cNvSpPr/>
                        <wps:spPr>
                          <a:xfrm>
                            <a:off x="4562475" y="9525"/>
                            <a:ext cx="1638300" cy="685800"/>
                          </a:xfrm>
                          <a:prstGeom prst="ellipse">
                            <a:avLst/>
                          </a:prstGeom>
                        </wps:spPr>
                        <wps:style>
                          <a:lnRef idx="2">
                            <a:schemeClr val="dk1"/>
                          </a:lnRef>
                          <a:fillRef idx="1">
                            <a:schemeClr val="lt1"/>
                          </a:fillRef>
                          <a:effectRef idx="0">
                            <a:schemeClr val="dk1"/>
                          </a:effectRef>
                          <a:fontRef idx="minor">
                            <a:schemeClr val="dk1"/>
                          </a:fontRef>
                        </wps:style>
                        <wps:txbx>
                          <w:txbxContent>
                            <w:p w14:paraId="693D2465" w14:textId="72CCE7A9" w:rsidR="00E219C5" w:rsidRDefault="00E219C5" w:rsidP="001E1647">
                              <w:pPr>
                                <w:spacing w:after="0"/>
                                <w:jc w:val="center"/>
                                <w:rPr>
                                  <w:rFonts w:asciiTheme="majorBidi" w:hAnsiTheme="majorBidi" w:cstheme="majorBidi"/>
                                  <w:sz w:val="24"/>
                                  <w:szCs w:val="24"/>
                                </w:rPr>
                              </w:pPr>
                              <w:r>
                                <w:rPr>
                                  <w:rFonts w:asciiTheme="majorBidi" w:hAnsiTheme="majorBidi" w:cstheme="majorBidi"/>
                                  <w:sz w:val="24"/>
                                  <w:szCs w:val="24"/>
                                </w:rPr>
                                <w:t>Firm Value / Performance</w:t>
                              </w:r>
                            </w:p>
                            <w:p w14:paraId="6B891CD8" w14:textId="77777777" w:rsidR="00E219C5" w:rsidRPr="001E1647" w:rsidRDefault="00E219C5" w:rsidP="001E1647">
                              <w:pPr>
                                <w:spacing w:after="0"/>
                                <w:jc w:val="center"/>
                                <w:rPr>
                                  <w:rFonts w:asciiTheme="majorBidi" w:hAnsiTheme="majorBidi" w:cstheme="majorBidi"/>
                                  <w:b/>
                                  <w:bCs/>
                                  <w:sz w:val="24"/>
                                  <w:szCs w:val="24"/>
                                </w:rPr>
                              </w:pPr>
                              <w:r w:rsidRPr="001E1647">
                                <w:rPr>
                                  <w:rFonts w:asciiTheme="majorBidi" w:hAnsiTheme="majorBidi" w:cstheme="majorBidi"/>
                                  <w:b/>
                                  <w:bCs/>
                                  <w:sz w:val="24"/>
                                  <w:szCs w:val="24"/>
                                </w:rPr>
                                <w:t>E</w:t>
                              </w:r>
                              <w:r>
                                <w:rPr>
                                  <w:rFonts w:asciiTheme="majorBidi" w:hAnsiTheme="majorBidi" w:cstheme="majorBidi"/>
                                  <w:b/>
                                  <w:bCs/>
                                  <w:sz w:val="24"/>
                                  <w:szCs w:val="24"/>
                                </w:rPr>
                                <w:t>ndogenous</w:t>
                              </w:r>
                            </w:p>
                            <w:p w14:paraId="39E04378" w14:textId="77777777" w:rsidR="00E219C5" w:rsidRDefault="00E219C5" w:rsidP="001E1647">
                              <w:pPr>
                                <w:jc w:val="center"/>
                                <w:rPr>
                                  <w:rFonts w:asciiTheme="majorBidi" w:hAnsiTheme="majorBidi" w:cstheme="majorBidi"/>
                                  <w:sz w:val="24"/>
                                  <w:szCs w:val="24"/>
                                </w:rPr>
                              </w:pPr>
                            </w:p>
                            <w:p w14:paraId="0656015F" w14:textId="77777777" w:rsidR="00E219C5" w:rsidRPr="001E1647" w:rsidRDefault="00E219C5" w:rsidP="001E1647">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EAA67A9" id="Group 6" o:spid="_x0000_s1028" style="width:468pt;height:82.5pt;mso-position-horizontal-relative:char;mso-position-vertical-relative:line" coordsize="62007,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">
                <v:oval id="Oval 1" o:spid="_x0000_s1029" style="position:absolute;width:1638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" fillcolor="white [3201]" strokecolor="black [3200]" strokeweight="1pt">
                  <v:stroke joinstyle="miter"/>
                  <v:textbox>
                    <w:txbxContent>
                      <w:p w14:paraId="5558065D" w14:textId="1645CEFD" w:rsidR="00E219C5" w:rsidRDefault="00E219C5" w:rsidP="001E1647">
                        <w:pPr>
                          <w:spacing w:after="0"/>
                          <w:jc w:val="center"/>
                          <w:rPr>
                            <w:rFonts w:asciiTheme="majorBidi" w:hAnsiTheme="majorBidi" w:cstheme="majorBidi"/>
                            <w:sz w:val="24"/>
                            <w:szCs w:val="24"/>
                          </w:rPr>
                        </w:pPr>
                        <w:r w:rsidRPr="001E1647">
                          <w:rPr>
                            <w:rFonts w:asciiTheme="majorBidi" w:hAnsiTheme="majorBidi" w:cstheme="majorBidi"/>
                            <w:sz w:val="24"/>
                            <w:szCs w:val="24"/>
                          </w:rPr>
                          <w:t>Country-level Factors</w:t>
                        </w:r>
                      </w:p>
                      <w:p w14:paraId="0F22738A" w14:textId="58B1CCB5" w:rsidR="00E219C5" w:rsidRPr="001E1647" w:rsidRDefault="00E219C5" w:rsidP="001E1647">
                        <w:pPr>
                          <w:spacing w:after="0"/>
                          <w:jc w:val="center"/>
                          <w:rPr>
                            <w:rFonts w:asciiTheme="majorBidi" w:hAnsiTheme="majorBidi" w:cstheme="majorBidi"/>
                            <w:b/>
                            <w:bCs/>
                            <w:sz w:val="24"/>
                            <w:szCs w:val="24"/>
                          </w:rPr>
                        </w:pPr>
                        <w:r w:rsidRPr="001E1647">
                          <w:rPr>
                            <w:rFonts w:asciiTheme="majorBidi" w:hAnsiTheme="majorBidi" w:cstheme="majorBidi"/>
                            <w:b/>
                            <w:bCs/>
                            <w:sz w:val="24"/>
                            <w:szCs w:val="24"/>
                          </w:rPr>
                          <w:t>Exogenous</w:t>
                        </w:r>
                      </w:p>
                      <w:p w14:paraId="42BDDD11" w14:textId="77777777" w:rsidR="00E219C5" w:rsidRPr="001E1647" w:rsidRDefault="00E219C5" w:rsidP="001E1647">
                        <w:pPr>
                          <w:spacing w:after="0"/>
                          <w:jc w:val="center"/>
                          <w:rPr>
                            <w:rFonts w:asciiTheme="majorBidi" w:hAnsiTheme="majorBidi" w:cstheme="majorBidi"/>
                            <w:sz w:val="24"/>
                            <w:szCs w:val="24"/>
                          </w:rPr>
                        </w:pPr>
                      </w:p>
                    </w:txbxContent>
                  </v:textbox>
                </v:oval>
                <v:shapetype id="_x0000_t32" coordsize="21600,21600" o:spt="32" o:oned="t" path="m,l21600,21600e" filled="f">
                  <v:path arrowok="t" fillok="f" o:connecttype="none"/>
                  <o:lock v:ext="edit" shapetype="t"/>
                </v:shapetype>
                <v:shape id="Straight Arrow Connector 2" o:spid="_x0000_s1030" type="#_x0000_t32" style="position:absolute;left:16383;top:3619;width:6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oval id="Oval 3" o:spid="_x0000_s1031" style="position:absolute;left:22764;width:1638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sKIwQAAANoAAAAPAAAAZHJzL2Rvd25yZXYueG1sRI/BasMw&#10;EETvhf6D2EIvpZHaQg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PoqwojBAAAA2gAAAA8AAAAA&#10;AAAAAAAAAAAABwIAAGRycy9kb3ducmV2LnhtbFBLBQYAAAAAAwADALcAAAD1AgAAAAA=&#10;" fillcolor="white [3201]" strokecolor="black [3200]" strokeweight="1pt">
                  <v:stroke joinstyle="miter"/>
                  <v:textbox>
                    <w:txbxContent>
                      <w:p w14:paraId="35299468" w14:textId="7452C000" w:rsidR="00E219C5" w:rsidRDefault="00E219C5" w:rsidP="001E1647">
                        <w:pPr>
                          <w:spacing w:after="0"/>
                          <w:jc w:val="center"/>
                          <w:rPr>
                            <w:rFonts w:asciiTheme="majorBidi" w:hAnsiTheme="majorBidi" w:cstheme="majorBidi"/>
                            <w:sz w:val="24"/>
                            <w:szCs w:val="24"/>
                          </w:rPr>
                        </w:pPr>
                        <w:r>
                          <w:rPr>
                            <w:rFonts w:asciiTheme="majorBidi" w:hAnsiTheme="majorBidi" w:cstheme="majorBidi"/>
                            <w:sz w:val="24"/>
                            <w:szCs w:val="24"/>
                          </w:rPr>
                          <w:t>Firm</w:t>
                        </w:r>
                        <w:r w:rsidRPr="001E1647">
                          <w:rPr>
                            <w:rFonts w:asciiTheme="majorBidi" w:hAnsiTheme="majorBidi" w:cstheme="majorBidi"/>
                            <w:sz w:val="24"/>
                            <w:szCs w:val="24"/>
                          </w:rPr>
                          <w:t>-level Factors</w:t>
                        </w:r>
                      </w:p>
                      <w:p w14:paraId="2E6DC108" w14:textId="312F65D6" w:rsidR="00E219C5" w:rsidRPr="001E1647" w:rsidRDefault="00E219C5" w:rsidP="001E1647">
                        <w:pPr>
                          <w:spacing w:after="0"/>
                          <w:jc w:val="center"/>
                          <w:rPr>
                            <w:rFonts w:asciiTheme="majorBidi" w:hAnsiTheme="majorBidi" w:cstheme="majorBidi"/>
                            <w:b/>
                            <w:bCs/>
                            <w:sz w:val="24"/>
                            <w:szCs w:val="24"/>
                          </w:rPr>
                        </w:pPr>
                        <w:r w:rsidRPr="001E1647">
                          <w:rPr>
                            <w:rFonts w:asciiTheme="majorBidi" w:hAnsiTheme="majorBidi" w:cstheme="majorBidi"/>
                            <w:b/>
                            <w:bCs/>
                            <w:sz w:val="24"/>
                            <w:szCs w:val="24"/>
                          </w:rPr>
                          <w:t>E</w:t>
                        </w:r>
                        <w:r>
                          <w:rPr>
                            <w:rFonts w:asciiTheme="majorBidi" w:hAnsiTheme="majorBidi" w:cstheme="majorBidi"/>
                            <w:b/>
                            <w:bCs/>
                            <w:sz w:val="24"/>
                            <w:szCs w:val="24"/>
                          </w:rPr>
                          <w:t>ndogenous</w:t>
                        </w:r>
                      </w:p>
                    </w:txbxContent>
                  </v:textbox>
                </v:oval>
                <v:shape id="Straight Arrow Connector 4" o:spid="_x0000_s1032" type="#_x0000_t32" style="position:absolute;left:39147;top:3619;width:6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oval id="Oval 5" o:spid="_x0000_s1033" style="position:absolute;left:45624;top:95;width:1638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nwQAAANoAAAAPAAAAZHJzL2Rvd25yZXYueG1sRI/BasMw&#10;EETvhf6D2EIvpZFaaA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BqP/2fBAAAA2gAAAA8AAAAA&#10;AAAAAAAAAAAABwIAAGRycy9kb3ducmV2LnhtbFBLBQYAAAAAAwADALcAAAD1AgAAAAA=&#10;" fillcolor="white [3201]" strokecolor="black [3200]" strokeweight="1pt">
                  <v:stroke joinstyle="miter"/>
                  <v:textbox>
                    <w:txbxContent>
                      <w:p w14:paraId="693D2465" w14:textId="72CCE7A9" w:rsidR="00E219C5" w:rsidRDefault="00E219C5" w:rsidP="001E1647">
                        <w:pPr>
                          <w:spacing w:after="0"/>
                          <w:jc w:val="center"/>
                          <w:rPr>
                            <w:rFonts w:asciiTheme="majorBidi" w:hAnsiTheme="majorBidi" w:cstheme="majorBidi"/>
                            <w:sz w:val="24"/>
                            <w:szCs w:val="24"/>
                          </w:rPr>
                        </w:pPr>
                        <w:r>
                          <w:rPr>
                            <w:rFonts w:asciiTheme="majorBidi" w:hAnsiTheme="majorBidi" w:cstheme="majorBidi"/>
                            <w:sz w:val="24"/>
                            <w:szCs w:val="24"/>
                          </w:rPr>
                          <w:t>Firm Value / Performance</w:t>
                        </w:r>
                      </w:p>
                      <w:p w14:paraId="6B891CD8" w14:textId="77777777" w:rsidR="00E219C5" w:rsidRPr="001E1647" w:rsidRDefault="00E219C5" w:rsidP="001E1647">
                        <w:pPr>
                          <w:spacing w:after="0"/>
                          <w:jc w:val="center"/>
                          <w:rPr>
                            <w:rFonts w:asciiTheme="majorBidi" w:hAnsiTheme="majorBidi" w:cstheme="majorBidi"/>
                            <w:b/>
                            <w:bCs/>
                            <w:sz w:val="24"/>
                            <w:szCs w:val="24"/>
                          </w:rPr>
                        </w:pPr>
                        <w:r w:rsidRPr="001E1647">
                          <w:rPr>
                            <w:rFonts w:asciiTheme="majorBidi" w:hAnsiTheme="majorBidi" w:cstheme="majorBidi"/>
                            <w:b/>
                            <w:bCs/>
                            <w:sz w:val="24"/>
                            <w:szCs w:val="24"/>
                          </w:rPr>
                          <w:t>E</w:t>
                        </w:r>
                        <w:r>
                          <w:rPr>
                            <w:rFonts w:asciiTheme="majorBidi" w:hAnsiTheme="majorBidi" w:cstheme="majorBidi"/>
                            <w:b/>
                            <w:bCs/>
                            <w:sz w:val="24"/>
                            <w:szCs w:val="24"/>
                          </w:rPr>
                          <w:t>ndogenous</w:t>
                        </w:r>
                      </w:p>
                      <w:p w14:paraId="39E04378" w14:textId="77777777" w:rsidR="00E219C5" w:rsidRDefault="00E219C5" w:rsidP="001E1647">
                        <w:pPr>
                          <w:jc w:val="center"/>
                          <w:rPr>
                            <w:rFonts w:asciiTheme="majorBidi" w:hAnsiTheme="majorBidi" w:cstheme="majorBidi"/>
                            <w:sz w:val="24"/>
                            <w:szCs w:val="24"/>
                          </w:rPr>
                        </w:pPr>
                      </w:p>
                      <w:p w14:paraId="0656015F" w14:textId="77777777" w:rsidR="00E219C5" w:rsidRPr="001E1647" w:rsidRDefault="00E219C5" w:rsidP="001E1647">
                        <w:pPr>
                          <w:jc w:val="center"/>
                          <w:rPr>
                            <w:rFonts w:asciiTheme="majorBidi" w:hAnsiTheme="majorBidi" w:cstheme="majorBidi"/>
                            <w:sz w:val="24"/>
                            <w:szCs w:val="24"/>
                          </w:rPr>
                        </w:pPr>
                      </w:p>
                    </w:txbxContent>
                  </v:textbox>
                </v:oval>
                <w10:anchorlock/>
              </v:group>
            </w:pict>
          </mc:Fallback>
        </mc:AlternateContent>
      </w:r>
    </w:p>
    <w:p w14:paraId="7B8FB1F2" w14:textId="77777777" w:rsidR="006F6182" w:rsidRPr="00B528D0" w:rsidRDefault="006F6182" w:rsidP="00BF2605">
      <w:pPr>
        <w:tabs>
          <w:tab w:val="left" w:pos="426"/>
        </w:tabs>
        <w:spacing w:after="0" w:line="288" w:lineRule="auto"/>
        <w:jc w:val="both"/>
        <w:rPr>
          <w:rFonts w:ascii="Times New Roman" w:hAnsi="Times New Roman" w:cs="Times New Roman"/>
          <w:sz w:val="12"/>
          <w:szCs w:val="12"/>
        </w:rPr>
      </w:pPr>
    </w:p>
    <w:p w14:paraId="4568A3D9" w14:textId="717C92AA" w:rsidR="00EF7E74" w:rsidRDefault="006F6182"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E4C74">
        <w:rPr>
          <w:rFonts w:ascii="Times New Roman" w:hAnsi="Times New Roman" w:cs="Times New Roman"/>
          <w:sz w:val="24"/>
          <w:szCs w:val="24"/>
        </w:rPr>
        <w:t>Overall, the results of our different model selection tests</w:t>
      </w:r>
      <w:r w:rsidR="009C037B">
        <w:rPr>
          <w:rFonts w:ascii="Times New Roman" w:hAnsi="Times New Roman" w:cs="Times New Roman"/>
          <w:sz w:val="24"/>
          <w:szCs w:val="24"/>
        </w:rPr>
        <w:t xml:space="preserve"> confirm that the moderating models provide a better fit and representation of the relationship between country-level and firm-level governance mechanisms and their joint effect on firm value/performance. Furthermore, w</w:t>
      </w:r>
      <w:r w:rsidR="00860EAB">
        <w:rPr>
          <w:rFonts w:ascii="Times New Roman" w:hAnsi="Times New Roman" w:cs="Times New Roman"/>
          <w:sz w:val="24"/>
          <w:szCs w:val="24"/>
        </w:rPr>
        <w:t xml:space="preserve">e can infer from the </w:t>
      </w:r>
      <w:r w:rsidR="00163196">
        <w:rPr>
          <w:rFonts w:ascii="Times New Roman" w:hAnsi="Times New Roman" w:cs="Times New Roman"/>
          <w:sz w:val="24"/>
          <w:szCs w:val="24"/>
        </w:rPr>
        <w:t>positive</w:t>
      </w:r>
      <w:r w:rsidR="00E7132B">
        <w:rPr>
          <w:rFonts w:ascii="Times New Roman" w:hAnsi="Times New Roman" w:cs="Times New Roman"/>
          <w:sz w:val="24"/>
          <w:szCs w:val="24"/>
        </w:rPr>
        <w:t xml:space="preserve"> signs of</w:t>
      </w:r>
      <w:r w:rsidR="00860EAB">
        <w:rPr>
          <w:rFonts w:ascii="Times New Roman" w:hAnsi="Times New Roman" w:cs="Times New Roman"/>
          <w:sz w:val="24"/>
          <w:szCs w:val="24"/>
        </w:rPr>
        <w:t xml:space="preserve"> </w:t>
      </w:r>
      <w:r w:rsidR="00E7132B">
        <w:rPr>
          <w:rFonts w:ascii="Times New Roman" w:hAnsi="Times New Roman" w:cs="Times New Roman"/>
          <w:sz w:val="24"/>
          <w:szCs w:val="24"/>
        </w:rPr>
        <w:t xml:space="preserve">the interaction between the </w:t>
      </w:r>
      <w:r w:rsidR="0036673B">
        <w:rPr>
          <w:rFonts w:ascii="Times New Roman" w:hAnsi="Times New Roman" w:cs="Times New Roman"/>
          <w:sz w:val="24"/>
          <w:szCs w:val="24"/>
        </w:rPr>
        <w:t xml:space="preserve">firm </w:t>
      </w:r>
      <w:r w:rsidR="00E7132B">
        <w:rPr>
          <w:rFonts w:ascii="Times New Roman" w:hAnsi="Times New Roman" w:cs="Times New Roman"/>
          <w:sz w:val="24"/>
          <w:szCs w:val="24"/>
        </w:rPr>
        <w:t xml:space="preserve">governance index and the </w:t>
      </w:r>
      <w:r w:rsidR="009C037B">
        <w:rPr>
          <w:rFonts w:ascii="Times New Roman" w:hAnsi="Times New Roman" w:cs="Times New Roman"/>
          <w:sz w:val="24"/>
          <w:szCs w:val="24"/>
        </w:rPr>
        <w:t>country variable</w:t>
      </w:r>
      <w:r w:rsidR="00E7132B">
        <w:rPr>
          <w:rFonts w:ascii="Times New Roman" w:hAnsi="Times New Roman" w:cs="Times New Roman"/>
          <w:sz w:val="24"/>
          <w:szCs w:val="24"/>
        </w:rPr>
        <w:t xml:space="preserve"> </w:t>
      </w:r>
      <w:r w:rsidR="00E7132B" w:rsidRPr="002B3A53">
        <w:rPr>
          <w:rFonts w:ascii="Times New Roman" w:hAnsi="Times New Roman" w:cs="Times New Roman"/>
          <w:sz w:val="24"/>
          <w:szCs w:val="24"/>
        </w:rPr>
        <w:t>(</w:t>
      </w:r>
      <w:r w:rsidR="005E0490">
        <w:rPr>
          <w:rFonts w:ascii="Times New Roman" w:hAnsi="Times New Roman" w:cs="Times New Roman"/>
          <w:sz w:val="24"/>
          <w:szCs w:val="24"/>
        </w:rPr>
        <w:t xml:space="preserve">for example, </w:t>
      </w:r>
      <w:r w:rsidR="00E7132B">
        <w:rPr>
          <w:rFonts w:ascii="Times New Roman" w:hAnsi="Times New Roman" w:cs="Times New Roman"/>
          <w:i/>
          <w:iCs/>
          <w:sz w:val="24"/>
          <w:szCs w:val="24"/>
        </w:rPr>
        <w:t>GOVI</w:t>
      </w:r>
      <w:r w:rsidR="00E7132B" w:rsidRPr="003C1E59">
        <w:rPr>
          <w:rFonts w:ascii="Times New Roman" w:hAnsi="Times New Roman" w:cs="Times New Roman"/>
          <w:i/>
          <w:iCs/>
          <w:sz w:val="24"/>
          <w:szCs w:val="24"/>
          <w:vertAlign w:val="subscript"/>
        </w:rPr>
        <w:t>i</w:t>
      </w:r>
      <w:r w:rsidR="00E7132B">
        <w:rPr>
          <w:rFonts w:ascii="Times New Roman" w:hAnsi="Times New Roman" w:cs="Times New Roman"/>
          <w:i/>
          <w:iCs/>
          <w:sz w:val="24"/>
          <w:szCs w:val="24"/>
          <w:vertAlign w:val="subscript"/>
        </w:rPr>
        <w:t>,t</w:t>
      </w:r>
      <w:r w:rsidR="00E7132B" w:rsidRPr="003C1E59">
        <w:rPr>
          <w:rFonts w:ascii="Times New Roman" w:hAnsi="Times New Roman" w:cs="Times New Roman"/>
          <w:i/>
          <w:iCs/>
          <w:sz w:val="24"/>
          <w:szCs w:val="24"/>
        </w:rPr>
        <w:t xml:space="preserve"> </w:t>
      </w:r>
      <w:r w:rsidR="00E7132B">
        <w:rPr>
          <w:rFonts w:ascii="Times New Roman" w:hAnsi="Times New Roman" w:cs="Times New Roman"/>
          <w:i/>
          <w:iCs/>
          <w:sz w:val="24"/>
          <w:szCs w:val="24"/>
        </w:rPr>
        <w:t xml:space="preserve">× </w:t>
      </w:r>
      <w:r w:rsidR="009C037B">
        <w:rPr>
          <w:rFonts w:ascii="Times New Roman" w:hAnsi="Times New Roman" w:cs="Times New Roman"/>
          <w:i/>
          <w:iCs/>
          <w:sz w:val="24"/>
          <w:szCs w:val="24"/>
        </w:rPr>
        <w:t>RLAW</w:t>
      </w:r>
      <w:r w:rsidR="009C037B">
        <w:rPr>
          <w:rFonts w:ascii="Times New Roman" w:hAnsi="Times New Roman" w:cs="Times New Roman"/>
          <w:i/>
          <w:iCs/>
          <w:sz w:val="24"/>
          <w:szCs w:val="24"/>
          <w:vertAlign w:val="subscript"/>
        </w:rPr>
        <w:t>i,t</w:t>
      </w:r>
      <w:r w:rsidR="00E7132B" w:rsidRPr="002B3A53">
        <w:rPr>
          <w:rFonts w:ascii="Times New Roman" w:hAnsi="Times New Roman" w:cs="Times New Roman"/>
          <w:sz w:val="24"/>
          <w:szCs w:val="24"/>
        </w:rPr>
        <w:t>)</w:t>
      </w:r>
      <w:r w:rsidR="00163196">
        <w:rPr>
          <w:rFonts w:ascii="Times New Roman" w:hAnsi="Times New Roman" w:cs="Times New Roman"/>
          <w:sz w:val="24"/>
          <w:szCs w:val="24"/>
        </w:rPr>
        <w:t xml:space="preserve"> </w:t>
      </w:r>
      <w:r w:rsidR="009C037B">
        <w:rPr>
          <w:rFonts w:ascii="Times New Roman" w:hAnsi="Times New Roman" w:cs="Times New Roman"/>
          <w:sz w:val="24"/>
          <w:szCs w:val="24"/>
        </w:rPr>
        <w:t xml:space="preserve">in the moderating models </w:t>
      </w:r>
      <w:r w:rsidR="00163196">
        <w:rPr>
          <w:rFonts w:ascii="Times New Roman" w:hAnsi="Times New Roman" w:cs="Times New Roman"/>
          <w:sz w:val="24"/>
          <w:szCs w:val="24"/>
        </w:rPr>
        <w:t xml:space="preserve">that a firm extracts more benefits from adopting a stronger governance framework when operating in a </w:t>
      </w:r>
      <w:r w:rsidR="003708BB">
        <w:rPr>
          <w:rFonts w:ascii="Times New Roman" w:hAnsi="Times New Roman" w:cs="Times New Roman"/>
          <w:sz w:val="24"/>
          <w:szCs w:val="24"/>
        </w:rPr>
        <w:t>countr</w:t>
      </w:r>
      <w:r w:rsidR="00163196">
        <w:rPr>
          <w:rFonts w:ascii="Times New Roman" w:hAnsi="Times New Roman" w:cs="Times New Roman"/>
          <w:sz w:val="24"/>
          <w:szCs w:val="24"/>
        </w:rPr>
        <w:t xml:space="preserve">y with stronger country-level </w:t>
      </w:r>
      <w:r w:rsidR="002D2D67">
        <w:rPr>
          <w:rFonts w:ascii="Times New Roman" w:hAnsi="Times New Roman" w:cs="Times New Roman"/>
          <w:sz w:val="24"/>
          <w:szCs w:val="24"/>
        </w:rPr>
        <w:t>mechanisms</w:t>
      </w:r>
      <w:r w:rsidR="0036673B">
        <w:rPr>
          <w:rFonts w:ascii="Times New Roman" w:hAnsi="Times New Roman" w:cs="Times New Roman"/>
          <w:sz w:val="24"/>
          <w:szCs w:val="24"/>
        </w:rPr>
        <w:t>. T</w:t>
      </w:r>
      <w:r w:rsidR="00163196">
        <w:rPr>
          <w:rFonts w:ascii="Times New Roman" w:hAnsi="Times New Roman" w:cs="Times New Roman"/>
          <w:sz w:val="24"/>
          <w:szCs w:val="24"/>
        </w:rPr>
        <w:t>his</w:t>
      </w:r>
      <w:r w:rsidR="00163196" w:rsidRPr="002F3C3B">
        <w:rPr>
          <w:rFonts w:ascii="Times New Roman" w:hAnsi="Times New Roman" w:cs="Times New Roman"/>
          <w:sz w:val="24"/>
          <w:szCs w:val="24"/>
        </w:rPr>
        <w:t xml:space="preserve"> </w:t>
      </w:r>
      <w:r w:rsidR="003E2063">
        <w:rPr>
          <w:rFonts w:ascii="Times New Roman" w:hAnsi="Times New Roman" w:cs="Times New Roman"/>
          <w:sz w:val="24"/>
          <w:szCs w:val="24"/>
        </w:rPr>
        <w:t xml:space="preserve">indicates </w:t>
      </w:r>
      <w:r w:rsidR="00163196" w:rsidRPr="002F3C3B">
        <w:rPr>
          <w:rFonts w:ascii="Times New Roman" w:hAnsi="Times New Roman" w:cs="Times New Roman"/>
          <w:sz w:val="24"/>
          <w:szCs w:val="24"/>
        </w:rPr>
        <w:t xml:space="preserve">the presence of a </w:t>
      </w:r>
      <w:r w:rsidR="00163196">
        <w:rPr>
          <w:rFonts w:ascii="Times New Roman" w:hAnsi="Times New Roman" w:cs="Times New Roman"/>
          <w:sz w:val="24"/>
          <w:szCs w:val="24"/>
        </w:rPr>
        <w:t>complementary relationship</w:t>
      </w:r>
      <w:r w:rsidR="00163196" w:rsidRPr="002F3C3B">
        <w:rPr>
          <w:rFonts w:ascii="Times New Roman" w:hAnsi="Times New Roman" w:cs="Times New Roman"/>
          <w:sz w:val="24"/>
          <w:szCs w:val="24"/>
        </w:rPr>
        <w:t xml:space="preserve"> between firm</w:t>
      </w:r>
      <w:r w:rsidR="005911B4">
        <w:rPr>
          <w:rFonts w:ascii="Times New Roman" w:hAnsi="Times New Roman" w:cs="Times New Roman"/>
          <w:sz w:val="24"/>
          <w:szCs w:val="24"/>
        </w:rPr>
        <w:t>-level</w:t>
      </w:r>
      <w:r w:rsidR="00163196" w:rsidRPr="002F3C3B">
        <w:rPr>
          <w:rFonts w:ascii="Times New Roman" w:hAnsi="Times New Roman" w:cs="Times New Roman"/>
          <w:sz w:val="24"/>
          <w:szCs w:val="24"/>
        </w:rPr>
        <w:t xml:space="preserve"> governance and </w:t>
      </w:r>
      <w:r w:rsidR="00163196">
        <w:rPr>
          <w:rFonts w:ascii="Times New Roman" w:hAnsi="Times New Roman" w:cs="Times New Roman"/>
          <w:sz w:val="24"/>
          <w:szCs w:val="24"/>
        </w:rPr>
        <w:t xml:space="preserve">all the country-level factors included in our regressions. </w:t>
      </w:r>
      <w:r w:rsidR="00292712">
        <w:rPr>
          <w:rFonts w:ascii="Times New Roman" w:hAnsi="Times New Roman" w:cs="Times New Roman"/>
          <w:sz w:val="24"/>
          <w:szCs w:val="24"/>
        </w:rPr>
        <w:t xml:space="preserve">This observation is </w:t>
      </w:r>
      <w:r w:rsidR="002D2D67">
        <w:rPr>
          <w:rFonts w:ascii="Times New Roman" w:hAnsi="Times New Roman" w:cs="Times New Roman"/>
          <w:sz w:val="24"/>
          <w:szCs w:val="24"/>
        </w:rPr>
        <w:t>consistent</w:t>
      </w:r>
      <w:r w:rsidR="00292712">
        <w:rPr>
          <w:rFonts w:ascii="Times New Roman" w:hAnsi="Times New Roman" w:cs="Times New Roman"/>
          <w:sz w:val="24"/>
          <w:szCs w:val="24"/>
        </w:rPr>
        <w:t xml:space="preserve"> with</w:t>
      </w:r>
      <w:r w:rsidR="00572CA4">
        <w:rPr>
          <w:rFonts w:ascii="Times New Roman" w:hAnsi="Times New Roman" w:cs="Times New Roman"/>
          <w:sz w:val="24"/>
          <w:szCs w:val="24"/>
        </w:rPr>
        <w:t xml:space="preserve"> the</w:t>
      </w:r>
      <w:r w:rsidR="00163196">
        <w:rPr>
          <w:rFonts w:ascii="Times New Roman" w:hAnsi="Times New Roman" w:cs="Times New Roman"/>
          <w:sz w:val="24"/>
          <w:szCs w:val="24"/>
        </w:rPr>
        <w:t xml:space="preserve"> findings of several prior studies </w:t>
      </w:r>
      <w:r w:rsidR="00910896" w:rsidRPr="00CA2CBE">
        <w:rPr>
          <w:rFonts w:ascii="Times New Roman" w:hAnsi="Times New Roman" w:cs="Times New Roman"/>
          <w:sz w:val="24"/>
          <w:szCs w:val="24"/>
        </w:rPr>
        <w:t>(</w:t>
      </w:r>
      <w:r w:rsidR="005E0490">
        <w:rPr>
          <w:rFonts w:ascii="Times New Roman" w:hAnsi="Times New Roman" w:cs="Times New Roman"/>
          <w:sz w:val="24"/>
          <w:szCs w:val="24"/>
        </w:rPr>
        <w:t>for example,</w:t>
      </w:r>
      <w:r w:rsidR="00163196">
        <w:rPr>
          <w:rFonts w:ascii="Times New Roman" w:hAnsi="Times New Roman" w:cs="Times New Roman"/>
          <w:sz w:val="24"/>
          <w:szCs w:val="24"/>
        </w:rPr>
        <w:t xml:space="preserve"> </w:t>
      </w:r>
      <w:r w:rsidR="00910896" w:rsidRPr="00CA2CBE">
        <w:rPr>
          <w:rFonts w:ascii="Times New Roman" w:hAnsi="Times New Roman" w:cs="Times New Roman"/>
          <w:sz w:val="24"/>
          <w:szCs w:val="24"/>
        </w:rPr>
        <w:t xml:space="preserve">Aggarwal </w:t>
      </w:r>
      <w:r w:rsidR="00A94F42" w:rsidRPr="00A94F42">
        <w:rPr>
          <w:rFonts w:ascii="Times New Roman" w:hAnsi="Times New Roman" w:cs="Times New Roman"/>
          <w:i/>
          <w:iCs/>
          <w:sz w:val="24"/>
          <w:szCs w:val="24"/>
        </w:rPr>
        <w:t>et al.</w:t>
      </w:r>
      <w:r w:rsidR="00910896" w:rsidRPr="00CA2CBE">
        <w:rPr>
          <w:rFonts w:ascii="Times New Roman" w:hAnsi="Times New Roman" w:cs="Times New Roman"/>
          <w:sz w:val="24"/>
          <w:szCs w:val="24"/>
        </w:rPr>
        <w:t xml:space="preserve"> 2010</w:t>
      </w:r>
      <w:r w:rsidR="00682D1F">
        <w:rPr>
          <w:rFonts w:ascii="Times New Roman" w:hAnsi="Times New Roman" w:cs="Times New Roman"/>
          <w:sz w:val="24"/>
          <w:szCs w:val="24"/>
        </w:rPr>
        <w:t>,</w:t>
      </w:r>
      <w:r w:rsidR="00910896" w:rsidRPr="00CA2CBE">
        <w:rPr>
          <w:rFonts w:ascii="Times New Roman" w:hAnsi="Times New Roman" w:cs="Times New Roman"/>
          <w:sz w:val="24"/>
          <w:szCs w:val="24"/>
        </w:rPr>
        <w:t xml:space="preserve"> Anderson and Gupta 2009</w:t>
      </w:r>
      <w:r w:rsidR="00682D1F">
        <w:rPr>
          <w:rFonts w:ascii="Times New Roman" w:hAnsi="Times New Roman" w:cs="Times New Roman"/>
          <w:sz w:val="24"/>
          <w:szCs w:val="24"/>
        </w:rPr>
        <w:t>,</w:t>
      </w:r>
      <w:r w:rsidR="00910896" w:rsidRPr="00CA2CBE">
        <w:rPr>
          <w:rFonts w:ascii="Times New Roman" w:hAnsi="Times New Roman" w:cs="Times New Roman"/>
          <w:sz w:val="24"/>
          <w:szCs w:val="24"/>
        </w:rPr>
        <w:t xml:space="preserve"> Doid</w:t>
      </w:r>
      <w:r w:rsidR="003E2063">
        <w:rPr>
          <w:rFonts w:ascii="Times New Roman" w:hAnsi="Times New Roman" w:cs="Times New Roman"/>
          <w:sz w:val="24"/>
          <w:szCs w:val="24"/>
        </w:rPr>
        <w:t xml:space="preserve">ge </w:t>
      </w:r>
      <w:r w:rsidR="002A1A6A" w:rsidRPr="002A1A6A">
        <w:rPr>
          <w:rFonts w:ascii="Times New Roman" w:hAnsi="Times New Roman" w:cs="Times New Roman"/>
          <w:i/>
          <w:iCs/>
          <w:sz w:val="24"/>
          <w:szCs w:val="24"/>
        </w:rPr>
        <w:t>et al.</w:t>
      </w:r>
      <w:r w:rsidR="003E2063">
        <w:rPr>
          <w:rFonts w:ascii="Times New Roman" w:hAnsi="Times New Roman" w:cs="Times New Roman"/>
          <w:sz w:val="24"/>
          <w:szCs w:val="24"/>
        </w:rPr>
        <w:t xml:space="preserve"> 2007), </w:t>
      </w:r>
      <w:r w:rsidR="002D2D67">
        <w:rPr>
          <w:rFonts w:ascii="Times New Roman" w:hAnsi="Times New Roman" w:cs="Times New Roman"/>
          <w:sz w:val="24"/>
          <w:szCs w:val="24"/>
        </w:rPr>
        <w:t xml:space="preserve">but equally at variance with </w:t>
      </w:r>
      <w:r w:rsidR="003E2063">
        <w:rPr>
          <w:rFonts w:ascii="Times New Roman" w:hAnsi="Times New Roman" w:cs="Times New Roman"/>
          <w:sz w:val="24"/>
          <w:szCs w:val="24"/>
        </w:rPr>
        <w:t xml:space="preserve">a number of </w:t>
      </w:r>
      <w:r w:rsidR="002D2D67">
        <w:rPr>
          <w:rFonts w:ascii="Times New Roman" w:hAnsi="Times New Roman" w:cs="Times New Roman"/>
          <w:sz w:val="24"/>
          <w:szCs w:val="24"/>
        </w:rPr>
        <w:t xml:space="preserve">other </w:t>
      </w:r>
      <w:r w:rsidR="003E2063">
        <w:rPr>
          <w:rFonts w:ascii="Times New Roman" w:hAnsi="Times New Roman" w:cs="Times New Roman"/>
          <w:sz w:val="24"/>
          <w:szCs w:val="24"/>
        </w:rPr>
        <w:t xml:space="preserve">studies </w:t>
      </w:r>
      <w:r w:rsidR="00A97B62">
        <w:rPr>
          <w:rFonts w:ascii="Times New Roman" w:hAnsi="Times New Roman" w:cs="Times New Roman"/>
          <w:sz w:val="24"/>
          <w:szCs w:val="24"/>
        </w:rPr>
        <w:t xml:space="preserve">that </w:t>
      </w:r>
      <w:r w:rsidR="002D2D67">
        <w:rPr>
          <w:rFonts w:ascii="Times New Roman" w:hAnsi="Times New Roman" w:cs="Times New Roman"/>
          <w:sz w:val="24"/>
          <w:szCs w:val="24"/>
        </w:rPr>
        <w:t xml:space="preserve">found </w:t>
      </w:r>
      <w:r w:rsidR="00910896" w:rsidRPr="00CA2CBE">
        <w:rPr>
          <w:rFonts w:ascii="Times New Roman" w:hAnsi="Times New Roman" w:cs="Times New Roman"/>
          <w:sz w:val="24"/>
          <w:szCs w:val="24"/>
        </w:rPr>
        <w:t>that firm-level governance substitutes</w:t>
      </w:r>
      <w:r w:rsidR="00A97B62">
        <w:rPr>
          <w:rFonts w:ascii="Times New Roman" w:hAnsi="Times New Roman" w:cs="Times New Roman"/>
          <w:sz w:val="24"/>
          <w:szCs w:val="24"/>
        </w:rPr>
        <w:t>,</w:t>
      </w:r>
      <w:r w:rsidR="00910896" w:rsidRPr="00CA2CBE">
        <w:rPr>
          <w:rFonts w:ascii="Times New Roman" w:hAnsi="Times New Roman" w:cs="Times New Roman"/>
          <w:sz w:val="24"/>
          <w:szCs w:val="24"/>
        </w:rPr>
        <w:t xml:space="preserve"> </w:t>
      </w:r>
      <w:r w:rsidR="003E2063">
        <w:rPr>
          <w:rFonts w:ascii="Times New Roman" w:hAnsi="Times New Roman" w:cs="Times New Roman"/>
          <w:sz w:val="24"/>
          <w:szCs w:val="24"/>
        </w:rPr>
        <w:t>rather than complements</w:t>
      </w:r>
      <w:r w:rsidR="00A97B62">
        <w:rPr>
          <w:rFonts w:ascii="Times New Roman" w:hAnsi="Times New Roman" w:cs="Times New Roman"/>
          <w:sz w:val="24"/>
          <w:szCs w:val="24"/>
        </w:rPr>
        <w:t>,</w:t>
      </w:r>
      <w:r w:rsidR="00910896" w:rsidRPr="00CA2CBE">
        <w:rPr>
          <w:rFonts w:ascii="Times New Roman" w:hAnsi="Times New Roman" w:cs="Times New Roman"/>
          <w:sz w:val="24"/>
          <w:szCs w:val="24"/>
        </w:rPr>
        <w:t xml:space="preserve"> country-level mechanisms (Chen </w:t>
      </w:r>
      <w:r w:rsidR="00A94F42" w:rsidRPr="00A94F42">
        <w:rPr>
          <w:rFonts w:ascii="Times New Roman" w:hAnsi="Times New Roman" w:cs="Times New Roman"/>
          <w:i/>
          <w:iCs/>
          <w:sz w:val="24"/>
          <w:szCs w:val="24"/>
        </w:rPr>
        <w:t>et al.</w:t>
      </w:r>
      <w:r w:rsidR="00910896" w:rsidRPr="00CA2CBE">
        <w:rPr>
          <w:rFonts w:ascii="Times New Roman" w:hAnsi="Times New Roman" w:cs="Times New Roman"/>
          <w:sz w:val="24"/>
          <w:szCs w:val="24"/>
        </w:rPr>
        <w:t xml:space="preserve"> 2009</w:t>
      </w:r>
      <w:r w:rsidR="00682D1F">
        <w:rPr>
          <w:rFonts w:ascii="Times New Roman" w:hAnsi="Times New Roman" w:cs="Times New Roman"/>
          <w:sz w:val="24"/>
          <w:szCs w:val="24"/>
        </w:rPr>
        <w:t>,</w:t>
      </w:r>
      <w:r w:rsidR="00910896" w:rsidRPr="00CA2CBE">
        <w:rPr>
          <w:rFonts w:ascii="Times New Roman" w:hAnsi="Times New Roman" w:cs="Times New Roman"/>
          <w:sz w:val="24"/>
          <w:szCs w:val="24"/>
        </w:rPr>
        <w:t xml:space="preserve"> Klapper and Love 2004</w:t>
      </w:r>
      <w:r w:rsidR="00682D1F">
        <w:rPr>
          <w:rFonts w:ascii="Times New Roman" w:hAnsi="Times New Roman" w:cs="Times New Roman"/>
          <w:sz w:val="24"/>
          <w:szCs w:val="24"/>
        </w:rPr>
        <w:t>,</w:t>
      </w:r>
      <w:r w:rsidR="00910896" w:rsidRPr="00CA2CBE">
        <w:rPr>
          <w:rFonts w:ascii="Times New Roman" w:hAnsi="Times New Roman" w:cs="Times New Roman"/>
          <w:sz w:val="24"/>
          <w:szCs w:val="24"/>
        </w:rPr>
        <w:t xml:space="preserve"> Renders </w:t>
      </w:r>
      <w:r w:rsidR="00A94F42" w:rsidRPr="00A94F42">
        <w:rPr>
          <w:rFonts w:ascii="Times New Roman" w:hAnsi="Times New Roman" w:cs="Times New Roman"/>
          <w:i/>
          <w:iCs/>
          <w:sz w:val="24"/>
          <w:szCs w:val="24"/>
        </w:rPr>
        <w:t>et al.</w:t>
      </w:r>
      <w:r w:rsidR="00910896" w:rsidRPr="00CA2CBE">
        <w:rPr>
          <w:rFonts w:ascii="Times New Roman" w:hAnsi="Times New Roman" w:cs="Times New Roman"/>
          <w:sz w:val="24"/>
          <w:szCs w:val="24"/>
        </w:rPr>
        <w:t xml:space="preserve"> 2010).</w:t>
      </w:r>
      <w:r w:rsidR="002C280E">
        <w:rPr>
          <w:rFonts w:ascii="Times New Roman" w:hAnsi="Times New Roman" w:cs="Times New Roman"/>
          <w:sz w:val="24"/>
          <w:szCs w:val="24"/>
        </w:rPr>
        <w:t xml:space="preserve"> Our results remain essentially the same when we use Return on Assets (ROA) as a dependent variable instead of Return </w:t>
      </w:r>
      <w:r w:rsidR="008426C7">
        <w:rPr>
          <w:rFonts w:ascii="Times New Roman" w:hAnsi="Times New Roman" w:cs="Times New Roman"/>
          <w:sz w:val="24"/>
          <w:szCs w:val="24"/>
        </w:rPr>
        <w:t>o</w:t>
      </w:r>
      <w:r w:rsidR="002C280E">
        <w:rPr>
          <w:rFonts w:ascii="Times New Roman" w:hAnsi="Times New Roman" w:cs="Times New Roman"/>
          <w:sz w:val="24"/>
          <w:szCs w:val="24"/>
        </w:rPr>
        <w:t>n Equity (ROE).</w:t>
      </w:r>
    </w:p>
    <w:p w14:paraId="531369F6" w14:textId="77777777" w:rsidR="00B528D0" w:rsidRPr="00B528D0" w:rsidRDefault="00B528D0" w:rsidP="00BF2605">
      <w:pPr>
        <w:tabs>
          <w:tab w:val="left" w:pos="426"/>
        </w:tabs>
        <w:spacing w:after="0" w:line="288" w:lineRule="auto"/>
        <w:jc w:val="both"/>
        <w:rPr>
          <w:rFonts w:ascii="Times New Roman" w:hAnsi="Times New Roman" w:cs="Times New Roman"/>
          <w:sz w:val="16"/>
          <w:szCs w:val="16"/>
        </w:rPr>
      </w:pPr>
    </w:p>
    <w:p w14:paraId="235B186C" w14:textId="6056750D" w:rsidR="00923D5D" w:rsidRDefault="005E0490"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F5FBF">
        <w:rPr>
          <w:rFonts w:ascii="Times New Roman" w:hAnsi="Times New Roman" w:cs="Times New Roman"/>
          <w:sz w:val="24"/>
          <w:szCs w:val="24"/>
        </w:rPr>
        <w:t xml:space="preserve">Our finding of complementarity </w:t>
      </w:r>
      <w:r w:rsidR="008F5FBF" w:rsidRPr="008F5FBF">
        <w:rPr>
          <w:rFonts w:ascii="Times New Roman" w:hAnsi="Times New Roman" w:cs="Times New Roman"/>
          <w:sz w:val="24"/>
          <w:szCs w:val="24"/>
        </w:rPr>
        <w:t xml:space="preserve">could also be related to the fact that many of the countries with the highest scores on </w:t>
      </w:r>
      <w:r w:rsidR="008F5FBF">
        <w:rPr>
          <w:rFonts w:ascii="Times New Roman" w:hAnsi="Times New Roman" w:cs="Times New Roman"/>
          <w:sz w:val="24"/>
          <w:szCs w:val="24"/>
        </w:rPr>
        <w:t>the</w:t>
      </w:r>
      <w:r w:rsidR="008F5FBF" w:rsidRPr="008F5FBF">
        <w:rPr>
          <w:rFonts w:ascii="Times New Roman" w:hAnsi="Times New Roman" w:cs="Times New Roman"/>
          <w:sz w:val="24"/>
          <w:szCs w:val="24"/>
        </w:rPr>
        <w:t xml:space="preserve"> country-level indicator</w:t>
      </w:r>
      <w:r w:rsidR="008F5FBF">
        <w:rPr>
          <w:rFonts w:ascii="Times New Roman" w:hAnsi="Times New Roman" w:cs="Times New Roman"/>
          <w:sz w:val="24"/>
          <w:szCs w:val="24"/>
        </w:rPr>
        <w:t>s</w:t>
      </w:r>
      <w:r w:rsidR="008F5FBF" w:rsidRPr="008F5FBF">
        <w:rPr>
          <w:rFonts w:ascii="Times New Roman" w:hAnsi="Times New Roman" w:cs="Times New Roman"/>
          <w:sz w:val="24"/>
          <w:szCs w:val="24"/>
        </w:rPr>
        <w:t xml:space="preserve"> are also those with the most advanced </w:t>
      </w:r>
      <w:r w:rsidR="008F5FBF" w:rsidRPr="008F5FBF">
        <w:rPr>
          <w:rFonts w:ascii="Times New Roman" w:hAnsi="Times New Roman" w:cs="Times New Roman"/>
          <w:sz w:val="24"/>
          <w:szCs w:val="24"/>
        </w:rPr>
        <w:lastRenderedPageBreak/>
        <w:t>financial markets (</w:t>
      </w:r>
      <w:r>
        <w:rPr>
          <w:rFonts w:ascii="Times New Roman" w:hAnsi="Times New Roman" w:cs="Times New Roman"/>
          <w:sz w:val="24"/>
          <w:szCs w:val="24"/>
        </w:rPr>
        <w:t>for example,</w:t>
      </w:r>
      <w:r w:rsidR="008D328C">
        <w:rPr>
          <w:rFonts w:ascii="Times New Roman" w:hAnsi="Times New Roman" w:cs="Times New Roman"/>
          <w:sz w:val="24"/>
          <w:szCs w:val="24"/>
        </w:rPr>
        <w:t xml:space="preserve"> </w:t>
      </w:r>
      <w:r w:rsidR="008F5FBF" w:rsidRPr="008F5FBF">
        <w:rPr>
          <w:rFonts w:ascii="Times New Roman" w:hAnsi="Times New Roman" w:cs="Times New Roman"/>
          <w:sz w:val="24"/>
          <w:szCs w:val="24"/>
        </w:rPr>
        <w:t>United Kingdom, Hong Kong, Australi</w:t>
      </w:r>
      <w:r w:rsidR="008F5FBF">
        <w:rPr>
          <w:rFonts w:ascii="Times New Roman" w:hAnsi="Times New Roman" w:cs="Times New Roman"/>
          <w:sz w:val="24"/>
          <w:szCs w:val="24"/>
        </w:rPr>
        <w:t>a</w:t>
      </w:r>
      <w:r w:rsidR="008D328C">
        <w:rPr>
          <w:rFonts w:ascii="Times New Roman" w:hAnsi="Times New Roman" w:cs="Times New Roman"/>
          <w:sz w:val="24"/>
          <w:szCs w:val="24"/>
        </w:rPr>
        <w:t>, Germany, France, Japan</w:t>
      </w:r>
      <w:r w:rsidR="008F5FBF" w:rsidRPr="008F5FBF">
        <w:rPr>
          <w:rFonts w:ascii="Times New Roman" w:hAnsi="Times New Roman" w:cs="Times New Roman"/>
          <w:sz w:val="24"/>
          <w:szCs w:val="24"/>
        </w:rPr>
        <w:t>).</w:t>
      </w:r>
      <w:r w:rsidR="008F5FBF">
        <w:rPr>
          <w:rFonts w:ascii="Times New Roman" w:hAnsi="Times New Roman" w:cs="Times New Roman"/>
          <w:sz w:val="24"/>
          <w:szCs w:val="24"/>
        </w:rPr>
        <w:t xml:space="preserve"> Combining this with our previous observation that firms would benefit most from stronger governance in countries with strong financial institutions</w:t>
      </w:r>
      <w:r w:rsidR="00547B37">
        <w:rPr>
          <w:rFonts w:ascii="Times New Roman" w:hAnsi="Times New Roman" w:cs="Times New Roman"/>
          <w:sz w:val="24"/>
          <w:szCs w:val="24"/>
        </w:rPr>
        <w:t xml:space="preserve">, suggests an incentive for firms to institute strong internal governance even in countries with strong mechanisms. </w:t>
      </w:r>
      <w:r w:rsidR="0092708F">
        <w:rPr>
          <w:rFonts w:ascii="Times New Roman" w:hAnsi="Times New Roman" w:cs="Times New Roman"/>
          <w:sz w:val="24"/>
          <w:szCs w:val="24"/>
        </w:rPr>
        <w:t>Our</w:t>
      </w:r>
      <w:r w:rsidR="00836BF6">
        <w:rPr>
          <w:rFonts w:ascii="Times New Roman" w:hAnsi="Times New Roman" w:cs="Times New Roman"/>
          <w:sz w:val="24"/>
          <w:szCs w:val="24"/>
        </w:rPr>
        <w:t xml:space="preserve"> observation </w:t>
      </w:r>
      <w:r w:rsidR="00547B37">
        <w:rPr>
          <w:rFonts w:ascii="Times New Roman" w:hAnsi="Times New Roman" w:cs="Times New Roman"/>
          <w:sz w:val="24"/>
          <w:szCs w:val="24"/>
        </w:rPr>
        <w:t>o</w:t>
      </w:r>
      <w:r w:rsidR="008D328C">
        <w:rPr>
          <w:rFonts w:ascii="Times New Roman" w:hAnsi="Times New Roman" w:cs="Times New Roman"/>
          <w:sz w:val="24"/>
          <w:szCs w:val="24"/>
        </w:rPr>
        <w:t>f</w:t>
      </w:r>
      <w:r w:rsidR="00547B37">
        <w:rPr>
          <w:rFonts w:ascii="Times New Roman" w:hAnsi="Times New Roman" w:cs="Times New Roman"/>
          <w:sz w:val="24"/>
          <w:szCs w:val="24"/>
        </w:rPr>
        <w:t xml:space="preserve"> complementarity </w:t>
      </w:r>
      <w:r w:rsidR="0092708F">
        <w:rPr>
          <w:rFonts w:ascii="Times New Roman" w:hAnsi="Times New Roman" w:cs="Times New Roman"/>
          <w:sz w:val="24"/>
          <w:szCs w:val="24"/>
        </w:rPr>
        <w:t>can also be</w:t>
      </w:r>
      <w:r w:rsidR="00836BF6">
        <w:rPr>
          <w:rFonts w:ascii="Times New Roman" w:hAnsi="Times New Roman" w:cs="Times New Roman"/>
          <w:sz w:val="24"/>
          <w:szCs w:val="24"/>
        </w:rPr>
        <w:t xml:space="preserve"> justified under the institutional theory framework, which </w:t>
      </w:r>
      <w:r w:rsidR="001E3E26">
        <w:rPr>
          <w:rFonts w:ascii="Times New Roman" w:hAnsi="Times New Roman" w:cs="Times New Roman"/>
          <w:sz w:val="24"/>
          <w:szCs w:val="24"/>
        </w:rPr>
        <w:t>views firm-level governance</w:t>
      </w:r>
      <w:r w:rsidR="00836BF6">
        <w:rPr>
          <w:rFonts w:ascii="Times New Roman" w:hAnsi="Times New Roman" w:cs="Times New Roman"/>
          <w:sz w:val="24"/>
          <w:szCs w:val="24"/>
        </w:rPr>
        <w:t xml:space="preserve"> as a result of the prevailing national institutions and social system</w:t>
      </w:r>
      <w:r w:rsidR="001E3E26">
        <w:rPr>
          <w:rFonts w:ascii="Times New Roman" w:hAnsi="Times New Roman" w:cs="Times New Roman"/>
          <w:sz w:val="24"/>
          <w:szCs w:val="24"/>
        </w:rPr>
        <w:t>s</w:t>
      </w:r>
      <w:r w:rsidR="00836BF6">
        <w:rPr>
          <w:rFonts w:ascii="Times New Roman" w:hAnsi="Times New Roman" w:cs="Times New Roman"/>
          <w:sz w:val="24"/>
          <w:szCs w:val="24"/>
        </w:rPr>
        <w:t xml:space="preserve"> (</w:t>
      </w:r>
      <w:r w:rsidR="00836BF6" w:rsidRPr="001239F0">
        <w:rPr>
          <w:rFonts w:ascii="Times New Roman" w:hAnsi="Times New Roman" w:cs="Times New Roman"/>
          <w:sz w:val="24"/>
          <w:szCs w:val="24"/>
        </w:rPr>
        <w:t xml:space="preserve">Aguilera </w:t>
      </w:r>
      <w:r w:rsidR="00A94F42" w:rsidRPr="00A94F42">
        <w:rPr>
          <w:rFonts w:ascii="Times New Roman" w:hAnsi="Times New Roman" w:cs="Times New Roman"/>
          <w:i/>
          <w:iCs/>
          <w:sz w:val="24"/>
          <w:szCs w:val="24"/>
        </w:rPr>
        <w:t>et al.</w:t>
      </w:r>
      <w:r w:rsidR="00836BF6">
        <w:rPr>
          <w:rFonts w:ascii="Times New Roman" w:hAnsi="Times New Roman" w:cs="Times New Roman"/>
          <w:sz w:val="24"/>
          <w:szCs w:val="24"/>
        </w:rPr>
        <w:t xml:space="preserve"> </w:t>
      </w:r>
      <w:r w:rsidR="00836BF6" w:rsidRPr="001239F0">
        <w:rPr>
          <w:rFonts w:ascii="Times New Roman" w:hAnsi="Times New Roman" w:cs="Times New Roman"/>
          <w:sz w:val="24"/>
          <w:szCs w:val="24"/>
        </w:rPr>
        <w:t>2015</w:t>
      </w:r>
      <w:r w:rsidR="00682D1F">
        <w:rPr>
          <w:rFonts w:ascii="Times New Roman" w:hAnsi="Times New Roman" w:cs="Times New Roman"/>
          <w:sz w:val="24"/>
          <w:szCs w:val="24"/>
        </w:rPr>
        <w:t>,</w:t>
      </w:r>
      <w:r w:rsidR="00836BF6">
        <w:rPr>
          <w:rFonts w:ascii="Times New Roman" w:hAnsi="Times New Roman" w:cs="Times New Roman"/>
          <w:sz w:val="24"/>
          <w:szCs w:val="24"/>
        </w:rPr>
        <w:t xml:space="preserve"> </w:t>
      </w:r>
      <w:r w:rsidR="00836BF6" w:rsidRPr="005A00BA">
        <w:rPr>
          <w:rFonts w:ascii="Times New Roman" w:hAnsi="Times New Roman" w:cs="Times New Roman"/>
          <w:sz w:val="24"/>
          <w:szCs w:val="24"/>
        </w:rPr>
        <w:t>Schiehll and</w:t>
      </w:r>
      <w:r w:rsidR="00836BF6">
        <w:rPr>
          <w:rFonts w:ascii="Times New Roman" w:hAnsi="Times New Roman" w:cs="Times New Roman"/>
          <w:sz w:val="24"/>
          <w:szCs w:val="24"/>
        </w:rPr>
        <w:t xml:space="preserve"> Martin </w:t>
      </w:r>
      <w:r w:rsidR="00836BF6" w:rsidRPr="005A00BA">
        <w:rPr>
          <w:rFonts w:ascii="Times New Roman" w:hAnsi="Times New Roman" w:cs="Times New Roman"/>
          <w:sz w:val="24"/>
          <w:szCs w:val="24"/>
        </w:rPr>
        <w:t>2016</w:t>
      </w:r>
      <w:r w:rsidR="00836BF6">
        <w:rPr>
          <w:rFonts w:ascii="Times New Roman" w:hAnsi="Times New Roman" w:cs="Times New Roman"/>
          <w:sz w:val="24"/>
          <w:szCs w:val="24"/>
        </w:rPr>
        <w:t>). The</w:t>
      </w:r>
      <w:r w:rsidR="001E3E26">
        <w:rPr>
          <w:rFonts w:ascii="Times New Roman" w:hAnsi="Times New Roman" w:cs="Times New Roman"/>
          <w:sz w:val="24"/>
          <w:szCs w:val="24"/>
        </w:rPr>
        <w:t xml:space="preserve"> theory assumes that a firm’s external environment determines its adoption of the various governance practices. </w:t>
      </w:r>
      <w:r w:rsidR="0092708F">
        <w:rPr>
          <w:rFonts w:ascii="Times New Roman" w:hAnsi="Times New Roman" w:cs="Times New Roman"/>
          <w:sz w:val="24"/>
          <w:szCs w:val="24"/>
        </w:rPr>
        <w:t>Overall, our observation</w:t>
      </w:r>
      <w:r w:rsidR="005911B4">
        <w:rPr>
          <w:rFonts w:ascii="Times New Roman" w:hAnsi="Times New Roman" w:cs="Times New Roman"/>
          <w:sz w:val="24"/>
          <w:szCs w:val="24"/>
        </w:rPr>
        <w:t>s</w:t>
      </w:r>
      <w:r w:rsidR="0092708F">
        <w:rPr>
          <w:rFonts w:ascii="Times New Roman" w:hAnsi="Times New Roman" w:cs="Times New Roman"/>
          <w:sz w:val="24"/>
          <w:szCs w:val="24"/>
        </w:rPr>
        <w:t xml:space="preserve"> </w:t>
      </w:r>
      <w:r w:rsidR="006A3C47">
        <w:rPr>
          <w:rFonts w:ascii="Times New Roman" w:hAnsi="Times New Roman" w:cs="Times New Roman"/>
          <w:sz w:val="24"/>
          <w:szCs w:val="24"/>
        </w:rPr>
        <w:t>regarding the</w:t>
      </w:r>
      <w:r w:rsidR="009C037B">
        <w:rPr>
          <w:rFonts w:ascii="Times New Roman" w:hAnsi="Times New Roman" w:cs="Times New Roman"/>
          <w:sz w:val="24"/>
          <w:szCs w:val="24"/>
        </w:rPr>
        <w:t xml:space="preserve"> moderating effect of country-level factors as well as the</w:t>
      </w:r>
      <w:r w:rsidR="006A3C47">
        <w:rPr>
          <w:rFonts w:ascii="Times New Roman" w:hAnsi="Times New Roman" w:cs="Times New Roman"/>
          <w:sz w:val="24"/>
          <w:szCs w:val="24"/>
        </w:rPr>
        <w:t xml:space="preserve"> complementarity of firm-level and country-level factors</w:t>
      </w:r>
      <w:r w:rsidR="0092708F">
        <w:rPr>
          <w:rFonts w:ascii="Times New Roman" w:hAnsi="Times New Roman" w:cs="Times New Roman"/>
          <w:sz w:val="24"/>
          <w:szCs w:val="24"/>
        </w:rPr>
        <w:t xml:space="preserve"> </w:t>
      </w:r>
      <w:r w:rsidR="005911B4">
        <w:rPr>
          <w:rFonts w:ascii="Times New Roman" w:hAnsi="Times New Roman" w:cs="Times New Roman"/>
          <w:sz w:val="24"/>
          <w:szCs w:val="24"/>
        </w:rPr>
        <w:t>call</w:t>
      </w:r>
      <w:r w:rsidR="00F2798F">
        <w:rPr>
          <w:rFonts w:ascii="Times New Roman" w:hAnsi="Times New Roman" w:cs="Times New Roman"/>
          <w:sz w:val="24"/>
          <w:szCs w:val="24"/>
        </w:rPr>
        <w:t xml:space="preserve"> for a further examination</w:t>
      </w:r>
      <w:r w:rsidR="009D66DD">
        <w:rPr>
          <w:rFonts w:ascii="Times New Roman" w:hAnsi="Times New Roman" w:cs="Times New Roman"/>
          <w:sz w:val="24"/>
          <w:szCs w:val="24"/>
        </w:rPr>
        <w:t xml:space="preserve"> of the</w:t>
      </w:r>
      <w:r w:rsidR="00F2798F">
        <w:rPr>
          <w:rFonts w:ascii="Times New Roman" w:hAnsi="Times New Roman" w:cs="Times New Roman"/>
          <w:sz w:val="24"/>
          <w:szCs w:val="24"/>
        </w:rPr>
        <w:t xml:space="preserve"> </w:t>
      </w:r>
      <w:r w:rsidR="006A3C47">
        <w:rPr>
          <w:rFonts w:ascii="Times New Roman" w:hAnsi="Times New Roman" w:cs="Times New Roman"/>
          <w:sz w:val="24"/>
          <w:szCs w:val="24"/>
        </w:rPr>
        <w:t xml:space="preserve">specific </w:t>
      </w:r>
      <w:r w:rsidR="00F2798F">
        <w:rPr>
          <w:rFonts w:ascii="Times New Roman" w:hAnsi="Times New Roman" w:cs="Times New Roman"/>
          <w:sz w:val="24"/>
          <w:szCs w:val="24"/>
        </w:rPr>
        <w:t xml:space="preserve">factors that entice a firm to </w:t>
      </w:r>
      <w:r w:rsidR="00322652">
        <w:rPr>
          <w:rFonts w:ascii="Times New Roman" w:hAnsi="Times New Roman" w:cs="Times New Roman"/>
          <w:sz w:val="24"/>
          <w:szCs w:val="24"/>
        </w:rPr>
        <w:t>alter</w:t>
      </w:r>
      <w:r w:rsidR="00F2798F">
        <w:rPr>
          <w:rFonts w:ascii="Times New Roman" w:hAnsi="Times New Roman" w:cs="Times New Roman"/>
          <w:sz w:val="24"/>
          <w:szCs w:val="24"/>
        </w:rPr>
        <w:t xml:space="preserve"> its investment in firm-level governance under different </w:t>
      </w:r>
      <w:r w:rsidR="009D66DD">
        <w:rPr>
          <w:rFonts w:ascii="Times New Roman" w:hAnsi="Times New Roman" w:cs="Times New Roman"/>
          <w:sz w:val="24"/>
          <w:szCs w:val="24"/>
        </w:rPr>
        <w:t>scenarios</w:t>
      </w:r>
      <w:r w:rsidR="00F2798F">
        <w:rPr>
          <w:rFonts w:ascii="Times New Roman" w:hAnsi="Times New Roman" w:cs="Times New Roman"/>
          <w:sz w:val="24"/>
          <w:szCs w:val="24"/>
        </w:rPr>
        <w:t xml:space="preserve">. We </w:t>
      </w:r>
      <w:r w:rsidR="009D66DD">
        <w:rPr>
          <w:rFonts w:ascii="Times New Roman" w:hAnsi="Times New Roman" w:cs="Times New Roman"/>
          <w:sz w:val="24"/>
          <w:szCs w:val="24"/>
        </w:rPr>
        <w:t>examine</w:t>
      </w:r>
      <w:r w:rsidR="00820D7D">
        <w:rPr>
          <w:rFonts w:ascii="Times New Roman" w:hAnsi="Times New Roman" w:cs="Times New Roman"/>
          <w:sz w:val="24"/>
          <w:szCs w:val="24"/>
        </w:rPr>
        <w:t xml:space="preserve"> t</w:t>
      </w:r>
      <w:r w:rsidR="006A3C47">
        <w:rPr>
          <w:rFonts w:ascii="Times New Roman" w:hAnsi="Times New Roman" w:cs="Times New Roman"/>
          <w:sz w:val="24"/>
          <w:szCs w:val="24"/>
        </w:rPr>
        <w:t xml:space="preserve">wo </w:t>
      </w:r>
      <w:r w:rsidR="00F2798F">
        <w:rPr>
          <w:rFonts w:ascii="Times New Roman" w:hAnsi="Times New Roman" w:cs="Times New Roman"/>
          <w:sz w:val="24"/>
          <w:szCs w:val="24"/>
        </w:rPr>
        <w:t xml:space="preserve">of these factors in the next section. </w:t>
      </w:r>
    </w:p>
    <w:p w14:paraId="5F0DCFA8" w14:textId="77777777" w:rsidR="00F765FA" w:rsidRDefault="00F765FA" w:rsidP="00BF2605">
      <w:pPr>
        <w:tabs>
          <w:tab w:val="left" w:pos="426"/>
        </w:tabs>
        <w:spacing w:after="0" w:line="288" w:lineRule="auto"/>
        <w:jc w:val="both"/>
        <w:rPr>
          <w:rFonts w:ascii="Times New Roman" w:hAnsi="Times New Roman" w:cs="Times New Roman"/>
          <w:sz w:val="24"/>
          <w:szCs w:val="24"/>
        </w:rPr>
      </w:pPr>
    </w:p>
    <w:p w14:paraId="78C4AF77" w14:textId="7E42F14B" w:rsidR="00243F83" w:rsidRDefault="00243F83" w:rsidP="00BF2605">
      <w:pPr>
        <w:tabs>
          <w:tab w:val="left" w:pos="426"/>
        </w:tabs>
        <w:spacing w:after="0" w:line="28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820D7D">
        <w:rPr>
          <w:rFonts w:ascii="Times New Roman" w:hAnsi="Times New Roman" w:cs="Times New Roman"/>
          <w:b/>
          <w:bCs/>
          <w:sz w:val="24"/>
          <w:szCs w:val="24"/>
        </w:rPr>
        <w:t>R</w:t>
      </w:r>
      <w:r>
        <w:rPr>
          <w:rFonts w:ascii="Times New Roman" w:hAnsi="Times New Roman" w:cs="Times New Roman"/>
          <w:b/>
          <w:bCs/>
          <w:sz w:val="24"/>
          <w:szCs w:val="24"/>
        </w:rPr>
        <w:t>ole of Financial Development</w:t>
      </w:r>
      <w:r w:rsidR="00EF443B">
        <w:rPr>
          <w:rFonts w:ascii="Times New Roman" w:hAnsi="Times New Roman" w:cs="Times New Roman"/>
          <w:b/>
          <w:bCs/>
          <w:sz w:val="24"/>
          <w:szCs w:val="24"/>
        </w:rPr>
        <w:t xml:space="preserve"> and Capital Dependency</w:t>
      </w:r>
    </w:p>
    <w:p w14:paraId="2A585C21" w14:textId="171AEA17" w:rsidR="00DD13E9" w:rsidRPr="0063421B" w:rsidRDefault="00DD13E9" w:rsidP="00BF2605">
      <w:pPr>
        <w:tabs>
          <w:tab w:val="left" w:pos="426"/>
        </w:tabs>
        <w:spacing w:after="0" w:line="288" w:lineRule="auto"/>
        <w:jc w:val="both"/>
        <w:rPr>
          <w:rFonts w:ascii="Times New Roman" w:hAnsi="Times New Roman" w:cs="Times New Roman"/>
          <w:b/>
          <w:bCs/>
          <w:sz w:val="10"/>
          <w:szCs w:val="10"/>
        </w:rPr>
      </w:pPr>
    </w:p>
    <w:p w14:paraId="5D6333D7" w14:textId="1FED1737" w:rsidR="00C97A06" w:rsidRDefault="00183FF3" w:rsidP="00BF2605">
      <w:pPr>
        <w:tabs>
          <w:tab w:val="left" w:pos="426"/>
        </w:tabs>
        <w:spacing w:after="0" w:line="288" w:lineRule="auto"/>
        <w:jc w:val="both"/>
        <w:rPr>
          <w:rFonts w:ascii="Times New Roman" w:hAnsi="Times New Roman" w:cs="Times New Roman"/>
          <w:sz w:val="24"/>
          <w:szCs w:val="24"/>
        </w:rPr>
      </w:pPr>
      <w:r w:rsidRPr="00183FF3">
        <w:rPr>
          <w:rFonts w:ascii="Times New Roman" w:hAnsi="Times New Roman" w:cs="Times New Roman"/>
          <w:sz w:val="24"/>
          <w:szCs w:val="24"/>
        </w:rPr>
        <w:t xml:space="preserve">One of main benefits to a firm from adopting better governance practices is having a better access to capital markets along with improved terms of financing. As discussed earlier, this suggests that the benefits will be related </w:t>
      </w:r>
      <w:r w:rsidR="008D328C">
        <w:rPr>
          <w:rFonts w:ascii="Times New Roman" w:hAnsi="Times New Roman" w:cs="Times New Roman"/>
          <w:sz w:val="24"/>
          <w:szCs w:val="24"/>
        </w:rPr>
        <w:t>to the firm’s ability</w:t>
      </w:r>
      <w:r w:rsidRPr="00183FF3">
        <w:rPr>
          <w:rFonts w:ascii="Times New Roman" w:hAnsi="Times New Roman" w:cs="Times New Roman"/>
          <w:sz w:val="24"/>
          <w:szCs w:val="24"/>
        </w:rPr>
        <w:t xml:space="preserve"> to access capital which will depend on the extent of the development of the country’s capital market. </w:t>
      </w:r>
      <w:r w:rsidR="00095140">
        <w:rPr>
          <w:rFonts w:ascii="Times New Roman" w:hAnsi="Times New Roman" w:cs="Times New Roman"/>
          <w:sz w:val="24"/>
          <w:szCs w:val="24"/>
        </w:rPr>
        <w:t xml:space="preserve">However, </w:t>
      </w:r>
      <w:bookmarkStart w:id="4" w:name="_Hlk479045941"/>
      <w:r w:rsidR="00095140">
        <w:rPr>
          <w:rFonts w:ascii="Times New Roman" w:hAnsi="Times New Roman" w:cs="Times New Roman"/>
          <w:sz w:val="24"/>
          <w:szCs w:val="24"/>
        </w:rPr>
        <w:t xml:space="preserve">it can be also argued that a firm’s gain from adopting a more stringent governance framework does not </w:t>
      </w:r>
      <w:r w:rsidR="00DD13E9">
        <w:rPr>
          <w:rFonts w:ascii="Times New Roman" w:hAnsi="Times New Roman" w:cs="Times New Roman"/>
          <w:sz w:val="24"/>
          <w:szCs w:val="24"/>
        </w:rPr>
        <w:t xml:space="preserve">only </w:t>
      </w:r>
      <w:r w:rsidR="00095140">
        <w:rPr>
          <w:rFonts w:ascii="Times New Roman" w:hAnsi="Times New Roman" w:cs="Times New Roman"/>
          <w:sz w:val="24"/>
          <w:szCs w:val="24"/>
        </w:rPr>
        <w:t>rely on the financial development status of t</w:t>
      </w:r>
      <w:r w:rsidR="00DD13E9">
        <w:rPr>
          <w:rFonts w:ascii="Times New Roman" w:hAnsi="Times New Roman" w:cs="Times New Roman"/>
          <w:sz w:val="24"/>
          <w:szCs w:val="24"/>
        </w:rPr>
        <w:t xml:space="preserve">he </w:t>
      </w:r>
      <w:r w:rsidR="003708BB">
        <w:rPr>
          <w:rFonts w:ascii="Times New Roman" w:hAnsi="Times New Roman" w:cs="Times New Roman"/>
          <w:sz w:val="24"/>
          <w:szCs w:val="24"/>
        </w:rPr>
        <w:t>countr</w:t>
      </w:r>
      <w:r w:rsidR="00DD13E9">
        <w:rPr>
          <w:rFonts w:ascii="Times New Roman" w:hAnsi="Times New Roman" w:cs="Times New Roman"/>
          <w:sz w:val="24"/>
          <w:szCs w:val="24"/>
        </w:rPr>
        <w:t>y it operates in</w:t>
      </w:r>
      <w:r w:rsidR="00095140">
        <w:rPr>
          <w:rFonts w:ascii="Times New Roman" w:hAnsi="Times New Roman" w:cs="Times New Roman"/>
          <w:sz w:val="24"/>
          <w:szCs w:val="24"/>
        </w:rPr>
        <w:t xml:space="preserve">, </w:t>
      </w:r>
      <w:r w:rsidR="00DD13E9">
        <w:rPr>
          <w:rFonts w:ascii="Times New Roman" w:hAnsi="Times New Roman" w:cs="Times New Roman"/>
          <w:sz w:val="24"/>
          <w:szCs w:val="24"/>
        </w:rPr>
        <w:t>but also depends on its e</w:t>
      </w:r>
      <w:r w:rsidR="00821950">
        <w:rPr>
          <w:rFonts w:ascii="Times New Roman" w:hAnsi="Times New Roman" w:cs="Times New Roman"/>
          <w:sz w:val="24"/>
          <w:szCs w:val="24"/>
        </w:rPr>
        <w:t>xternal financing requirements.</w:t>
      </w:r>
      <w:bookmarkEnd w:id="4"/>
      <w:r w:rsidR="00821950">
        <w:rPr>
          <w:rFonts w:ascii="Times New Roman" w:hAnsi="Times New Roman" w:cs="Times New Roman"/>
          <w:sz w:val="24"/>
          <w:szCs w:val="24"/>
        </w:rPr>
        <w:t xml:space="preserve"> </w:t>
      </w:r>
      <w:r w:rsidR="00DD13E9">
        <w:rPr>
          <w:rFonts w:ascii="Times New Roman" w:hAnsi="Times New Roman" w:cs="Times New Roman"/>
          <w:sz w:val="24"/>
          <w:szCs w:val="24"/>
        </w:rPr>
        <w:t xml:space="preserve">Basically, a firm with </w:t>
      </w:r>
      <w:r w:rsidR="00C96C05">
        <w:rPr>
          <w:rFonts w:ascii="Times New Roman" w:hAnsi="Times New Roman" w:cs="Times New Roman"/>
          <w:sz w:val="24"/>
          <w:szCs w:val="24"/>
        </w:rPr>
        <w:t xml:space="preserve">high </w:t>
      </w:r>
      <w:r w:rsidR="00DD13E9">
        <w:rPr>
          <w:rFonts w:ascii="Times New Roman" w:hAnsi="Times New Roman" w:cs="Times New Roman"/>
          <w:sz w:val="24"/>
          <w:szCs w:val="24"/>
        </w:rPr>
        <w:t xml:space="preserve">external financing </w:t>
      </w:r>
      <w:r w:rsidR="00C96C05">
        <w:rPr>
          <w:rFonts w:ascii="Times New Roman" w:hAnsi="Times New Roman" w:cs="Times New Roman"/>
          <w:sz w:val="24"/>
          <w:szCs w:val="24"/>
        </w:rPr>
        <w:t>needs is m</w:t>
      </w:r>
      <w:r w:rsidR="00DD201F">
        <w:rPr>
          <w:rFonts w:ascii="Times New Roman" w:hAnsi="Times New Roman" w:cs="Times New Roman"/>
          <w:sz w:val="24"/>
          <w:szCs w:val="24"/>
        </w:rPr>
        <w:t>ost</w:t>
      </w:r>
      <w:r w:rsidR="00C96C05">
        <w:rPr>
          <w:rFonts w:ascii="Times New Roman" w:hAnsi="Times New Roman" w:cs="Times New Roman"/>
          <w:sz w:val="24"/>
          <w:szCs w:val="24"/>
        </w:rPr>
        <w:t xml:space="preserve"> likely to adopt a </w:t>
      </w:r>
      <w:r w:rsidR="00DD201F">
        <w:rPr>
          <w:rFonts w:ascii="Times New Roman" w:hAnsi="Times New Roman" w:cs="Times New Roman"/>
          <w:sz w:val="24"/>
          <w:szCs w:val="24"/>
        </w:rPr>
        <w:t>high</w:t>
      </w:r>
      <w:r w:rsidR="00C96C05">
        <w:rPr>
          <w:rFonts w:ascii="Times New Roman" w:hAnsi="Times New Roman" w:cs="Times New Roman"/>
          <w:sz w:val="24"/>
          <w:szCs w:val="24"/>
        </w:rPr>
        <w:t xml:space="preserve"> governance framework to gain favorable access to the capital markets if it </w:t>
      </w:r>
      <w:r w:rsidR="00DD201F">
        <w:rPr>
          <w:rFonts w:ascii="Times New Roman" w:hAnsi="Times New Roman" w:cs="Times New Roman"/>
          <w:sz w:val="24"/>
          <w:szCs w:val="24"/>
        </w:rPr>
        <w:t>i</w:t>
      </w:r>
      <w:r w:rsidR="00C96C05">
        <w:rPr>
          <w:rFonts w:ascii="Times New Roman" w:hAnsi="Times New Roman" w:cs="Times New Roman"/>
          <w:sz w:val="24"/>
          <w:szCs w:val="24"/>
        </w:rPr>
        <w:t xml:space="preserve">s operating in a </w:t>
      </w:r>
      <w:r w:rsidR="003708BB">
        <w:rPr>
          <w:rFonts w:ascii="Times New Roman" w:hAnsi="Times New Roman" w:cs="Times New Roman"/>
          <w:sz w:val="24"/>
          <w:szCs w:val="24"/>
        </w:rPr>
        <w:t>countr</w:t>
      </w:r>
      <w:r w:rsidR="00C96C05">
        <w:rPr>
          <w:rFonts w:ascii="Times New Roman" w:hAnsi="Times New Roman" w:cs="Times New Roman"/>
          <w:sz w:val="24"/>
          <w:szCs w:val="24"/>
        </w:rPr>
        <w:t xml:space="preserve">y with high financial development than otherwise. Similarly, a firm with low needs for external financing is more likely to adopt </w:t>
      </w:r>
      <w:r w:rsidR="00DD201F">
        <w:rPr>
          <w:rFonts w:ascii="Times New Roman" w:hAnsi="Times New Roman" w:cs="Times New Roman"/>
          <w:sz w:val="24"/>
          <w:szCs w:val="24"/>
        </w:rPr>
        <w:t xml:space="preserve">a low </w:t>
      </w:r>
      <w:r w:rsidR="00C96C05">
        <w:rPr>
          <w:rFonts w:ascii="Times New Roman" w:hAnsi="Times New Roman" w:cs="Times New Roman"/>
          <w:sz w:val="24"/>
          <w:szCs w:val="24"/>
        </w:rPr>
        <w:t xml:space="preserve">governance framework if it </w:t>
      </w:r>
      <w:r w:rsidR="00DD201F">
        <w:rPr>
          <w:rFonts w:ascii="Times New Roman" w:hAnsi="Times New Roman" w:cs="Times New Roman"/>
          <w:sz w:val="24"/>
          <w:szCs w:val="24"/>
        </w:rPr>
        <w:t>i</w:t>
      </w:r>
      <w:r w:rsidR="00C96C05">
        <w:rPr>
          <w:rFonts w:ascii="Times New Roman" w:hAnsi="Times New Roman" w:cs="Times New Roman"/>
          <w:sz w:val="24"/>
          <w:szCs w:val="24"/>
        </w:rPr>
        <w:t xml:space="preserve">s operating in a </w:t>
      </w:r>
      <w:r w:rsidR="003708BB">
        <w:rPr>
          <w:rFonts w:ascii="Times New Roman" w:hAnsi="Times New Roman" w:cs="Times New Roman"/>
          <w:sz w:val="24"/>
          <w:szCs w:val="24"/>
        </w:rPr>
        <w:t>countr</w:t>
      </w:r>
      <w:r w:rsidR="00C96C05">
        <w:rPr>
          <w:rFonts w:ascii="Times New Roman" w:hAnsi="Times New Roman" w:cs="Times New Roman"/>
          <w:sz w:val="24"/>
          <w:szCs w:val="24"/>
        </w:rPr>
        <w:t xml:space="preserve">y with low financial </w:t>
      </w:r>
      <w:r w:rsidR="005733B3">
        <w:rPr>
          <w:rFonts w:ascii="Times New Roman" w:hAnsi="Times New Roman" w:cs="Times New Roman"/>
          <w:sz w:val="24"/>
          <w:szCs w:val="24"/>
        </w:rPr>
        <w:t>development.</w:t>
      </w:r>
      <w:r w:rsidR="00C96C05">
        <w:rPr>
          <w:rFonts w:ascii="Times New Roman" w:hAnsi="Times New Roman" w:cs="Times New Roman"/>
          <w:sz w:val="24"/>
          <w:szCs w:val="24"/>
        </w:rPr>
        <w:t xml:space="preserve"> </w:t>
      </w:r>
      <w:r w:rsidR="00416C4C">
        <w:rPr>
          <w:rFonts w:ascii="Times New Roman" w:hAnsi="Times New Roman" w:cs="Times New Roman"/>
          <w:sz w:val="24"/>
          <w:szCs w:val="24"/>
        </w:rPr>
        <w:t>A</w:t>
      </w:r>
      <w:r w:rsidR="0033427A">
        <w:rPr>
          <w:rFonts w:ascii="Times New Roman" w:hAnsi="Times New Roman" w:cs="Times New Roman"/>
          <w:sz w:val="24"/>
          <w:szCs w:val="24"/>
        </w:rPr>
        <w:t xml:space="preserve">n additional dimension can be added to the </w:t>
      </w:r>
      <w:r w:rsidR="008D328C">
        <w:rPr>
          <w:rFonts w:ascii="Times New Roman" w:hAnsi="Times New Roman" w:cs="Times New Roman"/>
          <w:sz w:val="24"/>
          <w:szCs w:val="24"/>
        </w:rPr>
        <w:t>analysis</w:t>
      </w:r>
      <w:r w:rsidR="0033427A">
        <w:rPr>
          <w:rFonts w:ascii="Times New Roman" w:hAnsi="Times New Roman" w:cs="Times New Roman"/>
          <w:sz w:val="24"/>
          <w:szCs w:val="24"/>
        </w:rPr>
        <w:t xml:space="preserve"> to capture the difference</w:t>
      </w:r>
      <w:r w:rsidR="0056361C">
        <w:rPr>
          <w:rFonts w:ascii="Times New Roman" w:hAnsi="Times New Roman" w:cs="Times New Roman"/>
          <w:sz w:val="24"/>
          <w:szCs w:val="24"/>
        </w:rPr>
        <w:t xml:space="preserve"> for firms operating</w:t>
      </w:r>
      <w:r w:rsidR="00416C4C">
        <w:rPr>
          <w:rFonts w:ascii="Times New Roman" w:hAnsi="Times New Roman" w:cs="Times New Roman"/>
          <w:sz w:val="24"/>
          <w:szCs w:val="24"/>
        </w:rPr>
        <w:t xml:space="preserve"> in countries with stronger</w:t>
      </w:r>
      <w:r w:rsidR="0033427A">
        <w:rPr>
          <w:rFonts w:ascii="Times New Roman" w:hAnsi="Times New Roman" w:cs="Times New Roman"/>
          <w:sz w:val="24"/>
          <w:szCs w:val="24"/>
        </w:rPr>
        <w:t xml:space="preserve"> </w:t>
      </w:r>
      <w:r w:rsidR="00276A53">
        <w:rPr>
          <w:rFonts w:ascii="Times New Roman" w:hAnsi="Times New Roman" w:cs="Times New Roman"/>
          <w:sz w:val="24"/>
          <w:szCs w:val="24"/>
        </w:rPr>
        <w:t xml:space="preserve">and weaker </w:t>
      </w:r>
      <w:r w:rsidR="008D328C">
        <w:rPr>
          <w:rFonts w:ascii="Times New Roman" w:hAnsi="Times New Roman" w:cs="Times New Roman"/>
          <w:sz w:val="24"/>
          <w:szCs w:val="24"/>
        </w:rPr>
        <w:t xml:space="preserve">country-level </w:t>
      </w:r>
      <w:r w:rsidR="00D81BE6">
        <w:rPr>
          <w:rFonts w:ascii="Times New Roman" w:hAnsi="Times New Roman" w:cs="Times New Roman"/>
          <w:sz w:val="24"/>
          <w:szCs w:val="24"/>
        </w:rPr>
        <w:t xml:space="preserve">governance mechanism. </w:t>
      </w:r>
      <w:r w:rsidR="00416C4C">
        <w:rPr>
          <w:rFonts w:ascii="Times New Roman" w:hAnsi="Times New Roman" w:cs="Times New Roman"/>
          <w:sz w:val="24"/>
          <w:szCs w:val="24"/>
        </w:rPr>
        <w:t xml:space="preserve"> </w:t>
      </w:r>
      <w:r w:rsidR="00B528D0">
        <w:rPr>
          <w:rFonts w:ascii="Times New Roman" w:hAnsi="Times New Roman" w:cs="Times New Roman"/>
          <w:sz w:val="24"/>
          <w:szCs w:val="24"/>
        </w:rPr>
        <w:t xml:space="preserve"> </w:t>
      </w:r>
      <w:r w:rsidR="003F4E58">
        <w:rPr>
          <w:rFonts w:ascii="Times New Roman" w:hAnsi="Times New Roman" w:cs="Times New Roman"/>
          <w:sz w:val="24"/>
          <w:szCs w:val="24"/>
        </w:rPr>
        <w:t>To test the validity o</w:t>
      </w:r>
      <w:r w:rsidR="00766685">
        <w:rPr>
          <w:rFonts w:ascii="Times New Roman" w:hAnsi="Times New Roman" w:cs="Times New Roman"/>
          <w:sz w:val="24"/>
          <w:szCs w:val="24"/>
        </w:rPr>
        <w:t xml:space="preserve">f our argument, </w:t>
      </w:r>
      <w:r w:rsidR="00232418">
        <w:rPr>
          <w:rFonts w:ascii="Times New Roman" w:hAnsi="Times New Roman" w:cs="Times New Roman"/>
          <w:sz w:val="24"/>
          <w:szCs w:val="24"/>
        </w:rPr>
        <w:t>we run</w:t>
      </w:r>
      <w:r w:rsidR="008D328C">
        <w:rPr>
          <w:rFonts w:ascii="Times New Roman" w:hAnsi="Times New Roman" w:cs="Times New Roman"/>
          <w:sz w:val="24"/>
          <w:szCs w:val="24"/>
        </w:rPr>
        <w:t xml:space="preserve"> </w:t>
      </w:r>
      <w:r w:rsidR="00C97A06" w:rsidRPr="008D328C">
        <w:rPr>
          <w:rFonts w:ascii="Times New Roman" w:hAnsi="Times New Roman" w:cs="Times New Roman"/>
          <w:i/>
          <w:iCs/>
          <w:sz w:val="24"/>
          <w:szCs w:val="24"/>
        </w:rPr>
        <w:t xml:space="preserve">Model </w:t>
      </w:r>
      <w:r w:rsidR="004D6C86">
        <w:rPr>
          <w:rFonts w:ascii="Times New Roman" w:hAnsi="Times New Roman" w:cs="Times New Roman"/>
          <w:i/>
          <w:iCs/>
          <w:sz w:val="24"/>
          <w:szCs w:val="24"/>
        </w:rPr>
        <w:t>4</w:t>
      </w:r>
      <w:r w:rsidR="00C97A06">
        <w:rPr>
          <w:rFonts w:ascii="Times New Roman" w:hAnsi="Times New Roman" w:cs="Times New Roman"/>
          <w:sz w:val="24"/>
          <w:szCs w:val="24"/>
        </w:rPr>
        <w:t xml:space="preserve"> </w:t>
      </w:r>
      <w:r w:rsidR="00232418">
        <w:rPr>
          <w:rFonts w:ascii="Times New Roman" w:hAnsi="Times New Roman" w:cs="Times New Roman"/>
          <w:sz w:val="24"/>
          <w:szCs w:val="24"/>
        </w:rPr>
        <w:t>with dummies for the level of the country governance mechanism (D</w:t>
      </w:r>
      <w:r w:rsidR="00232418" w:rsidRPr="00232418">
        <w:rPr>
          <w:rFonts w:ascii="Times New Roman" w:hAnsi="Times New Roman" w:cs="Times New Roman"/>
          <w:sz w:val="24"/>
          <w:szCs w:val="24"/>
          <w:vertAlign w:val="subscript"/>
        </w:rPr>
        <w:t>COGI</w:t>
      </w:r>
      <w:r w:rsidR="00232418">
        <w:rPr>
          <w:rFonts w:ascii="Times New Roman" w:hAnsi="Times New Roman" w:cs="Times New Roman"/>
          <w:sz w:val="24"/>
          <w:szCs w:val="24"/>
        </w:rPr>
        <w:t>), the level of financial development (</w:t>
      </w:r>
      <w:r w:rsidR="00EB6886">
        <w:rPr>
          <w:rFonts w:ascii="Times New Roman" w:hAnsi="Times New Roman" w:cs="Times New Roman"/>
          <w:sz w:val="24"/>
          <w:szCs w:val="24"/>
        </w:rPr>
        <w:t>D</w:t>
      </w:r>
      <w:r w:rsidR="00232418" w:rsidRPr="00232418">
        <w:rPr>
          <w:rFonts w:ascii="Times New Roman" w:hAnsi="Times New Roman" w:cs="Times New Roman"/>
          <w:sz w:val="24"/>
          <w:szCs w:val="24"/>
          <w:vertAlign w:val="subscript"/>
        </w:rPr>
        <w:t>FIND</w:t>
      </w:r>
      <w:r w:rsidR="00232418" w:rsidRPr="00232418">
        <w:rPr>
          <w:rFonts w:ascii="Times New Roman" w:hAnsi="Times New Roman" w:cs="Times New Roman"/>
          <w:sz w:val="24"/>
          <w:szCs w:val="24"/>
        </w:rPr>
        <w:t>)</w:t>
      </w:r>
      <w:r w:rsidR="00232418">
        <w:rPr>
          <w:rFonts w:ascii="Times New Roman" w:hAnsi="Times New Roman" w:cs="Times New Roman"/>
          <w:sz w:val="24"/>
          <w:szCs w:val="24"/>
        </w:rPr>
        <w:t xml:space="preserve">, and the extent </w:t>
      </w:r>
      <w:r w:rsidR="00C97A06">
        <w:rPr>
          <w:rFonts w:ascii="Times New Roman" w:hAnsi="Times New Roman" w:cs="Times New Roman"/>
          <w:sz w:val="24"/>
          <w:szCs w:val="24"/>
        </w:rPr>
        <w:t>of demand for external funds (D</w:t>
      </w:r>
      <w:r w:rsidR="00C97A06" w:rsidRPr="00C97A06">
        <w:rPr>
          <w:rFonts w:ascii="Times New Roman" w:hAnsi="Times New Roman" w:cs="Times New Roman"/>
          <w:sz w:val="24"/>
          <w:szCs w:val="24"/>
          <w:vertAlign w:val="subscript"/>
        </w:rPr>
        <w:t>EXC</w:t>
      </w:r>
      <w:r w:rsidR="00C97A06" w:rsidRPr="005D4D7F">
        <w:rPr>
          <w:rFonts w:ascii="Times New Roman" w:hAnsi="Times New Roman" w:cs="Times New Roman"/>
          <w:sz w:val="24"/>
          <w:szCs w:val="24"/>
          <w:vertAlign w:val="subscript"/>
        </w:rPr>
        <w:t>D</w:t>
      </w:r>
      <w:r w:rsidR="00C97A06">
        <w:rPr>
          <w:rFonts w:ascii="Times New Roman" w:hAnsi="Times New Roman" w:cs="Times New Roman"/>
          <w:sz w:val="24"/>
          <w:szCs w:val="24"/>
        </w:rPr>
        <w:t>):</w:t>
      </w:r>
    </w:p>
    <w:p w14:paraId="4D06CC3B" w14:textId="77777777" w:rsidR="00E764D5" w:rsidRPr="005E0490" w:rsidRDefault="00E764D5" w:rsidP="00BF2605">
      <w:pPr>
        <w:tabs>
          <w:tab w:val="left" w:pos="426"/>
        </w:tabs>
        <w:spacing w:after="0" w:line="288" w:lineRule="auto"/>
        <w:jc w:val="both"/>
        <w:rPr>
          <w:rFonts w:ascii="Times New Roman" w:hAnsi="Times New Roman" w:cs="Times New Roman"/>
          <w:sz w:val="20"/>
          <w:szCs w:val="20"/>
        </w:rPr>
      </w:pPr>
    </w:p>
    <w:p w14:paraId="1DFD473B" w14:textId="18D5E062" w:rsidR="00C97A06" w:rsidRPr="00E764D5" w:rsidRDefault="00C97A06" w:rsidP="00BF2605">
      <w:pPr>
        <w:tabs>
          <w:tab w:val="left" w:pos="426"/>
        </w:tabs>
        <w:spacing w:after="0" w:line="288" w:lineRule="auto"/>
        <w:jc w:val="center"/>
        <w:rPr>
          <w:rFonts w:ascii="Times New Roman" w:hAnsi="Times New Roman" w:cs="Times New Roman"/>
          <w:i/>
          <w:iCs/>
          <w:vertAlign w:val="subscript"/>
        </w:rPr>
      </w:pPr>
      <w:r w:rsidRPr="00E764D5">
        <w:rPr>
          <w:rFonts w:ascii="Times New Roman" w:hAnsi="Times New Roman" w:cs="Times New Roman"/>
          <w:i/>
          <w:iCs/>
        </w:rPr>
        <w:t>Return or Value Measure</w:t>
      </w:r>
      <w:r w:rsidRPr="00E764D5">
        <w:rPr>
          <w:rFonts w:ascii="Times New Roman" w:hAnsi="Times New Roman" w:cs="Times New Roman"/>
          <w:i/>
          <w:iCs/>
          <w:vertAlign w:val="subscript"/>
        </w:rPr>
        <w:t>i,t</w:t>
      </w:r>
      <w:r w:rsidRPr="00E764D5">
        <w:rPr>
          <w:rFonts w:ascii="Times New Roman" w:hAnsi="Times New Roman" w:cs="Times New Roman"/>
          <w:i/>
          <w:iCs/>
        </w:rPr>
        <w:t xml:space="preserve"> = β</w:t>
      </w:r>
      <w:r w:rsidRPr="00E764D5">
        <w:rPr>
          <w:rFonts w:ascii="Times New Roman" w:hAnsi="Times New Roman" w:cs="Times New Roman"/>
          <w:i/>
          <w:iCs/>
          <w:vertAlign w:val="subscript"/>
        </w:rPr>
        <w:t>0</w:t>
      </w:r>
      <w:r w:rsidRPr="00E764D5">
        <w:rPr>
          <w:rFonts w:ascii="Times New Roman" w:hAnsi="Times New Roman" w:cs="Times New Roman"/>
          <w:i/>
          <w:iCs/>
        </w:rPr>
        <w:t xml:space="preserve"> + β</w:t>
      </w:r>
      <w:r w:rsidRPr="00E764D5">
        <w:rPr>
          <w:rFonts w:ascii="Times New Roman" w:hAnsi="Times New Roman" w:cs="Times New Roman"/>
          <w:i/>
          <w:iCs/>
          <w:vertAlign w:val="subscript"/>
        </w:rPr>
        <w:t>1</w:t>
      </w:r>
      <w:r w:rsidRPr="00E764D5">
        <w:rPr>
          <w:rFonts w:ascii="Times New Roman" w:hAnsi="Times New Roman" w:cs="Times New Roman"/>
          <w:i/>
          <w:iCs/>
        </w:rPr>
        <w:t xml:space="preserve"> GOVI</w:t>
      </w:r>
      <w:r w:rsidRPr="00E764D5">
        <w:rPr>
          <w:rFonts w:ascii="Times New Roman" w:hAnsi="Times New Roman" w:cs="Times New Roman"/>
          <w:i/>
          <w:iCs/>
          <w:vertAlign w:val="subscript"/>
        </w:rPr>
        <w:t>i,t</w:t>
      </w:r>
      <w:r w:rsidRPr="00E764D5">
        <w:rPr>
          <w:rFonts w:ascii="Times New Roman" w:hAnsi="Times New Roman" w:cs="Times New Roman"/>
          <w:i/>
          <w:iCs/>
        </w:rPr>
        <w:t xml:space="preserve"> + β</w:t>
      </w:r>
      <w:r w:rsidRPr="00E764D5">
        <w:rPr>
          <w:rFonts w:ascii="Times New Roman" w:hAnsi="Times New Roman" w:cs="Times New Roman"/>
          <w:i/>
          <w:iCs/>
          <w:vertAlign w:val="subscript"/>
        </w:rPr>
        <w:t>2</w:t>
      </w:r>
      <w:r w:rsidRPr="00E764D5">
        <w:rPr>
          <w:rFonts w:ascii="Times New Roman" w:hAnsi="Times New Roman" w:cs="Times New Roman"/>
          <w:i/>
          <w:iCs/>
        </w:rPr>
        <w:t xml:space="preserve"> </w:t>
      </w:r>
      <w:r w:rsidRPr="00E764D5">
        <w:rPr>
          <w:rFonts w:ascii="Times New Roman" w:hAnsi="Times New Roman" w:cs="Times New Roman"/>
        </w:rPr>
        <w:t>(</w:t>
      </w:r>
      <w:r w:rsidRPr="00E764D5">
        <w:rPr>
          <w:rFonts w:ascii="Times New Roman" w:hAnsi="Times New Roman" w:cs="Times New Roman"/>
          <w:i/>
          <w:iCs/>
        </w:rPr>
        <w:t>GOVI</w:t>
      </w:r>
      <w:r w:rsidRPr="00E764D5">
        <w:rPr>
          <w:rFonts w:ascii="Times New Roman" w:hAnsi="Times New Roman" w:cs="Times New Roman"/>
          <w:i/>
          <w:iCs/>
          <w:vertAlign w:val="subscript"/>
        </w:rPr>
        <w:t>i,t</w:t>
      </w:r>
      <w:r w:rsidRPr="00E764D5">
        <w:rPr>
          <w:rFonts w:ascii="Times New Roman" w:hAnsi="Times New Roman" w:cs="Times New Roman"/>
          <w:i/>
          <w:iCs/>
        </w:rPr>
        <w:t xml:space="preserve"> × D</w:t>
      </w:r>
      <w:r w:rsidRPr="00E764D5">
        <w:rPr>
          <w:rFonts w:ascii="Times New Roman" w:hAnsi="Times New Roman" w:cs="Times New Roman"/>
          <w:i/>
          <w:iCs/>
          <w:vertAlign w:val="subscript"/>
        </w:rPr>
        <w:t>COGI</w:t>
      </w:r>
      <w:r w:rsidRPr="00E764D5">
        <w:rPr>
          <w:rFonts w:ascii="Times New Roman" w:hAnsi="Times New Roman" w:cs="Times New Roman"/>
        </w:rPr>
        <w:t xml:space="preserve">) </w:t>
      </w:r>
      <w:r w:rsidRPr="00E764D5">
        <w:rPr>
          <w:rFonts w:ascii="Times New Roman" w:hAnsi="Times New Roman" w:cs="Times New Roman"/>
          <w:i/>
          <w:iCs/>
        </w:rPr>
        <w:t>+ β</w:t>
      </w:r>
      <w:r w:rsidRPr="00E764D5">
        <w:rPr>
          <w:rFonts w:ascii="Times New Roman" w:hAnsi="Times New Roman" w:cs="Times New Roman"/>
          <w:i/>
          <w:iCs/>
          <w:vertAlign w:val="subscript"/>
        </w:rPr>
        <w:t>3</w:t>
      </w:r>
      <w:r w:rsidRPr="00E764D5">
        <w:rPr>
          <w:rFonts w:ascii="Times New Roman" w:hAnsi="Times New Roman" w:cs="Times New Roman"/>
          <w:i/>
          <w:iCs/>
        </w:rPr>
        <w:t xml:space="preserve"> </w:t>
      </w:r>
      <w:r w:rsidRPr="00E764D5">
        <w:rPr>
          <w:rFonts w:ascii="Times New Roman" w:hAnsi="Times New Roman" w:cs="Times New Roman"/>
        </w:rPr>
        <w:t>(</w:t>
      </w:r>
      <w:r w:rsidRPr="00E764D5">
        <w:rPr>
          <w:rFonts w:ascii="Times New Roman" w:hAnsi="Times New Roman" w:cs="Times New Roman"/>
          <w:i/>
          <w:iCs/>
        </w:rPr>
        <w:t>GOVI</w:t>
      </w:r>
      <w:r w:rsidRPr="00E764D5">
        <w:rPr>
          <w:rFonts w:ascii="Times New Roman" w:hAnsi="Times New Roman" w:cs="Times New Roman"/>
          <w:i/>
          <w:iCs/>
          <w:vertAlign w:val="subscript"/>
        </w:rPr>
        <w:t>i,t</w:t>
      </w:r>
      <w:r w:rsidRPr="00E764D5">
        <w:rPr>
          <w:rFonts w:ascii="Times New Roman" w:hAnsi="Times New Roman" w:cs="Times New Roman"/>
          <w:i/>
          <w:iCs/>
        </w:rPr>
        <w:t xml:space="preserve"> × D</w:t>
      </w:r>
      <w:r w:rsidRPr="00E764D5">
        <w:rPr>
          <w:rFonts w:ascii="Times New Roman" w:hAnsi="Times New Roman" w:cs="Times New Roman"/>
          <w:i/>
          <w:iCs/>
          <w:vertAlign w:val="subscript"/>
        </w:rPr>
        <w:t>FIND</w:t>
      </w:r>
      <w:r w:rsidRPr="00E764D5">
        <w:rPr>
          <w:rFonts w:ascii="Times New Roman" w:hAnsi="Times New Roman" w:cs="Times New Roman"/>
        </w:rPr>
        <w:t xml:space="preserve">) </w:t>
      </w:r>
      <w:r w:rsidRPr="00E764D5">
        <w:rPr>
          <w:rFonts w:ascii="Times New Roman" w:hAnsi="Times New Roman" w:cs="Times New Roman"/>
          <w:i/>
          <w:iCs/>
        </w:rPr>
        <w:t>+ β</w:t>
      </w:r>
      <w:r w:rsidRPr="00E764D5">
        <w:rPr>
          <w:rFonts w:ascii="Times New Roman" w:hAnsi="Times New Roman" w:cs="Times New Roman"/>
          <w:i/>
          <w:iCs/>
          <w:vertAlign w:val="subscript"/>
        </w:rPr>
        <w:t>4</w:t>
      </w:r>
      <w:r w:rsidRPr="00E764D5">
        <w:rPr>
          <w:rFonts w:ascii="Times New Roman" w:hAnsi="Times New Roman" w:cs="Times New Roman"/>
          <w:i/>
          <w:iCs/>
        </w:rPr>
        <w:t xml:space="preserve"> </w:t>
      </w:r>
      <w:r w:rsidRPr="00E764D5">
        <w:rPr>
          <w:rFonts w:ascii="Times New Roman" w:hAnsi="Times New Roman" w:cs="Times New Roman"/>
        </w:rPr>
        <w:t>(</w:t>
      </w:r>
      <w:r w:rsidRPr="00E764D5">
        <w:rPr>
          <w:rFonts w:ascii="Times New Roman" w:hAnsi="Times New Roman" w:cs="Times New Roman"/>
          <w:i/>
          <w:iCs/>
        </w:rPr>
        <w:t>GOVI</w:t>
      </w:r>
      <w:r w:rsidRPr="00E764D5">
        <w:rPr>
          <w:rFonts w:ascii="Times New Roman" w:hAnsi="Times New Roman" w:cs="Times New Roman"/>
          <w:i/>
          <w:iCs/>
          <w:vertAlign w:val="subscript"/>
        </w:rPr>
        <w:t>i,t</w:t>
      </w:r>
      <w:r w:rsidRPr="00E764D5">
        <w:rPr>
          <w:rFonts w:ascii="Times New Roman" w:hAnsi="Times New Roman" w:cs="Times New Roman"/>
          <w:i/>
          <w:iCs/>
        </w:rPr>
        <w:t xml:space="preserve"> × D</w:t>
      </w:r>
      <w:r w:rsidRPr="00E764D5">
        <w:rPr>
          <w:rFonts w:ascii="Times New Roman" w:hAnsi="Times New Roman" w:cs="Times New Roman"/>
          <w:i/>
          <w:iCs/>
          <w:vertAlign w:val="subscript"/>
        </w:rPr>
        <w:t>EXCD</w:t>
      </w:r>
      <w:r w:rsidR="005D4D7F" w:rsidRPr="00E764D5">
        <w:rPr>
          <w:rFonts w:ascii="Times New Roman" w:hAnsi="Times New Roman" w:cs="Times New Roman"/>
          <w:i/>
          <w:iCs/>
        </w:rPr>
        <w:t xml:space="preserve">) </w:t>
      </w:r>
      <w:r w:rsidRPr="00E764D5">
        <w:rPr>
          <w:rFonts w:ascii="Times New Roman" w:hAnsi="Times New Roman" w:cs="Times New Roman"/>
          <w:i/>
          <w:iCs/>
        </w:rPr>
        <w:t>+ Control Variables (SIZE</w:t>
      </w:r>
      <w:r w:rsidRPr="00E764D5">
        <w:rPr>
          <w:rFonts w:ascii="Times New Roman" w:hAnsi="Times New Roman" w:cs="Times New Roman"/>
          <w:i/>
          <w:iCs/>
          <w:vertAlign w:val="subscript"/>
        </w:rPr>
        <w:t>i,t</w:t>
      </w:r>
      <w:r w:rsidRPr="00E764D5">
        <w:rPr>
          <w:rFonts w:ascii="Times New Roman" w:hAnsi="Times New Roman" w:cs="Times New Roman"/>
          <w:i/>
          <w:iCs/>
        </w:rPr>
        <w:t>/LEVG</w:t>
      </w:r>
      <w:r w:rsidRPr="00E764D5">
        <w:rPr>
          <w:rFonts w:ascii="Times New Roman" w:hAnsi="Times New Roman" w:cs="Times New Roman"/>
          <w:i/>
          <w:iCs/>
          <w:vertAlign w:val="subscript"/>
        </w:rPr>
        <w:t>i,t</w:t>
      </w:r>
      <w:r w:rsidRPr="00E764D5">
        <w:rPr>
          <w:rFonts w:ascii="Times New Roman" w:hAnsi="Times New Roman" w:cs="Times New Roman"/>
          <w:i/>
          <w:iCs/>
        </w:rPr>
        <w:t>/GROW</w:t>
      </w:r>
      <w:r w:rsidRPr="00E764D5">
        <w:rPr>
          <w:rFonts w:ascii="Times New Roman" w:hAnsi="Times New Roman" w:cs="Times New Roman"/>
          <w:i/>
          <w:iCs/>
          <w:vertAlign w:val="subscript"/>
        </w:rPr>
        <w:t>i,t/</w:t>
      </w:r>
      <w:r w:rsidRPr="00E764D5">
        <w:rPr>
          <w:rFonts w:ascii="Times New Roman" w:hAnsi="Times New Roman" w:cs="Times New Roman"/>
          <w:i/>
          <w:iCs/>
        </w:rPr>
        <w:t xml:space="preserve"> LGPC</w:t>
      </w:r>
      <w:r w:rsidRPr="00E764D5">
        <w:rPr>
          <w:rFonts w:ascii="Times New Roman" w:hAnsi="Times New Roman" w:cs="Times New Roman"/>
          <w:i/>
          <w:iCs/>
          <w:vertAlign w:val="subscript"/>
        </w:rPr>
        <w:t>i,t</w:t>
      </w:r>
      <w:r w:rsidRPr="00E764D5">
        <w:rPr>
          <w:rFonts w:ascii="Times New Roman" w:hAnsi="Times New Roman" w:cs="Times New Roman"/>
          <w:i/>
          <w:iCs/>
        </w:rPr>
        <w:t>) + ε</w:t>
      </w:r>
      <w:r w:rsidRPr="00E764D5">
        <w:rPr>
          <w:rFonts w:ascii="Times New Roman" w:hAnsi="Times New Roman" w:cs="Times New Roman"/>
          <w:i/>
          <w:iCs/>
          <w:vertAlign w:val="subscript"/>
        </w:rPr>
        <w:t>i,t</w:t>
      </w:r>
    </w:p>
    <w:p w14:paraId="600DC71F" w14:textId="77777777" w:rsidR="00E764D5" w:rsidRPr="005E0490" w:rsidRDefault="00E764D5" w:rsidP="00BF2605">
      <w:pPr>
        <w:tabs>
          <w:tab w:val="left" w:pos="426"/>
        </w:tabs>
        <w:spacing w:after="0" w:line="288" w:lineRule="auto"/>
        <w:jc w:val="center"/>
        <w:rPr>
          <w:rFonts w:ascii="Times New Roman" w:hAnsi="Times New Roman" w:cs="Times New Roman"/>
          <w:sz w:val="20"/>
          <w:szCs w:val="20"/>
        </w:rPr>
      </w:pPr>
    </w:p>
    <w:p w14:paraId="11099F26" w14:textId="2B93C2D1" w:rsidR="0063421B" w:rsidRDefault="0063421B" w:rsidP="00872780">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766CA" w:rsidRPr="00B766CA">
        <w:rPr>
          <w:rFonts w:ascii="Times New Roman" w:hAnsi="Times New Roman" w:cs="Times New Roman"/>
          <w:sz w:val="24"/>
          <w:szCs w:val="24"/>
        </w:rPr>
        <w:t xml:space="preserve">The coefficient of the governance index </w:t>
      </w:r>
      <w:r w:rsidR="00C97A06">
        <w:rPr>
          <w:rFonts w:ascii="Times New Roman" w:hAnsi="Times New Roman" w:cs="Times New Roman"/>
          <w:sz w:val="24"/>
          <w:szCs w:val="24"/>
        </w:rPr>
        <w:t>(</w:t>
      </w:r>
      <w:r w:rsidR="00C97A06" w:rsidRPr="005E0490">
        <w:rPr>
          <w:rFonts w:ascii="Times New Roman" w:hAnsi="Times New Roman" w:cs="Times New Roman"/>
          <w:i/>
          <w:sz w:val="24"/>
          <w:szCs w:val="24"/>
        </w:rPr>
        <w:t>β</w:t>
      </w:r>
      <w:r w:rsidR="00C97A06" w:rsidRPr="005E0490">
        <w:rPr>
          <w:rFonts w:ascii="Times New Roman" w:hAnsi="Times New Roman" w:cs="Times New Roman"/>
          <w:i/>
          <w:sz w:val="24"/>
          <w:szCs w:val="24"/>
          <w:vertAlign w:val="subscript"/>
        </w:rPr>
        <w:t>1</w:t>
      </w:r>
      <w:r w:rsidR="00C97A06">
        <w:rPr>
          <w:rFonts w:ascii="Times New Roman" w:hAnsi="Times New Roman" w:cs="Times New Roman"/>
          <w:iCs/>
          <w:sz w:val="24"/>
          <w:szCs w:val="24"/>
        </w:rPr>
        <w:t xml:space="preserve">) </w:t>
      </w:r>
      <w:r w:rsidR="00B766CA" w:rsidRPr="00C97A06">
        <w:rPr>
          <w:rFonts w:ascii="Times New Roman" w:hAnsi="Times New Roman" w:cs="Times New Roman"/>
          <w:sz w:val="24"/>
          <w:szCs w:val="24"/>
        </w:rPr>
        <w:t>represents</w:t>
      </w:r>
      <w:r w:rsidR="00B766CA" w:rsidRPr="00B766CA">
        <w:rPr>
          <w:rFonts w:ascii="Times New Roman" w:hAnsi="Times New Roman" w:cs="Times New Roman"/>
          <w:sz w:val="24"/>
          <w:szCs w:val="24"/>
        </w:rPr>
        <w:t xml:space="preserve"> the effect of governance on firm value or return when the firm operates in a </w:t>
      </w:r>
      <w:r w:rsidR="003708BB">
        <w:rPr>
          <w:rFonts w:ascii="Times New Roman" w:hAnsi="Times New Roman" w:cs="Times New Roman"/>
          <w:sz w:val="24"/>
          <w:szCs w:val="24"/>
        </w:rPr>
        <w:t>countr</w:t>
      </w:r>
      <w:r w:rsidR="00B766CA" w:rsidRPr="00B766CA">
        <w:rPr>
          <w:rFonts w:ascii="Times New Roman" w:hAnsi="Times New Roman" w:cs="Times New Roman"/>
          <w:sz w:val="24"/>
          <w:szCs w:val="24"/>
        </w:rPr>
        <w:t>y with low</w:t>
      </w:r>
      <w:r w:rsidR="0056361C">
        <w:rPr>
          <w:rFonts w:ascii="Times New Roman" w:hAnsi="Times New Roman" w:cs="Times New Roman"/>
          <w:sz w:val="24"/>
          <w:szCs w:val="24"/>
        </w:rPr>
        <w:t xml:space="preserve"> country score and</w:t>
      </w:r>
      <w:r w:rsidR="0036673B">
        <w:rPr>
          <w:rFonts w:ascii="Times New Roman" w:hAnsi="Times New Roman" w:cs="Times New Roman"/>
          <w:sz w:val="24"/>
          <w:szCs w:val="24"/>
        </w:rPr>
        <w:t xml:space="preserve"> low</w:t>
      </w:r>
      <w:r w:rsidR="00B766CA" w:rsidRPr="00B766CA">
        <w:rPr>
          <w:rFonts w:ascii="Times New Roman" w:hAnsi="Times New Roman" w:cs="Times New Roman"/>
          <w:sz w:val="24"/>
          <w:szCs w:val="24"/>
        </w:rPr>
        <w:t xml:space="preserve"> financial development </w:t>
      </w:r>
      <w:r w:rsidR="0056361C">
        <w:rPr>
          <w:rFonts w:ascii="Times New Roman" w:hAnsi="Times New Roman" w:cs="Times New Roman"/>
          <w:sz w:val="24"/>
          <w:szCs w:val="24"/>
        </w:rPr>
        <w:t>while also having</w:t>
      </w:r>
      <w:r w:rsidR="00B766CA" w:rsidRPr="00B766CA">
        <w:rPr>
          <w:rFonts w:ascii="Times New Roman" w:hAnsi="Times New Roman" w:cs="Times New Roman"/>
          <w:sz w:val="24"/>
          <w:szCs w:val="24"/>
        </w:rPr>
        <w:t xml:space="preserve"> low external financing needs</w:t>
      </w:r>
      <w:r w:rsidR="00C97A06">
        <w:rPr>
          <w:rFonts w:ascii="Times New Roman" w:hAnsi="Times New Roman" w:cs="Times New Roman"/>
          <w:sz w:val="24"/>
          <w:szCs w:val="24"/>
        </w:rPr>
        <w:t xml:space="preserve">. </w:t>
      </w:r>
      <w:r w:rsidR="00B766CA" w:rsidRPr="00B766CA">
        <w:rPr>
          <w:rFonts w:ascii="Times New Roman" w:hAnsi="Times New Roman" w:cs="Times New Roman"/>
          <w:sz w:val="24"/>
          <w:szCs w:val="24"/>
        </w:rPr>
        <w:t xml:space="preserve">The contribution of governance to firm value or return when the firm operates </w:t>
      </w:r>
      <w:r w:rsidR="00C666C2">
        <w:rPr>
          <w:rFonts w:ascii="Times New Roman" w:hAnsi="Times New Roman" w:cs="Times New Roman"/>
          <w:sz w:val="24"/>
          <w:szCs w:val="24"/>
        </w:rPr>
        <w:t>with</w:t>
      </w:r>
      <w:r w:rsidR="00C97A06">
        <w:rPr>
          <w:rFonts w:ascii="Times New Roman" w:hAnsi="Times New Roman" w:cs="Times New Roman"/>
          <w:sz w:val="24"/>
          <w:szCs w:val="24"/>
        </w:rPr>
        <w:t xml:space="preserve"> </w:t>
      </w:r>
      <w:r w:rsidR="00C666C2">
        <w:rPr>
          <w:rFonts w:ascii="Times New Roman" w:hAnsi="Times New Roman" w:cs="Times New Roman"/>
          <w:sz w:val="24"/>
          <w:szCs w:val="24"/>
        </w:rPr>
        <w:t xml:space="preserve">combinations of </w:t>
      </w:r>
      <w:r w:rsidR="00C97A06">
        <w:rPr>
          <w:rFonts w:ascii="Times New Roman" w:hAnsi="Times New Roman" w:cs="Times New Roman"/>
          <w:sz w:val="24"/>
          <w:szCs w:val="24"/>
        </w:rPr>
        <w:t>high and low country governance, financial development</w:t>
      </w:r>
      <w:r w:rsidR="00C666C2">
        <w:rPr>
          <w:rFonts w:ascii="Times New Roman" w:hAnsi="Times New Roman" w:cs="Times New Roman"/>
          <w:sz w:val="24"/>
          <w:szCs w:val="24"/>
        </w:rPr>
        <w:t xml:space="preserve">, and needs to tap external funding are as set out in Figure 1. </w:t>
      </w:r>
      <w:r>
        <w:rPr>
          <w:rFonts w:ascii="Times New Roman" w:hAnsi="Times New Roman" w:cs="Times New Roman"/>
          <w:sz w:val="24"/>
          <w:szCs w:val="24"/>
        </w:rPr>
        <w:br w:type="page"/>
      </w:r>
    </w:p>
    <w:tbl>
      <w:tblPr>
        <w:tblStyle w:val="TableGrid"/>
        <w:tblW w:w="10980" w:type="dxa"/>
        <w:jc w:val="center"/>
        <w:tblLayout w:type="fixed"/>
        <w:tblLook w:val="04A0" w:firstRow="1" w:lastRow="0" w:firstColumn="1" w:lastColumn="0" w:noHBand="0" w:noVBand="1"/>
      </w:tblPr>
      <w:tblGrid>
        <w:gridCol w:w="6390"/>
        <w:gridCol w:w="2292"/>
        <w:gridCol w:w="2292"/>
        <w:gridCol w:w="6"/>
      </w:tblGrid>
      <w:tr w:rsidR="0063421B" w:rsidRPr="002E1EC0" w14:paraId="1152BF4D" w14:textId="77777777" w:rsidTr="00305090">
        <w:trPr>
          <w:jc w:val="center"/>
        </w:trPr>
        <w:tc>
          <w:tcPr>
            <w:tcW w:w="10980" w:type="dxa"/>
            <w:gridSpan w:val="4"/>
            <w:tcBorders>
              <w:top w:val="nil"/>
              <w:left w:val="nil"/>
              <w:bottom w:val="single" w:sz="8" w:space="0" w:color="auto"/>
              <w:right w:val="nil"/>
            </w:tcBorders>
            <w:vAlign w:val="center"/>
          </w:tcPr>
          <w:p w14:paraId="25AB404E" w14:textId="77777777" w:rsidR="00872780" w:rsidRPr="00872780" w:rsidRDefault="0063421B" w:rsidP="00305090">
            <w:pPr>
              <w:tabs>
                <w:tab w:val="left" w:pos="426"/>
              </w:tabs>
              <w:spacing w:after="60"/>
              <w:jc w:val="center"/>
              <w:rPr>
                <w:rFonts w:asciiTheme="majorBidi" w:hAnsiTheme="majorBidi" w:cstheme="majorBidi"/>
                <w:b/>
                <w:bCs/>
                <w:color w:val="000000"/>
              </w:rPr>
            </w:pPr>
            <w:r w:rsidRPr="00872780">
              <w:rPr>
                <w:rFonts w:asciiTheme="majorBidi" w:hAnsiTheme="majorBidi" w:cstheme="majorBidi"/>
                <w:b/>
                <w:bCs/>
                <w:color w:val="000000"/>
              </w:rPr>
              <w:lastRenderedPageBreak/>
              <w:t>Table 5</w:t>
            </w:r>
            <w:r w:rsidR="00872780" w:rsidRPr="00872780">
              <w:rPr>
                <w:rFonts w:asciiTheme="majorBidi" w:hAnsiTheme="majorBidi" w:cstheme="majorBidi"/>
                <w:b/>
                <w:bCs/>
                <w:color w:val="000000"/>
              </w:rPr>
              <w:t xml:space="preserve">: </w:t>
            </w:r>
            <w:r w:rsidRPr="00872780">
              <w:rPr>
                <w:rFonts w:asciiTheme="majorBidi" w:hAnsiTheme="majorBidi" w:cstheme="majorBidi"/>
                <w:b/>
                <w:bCs/>
                <w:color w:val="000000"/>
              </w:rPr>
              <w:t xml:space="preserve">Multivariate Regressions of Return and Value Measures on the Firm-level Governance </w:t>
            </w:r>
            <w:r w:rsidR="00872780" w:rsidRPr="00872780">
              <w:rPr>
                <w:rFonts w:asciiTheme="majorBidi" w:hAnsiTheme="majorBidi" w:cstheme="majorBidi"/>
                <w:b/>
                <w:bCs/>
                <w:color w:val="000000"/>
              </w:rPr>
              <w:t>I</w:t>
            </w:r>
            <w:r w:rsidRPr="00872780">
              <w:rPr>
                <w:rFonts w:asciiTheme="majorBidi" w:hAnsiTheme="majorBidi" w:cstheme="majorBidi"/>
                <w:b/>
                <w:bCs/>
                <w:color w:val="000000"/>
              </w:rPr>
              <w:t xml:space="preserve">ndex, </w:t>
            </w:r>
          </w:p>
          <w:p w14:paraId="462E356B" w14:textId="01B20DAC" w:rsidR="0063421B" w:rsidRPr="00872780" w:rsidRDefault="0063421B" w:rsidP="00872780">
            <w:pPr>
              <w:tabs>
                <w:tab w:val="left" w:pos="426"/>
              </w:tabs>
              <w:jc w:val="center"/>
              <w:rPr>
                <w:rFonts w:asciiTheme="majorBidi" w:hAnsiTheme="majorBidi" w:cstheme="majorBidi"/>
                <w:b/>
                <w:bCs/>
                <w:color w:val="000000"/>
              </w:rPr>
            </w:pPr>
            <w:r w:rsidRPr="00872780">
              <w:rPr>
                <w:rFonts w:asciiTheme="majorBidi" w:hAnsiTheme="majorBidi" w:cstheme="majorBidi"/>
                <w:b/>
                <w:bCs/>
                <w:color w:val="000000"/>
              </w:rPr>
              <w:t>Country-level Dummies, the Financial Development index and t</w:t>
            </w:r>
            <w:r w:rsidR="00C32AD0">
              <w:rPr>
                <w:rFonts w:asciiTheme="majorBidi" w:hAnsiTheme="majorBidi" w:cstheme="majorBidi"/>
                <w:b/>
                <w:bCs/>
                <w:color w:val="000000"/>
              </w:rPr>
              <w:t>he External Capital Dependency M</w:t>
            </w:r>
            <w:r w:rsidRPr="00872780">
              <w:rPr>
                <w:rFonts w:asciiTheme="majorBidi" w:hAnsiTheme="majorBidi" w:cstheme="majorBidi"/>
                <w:b/>
                <w:bCs/>
                <w:color w:val="000000"/>
              </w:rPr>
              <w:t>easure</w:t>
            </w:r>
          </w:p>
          <w:p w14:paraId="5601769E" w14:textId="77777777" w:rsidR="00872780" w:rsidRPr="00872780" w:rsidRDefault="00872780" w:rsidP="00305090">
            <w:pPr>
              <w:tabs>
                <w:tab w:val="left" w:pos="426"/>
              </w:tabs>
              <w:jc w:val="both"/>
              <w:rPr>
                <w:rFonts w:asciiTheme="majorBidi" w:hAnsiTheme="majorBidi" w:cstheme="majorBidi"/>
                <w:color w:val="000000"/>
              </w:rPr>
            </w:pPr>
          </w:p>
          <w:p w14:paraId="6AA01625" w14:textId="77777777" w:rsidR="00872780" w:rsidRDefault="0063421B" w:rsidP="00305090">
            <w:pPr>
              <w:tabs>
                <w:tab w:val="left" w:pos="426"/>
              </w:tabs>
              <w:jc w:val="both"/>
              <w:rPr>
                <w:rFonts w:asciiTheme="majorBidi" w:hAnsiTheme="majorBidi" w:cstheme="majorBidi"/>
                <w:color w:val="000000"/>
              </w:rPr>
            </w:pPr>
            <w:r w:rsidRPr="00872780">
              <w:rPr>
                <w:rFonts w:asciiTheme="majorBidi" w:hAnsiTheme="majorBidi" w:cstheme="majorBidi"/>
                <w:color w:val="000000"/>
              </w:rPr>
              <w:t>The table presents the results of two ordinary least squares regressions using industry and year dummies with two measures of return and value: Return on Equity (ROE) and Tobin’s Q, as the dependent variables. The dummy variables (D</w:t>
            </w:r>
            <w:r w:rsidRPr="00872780">
              <w:rPr>
                <w:rFonts w:asciiTheme="majorBidi" w:hAnsiTheme="majorBidi" w:cstheme="majorBidi"/>
                <w:color w:val="000000"/>
                <w:vertAlign w:val="subscript"/>
              </w:rPr>
              <w:t>COGI</w:t>
            </w:r>
            <w:r w:rsidRPr="00872780">
              <w:rPr>
                <w:rFonts w:asciiTheme="majorBidi" w:hAnsiTheme="majorBidi" w:cstheme="majorBidi"/>
                <w:color w:val="000000"/>
              </w:rPr>
              <w:t>, D</w:t>
            </w:r>
            <w:r w:rsidRPr="00872780">
              <w:rPr>
                <w:rFonts w:asciiTheme="majorBidi" w:hAnsiTheme="majorBidi" w:cstheme="majorBidi"/>
                <w:color w:val="000000"/>
                <w:vertAlign w:val="subscript"/>
              </w:rPr>
              <w:t xml:space="preserve">FIND, </w:t>
            </w:r>
            <w:r w:rsidRPr="00872780">
              <w:rPr>
                <w:rFonts w:asciiTheme="majorBidi" w:hAnsiTheme="majorBidi" w:cstheme="majorBidi"/>
                <w:color w:val="000000"/>
              </w:rPr>
              <w:t>and D</w:t>
            </w:r>
            <w:r w:rsidRPr="00872780">
              <w:rPr>
                <w:rFonts w:asciiTheme="majorBidi" w:hAnsiTheme="majorBidi" w:cstheme="majorBidi"/>
                <w:color w:val="000000"/>
                <w:vertAlign w:val="subscript"/>
              </w:rPr>
              <w:t>EXCD</w:t>
            </w:r>
            <w:r w:rsidRPr="00872780">
              <w:rPr>
                <w:rFonts w:asciiTheme="majorBidi" w:hAnsiTheme="majorBidi" w:cstheme="majorBidi"/>
                <w:color w:val="000000"/>
              </w:rPr>
              <w:t xml:space="preserve">) take the value 1 if the score of the country/firm on the index is above the median value for all countries/firms in the sample or 0 otherwise. COGI is a country-level governance index (explained in the text). GOVI is a firm-level additive index of governance constructed using a collection of individual measures of governance (see text for details). All other variables are explained in the text. </w:t>
            </w:r>
          </w:p>
          <w:p w14:paraId="02623CE7" w14:textId="77777777" w:rsidR="00872780" w:rsidRPr="00872780" w:rsidRDefault="00872780" w:rsidP="00305090">
            <w:pPr>
              <w:tabs>
                <w:tab w:val="left" w:pos="426"/>
              </w:tabs>
              <w:jc w:val="both"/>
              <w:rPr>
                <w:rFonts w:asciiTheme="majorBidi" w:hAnsiTheme="majorBidi" w:cstheme="majorBidi"/>
                <w:color w:val="000000"/>
                <w:sz w:val="10"/>
                <w:szCs w:val="10"/>
              </w:rPr>
            </w:pPr>
          </w:p>
          <w:p w14:paraId="7DF93459" w14:textId="1A7E8287" w:rsidR="00872780" w:rsidRDefault="0063421B" w:rsidP="00305090">
            <w:pPr>
              <w:tabs>
                <w:tab w:val="left" w:pos="426"/>
              </w:tabs>
              <w:jc w:val="both"/>
              <w:rPr>
                <w:rFonts w:asciiTheme="majorBidi" w:hAnsiTheme="majorBidi" w:cstheme="majorBidi"/>
                <w:color w:val="000000"/>
              </w:rPr>
            </w:pPr>
            <w:r w:rsidRPr="00872780">
              <w:rPr>
                <w:rFonts w:asciiTheme="majorBidi" w:hAnsiTheme="majorBidi" w:cstheme="majorBidi"/>
                <w:color w:val="000000"/>
              </w:rPr>
              <w:t xml:space="preserve">The t-Statistics reported in the parentheses are based on country clustered standard errors. The reported Wald test results in Panel B test the null hypothesis that the coefficients are simultaneously equal to zero. </w:t>
            </w:r>
          </w:p>
          <w:p w14:paraId="093191CD" w14:textId="77777777" w:rsidR="00872780" w:rsidRPr="00872780" w:rsidRDefault="00872780" w:rsidP="00305090">
            <w:pPr>
              <w:tabs>
                <w:tab w:val="left" w:pos="426"/>
              </w:tabs>
              <w:jc w:val="both"/>
              <w:rPr>
                <w:rFonts w:asciiTheme="majorBidi" w:hAnsiTheme="majorBidi" w:cstheme="majorBidi"/>
                <w:color w:val="000000"/>
                <w:sz w:val="10"/>
                <w:szCs w:val="10"/>
              </w:rPr>
            </w:pPr>
          </w:p>
          <w:p w14:paraId="75C41446" w14:textId="5C5A245B" w:rsidR="0063421B" w:rsidRPr="00872780" w:rsidRDefault="0063421B" w:rsidP="00305090">
            <w:pPr>
              <w:tabs>
                <w:tab w:val="left" w:pos="426"/>
              </w:tabs>
              <w:jc w:val="both"/>
              <w:rPr>
                <w:rFonts w:asciiTheme="majorBidi" w:hAnsiTheme="majorBidi" w:cstheme="majorBidi"/>
                <w:color w:val="000000"/>
              </w:rPr>
            </w:pPr>
            <w:r w:rsidRPr="00872780">
              <w:rPr>
                <w:rFonts w:asciiTheme="majorBidi" w:hAnsiTheme="majorBidi" w:cstheme="majorBidi"/>
                <w:color w:val="000000"/>
              </w:rPr>
              <w:t>*Significant at the 10% level. **Significant at the 5% level. ***Significant at the 1% level. The Mean Variance Inflation Factor (VIF) is a measure of the severity of multicollinearity in a regression.</w:t>
            </w:r>
          </w:p>
          <w:p w14:paraId="7E4AA96D" w14:textId="77777777" w:rsidR="0063421B" w:rsidRPr="00872780" w:rsidRDefault="0063421B" w:rsidP="00305090">
            <w:pPr>
              <w:tabs>
                <w:tab w:val="left" w:pos="426"/>
              </w:tabs>
              <w:jc w:val="center"/>
              <w:rPr>
                <w:rFonts w:asciiTheme="majorBidi" w:hAnsiTheme="majorBidi" w:cstheme="majorBidi"/>
                <w:b/>
                <w:bCs/>
                <w:color w:val="000000"/>
              </w:rPr>
            </w:pPr>
          </w:p>
        </w:tc>
      </w:tr>
      <w:tr w:rsidR="0063421B" w14:paraId="3C294224" w14:textId="77777777" w:rsidTr="00305090">
        <w:trPr>
          <w:gridAfter w:val="1"/>
          <w:wAfter w:w="6" w:type="dxa"/>
          <w:trHeight w:val="295"/>
          <w:jc w:val="center"/>
        </w:trPr>
        <w:tc>
          <w:tcPr>
            <w:tcW w:w="10974" w:type="dxa"/>
            <w:gridSpan w:val="3"/>
            <w:tcBorders>
              <w:top w:val="single" w:sz="4" w:space="0" w:color="FFFFFF" w:themeColor="background1"/>
              <w:left w:val="nil"/>
              <w:bottom w:val="single" w:sz="12" w:space="0" w:color="auto"/>
              <w:right w:val="nil"/>
            </w:tcBorders>
            <w:vAlign w:val="center"/>
          </w:tcPr>
          <w:p w14:paraId="2E819476" w14:textId="77777777" w:rsidR="0063421B" w:rsidRDefault="0063421B" w:rsidP="00305090">
            <w:pPr>
              <w:tabs>
                <w:tab w:val="left" w:pos="426"/>
              </w:tabs>
              <w:jc w:val="center"/>
              <w:rPr>
                <w:rFonts w:asciiTheme="majorBidi" w:hAnsiTheme="majorBidi" w:cstheme="majorBidi"/>
                <w:b/>
                <w:bCs/>
                <w:color w:val="000000"/>
              </w:rPr>
            </w:pPr>
            <w:r>
              <w:rPr>
                <w:rFonts w:asciiTheme="majorBidi" w:hAnsiTheme="majorBidi" w:cstheme="majorBidi"/>
                <w:b/>
                <w:bCs/>
                <w:color w:val="000000"/>
              </w:rPr>
              <w:t>Panel A: Regression Results</w:t>
            </w:r>
          </w:p>
        </w:tc>
      </w:tr>
      <w:tr w:rsidR="0063421B" w14:paraId="1E722271" w14:textId="77777777" w:rsidTr="00305090">
        <w:trPr>
          <w:gridAfter w:val="1"/>
          <w:wAfter w:w="6" w:type="dxa"/>
          <w:trHeight w:val="295"/>
          <w:jc w:val="center"/>
        </w:trPr>
        <w:tc>
          <w:tcPr>
            <w:tcW w:w="6390" w:type="dxa"/>
            <w:tcBorders>
              <w:top w:val="single" w:sz="4" w:space="0" w:color="FFFFFF" w:themeColor="background1"/>
              <w:left w:val="nil"/>
              <w:bottom w:val="single" w:sz="12" w:space="0" w:color="auto"/>
              <w:right w:val="nil"/>
            </w:tcBorders>
            <w:vAlign w:val="center"/>
          </w:tcPr>
          <w:p w14:paraId="15DB3FAA" w14:textId="77777777" w:rsidR="0063421B" w:rsidRPr="002E1EC0" w:rsidRDefault="0063421B" w:rsidP="00305090">
            <w:pPr>
              <w:tabs>
                <w:tab w:val="left" w:pos="426"/>
              </w:tabs>
              <w:rPr>
                <w:rFonts w:asciiTheme="majorBidi" w:hAnsiTheme="majorBidi" w:cstheme="majorBidi"/>
                <w:b/>
                <w:bCs/>
                <w:color w:val="000000"/>
              </w:rPr>
            </w:pPr>
          </w:p>
        </w:tc>
        <w:tc>
          <w:tcPr>
            <w:tcW w:w="2292" w:type="dxa"/>
            <w:tcBorders>
              <w:top w:val="single" w:sz="4" w:space="0" w:color="auto"/>
              <w:left w:val="nil"/>
              <w:bottom w:val="single" w:sz="12" w:space="0" w:color="auto"/>
              <w:right w:val="nil"/>
            </w:tcBorders>
            <w:vAlign w:val="center"/>
          </w:tcPr>
          <w:p w14:paraId="17261568" w14:textId="77777777" w:rsidR="0063421B" w:rsidRPr="002E1EC0" w:rsidRDefault="0063421B" w:rsidP="00305090">
            <w:pPr>
              <w:tabs>
                <w:tab w:val="left" w:pos="426"/>
              </w:tabs>
              <w:jc w:val="center"/>
              <w:rPr>
                <w:rFonts w:asciiTheme="majorBidi" w:hAnsiTheme="majorBidi" w:cstheme="majorBidi"/>
                <w:b/>
                <w:bCs/>
                <w:color w:val="000000"/>
              </w:rPr>
            </w:pPr>
            <w:r>
              <w:rPr>
                <w:rFonts w:asciiTheme="majorBidi" w:hAnsiTheme="majorBidi" w:cstheme="majorBidi"/>
                <w:b/>
                <w:bCs/>
                <w:color w:val="000000"/>
              </w:rPr>
              <w:t>ROE</w:t>
            </w:r>
          </w:p>
        </w:tc>
        <w:tc>
          <w:tcPr>
            <w:tcW w:w="2292" w:type="dxa"/>
            <w:tcBorders>
              <w:top w:val="single" w:sz="4" w:space="0" w:color="auto"/>
              <w:left w:val="nil"/>
              <w:bottom w:val="single" w:sz="12" w:space="0" w:color="auto"/>
              <w:right w:val="nil"/>
            </w:tcBorders>
            <w:vAlign w:val="center"/>
          </w:tcPr>
          <w:p w14:paraId="2B0FF68C" w14:textId="77777777" w:rsidR="0063421B" w:rsidRPr="002E1EC0" w:rsidRDefault="0063421B" w:rsidP="00305090">
            <w:pPr>
              <w:tabs>
                <w:tab w:val="left" w:pos="426"/>
              </w:tabs>
              <w:jc w:val="center"/>
              <w:rPr>
                <w:rFonts w:asciiTheme="majorBidi" w:hAnsiTheme="majorBidi" w:cstheme="majorBidi"/>
                <w:b/>
                <w:bCs/>
                <w:color w:val="000000"/>
              </w:rPr>
            </w:pPr>
            <w:r>
              <w:rPr>
                <w:rFonts w:asciiTheme="majorBidi" w:hAnsiTheme="majorBidi" w:cstheme="majorBidi"/>
                <w:b/>
                <w:bCs/>
                <w:color w:val="000000"/>
              </w:rPr>
              <w:t>Tobin’s Q</w:t>
            </w:r>
          </w:p>
        </w:tc>
      </w:tr>
      <w:tr w:rsidR="0063421B" w14:paraId="477F28C3" w14:textId="77777777" w:rsidTr="00305090">
        <w:trPr>
          <w:gridAfter w:val="1"/>
          <w:wAfter w:w="6" w:type="dxa"/>
          <w:trHeight w:val="432"/>
          <w:jc w:val="center"/>
        </w:trPr>
        <w:tc>
          <w:tcPr>
            <w:tcW w:w="6390" w:type="dxa"/>
            <w:tcBorders>
              <w:top w:val="single" w:sz="12" w:space="0" w:color="auto"/>
              <w:left w:val="nil"/>
              <w:bottom w:val="nil"/>
              <w:right w:val="nil"/>
            </w:tcBorders>
            <w:vAlign w:val="center"/>
          </w:tcPr>
          <w:p w14:paraId="1BA00AC4" w14:textId="77777777" w:rsidR="0063421B" w:rsidRPr="002E1EC0" w:rsidRDefault="0063421B" w:rsidP="00305090">
            <w:pPr>
              <w:tabs>
                <w:tab w:val="left" w:pos="426"/>
              </w:tabs>
              <w:rPr>
                <w:rFonts w:asciiTheme="majorBidi" w:hAnsiTheme="majorBidi" w:cstheme="majorBidi"/>
              </w:rPr>
            </w:pPr>
            <w:r>
              <w:rPr>
                <w:rFonts w:asciiTheme="majorBidi" w:hAnsiTheme="majorBidi" w:cstheme="majorBidi"/>
              </w:rPr>
              <w:t>Intercept</w:t>
            </w:r>
          </w:p>
        </w:tc>
        <w:tc>
          <w:tcPr>
            <w:tcW w:w="2292" w:type="dxa"/>
            <w:tcBorders>
              <w:top w:val="nil"/>
              <w:left w:val="nil"/>
              <w:bottom w:val="nil"/>
              <w:right w:val="nil"/>
            </w:tcBorders>
            <w:shd w:val="clear" w:color="auto" w:fill="auto"/>
            <w:vAlign w:val="bottom"/>
          </w:tcPr>
          <w:p w14:paraId="65C9C024"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0.460</w:t>
            </w:r>
            <w:r w:rsidRPr="00391BF1">
              <w:rPr>
                <w:rFonts w:asciiTheme="majorBidi" w:hAnsiTheme="majorBidi" w:cstheme="majorBidi"/>
              </w:rPr>
              <w:br/>
              <w:t>(1.290)</w:t>
            </w:r>
          </w:p>
        </w:tc>
        <w:tc>
          <w:tcPr>
            <w:tcW w:w="2292" w:type="dxa"/>
            <w:tcBorders>
              <w:top w:val="nil"/>
              <w:left w:val="nil"/>
              <w:bottom w:val="nil"/>
              <w:right w:val="nil"/>
            </w:tcBorders>
            <w:shd w:val="clear" w:color="auto" w:fill="auto"/>
            <w:vAlign w:val="bottom"/>
          </w:tcPr>
          <w:p w14:paraId="07DD151A"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0.104*</w:t>
            </w:r>
            <w:r w:rsidRPr="00FB7BB4">
              <w:rPr>
                <w:rFonts w:asciiTheme="majorBidi" w:hAnsiTheme="majorBidi" w:cstheme="majorBidi"/>
              </w:rPr>
              <w:br/>
              <w:t>(1.690)</w:t>
            </w:r>
          </w:p>
        </w:tc>
      </w:tr>
      <w:tr w:rsidR="0063421B" w14:paraId="151FE4DF" w14:textId="77777777" w:rsidTr="00305090">
        <w:trPr>
          <w:gridAfter w:val="1"/>
          <w:wAfter w:w="6" w:type="dxa"/>
          <w:trHeight w:val="432"/>
          <w:jc w:val="center"/>
        </w:trPr>
        <w:tc>
          <w:tcPr>
            <w:tcW w:w="6390" w:type="dxa"/>
            <w:tcBorders>
              <w:top w:val="nil"/>
              <w:left w:val="nil"/>
              <w:bottom w:val="nil"/>
              <w:right w:val="nil"/>
            </w:tcBorders>
            <w:vAlign w:val="center"/>
          </w:tcPr>
          <w:p w14:paraId="744BA205" w14:textId="77777777" w:rsidR="0063421B" w:rsidRDefault="0063421B" w:rsidP="00305090">
            <w:pPr>
              <w:tabs>
                <w:tab w:val="left" w:pos="426"/>
              </w:tabs>
              <w:rPr>
                <w:rFonts w:asciiTheme="majorBidi" w:hAnsiTheme="majorBidi" w:cstheme="majorBidi"/>
              </w:rPr>
            </w:pPr>
            <w:r>
              <w:rPr>
                <w:rFonts w:asciiTheme="majorBidi" w:hAnsiTheme="majorBidi" w:cstheme="majorBidi"/>
              </w:rPr>
              <w:t>GOVI</w:t>
            </w:r>
          </w:p>
        </w:tc>
        <w:tc>
          <w:tcPr>
            <w:tcW w:w="2292" w:type="dxa"/>
            <w:tcBorders>
              <w:top w:val="nil"/>
              <w:left w:val="nil"/>
              <w:bottom w:val="nil"/>
              <w:right w:val="nil"/>
            </w:tcBorders>
            <w:shd w:val="clear" w:color="auto" w:fill="auto"/>
            <w:vAlign w:val="bottom"/>
          </w:tcPr>
          <w:p w14:paraId="14938A36"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0.544**</w:t>
            </w:r>
            <w:r w:rsidRPr="00391BF1">
              <w:rPr>
                <w:rFonts w:asciiTheme="majorBidi" w:hAnsiTheme="majorBidi" w:cstheme="majorBidi"/>
              </w:rPr>
              <w:br/>
              <w:t>(2.220)</w:t>
            </w:r>
          </w:p>
        </w:tc>
        <w:tc>
          <w:tcPr>
            <w:tcW w:w="2292" w:type="dxa"/>
            <w:tcBorders>
              <w:top w:val="nil"/>
              <w:left w:val="nil"/>
              <w:bottom w:val="nil"/>
              <w:right w:val="nil"/>
            </w:tcBorders>
            <w:shd w:val="clear" w:color="auto" w:fill="auto"/>
            <w:vAlign w:val="bottom"/>
          </w:tcPr>
          <w:p w14:paraId="7B29FEC6"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0.117***</w:t>
            </w:r>
            <w:r w:rsidRPr="00FB7BB4">
              <w:rPr>
                <w:rFonts w:asciiTheme="majorBidi" w:hAnsiTheme="majorBidi" w:cstheme="majorBidi"/>
              </w:rPr>
              <w:br/>
              <w:t>(2.980)</w:t>
            </w:r>
          </w:p>
        </w:tc>
      </w:tr>
      <w:tr w:rsidR="0063421B" w14:paraId="3078628D" w14:textId="77777777" w:rsidTr="00305090">
        <w:trPr>
          <w:gridAfter w:val="1"/>
          <w:wAfter w:w="6" w:type="dxa"/>
          <w:trHeight w:val="432"/>
          <w:jc w:val="center"/>
        </w:trPr>
        <w:tc>
          <w:tcPr>
            <w:tcW w:w="6390" w:type="dxa"/>
            <w:tcBorders>
              <w:top w:val="nil"/>
              <w:left w:val="nil"/>
              <w:bottom w:val="nil"/>
              <w:right w:val="nil"/>
            </w:tcBorders>
            <w:vAlign w:val="center"/>
          </w:tcPr>
          <w:p w14:paraId="039C0B11" w14:textId="77777777" w:rsidR="0063421B" w:rsidRPr="008648E1" w:rsidRDefault="0063421B" w:rsidP="00305090">
            <w:pPr>
              <w:tabs>
                <w:tab w:val="left" w:pos="426"/>
              </w:tabs>
              <w:rPr>
                <w:rFonts w:asciiTheme="majorBidi" w:hAnsiTheme="majorBidi" w:cstheme="majorBidi"/>
              </w:rPr>
            </w:pPr>
            <w:r>
              <w:rPr>
                <w:rFonts w:asciiTheme="majorBidi" w:hAnsiTheme="majorBidi" w:cstheme="majorBidi"/>
              </w:rPr>
              <w:t>GOVI*D</w:t>
            </w:r>
            <w:r>
              <w:rPr>
                <w:rFonts w:asciiTheme="majorBidi" w:hAnsiTheme="majorBidi" w:cstheme="majorBidi"/>
                <w:vertAlign w:val="subscript"/>
              </w:rPr>
              <w:t>COGI</w:t>
            </w:r>
          </w:p>
        </w:tc>
        <w:tc>
          <w:tcPr>
            <w:tcW w:w="2292" w:type="dxa"/>
            <w:tcBorders>
              <w:top w:val="nil"/>
              <w:left w:val="nil"/>
              <w:bottom w:val="nil"/>
              <w:right w:val="nil"/>
            </w:tcBorders>
            <w:shd w:val="clear" w:color="auto" w:fill="auto"/>
            <w:vAlign w:val="bottom"/>
          </w:tcPr>
          <w:p w14:paraId="14614CAB"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0.168*</w:t>
            </w:r>
            <w:r w:rsidRPr="00391BF1">
              <w:rPr>
                <w:rFonts w:asciiTheme="majorBidi" w:hAnsiTheme="majorBidi" w:cstheme="majorBidi"/>
              </w:rPr>
              <w:br/>
              <w:t>(1.720)</w:t>
            </w:r>
          </w:p>
        </w:tc>
        <w:tc>
          <w:tcPr>
            <w:tcW w:w="2292" w:type="dxa"/>
            <w:tcBorders>
              <w:top w:val="nil"/>
              <w:left w:val="nil"/>
              <w:bottom w:val="nil"/>
              <w:right w:val="nil"/>
            </w:tcBorders>
            <w:shd w:val="clear" w:color="auto" w:fill="auto"/>
            <w:vAlign w:val="bottom"/>
          </w:tcPr>
          <w:p w14:paraId="73C6E627"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0.031*</w:t>
            </w:r>
            <w:r w:rsidRPr="00FB7BB4">
              <w:rPr>
                <w:rFonts w:asciiTheme="majorBidi" w:hAnsiTheme="majorBidi" w:cstheme="majorBidi"/>
              </w:rPr>
              <w:br/>
              <w:t>(1.810)</w:t>
            </w:r>
          </w:p>
        </w:tc>
      </w:tr>
      <w:tr w:rsidR="0063421B" w14:paraId="35253370" w14:textId="77777777" w:rsidTr="00305090">
        <w:trPr>
          <w:gridAfter w:val="1"/>
          <w:wAfter w:w="6" w:type="dxa"/>
          <w:trHeight w:val="432"/>
          <w:jc w:val="center"/>
        </w:trPr>
        <w:tc>
          <w:tcPr>
            <w:tcW w:w="6390" w:type="dxa"/>
            <w:tcBorders>
              <w:top w:val="nil"/>
              <w:left w:val="nil"/>
              <w:bottom w:val="nil"/>
              <w:right w:val="nil"/>
            </w:tcBorders>
            <w:vAlign w:val="center"/>
          </w:tcPr>
          <w:p w14:paraId="156982C8" w14:textId="77777777" w:rsidR="0063421B" w:rsidRPr="008648E1" w:rsidRDefault="0063421B" w:rsidP="00305090">
            <w:pPr>
              <w:tabs>
                <w:tab w:val="left" w:pos="426"/>
              </w:tabs>
              <w:rPr>
                <w:rFonts w:asciiTheme="majorBidi" w:hAnsiTheme="majorBidi" w:cstheme="majorBidi"/>
              </w:rPr>
            </w:pPr>
            <w:r>
              <w:rPr>
                <w:rFonts w:asciiTheme="majorBidi" w:hAnsiTheme="majorBidi" w:cstheme="majorBidi"/>
              </w:rPr>
              <w:t>GOVI*D</w:t>
            </w:r>
            <w:r>
              <w:rPr>
                <w:rFonts w:asciiTheme="majorBidi" w:hAnsiTheme="majorBidi" w:cstheme="majorBidi"/>
                <w:vertAlign w:val="subscript"/>
              </w:rPr>
              <w:t>FIND</w:t>
            </w:r>
          </w:p>
        </w:tc>
        <w:tc>
          <w:tcPr>
            <w:tcW w:w="2292" w:type="dxa"/>
            <w:tcBorders>
              <w:top w:val="nil"/>
              <w:left w:val="nil"/>
              <w:bottom w:val="nil"/>
              <w:right w:val="nil"/>
            </w:tcBorders>
            <w:shd w:val="clear" w:color="auto" w:fill="auto"/>
            <w:vAlign w:val="bottom"/>
          </w:tcPr>
          <w:p w14:paraId="0BCAF80B"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0.179*</w:t>
            </w:r>
            <w:r w:rsidRPr="00391BF1">
              <w:rPr>
                <w:rFonts w:asciiTheme="majorBidi" w:hAnsiTheme="majorBidi" w:cstheme="majorBidi"/>
              </w:rPr>
              <w:br/>
              <w:t>(1.830)</w:t>
            </w:r>
          </w:p>
        </w:tc>
        <w:tc>
          <w:tcPr>
            <w:tcW w:w="2292" w:type="dxa"/>
            <w:tcBorders>
              <w:top w:val="nil"/>
              <w:left w:val="nil"/>
              <w:bottom w:val="nil"/>
              <w:right w:val="nil"/>
            </w:tcBorders>
            <w:shd w:val="clear" w:color="auto" w:fill="auto"/>
            <w:vAlign w:val="bottom"/>
          </w:tcPr>
          <w:p w14:paraId="049A791E"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0.061**</w:t>
            </w:r>
            <w:r w:rsidRPr="00FB7BB4">
              <w:rPr>
                <w:rFonts w:asciiTheme="majorBidi" w:hAnsiTheme="majorBidi" w:cstheme="majorBidi"/>
              </w:rPr>
              <w:br/>
              <w:t>(2.170)</w:t>
            </w:r>
          </w:p>
        </w:tc>
      </w:tr>
      <w:tr w:rsidR="0063421B" w14:paraId="3DAE4639" w14:textId="77777777" w:rsidTr="00305090">
        <w:trPr>
          <w:gridAfter w:val="1"/>
          <w:wAfter w:w="6" w:type="dxa"/>
          <w:trHeight w:val="432"/>
          <w:jc w:val="center"/>
        </w:trPr>
        <w:tc>
          <w:tcPr>
            <w:tcW w:w="6390" w:type="dxa"/>
            <w:tcBorders>
              <w:top w:val="nil"/>
              <w:left w:val="nil"/>
              <w:bottom w:val="nil"/>
              <w:right w:val="nil"/>
            </w:tcBorders>
            <w:vAlign w:val="center"/>
          </w:tcPr>
          <w:p w14:paraId="6F332AB9" w14:textId="77777777" w:rsidR="0063421B" w:rsidRPr="008648E1" w:rsidRDefault="0063421B" w:rsidP="00305090">
            <w:pPr>
              <w:tabs>
                <w:tab w:val="left" w:pos="426"/>
              </w:tabs>
              <w:rPr>
                <w:rFonts w:asciiTheme="majorBidi" w:hAnsiTheme="majorBidi" w:cstheme="majorBidi"/>
              </w:rPr>
            </w:pPr>
            <w:r>
              <w:rPr>
                <w:rFonts w:asciiTheme="majorBidi" w:hAnsiTheme="majorBidi" w:cstheme="majorBidi"/>
              </w:rPr>
              <w:t>GOVI*D</w:t>
            </w:r>
            <w:r>
              <w:rPr>
                <w:rFonts w:asciiTheme="majorBidi" w:hAnsiTheme="majorBidi" w:cstheme="majorBidi"/>
                <w:vertAlign w:val="subscript"/>
              </w:rPr>
              <w:t>EXCD</w:t>
            </w:r>
          </w:p>
        </w:tc>
        <w:tc>
          <w:tcPr>
            <w:tcW w:w="2292" w:type="dxa"/>
            <w:tcBorders>
              <w:top w:val="nil"/>
              <w:left w:val="nil"/>
              <w:bottom w:val="nil"/>
              <w:right w:val="nil"/>
            </w:tcBorders>
            <w:shd w:val="clear" w:color="auto" w:fill="auto"/>
            <w:vAlign w:val="bottom"/>
          </w:tcPr>
          <w:p w14:paraId="18FAEFA6"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0.189**</w:t>
            </w:r>
            <w:r w:rsidRPr="00391BF1">
              <w:rPr>
                <w:rFonts w:asciiTheme="majorBidi" w:hAnsiTheme="majorBidi" w:cstheme="majorBidi"/>
              </w:rPr>
              <w:br/>
              <w:t>(2.250)</w:t>
            </w:r>
          </w:p>
        </w:tc>
        <w:tc>
          <w:tcPr>
            <w:tcW w:w="2292" w:type="dxa"/>
            <w:tcBorders>
              <w:top w:val="nil"/>
              <w:left w:val="nil"/>
              <w:bottom w:val="nil"/>
              <w:right w:val="nil"/>
            </w:tcBorders>
            <w:shd w:val="clear" w:color="auto" w:fill="auto"/>
            <w:vAlign w:val="bottom"/>
          </w:tcPr>
          <w:p w14:paraId="6DC87145"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0.014</w:t>
            </w:r>
            <w:r w:rsidRPr="00FB7BB4">
              <w:rPr>
                <w:rFonts w:asciiTheme="majorBidi" w:hAnsiTheme="majorBidi" w:cstheme="majorBidi"/>
              </w:rPr>
              <w:br/>
              <w:t>(1.140)</w:t>
            </w:r>
          </w:p>
        </w:tc>
      </w:tr>
      <w:tr w:rsidR="0063421B" w14:paraId="6DD3338A" w14:textId="77777777" w:rsidTr="00305090">
        <w:trPr>
          <w:gridAfter w:val="1"/>
          <w:wAfter w:w="6" w:type="dxa"/>
          <w:trHeight w:val="432"/>
          <w:jc w:val="center"/>
        </w:trPr>
        <w:tc>
          <w:tcPr>
            <w:tcW w:w="6390" w:type="dxa"/>
            <w:tcBorders>
              <w:top w:val="nil"/>
              <w:left w:val="nil"/>
              <w:bottom w:val="nil"/>
              <w:right w:val="nil"/>
            </w:tcBorders>
            <w:vAlign w:val="center"/>
          </w:tcPr>
          <w:p w14:paraId="61C8D0BF"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SIZE</w:t>
            </w:r>
          </w:p>
        </w:tc>
        <w:tc>
          <w:tcPr>
            <w:tcW w:w="2292" w:type="dxa"/>
            <w:tcBorders>
              <w:top w:val="nil"/>
              <w:left w:val="nil"/>
              <w:bottom w:val="nil"/>
              <w:right w:val="nil"/>
            </w:tcBorders>
            <w:shd w:val="clear" w:color="auto" w:fill="auto"/>
            <w:vAlign w:val="bottom"/>
          </w:tcPr>
          <w:p w14:paraId="6FFD19A2" w14:textId="77777777" w:rsidR="0063421B" w:rsidRPr="00391BF1" w:rsidRDefault="0063421B" w:rsidP="00305090">
            <w:pPr>
              <w:tabs>
                <w:tab w:val="left" w:pos="426"/>
              </w:tabs>
              <w:jc w:val="center"/>
              <w:rPr>
                <w:rFonts w:asciiTheme="majorBidi" w:hAnsiTheme="majorBidi" w:cstheme="majorBidi"/>
              </w:rPr>
            </w:pPr>
            <w:r>
              <w:rPr>
                <w:rFonts w:asciiTheme="majorBidi" w:hAnsiTheme="majorBidi" w:cstheme="majorBidi"/>
              </w:rPr>
              <w:t>0.</w:t>
            </w:r>
            <w:r w:rsidRPr="00391BF1">
              <w:rPr>
                <w:rFonts w:asciiTheme="majorBidi" w:hAnsiTheme="majorBidi" w:cstheme="majorBidi"/>
              </w:rPr>
              <w:t>1110</w:t>
            </w:r>
            <w:r w:rsidRPr="00391BF1">
              <w:rPr>
                <w:rFonts w:asciiTheme="majorBidi" w:hAnsiTheme="majorBidi" w:cstheme="majorBidi"/>
              </w:rPr>
              <w:br/>
              <w:t>(0.820)</w:t>
            </w:r>
          </w:p>
        </w:tc>
        <w:tc>
          <w:tcPr>
            <w:tcW w:w="2292" w:type="dxa"/>
            <w:tcBorders>
              <w:top w:val="nil"/>
              <w:left w:val="nil"/>
              <w:bottom w:val="nil"/>
              <w:right w:val="nil"/>
            </w:tcBorders>
            <w:shd w:val="clear" w:color="auto" w:fill="auto"/>
            <w:vAlign w:val="bottom"/>
          </w:tcPr>
          <w:p w14:paraId="5BCD4B6B"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-0.442***</w:t>
            </w:r>
            <w:r w:rsidRPr="00FB7BB4">
              <w:rPr>
                <w:rFonts w:asciiTheme="majorBidi" w:hAnsiTheme="majorBidi" w:cstheme="majorBidi"/>
              </w:rPr>
              <w:br/>
              <w:t>(-3.860)</w:t>
            </w:r>
          </w:p>
        </w:tc>
      </w:tr>
      <w:tr w:rsidR="0063421B" w14:paraId="078B481C" w14:textId="77777777" w:rsidTr="00305090">
        <w:trPr>
          <w:gridAfter w:val="1"/>
          <w:wAfter w:w="6" w:type="dxa"/>
          <w:trHeight w:val="432"/>
          <w:jc w:val="center"/>
        </w:trPr>
        <w:tc>
          <w:tcPr>
            <w:tcW w:w="6390" w:type="dxa"/>
            <w:tcBorders>
              <w:top w:val="nil"/>
              <w:left w:val="nil"/>
              <w:bottom w:val="nil"/>
              <w:right w:val="nil"/>
            </w:tcBorders>
            <w:vAlign w:val="center"/>
          </w:tcPr>
          <w:p w14:paraId="5A6D3602" w14:textId="77777777" w:rsidR="0063421B" w:rsidRPr="002E1EC0" w:rsidRDefault="0063421B" w:rsidP="00305090">
            <w:pPr>
              <w:tabs>
                <w:tab w:val="left" w:pos="426"/>
              </w:tabs>
              <w:rPr>
                <w:rFonts w:asciiTheme="majorBidi" w:hAnsiTheme="majorBidi" w:cstheme="majorBidi"/>
              </w:rPr>
            </w:pPr>
            <w:r>
              <w:rPr>
                <w:rFonts w:asciiTheme="majorBidi" w:hAnsiTheme="majorBidi" w:cstheme="majorBidi"/>
              </w:rPr>
              <w:t>LEVG</w:t>
            </w:r>
          </w:p>
        </w:tc>
        <w:tc>
          <w:tcPr>
            <w:tcW w:w="2292" w:type="dxa"/>
            <w:tcBorders>
              <w:top w:val="nil"/>
              <w:left w:val="nil"/>
              <w:bottom w:val="nil"/>
              <w:right w:val="nil"/>
            </w:tcBorders>
            <w:shd w:val="clear" w:color="auto" w:fill="auto"/>
            <w:vAlign w:val="bottom"/>
          </w:tcPr>
          <w:p w14:paraId="2ABDD4C0"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0.696</w:t>
            </w:r>
            <w:r w:rsidRPr="00391BF1">
              <w:rPr>
                <w:rFonts w:asciiTheme="majorBidi" w:hAnsiTheme="majorBidi" w:cstheme="majorBidi"/>
              </w:rPr>
              <w:br/>
              <w:t>(1.510)</w:t>
            </w:r>
          </w:p>
        </w:tc>
        <w:tc>
          <w:tcPr>
            <w:tcW w:w="2292" w:type="dxa"/>
            <w:tcBorders>
              <w:top w:val="nil"/>
              <w:left w:val="nil"/>
              <w:bottom w:val="nil"/>
              <w:right w:val="nil"/>
            </w:tcBorders>
            <w:shd w:val="clear" w:color="auto" w:fill="auto"/>
            <w:vAlign w:val="bottom"/>
          </w:tcPr>
          <w:p w14:paraId="4F97A46A"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0.649</w:t>
            </w:r>
            <w:r w:rsidRPr="00FB7BB4">
              <w:rPr>
                <w:rFonts w:asciiTheme="majorBidi" w:hAnsiTheme="majorBidi" w:cstheme="majorBidi"/>
              </w:rPr>
              <w:br/>
              <w:t>(0.210)</w:t>
            </w:r>
          </w:p>
        </w:tc>
      </w:tr>
      <w:tr w:rsidR="0063421B" w14:paraId="0CE82BC6" w14:textId="77777777" w:rsidTr="00305090">
        <w:trPr>
          <w:gridAfter w:val="1"/>
          <w:wAfter w:w="6" w:type="dxa"/>
          <w:trHeight w:val="432"/>
          <w:jc w:val="center"/>
        </w:trPr>
        <w:tc>
          <w:tcPr>
            <w:tcW w:w="6390" w:type="dxa"/>
            <w:tcBorders>
              <w:top w:val="nil"/>
              <w:left w:val="nil"/>
              <w:bottom w:val="nil"/>
              <w:right w:val="nil"/>
            </w:tcBorders>
            <w:vAlign w:val="center"/>
          </w:tcPr>
          <w:p w14:paraId="055A063C" w14:textId="77777777" w:rsidR="0063421B" w:rsidRPr="002E1EC0" w:rsidRDefault="0063421B" w:rsidP="00305090">
            <w:pPr>
              <w:tabs>
                <w:tab w:val="left" w:pos="426"/>
              </w:tabs>
              <w:rPr>
                <w:rFonts w:asciiTheme="majorBidi" w:hAnsiTheme="majorBidi" w:cstheme="majorBidi"/>
              </w:rPr>
            </w:pPr>
            <w:r>
              <w:rPr>
                <w:rFonts w:asciiTheme="majorBidi" w:hAnsiTheme="majorBidi" w:cstheme="majorBidi"/>
              </w:rPr>
              <w:t>GROW</w:t>
            </w:r>
          </w:p>
        </w:tc>
        <w:tc>
          <w:tcPr>
            <w:tcW w:w="2292" w:type="dxa"/>
            <w:tcBorders>
              <w:top w:val="nil"/>
              <w:left w:val="nil"/>
              <w:bottom w:val="nil"/>
              <w:right w:val="nil"/>
            </w:tcBorders>
            <w:shd w:val="clear" w:color="auto" w:fill="auto"/>
            <w:vAlign w:val="bottom"/>
          </w:tcPr>
          <w:p w14:paraId="69ADD7C7"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0.000</w:t>
            </w:r>
            <w:r w:rsidRPr="00391BF1">
              <w:rPr>
                <w:rFonts w:asciiTheme="majorBidi" w:hAnsiTheme="majorBidi" w:cstheme="majorBidi"/>
              </w:rPr>
              <w:br/>
              <w:t>(1.650)</w:t>
            </w:r>
          </w:p>
        </w:tc>
        <w:tc>
          <w:tcPr>
            <w:tcW w:w="2292" w:type="dxa"/>
            <w:tcBorders>
              <w:top w:val="nil"/>
              <w:left w:val="nil"/>
              <w:bottom w:val="nil"/>
              <w:right w:val="nil"/>
            </w:tcBorders>
            <w:shd w:val="clear" w:color="auto" w:fill="auto"/>
            <w:vAlign w:val="bottom"/>
          </w:tcPr>
          <w:p w14:paraId="4D3BDF09"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0.000</w:t>
            </w:r>
            <w:r w:rsidRPr="00FB7BB4">
              <w:rPr>
                <w:rFonts w:asciiTheme="majorBidi" w:hAnsiTheme="majorBidi" w:cstheme="majorBidi"/>
              </w:rPr>
              <w:br/>
              <w:t>(0.610)</w:t>
            </w:r>
          </w:p>
        </w:tc>
      </w:tr>
      <w:tr w:rsidR="0063421B" w14:paraId="7679A6A2" w14:textId="77777777" w:rsidTr="00305090">
        <w:trPr>
          <w:gridAfter w:val="1"/>
          <w:wAfter w:w="6" w:type="dxa"/>
          <w:trHeight w:val="432"/>
          <w:jc w:val="center"/>
        </w:trPr>
        <w:tc>
          <w:tcPr>
            <w:tcW w:w="6390" w:type="dxa"/>
            <w:tcBorders>
              <w:top w:val="nil"/>
              <w:left w:val="nil"/>
              <w:bottom w:val="nil"/>
              <w:right w:val="nil"/>
            </w:tcBorders>
            <w:vAlign w:val="center"/>
          </w:tcPr>
          <w:p w14:paraId="41E3F3B1" w14:textId="77777777" w:rsidR="0063421B" w:rsidRPr="002E1EC0" w:rsidRDefault="0063421B" w:rsidP="00305090">
            <w:pPr>
              <w:tabs>
                <w:tab w:val="left" w:pos="426"/>
              </w:tabs>
              <w:rPr>
                <w:rFonts w:asciiTheme="majorBidi" w:hAnsiTheme="majorBidi" w:cstheme="majorBidi"/>
              </w:rPr>
            </w:pPr>
            <w:r>
              <w:rPr>
                <w:rFonts w:asciiTheme="majorBidi" w:hAnsiTheme="majorBidi" w:cstheme="majorBidi"/>
              </w:rPr>
              <w:t>LGPC</w:t>
            </w:r>
          </w:p>
        </w:tc>
        <w:tc>
          <w:tcPr>
            <w:tcW w:w="2292" w:type="dxa"/>
            <w:tcBorders>
              <w:top w:val="nil"/>
              <w:left w:val="nil"/>
              <w:bottom w:val="nil"/>
              <w:right w:val="nil"/>
            </w:tcBorders>
            <w:shd w:val="clear" w:color="auto" w:fill="auto"/>
            <w:vAlign w:val="bottom"/>
          </w:tcPr>
          <w:p w14:paraId="61089FF2" w14:textId="77777777" w:rsidR="0063421B" w:rsidRPr="00391BF1" w:rsidRDefault="0063421B" w:rsidP="00305090">
            <w:pPr>
              <w:tabs>
                <w:tab w:val="left" w:pos="426"/>
              </w:tabs>
              <w:jc w:val="center"/>
              <w:rPr>
                <w:rFonts w:asciiTheme="majorBidi" w:hAnsiTheme="majorBidi" w:cstheme="majorBidi"/>
              </w:rPr>
            </w:pPr>
            <w:r w:rsidRPr="00391BF1">
              <w:rPr>
                <w:rFonts w:asciiTheme="majorBidi" w:hAnsiTheme="majorBidi" w:cstheme="majorBidi"/>
              </w:rPr>
              <w:t>-0.525</w:t>
            </w:r>
            <w:r w:rsidRPr="00391BF1">
              <w:rPr>
                <w:rFonts w:asciiTheme="majorBidi" w:hAnsiTheme="majorBidi" w:cstheme="majorBidi"/>
              </w:rPr>
              <w:br/>
              <w:t>(-1.450)</w:t>
            </w:r>
          </w:p>
        </w:tc>
        <w:tc>
          <w:tcPr>
            <w:tcW w:w="2292" w:type="dxa"/>
            <w:tcBorders>
              <w:top w:val="nil"/>
              <w:left w:val="nil"/>
              <w:bottom w:val="nil"/>
              <w:right w:val="nil"/>
            </w:tcBorders>
            <w:shd w:val="clear" w:color="auto" w:fill="auto"/>
            <w:vAlign w:val="bottom"/>
          </w:tcPr>
          <w:p w14:paraId="22ECEE2B" w14:textId="77777777" w:rsidR="0063421B" w:rsidRPr="00FB7BB4" w:rsidRDefault="0063421B" w:rsidP="00305090">
            <w:pPr>
              <w:tabs>
                <w:tab w:val="left" w:pos="426"/>
              </w:tabs>
              <w:jc w:val="center"/>
              <w:rPr>
                <w:rFonts w:asciiTheme="majorBidi" w:hAnsiTheme="majorBidi" w:cstheme="majorBidi"/>
              </w:rPr>
            </w:pPr>
            <w:r w:rsidRPr="00FB7BB4">
              <w:rPr>
                <w:rFonts w:asciiTheme="majorBidi" w:hAnsiTheme="majorBidi" w:cstheme="majorBidi"/>
              </w:rPr>
              <w:t>-0.660</w:t>
            </w:r>
            <w:r w:rsidRPr="00FB7BB4">
              <w:rPr>
                <w:rFonts w:asciiTheme="majorBidi" w:hAnsiTheme="majorBidi" w:cstheme="majorBidi"/>
              </w:rPr>
              <w:br/>
              <w:t>(-1.160)</w:t>
            </w:r>
          </w:p>
        </w:tc>
      </w:tr>
      <w:tr w:rsidR="0063421B" w:rsidRPr="008A23A5" w14:paraId="0B648BF0" w14:textId="77777777" w:rsidTr="00305090">
        <w:trPr>
          <w:gridAfter w:val="1"/>
          <w:wAfter w:w="6" w:type="dxa"/>
          <w:trHeight w:val="20"/>
          <w:jc w:val="center"/>
        </w:trPr>
        <w:tc>
          <w:tcPr>
            <w:tcW w:w="6390" w:type="dxa"/>
            <w:tcBorders>
              <w:top w:val="nil"/>
              <w:left w:val="nil"/>
              <w:bottom w:val="nil"/>
              <w:right w:val="nil"/>
            </w:tcBorders>
            <w:vAlign w:val="center"/>
          </w:tcPr>
          <w:p w14:paraId="33FA8BD7" w14:textId="77777777" w:rsidR="0063421B" w:rsidRPr="008A23A5" w:rsidRDefault="0063421B" w:rsidP="00305090">
            <w:pPr>
              <w:tabs>
                <w:tab w:val="left" w:pos="426"/>
              </w:tabs>
              <w:rPr>
                <w:rFonts w:asciiTheme="majorBidi" w:hAnsiTheme="majorBidi" w:cstheme="majorBidi"/>
                <w:sz w:val="10"/>
                <w:szCs w:val="10"/>
              </w:rPr>
            </w:pPr>
          </w:p>
        </w:tc>
        <w:tc>
          <w:tcPr>
            <w:tcW w:w="2292" w:type="dxa"/>
            <w:tcBorders>
              <w:top w:val="nil"/>
              <w:left w:val="nil"/>
              <w:bottom w:val="nil"/>
              <w:right w:val="nil"/>
            </w:tcBorders>
            <w:shd w:val="clear" w:color="auto" w:fill="auto"/>
            <w:vAlign w:val="bottom"/>
          </w:tcPr>
          <w:p w14:paraId="2DD37BAB" w14:textId="77777777" w:rsidR="0063421B" w:rsidRPr="008A23A5" w:rsidRDefault="0063421B" w:rsidP="00305090">
            <w:pPr>
              <w:tabs>
                <w:tab w:val="left" w:pos="426"/>
              </w:tabs>
              <w:jc w:val="center"/>
              <w:rPr>
                <w:rFonts w:asciiTheme="majorBidi" w:hAnsiTheme="majorBidi" w:cstheme="majorBidi"/>
                <w:sz w:val="10"/>
                <w:szCs w:val="10"/>
              </w:rPr>
            </w:pPr>
          </w:p>
        </w:tc>
        <w:tc>
          <w:tcPr>
            <w:tcW w:w="2292" w:type="dxa"/>
            <w:tcBorders>
              <w:top w:val="nil"/>
              <w:left w:val="nil"/>
              <w:bottom w:val="nil"/>
              <w:right w:val="nil"/>
            </w:tcBorders>
            <w:shd w:val="clear" w:color="auto" w:fill="auto"/>
            <w:vAlign w:val="bottom"/>
          </w:tcPr>
          <w:p w14:paraId="253C0A51" w14:textId="77777777" w:rsidR="0063421B" w:rsidRPr="008A23A5" w:rsidRDefault="0063421B" w:rsidP="00305090">
            <w:pPr>
              <w:tabs>
                <w:tab w:val="left" w:pos="426"/>
              </w:tabs>
              <w:jc w:val="center"/>
              <w:rPr>
                <w:rFonts w:asciiTheme="majorBidi" w:hAnsiTheme="majorBidi" w:cstheme="majorBidi"/>
                <w:sz w:val="10"/>
                <w:szCs w:val="10"/>
              </w:rPr>
            </w:pPr>
          </w:p>
        </w:tc>
      </w:tr>
      <w:tr w:rsidR="0063421B" w:rsidRPr="00683D28" w14:paraId="25F5A404" w14:textId="77777777" w:rsidTr="00305090">
        <w:trPr>
          <w:gridAfter w:val="1"/>
          <w:wAfter w:w="6" w:type="dxa"/>
          <w:trHeight w:val="288"/>
          <w:jc w:val="center"/>
        </w:trPr>
        <w:tc>
          <w:tcPr>
            <w:tcW w:w="6390" w:type="dxa"/>
            <w:tcBorders>
              <w:top w:val="nil"/>
              <w:left w:val="nil"/>
              <w:bottom w:val="nil"/>
              <w:right w:val="nil"/>
            </w:tcBorders>
            <w:vAlign w:val="center"/>
          </w:tcPr>
          <w:p w14:paraId="2B5926BE" w14:textId="77777777" w:rsidR="0063421B" w:rsidRPr="002E1EC0" w:rsidRDefault="0063421B" w:rsidP="00305090">
            <w:pPr>
              <w:tabs>
                <w:tab w:val="left" w:pos="426"/>
              </w:tabs>
              <w:rPr>
                <w:rFonts w:asciiTheme="majorBidi" w:hAnsiTheme="majorBidi" w:cstheme="majorBidi"/>
              </w:rPr>
            </w:pPr>
            <w:r>
              <w:rPr>
                <w:rFonts w:asciiTheme="majorBidi" w:hAnsiTheme="majorBidi" w:cstheme="majorBidi"/>
              </w:rPr>
              <w:t xml:space="preserve">Adjusted </w:t>
            </w:r>
            <w:r w:rsidRPr="003649DF">
              <w:rPr>
                <w:rFonts w:asciiTheme="majorBidi" w:hAnsiTheme="majorBidi" w:cstheme="majorBidi"/>
              </w:rPr>
              <w:t>R-squared</w:t>
            </w:r>
          </w:p>
        </w:tc>
        <w:tc>
          <w:tcPr>
            <w:tcW w:w="2292" w:type="dxa"/>
            <w:tcBorders>
              <w:top w:val="nil"/>
              <w:left w:val="nil"/>
              <w:bottom w:val="nil"/>
              <w:right w:val="nil"/>
            </w:tcBorders>
            <w:shd w:val="clear" w:color="auto" w:fill="auto"/>
            <w:vAlign w:val="center"/>
          </w:tcPr>
          <w:p w14:paraId="1630157A"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0.156</w:t>
            </w:r>
          </w:p>
        </w:tc>
        <w:tc>
          <w:tcPr>
            <w:tcW w:w="2292" w:type="dxa"/>
            <w:tcBorders>
              <w:top w:val="nil"/>
              <w:left w:val="nil"/>
              <w:bottom w:val="nil"/>
              <w:right w:val="nil"/>
            </w:tcBorders>
            <w:shd w:val="clear" w:color="auto" w:fill="auto"/>
            <w:vAlign w:val="bottom"/>
          </w:tcPr>
          <w:p w14:paraId="4DB4A39D" w14:textId="77777777" w:rsidR="0063421B" w:rsidRPr="00683D28" w:rsidRDefault="0063421B" w:rsidP="00305090">
            <w:pPr>
              <w:tabs>
                <w:tab w:val="left" w:pos="426"/>
              </w:tabs>
              <w:jc w:val="center"/>
              <w:rPr>
                <w:rFonts w:asciiTheme="majorBidi" w:hAnsiTheme="majorBidi" w:cstheme="majorBidi"/>
              </w:rPr>
            </w:pPr>
            <w:r>
              <w:rPr>
                <w:rFonts w:asciiTheme="majorBidi" w:hAnsiTheme="majorBidi" w:cstheme="majorBidi"/>
              </w:rPr>
              <w:t>0.138</w:t>
            </w:r>
          </w:p>
        </w:tc>
      </w:tr>
      <w:tr w:rsidR="0063421B" w:rsidRPr="00683D28" w14:paraId="0BB8B681" w14:textId="77777777" w:rsidTr="00305090">
        <w:trPr>
          <w:gridAfter w:val="1"/>
          <w:wAfter w:w="6" w:type="dxa"/>
          <w:trHeight w:val="288"/>
          <w:jc w:val="center"/>
        </w:trPr>
        <w:tc>
          <w:tcPr>
            <w:tcW w:w="6390" w:type="dxa"/>
            <w:tcBorders>
              <w:top w:val="nil"/>
              <w:left w:val="nil"/>
              <w:bottom w:val="nil"/>
              <w:right w:val="nil"/>
            </w:tcBorders>
            <w:vAlign w:val="center"/>
          </w:tcPr>
          <w:p w14:paraId="5BA1E918" w14:textId="77777777" w:rsidR="0063421B" w:rsidRDefault="0063421B" w:rsidP="00305090">
            <w:pPr>
              <w:tabs>
                <w:tab w:val="left" w:pos="426"/>
              </w:tabs>
              <w:rPr>
                <w:rFonts w:asciiTheme="majorBidi" w:hAnsiTheme="majorBidi" w:cstheme="majorBidi"/>
              </w:rPr>
            </w:pPr>
            <w:r>
              <w:rPr>
                <w:rFonts w:asciiTheme="majorBidi" w:hAnsiTheme="majorBidi" w:cstheme="majorBidi"/>
              </w:rPr>
              <w:t>Mean VIF</w:t>
            </w:r>
          </w:p>
        </w:tc>
        <w:tc>
          <w:tcPr>
            <w:tcW w:w="2292" w:type="dxa"/>
            <w:tcBorders>
              <w:top w:val="nil"/>
              <w:left w:val="nil"/>
              <w:bottom w:val="nil"/>
              <w:right w:val="nil"/>
            </w:tcBorders>
            <w:shd w:val="clear" w:color="auto" w:fill="auto"/>
            <w:vAlign w:val="center"/>
          </w:tcPr>
          <w:p w14:paraId="6D782E09"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2.73</w:t>
            </w:r>
          </w:p>
        </w:tc>
        <w:tc>
          <w:tcPr>
            <w:tcW w:w="2292" w:type="dxa"/>
            <w:tcBorders>
              <w:top w:val="nil"/>
              <w:left w:val="nil"/>
              <w:bottom w:val="nil"/>
              <w:right w:val="nil"/>
            </w:tcBorders>
            <w:shd w:val="clear" w:color="auto" w:fill="auto"/>
            <w:vAlign w:val="bottom"/>
          </w:tcPr>
          <w:p w14:paraId="368AF3D3" w14:textId="77777777" w:rsidR="0063421B" w:rsidRPr="00683D28" w:rsidRDefault="0063421B" w:rsidP="00305090">
            <w:pPr>
              <w:tabs>
                <w:tab w:val="left" w:pos="426"/>
              </w:tabs>
              <w:jc w:val="center"/>
              <w:rPr>
                <w:rFonts w:asciiTheme="majorBidi" w:hAnsiTheme="majorBidi" w:cstheme="majorBidi"/>
              </w:rPr>
            </w:pPr>
            <w:r>
              <w:rPr>
                <w:rFonts w:asciiTheme="majorBidi" w:hAnsiTheme="majorBidi" w:cstheme="majorBidi"/>
              </w:rPr>
              <w:t>2.73</w:t>
            </w:r>
          </w:p>
        </w:tc>
      </w:tr>
      <w:tr w:rsidR="0063421B" w:rsidRPr="002E1EC0" w14:paraId="6A8F6249" w14:textId="77777777" w:rsidTr="00305090">
        <w:trPr>
          <w:gridAfter w:val="1"/>
          <w:wAfter w:w="6" w:type="dxa"/>
          <w:trHeight w:val="288"/>
          <w:jc w:val="center"/>
        </w:trPr>
        <w:tc>
          <w:tcPr>
            <w:tcW w:w="6390" w:type="dxa"/>
            <w:tcBorders>
              <w:top w:val="nil"/>
              <w:left w:val="nil"/>
              <w:bottom w:val="nil"/>
              <w:right w:val="nil"/>
            </w:tcBorders>
            <w:vAlign w:val="center"/>
          </w:tcPr>
          <w:p w14:paraId="483E25F7" w14:textId="77777777" w:rsidR="0063421B" w:rsidRDefault="0063421B" w:rsidP="00305090">
            <w:pPr>
              <w:tabs>
                <w:tab w:val="left" w:pos="426"/>
              </w:tabs>
              <w:rPr>
                <w:rFonts w:asciiTheme="majorBidi" w:hAnsiTheme="majorBidi" w:cstheme="majorBidi"/>
              </w:rPr>
            </w:pPr>
            <w:r>
              <w:rPr>
                <w:rFonts w:asciiTheme="majorBidi" w:hAnsiTheme="majorBidi" w:cstheme="majorBidi"/>
              </w:rPr>
              <w:t>No. of Firms</w:t>
            </w:r>
          </w:p>
        </w:tc>
        <w:tc>
          <w:tcPr>
            <w:tcW w:w="2292" w:type="dxa"/>
            <w:tcBorders>
              <w:top w:val="nil"/>
              <w:left w:val="nil"/>
              <w:bottom w:val="nil"/>
              <w:right w:val="nil"/>
            </w:tcBorders>
            <w:vAlign w:val="center"/>
          </w:tcPr>
          <w:p w14:paraId="134349ED" w14:textId="77777777" w:rsidR="0063421B" w:rsidRPr="002E1EC0" w:rsidRDefault="0063421B" w:rsidP="00305090">
            <w:pPr>
              <w:tabs>
                <w:tab w:val="left" w:pos="426"/>
              </w:tabs>
              <w:jc w:val="center"/>
              <w:rPr>
                <w:rFonts w:asciiTheme="majorBidi" w:hAnsiTheme="majorBidi" w:cstheme="majorBidi"/>
              </w:rPr>
            </w:pPr>
            <w:r>
              <w:rPr>
                <w:rFonts w:asciiTheme="majorBidi" w:hAnsiTheme="majorBidi" w:cstheme="majorBidi"/>
              </w:rPr>
              <w:t>3301</w:t>
            </w:r>
          </w:p>
        </w:tc>
        <w:tc>
          <w:tcPr>
            <w:tcW w:w="2292" w:type="dxa"/>
            <w:tcBorders>
              <w:top w:val="nil"/>
              <w:left w:val="nil"/>
              <w:bottom w:val="nil"/>
              <w:right w:val="nil"/>
            </w:tcBorders>
            <w:vAlign w:val="center"/>
          </w:tcPr>
          <w:p w14:paraId="1777D0BB" w14:textId="77777777" w:rsidR="0063421B" w:rsidRPr="002E1EC0" w:rsidRDefault="0063421B" w:rsidP="00305090">
            <w:pPr>
              <w:tabs>
                <w:tab w:val="left" w:pos="426"/>
              </w:tabs>
              <w:jc w:val="center"/>
              <w:rPr>
                <w:rFonts w:asciiTheme="majorBidi" w:hAnsiTheme="majorBidi" w:cstheme="majorBidi"/>
              </w:rPr>
            </w:pPr>
            <w:r>
              <w:rPr>
                <w:rFonts w:asciiTheme="majorBidi" w:hAnsiTheme="majorBidi" w:cstheme="majorBidi"/>
              </w:rPr>
              <w:t>3301</w:t>
            </w:r>
          </w:p>
        </w:tc>
      </w:tr>
      <w:tr w:rsidR="0063421B" w:rsidRPr="002E1EC0" w14:paraId="180FCAEE" w14:textId="77777777" w:rsidTr="00305090">
        <w:trPr>
          <w:gridAfter w:val="1"/>
          <w:wAfter w:w="6" w:type="dxa"/>
          <w:trHeight w:val="288"/>
          <w:jc w:val="center"/>
        </w:trPr>
        <w:tc>
          <w:tcPr>
            <w:tcW w:w="6390" w:type="dxa"/>
            <w:tcBorders>
              <w:top w:val="nil"/>
              <w:left w:val="nil"/>
              <w:bottom w:val="nil"/>
              <w:right w:val="nil"/>
            </w:tcBorders>
            <w:vAlign w:val="center"/>
          </w:tcPr>
          <w:p w14:paraId="19BA67E2" w14:textId="77777777" w:rsidR="0063421B" w:rsidRDefault="0063421B" w:rsidP="00305090">
            <w:pPr>
              <w:tabs>
                <w:tab w:val="left" w:pos="426"/>
              </w:tabs>
              <w:rPr>
                <w:rFonts w:asciiTheme="majorBidi" w:hAnsiTheme="majorBidi" w:cstheme="majorBidi"/>
              </w:rPr>
            </w:pPr>
            <w:r>
              <w:rPr>
                <w:rFonts w:asciiTheme="majorBidi" w:hAnsiTheme="majorBidi" w:cstheme="majorBidi"/>
              </w:rPr>
              <w:t>No. of Countries</w:t>
            </w:r>
          </w:p>
        </w:tc>
        <w:tc>
          <w:tcPr>
            <w:tcW w:w="2292" w:type="dxa"/>
            <w:tcBorders>
              <w:top w:val="nil"/>
              <w:left w:val="nil"/>
              <w:bottom w:val="nil"/>
              <w:right w:val="nil"/>
            </w:tcBorders>
            <w:vAlign w:val="center"/>
          </w:tcPr>
          <w:p w14:paraId="1F300905" w14:textId="77777777" w:rsidR="0063421B" w:rsidRPr="002E1EC0" w:rsidRDefault="0063421B" w:rsidP="00305090">
            <w:pPr>
              <w:tabs>
                <w:tab w:val="left" w:pos="426"/>
              </w:tabs>
              <w:jc w:val="center"/>
              <w:rPr>
                <w:rFonts w:asciiTheme="majorBidi" w:hAnsiTheme="majorBidi" w:cstheme="majorBidi"/>
              </w:rPr>
            </w:pPr>
            <w:r>
              <w:rPr>
                <w:rFonts w:asciiTheme="majorBidi" w:hAnsiTheme="majorBidi" w:cstheme="majorBidi"/>
              </w:rPr>
              <w:t>43</w:t>
            </w:r>
          </w:p>
        </w:tc>
        <w:tc>
          <w:tcPr>
            <w:tcW w:w="2292" w:type="dxa"/>
            <w:tcBorders>
              <w:top w:val="nil"/>
              <w:left w:val="nil"/>
              <w:bottom w:val="nil"/>
              <w:right w:val="nil"/>
            </w:tcBorders>
            <w:vAlign w:val="center"/>
          </w:tcPr>
          <w:p w14:paraId="10D6B5F9" w14:textId="77777777" w:rsidR="0063421B" w:rsidRPr="002E1EC0" w:rsidRDefault="0063421B" w:rsidP="00305090">
            <w:pPr>
              <w:tabs>
                <w:tab w:val="left" w:pos="426"/>
              </w:tabs>
              <w:jc w:val="center"/>
              <w:rPr>
                <w:rFonts w:asciiTheme="majorBidi" w:hAnsiTheme="majorBidi" w:cstheme="majorBidi"/>
              </w:rPr>
            </w:pPr>
            <w:r>
              <w:rPr>
                <w:rFonts w:asciiTheme="majorBidi" w:hAnsiTheme="majorBidi" w:cstheme="majorBidi"/>
              </w:rPr>
              <w:t>43</w:t>
            </w:r>
          </w:p>
        </w:tc>
      </w:tr>
      <w:tr w:rsidR="0063421B" w:rsidRPr="00A56BA2" w14:paraId="2D138C57" w14:textId="77777777" w:rsidTr="00305090">
        <w:trPr>
          <w:gridAfter w:val="1"/>
          <w:wAfter w:w="6" w:type="dxa"/>
          <w:jc w:val="center"/>
        </w:trPr>
        <w:tc>
          <w:tcPr>
            <w:tcW w:w="6390" w:type="dxa"/>
            <w:tcBorders>
              <w:top w:val="nil"/>
              <w:left w:val="nil"/>
              <w:bottom w:val="single" w:sz="4" w:space="0" w:color="auto"/>
              <w:right w:val="nil"/>
            </w:tcBorders>
            <w:vAlign w:val="center"/>
          </w:tcPr>
          <w:p w14:paraId="30E8CC27" w14:textId="77777777" w:rsidR="0063421B" w:rsidRPr="00A56BA2" w:rsidRDefault="0063421B" w:rsidP="00305090">
            <w:pPr>
              <w:tabs>
                <w:tab w:val="left" w:pos="426"/>
              </w:tabs>
              <w:rPr>
                <w:rFonts w:asciiTheme="majorBidi" w:hAnsiTheme="majorBidi" w:cstheme="majorBidi"/>
                <w:sz w:val="10"/>
                <w:szCs w:val="10"/>
              </w:rPr>
            </w:pPr>
          </w:p>
        </w:tc>
        <w:tc>
          <w:tcPr>
            <w:tcW w:w="2292" w:type="dxa"/>
            <w:tcBorders>
              <w:top w:val="nil"/>
              <w:left w:val="nil"/>
              <w:bottom w:val="single" w:sz="4" w:space="0" w:color="auto"/>
              <w:right w:val="nil"/>
            </w:tcBorders>
            <w:vAlign w:val="center"/>
          </w:tcPr>
          <w:p w14:paraId="6DECB6C7" w14:textId="77777777" w:rsidR="0063421B" w:rsidRPr="00A56BA2" w:rsidRDefault="0063421B" w:rsidP="00305090">
            <w:pPr>
              <w:tabs>
                <w:tab w:val="left" w:pos="426"/>
              </w:tabs>
              <w:jc w:val="center"/>
              <w:rPr>
                <w:rFonts w:asciiTheme="majorBidi" w:hAnsiTheme="majorBidi" w:cstheme="majorBidi"/>
                <w:sz w:val="10"/>
                <w:szCs w:val="10"/>
              </w:rPr>
            </w:pPr>
          </w:p>
        </w:tc>
        <w:tc>
          <w:tcPr>
            <w:tcW w:w="2292" w:type="dxa"/>
            <w:tcBorders>
              <w:top w:val="nil"/>
              <w:left w:val="nil"/>
              <w:bottom w:val="single" w:sz="4" w:space="0" w:color="auto"/>
              <w:right w:val="nil"/>
            </w:tcBorders>
            <w:vAlign w:val="center"/>
          </w:tcPr>
          <w:p w14:paraId="2D2CDC7E" w14:textId="77777777" w:rsidR="0063421B" w:rsidRPr="00A56BA2" w:rsidRDefault="0063421B" w:rsidP="00305090">
            <w:pPr>
              <w:tabs>
                <w:tab w:val="left" w:pos="426"/>
              </w:tabs>
              <w:jc w:val="center"/>
              <w:rPr>
                <w:rFonts w:asciiTheme="majorBidi" w:hAnsiTheme="majorBidi" w:cstheme="majorBidi"/>
                <w:sz w:val="10"/>
                <w:szCs w:val="10"/>
              </w:rPr>
            </w:pPr>
          </w:p>
        </w:tc>
      </w:tr>
      <w:tr w:rsidR="0063421B" w:rsidRPr="00A56BA2" w14:paraId="10067FF2" w14:textId="77777777" w:rsidTr="00305090">
        <w:trPr>
          <w:gridAfter w:val="1"/>
          <w:wAfter w:w="6" w:type="dxa"/>
          <w:trHeight w:val="302"/>
          <w:jc w:val="center"/>
        </w:trPr>
        <w:tc>
          <w:tcPr>
            <w:tcW w:w="10974" w:type="dxa"/>
            <w:gridSpan w:val="3"/>
            <w:tcBorders>
              <w:top w:val="single" w:sz="4" w:space="0" w:color="auto"/>
              <w:left w:val="nil"/>
              <w:bottom w:val="single" w:sz="4" w:space="0" w:color="auto"/>
              <w:right w:val="nil"/>
            </w:tcBorders>
            <w:vAlign w:val="center"/>
          </w:tcPr>
          <w:p w14:paraId="61FBB2C8" w14:textId="77777777" w:rsidR="0063421B" w:rsidRPr="00A56BA2" w:rsidRDefault="0063421B" w:rsidP="00305090">
            <w:pPr>
              <w:tabs>
                <w:tab w:val="left" w:pos="426"/>
              </w:tabs>
              <w:jc w:val="center"/>
              <w:rPr>
                <w:rFonts w:asciiTheme="majorBidi" w:hAnsiTheme="majorBidi" w:cstheme="majorBidi"/>
                <w:sz w:val="10"/>
                <w:szCs w:val="10"/>
              </w:rPr>
            </w:pPr>
            <w:r>
              <w:rPr>
                <w:rFonts w:asciiTheme="majorBidi" w:hAnsiTheme="majorBidi" w:cstheme="majorBidi"/>
                <w:b/>
                <w:bCs/>
                <w:color w:val="000000"/>
              </w:rPr>
              <w:t>Panel B: Wald Tests</w:t>
            </w:r>
          </w:p>
        </w:tc>
      </w:tr>
      <w:tr w:rsidR="0063421B" w14:paraId="39FDBE5B" w14:textId="77777777" w:rsidTr="00305090">
        <w:trPr>
          <w:gridAfter w:val="1"/>
          <w:wAfter w:w="6" w:type="dxa"/>
          <w:jc w:val="center"/>
        </w:trPr>
        <w:tc>
          <w:tcPr>
            <w:tcW w:w="6390" w:type="dxa"/>
            <w:tcBorders>
              <w:top w:val="single" w:sz="12" w:space="0" w:color="auto"/>
              <w:left w:val="nil"/>
              <w:bottom w:val="nil"/>
              <w:right w:val="nil"/>
            </w:tcBorders>
            <w:vAlign w:val="center"/>
          </w:tcPr>
          <w:p w14:paraId="64671FDC"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a. B</w:t>
            </w:r>
            <w:r>
              <w:rPr>
                <w:rFonts w:asciiTheme="majorBidi" w:hAnsiTheme="majorBidi" w:cstheme="majorBidi"/>
                <w:vertAlign w:val="subscript"/>
              </w:rPr>
              <w:t>GOVI</w:t>
            </w:r>
            <w:r>
              <w:rPr>
                <w:rFonts w:asciiTheme="majorBidi" w:hAnsiTheme="majorBidi" w:cstheme="majorBidi"/>
              </w:rPr>
              <w:t xml:space="preserve"> = B</w:t>
            </w:r>
            <w:r>
              <w:rPr>
                <w:rFonts w:asciiTheme="majorBidi" w:hAnsiTheme="majorBidi" w:cstheme="majorBidi"/>
                <w:vertAlign w:val="subscript"/>
              </w:rPr>
              <w:t>GOVI*DCOGI</w:t>
            </w:r>
            <w:r>
              <w:rPr>
                <w:rFonts w:asciiTheme="majorBidi" w:hAnsiTheme="majorBidi" w:cstheme="majorBidi"/>
              </w:rPr>
              <w:t xml:space="preserve"> = 0</w:t>
            </w:r>
          </w:p>
        </w:tc>
        <w:tc>
          <w:tcPr>
            <w:tcW w:w="2292" w:type="dxa"/>
            <w:tcBorders>
              <w:top w:val="single" w:sz="12" w:space="0" w:color="auto"/>
              <w:left w:val="nil"/>
              <w:bottom w:val="nil"/>
              <w:right w:val="nil"/>
            </w:tcBorders>
            <w:vAlign w:val="center"/>
          </w:tcPr>
          <w:p w14:paraId="633E168F"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4.000**</w:t>
            </w:r>
          </w:p>
        </w:tc>
        <w:tc>
          <w:tcPr>
            <w:tcW w:w="2292" w:type="dxa"/>
            <w:tcBorders>
              <w:top w:val="single" w:sz="12" w:space="0" w:color="auto"/>
              <w:left w:val="nil"/>
              <w:bottom w:val="nil"/>
              <w:right w:val="nil"/>
            </w:tcBorders>
            <w:vAlign w:val="center"/>
          </w:tcPr>
          <w:p w14:paraId="5FF44B68"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4.830**</w:t>
            </w:r>
          </w:p>
        </w:tc>
      </w:tr>
      <w:tr w:rsidR="0063421B" w14:paraId="05028300" w14:textId="77777777" w:rsidTr="00305090">
        <w:trPr>
          <w:gridAfter w:val="1"/>
          <w:wAfter w:w="6" w:type="dxa"/>
          <w:jc w:val="center"/>
        </w:trPr>
        <w:tc>
          <w:tcPr>
            <w:tcW w:w="6390" w:type="dxa"/>
            <w:tcBorders>
              <w:top w:val="nil"/>
              <w:left w:val="nil"/>
              <w:bottom w:val="nil"/>
              <w:right w:val="nil"/>
            </w:tcBorders>
            <w:vAlign w:val="center"/>
          </w:tcPr>
          <w:p w14:paraId="567C8046"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b. B</w:t>
            </w:r>
            <w:r>
              <w:rPr>
                <w:rFonts w:asciiTheme="majorBidi" w:hAnsiTheme="majorBidi" w:cstheme="majorBidi"/>
                <w:vertAlign w:val="subscript"/>
              </w:rPr>
              <w:t>GOVI</w:t>
            </w:r>
            <w:r>
              <w:rPr>
                <w:rFonts w:asciiTheme="majorBidi" w:hAnsiTheme="majorBidi" w:cstheme="majorBidi"/>
              </w:rPr>
              <w:t xml:space="preserve"> = B</w:t>
            </w:r>
            <w:r>
              <w:rPr>
                <w:rFonts w:asciiTheme="majorBidi" w:hAnsiTheme="majorBidi" w:cstheme="majorBidi"/>
                <w:vertAlign w:val="subscript"/>
              </w:rPr>
              <w:t>GOVI*DFIND</w:t>
            </w:r>
            <w:r>
              <w:rPr>
                <w:rFonts w:asciiTheme="majorBidi" w:hAnsiTheme="majorBidi" w:cstheme="majorBidi"/>
              </w:rPr>
              <w:t xml:space="preserve"> = 0</w:t>
            </w:r>
          </w:p>
        </w:tc>
        <w:tc>
          <w:tcPr>
            <w:tcW w:w="2292" w:type="dxa"/>
            <w:tcBorders>
              <w:top w:val="nil"/>
              <w:left w:val="nil"/>
              <w:bottom w:val="nil"/>
              <w:right w:val="nil"/>
            </w:tcBorders>
            <w:vAlign w:val="center"/>
          </w:tcPr>
          <w:p w14:paraId="0151E7C2"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2.700*</w:t>
            </w:r>
          </w:p>
        </w:tc>
        <w:tc>
          <w:tcPr>
            <w:tcW w:w="2292" w:type="dxa"/>
            <w:tcBorders>
              <w:top w:val="nil"/>
              <w:left w:val="nil"/>
              <w:bottom w:val="nil"/>
              <w:right w:val="nil"/>
            </w:tcBorders>
            <w:vAlign w:val="center"/>
          </w:tcPr>
          <w:p w14:paraId="3E34A749"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4.600**</w:t>
            </w:r>
          </w:p>
        </w:tc>
      </w:tr>
      <w:tr w:rsidR="0063421B" w14:paraId="5D032EFC" w14:textId="77777777" w:rsidTr="00305090">
        <w:trPr>
          <w:gridAfter w:val="1"/>
          <w:wAfter w:w="6" w:type="dxa"/>
          <w:jc w:val="center"/>
        </w:trPr>
        <w:tc>
          <w:tcPr>
            <w:tcW w:w="6390" w:type="dxa"/>
            <w:tcBorders>
              <w:top w:val="nil"/>
              <w:left w:val="nil"/>
              <w:bottom w:val="nil"/>
              <w:right w:val="nil"/>
            </w:tcBorders>
            <w:vAlign w:val="center"/>
          </w:tcPr>
          <w:p w14:paraId="4C685005"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c. B</w:t>
            </w:r>
            <w:r>
              <w:rPr>
                <w:rFonts w:asciiTheme="majorBidi" w:hAnsiTheme="majorBidi" w:cstheme="majorBidi"/>
                <w:vertAlign w:val="subscript"/>
              </w:rPr>
              <w:t>GOVI</w:t>
            </w:r>
            <w:r>
              <w:rPr>
                <w:rFonts w:asciiTheme="majorBidi" w:hAnsiTheme="majorBidi" w:cstheme="majorBidi"/>
              </w:rPr>
              <w:t xml:space="preserve"> = B</w:t>
            </w:r>
            <w:r>
              <w:rPr>
                <w:rFonts w:asciiTheme="majorBidi" w:hAnsiTheme="majorBidi" w:cstheme="majorBidi"/>
                <w:vertAlign w:val="subscript"/>
              </w:rPr>
              <w:t>GOVI*DFIND</w:t>
            </w:r>
            <w:r>
              <w:rPr>
                <w:rFonts w:asciiTheme="majorBidi" w:hAnsiTheme="majorBidi" w:cstheme="majorBidi"/>
              </w:rPr>
              <w:t xml:space="preserve"> = B</w:t>
            </w:r>
            <w:r>
              <w:rPr>
                <w:rFonts w:asciiTheme="majorBidi" w:hAnsiTheme="majorBidi" w:cstheme="majorBidi"/>
                <w:vertAlign w:val="subscript"/>
              </w:rPr>
              <w:t>GOVI*DCOGI</w:t>
            </w:r>
            <w:r>
              <w:rPr>
                <w:rFonts w:asciiTheme="majorBidi" w:hAnsiTheme="majorBidi" w:cstheme="majorBidi"/>
              </w:rPr>
              <w:t xml:space="preserve"> = 0</w:t>
            </w:r>
          </w:p>
        </w:tc>
        <w:tc>
          <w:tcPr>
            <w:tcW w:w="2292" w:type="dxa"/>
            <w:tcBorders>
              <w:top w:val="nil"/>
              <w:left w:val="nil"/>
              <w:bottom w:val="nil"/>
              <w:right w:val="nil"/>
            </w:tcBorders>
            <w:vAlign w:val="center"/>
          </w:tcPr>
          <w:p w14:paraId="58D2B26C"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3.610**</w:t>
            </w:r>
          </w:p>
        </w:tc>
        <w:tc>
          <w:tcPr>
            <w:tcW w:w="2292" w:type="dxa"/>
            <w:tcBorders>
              <w:top w:val="nil"/>
              <w:left w:val="nil"/>
              <w:bottom w:val="nil"/>
              <w:right w:val="nil"/>
            </w:tcBorders>
            <w:vAlign w:val="center"/>
          </w:tcPr>
          <w:p w14:paraId="2613B493"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3.760**</w:t>
            </w:r>
          </w:p>
        </w:tc>
      </w:tr>
      <w:tr w:rsidR="0063421B" w14:paraId="4701EBB9" w14:textId="77777777" w:rsidTr="00305090">
        <w:trPr>
          <w:gridAfter w:val="1"/>
          <w:wAfter w:w="6" w:type="dxa"/>
          <w:jc w:val="center"/>
        </w:trPr>
        <w:tc>
          <w:tcPr>
            <w:tcW w:w="6390" w:type="dxa"/>
            <w:tcBorders>
              <w:top w:val="nil"/>
              <w:left w:val="nil"/>
              <w:bottom w:val="nil"/>
              <w:right w:val="nil"/>
            </w:tcBorders>
            <w:vAlign w:val="center"/>
          </w:tcPr>
          <w:p w14:paraId="5E2E739B"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d. B</w:t>
            </w:r>
            <w:r>
              <w:rPr>
                <w:rFonts w:asciiTheme="majorBidi" w:hAnsiTheme="majorBidi" w:cstheme="majorBidi"/>
                <w:vertAlign w:val="subscript"/>
              </w:rPr>
              <w:t>GOVI</w:t>
            </w:r>
            <w:r>
              <w:rPr>
                <w:rFonts w:asciiTheme="majorBidi" w:hAnsiTheme="majorBidi" w:cstheme="majorBidi"/>
              </w:rPr>
              <w:t xml:space="preserve"> = B</w:t>
            </w:r>
            <w:r>
              <w:rPr>
                <w:rFonts w:asciiTheme="majorBidi" w:hAnsiTheme="majorBidi" w:cstheme="majorBidi"/>
                <w:vertAlign w:val="subscript"/>
              </w:rPr>
              <w:t>GOVI*DEXCD</w:t>
            </w:r>
            <w:r>
              <w:rPr>
                <w:rFonts w:asciiTheme="majorBidi" w:hAnsiTheme="majorBidi" w:cstheme="majorBidi"/>
              </w:rPr>
              <w:t xml:space="preserve"> = 0</w:t>
            </w:r>
          </w:p>
        </w:tc>
        <w:tc>
          <w:tcPr>
            <w:tcW w:w="2292" w:type="dxa"/>
            <w:tcBorders>
              <w:top w:val="nil"/>
              <w:left w:val="nil"/>
              <w:bottom w:val="nil"/>
              <w:right w:val="nil"/>
            </w:tcBorders>
            <w:vAlign w:val="center"/>
          </w:tcPr>
          <w:p w14:paraId="3715D707"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2.820*</w:t>
            </w:r>
          </w:p>
        </w:tc>
        <w:tc>
          <w:tcPr>
            <w:tcW w:w="2292" w:type="dxa"/>
            <w:tcBorders>
              <w:top w:val="nil"/>
              <w:left w:val="nil"/>
              <w:bottom w:val="nil"/>
              <w:right w:val="nil"/>
            </w:tcBorders>
            <w:vAlign w:val="center"/>
          </w:tcPr>
          <w:p w14:paraId="5BE6F997"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12.390***</w:t>
            </w:r>
          </w:p>
        </w:tc>
      </w:tr>
      <w:tr w:rsidR="0063421B" w14:paraId="004D068A" w14:textId="77777777" w:rsidTr="00305090">
        <w:trPr>
          <w:gridAfter w:val="1"/>
          <w:wAfter w:w="6" w:type="dxa"/>
          <w:jc w:val="center"/>
        </w:trPr>
        <w:tc>
          <w:tcPr>
            <w:tcW w:w="6390" w:type="dxa"/>
            <w:tcBorders>
              <w:top w:val="nil"/>
              <w:left w:val="nil"/>
              <w:bottom w:val="nil"/>
              <w:right w:val="nil"/>
            </w:tcBorders>
            <w:vAlign w:val="center"/>
          </w:tcPr>
          <w:p w14:paraId="2FBCF831" w14:textId="77777777" w:rsidR="0063421B" w:rsidRPr="002A1A6A" w:rsidRDefault="0063421B" w:rsidP="00305090">
            <w:pPr>
              <w:tabs>
                <w:tab w:val="left" w:pos="426"/>
              </w:tabs>
              <w:rPr>
                <w:rFonts w:asciiTheme="majorBidi" w:hAnsiTheme="majorBidi" w:cstheme="majorBidi"/>
                <w:lang w:val="it-IT"/>
              </w:rPr>
            </w:pPr>
            <w:r w:rsidRPr="002A1A6A">
              <w:rPr>
                <w:rFonts w:asciiTheme="majorBidi" w:hAnsiTheme="majorBidi" w:cstheme="majorBidi"/>
                <w:lang w:val="it-IT"/>
              </w:rPr>
              <w:t>e. B</w:t>
            </w:r>
            <w:r w:rsidRPr="002A1A6A">
              <w:rPr>
                <w:rFonts w:asciiTheme="majorBidi" w:hAnsiTheme="majorBidi" w:cstheme="majorBidi"/>
                <w:vertAlign w:val="subscript"/>
                <w:lang w:val="it-IT"/>
              </w:rPr>
              <w:t>GOVI</w:t>
            </w:r>
            <w:r w:rsidRPr="002A1A6A">
              <w:rPr>
                <w:rFonts w:asciiTheme="majorBidi" w:hAnsiTheme="majorBidi" w:cstheme="majorBidi"/>
                <w:lang w:val="it-IT"/>
              </w:rPr>
              <w:t xml:space="preserve"> = B</w:t>
            </w:r>
            <w:r w:rsidRPr="002A1A6A">
              <w:rPr>
                <w:rFonts w:asciiTheme="majorBidi" w:hAnsiTheme="majorBidi" w:cstheme="majorBidi"/>
                <w:vertAlign w:val="subscript"/>
                <w:lang w:val="it-IT"/>
              </w:rPr>
              <w:t>GOVI*DEXCD</w:t>
            </w:r>
            <w:r w:rsidRPr="002A1A6A">
              <w:rPr>
                <w:rFonts w:asciiTheme="majorBidi" w:hAnsiTheme="majorBidi" w:cstheme="majorBidi"/>
                <w:lang w:val="it-IT"/>
              </w:rPr>
              <w:t xml:space="preserve"> = B</w:t>
            </w:r>
            <w:r w:rsidRPr="002A1A6A">
              <w:rPr>
                <w:rFonts w:asciiTheme="majorBidi" w:hAnsiTheme="majorBidi" w:cstheme="majorBidi"/>
                <w:vertAlign w:val="subscript"/>
                <w:lang w:val="it-IT"/>
              </w:rPr>
              <w:t>GOVI*DCOGI</w:t>
            </w:r>
            <w:r w:rsidRPr="002A1A6A">
              <w:rPr>
                <w:rFonts w:asciiTheme="majorBidi" w:hAnsiTheme="majorBidi" w:cstheme="majorBidi"/>
                <w:lang w:val="it-IT"/>
              </w:rPr>
              <w:t xml:space="preserve"> = 0</w:t>
            </w:r>
          </w:p>
        </w:tc>
        <w:tc>
          <w:tcPr>
            <w:tcW w:w="2292" w:type="dxa"/>
            <w:tcBorders>
              <w:top w:val="nil"/>
              <w:left w:val="nil"/>
              <w:bottom w:val="nil"/>
              <w:right w:val="nil"/>
            </w:tcBorders>
            <w:vAlign w:val="center"/>
          </w:tcPr>
          <w:p w14:paraId="7F8A3D6C"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2.720*</w:t>
            </w:r>
          </w:p>
        </w:tc>
        <w:tc>
          <w:tcPr>
            <w:tcW w:w="2292" w:type="dxa"/>
            <w:tcBorders>
              <w:top w:val="nil"/>
              <w:left w:val="nil"/>
              <w:bottom w:val="nil"/>
              <w:right w:val="nil"/>
            </w:tcBorders>
            <w:vAlign w:val="center"/>
          </w:tcPr>
          <w:p w14:paraId="75635F54"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11.000***</w:t>
            </w:r>
          </w:p>
        </w:tc>
      </w:tr>
      <w:tr w:rsidR="0063421B" w14:paraId="1C3C2ED4" w14:textId="77777777" w:rsidTr="00305090">
        <w:trPr>
          <w:gridAfter w:val="1"/>
          <w:wAfter w:w="6" w:type="dxa"/>
          <w:jc w:val="center"/>
        </w:trPr>
        <w:tc>
          <w:tcPr>
            <w:tcW w:w="6390" w:type="dxa"/>
            <w:tcBorders>
              <w:top w:val="nil"/>
              <w:left w:val="nil"/>
              <w:bottom w:val="nil"/>
              <w:right w:val="nil"/>
            </w:tcBorders>
            <w:vAlign w:val="center"/>
          </w:tcPr>
          <w:p w14:paraId="26009AB3"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f. B</w:t>
            </w:r>
            <w:r>
              <w:rPr>
                <w:rFonts w:asciiTheme="majorBidi" w:hAnsiTheme="majorBidi" w:cstheme="majorBidi"/>
                <w:vertAlign w:val="subscript"/>
              </w:rPr>
              <w:t>GOVI</w:t>
            </w:r>
            <w:r>
              <w:rPr>
                <w:rFonts w:asciiTheme="majorBidi" w:hAnsiTheme="majorBidi" w:cstheme="majorBidi"/>
              </w:rPr>
              <w:t xml:space="preserve"> = B</w:t>
            </w:r>
            <w:r>
              <w:rPr>
                <w:rFonts w:asciiTheme="majorBidi" w:hAnsiTheme="majorBidi" w:cstheme="majorBidi"/>
                <w:vertAlign w:val="subscript"/>
              </w:rPr>
              <w:t>GOVI*DFIND</w:t>
            </w:r>
            <w:r>
              <w:rPr>
                <w:rFonts w:asciiTheme="majorBidi" w:hAnsiTheme="majorBidi" w:cstheme="majorBidi"/>
              </w:rPr>
              <w:t xml:space="preserve"> = B</w:t>
            </w:r>
            <w:r>
              <w:rPr>
                <w:rFonts w:asciiTheme="majorBidi" w:hAnsiTheme="majorBidi" w:cstheme="majorBidi"/>
                <w:vertAlign w:val="subscript"/>
              </w:rPr>
              <w:t>GOVI*DEXCD</w:t>
            </w:r>
            <w:r>
              <w:rPr>
                <w:rFonts w:asciiTheme="majorBidi" w:hAnsiTheme="majorBidi" w:cstheme="majorBidi"/>
              </w:rPr>
              <w:t xml:space="preserve"> = 0</w:t>
            </w:r>
          </w:p>
        </w:tc>
        <w:tc>
          <w:tcPr>
            <w:tcW w:w="2292" w:type="dxa"/>
            <w:tcBorders>
              <w:top w:val="nil"/>
              <w:left w:val="nil"/>
              <w:bottom w:val="nil"/>
              <w:right w:val="nil"/>
            </w:tcBorders>
            <w:vAlign w:val="center"/>
          </w:tcPr>
          <w:p w14:paraId="003B9236"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2.750*</w:t>
            </w:r>
          </w:p>
        </w:tc>
        <w:tc>
          <w:tcPr>
            <w:tcW w:w="2292" w:type="dxa"/>
            <w:tcBorders>
              <w:top w:val="nil"/>
              <w:left w:val="nil"/>
              <w:bottom w:val="nil"/>
              <w:right w:val="nil"/>
            </w:tcBorders>
            <w:vAlign w:val="center"/>
          </w:tcPr>
          <w:p w14:paraId="0864C091"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10.370***</w:t>
            </w:r>
          </w:p>
        </w:tc>
      </w:tr>
      <w:tr w:rsidR="0063421B" w14:paraId="56AC19EF" w14:textId="77777777" w:rsidTr="00305090">
        <w:trPr>
          <w:gridAfter w:val="1"/>
          <w:wAfter w:w="6" w:type="dxa"/>
          <w:jc w:val="center"/>
        </w:trPr>
        <w:tc>
          <w:tcPr>
            <w:tcW w:w="6390" w:type="dxa"/>
            <w:tcBorders>
              <w:top w:val="nil"/>
              <w:left w:val="nil"/>
              <w:bottom w:val="nil"/>
              <w:right w:val="nil"/>
            </w:tcBorders>
            <w:vAlign w:val="center"/>
          </w:tcPr>
          <w:p w14:paraId="4BDD4D0D" w14:textId="77777777" w:rsidR="0063421B" w:rsidRPr="003649DF" w:rsidRDefault="0063421B" w:rsidP="00305090">
            <w:pPr>
              <w:tabs>
                <w:tab w:val="left" w:pos="426"/>
              </w:tabs>
              <w:rPr>
                <w:rFonts w:asciiTheme="majorBidi" w:hAnsiTheme="majorBidi" w:cstheme="majorBidi"/>
              </w:rPr>
            </w:pPr>
            <w:r>
              <w:rPr>
                <w:rFonts w:asciiTheme="majorBidi" w:hAnsiTheme="majorBidi" w:cstheme="majorBidi"/>
              </w:rPr>
              <w:t>g. B</w:t>
            </w:r>
            <w:r>
              <w:rPr>
                <w:rFonts w:asciiTheme="majorBidi" w:hAnsiTheme="majorBidi" w:cstheme="majorBidi"/>
                <w:vertAlign w:val="subscript"/>
              </w:rPr>
              <w:t>GOVI</w:t>
            </w:r>
            <w:r>
              <w:rPr>
                <w:rFonts w:asciiTheme="majorBidi" w:hAnsiTheme="majorBidi" w:cstheme="majorBidi"/>
              </w:rPr>
              <w:t xml:space="preserve"> = B</w:t>
            </w:r>
            <w:r>
              <w:rPr>
                <w:rFonts w:asciiTheme="majorBidi" w:hAnsiTheme="majorBidi" w:cstheme="majorBidi"/>
                <w:vertAlign w:val="subscript"/>
              </w:rPr>
              <w:t>GOVI*DFIND</w:t>
            </w:r>
            <w:r>
              <w:rPr>
                <w:rFonts w:asciiTheme="majorBidi" w:hAnsiTheme="majorBidi" w:cstheme="majorBidi"/>
              </w:rPr>
              <w:t xml:space="preserve"> = B</w:t>
            </w:r>
            <w:r>
              <w:rPr>
                <w:rFonts w:asciiTheme="majorBidi" w:hAnsiTheme="majorBidi" w:cstheme="majorBidi"/>
                <w:vertAlign w:val="subscript"/>
              </w:rPr>
              <w:t>GOVI*DEXCD</w:t>
            </w:r>
            <w:r>
              <w:rPr>
                <w:rFonts w:asciiTheme="majorBidi" w:hAnsiTheme="majorBidi" w:cstheme="majorBidi"/>
              </w:rPr>
              <w:t xml:space="preserve"> = B</w:t>
            </w:r>
            <w:r>
              <w:rPr>
                <w:rFonts w:asciiTheme="majorBidi" w:hAnsiTheme="majorBidi" w:cstheme="majorBidi"/>
                <w:vertAlign w:val="subscript"/>
              </w:rPr>
              <w:t>GOVI*DCOGI</w:t>
            </w:r>
            <w:r>
              <w:rPr>
                <w:rFonts w:asciiTheme="majorBidi" w:hAnsiTheme="majorBidi" w:cstheme="majorBidi"/>
              </w:rPr>
              <w:t xml:space="preserve"> = 0</w:t>
            </w:r>
          </w:p>
        </w:tc>
        <w:tc>
          <w:tcPr>
            <w:tcW w:w="2292" w:type="dxa"/>
            <w:tcBorders>
              <w:top w:val="nil"/>
              <w:left w:val="nil"/>
              <w:bottom w:val="nil"/>
              <w:right w:val="nil"/>
            </w:tcBorders>
            <w:vAlign w:val="center"/>
          </w:tcPr>
          <w:p w14:paraId="03E1D8B6"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2.770**</w:t>
            </w:r>
          </w:p>
        </w:tc>
        <w:tc>
          <w:tcPr>
            <w:tcW w:w="2292" w:type="dxa"/>
            <w:tcBorders>
              <w:top w:val="nil"/>
              <w:left w:val="nil"/>
              <w:bottom w:val="nil"/>
              <w:right w:val="nil"/>
            </w:tcBorders>
            <w:vAlign w:val="center"/>
          </w:tcPr>
          <w:p w14:paraId="0A4365FC" w14:textId="77777777" w:rsidR="0063421B" w:rsidRDefault="0063421B" w:rsidP="00305090">
            <w:pPr>
              <w:tabs>
                <w:tab w:val="left" w:pos="426"/>
              </w:tabs>
              <w:jc w:val="center"/>
              <w:rPr>
                <w:rFonts w:asciiTheme="majorBidi" w:hAnsiTheme="majorBidi" w:cstheme="majorBidi"/>
              </w:rPr>
            </w:pPr>
            <w:r>
              <w:rPr>
                <w:rFonts w:asciiTheme="majorBidi" w:hAnsiTheme="majorBidi" w:cstheme="majorBidi"/>
              </w:rPr>
              <w:t>8.760***</w:t>
            </w:r>
          </w:p>
        </w:tc>
      </w:tr>
      <w:tr w:rsidR="0063421B" w:rsidRPr="00486141" w14:paraId="5C9D3C39" w14:textId="77777777" w:rsidTr="00305090">
        <w:trPr>
          <w:gridAfter w:val="1"/>
          <w:wAfter w:w="6" w:type="dxa"/>
          <w:trHeight w:val="80"/>
          <w:jc w:val="center"/>
        </w:trPr>
        <w:tc>
          <w:tcPr>
            <w:tcW w:w="6390" w:type="dxa"/>
            <w:tcBorders>
              <w:top w:val="nil"/>
              <w:left w:val="nil"/>
              <w:bottom w:val="single" w:sz="12" w:space="0" w:color="auto"/>
              <w:right w:val="nil"/>
            </w:tcBorders>
          </w:tcPr>
          <w:p w14:paraId="236BD82B" w14:textId="77777777" w:rsidR="0063421B" w:rsidRPr="00486141" w:rsidRDefault="0063421B" w:rsidP="00305090">
            <w:pPr>
              <w:tabs>
                <w:tab w:val="left" w:pos="426"/>
              </w:tabs>
              <w:rPr>
                <w:rFonts w:asciiTheme="majorBidi" w:hAnsiTheme="majorBidi" w:cstheme="majorBidi"/>
                <w:sz w:val="8"/>
                <w:szCs w:val="8"/>
              </w:rPr>
            </w:pPr>
          </w:p>
        </w:tc>
        <w:tc>
          <w:tcPr>
            <w:tcW w:w="2292" w:type="dxa"/>
            <w:tcBorders>
              <w:top w:val="nil"/>
              <w:left w:val="nil"/>
              <w:bottom w:val="single" w:sz="12" w:space="0" w:color="auto"/>
              <w:right w:val="nil"/>
            </w:tcBorders>
            <w:vAlign w:val="center"/>
          </w:tcPr>
          <w:p w14:paraId="7B50A423" w14:textId="77777777" w:rsidR="0063421B" w:rsidRPr="00486141" w:rsidRDefault="0063421B" w:rsidP="00305090">
            <w:pPr>
              <w:tabs>
                <w:tab w:val="left" w:pos="426"/>
              </w:tabs>
              <w:jc w:val="center"/>
              <w:rPr>
                <w:rFonts w:asciiTheme="majorBidi" w:hAnsiTheme="majorBidi" w:cstheme="majorBidi"/>
                <w:sz w:val="8"/>
                <w:szCs w:val="8"/>
              </w:rPr>
            </w:pPr>
          </w:p>
        </w:tc>
        <w:tc>
          <w:tcPr>
            <w:tcW w:w="2292" w:type="dxa"/>
            <w:tcBorders>
              <w:top w:val="nil"/>
              <w:left w:val="nil"/>
              <w:bottom w:val="single" w:sz="12" w:space="0" w:color="auto"/>
              <w:right w:val="nil"/>
            </w:tcBorders>
            <w:vAlign w:val="center"/>
          </w:tcPr>
          <w:p w14:paraId="5FB5CD98" w14:textId="77777777" w:rsidR="0063421B" w:rsidRPr="00486141" w:rsidRDefault="0063421B" w:rsidP="00305090">
            <w:pPr>
              <w:tabs>
                <w:tab w:val="left" w:pos="426"/>
              </w:tabs>
              <w:jc w:val="center"/>
              <w:rPr>
                <w:rFonts w:asciiTheme="majorBidi" w:hAnsiTheme="majorBidi" w:cstheme="majorBidi"/>
                <w:sz w:val="8"/>
                <w:szCs w:val="8"/>
              </w:rPr>
            </w:pPr>
          </w:p>
        </w:tc>
      </w:tr>
    </w:tbl>
    <w:p w14:paraId="171C4827" w14:textId="77777777" w:rsidR="0063421B" w:rsidRDefault="0063421B" w:rsidP="0063421B">
      <w:pPr>
        <w:tabs>
          <w:tab w:val="left" w:pos="426"/>
        </w:tabs>
        <w:rPr>
          <w:rFonts w:asciiTheme="majorBidi" w:hAnsiTheme="majorBidi"/>
          <w:b/>
          <w:bCs/>
          <w:sz w:val="2"/>
          <w:szCs w:val="2"/>
        </w:rPr>
      </w:pPr>
    </w:p>
    <w:tbl>
      <w:tblPr>
        <w:tblStyle w:val="TableGrid"/>
        <w:tblW w:w="0" w:type="auto"/>
        <w:jc w:val="center"/>
        <w:tblLook w:val="04A0" w:firstRow="1" w:lastRow="0" w:firstColumn="1" w:lastColumn="0" w:noHBand="0" w:noVBand="1"/>
      </w:tblPr>
      <w:tblGrid>
        <w:gridCol w:w="284"/>
        <w:gridCol w:w="283"/>
        <w:gridCol w:w="63"/>
        <w:gridCol w:w="534"/>
        <w:gridCol w:w="1687"/>
        <w:gridCol w:w="850"/>
        <w:gridCol w:w="1943"/>
        <w:gridCol w:w="603"/>
      </w:tblGrid>
      <w:tr w:rsidR="008D328C" w14:paraId="0DC0B2F4" w14:textId="77777777" w:rsidTr="00B528D0">
        <w:trPr>
          <w:gridAfter w:val="1"/>
          <w:wAfter w:w="603" w:type="dxa"/>
          <w:cantSplit/>
          <w:trHeight w:val="720"/>
          <w:jc w:val="center"/>
        </w:trPr>
        <w:tc>
          <w:tcPr>
            <w:tcW w:w="5641" w:type="dxa"/>
            <w:gridSpan w:val="7"/>
            <w:tcBorders>
              <w:top w:val="nil"/>
              <w:left w:val="nil"/>
              <w:bottom w:val="nil"/>
              <w:right w:val="nil"/>
            </w:tcBorders>
          </w:tcPr>
          <w:p w14:paraId="28B2C951" w14:textId="588CF446" w:rsidR="008D328C" w:rsidRPr="00B528D0" w:rsidRDefault="008D328C" w:rsidP="00B528D0">
            <w:pPr>
              <w:spacing w:after="60"/>
              <w:jc w:val="center"/>
              <w:rPr>
                <w:rFonts w:ascii="Times New Roman" w:hAnsi="Times New Roman" w:cs="Times New Roman"/>
                <w:b/>
                <w:bCs/>
              </w:rPr>
            </w:pPr>
            <w:r w:rsidRPr="00B528D0">
              <w:rPr>
                <w:rFonts w:ascii="Times New Roman" w:hAnsi="Times New Roman" w:cs="Times New Roman"/>
                <w:b/>
                <w:bCs/>
              </w:rPr>
              <w:lastRenderedPageBreak/>
              <w:t>Figure1: The Financial Development, Capital Dependency, Firm Governance Nexus</w:t>
            </w:r>
          </w:p>
          <w:p w14:paraId="6DE1E2A5" w14:textId="77777777" w:rsidR="008D328C" w:rsidRPr="00B528D0" w:rsidRDefault="008D328C" w:rsidP="00B528D0">
            <w:pPr>
              <w:jc w:val="center"/>
              <w:rPr>
                <w:rFonts w:ascii="Times New Roman" w:hAnsi="Times New Roman" w:cs="Times New Roman"/>
                <w:b/>
                <w:bCs/>
              </w:rPr>
            </w:pPr>
          </w:p>
        </w:tc>
      </w:tr>
      <w:tr w:rsidR="008D328C" w14:paraId="1798C283" w14:textId="77777777" w:rsidTr="00B528D0">
        <w:trPr>
          <w:gridAfter w:val="1"/>
          <w:wAfter w:w="600" w:type="dxa"/>
          <w:trHeight w:val="540"/>
          <w:jc w:val="center"/>
        </w:trPr>
        <w:tc>
          <w:tcPr>
            <w:tcW w:w="284" w:type="dxa"/>
            <w:tcBorders>
              <w:top w:val="nil"/>
              <w:left w:val="nil"/>
              <w:bottom w:val="nil"/>
              <w:right w:val="nil"/>
            </w:tcBorders>
          </w:tcPr>
          <w:p w14:paraId="349DFA68" w14:textId="77777777" w:rsidR="008D328C" w:rsidRPr="00E219B6" w:rsidRDefault="008D328C" w:rsidP="00BF2605">
            <w:pPr>
              <w:tabs>
                <w:tab w:val="left" w:pos="426"/>
              </w:tabs>
              <w:spacing w:line="288" w:lineRule="auto"/>
              <w:rPr>
                <w:rFonts w:ascii="Times New Roman" w:hAnsi="Times New Roman" w:cs="Times New Roman"/>
              </w:rPr>
            </w:pPr>
            <w:bookmarkStart w:id="5" w:name="_Hlk502917804"/>
            <w:bookmarkStart w:id="6" w:name="OLE_LINK1"/>
          </w:p>
        </w:tc>
        <w:tc>
          <w:tcPr>
            <w:tcW w:w="283" w:type="dxa"/>
            <w:tcBorders>
              <w:top w:val="nil"/>
              <w:left w:val="nil"/>
              <w:bottom w:val="nil"/>
              <w:right w:val="nil"/>
            </w:tcBorders>
          </w:tcPr>
          <w:p w14:paraId="2B9C315D" w14:textId="77777777" w:rsidR="008D328C" w:rsidRPr="00E219B6" w:rsidRDefault="008D328C" w:rsidP="00BF2605">
            <w:pPr>
              <w:tabs>
                <w:tab w:val="left" w:pos="426"/>
              </w:tabs>
              <w:spacing w:line="288" w:lineRule="auto"/>
              <w:rPr>
                <w:rFonts w:ascii="Times New Roman" w:hAnsi="Times New Roman" w:cs="Times New Roman"/>
              </w:rPr>
            </w:pPr>
          </w:p>
        </w:tc>
        <w:tc>
          <w:tcPr>
            <w:tcW w:w="5077" w:type="dxa"/>
            <w:gridSpan w:val="5"/>
            <w:tcBorders>
              <w:top w:val="nil"/>
              <w:left w:val="nil"/>
              <w:bottom w:val="nil"/>
              <w:right w:val="nil"/>
            </w:tcBorders>
            <w:vAlign w:val="center"/>
          </w:tcPr>
          <w:p w14:paraId="221E7E80" w14:textId="77777777" w:rsidR="008D328C" w:rsidRPr="00BE78CC" w:rsidRDefault="008D328C" w:rsidP="00B528D0">
            <w:pPr>
              <w:spacing w:line="288" w:lineRule="auto"/>
              <w:ind w:left="-392"/>
              <w:jc w:val="center"/>
              <w:rPr>
                <w:rFonts w:ascii="Times New Roman" w:hAnsi="Times New Roman" w:cs="Times New Roman"/>
                <w:b/>
                <w:bCs/>
              </w:rPr>
            </w:pPr>
            <w:r w:rsidRPr="00BE78CC">
              <w:rPr>
                <w:rFonts w:ascii="Times New Roman" w:hAnsi="Times New Roman" w:cs="Times New Roman"/>
                <w:b/>
                <w:bCs/>
              </w:rPr>
              <w:t>Low Country-Level Mechanisms</w:t>
            </w:r>
          </w:p>
          <w:p w14:paraId="01DBBFB6" w14:textId="2A0C71A7" w:rsidR="008D328C" w:rsidRPr="00BE78CC" w:rsidRDefault="008D328C" w:rsidP="00B528D0">
            <w:pPr>
              <w:spacing w:line="288" w:lineRule="auto"/>
              <w:ind w:left="-392"/>
              <w:jc w:val="center"/>
              <w:rPr>
                <w:rFonts w:ascii="Times New Roman" w:hAnsi="Times New Roman" w:cs="Times New Roman"/>
                <w:b/>
                <w:bCs/>
              </w:rPr>
            </w:pPr>
            <w:r w:rsidRPr="00BE78CC">
              <w:rPr>
                <w:rFonts w:ascii="Times New Roman" w:hAnsi="Times New Roman" w:cs="Times New Roman"/>
                <w:b/>
                <w:bCs/>
              </w:rPr>
              <w:t>Dependence on External Financing</w:t>
            </w:r>
          </w:p>
          <w:p w14:paraId="66564B6F" w14:textId="77777777" w:rsidR="008D328C" w:rsidRPr="00BE78CC" w:rsidRDefault="008D328C" w:rsidP="00B528D0">
            <w:pPr>
              <w:spacing w:line="288" w:lineRule="auto"/>
              <w:jc w:val="center"/>
              <w:rPr>
                <w:rFonts w:ascii="Times New Roman" w:hAnsi="Times New Roman" w:cs="Times New Roman"/>
                <w:b/>
                <w:bCs/>
              </w:rPr>
            </w:pPr>
          </w:p>
        </w:tc>
      </w:tr>
      <w:tr w:rsidR="008D328C" w:rsidRPr="00760806" w14:paraId="69C7F600" w14:textId="77777777" w:rsidTr="00B528D0">
        <w:trPr>
          <w:cantSplit/>
          <w:trHeight w:val="350"/>
          <w:jc w:val="center"/>
        </w:trPr>
        <w:tc>
          <w:tcPr>
            <w:tcW w:w="630" w:type="dxa"/>
            <w:gridSpan w:val="3"/>
            <w:tcBorders>
              <w:top w:val="nil"/>
              <w:left w:val="nil"/>
              <w:bottom w:val="nil"/>
              <w:right w:val="nil"/>
            </w:tcBorders>
          </w:tcPr>
          <w:p w14:paraId="5A6AD642" w14:textId="77777777" w:rsidR="008D328C" w:rsidRPr="00E219B6" w:rsidRDefault="008D328C" w:rsidP="00BF2605">
            <w:pPr>
              <w:tabs>
                <w:tab w:val="left" w:pos="426"/>
              </w:tabs>
              <w:spacing w:line="288" w:lineRule="auto"/>
              <w:rPr>
                <w:rFonts w:ascii="Times New Roman" w:hAnsi="Times New Roman" w:cs="Times New Roman"/>
              </w:rPr>
            </w:pPr>
          </w:p>
        </w:tc>
        <w:tc>
          <w:tcPr>
            <w:tcW w:w="534" w:type="dxa"/>
            <w:tcBorders>
              <w:top w:val="nil"/>
              <w:left w:val="nil"/>
              <w:bottom w:val="nil"/>
              <w:right w:val="nil"/>
            </w:tcBorders>
          </w:tcPr>
          <w:p w14:paraId="4FAA846F" w14:textId="77777777" w:rsidR="008D328C" w:rsidRPr="00E219B6" w:rsidRDefault="008D328C" w:rsidP="00BF2605">
            <w:pPr>
              <w:tabs>
                <w:tab w:val="left" w:pos="426"/>
              </w:tabs>
              <w:spacing w:line="288" w:lineRule="auto"/>
              <w:rPr>
                <w:rFonts w:ascii="Times New Roman" w:hAnsi="Times New Roman" w:cs="Times New Roman"/>
              </w:rPr>
            </w:pPr>
          </w:p>
        </w:tc>
        <w:tc>
          <w:tcPr>
            <w:tcW w:w="1687" w:type="dxa"/>
            <w:tcBorders>
              <w:top w:val="nil"/>
              <w:left w:val="nil"/>
              <w:bottom w:val="nil"/>
              <w:right w:val="nil"/>
            </w:tcBorders>
          </w:tcPr>
          <w:p w14:paraId="5BA763B9" w14:textId="77777777" w:rsidR="008D328C" w:rsidRPr="00E219B6" w:rsidRDefault="008D328C" w:rsidP="00BF2605">
            <w:pPr>
              <w:tabs>
                <w:tab w:val="left" w:pos="426"/>
              </w:tabs>
              <w:spacing w:line="288" w:lineRule="auto"/>
              <w:rPr>
                <w:rFonts w:ascii="Times New Roman" w:hAnsi="Times New Roman" w:cs="Times New Roman"/>
                <w:b/>
                <w:bCs/>
              </w:rPr>
            </w:pPr>
            <w:r w:rsidRPr="00E219B6">
              <w:rPr>
                <w:rFonts w:ascii="Times New Roman" w:hAnsi="Times New Roman" w:cs="Times New Roman"/>
                <w:b/>
                <w:bCs/>
              </w:rPr>
              <w:sym w:font="Wingdings" w:char="F0DF"/>
            </w:r>
            <w:r w:rsidRPr="00E219B6">
              <w:rPr>
                <w:rFonts w:ascii="Times New Roman" w:hAnsi="Times New Roman" w:cs="Times New Roman"/>
                <w:b/>
                <w:bCs/>
              </w:rPr>
              <w:t xml:space="preserve"> High</w:t>
            </w:r>
          </w:p>
        </w:tc>
        <w:tc>
          <w:tcPr>
            <w:tcW w:w="3393" w:type="dxa"/>
            <w:gridSpan w:val="3"/>
            <w:tcBorders>
              <w:top w:val="nil"/>
              <w:left w:val="nil"/>
              <w:bottom w:val="nil"/>
              <w:right w:val="nil"/>
            </w:tcBorders>
          </w:tcPr>
          <w:p w14:paraId="3FA9A266" w14:textId="77777777" w:rsidR="008D328C" w:rsidRPr="00BE78CC" w:rsidRDefault="008D328C" w:rsidP="00BF2605">
            <w:pPr>
              <w:tabs>
                <w:tab w:val="left" w:pos="426"/>
              </w:tabs>
              <w:spacing w:line="288" w:lineRule="auto"/>
              <w:jc w:val="right"/>
              <w:rPr>
                <w:rFonts w:ascii="Times New Roman" w:hAnsi="Times New Roman" w:cs="Times New Roman"/>
                <w:b/>
                <w:bCs/>
              </w:rPr>
            </w:pPr>
            <w:r w:rsidRPr="00BE78CC">
              <w:rPr>
                <w:rFonts w:ascii="Times New Roman" w:hAnsi="Times New Roman" w:cs="Times New Roman"/>
                <w:b/>
                <w:bCs/>
              </w:rPr>
              <w:t xml:space="preserve">Low </w:t>
            </w:r>
            <w:r w:rsidRPr="00BE78CC">
              <w:rPr>
                <w:rFonts w:ascii="Times New Roman" w:hAnsi="Times New Roman" w:cs="Times New Roman"/>
                <w:b/>
                <w:bCs/>
              </w:rPr>
              <w:sym w:font="Wingdings" w:char="F0E0"/>
            </w:r>
          </w:p>
        </w:tc>
      </w:tr>
      <w:tr w:rsidR="008D328C" w14:paraId="64407243" w14:textId="77777777" w:rsidTr="00B528D0">
        <w:trPr>
          <w:cantSplit/>
          <w:trHeight w:val="1296"/>
          <w:jc w:val="center"/>
        </w:trPr>
        <w:tc>
          <w:tcPr>
            <w:tcW w:w="630" w:type="dxa"/>
            <w:gridSpan w:val="3"/>
            <w:vMerge w:val="restart"/>
            <w:tcBorders>
              <w:top w:val="nil"/>
              <w:left w:val="nil"/>
              <w:right w:val="nil"/>
            </w:tcBorders>
            <w:textDirection w:val="btLr"/>
            <w:vAlign w:val="center"/>
          </w:tcPr>
          <w:p w14:paraId="37353AC3" w14:textId="77777777" w:rsidR="008D328C" w:rsidRPr="00E219B6" w:rsidRDefault="008D328C" w:rsidP="00BF2605">
            <w:pPr>
              <w:tabs>
                <w:tab w:val="left" w:pos="426"/>
              </w:tabs>
              <w:spacing w:line="288" w:lineRule="auto"/>
              <w:ind w:left="113" w:right="113"/>
              <w:jc w:val="center"/>
              <w:rPr>
                <w:rFonts w:ascii="Times New Roman" w:hAnsi="Times New Roman" w:cs="Times New Roman"/>
                <w:b/>
                <w:bCs/>
              </w:rPr>
            </w:pPr>
            <w:r w:rsidRPr="00E219B6">
              <w:rPr>
                <w:rFonts w:ascii="Times New Roman" w:hAnsi="Times New Roman" w:cs="Times New Roman"/>
                <w:b/>
                <w:bCs/>
              </w:rPr>
              <w:t>Financial Development</w:t>
            </w:r>
          </w:p>
        </w:tc>
        <w:tc>
          <w:tcPr>
            <w:tcW w:w="534" w:type="dxa"/>
            <w:tcBorders>
              <w:top w:val="nil"/>
              <w:left w:val="nil"/>
              <w:bottom w:val="nil"/>
              <w:right w:val="nil"/>
            </w:tcBorders>
            <w:textDirection w:val="btLr"/>
          </w:tcPr>
          <w:p w14:paraId="101C1FBD" w14:textId="77777777" w:rsidR="008D328C" w:rsidRPr="00E219B6" w:rsidRDefault="008D328C" w:rsidP="00BF2605">
            <w:pPr>
              <w:tabs>
                <w:tab w:val="left" w:pos="426"/>
              </w:tabs>
              <w:spacing w:line="288" w:lineRule="auto"/>
              <w:ind w:left="113" w:right="113"/>
              <w:jc w:val="right"/>
              <w:rPr>
                <w:rFonts w:ascii="Times New Roman" w:hAnsi="Times New Roman" w:cs="Times New Roman"/>
                <w:b/>
                <w:bCs/>
              </w:rPr>
            </w:pPr>
            <w:r w:rsidRPr="00E219B6">
              <w:rPr>
                <w:rFonts w:ascii="Times New Roman" w:hAnsi="Times New Roman" w:cs="Times New Roman"/>
                <w:b/>
                <w:bCs/>
              </w:rPr>
              <w:t xml:space="preserve">High </w:t>
            </w:r>
            <w:r w:rsidRPr="00E219B6">
              <w:rPr>
                <w:rFonts w:ascii="Times New Roman" w:hAnsi="Times New Roman" w:cs="Times New Roman"/>
                <w:b/>
                <w:bCs/>
              </w:rPr>
              <w:sym w:font="Wingdings" w:char="F0E0"/>
            </w:r>
          </w:p>
        </w:tc>
        <w:tc>
          <w:tcPr>
            <w:tcW w:w="2537" w:type="dxa"/>
            <w:gridSpan w:val="2"/>
            <w:tcBorders>
              <w:top w:val="nil"/>
              <w:left w:val="nil"/>
            </w:tcBorders>
            <w:vAlign w:val="center"/>
          </w:tcPr>
          <w:p w14:paraId="7475FADB" w14:textId="54596C01" w:rsidR="00033962" w:rsidRPr="00BE78CC" w:rsidRDefault="00033962"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rPr>
              <w:t>(3)</w:t>
            </w:r>
          </w:p>
          <w:p w14:paraId="21FA416C" w14:textId="62A1CE58" w:rsidR="008D328C" w:rsidRPr="00BE78CC" w:rsidRDefault="008D328C"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i/>
                <w:iCs/>
                <w:sz w:val="24"/>
                <w:szCs w:val="24"/>
              </w:rPr>
              <w:t>β</w:t>
            </w:r>
            <w:r w:rsidRPr="00BE78CC">
              <w:rPr>
                <w:rFonts w:ascii="Times New Roman" w:hAnsi="Times New Roman" w:cs="Times New Roman"/>
                <w:i/>
                <w:iCs/>
                <w:sz w:val="24"/>
                <w:szCs w:val="24"/>
                <w:vertAlign w:val="subscript"/>
              </w:rPr>
              <w:t>1 +</w:t>
            </w:r>
            <w:r w:rsidRPr="00BE78CC">
              <w:rPr>
                <w:rFonts w:ascii="Times New Roman" w:hAnsi="Times New Roman" w:cs="Times New Roman"/>
                <w:i/>
                <w:iCs/>
                <w:sz w:val="24"/>
                <w:szCs w:val="24"/>
              </w:rPr>
              <w:t xml:space="preserve"> β</w:t>
            </w:r>
            <w:r w:rsidRPr="00BE78CC">
              <w:rPr>
                <w:rFonts w:ascii="Times New Roman" w:hAnsi="Times New Roman" w:cs="Times New Roman"/>
                <w:i/>
                <w:iCs/>
                <w:sz w:val="24"/>
                <w:szCs w:val="24"/>
                <w:vertAlign w:val="subscript"/>
              </w:rPr>
              <w:t xml:space="preserve">3 </w:t>
            </w:r>
            <w:r w:rsidRPr="00BE78CC">
              <w:rPr>
                <w:rFonts w:ascii="Times New Roman" w:hAnsi="Times New Roman" w:cs="Times New Roman"/>
                <w:i/>
                <w:iCs/>
                <w:sz w:val="24"/>
                <w:szCs w:val="24"/>
              </w:rPr>
              <w:t>+ β</w:t>
            </w:r>
            <w:r w:rsidRPr="00BE78CC">
              <w:rPr>
                <w:rFonts w:ascii="Times New Roman" w:hAnsi="Times New Roman" w:cs="Times New Roman"/>
                <w:i/>
                <w:iCs/>
                <w:sz w:val="24"/>
                <w:szCs w:val="24"/>
                <w:vertAlign w:val="subscript"/>
              </w:rPr>
              <w:t>4</w:t>
            </w:r>
          </w:p>
          <w:p w14:paraId="07F918E2" w14:textId="3F910ACB" w:rsidR="00033962" w:rsidRPr="00BE78CC" w:rsidRDefault="00033962" w:rsidP="00BF2605">
            <w:pPr>
              <w:tabs>
                <w:tab w:val="left" w:pos="426"/>
              </w:tabs>
              <w:spacing w:line="288" w:lineRule="auto"/>
              <w:jc w:val="center"/>
              <w:rPr>
                <w:rFonts w:ascii="Times New Roman" w:hAnsi="Times New Roman" w:cs="Times New Roman"/>
                <w:sz w:val="20"/>
                <w:szCs w:val="20"/>
              </w:rPr>
            </w:pPr>
            <w:r w:rsidRPr="00BE78CC">
              <w:rPr>
                <w:rFonts w:ascii="Times New Roman" w:hAnsi="Times New Roman" w:cs="Times New Roman"/>
                <w:sz w:val="20"/>
                <w:szCs w:val="20"/>
              </w:rPr>
              <w:t>ROE: 0.912*</w:t>
            </w:r>
          </w:p>
          <w:p w14:paraId="18AC82B6" w14:textId="69BEBE21" w:rsidR="00D545DB" w:rsidRPr="00BE78CC" w:rsidRDefault="00D545DB"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sz w:val="20"/>
                <w:szCs w:val="20"/>
              </w:rPr>
              <w:t xml:space="preserve">Tobin’s Q: </w:t>
            </w:r>
            <w:r w:rsidR="00033962" w:rsidRPr="00BE78CC">
              <w:rPr>
                <w:rFonts w:ascii="Times New Roman" w:hAnsi="Times New Roman" w:cs="Times New Roman"/>
                <w:sz w:val="20"/>
                <w:szCs w:val="20"/>
              </w:rPr>
              <w:t>0.192***</w:t>
            </w:r>
          </w:p>
        </w:tc>
        <w:tc>
          <w:tcPr>
            <w:tcW w:w="2543" w:type="dxa"/>
            <w:gridSpan w:val="2"/>
            <w:tcBorders>
              <w:top w:val="nil"/>
              <w:right w:val="nil"/>
            </w:tcBorders>
            <w:vAlign w:val="center"/>
          </w:tcPr>
          <w:p w14:paraId="76513EF5" w14:textId="7E4E5DE6" w:rsidR="00033962" w:rsidRPr="00BE78CC" w:rsidRDefault="00033962"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rPr>
              <w:t>(4)</w:t>
            </w:r>
          </w:p>
          <w:p w14:paraId="2D1F359E" w14:textId="32154DAA" w:rsidR="008D328C" w:rsidRPr="00BE78CC" w:rsidRDefault="008D328C"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i/>
                <w:iCs/>
                <w:sz w:val="24"/>
                <w:szCs w:val="24"/>
              </w:rPr>
              <w:t>β</w:t>
            </w:r>
            <w:r w:rsidRPr="00BE78CC">
              <w:rPr>
                <w:rFonts w:ascii="Times New Roman" w:hAnsi="Times New Roman" w:cs="Times New Roman"/>
                <w:i/>
                <w:iCs/>
                <w:sz w:val="24"/>
                <w:szCs w:val="24"/>
                <w:vertAlign w:val="subscript"/>
              </w:rPr>
              <w:t>1 +</w:t>
            </w:r>
            <w:r w:rsidRPr="00BE78CC">
              <w:rPr>
                <w:rFonts w:ascii="Times New Roman" w:hAnsi="Times New Roman" w:cs="Times New Roman"/>
                <w:i/>
                <w:iCs/>
                <w:sz w:val="24"/>
                <w:szCs w:val="24"/>
              </w:rPr>
              <w:t xml:space="preserve"> β</w:t>
            </w:r>
            <w:r w:rsidRPr="00BE78CC">
              <w:rPr>
                <w:rFonts w:ascii="Times New Roman" w:hAnsi="Times New Roman" w:cs="Times New Roman"/>
                <w:i/>
                <w:iCs/>
                <w:sz w:val="24"/>
                <w:szCs w:val="24"/>
                <w:vertAlign w:val="subscript"/>
              </w:rPr>
              <w:t>4</w:t>
            </w:r>
          </w:p>
          <w:p w14:paraId="79D74C78" w14:textId="4C419FC5" w:rsidR="00033962" w:rsidRPr="00BE78CC" w:rsidRDefault="00033962" w:rsidP="00BF2605">
            <w:pPr>
              <w:tabs>
                <w:tab w:val="left" w:pos="426"/>
              </w:tabs>
              <w:spacing w:line="288" w:lineRule="auto"/>
              <w:jc w:val="center"/>
              <w:rPr>
                <w:rFonts w:ascii="Times New Roman" w:hAnsi="Times New Roman" w:cs="Times New Roman"/>
                <w:sz w:val="20"/>
                <w:szCs w:val="20"/>
              </w:rPr>
            </w:pPr>
            <w:r w:rsidRPr="00BE78CC">
              <w:rPr>
                <w:rFonts w:ascii="Times New Roman" w:hAnsi="Times New Roman" w:cs="Times New Roman"/>
                <w:sz w:val="20"/>
                <w:szCs w:val="20"/>
              </w:rPr>
              <w:t>ROE: 0.544*</w:t>
            </w:r>
          </w:p>
          <w:p w14:paraId="2158BC67" w14:textId="6109B3BF" w:rsidR="00033962" w:rsidRPr="00BE78CC" w:rsidRDefault="00033962"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sz w:val="20"/>
                <w:szCs w:val="20"/>
              </w:rPr>
              <w:t>Tobin’s Q: 0.117***</w:t>
            </w:r>
          </w:p>
        </w:tc>
      </w:tr>
      <w:tr w:rsidR="008D328C" w14:paraId="46B356BB" w14:textId="77777777" w:rsidTr="00B528D0">
        <w:trPr>
          <w:cantSplit/>
          <w:trHeight w:val="1296"/>
          <w:jc w:val="center"/>
        </w:trPr>
        <w:tc>
          <w:tcPr>
            <w:tcW w:w="630" w:type="dxa"/>
            <w:gridSpan w:val="3"/>
            <w:vMerge/>
            <w:tcBorders>
              <w:left w:val="nil"/>
              <w:bottom w:val="nil"/>
              <w:right w:val="nil"/>
            </w:tcBorders>
          </w:tcPr>
          <w:p w14:paraId="176C730C" w14:textId="77777777" w:rsidR="008D328C" w:rsidRPr="00E219B6" w:rsidRDefault="008D328C" w:rsidP="00BF2605">
            <w:pPr>
              <w:tabs>
                <w:tab w:val="left" w:pos="426"/>
              </w:tabs>
              <w:spacing w:line="288" w:lineRule="auto"/>
              <w:rPr>
                <w:rFonts w:ascii="Times New Roman" w:hAnsi="Times New Roman" w:cs="Times New Roman"/>
              </w:rPr>
            </w:pPr>
          </w:p>
        </w:tc>
        <w:tc>
          <w:tcPr>
            <w:tcW w:w="534" w:type="dxa"/>
            <w:tcBorders>
              <w:top w:val="nil"/>
              <w:left w:val="nil"/>
              <w:bottom w:val="nil"/>
              <w:right w:val="nil"/>
            </w:tcBorders>
            <w:textDirection w:val="btLr"/>
          </w:tcPr>
          <w:p w14:paraId="36864CC1" w14:textId="77777777" w:rsidR="008D328C" w:rsidRPr="00E219B6" w:rsidRDefault="008D328C" w:rsidP="00BF2605">
            <w:pPr>
              <w:tabs>
                <w:tab w:val="left" w:pos="426"/>
              </w:tabs>
              <w:spacing w:line="288" w:lineRule="auto"/>
              <w:ind w:left="113" w:right="113"/>
              <w:rPr>
                <w:rFonts w:ascii="Times New Roman" w:hAnsi="Times New Roman" w:cs="Times New Roman"/>
                <w:b/>
                <w:bCs/>
              </w:rPr>
            </w:pPr>
            <w:r w:rsidRPr="00E219B6">
              <w:rPr>
                <w:rFonts w:ascii="Times New Roman" w:hAnsi="Times New Roman" w:cs="Times New Roman"/>
                <w:b/>
                <w:bCs/>
              </w:rPr>
              <w:sym w:font="Wingdings" w:char="F0DF"/>
            </w:r>
            <w:r w:rsidRPr="00E219B6">
              <w:rPr>
                <w:rFonts w:ascii="Times New Roman" w:hAnsi="Times New Roman" w:cs="Times New Roman"/>
                <w:b/>
                <w:bCs/>
              </w:rPr>
              <w:t xml:space="preserve">  Low </w:t>
            </w:r>
          </w:p>
        </w:tc>
        <w:tc>
          <w:tcPr>
            <w:tcW w:w="2537" w:type="dxa"/>
            <w:gridSpan w:val="2"/>
            <w:tcBorders>
              <w:left w:val="nil"/>
              <w:bottom w:val="nil"/>
            </w:tcBorders>
            <w:vAlign w:val="center"/>
          </w:tcPr>
          <w:p w14:paraId="593B6732" w14:textId="5B490B01" w:rsidR="008D328C" w:rsidRPr="00BE78CC" w:rsidRDefault="00033962"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rPr>
              <w:t>(2)</w:t>
            </w:r>
            <w:r w:rsidRPr="00BE78CC">
              <w:rPr>
                <w:rFonts w:ascii="Times New Roman" w:hAnsi="Times New Roman" w:cs="Times New Roman"/>
                <w:i/>
                <w:iCs/>
                <w:sz w:val="24"/>
                <w:szCs w:val="24"/>
              </w:rPr>
              <w:br/>
            </w:r>
            <w:r w:rsidR="008D328C" w:rsidRPr="00BE78CC">
              <w:rPr>
                <w:rFonts w:ascii="Times New Roman" w:hAnsi="Times New Roman" w:cs="Times New Roman"/>
                <w:i/>
                <w:iCs/>
                <w:sz w:val="24"/>
                <w:szCs w:val="24"/>
              </w:rPr>
              <w:t>β</w:t>
            </w:r>
            <w:r w:rsidR="008D328C" w:rsidRPr="00BE78CC">
              <w:rPr>
                <w:rFonts w:ascii="Times New Roman" w:hAnsi="Times New Roman" w:cs="Times New Roman"/>
                <w:i/>
                <w:iCs/>
                <w:sz w:val="24"/>
                <w:szCs w:val="24"/>
                <w:vertAlign w:val="subscript"/>
              </w:rPr>
              <w:t>1 +</w:t>
            </w:r>
            <w:r w:rsidR="008D328C" w:rsidRPr="00BE78CC">
              <w:rPr>
                <w:rFonts w:ascii="Times New Roman" w:hAnsi="Times New Roman" w:cs="Times New Roman"/>
                <w:i/>
                <w:iCs/>
                <w:sz w:val="24"/>
                <w:szCs w:val="24"/>
              </w:rPr>
              <w:t xml:space="preserve"> β</w:t>
            </w:r>
            <w:r w:rsidR="008D328C" w:rsidRPr="00BE78CC">
              <w:rPr>
                <w:rFonts w:ascii="Times New Roman" w:hAnsi="Times New Roman" w:cs="Times New Roman"/>
                <w:i/>
                <w:iCs/>
                <w:sz w:val="24"/>
                <w:szCs w:val="24"/>
                <w:vertAlign w:val="subscript"/>
              </w:rPr>
              <w:t>3</w:t>
            </w:r>
            <w:r w:rsidR="008D328C" w:rsidRPr="00BE78CC">
              <w:rPr>
                <w:rFonts w:ascii="Times New Roman" w:hAnsi="Times New Roman" w:cs="Times New Roman"/>
              </w:rPr>
              <w:t xml:space="preserve"> </w:t>
            </w:r>
          </w:p>
          <w:p w14:paraId="0ACC82C2" w14:textId="34D29F6E" w:rsidR="00033962" w:rsidRPr="00BE78CC" w:rsidRDefault="00033962" w:rsidP="00BF2605">
            <w:pPr>
              <w:tabs>
                <w:tab w:val="left" w:pos="426"/>
              </w:tabs>
              <w:spacing w:line="288" w:lineRule="auto"/>
              <w:jc w:val="center"/>
              <w:rPr>
                <w:rFonts w:ascii="Times New Roman" w:hAnsi="Times New Roman" w:cs="Times New Roman"/>
                <w:sz w:val="20"/>
                <w:szCs w:val="20"/>
              </w:rPr>
            </w:pPr>
            <w:r w:rsidRPr="00BE78CC">
              <w:rPr>
                <w:rFonts w:ascii="Times New Roman" w:hAnsi="Times New Roman" w:cs="Times New Roman"/>
                <w:sz w:val="20"/>
                <w:szCs w:val="20"/>
              </w:rPr>
              <w:t>ROE: 0.723*</w:t>
            </w:r>
          </w:p>
          <w:p w14:paraId="56F2D642" w14:textId="610A3CFC" w:rsidR="008D328C" w:rsidRPr="00BE78CC" w:rsidRDefault="00033962"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sz w:val="20"/>
                <w:szCs w:val="20"/>
              </w:rPr>
              <w:t>Tobin’s Q: 0.178**</w:t>
            </w:r>
          </w:p>
        </w:tc>
        <w:tc>
          <w:tcPr>
            <w:tcW w:w="2543" w:type="dxa"/>
            <w:gridSpan w:val="2"/>
            <w:tcBorders>
              <w:bottom w:val="nil"/>
              <w:right w:val="nil"/>
            </w:tcBorders>
            <w:vAlign w:val="center"/>
          </w:tcPr>
          <w:p w14:paraId="66E94061" w14:textId="1D57AFD1" w:rsidR="00033962" w:rsidRPr="00BE78CC" w:rsidRDefault="00033962" w:rsidP="00BF2605">
            <w:pPr>
              <w:tabs>
                <w:tab w:val="left" w:pos="426"/>
              </w:tabs>
              <w:spacing w:line="288" w:lineRule="auto"/>
              <w:jc w:val="center"/>
              <w:rPr>
                <w:rFonts w:ascii="Times New Roman" w:hAnsi="Times New Roman" w:cs="Times New Roman"/>
                <w:i/>
                <w:iCs/>
                <w:sz w:val="24"/>
                <w:szCs w:val="24"/>
              </w:rPr>
            </w:pPr>
            <w:r w:rsidRPr="00BE78CC">
              <w:rPr>
                <w:rFonts w:ascii="Times New Roman" w:hAnsi="Times New Roman" w:cs="Times New Roman"/>
              </w:rPr>
              <w:t>(1)</w:t>
            </w:r>
          </w:p>
          <w:p w14:paraId="3D128DCD" w14:textId="0E72D886" w:rsidR="008D328C" w:rsidRPr="00BE78CC" w:rsidRDefault="008D328C" w:rsidP="00BF2605">
            <w:pPr>
              <w:tabs>
                <w:tab w:val="left" w:pos="426"/>
              </w:tabs>
              <w:spacing w:line="288" w:lineRule="auto"/>
              <w:jc w:val="center"/>
              <w:rPr>
                <w:rFonts w:ascii="Times New Roman" w:hAnsi="Times New Roman" w:cs="Times New Roman"/>
                <w:i/>
                <w:iCs/>
                <w:sz w:val="24"/>
                <w:szCs w:val="24"/>
                <w:vertAlign w:val="subscript"/>
              </w:rPr>
            </w:pPr>
            <w:r w:rsidRPr="00BE78CC">
              <w:rPr>
                <w:rFonts w:ascii="Times New Roman" w:hAnsi="Times New Roman" w:cs="Times New Roman"/>
                <w:i/>
                <w:iCs/>
                <w:sz w:val="24"/>
                <w:szCs w:val="24"/>
              </w:rPr>
              <w:t>β</w:t>
            </w:r>
            <w:r w:rsidRPr="00BE78CC">
              <w:rPr>
                <w:rFonts w:ascii="Times New Roman" w:hAnsi="Times New Roman" w:cs="Times New Roman"/>
                <w:i/>
                <w:iCs/>
                <w:sz w:val="24"/>
                <w:szCs w:val="24"/>
                <w:vertAlign w:val="subscript"/>
              </w:rPr>
              <w:t>1</w:t>
            </w:r>
          </w:p>
          <w:p w14:paraId="230DCF75" w14:textId="712779B0" w:rsidR="00033962" w:rsidRPr="00BE78CC" w:rsidRDefault="00033962" w:rsidP="00BF2605">
            <w:pPr>
              <w:tabs>
                <w:tab w:val="left" w:pos="426"/>
              </w:tabs>
              <w:spacing w:line="288" w:lineRule="auto"/>
              <w:jc w:val="center"/>
              <w:rPr>
                <w:rFonts w:ascii="Times New Roman" w:hAnsi="Times New Roman" w:cs="Times New Roman"/>
                <w:sz w:val="20"/>
                <w:szCs w:val="20"/>
              </w:rPr>
            </w:pPr>
            <w:r w:rsidRPr="00BE78CC">
              <w:rPr>
                <w:rFonts w:ascii="Times New Roman" w:hAnsi="Times New Roman" w:cs="Times New Roman"/>
                <w:sz w:val="20"/>
                <w:szCs w:val="20"/>
              </w:rPr>
              <w:t>ROE: 0.544**</w:t>
            </w:r>
          </w:p>
          <w:p w14:paraId="0BD6B390" w14:textId="267D80F8" w:rsidR="008D328C" w:rsidRPr="00BE78CC" w:rsidRDefault="00033962" w:rsidP="00BF2605">
            <w:pPr>
              <w:tabs>
                <w:tab w:val="left" w:pos="426"/>
              </w:tabs>
              <w:spacing w:line="288" w:lineRule="auto"/>
              <w:jc w:val="center"/>
              <w:rPr>
                <w:rFonts w:ascii="Times New Roman" w:hAnsi="Times New Roman" w:cs="Times New Roman"/>
              </w:rPr>
            </w:pPr>
            <w:r w:rsidRPr="00BE78CC">
              <w:rPr>
                <w:rFonts w:ascii="Times New Roman" w:hAnsi="Times New Roman" w:cs="Times New Roman"/>
                <w:sz w:val="20"/>
                <w:szCs w:val="20"/>
              </w:rPr>
              <w:t>Tobin’s Q: 0.117***</w:t>
            </w:r>
          </w:p>
        </w:tc>
      </w:tr>
      <w:bookmarkEnd w:id="5"/>
      <w:bookmarkEnd w:id="6"/>
      <w:tr w:rsidR="008D328C" w:rsidRPr="00E219B6" w14:paraId="77A467B3" w14:textId="77777777" w:rsidTr="00B528D0">
        <w:trPr>
          <w:trHeight w:val="540"/>
          <w:jc w:val="center"/>
        </w:trPr>
        <w:tc>
          <w:tcPr>
            <w:tcW w:w="630" w:type="dxa"/>
            <w:gridSpan w:val="3"/>
            <w:tcBorders>
              <w:top w:val="nil"/>
              <w:left w:val="nil"/>
              <w:bottom w:val="nil"/>
              <w:right w:val="nil"/>
            </w:tcBorders>
          </w:tcPr>
          <w:p w14:paraId="69131F58" w14:textId="77777777" w:rsidR="008D328C" w:rsidRPr="00E219B6" w:rsidRDefault="008D328C" w:rsidP="00BF2605">
            <w:pPr>
              <w:tabs>
                <w:tab w:val="left" w:pos="426"/>
              </w:tabs>
              <w:spacing w:line="288" w:lineRule="auto"/>
              <w:rPr>
                <w:rFonts w:ascii="Times New Roman" w:hAnsi="Times New Roman" w:cs="Times New Roman"/>
              </w:rPr>
            </w:pPr>
          </w:p>
        </w:tc>
        <w:tc>
          <w:tcPr>
            <w:tcW w:w="534" w:type="dxa"/>
            <w:tcBorders>
              <w:top w:val="nil"/>
              <w:left w:val="nil"/>
              <w:bottom w:val="nil"/>
              <w:right w:val="nil"/>
            </w:tcBorders>
          </w:tcPr>
          <w:p w14:paraId="1DA663E3" w14:textId="77777777" w:rsidR="008D328C" w:rsidRPr="00E219B6" w:rsidRDefault="008D328C" w:rsidP="00BF2605">
            <w:pPr>
              <w:tabs>
                <w:tab w:val="left" w:pos="426"/>
              </w:tabs>
              <w:spacing w:line="288" w:lineRule="auto"/>
              <w:rPr>
                <w:rFonts w:ascii="Times New Roman" w:hAnsi="Times New Roman" w:cs="Times New Roman"/>
              </w:rPr>
            </w:pPr>
          </w:p>
        </w:tc>
        <w:tc>
          <w:tcPr>
            <w:tcW w:w="5080" w:type="dxa"/>
            <w:gridSpan w:val="4"/>
            <w:tcBorders>
              <w:top w:val="nil"/>
              <w:left w:val="nil"/>
              <w:bottom w:val="nil"/>
              <w:right w:val="nil"/>
            </w:tcBorders>
            <w:vAlign w:val="center"/>
          </w:tcPr>
          <w:p w14:paraId="1352CB0B" w14:textId="77777777" w:rsidR="008D328C" w:rsidRPr="00BE78CC" w:rsidRDefault="008D328C" w:rsidP="00BF2605">
            <w:pPr>
              <w:tabs>
                <w:tab w:val="left" w:pos="426"/>
              </w:tabs>
              <w:spacing w:line="288" w:lineRule="auto"/>
              <w:jc w:val="center"/>
              <w:rPr>
                <w:rFonts w:ascii="Times New Roman" w:hAnsi="Times New Roman" w:cs="Times New Roman"/>
                <w:b/>
                <w:bCs/>
              </w:rPr>
            </w:pPr>
          </w:p>
          <w:p w14:paraId="6A4414B9" w14:textId="77777777" w:rsidR="008D328C" w:rsidRPr="00BE78CC" w:rsidRDefault="008D328C" w:rsidP="00BF2605">
            <w:pPr>
              <w:tabs>
                <w:tab w:val="left" w:pos="426"/>
              </w:tabs>
              <w:spacing w:line="288" w:lineRule="auto"/>
              <w:jc w:val="center"/>
              <w:rPr>
                <w:rFonts w:ascii="Times New Roman" w:hAnsi="Times New Roman" w:cs="Times New Roman"/>
                <w:b/>
                <w:bCs/>
              </w:rPr>
            </w:pPr>
          </w:p>
          <w:p w14:paraId="50DBF218" w14:textId="77777777" w:rsidR="008D328C" w:rsidRPr="00BE78CC" w:rsidRDefault="008D328C" w:rsidP="00B528D0">
            <w:pPr>
              <w:tabs>
                <w:tab w:val="left" w:pos="426"/>
              </w:tabs>
              <w:spacing w:line="288" w:lineRule="auto"/>
              <w:ind w:left="-987"/>
              <w:jc w:val="center"/>
              <w:rPr>
                <w:rFonts w:ascii="Times New Roman" w:hAnsi="Times New Roman" w:cs="Times New Roman"/>
                <w:b/>
                <w:bCs/>
              </w:rPr>
            </w:pPr>
            <w:r w:rsidRPr="00BE78CC">
              <w:rPr>
                <w:rFonts w:ascii="Times New Roman" w:hAnsi="Times New Roman" w:cs="Times New Roman"/>
                <w:b/>
                <w:bCs/>
              </w:rPr>
              <w:t>High Country-Level Mechanisms</w:t>
            </w:r>
          </w:p>
          <w:p w14:paraId="4F7393D3" w14:textId="77777777" w:rsidR="008D328C" w:rsidRPr="00BE78CC" w:rsidRDefault="008D328C" w:rsidP="00B528D0">
            <w:pPr>
              <w:tabs>
                <w:tab w:val="left" w:pos="426"/>
              </w:tabs>
              <w:spacing w:line="288" w:lineRule="auto"/>
              <w:ind w:left="-987"/>
              <w:jc w:val="center"/>
              <w:rPr>
                <w:rFonts w:ascii="Times New Roman" w:hAnsi="Times New Roman" w:cs="Times New Roman"/>
                <w:b/>
                <w:bCs/>
              </w:rPr>
            </w:pPr>
            <w:r w:rsidRPr="00BE78CC">
              <w:rPr>
                <w:rFonts w:ascii="Times New Roman" w:hAnsi="Times New Roman" w:cs="Times New Roman"/>
                <w:b/>
                <w:bCs/>
              </w:rPr>
              <w:t>Dependence on External Financing</w:t>
            </w:r>
          </w:p>
          <w:p w14:paraId="1FFAE809" w14:textId="77777777" w:rsidR="008D328C" w:rsidRPr="00BE78CC" w:rsidRDefault="008D328C" w:rsidP="00BF2605">
            <w:pPr>
              <w:tabs>
                <w:tab w:val="left" w:pos="426"/>
              </w:tabs>
              <w:spacing w:line="288" w:lineRule="auto"/>
              <w:jc w:val="center"/>
              <w:rPr>
                <w:rFonts w:ascii="Times New Roman" w:hAnsi="Times New Roman" w:cs="Times New Roman"/>
                <w:b/>
                <w:bCs/>
              </w:rPr>
            </w:pPr>
          </w:p>
        </w:tc>
      </w:tr>
      <w:tr w:rsidR="008D328C" w:rsidRPr="00E219B6" w14:paraId="662F8740" w14:textId="77777777" w:rsidTr="00B528D0">
        <w:trPr>
          <w:cantSplit/>
          <w:trHeight w:val="350"/>
          <w:jc w:val="center"/>
        </w:trPr>
        <w:tc>
          <w:tcPr>
            <w:tcW w:w="630" w:type="dxa"/>
            <w:gridSpan w:val="3"/>
            <w:tcBorders>
              <w:top w:val="nil"/>
              <w:left w:val="nil"/>
              <w:bottom w:val="nil"/>
              <w:right w:val="nil"/>
            </w:tcBorders>
          </w:tcPr>
          <w:p w14:paraId="792B3456" w14:textId="77777777" w:rsidR="008D328C" w:rsidRPr="00E219B6" w:rsidRDefault="008D328C" w:rsidP="00BF2605">
            <w:pPr>
              <w:tabs>
                <w:tab w:val="left" w:pos="426"/>
              </w:tabs>
              <w:spacing w:line="288" w:lineRule="auto"/>
              <w:rPr>
                <w:rFonts w:ascii="Times New Roman" w:hAnsi="Times New Roman" w:cs="Times New Roman"/>
              </w:rPr>
            </w:pPr>
          </w:p>
        </w:tc>
        <w:tc>
          <w:tcPr>
            <w:tcW w:w="534" w:type="dxa"/>
            <w:tcBorders>
              <w:top w:val="nil"/>
              <w:left w:val="nil"/>
              <w:bottom w:val="nil"/>
              <w:right w:val="nil"/>
            </w:tcBorders>
          </w:tcPr>
          <w:p w14:paraId="0983C041" w14:textId="77777777" w:rsidR="008D328C" w:rsidRPr="00E219B6" w:rsidRDefault="008D328C" w:rsidP="00BF2605">
            <w:pPr>
              <w:tabs>
                <w:tab w:val="left" w:pos="426"/>
              </w:tabs>
              <w:spacing w:line="288" w:lineRule="auto"/>
              <w:rPr>
                <w:rFonts w:ascii="Times New Roman" w:hAnsi="Times New Roman" w:cs="Times New Roman"/>
              </w:rPr>
            </w:pPr>
          </w:p>
        </w:tc>
        <w:tc>
          <w:tcPr>
            <w:tcW w:w="1687" w:type="dxa"/>
            <w:tcBorders>
              <w:top w:val="nil"/>
              <w:left w:val="nil"/>
              <w:bottom w:val="nil"/>
              <w:right w:val="nil"/>
            </w:tcBorders>
          </w:tcPr>
          <w:p w14:paraId="1E733E94" w14:textId="77777777" w:rsidR="008D328C" w:rsidRPr="00E219B6" w:rsidRDefault="008D328C" w:rsidP="00BF2605">
            <w:pPr>
              <w:tabs>
                <w:tab w:val="left" w:pos="426"/>
              </w:tabs>
              <w:spacing w:line="288" w:lineRule="auto"/>
              <w:rPr>
                <w:rFonts w:ascii="Times New Roman" w:hAnsi="Times New Roman" w:cs="Times New Roman"/>
                <w:b/>
                <w:bCs/>
              </w:rPr>
            </w:pPr>
            <w:r w:rsidRPr="00E219B6">
              <w:rPr>
                <w:rFonts w:ascii="Times New Roman" w:hAnsi="Times New Roman" w:cs="Times New Roman"/>
                <w:b/>
                <w:bCs/>
              </w:rPr>
              <w:sym w:font="Wingdings" w:char="F0DF"/>
            </w:r>
            <w:r w:rsidRPr="00E219B6">
              <w:rPr>
                <w:rFonts w:ascii="Times New Roman" w:hAnsi="Times New Roman" w:cs="Times New Roman"/>
                <w:b/>
                <w:bCs/>
              </w:rPr>
              <w:t xml:space="preserve"> High</w:t>
            </w:r>
          </w:p>
        </w:tc>
        <w:tc>
          <w:tcPr>
            <w:tcW w:w="3393" w:type="dxa"/>
            <w:gridSpan w:val="3"/>
            <w:tcBorders>
              <w:top w:val="nil"/>
              <w:left w:val="nil"/>
              <w:bottom w:val="nil"/>
              <w:right w:val="nil"/>
            </w:tcBorders>
          </w:tcPr>
          <w:p w14:paraId="463479C0" w14:textId="77777777" w:rsidR="008D328C" w:rsidRPr="00E219B6" w:rsidRDefault="008D328C" w:rsidP="00BF2605">
            <w:pPr>
              <w:tabs>
                <w:tab w:val="left" w:pos="426"/>
              </w:tabs>
              <w:spacing w:line="288" w:lineRule="auto"/>
              <w:jc w:val="right"/>
              <w:rPr>
                <w:rFonts w:ascii="Times New Roman" w:hAnsi="Times New Roman" w:cs="Times New Roman"/>
                <w:b/>
                <w:bCs/>
              </w:rPr>
            </w:pPr>
            <w:r w:rsidRPr="00E219B6">
              <w:rPr>
                <w:rFonts w:ascii="Times New Roman" w:hAnsi="Times New Roman" w:cs="Times New Roman"/>
                <w:b/>
                <w:bCs/>
              </w:rPr>
              <w:t xml:space="preserve">Low </w:t>
            </w:r>
            <w:r w:rsidRPr="00E219B6">
              <w:rPr>
                <w:rFonts w:ascii="Times New Roman" w:hAnsi="Times New Roman" w:cs="Times New Roman"/>
                <w:b/>
                <w:bCs/>
              </w:rPr>
              <w:sym w:font="Wingdings" w:char="F0E0"/>
            </w:r>
          </w:p>
        </w:tc>
      </w:tr>
      <w:tr w:rsidR="008D328C" w:rsidRPr="00E219B6" w14:paraId="344BBA7B" w14:textId="77777777" w:rsidTr="00B528D0">
        <w:trPr>
          <w:cantSplit/>
          <w:trHeight w:val="1296"/>
          <w:jc w:val="center"/>
        </w:trPr>
        <w:tc>
          <w:tcPr>
            <w:tcW w:w="630" w:type="dxa"/>
            <w:gridSpan w:val="3"/>
            <w:vMerge w:val="restart"/>
            <w:tcBorders>
              <w:top w:val="nil"/>
              <w:left w:val="nil"/>
              <w:right w:val="nil"/>
            </w:tcBorders>
            <w:textDirection w:val="btLr"/>
            <w:vAlign w:val="center"/>
          </w:tcPr>
          <w:p w14:paraId="48648D8C" w14:textId="77777777" w:rsidR="008D328C" w:rsidRPr="00E219B6" w:rsidRDefault="008D328C" w:rsidP="00BF2605">
            <w:pPr>
              <w:tabs>
                <w:tab w:val="left" w:pos="426"/>
              </w:tabs>
              <w:spacing w:line="288" w:lineRule="auto"/>
              <w:ind w:left="113" w:right="113"/>
              <w:jc w:val="center"/>
              <w:rPr>
                <w:rFonts w:ascii="Times New Roman" w:hAnsi="Times New Roman" w:cs="Times New Roman"/>
                <w:b/>
                <w:bCs/>
              </w:rPr>
            </w:pPr>
            <w:r w:rsidRPr="00E219B6">
              <w:rPr>
                <w:rFonts w:ascii="Times New Roman" w:hAnsi="Times New Roman" w:cs="Times New Roman"/>
                <w:b/>
                <w:bCs/>
              </w:rPr>
              <w:t>Financial Development</w:t>
            </w:r>
          </w:p>
        </w:tc>
        <w:tc>
          <w:tcPr>
            <w:tcW w:w="534" w:type="dxa"/>
            <w:tcBorders>
              <w:top w:val="nil"/>
              <w:left w:val="nil"/>
              <w:bottom w:val="nil"/>
              <w:right w:val="nil"/>
            </w:tcBorders>
            <w:textDirection w:val="btLr"/>
          </w:tcPr>
          <w:p w14:paraId="549711E5" w14:textId="77777777" w:rsidR="008D328C" w:rsidRPr="00E219B6" w:rsidRDefault="008D328C" w:rsidP="00BF2605">
            <w:pPr>
              <w:tabs>
                <w:tab w:val="left" w:pos="426"/>
              </w:tabs>
              <w:spacing w:line="288" w:lineRule="auto"/>
              <w:ind w:left="113" w:right="113"/>
              <w:jc w:val="right"/>
              <w:rPr>
                <w:rFonts w:ascii="Times New Roman" w:hAnsi="Times New Roman" w:cs="Times New Roman"/>
                <w:b/>
                <w:bCs/>
              </w:rPr>
            </w:pPr>
            <w:r w:rsidRPr="00E219B6">
              <w:rPr>
                <w:rFonts w:ascii="Times New Roman" w:hAnsi="Times New Roman" w:cs="Times New Roman"/>
                <w:b/>
                <w:bCs/>
              </w:rPr>
              <w:t xml:space="preserve">High </w:t>
            </w:r>
            <w:r w:rsidRPr="00E219B6">
              <w:rPr>
                <w:rFonts w:ascii="Times New Roman" w:hAnsi="Times New Roman" w:cs="Times New Roman"/>
                <w:b/>
                <w:bCs/>
              </w:rPr>
              <w:sym w:font="Wingdings" w:char="F0E0"/>
            </w:r>
          </w:p>
        </w:tc>
        <w:tc>
          <w:tcPr>
            <w:tcW w:w="2537" w:type="dxa"/>
            <w:gridSpan w:val="2"/>
            <w:tcBorders>
              <w:top w:val="nil"/>
              <w:left w:val="nil"/>
            </w:tcBorders>
            <w:vAlign w:val="center"/>
          </w:tcPr>
          <w:p w14:paraId="5686A407" w14:textId="064F7C2F" w:rsidR="00033962" w:rsidRDefault="00033962" w:rsidP="00BF2605">
            <w:pPr>
              <w:tabs>
                <w:tab w:val="left" w:pos="426"/>
              </w:tabs>
              <w:spacing w:line="288" w:lineRule="auto"/>
              <w:jc w:val="center"/>
              <w:rPr>
                <w:rFonts w:ascii="Times New Roman" w:hAnsi="Times New Roman" w:cs="Times New Roman"/>
                <w:i/>
                <w:iCs/>
                <w:sz w:val="24"/>
                <w:szCs w:val="24"/>
              </w:rPr>
            </w:pPr>
            <w:r>
              <w:rPr>
                <w:rFonts w:ascii="Times New Roman" w:hAnsi="Times New Roman" w:cs="Times New Roman"/>
              </w:rPr>
              <w:t>(3)</w:t>
            </w:r>
          </w:p>
          <w:p w14:paraId="42965675" w14:textId="74EA2B28" w:rsidR="008D328C" w:rsidRDefault="008D328C" w:rsidP="00BF2605">
            <w:pPr>
              <w:tabs>
                <w:tab w:val="left" w:pos="426"/>
              </w:tabs>
              <w:spacing w:line="288" w:lineRule="auto"/>
              <w:jc w:val="center"/>
              <w:rPr>
                <w:rFonts w:ascii="Times New Roman" w:hAnsi="Times New Roman" w:cs="Times New Roman"/>
              </w:rPr>
            </w:pPr>
            <w:r w:rsidRPr="005D4D7F">
              <w:rPr>
                <w:rFonts w:ascii="Times New Roman" w:hAnsi="Times New Roman" w:cs="Times New Roman"/>
                <w:i/>
                <w:iCs/>
                <w:sz w:val="24"/>
                <w:szCs w:val="24"/>
              </w:rPr>
              <w:t>β</w:t>
            </w:r>
            <w:r w:rsidRPr="005D4D7F">
              <w:rPr>
                <w:rFonts w:ascii="Times New Roman" w:hAnsi="Times New Roman" w:cs="Times New Roman"/>
                <w:i/>
                <w:iCs/>
                <w:sz w:val="24"/>
                <w:szCs w:val="24"/>
                <w:vertAlign w:val="subscript"/>
              </w:rPr>
              <w:t>1</w:t>
            </w:r>
            <w:r>
              <w:rPr>
                <w:rFonts w:ascii="Times New Roman" w:hAnsi="Times New Roman" w:cs="Times New Roman"/>
                <w:i/>
                <w:iCs/>
                <w:sz w:val="24"/>
                <w:szCs w:val="24"/>
                <w:vertAlign w:val="subscript"/>
              </w:rPr>
              <w:t xml:space="preserve"> </w:t>
            </w:r>
            <w:r w:rsidRPr="008D328C">
              <w:rPr>
                <w:rFonts w:ascii="Times New Roman" w:hAnsi="Times New Roman" w:cs="Times New Roman"/>
                <w:i/>
                <w:iCs/>
                <w:sz w:val="24"/>
                <w:szCs w:val="24"/>
              </w:rPr>
              <w:t>+</w:t>
            </w:r>
            <w:r w:rsidRPr="005D4D7F">
              <w:rPr>
                <w:rFonts w:ascii="Times New Roman" w:hAnsi="Times New Roman" w:cs="Times New Roman"/>
                <w:i/>
                <w:iCs/>
                <w:sz w:val="24"/>
                <w:szCs w:val="24"/>
              </w:rPr>
              <w:t xml:space="preserve"> β</w:t>
            </w:r>
            <w:r>
              <w:rPr>
                <w:rFonts w:ascii="Times New Roman" w:hAnsi="Times New Roman" w:cs="Times New Roman"/>
                <w:i/>
                <w:iCs/>
                <w:sz w:val="24"/>
                <w:szCs w:val="24"/>
                <w:vertAlign w:val="subscript"/>
              </w:rPr>
              <w:t xml:space="preserve">2 </w:t>
            </w:r>
            <w:r>
              <w:rPr>
                <w:rFonts w:ascii="Times New Roman" w:hAnsi="Times New Roman" w:cs="Times New Roman"/>
                <w:i/>
                <w:iCs/>
                <w:sz w:val="24"/>
                <w:szCs w:val="24"/>
              </w:rPr>
              <w:t xml:space="preserve">+ </w:t>
            </w:r>
            <w:r w:rsidRPr="005D4D7F">
              <w:rPr>
                <w:rFonts w:ascii="Times New Roman" w:hAnsi="Times New Roman" w:cs="Times New Roman"/>
                <w:i/>
                <w:iCs/>
                <w:sz w:val="24"/>
                <w:szCs w:val="24"/>
              </w:rPr>
              <w:t>β</w:t>
            </w:r>
            <w:r w:rsidRPr="005D4D7F">
              <w:rPr>
                <w:rFonts w:ascii="Times New Roman" w:hAnsi="Times New Roman" w:cs="Times New Roman"/>
                <w:i/>
                <w:iCs/>
                <w:sz w:val="24"/>
                <w:szCs w:val="24"/>
                <w:vertAlign w:val="subscript"/>
              </w:rPr>
              <w:t>3</w:t>
            </w:r>
            <w:r>
              <w:rPr>
                <w:rFonts w:ascii="Times New Roman" w:hAnsi="Times New Roman" w:cs="Times New Roman"/>
                <w:i/>
                <w:iCs/>
                <w:sz w:val="24"/>
                <w:szCs w:val="24"/>
                <w:vertAlign w:val="subscript"/>
              </w:rPr>
              <w:t xml:space="preserve"> </w:t>
            </w:r>
            <w:r>
              <w:rPr>
                <w:rFonts w:ascii="Times New Roman" w:hAnsi="Times New Roman" w:cs="Times New Roman"/>
                <w:i/>
                <w:iCs/>
                <w:sz w:val="24"/>
                <w:szCs w:val="24"/>
              </w:rPr>
              <w:t xml:space="preserve">+ </w:t>
            </w:r>
            <w:r w:rsidRPr="005D4D7F">
              <w:rPr>
                <w:rFonts w:ascii="Times New Roman" w:hAnsi="Times New Roman" w:cs="Times New Roman"/>
                <w:i/>
                <w:iCs/>
                <w:sz w:val="24"/>
                <w:szCs w:val="24"/>
              </w:rPr>
              <w:t>β</w:t>
            </w:r>
            <w:r w:rsidRPr="005D4D7F">
              <w:rPr>
                <w:rFonts w:ascii="Times New Roman" w:hAnsi="Times New Roman" w:cs="Times New Roman"/>
                <w:i/>
                <w:iCs/>
                <w:sz w:val="24"/>
                <w:szCs w:val="24"/>
                <w:vertAlign w:val="subscript"/>
              </w:rPr>
              <w:t>4</w:t>
            </w:r>
          </w:p>
          <w:p w14:paraId="5DC54988" w14:textId="4B8765D6" w:rsidR="00033962" w:rsidRPr="00033962" w:rsidRDefault="00033962" w:rsidP="00BF2605">
            <w:pPr>
              <w:tabs>
                <w:tab w:val="left" w:pos="426"/>
              </w:tabs>
              <w:spacing w:line="288" w:lineRule="auto"/>
              <w:jc w:val="center"/>
              <w:rPr>
                <w:rFonts w:ascii="Times New Roman" w:hAnsi="Times New Roman" w:cs="Times New Roman"/>
                <w:sz w:val="20"/>
                <w:szCs w:val="20"/>
              </w:rPr>
            </w:pPr>
            <w:r w:rsidRPr="00033962">
              <w:rPr>
                <w:rFonts w:ascii="Times New Roman" w:hAnsi="Times New Roman" w:cs="Times New Roman"/>
                <w:sz w:val="20"/>
                <w:szCs w:val="20"/>
              </w:rPr>
              <w:t>ROE:</w:t>
            </w:r>
            <w:r w:rsidR="008D1DA5">
              <w:rPr>
                <w:rFonts w:ascii="Times New Roman" w:hAnsi="Times New Roman" w:cs="Times New Roman"/>
                <w:sz w:val="20"/>
                <w:szCs w:val="20"/>
              </w:rPr>
              <w:t xml:space="preserve"> 1.08</w:t>
            </w:r>
            <w:r w:rsidR="00C46206">
              <w:rPr>
                <w:rFonts w:ascii="Times New Roman" w:hAnsi="Times New Roman" w:cs="Times New Roman"/>
                <w:sz w:val="20"/>
                <w:szCs w:val="20"/>
              </w:rPr>
              <w:t>0</w:t>
            </w:r>
            <w:r w:rsidR="008D1DA5">
              <w:rPr>
                <w:rFonts w:ascii="Times New Roman" w:hAnsi="Times New Roman" w:cs="Times New Roman"/>
                <w:sz w:val="20"/>
                <w:szCs w:val="20"/>
              </w:rPr>
              <w:t>**</w:t>
            </w:r>
          </w:p>
          <w:p w14:paraId="1C7F9F4C" w14:textId="0F2CE39A" w:rsidR="008D328C" w:rsidRPr="00E219B6" w:rsidRDefault="00033962" w:rsidP="00BF2605">
            <w:pPr>
              <w:tabs>
                <w:tab w:val="left" w:pos="426"/>
              </w:tabs>
              <w:spacing w:line="288" w:lineRule="auto"/>
              <w:jc w:val="center"/>
              <w:rPr>
                <w:rFonts w:ascii="Times New Roman" w:hAnsi="Times New Roman" w:cs="Times New Roman"/>
              </w:rPr>
            </w:pPr>
            <w:r w:rsidRPr="00033962">
              <w:rPr>
                <w:rFonts w:ascii="Times New Roman" w:hAnsi="Times New Roman" w:cs="Times New Roman"/>
                <w:sz w:val="20"/>
                <w:szCs w:val="20"/>
              </w:rPr>
              <w:t>Tobin’s Q:</w:t>
            </w:r>
            <w:r w:rsidR="008D1DA5">
              <w:rPr>
                <w:rFonts w:ascii="Times New Roman" w:hAnsi="Times New Roman" w:cs="Times New Roman"/>
                <w:sz w:val="20"/>
                <w:szCs w:val="20"/>
              </w:rPr>
              <w:t xml:space="preserve"> 0.223***</w:t>
            </w:r>
          </w:p>
        </w:tc>
        <w:tc>
          <w:tcPr>
            <w:tcW w:w="2543" w:type="dxa"/>
            <w:gridSpan w:val="2"/>
            <w:tcBorders>
              <w:top w:val="nil"/>
              <w:right w:val="nil"/>
            </w:tcBorders>
            <w:vAlign w:val="center"/>
          </w:tcPr>
          <w:p w14:paraId="670EE373" w14:textId="6D027F7C" w:rsidR="008D328C" w:rsidRDefault="00033962" w:rsidP="00BF2605">
            <w:pPr>
              <w:tabs>
                <w:tab w:val="left" w:pos="426"/>
              </w:tabs>
              <w:spacing w:line="288" w:lineRule="auto"/>
              <w:jc w:val="center"/>
              <w:rPr>
                <w:rFonts w:ascii="Times New Roman" w:hAnsi="Times New Roman" w:cs="Times New Roman"/>
              </w:rPr>
            </w:pPr>
            <w:r>
              <w:rPr>
                <w:rFonts w:ascii="Times New Roman" w:hAnsi="Times New Roman" w:cs="Times New Roman"/>
              </w:rPr>
              <w:t>(4)</w:t>
            </w:r>
            <w:r>
              <w:rPr>
                <w:rFonts w:ascii="Times New Roman" w:hAnsi="Times New Roman" w:cs="Times New Roman"/>
                <w:i/>
                <w:iCs/>
                <w:sz w:val="24"/>
                <w:szCs w:val="24"/>
              </w:rPr>
              <w:br/>
            </w:r>
            <w:r w:rsidR="008D328C" w:rsidRPr="005D4D7F">
              <w:rPr>
                <w:rFonts w:ascii="Times New Roman" w:hAnsi="Times New Roman" w:cs="Times New Roman"/>
                <w:i/>
                <w:iCs/>
                <w:sz w:val="24"/>
                <w:szCs w:val="24"/>
              </w:rPr>
              <w:t>β</w:t>
            </w:r>
            <w:r w:rsidR="008D328C" w:rsidRPr="005D4D7F">
              <w:rPr>
                <w:rFonts w:ascii="Times New Roman" w:hAnsi="Times New Roman" w:cs="Times New Roman"/>
                <w:i/>
                <w:iCs/>
                <w:sz w:val="24"/>
                <w:szCs w:val="24"/>
                <w:vertAlign w:val="subscript"/>
              </w:rPr>
              <w:t>1</w:t>
            </w:r>
            <w:r w:rsidR="008D328C">
              <w:rPr>
                <w:rFonts w:ascii="Times New Roman" w:hAnsi="Times New Roman" w:cs="Times New Roman"/>
                <w:i/>
                <w:iCs/>
                <w:sz w:val="24"/>
                <w:szCs w:val="24"/>
                <w:vertAlign w:val="subscript"/>
              </w:rPr>
              <w:t xml:space="preserve"> </w:t>
            </w:r>
            <w:r w:rsidR="008D328C" w:rsidRPr="008D328C">
              <w:rPr>
                <w:rFonts w:ascii="Times New Roman" w:hAnsi="Times New Roman" w:cs="Times New Roman"/>
                <w:i/>
                <w:iCs/>
                <w:sz w:val="24"/>
                <w:szCs w:val="24"/>
              </w:rPr>
              <w:t>+</w:t>
            </w:r>
            <w:r w:rsidR="008D328C">
              <w:rPr>
                <w:rFonts w:ascii="Times New Roman" w:hAnsi="Times New Roman" w:cs="Times New Roman"/>
                <w:i/>
                <w:iCs/>
                <w:sz w:val="24"/>
                <w:szCs w:val="24"/>
              </w:rPr>
              <w:t xml:space="preserve"> </w:t>
            </w:r>
            <w:r w:rsidR="008D328C" w:rsidRPr="005D4D7F">
              <w:rPr>
                <w:rFonts w:ascii="Times New Roman" w:hAnsi="Times New Roman" w:cs="Times New Roman"/>
                <w:i/>
                <w:iCs/>
                <w:sz w:val="24"/>
                <w:szCs w:val="24"/>
              </w:rPr>
              <w:t>β</w:t>
            </w:r>
            <w:r w:rsidR="008D328C">
              <w:rPr>
                <w:rFonts w:ascii="Times New Roman" w:hAnsi="Times New Roman" w:cs="Times New Roman"/>
                <w:i/>
                <w:iCs/>
                <w:sz w:val="24"/>
                <w:szCs w:val="24"/>
                <w:vertAlign w:val="subscript"/>
              </w:rPr>
              <w:t xml:space="preserve">2 </w:t>
            </w:r>
            <w:r w:rsidR="008D328C">
              <w:rPr>
                <w:rFonts w:ascii="Times New Roman" w:hAnsi="Times New Roman" w:cs="Times New Roman"/>
                <w:i/>
                <w:iCs/>
                <w:sz w:val="24"/>
                <w:szCs w:val="24"/>
              </w:rPr>
              <w:t xml:space="preserve">+ </w:t>
            </w:r>
            <w:r w:rsidR="008D328C" w:rsidRPr="005D4D7F">
              <w:rPr>
                <w:rFonts w:ascii="Times New Roman" w:hAnsi="Times New Roman" w:cs="Times New Roman"/>
                <w:i/>
                <w:iCs/>
                <w:sz w:val="24"/>
                <w:szCs w:val="24"/>
              </w:rPr>
              <w:t>β</w:t>
            </w:r>
            <w:r w:rsidR="008D328C" w:rsidRPr="005D4D7F">
              <w:rPr>
                <w:rFonts w:ascii="Times New Roman" w:hAnsi="Times New Roman" w:cs="Times New Roman"/>
                <w:i/>
                <w:iCs/>
                <w:sz w:val="24"/>
                <w:szCs w:val="24"/>
                <w:vertAlign w:val="subscript"/>
              </w:rPr>
              <w:t>4</w:t>
            </w:r>
          </w:p>
          <w:p w14:paraId="2587821A" w14:textId="55E614D1" w:rsidR="00033962" w:rsidRPr="00033962" w:rsidRDefault="00033962" w:rsidP="00BF2605">
            <w:pPr>
              <w:tabs>
                <w:tab w:val="left" w:pos="426"/>
              </w:tabs>
              <w:spacing w:line="288" w:lineRule="auto"/>
              <w:jc w:val="center"/>
              <w:rPr>
                <w:rFonts w:ascii="Times New Roman" w:hAnsi="Times New Roman" w:cs="Times New Roman"/>
                <w:sz w:val="20"/>
                <w:szCs w:val="20"/>
              </w:rPr>
            </w:pPr>
            <w:r w:rsidRPr="00033962">
              <w:rPr>
                <w:rFonts w:ascii="Times New Roman" w:hAnsi="Times New Roman" w:cs="Times New Roman"/>
                <w:sz w:val="20"/>
                <w:szCs w:val="20"/>
              </w:rPr>
              <w:t>ROE:</w:t>
            </w:r>
            <w:r w:rsidR="008D1DA5">
              <w:rPr>
                <w:rFonts w:ascii="Times New Roman" w:hAnsi="Times New Roman" w:cs="Times New Roman"/>
                <w:sz w:val="20"/>
                <w:szCs w:val="20"/>
              </w:rPr>
              <w:t xml:space="preserve"> 0.901*</w:t>
            </w:r>
          </w:p>
          <w:p w14:paraId="41389F80" w14:textId="2E52200B" w:rsidR="008D328C" w:rsidRPr="00E219B6" w:rsidRDefault="00033962" w:rsidP="00BF2605">
            <w:pPr>
              <w:tabs>
                <w:tab w:val="left" w:pos="426"/>
              </w:tabs>
              <w:spacing w:line="288" w:lineRule="auto"/>
              <w:jc w:val="center"/>
              <w:rPr>
                <w:rFonts w:ascii="Times New Roman" w:hAnsi="Times New Roman" w:cs="Times New Roman"/>
              </w:rPr>
            </w:pPr>
            <w:r w:rsidRPr="00033962">
              <w:rPr>
                <w:rFonts w:ascii="Times New Roman" w:hAnsi="Times New Roman" w:cs="Times New Roman"/>
                <w:sz w:val="20"/>
                <w:szCs w:val="20"/>
              </w:rPr>
              <w:t>Tobin’s Q:</w:t>
            </w:r>
            <w:r w:rsidR="008D1DA5">
              <w:rPr>
                <w:rFonts w:ascii="Times New Roman" w:hAnsi="Times New Roman" w:cs="Times New Roman"/>
                <w:sz w:val="20"/>
                <w:szCs w:val="20"/>
              </w:rPr>
              <w:t xml:space="preserve"> 0.162***</w:t>
            </w:r>
          </w:p>
        </w:tc>
      </w:tr>
      <w:tr w:rsidR="008D328C" w:rsidRPr="00E219B6" w14:paraId="29A0B8D9" w14:textId="77777777" w:rsidTr="00B528D0">
        <w:trPr>
          <w:cantSplit/>
          <w:trHeight w:val="1296"/>
          <w:jc w:val="center"/>
        </w:trPr>
        <w:tc>
          <w:tcPr>
            <w:tcW w:w="630" w:type="dxa"/>
            <w:gridSpan w:val="3"/>
            <w:vMerge/>
            <w:tcBorders>
              <w:left w:val="nil"/>
              <w:bottom w:val="nil"/>
              <w:right w:val="nil"/>
            </w:tcBorders>
          </w:tcPr>
          <w:p w14:paraId="583DD760" w14:textId="77777777" w:rsidR="008D328C" w:rsidRPr="00E219B6" w:rsidRDefault="008D328C" w:rsidP="00BF2605">
            <w:pPr>
              <w:tabs>
                <w:tab w:val="left" w:pos="426"/>
              </w:tabs>
              <w:spacing w:line="288" w:lineRule="auto"/>
              <w:rPr>
                <w:rFonts w:ascii="Times New Roman" w:hAnsi="Times New Roman" w:cs="Times New Roman"/>
              </w:rPr>
            </w:pPr>
          </w:p>
        </w:tc>
        <w:tc>
          <w:tcPr>
            <w:tcW w:w="534" w:type="dxa"/>
            <w:tcBorders>
              <w:top w:val="nil"/>
              <w:left w:val="nil"/>
              <w:bottom w:val="nil"/>
              <w:right w:val="nil"/>
            </w:tcBorders>
            <w:textDirection w:val="btLr"/>
          </w:tcPr>
          <w:p w14:paraId="577C5DC8" w14:textId="77777777" w:rsidR="008D328C" w:rsidRPr="00E219B6" w:rsidRDefault="008D328C" w:rsidP="00BF2605">
            <w:pPr>
              <w:tabs>
                <w:tab w:val="left" w:pos="426"/>
              </w:tabs>
              <w:spacing w:line="288" w:lineRule="auto"/>
              <w:ind w:left="113" w:right="113"/>
              <w:rPr>
                <w:rFonts w:ascii="Times New Roman" w:hAnsi="Times New Roman" w:cs="Times New Roman"/>
                <w:b/>
                <w:bCs/>
              </w:rPr>
            </w:pPr>
            <w:r w:rsidRPr="00E219B6">
              <w:rPr>
                <w:rFonts w:ascii="Times New Roman" w:hAnsi="Times New Roman" w:cs="Times New Roman"/>
                <w:b/>
                <w:bCs/>
              </w:rPr>
              <w:sym w:font="Wingdings" w:char="F0DF"/>
            </w:r>
            <w:r w:rsidRPr="00E219B6">
              <w:rPr>
                <w:rFonts w:ascii="Times New Roman" w:hAnsi="Times New Roman" w:cs="Times New Roman"/>
                <w:b/>
                <w:bCs/>
              </w:rPr>
              <w:t xml:space="preserve">  Low </w:t>
            </w:r>
          </w:p>
        </w:tc>
        <w:tc>
          <w:tcPr>
            <w:tcW w:w="2537" w:type="dxa"/>
            <w:gridSpan w:val="2"/>
            <w:tcBorders>
              <w:left w:val="nil"/>
              <w:bottom w:val="nil"/>
            </w:tcBorders>
            <w:vAlign w:val="center"/>
          </w:tcPr>
          <w:p w14:paraId="4CB42B62" w14:textId="36F12080" w:rsidR="00033962" w:rsidRDefault="00033962" w:rsidP="00BF2605">
            <w:pPr>
              <w:tabs>
                <w:tab w:val="left" w:pos="426"/>
              </w:tabs>
              <w:spacing w:line="288" w:lineRule="auto"/>
              <w:jc w:val="center"/>
              <w:rPr>
                <w:rFonts w:ascii="Times New Roman" w:hAnsi="Times New Roman" w:cs="Times New Roman"/>
                <w:i/>
                <w:iCs/>
                <w:sz w:val="24"/>
                <w:szCs w:val="24"/>
              </w:rPr>
            </w:pPr>
            <w:r>
              <w:rPr>
                <w:rFonts w:ascii="Times New Roman" w:hAnsi="Times New Roman" w:cs="Times New Roman"/>
              </w:rPr>
              <w:t>(2)</w:t>
            </w:r>
          </w:p>
          <w:p w14:paraId="5926AEAD" w14:textId="1C2EDBD5" w:rsidR="008D328C" w:rsidRDefault="008D328C" w:rsidP="00BF2605">
            <w:pPr>
              <w:tabs>
                <w:tab w:val="left" w:pos="426"/>
              </w:tabs>
              <w:spacing w:line="288" w:lineRule="auto"/>
              <w:jc w:val="center"/>
              <w:rPr>
                <w:rFonts w:ascii="Times New Roman" w:hAnsi="Times New Roman" w:cs="Times New Roman"/>
              </w:rPr>
            </w:pPr>
            <w:r w:rsidRPr="005D4D7F">
              <w:rPr>
                <w:rFonts w:ascii="Times New Roman" w:hAnsi="Times New Roman" w:cs="Times New Roman"/>
                <w:i/>
                <w:iCs/>
                <w:sz w:val="24"/>
                <w:szCs w:val="24"/>
              </w:rPr>
              <w:t>β</w:t>
            </w:r>
            <w:r w:rsidRPr="005D4D7F">
              <w:rPr>
                <w:rFonts w:ascii="Times New Roman" w:hAnsi="Times New Roman" w:cs="Times New Roman"/>
                <w:i/>
                <w:iCs/>
                <w:sz w:val="24"/>
                <w:szCs w:val="24"/>
                <w:vertAlign w:val="subscript"/>
              </w:rPr>
              <w:t>1</w:t>
            </w:r>
            <w:r>
              <w:rPr>
                <w:rFonts w:ascii="Times New Roman" w:hAnsi="Times New Roman" w:cs="Times New Roman"/>
                <w:i/>
                <w:iCs/>
                <w:sz w:val="24"/>
                <w:szCs w:val="24"/>
                <w:vertAlign w:val="subscript"/>
              </w:rPr>
              <w:t xml:space="preserve"> </w:t>
            </w:r>
            <w:r w:rsidRPr="008D328C">
              <w:rPr>
                <w:rFonts w:ascii="Times New Roman" w:hAnsi="Times New Roman" w:cs="Times New Roman"/>
                <w:i/>
                <w:iCs/>
                <w:sz w:val="24"/>
                <w:szCs w:val="24"/>
              </w:rPr>
              <w:t>+</w:t>
            </w:r>
            <w:r w:rsidRPr="005D4D7F">
              <w:rPr>
                <w:rFonts w:ascii="Times New Roman" w:hAnsi="Times New Roman" w:cs="Times New Roman"/>
                <w:i/>
                <w:iCs/>
                <w:sz w:val="24"/>
                <w:szCs w:val="24"/>
              </w:rPr>
              <w:t xml:space="preserve"> β</w:t>
            </w:r>
            <w:r>
              <w:rPr>
                <w:rFonts w:ascii="Times New Roman" w:hAnsi="Times New Roman" w:cs="Times New Roman"/>
                <w:i/>
                <w:iCs/>
                <w:sz w:val="24"/>
                <w:szCs w:val="24"/>
                <w:vertAlign w:val="subscript"/>
              </w:rPr>
              <w:t xml:space="preserve">2 </w:t>
            </w:r>
            <w:r>
              <w:rPr>
                <w:rFonts w:ascii="Times New Roman" w:hAnsi="Times New Roman" w:cs="Times New Roman"/>
                <w:i/>
                <w:iCs/>
                <w:sz w:val="24"/>
                <w:szCs w:val="24"/>
              </w:rPr>
              <w:t xml:space="preserve">+ </w:t>
            </w:r>
            <w:r w:rsidRPr="005D4D7F">
              <w:rPr>
                <w:rFonts w:ascii="Times New Roman" w:hAnsi="Times New Roman" w:cs="Times New Roman"/>
                <w:i/>
                <w:iCs/>
                <w:sz w:val="24"/>
                <w:szCs w:val="24"/>
              </w:rPr>
              <w:t>β</w:t>
            </w:r>
            <w:r w:rsidRPr="005D4D7F">
              <w:rPr>
                <w:rFonts w:ascii="Times New Roman" w:hAnsi="Times New Roman" w:cs="Times New Roman"/>
                <w:i/>
                <w:iCs/>
                <w:sz w:val="24"/>
                <w:szCs w:val="24"/>
                <w:vertAlign w:val="subscript"/>
              </w:rPr>
              <w:t>3</w:t>
            </w:r>
            <w:r>
              <w:rPr>
                <w:rFonts w:ascii="Times New Roman" w:hAnsi="Times New Roman" w:cs="Times New Roman"/>
              </w:rPr>
              <w:t xml:space="preserve"> </w:t>
            </w:r>
          </w:p>
          <w:p w14:paraId="674EB798" w14:textId="61350ECA" w:rsidR="00033962" w:rsidRPr="00033962" w:rsidRDefault="00033962" w:rsidP="00BF2605">
            <w:pPr>
              <w:tabs>
                <w:tab w:val="left" w:pos="426"/>
              </w:tabs>
              <w:spacing w:line="288" w:lineRule="auto"/>
              <w:jc w:val="center"/>
              <w:rPr>
                <w:rFonts w:ascii="Times New Roman" w:hAnsi="Times New Roman" w:cs="Times New Roman"/>
                <w:sz w:val="20"/>
                <w:szCs w:val="20"/>
              </w:rPr>
            </w:pPr>
            <w:r w:rsidRPr="00033962">
              <w:rPr>
                <w:rFonts w:ascii="Times New Roman" w:hAnsi="Times New Roman" w:cs="Times New Roman"/>
                <w:sz w:val="20"/>
                <w:szCs w:val="20"/>
              </w:rPr>
              <w:t>ROE:</w:t>
            </w:r>
            <w:r w:rsidR="008D1DA5">
              <w:rPr>
                <w:rFonts w:ascii="Times New Roman" w:hAnsi="Times New Roman" w:cs="Times New Roman"/>
                <w:sz w:val="20"/>
                <w:szCs w:val="20"/>
              </w:rPr>
              <w:t xml:space="preserve"> 0.891**</w:t>
            </w:r>
          </w:p>
          <w:p w14:paraId="3C0807B4" w14:textId="7EE7D071" w:rsidR="008D328C" w:rsidRPr="00E219B6" w:rsidRDefault="00033962" w:rsidP="00BF2605">
            <w:pPr>
              <w:tabs>
                <w:tab w:val="left" w:pos="426"/>
              </w:tabs>
              <w:spacing w:line="288" w:lineRule="auto"/>
              <w:jc w:val="center"/>
              <w:rPr>
                <w:rFonts w:ascii="Times New Roman" w:hAnsi="Times New Roman" w:cs="Times New Roman"/>
              </w:rPr>
            </w:pPr>
            <w:r w:rsidRPr="00033962">
              <w:rPr>
                <w:rFonts w:ascii="Times New Roman" w:hAnsi="Times New Roman" w:cs="Times New Roman"/>
                <w:sz w:val="20"/>
                <w:szCs w:val="20"/>
              </w:rPr>
              <w:t>Tobin’s Q:</w:t>
            </w:r>
            <w:r w:rsidR="008D1DA5">
              <w:rPr>
                <w:rFonts w:ascii="Times New Roman" w:hAnsi="Times New Roman" w:cs="Times New Roman"/>
                <w:sz w:val="20"/>
                <w:szCs w:val="20"/>
              </w:rPr>
              <w:t xml:space="preserve"> 0.209**</w:t>
            </w:r>
          </w:p>
        </w:tc>
        <w:tc>
          <w:tcPr>
            <w:tcW w:w="2543" w:type="dxa"/>
            <w:gridSpan w:val="2"/>
            <w:tcBorders>
              <w:bottom w:val="nil"/>
              <w:right w:val="nil"/>
            </w:tcBorders>
            <w:vAlign w:val="center"/>
          </w:tcPr>
          <w:p w14:paraId="07C7AD8A" w14:textId="12593AE9" w:rsidR="00033962" w:rsidRDefault="00033962" w:rsidP="00BF2605">
            <w:pPr>
              <w:tabs>
                <w:tab w:val="left" w:pos="426"/>
              </w:tabs>
              <w:spacing w:line="288" w:lineRule="auto"/>
              <w:jc w:val="center"/>
              <w:rPr>
                <w:rFonts w:ascii="Times New Roman" w:hAnsi="Times New Roman" w:cs="Times New Roman"/>
                <w:i/>
                <w:iCs/>
                <w:sz w:val="24"/>
                <w:szCs w:val="24"/>
              </w:rPr>
            </w:pPr>
            <w:r>
              <w:rPr>
                <w:rFonts w:ascii="Times New Roman" w:hAnsi="Times New Roman" w:cs="Times New Roman"/>
              </w:rPr>
              <w:t>(1)</w:t>
            </w:r>
          </w:p>
          <w:p w14:paraId="1B1C4A9A" w14:textId="22829CD7" w:rsidR="008D328C" w:rsidRDefault="008D328C" w:rsidP="00BF2605">
            <w:pPr>
              <w:tabs>
                <w:tab w:val="left" w:pos="426"/>
              </w:tabs>
              <w:spacing w:line="288" w:lineRule="auto"/>
              <w:jc w:val="center"/>
              <w:rPr>
                <w:rFonts w:ascii="Times New Roman" w:hAnsi="Times New Roman" w:cs="Times New Roman"/>
                <w:i/>
                <w:iCs/>
                <w:sz w:val="24"/>
                <w:szCs w:val="24"/>
                <w:vertAlign w:val="subscript"/>
              </w:rPr>
            </w:pPr>
            <w:r w:rsidRPr="005D4D7F">
              <w:rPr>
                <w:rFonts w:ascii="Times New Roman" w:hAnsi="Times New Roman" w:cs="Times New Roman"/>
                <w:i/>
                <w:iCs/>
                <w:sz w:val="24"/>
                <w:szCs w:val="24"/>
              </w:rPr>
              <w:t>β</w:t>
            </w:r>
            <w:r w:rsidRPr="005D4D7F">
              <w:rPr>
                <w:rFonts w:ascii="Times New Roman" w:hAnsi="Times New Roman" w:cs="Times New Roman"/>
                <w:i/>
                <w:iCs/>
                <w:sz w:val="24"/>
                <w:szCs w:val="24"/>
                <w:vertAlign w:val="subscript"/>
              </w:rPr>
              <w:t>1</w:t>
            </w:r>
            <w:r w:rsidRPr="005D4D7F">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5D4D7F">
              <w:rPr>
                <w:rFonts w:ascii="Times New Roman" w:hAnsi="Times New Roman" w:cs="Times New Roman"/>
                <w:i/>
                <w:iCs/>
                <w:sz w:val="24"/>
                <w:szCs w:val="24"/>
              </w:rPr>
              <w:t>β</w:t>
            </w:r>
            <w:r>
              <w:rPr>
                <w:rFonts w:ascii="Times New Roman" w:hAnsi="Times New Roman" w:cs="Times New Roman"/>
                <w:i/>
                <w:iCs/>
                <w:sz w:val="24"/>
                <w:szCs w:val="24"/>
                <w:vertAlign w:val="subscript"/>
              </w:rPr>
              <w:t>2</w:t>
            </w:r>
          </w:p>
          <w:p w14:paraId="06981D0D" w14:textId="0D913C68" w:rsidR="00033962" w:rsidRPr="00033962" w:rsidRDefault="00033962" w:rsidP="00BF2605">
            <w:pPr>
              <w:tabs>
                <w:tab w:val="left" w:pos="426"/>
              </w:tabs>
              <w:spacing w:line="288" w:lineRule="auto"/>
              <w:jc w:val="center"/>
              <w:rPr>
                <w:rFonts w:ascii="Times New Roman" w:hAnsi="Times New Roman" w:cs="Times New Roman"/>
                <w:sz w:val="20"/>
                <w:szCs w:val="20"/>
              </w:rPr>
            </w:pPr>
            <w:r w:rsidRPr="00033962">
              <w:rPr>
                <w:rFonts w:ascii="Times New Roman" w:hAnsi="Times New Roman" w:cs="Times New Roman"/>
                <w:sz w:val="20"/>
                <w:szCs w:val="20"/>
              </w:rPr>
              <w:t>ROE:</w:t>
            </w:r>
            <w:r w:rsidR="008D1DA5">
              <w:rPr>
                <w:rFonts w:ascii="Times New Roman" w:hAnsi="Times New Roman" w:cs="Times New Roman"/>
                <w:sz w:val="20"/>
                <w:szCs w:val="20"/>
              </w:rPr>
              <w:t xml:space="preserve"> 0.712**</w:t>
            </w:r>
          </w:p>
          <w:p w14:paraId="2766B0FE" w14:textId="47B49D83" w:rsidR="008D328C" w:rsidRPr="00E219B6" w:rsidRDefault="00033962" w:rsidP="00BF2605">
            <w:pPr>
              <w:tabs>
                <w:tab w:val="left" w:pos="426"/>
              </w:tabs>
              <w:spacing w:line="288" w:lineRule="auto"/>
              <w:jc w:val="center"/>
              <w:rPr>
                <w:rFonts w:ascii="Times New Roman" w:hAnsi="Times New Roman" w:cs="Times New Roman"/>
              </w:rPr>
            </w:pPr>
            <w:r w:rsidRPr="00033962">
              <w:rPr>
                <w:rFonts w:ascii="Times New Roman" w:hAnsi="Times New Roman" w:cs="Times New Roman"/>
                <w:sz w:val="20"/>
                <w:szCs w:val="20"/>
              </w:rPr>
              <w:t>Tobin’s Q:</w:t>
            </w:r>
            <w:r w:rsidR="008D1DA5">
              <w:rPr>
                <w:rFonts w:ascii="Times New Roman" w:hAnsi="Times New Roman" w:cs="Times New Roman"/>
                <w:sz w:val="20"/>
                <w:szCs w:val="20"/>
              </w:rPr>
              <w:t xml:space="preserve"> 0.148**</w:t>
            </w:r>
          </w:p>
        </w:tc>
      </w:tr>
    </w:tbl>
    <w:p w14:paraId="44097849" w14:textId="77777777" w:rsidR="008D328C" w:rsidRDefault="008D328C" w:rsidP="00BF2605">
      <w:pPr>
        <w:tabs>
          <w:tab w:val="left" w:pos="426"/>
        </w:tabs>
        <w:spacing w:after="0" w:line="288" w:lineRule="auto"/>
        <w:jc w:val="both"/>
        <w:rPr>
          <w:rFonts w:ascii="Times New Roman" w:hAnsi="Times New Roman" w:cs="Times New Roman"/>
          <w:sz w:val="24"/>
          <w:szCs w:val="24"/>
        </w:rPr>
      </w:pPr>
    </w:p>
    <w:p w14:paraId="370C2791" w14:textId="77777777" w:rsidR="00BE78CC" w:rsidRDefault="0027374C"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14:paraId="3951B5DF" w14:textId="77777777" w:rsidR="00B528D0" w:rsidRDefault="00BE78CC"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766CA" w:rsidRPr="00B766CA">
        <w:rPr>
          <w:rFonts w:ascii="Times New Roman" w:hAnsi="Times New Roman" w:cs="Times New Roman"/>
          <w:sz w:val="24"/>
          <w:szCs w:val="24"/>
        </w:rPr>
        <w:t xml:space="preserve">The results of our regressions </w:t>
      </w:r>
      <w:r w:rsidR="005733B3">
        <w:rPr>
          <w:rFonts w:ascii="Times New Roman" w:hAnsi="Times New Roman" w:cs="Times New Roman"/>
          <w:sz w:val="24"/>
          <w:szCs w:val="24"/>
        </w:rPr>
        <w:t>reported in</w:t>
      </w:r>
      <w:r w:rsidR="00DE4785">
        <w:rPr>
          <w:rFonts w:ascii="Times New Roman" w:hAnsi="Times New Roman" w:cs="Times New Roman"/>
          <w:sz w:val="24"/>
          <w:szCs w:val="24"/>
        </w:rPr>
        <w:t xml:space="preserve"> </w:t>
      </w:r>
      <w:r w:rsidR="00DE4785" w:rsidRPr="00B528D0">
        <w:rPr>
          <w:rFonts w:ascii="Times New Roman" w:hAnsi="Times New Roman" w:cs="Times New Roman"/>
          <w:sz w:val="24"/>
          <w:szCs w:val="24"/>
        </w:rPr>
        <w:t>Panel A of</w:t>
      </w:r>
      <w:r w:rsidR="005733B3" w:rsidRPr="00B528D0">
        <w:rPr>
          <w:rFonts w:ascii="Times New Roman" w:hAnsi="Times New Roman" w:cs="Times New Roman"/>
          <w:sz w:val="24"/>
          <w:szCs w:val="24"/>
        </w:rPr>
        <w:t xml:space="preserve"> Table 5</w:t>
      </w:r>
      <w:r w:rsidR="00B766CA">
        <w:rPr>
          <w:rFonts w:ascii="Times New Roman" w:hAnsi="Times New Roman" w:cs="Times New Roman"/>
          <w:sz w:val="24"/>
          <w:szCs w:val="24"/>
        </w:rPr>
        <w:t xml:space="preserve"> </w:t>
      </w:r>
      <w:r w:rsidR="00B766CA" w:rsidRPr="00B766CA">
        <w:rPr>
          <w:rFonts w:ascii="Times New Roman" w:hAnsi="Times New Roman" w:cs="Times New Roman"/>
          <w:sz w:val="24"/>
          <w:szCs w:val="24"/>
        </w:rPr>
        <w:t xml:space="preserve">show that firms </w:t>
      </w:r>
      <w:r w:rsidR="005733B3">
        <w:rPr>
          <w:rFonts w:ascii="Times New Roman" w:hAnsi="Times New Roman" w:cs="Times New Roman"/>
          <w:sz w:val="24"/>
          <w:szCs w:val="24"/>
        </w:rPr>
        <w:t xml:space="preserve">with low external financing needs and </w:t>
      </w:r>
      <w:r w:rsidR="008D328C">
        <w:rPr>
          <w:rFonts w:ascii="Times New Roman" w:hAnsi="Times New Roman" w:cs="Times New Roman"/>
          <w:sz w:val="24"/>
          <w:szCs w:val="24"/>
        </w:rPr>
        <w:t xml:space="preserve">which </w:t>
      </w:r>
      <w:r w:rsidR="005733B3">
        <w:rPr>
          <w:rFonts w:ascii="Times New Roman" w:hAnsi="Times New Roman" w:cs="Times New Roman"/>
          <w:sz w:val="24"/>
          <w:szCs w:val="24"/>
        </w:rPr>
        <w:t xml:space="preserve">reside in a country with low country governance mechanisms and </w:t>
      </w:r>
      <w:r w:rsidR="00B766CA" w:rsidRPr="00B766CA">
        <w:rPr>
          <w:rFonts w:ascii="Times New Roman" w:hAnsi="Times New Roman" w:cs="Times New Roman"/>
          <w:sz w:val="24"/>
          <w:szCs w:val="24"/>
        </w:rPr>
        <w:t xml:space="preserve">low financial development </w:t>
      </w:r>
      <w:r w:rsidR="005733B3">
        <w:rPr>
          <w:rFonts w:ascii="Times New Roman" w:hAnsi="Times New Roman" w:cs="Times New Roman"/>
          <w:sz w:val="24"/>
          <w:szCs w:val="24"/>
        </w:rPr>
        <w:t xml:space="preserve">would still enjoy both higher returns and value driven by the internal governance mechanisms that they have put in place. </w:t>
      </w:r>
      <w:r w:rsidR="00611175">
        <w:rPr>
          <w:rFonts w:ascii="Times New Roman" w:hAnsi="Times New Roman" w:cs="Times New Roman"/>
          <w:sz w:val="24"/>
          <w:szCs w:val="24"/>
        </w:rPr>
        <w:t xml:space="preserve">However, the positive and significant coefficients associated with each of the cross products terms show that the positive impact internal governance has on firm return </w:t>
      </w:r>
      <w:r w:rsidR="008D328C">
        <w:rPr>
          <w:rFonts w:ascii="Times New Roman" w:hAnsi="Times New Roman" w:cs="Times New Roman"/>
          <w:sz w:val="24"/>
          <w:szCs w:val="24"/>
        </w:rPr>
        <w:t>and</w:t>
      </w:r>
      <w:r w:rsidR="00611175">
        <w:rPr>
          <w:rFonts w:ascii="Times New Roman" w:hAnsi="Times New Roman" w:cs="Times New Roman"/>
          <w:sz w:val="24"/>
          <w:szCs w:val="24"/>
        </w:rPr>
        <w:t xml:space="preserve"> value are enhanced by strong country governance, a </w:t>
      </w:r>
      <w:r w:rsidR="00B56186">
        <w:rPr>
          <w:rFonts w:ascii="Times New Roman" w:hAnsi="Times New Roman" w:cs="Times New Roman"/>
          <w:sz w:val="24"/>
          <w:szCs w:val="24"/>
        </w:rPr>
        <w:t>well-developed</w:t>
      </w:r>
      <w:r w:rsidR="00611175">
        <w:rPr>
          <w:rFonts w:ascii="Times New Roman" w:hAnsi="Times New Roman" w:cs="Times New Roman"/>
          <w:sz w:val="24"/>
          <w:szCs w:val="24"/>
        </w:rPr>
        <w:t xml:space="preserve"> capital market and a strong need to raise funds externally. </w:t>
      </w:r>
    </w:p>
    <w:p w14:paraId="35108E12" w14:textId="77777777" w:rsidR="00B528D0" w:rsidRDefault="00B528D0" w:rsidP="00BF2605">
      <w:pPr>
        <w:tabs>
          <w:tab w:val="left" w:pos="426"/>
        </w:tabs>
        <w:spacing w:after="0" w:line="288" w:lineRule="auto"/>
        <w:jc w:val="both"/>
        <w:rPr>
          <w:rFonts w:ascii="Times New Roman" w:hAnsi="Times New Roman" w:cs="Times New Roman"/>
          <w:sz w:val="24"/>
          <w:szCs w:val="24"/>
        </w:rPr>
      </w:pPr>
    </w:p>
    <w:p w14:paraId="67B4A09E" w14:textId="57271843" w:rsidR="00BE78CC" w:rsidRDefault="00B528D0"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D1BD6">
        <w:rPr>
          <w:rFonts w:ascii="Times New Roman" w:hAnsi="Times New Roman" w:cs="Times New Roman"/>
          <w:sz w:val="24"/>
          <w:szCs w:val="24"/>
        </w:rPr>
        <w:t xml:space="preserve">We report the results of the different coefficient combinations in </w:t>
      </w:r>
      <w:r w:rsidR="001D1BD6" w:rsidRPr="00B528D0">
        <w:rPr>
          <w:rFonts w:ascii="Times New Roman" w:hAnsi="Times New Roman" w:cs="Times New Roman"/>
          <w:sz w:val="24"/>
          <w:szCs w:val="24"/>
        </w:rPr>
        <w:t>Figure 1</w:t>
      </w:r>
      <w:r w:rsidR="001D1BD6">
        <w:rPr>
          <w:rFonts w:ascii="Times New Roman" w:hAnsi="Times New Roman" w:cs="Times New Roman"/>
          <w:sz w:val="24"/>
          <w:szCs w:val="24"/>
        </w:rPr>
        <w:t xml:space="preserve"> along with the relevant Wald test results (as reported in </w:t>
      </w:r>
      <w:r w:rsidR="001D1BD6" w:rsidRPr="00B528D0">
        <w:rPr>
          <w:rFonts w:ascii="Times New Roman" w:hAnsi="Times New Roman" w:cs="Times New Roman"/>
          <w:sz w:val="24"/>
          <w:szCs w:val="24"/>
        </w:rPr>
        <w:t>Panel B of Table 5</w:t>
      </w:r>
      <w:r w:rsidR="001D1BD6">
        <w:rPr>
          <w:rFonts w:ascii="Times New Roman" w:hAnsi="Times New Roman" w:cs="Times New Roman"/>
          <w:sz w:val="24"/>
          <w:szCs w:val="24"/>
        </w:rPr>
        <w:t>).</w:t>
      </w:r>
      <w:r w:rsidR="001D1BD6" w:rsidRPr="001D1BD6">
        <w:rPr>
          <w:rFonts w:ascii="Times New Roman" w:hAnsi="Times New Roman" w:cs="Times New Roman"/>
          <w:sz w:val="24"/>
          <w:szCs w:val="24"/>
        </w:rPr>
        <w:t xml:space="preserve"> </w:t>
      </w:r>
      <w:r w:rsidR="00C46206">
        <w:rPr>
          <w:rFonts w:ascii="Times New Roman" w:hAnsi="Times New Roman" w:cs="Times New Roman"/>
          <w:sz w:val="24"/>
          <w:szCs w:val="24"/>
        </w:rPr>
        <w:t xml:space="preserve">The reported results show that the </w:t>
      </w:r>
      <w:r w:rsidR="001D1BD6">
        <w:rPr>
          <w:rFonts w:ascii="Times New Roman" w:hAnsi="Times New Roman" w:cs="Times New Roman"/>
          <w:sz w:val="24"/>
          <w:szCs w:val="24"/>
        </w:rPr>
        <w:t>strongest</w:t>
      </w:r>
      <w:r w:rsidR="00C46206">
        <w:rPr>
          <w:rFonts w:ascii="Times New Roman" w:hAnsi="Times New Roman" w:cs="Times New Roman"/>
          <w:sz w:val="24"/>
          <w:szCs w:val="24"/>
        </w:rPr>
        <w:t xml:space="preserve"> and most significant</w:t>
      </w:r>
      <w:r w:rsidR="001D1BD6">
        <w:rPr>
          <w:rFonts w:ascii="Times New Roman" w:hAnsi="Times New Roman" w:cs="Times New Roman"/>
          <w:sz w:val="24"/>
          <w:szCs w:val="24"/>
        </w:rPr>
        <w:t xml:space="preserve"> positive impact on firm performance and value </w:t>
      </w:r>
      <w:r w:rsidR="00C46206">
        <w:rPr>
          <w:rFonts w:ascii="Times New Roman" w:hAnsi="Times New Roman" w:cs="Times New Roman"/>
          <w:sz w:val="24"/>
          <w:szCs w:val="24"/>
        </w:rPr>
        <w:t>occurs</w:t>
      </w:r>
      <w:r w:rsidR="001D1BD6">
        <w:rPr>
          <w:rFonts w:ascii="Times New Roman" w:hAnsi="Times New Roman" w:cs="Times New Roman"/>
          <w:sz w:val="24"/>
          <w:szCs w:val="24"/>
        </w:rPr>
        <w:t xml:space="preserve"> for firms with high external funding needs resident in a country with a developed capital market and strong country governance. </w:t>
      </w:r>
    </w:p>
    <w:p w14:paraId="0C987DD8" w14:textId="77777777" w:rsidR="00BE78CC" w:rsidRDefault="00BE78CC" w:rsidP="00BF2605">
      <w:pPr>
        <w:tabs>
          <w:tab w:val="left" w:pos="426"/>
        </w:tabs>
        <w:spacing w:after="0" w:line="288" w:lineRule="auto"/>
        <w:jc w:val="both"/>
        <w:rPr>
          <w:rFonts w:ascii="Times New Roman" w:hAnsi="Times New Roman" w:cs="Times New Roman"/>
          <w:sz w:val="24"/>
          <w:szCs w:val="24"/>
        </w:rPr>
      </w:pPr>
    </w:p>
    <w:p w14:paraId="0B4031B8" w14:textId="6347BBF0" w:rsidR="005733B3" w:rsidRDefault="00BE78CC"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D1BD6">
        <w:rPr>
          <w:rFonts w:ascii="Times New Roman" w:hAnsi="Times New Roman" w:cs="Times New Roman"/>
          <w:sz w:val="24"/>
          <w:szCs w:val="24"/>
        </w:rPr>
        <w:t>Finally, our results suggest that it is external financial needs that have the greatest impact on the relationship between internal governance mechanisms and firm performance whereas it is the extent of the development of the capital market that has the greatest impact on the relationship between internal governance and firm value.</w:t>
      </w:r>
      <w:r w:rsidR="00C46206">
        <w:rPr>
          <w:rFonts w:ascii="Times New Roman" w:hAnsi="Times New Roman" w:cs="Times New Roman"/>
          <w:sz w:val="24"/>
          <w:szCs w:val="24"/>
        </w:rPr>
        <w:t xml:space="preserve"> </w:t>
      </w:r>
      <w:r w:rsidR="00611175" w:rsidRPr="00611175">
        <w:rPr>
          <w:rFonts w:ascii="Times New Roman" w:hAnsi="Times New Roman" w:cs="Times New Roman"/>
          <w:sz w:val="24"/>
          <w:szCs w:val="24"/>
        </w:rPr>
        <w:t xml:space="preserve">Overall, this confirms our earlier arguments and lends support to prior findings in the literature on the collective role of the country’ financial development and the firm’s external financing needs in influencing its governance framework (see Aggarwal </w:t>
      </w:r>
      <w:r w:rsidR="002A1A6A" w:rsidRPr="002A1A6A">
        <w:rPr>
          <w:rFonts w:ascii="Times New Roman" w:hAnsi="Times New Roman" w:cs="Times New Roman"/>
          <w:i/>
          <w:iCs/>
          <w:sz w:val="24"/>
          <w:szCs w:val="24"/>
        </w:rPr>
        <w:t>et al.</w:t>
      </w:r>
      <w:r w:rsidR="00611175" w:rsidRPr="00611175">
        <w:rPr>
          <w:rFonts w:ascii="Times New Roman" w:hAnsi="Times New Roman" w:cs="Times New Roman"/>
          <w:sz w:val="24"/>
          <w:szCs w:val="24"/>
        </w:rPr>
        <w:t xml:space="preserve"> 2010</w:t>
      </w:r>
      <w:r w:rsidR="00682D1F">
        <w:rPr>
          <w:rFonts w:ascii="Times New Roman" w:hAnsi="Times New Roman" w:cs="Times New Roman"/>
          <w:sz w:val="24"/>
          <w:szCs w:val="24"/>
        </w:rPr>
        <w:t>,</w:t>
      </w:r>
      <w:r w:rsidR="00611175" w:rsidRPr="00611175">
        <w:rPr>
          <w:rFonts w:ascii="Times New Roman" w:hAnsi="Times New Roman" w:cs="Times New Roman"/>
          <w:sz w:val="24"/>
          <w:szCs w:val="24"/>
        </w:rPr>
        <w:t xml:space="preserve"> Doidge </w:t>
      </w:r>
      <w:r w:rsidR="002A1A6A" w:rsidRPr="002A1A6A">
        <w:rPr>
          <w:rFonts w:ascii="Times New Roman" w:hAnsi="Times New Roman" w:cs="Times New Roman"/>
          <w:i/>
          <w:iCs/>
          <w:sz w:val="24"/>
          <w:szCs w:val="24"/>
        </w:rPr>
        <w:t>et al.</w:t>
      </w:r>
      <w:r w:rsidR="00611175" w:rsidRPr="00611175">
        <w:rPr>
          <w:rFonts w:ascii="Times New Roman" w:hAnsi="Times New Roman" w:cs="Times New Roman"/>
          <w:sz w:val="24"/>
          <w:szCs w:val="24"/>
        </w:rPr>
        <w:t xml:space="preserve"> 2007)</w:t>
      </w:r>
      <w:r w:rsidR="00611175" w:rsidRPr="00611175">
        <w:rPr>
          <w:rFonts w:ascii="Times New Roman" w:hAnsi="Times New Roman" w:cs="Times New Roman"/>
          <w:sz w:val="24"/>
          <w:szCs w:val="24"/>
          <w:vertAlign w:val="superscript"/>
        </w:rPr>
        <w:footnoteReference w:id="14"/>
      </w:r>
      <w:r w:rsidR="00611175" w:rsidRPr="00611175">
        <w:rPr>
          <w:rFonts w:ascii="Times New Roman" w:hAnsi="Times New Roman" w:cs="Times New Roman"/>
          <w:sz w:val="24"/>
          <w:szCs w:val="24"/>
        </w:rPr>
        <w:t>.</w:t>
      </w:r>
    </w:p>
    <w:p w14:paraId="68CC87EE" w14:textId="02ECD3E2" w:rsidR="00BE78CC" w:rsidRDefault="00BE78CC" w:rsidP="00BF2605">
      <w:pPr>
        <w:tabs>
          <w:tab w:val="left" w:pos="426"/>
        </w:tabs>
        <w:spacing w:after="0" w:line="288" w:lineRule="auto"/>
        <w:jc w:val="both"/>
        <w:rPr>
          <w:rFonts w:ascii="Times New Roman" w:hAnsi="Times New Roman" w:cs="Times New Roman"/>
          <w:sz w:val="24"/>
          <w:szCs w:val="24"/>
        </w:rPr>
      </w:pPr>
    </w:p>
    <w:p w14:paraId="79CFF978" w14:textId="77777777" w:rsidR="00FA0716" w:rsidRDefault="00FA0716" w:rsidP="00BF2605">
      <w:pPr>
        <w:tabs>
          <w:tab w:val="left" w:pos="426"/>
        </w:tabs>
        <w:spacing w:after="0" w:line="288" w:lineRule="auto"/>
        <w:jc w:val="both"/>
        <w:rPr>
          <w:rFonts w:ascii="Times New Roman" w:hAnsi="Times New Roman" w:cs="Times New Roman"/>
          <w:b/>
          <w:bCs/>
          <w:sz w:val="24"/>
          <w:szCs w:val="24"/>
        </w:rPr>
      </w:pPr>
      <w:r>
        <w:rPr>
          <w:rFonts w:ascii="Times New Roman" w:hAnsi="Times New Roman" w:cs="Times New Roman"/>
          <w:b/>
          <w:bCs/>
          <w:sz w:val="24"/>
          <w:szCs w:val="24"/>
        </w:rPr>
        <w:t>Robustness Tests</w:t>
      </w:r>
    </w:p>
    <w:p w14:paraId="3AA25AD8" w14:textId="59F7650F" w:rsidR="008078CD" w:rsidRPr="003B097D" w:rsidRDefault="008078CD" w:rsidP="00BF2605">
      <w:pPr>
        <w:tabs>
          <w:tab w:val="left" w:pos="426"/>
        </w:tabs>
        <w:spacing w:after="0" w:line="288" w:lineRule="auto"/>
        <w:jc w:val="both"/>
        <w:rPr>
          <w:rFonts w:ascii="Times New Roman" w:hAnsi="Times New Roman" w:cs="Times New Roman"/>
          <w:b/>
          <w:bCs/>
          <w:sz w:val="10"/>
          <w:szCs w:val="10"/>
        </w:rPr>
      </w:pPr>
    </w:p>
    <w:p w14:paraId="6DC0B8AC" w14:textId="77777777" w:rsidR="00305090" w:rsidRDefault="000A1093" w:rsidP="00BF2605">
      <w:pPr>
        <w:tabs>
          <w:tab w:val="left" w:pos="426"/>
        </w:tabs>
        <w:spacing w:after="0" w:line="288" w:lineRule="auto"/>
        <w:jc w:val="both"/>
        <w:rPr>
          <w:rFonts w:ascii="Times New Roman" w:hAnsi="Times New Roman" w:cs="Times New Roman"/>
          <w:sz w:val="24"/>
          <w:szCs w:val="24"/>
        </w:rPr>
      </w:pPr>
      <w:r w:rsidRPr="003B097D">
        <w:rPr>
          <w:rFonts w:ascii="Times New Roman" w:hAnsi="Times New Roman" w:cs="Times New Roman"/>
          <w:sz w:val="24"/>
          <w:szCs w:val="24"/>
        </w:rPr>
        <w:t xml:space="preserve">We realize that our conclusions may be susceptible to </w:t>
      </w:r>
      <w:r w:rsidR="00765589" w:rsidRPr="003B097D">
        <w:rPr>
          <w:rFonts w:ascii="Times New Roman" w:hAnsi="Times New Roman" w:cs="Times New Roman"/>
          <w:sz w:val="24"/>
          <w:szCs w:val="24"/>
        </w:rPr>
        <w:t xml:space="preserve">the way we build </w:t>
      </w:r>
      <w:r w:rsidRPr="003B097D">
        <w:rPr>
          <w:rFonts w:ascii="Times New Roman" w:hAnsi="Times New Roman" w:cs="Times New Roman"/>
          <w:sz w:val="24"/>
          <w:szCs w:val="24"/>
        </w:rPr>
        <w:t>our proxy of firm-level governance quality, therefore</w:t>
      </w:r>
      <w:r w:rsidR="00765589" w:rsidRPr="003B097D">
        <w:rPr>
          <w:rFonts w:ascii="Times New Roman" w:hAnsi="Times New Roman" w:cs="Times New Roman"/>
          <w:sz w:val="24"/>
          <w:szCs w:val="24"/>
        </w:rPr>
        <w:t xml:space="preserve"> we</w:t>
      </w:r>
      <w:r w:rsidRPr="003B097D">
        <w:rPr>
          <w:rFonts w:ascii="Times New Roman" w:hAnsi="Times New Roman" w:cs="Times New Roman"/>
          <w:sz w:val="24"/>
          <w:szCs w:val="24"/>
        </w:rPr>
        <w:t xml:space="preserve"> test the</w:t>
      </w:r>
      <w:r w:rsidR="00765589" w:rsidRPr="003B097D">
        <w:rPr>
          <w:rFonts w:ascii="Times New Roman" w:hAnsi="Times New Roman" w:cs="Times New Roman"/>
          <w:sz w:val="24"/>
          <w:szCs w:val="24"/>
        </w:rPr>
        <w:t xml:space="preserve"> robustness of our results by using</w:t>
      </w:r>
      <w:r w:rsidRPr="003B097D">
        <w:rPr>
          <w:rFonts w:ascii="Times New Roman" w:hAnsi="Times New Roman" w:cs="Times New Roman"/>
          <w:sz w:val="24"/>
          <w:szCs w:val="24"/>
        </w:rPr>
        <w:t xml:space="preserve"> the corporate governance score calculated by DataStream </w:t>
      </w:r>
      <w:r w:rsidR="0018680F" w:rsidRPr="003B097D">
        <w:rPr>
          <w:rFonts w:ascii="Times New Roman" w:hAnsi="Times New Roman" w:cs="Times New Roman"/>
          <w:sz w:val="24"/>
          <w:szCs w:val="24"/>
        </w:rPr>
        <w:t xml:space="preserve">(GOVS) </w:t>
      </w:r>
      <w:r w:rsidRPr="003B097D">
        <w:rPr>
          <w:rFonts w:ascii="Times New Roman" w:hAnsi="Times New Roman" w:cs="Times New Roman"/>
          <w:sz w:val="24"/>
          <w:szCs w:val="24"/>
        </w:rPr>
        <w:t xml:space="preserve">as an alternative proxy for a firm’s quality of </w:t>
      </w:r>
      <w:r w:rsidR="00D4126C" w:rsidRPr="003B097D">
        <w:rPr>
          <w:rFonts w:ascii="Times New Roman" w:hAnsi="Times New Roman" w:cs="Times New Roman"/>
          <w:sz w:val="24"/>
          <w:szCs w:val="24"/>
        </w:rPr>
        <w:t xml:space="preserve">internal </w:t>
      </w:r>
      <w:r w:rsidRPr="003B097D">
        <w:rPr>
          <w:rFonts w:ascii="Times New Roman" w:hAnsi="Times New Roman" w:cs="Times New Roman"/>
          <w:sz w:val="24"/>
          <w:szCs w:val="24"/>
        </w:rPr>
        <w:t>governance</w:t>
      </w:r>
      <w:r w:rsidR="00765589" w:rsidRPr="003B097D">
        <w:rPr>
          <w:rStyle w:val="FootnoteReference"/>
          <w:rFonts w:ascii="Times New Roman" w:hAnsi="Times New Roman" w:cs="Times New Roman"/>
          <w:sz w:val="24"/>
          <w:szCs w:val="24"/>
        </w:rPr>
        <w:footnoteReference w:id="15"/>
      </w:r>
      <w:r w:rsidR="007D1121" w:rsidRPr="003B097D">
        <w:rPr>
          <w:rFonts w:ascii="Times New Roman" w:hAnsi="Times New Roman" w:cs="Times New Roman"/>
          <w:sz w:val="24"/>
          <w:szCs w:val="24"/>
        </w:rPr>
        <w:t xml:space="preserve"> </w:t>
      </w:r>
      <w:r w:rsidR="007D1121" w:rsidRPr="003B097D">
        <w:rPr>
          <w:rStyle w:val="FootnoteReference"/>
          <w:rFonts w:ascii="Times New Roman" w:hAnsi="Times New Roman" w:cs="Times New Roman"/>
          <w:sz w:val="24"/>
          <w:szCs w:val="24"/>
        </w:rPr>
        <w:footnoteReference w:id="16"/>
      </w:r>
      <w:r w:rsidR="00765589" w:rsidRPr="003B097D">
        <w:rPr>
          <w:rFonts w:ascii="Times New Roman" w:hAnsi="Times New Roman" w:cs="Times New Roman"/>
          <w:sz w:val="24"/>
          <w:szCs w:val="24"/>
        </w:rPr>
        <w:t>.</w:t>
      </w:r>
      <w:r w:rsidR="00C05CDA" w:rsidRPr="003B097D">
        <w:rPr>
          <w:rFonts w:ascii="Times New Roman" w:hAnsi="Times New Roman" w:cs="Times New Roman"/>
          <w:sz w:val="24"/>
          <w:szCs w:val="24"/>
        </w:rPr>
        <w:t xml:space="preserve"> While the construction methods of both governance indices are not very dissimilar, the method followed to construct our own index allows us to largely reduce the effect of missing data and ove</w:t>
      </w:r>
      <w:r w:rsidR="008426C7" w:rsidRPr="003B097D">
        <w:rPr>
          <w:rFonts w:ascii="Times New Roman" w:hAnsi="Times New Roman" w:cs="Times New Roman"/>
          <w:sz w:val="24"/>
          <w:szCs w:val="24"/>
        </w:rPr>
        <w:t>r/</w:t>
      </w:r>
      <w:r w:rsidR="00C05CDA" w:rsidRPr="003B097D">
        <w:rPr>
          <w:rFonts w:ascii="Times New Roman" w:hAnsi="Times New Roman" w:cs="Times New Roman"/>
          <w:sz w:val="24"/>
          <w:szCs w:val="24"/>
        </w:rPr>
        <w:t>under representation</w:t>
      </w:r>
      <w:r w:rsidR="008426C7" w:rsidRPr="003B097D">
        <w:rPr>
          <w:rFonts w:ascii="Times New Roman" w:hAnsi="Times New Roman" w:cs="Times New Roman"/>
          <w:sz w:val="24"/>
          <w:szCs w:val="24"/>
        </w:rPr>
        <w:t xml:space="preserve"> of firms</w:t>
      </w:r>
      <w:r w:rsidR="00C05CDA" w:rsidRPr="003B097D">
        <w:rPr>
          <w:rFonts w:ascii="Times New Roman" w:hAnsi="Times New Roman" w:cs="Times New Roman"/>
          <w:sz w:val="24"/>
          <w:szCs w:val="24"/>
        </w:rPr>
        <w:t xml:space="preserve">, through measuring each firm’s </w:t>
      </w:r>
      <w:r w:rsidR="008426C7" w:rsidRPr="003B097D">
        <w:rPr>
          <w:rFonts w:ascii="Times New Roman" w:hAnsi="Times New Roman" w:cs="Times New Roman"/>
          <w:sz w:val="24"/>
          <w:szCs w:val="24"/>
        </w:rPr>
        <w:t xml:space="preserve">governance score as a standalone while adjusting for missing variables. </w:t>
      </w:r>
    </w:p>
    <w:p w14:paraId="7134CC72" w14:textId="77777777" w:rsidR="00305090" w:rsidRDefault="00305090" w:rsidP="00BF2605">
      <w:pPr>
        <w:tabs>
          <w:tab w:val="left" w:pos="426"/>
        </w:tabs>
        <w:spacing w:after="0" w:line="288" w:lineRule="auto"/>
        <w:jc w:val="both"/>
        <w:rPr>
          <w:rFonts w:ascii="Times New Roman" w:hAnsi="Times New Roman" w:cs="Times New Roman"/>
          <w:sz w:val="24"/>
          <w:szCs w:val="24"/>
        </w:rPr>
      </w:pPr>
    </w:p>
    <w:p w14:paraId="0183D9D4" w14:textId="1194318B" w:rsidR="00E4614F" w:rsidRPr="003B097D" w:rsidRDefault="00305090" w:rsidP="00BF2605">
      <w:pPr>
        <w:tabs>
          <w:tab w:val="left" w:pos="426"/>
        </w:tabs>
        <w:spacing w:after="0" w:line="288" w:lineRule="auto"/>
        <w:jc w:val="both"/>
        <w:rPr>
          <w:rFonts w:asciiTheme="majorBidi" w:hAnsiTheme="majorBidi" w:cstheme="majorBidi"/>
          <w:color w:val="000000"/>
          <w:sz w:val="24"/>
          <w:szCs w:val="24"/>
        </w:rPr>
      </w:pPr>
      <w:r>
        <w:rPr>
          <w:rFonts w:ascii="Times New Roman" w:hAnsi="Times New Roman" w:cs="Times New Roman"/>
          <w:sz w:val="24"/>
          <w:szCs w:val="24"/>
        </w:rPr>
        <w:tab/>
      </w:r>
      <w:r w:rsidR="008D242C" w:rsidRPr="003B097D">
        <w:rPr>
          <w:rFonts w:ascii="Times New Roman" w:hAnsi="Times New Roman" w:cs="Times New Roman"/>
          <w:sz w:val="24"/>
          <w:szCs w:val="24"/>
        </w:rPr>
        <w:t>Moreover, a</w:t>
      </w:r>
      <w:r w:rsidR="007D1121" w:rsidRPr="003B097D">
        <w:rPr>
          <w:rFonts w:ascii="Times New Roman" w:hAnsi="Times New Roman" w:cs="Times New Roman"/>
          <w:sz w:val="24"/>
          <w:szCs w:val="24"/>
        </w:rPr>
        <w:t xml:space="preserve">lthough no signs of multicollinearity were found using the </w:t>
      </w:r>
      <w:r w:rsidR="002714F2" w:rsidRPr="003B097D">
        <w:rPr>
          <w:rFonts w:ascii="Times New Roman" w:hAnsi="Times New Roman" w:cs="Times New Roman"/>
          <w:sz w:val="24"/>
          <w:szCs w:val="24"/>
        </w:rPr>
        <w:t>standard</w:t>
      </w:r>
      <w:r w:rsidR="007D1121" w:rsidRPr="003B097D">
        <w:rPr>
          <w:rFonts w:ascii="Times New Roman" w:hAnsi="Times New Roman" w:cs="Times New Roman"/>
          <w:sz w:val="24"/>
          <w:szCs w:val="24"/>
        </w:rPr>
        <w:t xml:space="preserve"> statistical tests, we address </w:t>
      </w:r>
      <w:r w:rsidR="00322652" w:rsidRPr="003B097D">
        <w:rPr>
          <w:rFonts w:ascii="Times New Roman" w:hAnsi="Times New Roman" w:cs="Times New Roman"/>
          <w:sz w:val="24"/>
          <w:szCs w:val="24"/>
        </w:rPr>
        <w:t xml:space="preserve">any </w:t>
      </w:r>
      <w:r w:rsidR="007D1121" w:rsidRPr="003B097D">
        <w:rPr>
          <w:rFonts w:ascii="Times New Roman" w:hAnsi="Times New Roman" w:cs="Times New Roman"/>
          <w:sz w:val="24"/>
          <w:szCs w:val="24"/>
        </w:rPr>
        <w:t xml:space="preserve">remaining concerns on the existence of such problem by </w:t>
      </w:r>
      <w:r w:rsidR="005741AA" w:rsidRPr="003B097D">
        <w:rPr>
          <w:rFonts w:ascii="Times New Roman" w:hAnsi="Times New Roman" w:cs="Times New Roman"/>
          <w:sz w:val="24"/>
          <w:szCs w:val="24"/>
        </w:rPr>
        <w:t>re-running our analysis using the</w:t>
      </w:r>
      <w:r w:rsidR="007D1121" w:rsidRPr="003B097D">
        <w:rPr>
          <w:rFonts w:ascii="Times New Roman" w:hAnsi="Times New Roman" w:cs="Times New Roman"/>
          <w:sz w:val="24"/>
          <w:szCs w:val="24"/>
        </w:rPr>
        <w:t xml:space="preserve"> country-level governance</w:t>
      </w:r>
      <w:r w:rsidR="0018680F" w:rsidRPr="003B097D">
        <w:rPr>
          <w:rFonts w:ascii="Times New Roman" w:hAnsi="Times New Roman" w:cs="Times New Roman"/>
          <w:sz w:val="24"/>
          <w:szCs w:val="24"/>
        </w:rPr>
        <w:t xml:space="preserve"> (COGI)</w:t>
      </w:r>
      <w:r w:rsidR="007D1121" w:rsidRPr="003B097D">
        <w:rPr>
          <w:rFonts w:ascii="Times New Roman" w:hAnsi="Times New Roman" w:cs="Times New Roman"/>
          <w:sz w:val="24"/>
          <w:szCs w:val="24"/>
        </w:rPr>
        <w:t xml:space="preserve"> score </w:t>
      </w:r>
      <w:r w:rsidR="005741AA" w:rsidRPr="003B097D">
        <w:rPr>
          <w:rFonts w:ascii="Times New Roman" w:hAnsi="Times New Roman" w:cs="Times New Roman"/>
          <w:sz w:val="24"/>
          <w:szCs w:val="24"/>
        </w:rPr>
        <w:t xml:space="preserve">introduced earlier. </w:t>
      </w:r>
      <w:r w:rsidR="008D242C" w:rsidRPr="003B097D">
        <w:rPr>
          <w:rFonts w:asciiTheme="majorBidi" w:hAnsiTheme="majorBidi" w:cstheme="majorBidi"/>
          <w:color w:val="000000"/>
          <w:sz w:val="24"/>
          <w:szCs w:val="24"/>
        </w:rPr>
        <w:t xml:space="preserve">The results from Table </w:t>
      </w:r>
      <w:r w:rsidR="00320310" w:rsidRPr="003B097D">
        <w:rPr>
          <w:rFonts w:asciiTheme="majorBidi" w:hAnsiTheme="majorBidi" w:cstheme="majorBidi"/>
          <w:color w:val="000000"/>
          <w:sz w:val="24"/>
          <w:szCs w:val="24"/>
        </w:rPr>
        <w:t>6</w:t>
      </w:r>
      <w:r w:rsidR="008D242C" w:rsidRPr="003B097D">
        <w:rPr>
          <w:rFonts w:asciiTheme="majorBidi" w:hAnsiTheme="majorBidi" w:cstheme="majorBidi"/>
          <w:color w:val="000000"/>
          <w:sz w:val="24"/>
          <w:szCs w:val="24"/>
        </w:rPr>
        <w:t xml:space="preserve"> confirm that our earlier findings are not affected by our governance index (Regression 1). They also confirm</w:t>
      </w:r>
      <w:r w:rsidR="00F17F59" w:rsidRPr="003B097D">
        <w:rPr>
          <w:rFonts w:asciiTheme="majorBidi" w:hAnsiTheme="majorBidi" w:cstheme="majorBidi"/>
          <w:color w:val="000000"/>
          <w:sz w:val="24"/>
          <w:szCs w:val="24"/>
        </w:rPr>
        <w:t xml:space="preserve"> (Regressions 2-4)</w:t>
      </w:r>
      <w:r w:rsidR="008D242C" w:rsidRPr="003B097D">
        <w:rPr>
          <w:rFonts w:asciiTheme="majorBidi" w:hAnsiTheme="majorBidi" w:cstheme="majorBidi"/>
          <w:color w:val="000000"/>
          <w:sz w:val="24"/>
          <w:szCs w:val="24"/>
        </w:rPr>
        <w:t xml:space="preserve"> that our conclusions remain essentially the same with an overall measure of country-level factors that accounts for potential multicollinearity</w:t>
      </w:r>
      <w:r w:rsidR="008078CD" w:rsidRPr="003B097D">
        <w:rPr>
          <w:rFonts w:asciiTheme="majorBidi" w:hAnsiTheme="majorBidi" w:cstheme="majorBidi"/>
          <w:color w:val="000000"/>
          <w:sz w:val="24"/>
          <w:szCs w:val="24"/>
        </w:rPr>
        <w:t xml:space="preserve"> issues in our previous models.</w:t>
      </w:r>
    </w:p>
    <w:p w14:paraId="10CE68BC" w14:textId="409ED231" w:rsidR="003B097D" w:rsidRDefault="003B097D">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980" w:type="dxa"/>
        <w:jc w:val="center"/>
        <w:tblLayout w:type="fixed"/>
        <w:tblLook w:val="04A0" w:firstRow="1" w:lastRow="0" w:firstColumn="1" w:lastColumn="0" w:noHBand="0" w:noVBand="1"/>
      </w:tblPr>
      <w:tblGrid>
        <w:gridCol w:w="2970"/>
        <w:gridCol w:w="2002"/>
        <w:gridCol w:w="2003"/>
        <w:gridCol w:w="2002"/>
        <w:gridCol w:w="2003"/>
      </w:tblGrid>
      <w:tr w:rsidR="003B097D" w:rsidRPr="00BE78CC" w14:paraId="698B410E" w14:textId="77777777" w:rsidTr="00305090">
        <w:trPr>
          <w:jc w:val="center"/>
        </w:trPr>
        <w:tc>
          <w:tcPr>
            <w:tcW w:w="10980" w:type="dxa"/>
            <w:gridSpan w:val="5"/>
            <w:tcBorders>
              <w:top w:val="nil"/>
              <w:left w:val="nil"/>
              <w:bottom w:val="single" w:sz="8" w:space="0" w:color="auto"/>
              <w:right w:val="nil"/>
            </w:tcBorders>
            <w:vAlign w:val="center"/>
          </w:tcPr>
          <w:p w14:paraId="3BD49859" w14:textId="075D479C" w:rsidR="00305090" w:rsidRDefault="003B097D" w:rsidP="00305090">
            <w:pPr>
              <w:tabs>
                <w:tab w:val="left" w:pos="426"/>
              </w:tabs>
              <w:jc w:val="center"/>
              <w:rPr>
                <w:rFonts w:ascii="Times New Roman" w:hAnsi="Times New Roman" w:cs="Times New Roman"/>
                <w:b/>
                <w:bCs/>
                <w:color w:val="000000"/>
              </w:rPr>
            </w:pPr>
            <w:r w:rsidRPr="00BE78CC">
              <w:rPr>
                <w:rFonts w:ascii="Times New Roman" w:hAnsi="Times New Roman" w:cs="Times New Roman"/>
                <w:b/>
                <w:bCs/>
                <w:color w:val="000000"/>
              </w:rPr>
              <w:lastRenderedPageBreak/>
              <w:t>Table 6</w:t>
            </w:r>
            <w:r w:rsidR="00305090">
              <w:rPr>
                <w:rFonts w:ascii="Times New Roman" w:hAnsi="Times New Roman" w:cs="Times New Roman"/>
                <w:b/>
                <w:bCs/>
                <w:color w:val="000000"/>
              </w:rPr>
              <w:t xml:space="preserve">: </w:t>
            </w:r>
            <w:r w:rsidRPr="00BE78CC">
              <w:rPr>
                <w:rFonts w:ascii="Times New Roman" w:hAnsi="Times New Roman" w:cs="Times New Roman"/>
                <w:b/>
                <w:bCs/>
                <w:color w:val="000000"/>
              </w:rPr>
              <w:t xml:space="preserve">Robustness Test </w:t>
            </w:r>
          </w:p>
          <w:p w14:paraId="68A56738" w14:textId="64E18C6A" w:rsidR="003B097D" w:rsidRPr="00BE78CC" w:rsidRDefault="003B097D" w:rsidP="00305090">
            <w:pPr>
              <w:tabs>
                <w:tab w:val="left" w:pos="426"/>
              </w:tabs>
              <w:spacing w:after="60"/>
              <w:jc w:val="center"/>
              <w:rPr>
                <w:rFonts w:ascii="Times New Roman" w:hAnsi="Times New Roman" w:cs="Times New Roman"/>
                <w:b/>
                <w:bCs/>
                <w:color w:val="000000"/>
              </w:rPr>
            </w:pPr>
            <w:r w:rsidRPr="00BE78CC">
              <w:rPr>
                <w:rFonts w:ascii="Times New Roman" w:hAnsi="Times New Roman" w:cs="Times New Roman"/>
                <w:b/>
                <w:bCs/>
                <w:color w:val="000000"/>
              </w:rPr>
              <w:t>Multivariate Regressions Using Alternative Firm-level and Country-level Governance Measures</w:t>
            </w:r>
          </w:p>
          <w:p w14:paraId="2C75D0C9" w14:textId="77777777" w:rsidR="003B097D" w:rsidRPr="00BE78CC" w:rsidRDefault="003B097D" w:rsidP="00305090">
            <w:pPr>
              <w:tabs>
                <w:tab w:val="left" w:pos="426"/>
              </w:tabs>
              <w:jc w:val="both"/>
              <w:rPr>
                <w:rFonts w:ascii="Times New Roman" w:hAnsi="Times New Roman" w:cs="Times New Roman"/>
                <w:color w:val="000000"/>
                <w:sz w:val="20"/>
                <w:szCs w:val="20"/>
              </w:rPr>
            </w:pPr>
            <w:r w:rsidRPr="00BE78CC">
              <w:rPr>
                <w:rFonts w:ascii="Times New Roman" w:hAnsi="Times New Roman" w:cs="Times New Roman"/>
                <w:color w:val="000000"/>
              </w:rPr>
              <w:t>The table presents the results of four ordinary least squares regressions us</w:t>
            </w:r>
            <w:r w:rsidRPr="00BE78CC">
              <w:rPr>
                <w:rFonts w:ascii="Times New Roman" w:hAnsi="Times New Roman" w:cs="Times New Roman"/>
                <w:color w:val="000000"/>
                <w:sz w:val="20"/>
                <w:szCs w:val="20"/>
              </w:rPr>
              <w:t>ing industry and year dummies with different dependent variables. GOVI is a firm-level additive index of governance constructed using a collection of individual measures of governance (see text for details). GOVS is a standardized governance score provided by DataStream that compares the firm’s overall governance framework to all other firms in the database. COGI is a country-level governance index (explained in the text). The Rule of Law Index (RLAW) is a score of the country’s legal system and its law enforcement power.</w:t>
            </w:r>
            <w:r w:rsidRPr="00BE78CC">
              <w:rPr>
                <w:rFonts w:ascii="Times New Roman" w:hAnsi="Times New Roman" w:cs="Times New Roman"/>
                <w:sz w:val="20"/>
                <w:szCs w:val="20"/>
              </w:rPr>
              <w:t xml:space="preserve"> </w:t>
            </w:r>
            <w:r w:rsidRPr="00BE78CC">
              <w:rPr>
                <w:rFonts w:ascii="Times New Roman" w:hAnsi="Times New Roman" w:cs="Times New Roman"/>
                <w:color w:val="000000"/>
                <w:sz w:val="20"/>
                <w:szCs w:val="20"/>
              </w:rPr>
              <w:t>The legal system origin (LORG) is a dummy variable which takes the value 1 if the country’s legal system is based on common law or 0 if it is based on civil law. Media (MEDI) is a score that assesses the degree of media freedom in a particular country. The Social and Cultural index (SOCL) assesses the characteristics of the education and health systems as well as training and technological readiness in a country. The Market Competitiveness index (COMP) measures the efficiency of the goods and labor markets as well as innovation and business sophistication in a particular country. All other variables are explained in the text. The t-Statistics reported in the parentheses are based on country clustered standard errors. *Significant at the 10% level. **Significant at the 5% level. ***Significant at the 1% level. The Mean Variance Inflation Factor (VIF) is a measure of the severity of multicollinearity in a regression.</w:t>
            </w:r>
          </w:p>
          <w:p w14:paraId="3ED76D5C" w14:textId="77777777" w:rsidR="003B097D" w:rsidRPr="00BE78CC" w:rsidRDefault="003B097D" w:rsidP="00305090">
            <w:pPr>
              <w:tabs>
                <w:tab w:val="left" w:pos="426"/>
              </w:tabs>
              <w:jc w:val="center"/>
              <w:rPr>
                <w:rFonts w:ascii="Times New Roman" w:hAnsi="Times New Roman" w:cs="Times New Roman"/>
                <w:b/>
                <w:bCs/>
                <w:color w:val="000000"/>
                <w:sz w:val="16"/>
                <w:szCs w:val="16"/>
              </w:rPr>
            </w:pPr>
          </w:p>
        </w:tc>
      </w:tr>
      <w:tr w:rsidR="003B097D" w:rsidRPr="003B097D" w14:paraId="136164AD" w14:textId="77777777" w:rsidTr="00305090">
        <w:trPr>
          <w:trHeight w:val="295"/>
          <w:jc w:val="center"/>
        </w:trPr>
        <w:tc>
          <w:tcPr>
            <w:tcW w:w="2970" w:type="dxa"/>
            <w:tcBorders>
              <w:top w:val="single" w:sz="8" w:space="0" w:color="auto"/>
              <w:left w:val="nil"/>
              <w:bottom w:val="single" w:sz="12" w:space="0" w:color="auto"/>
              <w:right w:val="nil"/>
            </w:tcBorders>
            <w:vAlign w:val="center"/>
          </w:tcPr>
          <w:p w14:paraId="1E4B9FBD" w14:textId="77777777" w:rsidR="003B097D" w:rsidRPr="003B097D" w:rsidRDefault="003B097D" w:rsidP="00305090">
            <w:pPr>
              <w:tabs>
                <w:tab w:val="left" w:pos="426"/>
              </w:tabs>
              <w:spacing w:before="60" w:after="60"/>
              <w:rPr>
                <w:rFonts w:ascii="Times New Roman" w:hAnsi="Times New Roman" w:cs="Times New Roman"/>
                <w:b/>
                <w:bCs/>
                <w:color w:val="000000"/>
                <w:sz w:val="21"/>
                <w:szCs w:val="21"/>
              </w:rPr>
            </w:pPr>
          </w:p>
        </w:tc>
        <w:tc>
          <w:tcPr>
            <w:tcW w:w="2002" w:type="dxa"/>
            <w:tcBorders>
              <w:top w:val="single" w:sz="8" w:space="0" w:color="auto"/>
              <w:left w:val="nil"/>
              <w:bottom w:val="single" w:sz="12" w:space="0" w:color="auto"/>
              <w:right w:val="nil"/>
            </w:tcBorders>
            <w:vAlign w:val="center"/>
          </w:tcPr>
          <w:p w14:paraId="563BCD7B" w14:textId="77777777" w:rsidR="003B097D" w:rsidRPr="003B097D" w:rsidRDefault="003B097D" w:rsidP="00305090">
            <w:pPr>
              <w:tabs>
                <w:tab w:val="left" w:pos="426"/>
              </w:tabs>
              <w:spacing w:before="60" w:after="60"/>
              <w:jc w:val="center"/>
              <w:rPr>
                <w:rFonts w:ascii="Times New Roman" w:hAnsi="Times New Roman" w:cs="Times New Roman"/>
                <w:b/>
                <w:bCs/>
                <w:color w:val="000000"/>
                <w:sz w:val="21"/>
                <w:szCs w:val="21"/>
              </w:rPr>
            </w:pPr>
            <w:r w:rsidRPr="003B097D">
              <w:rPr>
                <w:rFonts w:ascii="Times New Roman" w:hAnsi="Times New Roman" w:cs="Times New Roman"/>
                <w:b/>
                <w:bCs/>
                <w:color w:val="000000"/>
                <w:sz w:val="21"/>
                <w:szCs w:val="21"/>
              </w:rPr>
              <w:t>GOVS (1)</w:t>
            </w:r>
          </w:p>
        </w:tc>
        <w:tc>
          <w:tcPr>
            <w:tcW w:w="2003" w:type="dxa"/>
            <w:tcBorders>
              <w:top w:val="single" w:sz="8" w:space="0" w:color="auto"/>
              <w:left w:val="nil"/>
              <w:bottom w:val="single" w:sz="12" w:space="0" w:color="auto"/>
              <w:right w:val="nil"/>
            </w:tcBorders>
            <w:vAlign w:val="center"/>
          </w:tcPr>
          <w:p w14:paraId="4F46CDE3" w14:textId="77777777" w:rsidR="003B097D" w:rsidRPr="003B097D" w:rsidRDefault="003B097D" w:rsidP="00305090">
            <w:pPr>
              <w:tabs>
                <w:tab w:val="left" w:pos="426"/>
              </w:tabs>
              <w:spacing w:before="60" w:after="60"/>
              <w:jc w:val="center"/>
              <w:rPr>
                <w:rFonts w:ascii="Times New Roman" w:hAnsi="Times New Roman" w:cs="Times New Roman"/>
                <w:b/>
                <w:bCs/>
                <w:color w:val="000000"/>
                <w:sz w:val="21"/>
                <w:szCs w:val="21"/>
              </w:rPr>
            </w:pPr>
            <w:r w:rsidRPr="003B097D">
              <w:rPr>
                <w:rFonts w:ascii="Times New Roman" w:hAnsi="Times New Roman" w:cs="Times New Roman"/>
                <w:b/>
                <w:bCs/>
                <w:color w:val="000000"/>
                <w:sz w:val="21"/>
                <w:szCs w:val="21"/>
              </w:rPr>
              <w:t>GOVI (2)</w:t>
            </w:r>
          </w:p>
        </w:tc>
        <w:tc>
          <w:tcPr>
            <w:tcW w:w="2002" w:type="dxa"/>
            <w:tcBorders>
              <w:top w:val="single" w:sz="8" w:space="0" w:color="auto"/>
              <w:left w:val="nil"/>
              <w:bottom w:val="single" w:sz="12" w:space="0" w:color="auto"/>
              <w:right w:val="nil"/>
            </w:tcBorders>
            <w:vAlign w:val="center"/>
          </w:tcPr>
          <w:p w14:paraId="6A554E03" w14:textId="77777777" w:rsidR="003B097D" w:rsidRPr="003B097D" w:rsidRDefault="003B097D" w:rsidP="00305090">
            <w:pPr>
              <w:tabs>
                <w:tab w:val="left" w:pos="426"/>
              </w:tabs>
              <w:spacing w:before="60" w:after="60"/>
              <w:jc w:val="center"/>
              <w:rPr>
                <w:rFonts w:ascii="Times New Roman" w:hAnsi="Times New Roman" w:cs="Times New Roman"/>
                <w:b/>
                <w:bCs/>
                <w:color w:val="000000"/>
                <w:sz w:val="21"/>
                <w:szCs w:val="21"/>
              </w:rPr>
            </w:pPr>
            <w:r w:rsidRPr="003B097D">
              <w:rPr>
                <w:rFonts w:ascii="Times New Roman" w:hAnsi="Times New Roman" w:cs="Times New Roman"/>
                <w:b/>
                <w:bCs/>
                <w:color w:val="000000"/>
                <w:sz w:val="21"/>
                <w:szCs w:val="21"/>
              </w:rPr>
              <w:t>ROE(3)</w:t>
            </w:r>
          </w:p>
        </w:tc>
        <w:tc>
          <w:tcPr>
            <w:tcW w:w="2003" w:type="dxa"/>
            <w:tcBorders>
              <w:top w:val="single" w:sz="8" w:space="0" w:color="auto"/>
              <w:left w:val="nil"/>
              <w:bottom w:val="single" w:sz="12" w:space="0" w:color="auto"/>
              <w:right w:val="nil"/>
            </w:tcBorders>
            <w:vAlign w:val="center"/>
          </w:tcPr>
          <w:p w14:paraId="659EAD0B" w14:textId="77777777" w:rsidR="003B097D" w:rsidRPr="003B097D" w:rsidRDefault="003B097D" w:rsidP="00305090">
            <w:pPr>
              <w:tabs>
                <w:tab w:val="left" w:pos="426"/>
              </w:tabs>
              <w:spacing w:before="60" w:after="60"/>
              <w:jc w:val="center"/>
              <w:rPr>
                <w:rFonts w:ascii="Times New Roman" w:hAnsi="Times New Roman" w:cs="Times New Roman"/>
                <w:b/>
                <w:bCs/>
                <w:color w:val="000000"/>
                <w:sz w:val="21"/>
                <w:szCs w:val="21"/>
              </w:rPr>
            </w:pPr>
            <w:r w:rsidRPr="003B097D">
              <w:rPr>
                <w:rFonts w:ascii="Times New Roman" w:hAnsi="Times New Roman" w:cs="Times New Roman"/>
                <w:b/>
                <w:bCs/>
                <w:color w:val="000000"/>
                <w:sz w:val="21"/>
                <w:szCs w:val="21"/>
              </w:rPr>
              <w:t>Tobin’s Q(4)</w:t>
            </w:r>
          </w:p>
        </w:tc>
      </w:tr>
      <w:tr w:rsidR="003B097D" w:rsidRPr="003B097D" w14:paraId="2B0C0155" w14:textId="77777777" w:rsidTr="00305090">
        <w:trPr>
          <w:trHeight w:val="432"/>
          <w:jc w:val="center"/>
        </w:trPr>
        <w:tc>
          <w:tcPr>
            <w:tcW w:w="2970" w:type="dxa"/>
            <w:tcBorders>
              <w:top w:val="single" w:sz="12" w:space="0" w:color="auto"/>
              <w:left w:val="nil"/>
              <w:bottom w:val="nil"/>
              <w:right w:val="nil"/>
            </w:tcBorders>
            <w:vAlign w:val="center"/>
          </w:tcPr>
          <w:p w14:paraId="1A6006FC"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Intercept</w:t>
            </w:r>
          </w:p>
        </w:tc>
        <w:tc>
          <w:tcPr>
            <w:tcW w:w="2002" w:type="dxa"/>
            <w:tcBorders>
              <w:top w:val="nil"/>
              <w:left w:val="nil"/>
              <w:bottom w:val="nil"/>
              <w:right w:val="nil"/>
            </w:tcBorders>
            <w:shd w:val="clear" w:color="auto" w:fill="auto"/>
            <w:vAlign w:val="bottom"/>
          </w:tcPr>
          <w:p w14:paraId="70F8A59F"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-44.452***</w:t>
            </w:r>
            <w:r w:rsidRPr="003B097D">
              <w:rPr>
                <w:rFonts w:ascii="Times New Roman" w:hAnsi="Times New Roman" w:cs="Times New Roman"/>
                <w:sz w:val="21"/>
                <w:szCs w:val="21"/>
              </w:rPr>
              <w:br/>
              <w:t>(-3.910)</w:t>
            </w:r>
          </w:p>
        </w:tc>
        <w:tc>
          <w:tcPr>
            <w:tcW w:w="2003" w:type="dxa"/>
            <w:tcBorders>
              <w:top w:val="nil"/>
              <w:left w:val="nil"/>
              <w:bottom w:val="nil"/>
              <w:right w:val="nil"/>
            </w:tcBorders>
            <w:shd w:val="clear" w:color="auto" w:fill="auto"/>
            <w:vAlign w:val="bottom"/>
          </w:tcPr>
          <w:p w14:paraId="0DF6A7D2"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42.025***</w:t>
            </w:r>
            <w:r w:rsidRPr="003B097D">
              <w:rPr>
                <w:rFonts w:ascii="Times New Roman" w:hAnsi="Times New Roman" w:cs="Times New Roman"/>
                <w:sz w:val="21"/>
                <w:szCs w:val="21"/>
              </w:rPr>
              <w:br/>
              <w:t>(7.700)</w:t>
            </w:r>
          </w:p>
        </w:tc>
        <w:tc>
          <w:tcPr>
            <w:tcW w:w="2002" w:type="dxa"/>
            <w:tcBorders>
              <w:top w:val="nil"/>
              <w:left w:val="nil"/>
              <w:bottom w:val="nil"/>
              <w:right w:val="nil"/>
            </w:tcBorders>
            <w:shd w:val="clear" w:color="auto" w:fill="auto"/>
            <w:vAlign w:val="bottom"/>
          </w:tcPr>
          <w:p w14:paraId="4A90DBDC"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-0.957</w:t>
            </w:r>
            <w:r w:rsidRPr="003B097D">
              <w:rPr>
                <w:rFonts w:ascii="Times New Roman" w:hAnsi="Times New Roman" w:cs="Times New Roman"/>
                <w:sz w:val="21"/>
                <w:szCs w:val="21"/>
              </w:rPr>
              <w:br/>
              <w:t>(-1.120)</w:t>
            </w:r>
          </w:p>
        </w:tc>
        <w:tc>
          <w:tcPr>
            <w:tcW w:w="2003" w:type="dxa"/>
            <w:tcBorders>
              <w:top w:val="nil"/>
              <w:left w:val="nil"/>
              <w:bottom w:val="nil"/>
              <w:right w:val="nil"/>
            </w:tcBorders>
            <w:shd w:val="clear" w:color="auto" w:fill="auto"/>
            <w:vAlign w:val="bottom"/>
          </w:tcPr>
          <w:p w14:paraId="324F6615"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3.340***</w:t>
            </w:r>
            <w:r w:rsidRPr="003B097D">
              <w:rPr>
                <w:rFonts w:ascii="Times New Roman" w:hAnsi="Times New Roman" w:cs="Times New Roman"/>
                <w:sz w:val="21"/>
                <w:szCs w:val="21"/>
              </w:rPr>
              <w:br/>
              <w:t>(3.360)</w:t>
            </w:r>
          </w:p>
        </w:tc>
      </w:tr>
      <w:tr w:rsidR="003B097D" w:rsidRPr="003B097D" w14:paraId="67283FF1" w14:textId="77777777" w:rsidTr="00305090">
        <w:trPr>
          <w:trHeight w:val="432"/>
          <w:jc w:val="center"/>
        </w:trPr>
        <w:tc>
          <w:tcPr>
            <w:tcW w:w="2970" w:type="dxa"/>
            <w:tcBorders>
              <w:top w:val="nil"/>
              <w:left w:val="nil"/>
              <w:bottom w:val="nil"/>
              <w:right w:val="nil"/>
            </w:tcBorders>
            <w:vAlign w:val="center"/>
          </w:tcPr>
          <w:p w14:paraId="069BDB38"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GOVS</w:t>
            </w:r>
          </w:p>
        </w:tc>
        <w:tc>
          <w:tcPr>
            <w:tcW w:w="2002" w:type="dxa"/>
            <w:tcBorders>
              <w:top w:val="nil"/>
              <w:left w:val="nil"/>
              <w:bottom w:val="nil"/>
              <w:right w:val="nil"/>
            </w:tcBorders>
            <w:shd w:val="clear" w:color="auto" w:fill="auto"/>
            <w:vAlign w:val="bottom"/>
          </w:tcPr>
          <w:p w14:paraId="2435B5CF"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3B8C7E19"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17CE4BE4"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0.237**</w:t>
            </w:r>
            <w:r w:rsidRPr="003B097D">
              <w:rPr>
                <w:rFonts w:ascii="Times New Roman" w:hAnsi="Times New Roman" w:cs="Times New Roman"/>
                <w:sz w:val="21"/>
                <w:szCs w:val="21"/>
              </w:rPr>
              <w:br/>
              <w:t>(2.170)</w:t>
            </w:r>
          </w:p>
        </w:tc>
        <w:tc>
          <w:tcPr>
            <w:tcW w:w="2003" w:type="dxa"/>
            <w:tcBorders>
              <w:top w:val="nil"/>
              <w:left w:val="nil"/>
              <w:bottom w:val="nil"/>
              <w:right w:val="nil"/>
            </w:tcBorders>
            <w:shd w:val="clear" w:color="auto" w:fill="auto"/>
            <w:vAlign w:val="bottom"/>
          </w:tcPr>
          <w:p w14:paraId="60423641"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0.035*</w:t>
            </w:r>
            <w:r w:rsidRPr="003B097D">
              <w:rPr>
                <w:rFonts w:ascii="Times New Roman" w:hAnsi="Times New Roman" w:cs="Times New Roman"/>
                <w:sz w:val="21"/>
                <w:szCs w:val="21"/>
              </w:rPr>
              <w:br/>
              <w:t>(1.930)</w:t>
            </w:r>
          </w:p>
        </w:tc>
      </w:tr>
      <w:tr w:rsidR="003B097D" w:rsidRPr="003B097D" w14:paraId="6ECB9658" w14:textId="77777777" w:rsidTr="00305090">
        <w:trPr>
          <w:trHeight w:val="432"/>
          <w:jc w:val="center"/>
        </w:trPr>
        <w:tc>
          <w:tcPr>
            <w:tcW w:w="2970" w:type="dxa"/>
            <w:tcBorders>
              <w:top w:val="nil"/>
              <w:left w:val="nil"/>
              <w:bottom w:val="nil"/>
              <w:right w:val="nil"/>
            </w:tcBorders>
            <w:vAlign w:val="center"/>
          </w:tcPr>
          <w:p w14:paraId="0E29E2B6"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COGI</w:t>
            </w:r>
          </w:p>
        </w:tc>
        <w:tc>
          <w:tcPr>
            <w:tcW w:w="2002" w:type="dxa"/>
            <w:tcBorders>
              <w:top w:val="nil"/>
              <w:left w:val="nil"/>
              <w:bottom w:val="nil"/>
              <w:right w:val="nil"/>
            </w:tcBorders>
            <w:shd w:val="clear" w:color="auto" w:fill="auto"/>
            <w:vAlign w:val="bottom"/>
          </w:tcPr>
          <w:p w14:paraId="77EB11A4"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1010C342"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3.622***</w:t>
            </w:r>
            <w:r w:rsidRPr="003B097D">
              <w:rPr>
                <w:rFonts w:ascii="Times New Roman" w:hAnsi="Times New Roman" w:cs="Times New Roman"/>
                <w:sz w:val="21"/>
                <w:szCs w:val="21"/>
              </w:rPr>
              <w:br/>
              <w:t>(4.140)</w:t>
            </w:r>
          </w:p>
        </w:tc>
        <w:tc>
          <w:tcPr>
            <w:tcW w:w="2002" w:type="dxa"/>
            <w:tcBorders>
              <w:top w:val="nil"/>
              <w:left w:val="nil"/>
              <w:bottom w:val="nil"/>
              <w:right w:val="nil"/>
            </w:tcBorders>
            <w:shd w:val="clear" w:color="auto" w:fill="auto"/>
            <w:vAlign w:val="bottom"/>
          </w:tcPr>
          <w:p w14:paraId="6E1F660F" w14:textId="77777777" w:rsidR="003B097D" w:rsidRPr="003B097D" w:rsidRDefault="003B097D" w:rsidP="00305090">
            <w:pPr>
              <w:tabs>
                <w:tab w:val="left" w:pos="426"/>
              </w:tabs>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459B384C" w14:textId="77777777" w:rsidR="003B097D" w:rsidRPr="003B097D" w:rsidRDefault="003B097D" w:rsidP="00305090">
            <w:pPr>
              <w:tabs>
                <w:tab w:val="left" w:pos="426"/>
              </w:tabs>
              <w:rPr>
                <w:rFonts w:ascii="Times New Roman" w:hAnsi="Times New Roman" w:cs="Times New Roman"/>
                <w:sz w:val="21"/>
                <w:szCs w:val="21"/>
              </w:rPr>
            </w:pPr>
          </w:p>
        </w:tc>
      </w:tr>
      <w:tr w:rsidR="003B097D" w:rsidRPr="003B097D" w14:paraId="021BC112" w14:textId="77777777" w:rsidTr="00305090">
        <w:trPr>
          <w:trHeight w:val="432"/>
          <w:jc w:val="center"/>
        </w:trPr>
        <w:tc>
          <w:tcPr>
            <w:tcW w:w="2970" w:type="dxa"/>
            <w:tcBorders>
              <w:top w:val="nil"/>
              <w:left w:val="nil"/>
              <w:bottom w:val="nil"/>
              <w:right w:val="nil"/>
            </w:tcBorders>
            <w:vAlign w:val="center"/>
          </w:tcPr>
          <w:p w14:paraId="1353ACE6"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GOVS*COGI</w:t>
            </w:r>
          </w:p>
        </w:tc>
        <w:tc>
          <w:tcPr>
            <w:tcW w:w="2002" w:type="dxa"/>
            <w:tcBorders>
              <w:top w:val="nil"/>
              <w:left w:val="nil"/>
              <w:bottom w:val="nil"/>
              <w:right w:val="nil"/>
            </w:tcBorders>
            <w:shd w:val="clear" w:color="auto" w:fill="auto"/>
            <w:vAlign w:val="bottom"/>
          </w:tcPr>
          <w:p w14:paraId="0C1CC202"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464B8105"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59A182CB"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0.029*</w:t>
            </w:r>
            <w:r w:rsidRPr="003B097D">
              <w:rPr>
                <w:rFonts w:ascii="Times New Roman" w:hAnsi="Times New Roman" w:cs="Times New Roman"/>
                <w:sz w:val="21"/>
                <w:szCs w:val="21"/>
              </w:rPr>
              <w:br/>
              <w:t>(1.790)</w:t>
            </w:r>
          </w:p>
        </w:tc>
        <w:tc>
          <w:tcPr>
            <w:tcW w:w="2003" w:type="dxa"/>
            <w:tcBorders>
              <w:top w:val="nil"/>
              <w:left w:val="nil"/>
              <w:bottom w:val="nil"/>
              <w:right w:val="nil"/>
            </w:tcBorders>
            <w:shd w:val="clear" w:color="auto" w:fill="auto"/>
            <w:vAlign w:val="bottom"/>
          </w:tcPr>
          <w:p w14:paraId="242387C1"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0.006*</w:t>
            </w:r>
            <w:r w:rsidRPr="003B097D">
              <w:rPr>
                <w:rFonts w:ascii="Times New Roman" w:hAnsi="Times New Roman" w:cs="Times New Roman"/>
                <w:sz w:val="21"/>
                <w:szCs w:val="21"/>
              </w:rPr>
              <w:br/>
              <w:t>(1.830)</w:t>
            </w:r>
          </w:p>
        </w:tc>
      </w:tr>
      <w:tr w:rsidR="003B097D" w:rsidRPr="003B097D" w14:paraId="0069BD95" w14:textId="77777777" w:rsidTr="00305090">
        <w:trPr>
          <w:trHeight w:val="432"/>
          <w:jc w:val="center"/>
        </w:trPr>
        <w:tc>
          <w:tcPr>
            <w:tcW w:w="2970" w:type="dxa"/>
            <w:tcBorders>
              <w:top w:val="nil"/>
              <w:left w:val="nil"/>
              <w:bottom w:val="nil"/>
              <w:right w:val="nil"/>
            </w:tcBorders>
            <w:vAlign w:val="center"/>
          </w:tcPr>
          <w:p w14:paraId="7DCA8DBA"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RLAW</w:t>
            </w:r>
          </w:p>
        </w:tc>
        <w:tc>
          <w:tcPr>
            <w:tcW w:w="2002" w:type="dxa"/>
            <w:tcBorders>
              <w:top w:val="nil"/>
              <w:left w:val="nil"/>
              <w:bottom w:val="nil"/>
              <w:right w:val="nil"/>
            </w:tcBorders>
            <w:shd w:val="clear" w:color="auto" w:fill="auto"/>
            <w:vAlign w:val="bottom"/>
          </w:tcPr>
          <w:p w14:paraId="5EAC0FA2"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3.829*</w:t>
            </w:r>
            <w:r w:rsidRPr="003B097D">
              <w:rPr>
                <w:rFonts w:ascii="Times New Roman" w:hAnsi="Times New Roman" w:cs="Times New Roman"/>
                <w:sz w:val="21"/>
                <w:szCs w:val="21"/>
              </w:rPr>
              <w:br/>
              <w:t>(1.830)</w:t>
            </w:r>
          </w:p>
        </w:tc>
        <w:tc>
          <w:tcPr>
            <w:tcW w:w="2003" w:type="dxa"/>
            <w:tcBorders>
              <w:top w:val="nil"/>
              <w:left w:val="nil"/>
              <w:bottom w:val="nil"/>
              <w:right w:val="nil"/>
            </w:tcBorders>
            <w:shd w:val="clear" w:color="auto" w:fill="auto"/>
            <w:vAlign w:val="bottom"/>
          </w:tcPr>
          <w:p w14:paraId="09E09C63"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08DC2FF9"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02292B2B"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3395B41F" w14:textId="77777777" w:rsidTr="00305090">
        <w:trPr>
          <w:trHeight w:val="432"/>
          <w:jc w:val="center"/>
        </w:trPr>
        <w:tc>
          <w:tcPr>
            <w:tcW w:w="2970" w:type="dxa"/>
            <w:tcBorders>
              <w:top w:val="nil"/>
              <w:left w:val="nil"/>
              <w:bottom w:val="nil"/>
              <w:right w:val="nil"/>
            </w:tcBorders>
            <w:vAlign w:val="center"/>
          </w:tcPr>
          <w:p w14:paraId="739AB001"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LORG</w:t>
            </w:r>
          </w:p>
        </w:tc>
        <w:tc>
          <w:tcPr>
            <w:tcW w:w="2002" w:type="dxa"/>
            <w:tcBorders>
              <w:top w:val="nil"/>
              <w:left w:val="nil"/>
              <w:bottom w:val="nil"/>
              <w:right w:val="nil"/>
            </w:tcBorders>
            <w:shd w:val="clear" w:color="auto" w:fill="auto"/>
            <w:vAlign w:val="bottom"/>
          </w:tcPr>
          <w:p w14:paraId="105F1404"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28.856***</w:t>
            </w:r>
            <w:r w:rsidRPr="003B097D">
              <w:rPr>
                <w:rFonts w:ascii="Times New Roman" w:hAnsi="Times New Roman" w:cs="Times New Roman"/>
                <w:sz w:val="21"/>
                <w:szCs w:val="21"/>
              </w:rPr>
              <w:br/>
              <w:t>(8.910)</w:t>
            </w:r>
          </w:p>
        </w:tc>
        <w:tc>
          <w:tcPr>
            <w:tcW w:w="2003" w:type="dxa"/>
            <w:tcBorders>
              <w:top w:val="nil"/>
              <w:left w:val="nil"/>
              <w:bottom w:val="nil"/>
              <w:right w:val="nil"/>
            </w:tcBorders>
            <w:shd w:val="clear" w:color="auto" w:fill="auto"/>
            <w:vAlign w:val="bottom"/>
          </w:tcPr>
          <w:p w14:paraId="2A8F9846"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61D17F75"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3D139707"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5923AF8D" w14:textId="77777777" w:rsidTr="00305090">
        <w:trPr>
          <w:trHeight w:val="432"/>
          <w:jc w:val="center"/>
        </w:trPr>
        <w:tc>
          <w:tcPr>
            <w:tcW w:w="2970" w:type="dxa"/>
            <w:tcBorders>
              <w:top w:val="nil"/>
              <w:left w:val="nil"/>
              <w:bottom w:val="nil"/>
              <w:right w:val="nil"/>
            </w:tcBorders>
            <w:vAlign w:val="center"/>
          </w:tcPr>
          <w:p w14:paraId="112BD52B"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MEDI</w:t>
            </w:r>
          </w:p>
        </w:tc>
        <w:tc>
          <w:tcPr>
            <w:tcW w:w="2002" w:type="dxa"/>
            <w:tcBorders>
              <w:top w:val="nil"/>
              <w:left w:val="nil"/>
              <w:bottom w:val="nil"/>
              <w:right w:val="nil"/>
            </w:tcBorders>
            <w:shd w:val="clear" w:color="auto" w:fill="auto"/>
            <w:vAlign w:val="bottom"/>
          </w:tcPr>
          <w:p w14:paraId="599D862C"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1.801*</w:t>
            </w:r>
            <w:r w:rsidRPr="003B097D">
              <w:rPr>
                <w:rFonts w:ascii="Times New Roman" w:hAnsi="Times New Roman" w:cs="Times New Roman"/>
                <w:sz w:val="21"/>
                <w:szCs w:val="21"/>
              </w:rPr>
              <w:br/>
              <w:t>(1.740)</w:t>
            </w:r>
          </w:p>
        </w:tc>
        <w:tc>
          <w:tcPr>
            <w:tcW w:w="2003" w:type="dxa"/>
            <w:tcBorders>
              <w:top w:val="nil"/>
              <w:left w:val="nil"/>
              <w:bottom w:val="nil"/>
              <w:right w:val="nil"/>
            </w:tcBorders>
            <w:shd w:val="clear" w:color="auto" w:fill="auto"/>
            <w:vAlign w:val="bottom"/>
          </w:tcPr>
          <w:p w14:paraId="0B311EA1"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7670B564"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5CEBB24A"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44A91F40" w14:textId="77777777" w:rsidTr="00305090">
        <w:trPr>
          <w:trHeight w:val="432"/>
          <w:jc w:val="center"/>
        </w:trPr>
        <w:tc>
          <w:tcPr>
            <w:tcW w:w="2970" w:type="dxa"/>
            <w:tcBorders>
              <w:top w:val="nil"/>
              <w:left w:val="nil"/>
              <w:bottom w:val="nil"/>
              <w:right w:val="nil"/>
            </w:tcBorders>
            <w:vAlign w:val="center"/>
          </w:tcPr>
          <w:p w14:paraId="491298ED"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SOCL</w:t>
            </w:r>
          </w:p>
        </w:tc>
        <w:tc>
          <w:tcPr>
            <w:tcW w:w="2002" w:type="dxa"/>
            <w:tcBorders>
              <w:top w:val="nil"/>
              <w:left w:val="nil"/>
              <w:bottom w:val="nil"/>
              <w:right w:val="nil"/>
            </w:tcBorders>
            <w:shd w:val="clear" w:color="auto" w:fill="auto"/>
            <w:vAlign w:val="bottom"/>
          </w:tcPr>
          <w:p w14:paraId="69819ABB"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3.825*</w:t>
            </w:r>
            <w:r w:rsidRPr="003B097D">
              <w:rPr>
                <w:rFonts w:ascii="Times New Roman" w:hAnsi="Times New Roman" w:cs="Times New Roman"/>
                <w:sz w:val="21"/>
                <w:szCs w:val="21"/>
              </w:rPr>
              <w:br/>
              <w:t>(1.910)</w:t>
            </w:r>
          </w:p>
        </w:tc>
        <w:tc>
          <w:tcPr>
            <w:tcW w:w="2003" w:type="dxa"/>
            <w:tcBorders>
              <w:top w:val="nil"/>
              <w:left w:val="nil"/>
              <w:bottom w:val="nil"/>
              <w:right w:val="nil"/>
            </w:tcBorders>
            <w:shd w:val="clear" w:color="auto" w:fill="auto"/>
            <w:vAlign w:val="bottom"/>
          </w:tcPr>
          <w:p w14:paraId="2C19E196"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77EFEF50"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4ABCB644"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0772DAAC" w14:textId="77777777" w:rsidTr="00305090">
        <w:trPr>
          <w:trHeight w:val="432"/>
          <w:jc w:val="center"/>
        </w:trPr>
        <w:tc>
          <w:tcPr>
            <w:tcW w:w="2970" w:type="dxa"/>
            <w:tcBorders>
              <w:top w:val="nil"/>
              <w:left w:val="nil"/>
              <w:bottom w:val="nil"/>
              <w:right w:val="nil"/>
            </w:tcBorders>
            <w:vAlign w:val="center"/>
          </w:tcPr>
          <w:p w14:paraId="2720BE35"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CHRN</w:t>
            </w:r>
          </w:p>
        </w:tc>
        <w:tc>
          <w:tcPr>
            <w:tcW w:w="2002" w:type="dxa"/>
            <w:tcBorders>
              <w:top w:val="nil"/>
              <w:left w:val="nil"/>
              <w:bottom w:val="nil"/>
              <w:right w:val="nil"/>
            </w:tcBorders>
            <w:shd w:val="clear" w:color="auto" w:fill="auto"/>
            <w:vAlign w:val="bottom"/>
          </w:tcPr>
          <w:p w14:paraId="2E2DB692"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27.388***</w:t>
            </w:r>
            <w:r w:rsidRPr="003B097D">
              <w:rPr>
                <w:rFonts w:ascii="Times New Roman" w:hAnsi="Times New Roman" w:cs="Times New Roman"/>
                <w:sz w:val="21"/>
                <w:szCs w:val="21"/>
              </w:rPr>
              <w:br/>
              <w:t>(7.470)</w:t>
            </w:r>
          </w:p>
        </w:tc>
        <w:tc>
          <w:tcPr>
            <w:tcW w:w="2003" w:type="dxa"/>
            <w:tcBorders>
              <w:top w:val="nil"/>
              <w:left w:val="nil"/>
              <w:bottom w:val="nil"/>
              <w:right w:val="nil"/>
            </w:tcBorders>
            <w:shd w:val="clear" w:color="auto" w:fill="auto"/>
            <w:vAlign w:val="bottom"/>
          </w:tcPr>
          <w:p w14:paraId="2AC1C52C"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66B6036C"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6FAE2949"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1AD36E4E" w14:textId="77777777" w:rsidTr="00305090">
        <w:trPr>
          <w:trHeight w:val="432"/>
          <w:jc w:val="center"/>
        </w:trPr>
        <w:tc>
          <w:tcPr>
            <w:tcW w:w="2970" w:type="dxa"/>
            <w:tcBorders>
              <w:top w:val="nil"/>
              <w:left w:val="nil"/>
              <w:bottom w:val="nil"/>
              <w:right w:val="nil"/>
            </w:tcBorders>
            <w:vAlign w:val="center"/>
          </w:tcPr>
          <w:p w14:paraId="5C3BA36B"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ISLM</w:t>
            </w:r>
          </w:p>
        </w:tc>
        <w:tc>
          <w:tcPr>
            <w:tcW w:w="2002" w:type="dxa"/>
            <w:tcBorders>
              <w:top w:val="nil"/>
              <w:left w:val="nil"/>
              <w:bottom w:val="nil"/>
              <w:right w:val="nil"/>
            </w:tcBorders>
            <w:shd w:val="clear" w:color="auto" w:fill="auto"/>
            <w:vAlign w:val="bottom"/>
          </w:tcPr>
          <w:p w14:paraId="76F91CC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9.515</w:t>
            </w:r>
            <w:r w:rsidRPr="003B097D">
              <w:rPr>
                <w:rFonts w:ascii="Times New Roman" w:hAnsi="Times New Roman" w:cs="Times New Roman"/>
                <w:sz w:val="21"/>
                <w:szCs w:val="21"/>
              </w:rPr>
              <w:br/>
              <w:t>(1.510)</w:t>
            </w:r>
          </w:p>
        </w:tc>
        <w:tc>
          <w:tcPr>
            <w:tcW w:w="2003" w:type="dxa"/>
            <w:tcBorders>
              <w:top w:val="nil"/>
              <w:left w:val="nil"/>
              <w:bottom w:val="nil"/>
              <w:right w:val="nil"/>
            </w:tcBorders>
            <w:shd w:val="clear" w:color="auto" w:fill="auto"/>
            <w:vAlign w:val="bottom"/>
          </w:tcPr>
          <w:p w14:paraId="4DD2077C"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0D76105E"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055EA458"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59DCBF89" w14:textId="77777777" w:rsidTr="00305090">
        <w:trPr>
          <w:trHeight w:val="432"/>
          <w:jc w:val="center"/>
        </w:trPr>
        <w:tc>
          <w:tcPr>
            <w:tcW w:w="2970" w:type="dxa"/>
            <w:tcBorders>
              <w:top w:val="nil"/>
              <w:left w:val="nil"/>
              <w:bottom w:val="nil"/>
              <w:right w:val="nil"/>
            </w:tcBorders>
            <w:vAlign w:val="center"/>
          </w:tcPr>
          <w:p w14:paraId="3C3B71DD"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COMP</w:t>
            </w:r>
          </w:p>
        </w:tc>
        <w:tc>
          <w:tcPr>
            <w:tcW w:w="2002" w:type="dxa"/>
            <w:tcBorders>
              <w:top w:val="nil"/>
              <w:left w:val="nil"/>
              <w:bottom w:val="nil"/>
              <w:right w:val="nil"/>
            </w:tcBorders>
            <w:shd w:val="clear" w:color="auto" w:fill="auto"/>
            <w:vAlign w:val="bottom"/>
          </w:tcPr>
          <w:p w14:paraId="4F8C08B8"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2.218</w:t>
            </w:r>
            <w:r w:rsidRPr="003B097D">
              <w:rPr>
                <w:rFonts w:ascii="Times New Roman" w:hAnsi="Times New Roman" w:cs="Times New Roman"/>
                <w:sz w:val="21"/>
                <w:szCs w:val="21"/>
              </w:rPr>
              <w:br/>
              <w:t>(1.590)</w:t>
            </w:r>
          </w:p>
        </w:tc>
        <w:tc>
          <w:tcPr>
            <w:tcW w:w="2003" w:type="dxa"/>
            <w:tcBorders>
              <w:top w:val="nil"/>
              <w:left w:val="nil"/>
              <w:bottom w:val="nil"/>
              <w:right w:val="nil"/>
            </w:tcBorders>
            <w:shd w:val="clear" w:color="auto" w:fill="auto"/>
            <w:vAlign w:val="bottom"/>
          </w:tcPr>
          <w:p w14:paraId="4A376817" w14:textId="77777777" w:rsidR="003B097D" w:rsidRPr="003B097D" w:rsidRDefault="003B097D" w:rsidP="00305090">
            <w:pPr>
              <w:tabs>
                <w:tab w:val="left" w:pos="426"/>
              </w:tabs>
              <w:jc w:val="center"/>
              <w:rPr>
                <w:rFonts w:ascii="Times New Roman" w:hAnsi="Times New Roman" w:cs="Times New Roman"/>
                <w:sz w:val="21"/>
                <w:szCs w:val="21"/>
              </w:rPr>
            </w:pPr>
          </w:p>
        </w:tc>
        <w:tc>
          <w:tcPr>
            <w:tcW w:w="2002" w:type="dxa"/>
            <w:tcBorders>
              <w:top w:val="nil"/>
              <w:left w:val="nil"/>
              <w:bottom w:val="nil"/>
              <w:right w:val="nil"/>
            </w:tcBorders>
            <w:shd w:val="clear" w:color="auto" w:fill="auto"/>
            <w:vAlign w:val="bottom"/>
          </w:tcPr>
          <w:p w14:paraId="4AA10DC0" w14:textId="77777777" w:rsidR="003B097D" w:rsidRPr="003B097D" w:rsidRDefault="003B097D" w:rsidP="00305090">
            <w:pPr>
              <w:tabs>
                <w:tab w:val="left" w:pos="426"/>
              </w:tabs>
              <w:jc w:val="center"/>
              <w:rPr>
                <w:rFonts w:ascii="Times New Roman" w:hAnsi="Times New Roman" w:cs="Times New Roman"/>
                <w:sz w:val="21"/>
                <w:szCs w:val="21"/>
              </w:rPr>
            </w:pPr>
          </w:p>
        </w:tc>
        <w:tc>
          <w:tcPr>
            <w:tcW w:w="2003" w:type="dxa"/>
            <w:tcBorders>
              <w:top w:val="nil"/>
              <w:left w:val="nil"/>
              <w:bottom w:val="nil"/>
              <w:right w:val="nil"/>
            </w:tcBorders>
            <w:shd w:val="clear" w:color="auto" w:fill="auto"/>
            <w:vAlign w:val="bottom"/>
          </w:tcPr>
          <w:p w14:paraId="1F995EF6" w14:textId="77777777" w:rsidR="003B097D" w:rsidRPr="003B097D" w:rsidRDefault="003B097D" w:rsidP="00305090">
            <w:pPr>
              <w:tabs>
                <w:tab w:val="left" w:pos="426"/>
              </w:tabs>
              <w:jc w:val="center"/>
              <w:rPr>
                <w:rFonts w:ascii="Times New Roman" w:hAnsi="Times New Roman" w:cs="Times New Roman"/>
                <w:sz w:val="21"/>
                <w:szCs w:val="21"/>
              </w:rPr>
            </w:pPr>
          </w:p>
        </w:tc>
      </w:tr>
      <w:tr w:rsidR="003B097D" w:rsidRPr="003B097D" w14:paraId="2A8F7542" w14:textId="77777777" w:rsidTr="00305090">
        <w:trPr>
          <w:trHeight w:val="432"/>
          <w:jc w:val="center"/>
        </w:trPr>
        <w:tc>
          <w:tcPr>
            <w:tcW w:w="2970" w:type="dxa"/>
            <w:tcBorders>
              <w:top w:val="nil"/>
              <w:left w:val="nil"/>
              <w:bottom w:val="nil"/>
              <w:right w:val="nil"/>
            </w:tcBorders>
            <w:vAlign w:val="center"/>
          </w:tcPr>
          <w:p w14:paraId="04ACBF25"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SIZE</w:t>
            </w:r>
          </w:p>
        </w:tc>
        <w:tc>
          <w:tcPr>
            <w:tcW w:w="2002" w:type="dxa"/>
            <w:tcBorders>
              <w:top w:val="nil"/>
              <w:left w:val="nil"/>
              <w:bottom w:val="nil"/>
              <w:right w:val="nil"/>
            </w:tcBorders>
            <w:shd w:val="clear" w:color="auto" w:fill="auto"/>
            <w:vAlign w:val="bottom"/>
          </w:tcPr>
          <w:p w14:paraId="722D8FC8"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3.379***</w:t>
            </w:r>
            <w:r w:rsidRPr="003B097D">
              <w:rPr>
                <w:rFonts w:ascii="Times New Roman" w:hAnsi="Times New Roman" w:cs="Times New Roman"/>
                <w:sz w:val="21"/>
                <w:szCs w:val="21"/>
              </w:rPr>
              <w:br/>
              <w:t>(5.090)</w:t>
            </w:r>
          </w:p>
        </w:tc>
        <w:tc>
          <w:tcPr>
            <w:tcW w:w="2003" w:type="dxa"/>
            <w:tcBorders>
              <w:top w:val="nil"/>
              <w:left w:val="nil"/>
              <w:bottom w:val="nil"/>
              <w:right w:val="nil"/>
            </w:tcBorders>
            <w:shd w:val="clear" w:color="auto" w:fill="auto"/>
            <w:vAlign w:val="bottom"/>
          </w:tcPr>
          <w:p w14:paraId="58F1E55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-0.055</w:t>
            </w:r>
            <w:r w:rsidRPr="003B097D">
              <w:rPr>
                <w:rFonts w:ascii="Times New Roman" w:hAnsi="Times New Roman" w:cs="Times New Roman"/>
                <w:sz w:val="21"/>
                <w:szCs w:val="21"/>
              </w:rPr>
              <w:br/>
              <w:t>(-0.170)</w:t>
            </w:r>
          </w:p>
        </w:tc>
        <w:tc>
          <w:tcPr>
            <w:tcW w:w="2002" w:type="dxa"/>
            <w:tcBorders>
              <w:top w:val="nil"/>
              <w:left w:val="nil"/>
              <w:bottom w:val="nil"/>
              <w:right w:val="nil"/>
            </w:tcBorders>
            <w:shd w:val="clear" w:color="auto" w:fill="auto"/>
            <w:vAlign w:val="bottom"/>
          </w:tcPr>
          <w:p w14:paraId="52F813D8"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0.166</w:t>
            </w:r>
            <w:r w:rsidRPr="003B097D">
              <w:rPr>
                <w:rFonts w:ascii="Times New Roman" w:hAnsi="Times New Roman" w:cs="Times New Roman"/>
                <w:sz w:val="21"/>
                <w:szCs w:val="21"/>
              </w:rPr>
              <w:br/>
              <w:t>(1.400)</w:t>
            </w:r>
          </w:p>
        </w:tc>
        <w:tc>
          <w:tcPr>
            <w:tcW w:w="2003" w:type="dxa"/>
            <w:tcBorders>
              <w:top w:val="nil"/>
              <w:left w:val="nil"/>
              <w:bottom w:val="nil"/>
              <w:right w:val="nil"/>
            </w:tcBorders>
            <w:shd w:val="clear" w:color="auto" w:fill="auto"/>
            <w:vAlign w:val="bottom"/>
          </w:tcPr>
          <w:p w14:paraId="121E2C20"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-0.275***</w:t>
            </w:r>
            <w:r w:rsidRPr="003B097D">
              <w:rPr>
                <w:rFonts w:ascii="Times New Roman" w:hAnsi="Times New Roman" w:cs="Times New Roman"/>
                <w:sz w:val="21"/>
                <w:szCs w:val="21"/>
              </w:rPr>
              <w:br/>
              <w:t>(-2.850)</w:t>
            </w:r>
          </w:p>
        </w:tc>
      </w:tr>
      <w:tr w:rsidR="003B097D" w:rsidRPr="003B097D" w14:paraId="709A5576" w14:textId="77777777" w:rsidTr="00305090">
        <w:trPr>
          <w:trHeight w:val="432"/>
          <w:jc w:val="center"/>
        </w:trPr>
        <w:tc>
          <w:tcPr>
            <w:tcW w:w="2970" w:type="dxa"/>
            <w:tcBorders>
              <w:top w:val="nil"/>
              <w:left w:val="nil"/>
              <w:bottom w:val="nil"/>
              <w:right w:val="nil"/>
            </w:tcBorders>
            <w:vAlign w:val="center"/>
          </w:tcPr>
          <w:p w14:paraId="5C923034"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LEVG</w:t>
            </w:r>
          </w:p>
        </w:tc>
        <w:tc>
          <w:tcPr>
            <w:tcW w:w="2002" w:type="dxa"/>
            <w:tcBorders>
              <w:top w:val="nil"/>
              <w:left w:val="nil"/>
              <w:bottom w:val="nil"/>
              <w:right w:val="nil"/>
            </w:tcBorders>
            <w:shd w:val="clear" w:color="auto" w:fill="auto"/>
            <w:vAlign w:val="bottom"/>
          </w:tcPr>
          <w:p w14:paraId="6F5022D0"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-2.048</w:t>
            </w:r>
            <w:r w:rsidRPr="003B097D">
              <w:rPr>
                <w:rFonts w:ascii="Times New Roman" w:hAnsi="Times New Roman" w:cs="Times New Roman"/>
                <w:sz w:val="21"/>
                <w:szCs w:val="21"/>
              </w:rPr>
              <w:br/>
              <w:t>(-1.200)</w:t>
            </w:r>
          </w:p>
        </w:tc>
        <w:tc>
          <w:tcPr>
            <w:tcW w:w="2003" w:type="dxa"/>
            <w:tcBorders>
              <w:top w:val="nil"/>
              <w:left w:val="nil"/>
              <w:bottom w:val="nil"/>
              <w:right w:val="nil"/>
            </w:tcBorders>
            <w:shd w:val="clear" w:color="auto" w:fill="auto"/>
            <w:vAlign w:val="bottom"/>
          </w:tcPr>
          <w:p w14:paraId="7054834A"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2.338</w:t>
            </w:r>
            <w:r w:rsidRPr="003B097D">
              <w:rPr>
                <w:rFonts w:ascii="Times New Roman" w:hAnsi="Times New Roman" w:cs="Times New Roman"/>
                <w:sz w:val="21"/>
                <w:szCs w:val="21"/>
              </w:rPr>
              <w:br/>
              <w:t>(1.450)</w:t>
            </w:r>
          </w:p>
        </w:tc>
        <w:tc>
          <w:tcPr>
            <w:tcW w:w="2002" w:type="dxa"/>
            <w:tcBorders>
              <w:top w:val="nil"/>
              <w:left w:val="nil"/>
              <w:bottom w:val="nil"/>
              <w:right w:val="nil"/>
            </w:tcBorders>
            <w:shd w:val="clear" w:color="auto" w:fill="auto"/>
            <w:vAlign w:val="bottom"/>
          </w:tcPr>
          <w:p w14:paraId="753DA64A"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0.715*</w:t>
            </w:r>
            <w:r w:rsidRPr="003B097D">
              <w:rPr>
                <w:rFonts w:ascii="Times New Roman" w:hAnsi="Times New Roman" w:cs="Times New Roman"/>
                <w:sz w:val="21"/>
                <w:szCs w:val="21"/>
              </w:rPr>
              <w:br/>
              <w:t>(1.970)</w:t>
            </w:r>
          </w:p>
        </w:tc>
        <w:tc>
          <w:tcPr>
            <w:tcW w:w="2003" w:type="dxa"/>
            <w:tcBorders>
              <w:top w:val="nil"/>
              <w:left w:val="nil"/>
              <w:bottom w:val="nil"/>
              <w:right w:val="nil"/>
            </w:tcBorders>
            <w:shd w:val="clear" w:color="auto" w:fill="auto"/>
            <w:vAlign w:val="bottom"/>
          </w:tcPr>
          <w:p w14:paraId="59216130"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0.744</w:t>
            </w:r>
            <w:r w:rsidRPr="003B097D">
              <w:rPr>
                <w:rFonts w:ascii="Times New Roman" w:hAnsi="Times New Roman" w:cs="Times New Roman"/>
                <w:sz w:val="21"/>
                <w:szCs w:val="21"/>
              </w:rPr>
              <w:br/>
              <w:t>(0.270)</w:t>
            </w:r>
          </w:p>
        </w:tc>
      </w:tr>
      <w:tr w:rsidR="003B097D" w:rsidRPr="003B097D" w14:paraId="5552E14E" w14:textId="77777777" w:rsidTr="00305090">
        <w:trPr>
          <w:trHeight w:val="432"/>
          <w:jc w:val="center"/>
        </w:trPr>
        <w:tc>
          <w:tcPr>
            <w:tcW w:w="2970" w:type="dxa"/>
            <w:tcBorders>
              <w:top w:val="nil"/>
              <w:left w:val="nil"/>
              <w:bottom w:val="nil"/>
              <w:right w:val="nil"/>
            </w:tcBorders>
            <w:vAlign w:val="center"/>
          </w:tcPr>
          <w:p w14:paraId="6BCD86B3"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GROW</w:t>
            </w:r>
          </w:p>
        </w:tc>
        <w:tc>
          <w:tcPr>
            <w:tcW w:w="2002" w:type="dxa"/>
            <w:tcBorders>
              <w:top w:val="nil"/>
              <w:left w:val="nil"/>
              <w:bottom w:val="nil"/>
              <w:right w:val="nil"/>
            </w:tcBorders>
            <w:shd w:val="clear" w:color="auto" w:fill="auto"/>
            <w:vAlign w:val="bottom"/>
          </w:tcPr>
          <w:p w14:paraId="46B5848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-0.000**</w:t>
            </w:r>
            <w:r w:rsidRPr="003B097D">
              <w:rPr>
                <w:rFonts w:ascii="Times New Roman" w:hAnsi="Times New Roman" w:cs="Times New Roman"/>
                <w:sz w:val="21"/>
                <w:szCs w:val="21"/>
              </w:rPr>
              <w:br/>
              <w:t>(-2.040)</w:t>
            </w:r>
          </w:p>
        </w:tc>
        <w:tc>
          <w:tcPr>
            <w:tcW w:w="2003" w:type="dxa"/>
            <w:tcBorders>
              <w:top w:val="nil"/>
              <w:left w:val="nil"/>
              <w:bottom w:val="nil"/>
              <w:right w:val="nil"/>
            </w:tcBorders>
            <w:shd w:val="clear" w:color="auto" w:fill="auto"/>
            <w:vAlign w:val="bottom"/>
          </w:tcPr>
          <w:p w14:paraId="3CAA007E"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-0.000</w:t>
            </w:r>
            <w:r w:rsidRPr="003B097D">
              <w:rPr>
                <w:rFonts w:ascii="Times New Roman" w:hAnsi="Times New Roman" w:cs="Times New Roman"/>
                <w:sz w:val="21"/>
                <w:szCs w:val="21"/>
              </w:rPr>
              <w:br/>
              <w:t>(-0.980)</w:t>
            </w:r>
          </w:p>
        </w:tc>
        <w:tc>
          <w:tcPr>
            <w:tcW w:w="2002" w:type="dxa"/>
            <w:tcBorders>
              <w:top w:val="nil"/>
              <w:left w:val="nil"/>
              <w:bottom w:val="nil"/>
              <w:right w:val="nil"/>
            </w:tcBorders>
            <w:shd w:val="clear" w:color="auto" w:fill="auto"/>
            <w:vAlign w:val="bottom"/>
          </w:tcPr>
          <w:p w14:paraId="60E1A642"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0.000</w:t>
            </w:r>
            <w:r w:rsidRPr="003B097D">
              <w:rPr>
                <w:rFonts w:ascii="Times New Roman" w:hAnsi="Times New Roman" w:cs="Times New Roman"/>
                <w:sz w:val="21"/>
                <w:szCs w:val="21"/>
              </w:rPr>
              <w:br/>
              <w:t>(1.420)</w:t>
            </w:r>
          </w:p>
        </w:tc>
        <w:tc>
          <w:tcPr>
            <w:tcW w:w="2003" w:type="dxa"/>
            <w:tcBorders>
              <w:top w:val="nil"/>
              <w:left w:val="nil"/>
              <w:bottom w:val="nil"/>
              <w:right w:val="nil"/>
            </w:tcBorders>
            <w:shd w:val="clear" w:color="auto" w:fill="auto"/>
            <w:vAlign w:val="bottom"/>
          </w:tcPr>
          <w:p w14:paraId="4BB40C91"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0.000</w:t>
            </w:r>
            <w:r w:rsidRPr="003B097D">
              <w:rPr>
                <w:rFonts w:ascii="Times New Roman" w:hAnsi="Times New Roman" w:cs="Times New Roman"/>
                <w:sz w:val="21"/>
                <w:szCs w:val="21"/>
              </w:rPr>
              <w:br/>
              <w:t>(0.480)</w:t>
            </w:r>
          </w:p>
        </w:tc>
      </w:tr>
      <w:tr w:rsidR="003B097D" w:rsidRPr="003B097D" w14:paraId="5A5D2E8E" w14:textId="77777777" w:rsidTr="00305090">
        <w:trPr>
          <w:trHeight w:val="432"/>
          <w:jc w:val="center"/>
        </w:trPr>
        <w:tc>
          <w:tcPr>
            <w:tcW w:w="2970" w:type="dxa"/>
            <w:tcBorders>
              <w:top w:val="nil"/>
              <w:left w:val="nil"/>
              <w:bottom w:val="nil"/>
              <w:right w:val="nil"/>
            </w:tcBorders>
            <w:vAlign w:val="center"/>
          </w:tcPr>
          <w:p w14:paraId="679A43E0"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LGPC</w:t>
            </w:r>
          </w:p>
        </w:tc>
        <w:tc>
          <w:tcPr>
            <w:tcW w:w="2002" w:type="dxa"/>
            <w:tcBorders>
              <w:top w:val="nil"/>
              <w:left w:val="nil"/>
              <w:bottom w:val="nil"/>
              <w:right w:val="nil"/>
            </w:tcBorders>
            <w:shd w:val="clear" w:color="auto" w:fill="auto"/>
            <w:vAlign w:val="bottom"/>
          </w:tcPr>
          <w:p w14:paraId="242AE0B6"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7.540</w:t>
            </w:r>
          </w:p>
          <w:p w14:paraId="1BFB7505"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(0.950)</w:t>
            </w:r>
          </w:p>
        </w:tc>
        <w:tc>
          <w:tcPr>
            <w:tcW w:w="2003" w:type="dxa"/>
            <w:tcBorders>
              <w:top w:val="nil"/>
              <w:left w:val="nil"/>
              <w:bottom w:val="nil"/>
              <w:right w:val="nil"/>
            </w:tcBorders>
            <w:shd w:val="clear" w:color="auto" w:fill="auto"/>
            <w:vAlign w:val="bottom"/>
          </w:tcPr>
          <w:p w14:paraId="18C4FE8F"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1.121</w:t>
            </w:r>
          </w:p>
          <w:p w14:paraId="58668133"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(0.758)</w:t>
            </w:r>
          </w:p>
        </w:tc>
        <w:tc>
          <w:tcPr>
            <w:tcW w:w="2002" w:type="dxa"/>
            <w:tcBorders>
              <w:top w:val="nil"/>
              <w:left w:val="nil"/>
              <w:bottom w:val="nil"/>
              <w:right w:val="nil"/>
            </w:tcBorders>
            <w:shd w:val="clear" w:color="auto" w:fill="auto"/>
            <w:vAlign w:val="bottom"/>
          </w:tcPr>
          <w:p w14:paraId="6F7765C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-0.110</w:t>
            </w:r>
            <w:r w:rsidRPr="003B097D">
              <w:rPr>
                <w:rFonts w:ascii="Times New Roman" w:hAnsi="Times New Roman" w:cs="Times New Roman"/>
                <w:sz w:val="21"/>
                <w:szCs w:val="21"/>
              </w:rPr>
              <w:br/>
              <w:t>(-1.300)</w:t>
            </w:r>
          </w:p>
        </w:tc>
        <w:tc>
          <w:tcPr>
            <w:tcW w:w="2003" w:type="dxa"/>
            <w:tcBorders>
              <w:top w:val="nil"/>
              <w:left w:val="nil"/>
              <w:bottom w:val="nil"/>
              <w:right w:val="nil"/>
            </w:tcBorders>
            <w:shd w:val="clear" w:color="auto" w:fill="auto"/>
            <w:vAlign w:val="bottom"/>
          </w:tcPr>
          <w:p w14:paraId="528884D8"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-0.090</w:t>
            </w:r>
            <w:r w:rsidRPr="003B097D">
              <w:rPr>
                <w:rFonts w:ascii="Times New Roman" w:hAnsi="Times New Roman" w:cs="Times New Roman"/>
                <w:sz w:val="21"/>
                <w:szCs w:val="21"/>
              </w:rPr>
              <w:br/>
              <w:t>(-0.310)</w:t>
            </w:r>
          </w:p>
        </w:tc>
      </w:tr>
      <w:tr w:rsidR="003B097D" w:rsidRPr="003B097D" w14:paraId="18661C10" w14:textId="77777777" w:rsidTr="00305090">
        <w:trPr>
          <w:trHeight w:val="288"/>
          <w:jc w:val="center"/>
        </w:trPr>
        <w:tc>
          <w:tcPr>
            <w:tcW w:w="2970" w:type="dxa"/>
            <w:tcBorders>
              <w:top w:val="nil"/>
              <w:left w:val="nil"/>
              <w:bottom w:val="nil"/>
              <w:right w:val="nil"/>
            </w:tcBorders>
            <w:vAlign w:val="center"/>
          </w:tcPr>
          <w:p w14:paraId="43CFE07E"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Adjusted R-squared</w:t>
            </w:r>
          </w:p>
        </w:tc>
        <w:tc>
          <w:tcPr>
            <w:tcW w:w="2002" w:type="dxa"/>
            <w:tcBorders>
              <w:top w:val="nil"/>
              <w:left w:val="nil"/>
              <w:bottom w:val="nil"/>
              <w:right w:val="nil"/>
            </w:tcBorders>
            <w:shd w:val="clear" w:color="auto" w:fill="auto"/>
            <w:vAlign w:val="bottom"/>
          </w:tcPr>
          <w:p w14:paraId="18E412A0"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0.424</w:t>
            </w:r>
          </w:p>
        </w:tc>
        <w:tc>
          <w:tcPr>
            <w:tcW w:w="2003" w:type="dxa"/>
            <w:tcBorders>
              <w:top w:val="nil"/>
              <w:left w:val="nil"/>
              <w:bottom w:val="nil"/>
              <w:right w:val="nil"/>
            </w:tcBorders>
            <w:shd w:val="clear" w:color="auto" w:fill="auto"/>
            <w:vAlign w:val="bottom"/>
          </w:tcPr>
          <w:p w14:paraId="00AB373B"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0.217</w:t>
            </w:r>
          </w:p>
        </w:tc>
        <w:tc>
          <w:tcPr>
            <w:tcW w:w="2002" w:type="dxa"/>
            <w:tcBorders>
              <w:top w:val="nil"/>
              <w:left w:val="nil"/>
              <w:bottom w:val="nil"/>
              <w:right w:val="nil"/>
            </w:tcBorders>
            <w:shd w:val="clear" w:color="auto" w:fill="auto"/>
            <w:vAlign w:val="center"/>
          </w:tcPr>
          <w:p w14:paraId="43728144"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0.137</w:t>
            </w:r>
          </w:p>
        </w:tc>
        <w:tc>
          <w:tcPr>
            <w:tcW w:w="2003" w:type="dxa"/>
            <w:tcBorders>
              <w:top w:val="nil"/>
              <w:left w:val="nil"/>
              <w:bottom w:val="nil"/>
              <w:right w:val="nil"/>
            </w:tcBorders>
            <w:shd w:val="clear" w:color="auto" w:fill="auto"/>
            <w:vAlign w:val="center"/>
          </w:tcPr>
          <w:p w14:paraId="1AD5D55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0.080</w:t>
            </w:r>
          </w:p>
        </w:tc>
      </w:tr>
      <w:tr w:rsidR="003B097D" w:rsidRPr="003B097D" w14:paraId="67F5C420" w14:textId="77777777" w:rsidTr="00305090">
        <w:trPr>
          <w:trHeight w:val="288"/>
          <w:jc w:val="center"/>
        </w:trPr>
        <w:tc>
          <w:tcPr>
            <w:tcW w:w="2970" w:type="dxa"/>
            <w:tcBorders>
              <w:top w:val="nil"/>
              <w:left w:val="nil"/>
              <w:bottom w:val="nil"/>
              <w:right w:val="nil"/>
            </w:tcBorders>
            <w:vAlign w:val="center"/>
          </w:tcPr>
          <w:p w14:paraId="204F40CB"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Mean VIF</w:t>
            </w:r>
          </w:p>
        </w:tc>
        <w:tc>
          <w:tcPr>
            <w:tcW w:w="2002" w:type="dxa"/>
            <w:tcBorders>
              <w:top w:val="nil"/>
              <w:left w:val="nil"/>
              <w:bottom w:val="nil"/>
              <w:right w:val="nil"/>
            </w:tcBorders>
            <w:shd w:val="clear" w:color="auto" w:fill="auto"/>
            <w:vAlign w:val="bottom"/>
          </w:tcPr>
          <w:p w14:paraId="1B758151"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3.72</w:t>
            </w:r>
          </w:p>
        </w:tc>
        <w:tc>
          <w:tcPr>
            <w:tcW w:w="2003" w:type="dxa"/>
            <w:tcBorders>
              <w:top w:val="nil"/>
              <w:left w:val="nil"/>
              <w:bottom w:val="nil"/>
              <w:right w:val="nil"/>
            </w:tcBorders>
            <w:shd w:val="clear" w:color="auto" w:fill="auto"/>
            <w:vAlign w:val="bottom"/>
          </w:tcPr>
          <w:p w14:paraId="05EEC48A"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2.54</w:t>
            </w:r>
          </w:p>
        </w:tc>
        <w:tc>
          <w:tcPr>
            <w:tcW w:w="2002" w:type="dxa"/>
            <w:tcBorders>
              <w:top w:val="nil"/>
              <w:left w:val="nil"/>
              <w:bottom w:val="nil"/>
              <w:right w:val="nil"/>
            </w:tcBorders>
            <w:shd w:val="clear" w:color="auto" w:fill="auto"/>
            <w:vAlign w:val="center"/>
          </w:tcPr>
          <w:p w14:paraId="33F699E1"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2.63</w:t>
            </w:r>
          </w:p>
        </w:tc>
        <w:tc>
          <w:tcPr>
            <w:tcW w:w="2003" w:type="dxa"/>
            <w:tcBorders>
              <w:top w:val="nil"/>
              <w:left w:val="nil"/>
              <w:bottom w:val="nil"/>
              <w:right w:val="nil"/>
            </w:tcBorders>
            <w:shd w:val="clear" w:color="auto" w:fill="auto"/>
            <w:vAlign w:val="center"/>
          </w:tcPr>
          <w:p w14:paraId="167A2BFA"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2.63</w:t>
            </w:r>
          </w:p>
        </w:tc>
      </w:tr>
      <w:tr w:rsidR="003B097D" w:rsidRPr="003B097D" w14:paraId="7E4B65BF" w14:textId="77777777" w:rsidTr="00305090">
        <w:trPr>
          <w:trHeight w:val="288"/>
          <w:jc w:val="center"/>
        </w:trPr>
        <w:tc>
          <w:tcPr>
            <w:tcW w:w="2970" w:type="dxa"/>
            <w:tcBorders>
              <w:top w:val="nil"/>
              <w:left w:val="nil"/>
              <w:bottom w:val="nil"/>
              <w:right w:val="nil"/>
            </w:tcBorders>
            <w:vAlign w:val="center"/>
          </w:tcPr>
          <w:p w14:paraId="5A71E334"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No. of Firms</w:t>
            </w:r>
          </w:p>
        </w:tc>
        <w:tc>
          <w:tcPr>
            <w:tcW w:w="2002" w:type="dxa"/>
            <w:tcBorders>
              <w:top w:val="nil"/>
              <w:left w:val="nil"/>
              <w:bottom w:val="nil"/>
              <w:right w:val="nil"/>
            </w:tcBorders>
            <w:vAlign w:val="center"/>
          </w:tcPr>
          <w:p w14:paraId="5E262B1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3301</w:t>
            </w:r>
          </w:p>
        </w:tc>
        <w:tc>
          <w:tcPr>
            <w:tcW w:w="2003" w:type="dxa"/>
            <w:tcBorders>
              <w:top w:val="nil"/>
              <w:left w:val="nil"/>
              <w:bottom w:val="nil"/>
              <w:right w:val="nil"/>
            </w:tcBorders>
            <w:vAlign w:val="center"/>
          </w:tcPr>
          <w:p w14:paraId="794FEC1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3301</w:t>
            </w:r>
          </w:p>
        </w:tc>
        <w:tc>
          <w:tcPr>
            <w:tcW w:w="2002" w:type="dxa"/>
            <w:tcBorders>
              <w:top w:val="nil"/>
              <w:left w:val="nil"/>
              <w:bottom w:val="nil"/>
              <w:right w:val="nil"/>
            </w:tcBorders>
            <w:vAlign w:val="center"/>
          </w:tcPr>
          <w:p w14:paraId="0A212D4A"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3301</w:t>
            </w:r>
          </w:p>
        </w:tc>
        <w:tc>
          <w:tcPr>
            <w:tcW w:w="2003" w:type="dxa"/>
            <w:tcBorders>
              <w:top w:val="nil"/>
              <w:left w:val="nil"/>
              <w:bottom w:val="nil"/>
              <w:right w:val="nil"/>
            </w:tcBorders>
            <w:vAlign w:val="center"/>
          </w:tcPr>
          <w:p w14:paraId="35D317F8"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3301</w:t>
            </w:r>
          </w:p>
        </w:tc>
      </w:tr>
      <w:tr w:rsidR="003B097D" w:rsidRPr="003B097D" w14:paraId="4B7DA302" w14:textId="77777777" w:rsidTr="00305090">
        <w:trPr>
          <w:trHeight w:val="288"/>
          <w:jc w:val="center"/>
        </w:trPr>
        <w:tc>
          <w:tcPr>
            <w:tcW w:w="2970" w:type="dxa"/>
            <w:tcBorders>
              <w:top w:val="nil"/>
              <w:left w:val="nil"/>
              <w:bottom w:val="nil"/>
              <w:right w:val="nil"/>
            </w:tcBorders>
            <w:vAlign w:val="center"/>
          </w:tcPr>
          <w:p w14:paraId="2D8B5CBB" w14:textId="77777777" w:rsidR="003B097D" w:rsidRPr="003B097D" w:rsidRDefault="003B097D" w:rsidP="00305090">
            <w:pPr>
              <w:tabs>
                <w:tab w:val="left" w:pos="426"/>
              </w:tabs>
              <w:rPr>
                <w:rFonts w:ascii="Times New Roman" w:hAnsi="Times New Roman" w:cs="Times New Roman"/>
                <w:sz w:val="21"/>
                <w:szCs w:val="21"/>
              </w:rPr>
            </w:pPr>
            <w:r w:rsidRPr="003B097D">
              <w:rPr>
                <w:rFonts w:ascii="Times New Roman" w:hAnsi="Times New Roman" w:cs="Times New Roman"/>
                <w:sz w:val="21"/>
                <w:szCs w:val="21"/>
              </w:rPr>
              <w:t>No. of Countries</w:t>
            </w:r>
          </w:p>
        </w:tc>
        <w:tc>
          <w:tcPr>
            <w:tcW w:w="2002" w:type="dxa"/>
            <w:tcBorders>
              <w:top w:val="nil"/>
              <w:left w:val="nil"/>
              <w:bottom w:val="nil"/>
              <w:right w:val="nil"/>
            </w:tcBorders>
            <w:vAlign w:val="center"/>
          </w:tcPr>
          <w:p w14:paraId="56712DA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43</w:t>
            </w:r>
          </w:p>
        </w:tc>
        <w:tc>
          <w:tcPr>
            <w:tcW w:w="2003" w:type="dxa"/>
            <w:tcBorders>
              <w:top w:val="nil"/>
              <w:left w:val="nil"/>
              <w:bottom w:val="nil"/>
              <w:right w:val="nil"/>
            </w:tcBorders>
            <w:vAlign w:val="center"/>
          </w:tcPr>
          <w:p w14:paraId="4EF13097"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43</w:t>
            </w:r>
          </w:p>
        </w:tc>
        <w:tc>
          <w:tcPr>
            <w:tcW w:w="2002" w:type="dxa"/>
            <w:tcBorders>
              <w:top w:val="nil"/>
              <w:left w:val="nil"/>
              <w:bottom w:val="nil"/>
              <w:right w:val="nil"/>
            </w:tcBorders>
            <w:vAlign w:val="center"/>
          </w:tcPr>
          <w:p w14:paraId="15E1F14B"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43</w:t>
            </w:r>
          </w:p>
        </w:tc>
        <w:tc>
          <w:tcPr>
            <w:tcW w:w="2003" w:type="dxa"/>
            <w:tcBorders>
              <w:top w:val="nil"/>
              <w:left w:val="nil"/>
              <w:bottom w:val="nil"/>
              <w:right w:val="nil"/>
            </w:tcBorders>
            <w:vAlign w:val="center"/>
          </w:tcPr>
          <w:p w14:paraId="17F274F5" w14:textId="77777777" w:rsidR="003B097D" w:rsidRPr="003B097D" w:rsidRDefault="003B097D" w:rsidP="00305090">
            <w:pPr>
              <w:tabs>
                <w:tab w:val="left" w:pos="426"/>
              </w:tabs>
              <w:jc w:val="center"/>
              <w:rPr>
                <w:rFonts w:ascii="Times New Roman" w:hAnsi="Times New Roman" w:cs="Times New Roman"/>
                <w:sz w:val="21"/>
                <w:szCs w:val="21"/>
              </w:rPr>
            </w:pPr>
            <w:r w:rsidRPr="003B097D">
              <w:rPr>
                <w:rFonts w:ascii="Times New Roman" w:hAnsi="Times New Roman" w:cs="Times New Roman"/>
                <w:sz w:val="21"/>
                <w:szCs w:val="21"/>
              </w:rPr>
              <w:t>43</w:t>
            </w:r>
          </w:p>
        </w:tc>
      </w:tr>
      <w:tr w:rsidR="003B097D" w:rsidRPr="003B097D" w14:paraId="54F68C94" w14:textId="77777777" w:rsidTr="00305090">
        <w:trPr>
          <w:trHeight w:val="80"/>
          <w:jc w:val="center"/>
        </w:trPr>
        <w:tc>
          <w:tcPr>
            <w:tcW w:w="2970" w:type="dxa"/>
            <w:tcBorders>
              <w:top w:val="nil"/>
              <w:left w:val="nil"/>
              <w:bottom w:val="single" w:sz="12" w:space="0" w:color="auto"/>
              <w:right w:val="nil"/>
            </w:tcBorders>
          </w:tcPr>
          <w:p w14:paraId="2DE372EC" w14:textId="77777777" w:rsidR="003B097D" w:rsidRPr="003B097D" w:rsidRDefault="003B097D" w:rsidP="00305090">
            <w:pPr>
              <w:tabs>
                <w:tab w:val="left" w:pos="426"/>
              </w:tabs>
              <w:rPr>
                <w:rFonts w:asciiTheme="majorBidi" w:hAnsiTheme="majorBidi" w:cstheme="majorBidi"/>
                <w:sz w:val="21"/>
                <w:szCs w:val="21"/>
              </w:rPr>
            </w:pPr>
          </w:p>
        </w:tc>
        <w:tc>
          <w:tcPr>
            <w:tcW w:w="2002" w:type="dxa"/>
            <w:tcBorders>
              <w:top w:val="nil"/>
              <w:left w:val="nil"/>
              <w:bottom w:val="single" w:sz="12" w:space="0" w:color="auto"/>
              <w:right w:val="nil"/>
            </w:tcBorders>
            <w:vAlign w:val="center"/>
          </w:tcPr>
          <w:p w14:paraId="09BC907E" w14:textId="77777777" w:rsidR="003B097D" w:rsidRPr="003B097D" w:rsidRDefault="003B097D" w:rsidP="00305090">
            <w:pPr>
              <w:tabs>
                <w:tab w:val="left" w:pos="426"/>
              </w:tabs>
              <w:jc w:val="center"/>
              <w:rPr>
                <w:rFonts w:asciiTheme="majorBidi" w:hAnsiTheme="majorBidi" w:cstheme="majorBidi"/>
                <w:sz w:val="21"/>
                <w:szCs w:val="21"/>
              </w:rPr>
            </w:pPr>
          </w:p>
        </w:tc>
        <w:tc>
          <w:tcPr>
            <w:tcW w:w="2003" w:type="dxa"/>
            <w:tcBorders>
              <w:top w:val="nil"/>
              <w:left w:val="nil"/>
              <w:bottom w:val="single" w:sz="12" w:space="0" w:color="auto"/>
              <w:right w:val="nil"/>
            </w:tcBorders>
            <w:vAlign w:val="center"/>
          </w:tcPr>
          <w:p w14:paraId="21FFF390" w14:textId="77777777" w:rsidR="003B097D" w:rsidRPr="003B097D" w:rsidRDefault="003B097D" w:rsidP="00305090">
            <w:pPr>
              <w:tabs>
                <w:tab w:val="left" w:pos="426"/>
              </w:tabs>
              <w:jc w:val="center"/>
              <w:rPr>
                <w:rFonts w:asciiTheme="majorBidi" w:hAnsiTheme="majorBidi" w:cstheme="majorBidi"/>
                <w:sz w:val="21"/>
                <w:szCs w:val="21"/>
              </w:rPr>
            </w:pPr>
          </w:p>
        </w:tc>
        <w:tc>
          <w:tcPr>
            <w:tcW w:w="2002" w:type="dxa"/>
            <w:tcBorders>
              <w:top w:val="nil"/>
              <w:left w:val="nil"/>
              <w:bottom w:val="single" w:sz="12" w:space="0" w:color="auto"/>
              <w:right w:val="nil"/>
            </w:tcBorders>
            <w:vAlign w:val="center"/>
          </w:tcPr>
          <w:p w14:paraId="732FA138" w14:textId="77777777" w:rsidR="003B097D" w:rsidRPr="003B097D" w:rsidRDefault="003B097D" w:rsidP="00305090">
            <w:pPr>
              <w:tabs>
                <w:tab w:val="left" w:pos="426"/>
              </w:tabs>
              <w:jc w:val="center"/>
              <w:rPr>
                <w:rFonts w:asciiTheme="majorBidi" w:hAnsiTheme="majorBidi" w:cstheme="majorBidi"/>
                <w:sz w:val="21"/>
                <w:szCs w:val="21"/>
              </w:rPr>
            </w:pPr>
          </w:p>
        </w:tc>
        <w:tc>
          <w:tcPr>
            <w:tcW w:w="2003" w:type="dxa"/>
            <w:tcBorders>
              <w:top w:val="nil"/>
              <w:left w:val="nil"/>
              <w:bottom w:val="single" w:sz="12" w:space="0" w:color="auto"/>
              <w:right w:val="nil"/>
            </w:tcBorders>
            <w:vAlign w:val="center"/>
          </w:tcPr>
          <w:p w14:paraId="0548CD3F" w14:textId="77777777" w:rsidR="003B097D" w:rsidRPr="003B097D" w:rsidRDefault="003B097D" w:rsidP="00305090">
            <w:pPr>
              <w:tabs>
                <w:tab w:val="left" w:pos="426"/>
              </w:tabs>
              <w:jc w:val="center"/>
              <w:rPr>
                <w:rFonts w:asciiTheme="majorBidi" w:hAnsiTheme="majorBidi" w:cstheme="majorBidi"/>
                <w:sz w:val="21"/>
                <w:szCs w:val="21"/>
              </w:rPr>
            </w:pPr>
          </w:p>
        </w:tc>
      </w:tr>
    </w:tbl>
    <w:p w14:paraId="27F26743" w14:textId="1970376E" w:rsidR="003B097D" w:rsidRPr="003B097D" w:rsidRDefault="003B097D">
      <w:pPr>
        <w:rPr>
          <w:rFonts w:ascii="Times New Roman" w:hAnsi="Times New Roman" w:cs="Times New Roman"/>
          <w:sz w:val="21"/>
          <w:szCs w:val="21"/>
        </w:rPr>
      </w:pPr>
      <w:r w:rsidRPr="003B097D">
        <w:rPr>
          <w:rFonts w:ascii="Times New Roman" w:hAnsi="Times New Roman" w:cs="Times New Roman"/>
          <w:sz w:val="21"/>
          <w:szCs w:val="21"/>
        </w:rPr>
        <w:br w:type="page"/>
      </w:r>
    </w:p>
    <w:p w14:paraId="01D1D7F6" w14:textId="3B07DEDE" w:rsidR="002B526B" w:rsidRDefault="003B097D"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A487B" w:rsidRPr="00AA487B">
        <w:rPr>
          <w:rFonts w:ascii="Times New Roman" w:hAnsi="Times New Roman" w:cs="Times New Roman"/>
          <w:sz w:val="24"/>
          <w:szCs w:val="24"/>
        </w:rPr>
        <w:t>Renders</w:t>
      </w:r>
      <w:r w:rsidR="00DB6484" w:rsidRPr="00305090">
        <w:rPr>
          <w:rFonts w:ascii="Times New Roman" w:hAnsi="Times New Roman" w:cs="Times New Roman"/>
          <w:i/>
          <w:iCs/>
          <w:sz w:val="24"/>
          <w:szCs w:val="24"/>
        </w:rPr>
        <w:t xml:space="preserve"> et al.</w:t>
      </w:r>
      <w:r w:rsidR="00AA487B">
        <w:rPr>
          <w:rFonts w:ascii="Times New Roman" w:hAnsi="Times New Roman" w:cs="Times New Roman"/>
          <w:sz w:val="24"/>
          <w:szCs w:val="24"/>
        </w:rPr>
        <w:t xml:space="preserve"> (2010) </w:t>
      </w:r>
      <w:r w:rsidR="000A1093">
        <w:rPr>
          <w:rFonts w:ascii="Times New Roman" w:hAnsi="Times New Roman" w:cs="Times New Roman"/>
          <w:sz w:val="24"/>
          <w:szCs w:val="24"/>
        </w:rPr>
        <w:t xml:space="preserve">note several issues such as the observance of insignificant or incorrect results when econometric issues such as endogeneity are not properly controlled </w:t>
      </w:r>
      <w:r w:rsidR="00015954">
        <w:rPr>
          <w:rFonts w:ascii="Times New Roman" w:hAnsi="Times New Roman" w:cs="Times New Roman"/>
          <w:sz w:val="24"/>
          <w:szCs w:val="24"/>
        </w:rPr>
        <w:t xml:space="preserve">for </w:t>
      </w:r>
      <w:r w:rsidR="000A1093">
        <w:rPr>
          <w:rFonts w:ascii="Times New Roman" w:hAnsi="Times New Roman" w:cs="Times New Roman"/>
          <w:sz w:val="24"/>
          <w:szCs w:val="24"/>
        </w:rPr>
        <w:t>in similar studies</w:t>
      </w:r>
      <w:r w:rsidR="00322652">
        <w:rPr>
          <w:rFonts w:ascii="Times New Roman" w:hAnsi="Times New Roman" w:cs="Times New Roman"/>
          <w:sz w:val="24"/>
          <w:szCs w:val="24"/>
        </w:rPr>
        <w:t xml:space="preserve"> (</w:t>
      </w:r>
      <w:r w:rsidR="00322652" w:rsidRPr="00B528D0">
        <w:rPr>
          <w:rFonts w:ascii="Times New Roman" w:hAnsi="Times New Roman" w:cs="Times New Roman"/>
          <w:sz w:val="24"/>
          <w:szCs w:val="24"/>
        </w:rPr>
        <w:t xml:space="preserve">see also </w:t>
      </w:r>
      <w:r w:rsidR="00322652" w:rsidRPr="001239F0">
        <w:rPr>
          <w:rFonts w:ascii="Times New Roman" w:hAnsi="Times New Roman" w:cs="Times New Roman"/>
          <w:sz w:val="24"/>
          <w:szCs w:val="24"/>
        </w:rPr>
        <w:t xml:space="preserve">Aguilera </w:t>
      </w:r>
      <w:r w:rsidR="00A94F42" w:rsidRPr="00A94F42">
        <w:rPr>
          <w:rFonts w:ascii="Times New Roman" w:hAnsi="Times New Roman" w:cs="Times New Roman"/>
          <w:i/>
          <w:iCs/>
          <w:sz w:val="24"/>
          <w:szCs w:val="24"/>
        </w:rPr>
        <w:t>et al.</w:t>
      </w:r>
      <w:r w:rsidR="00322652">
        <w:rPr>
          <w:rFonts w:ascii="Times New Roman" w:hAnsi="Times New Roman" w:cs="Times New Roman"/>
          <w:sz w:val="24"/>
          <w:szCs w:val="24"/>
        </w:rPr>
        <w:t xml:space="preserve"> </w:t>
      </w:r>
      <w:r w:rsidR="00322652" w:rsidRPr="001239F0">
        <w:rPr>
          <w:rFonts w:ascii="Times New Roman" w:hAnsi="Times New Roman" w:cs="Times New Roman"/>
          <w:sz w:val="24"/>
          <w:szCs w:val="24"/>
        </w:rPr>
        <w:t>2015</w:t>
      </w:r>
      <w:r w:rsidR="00682D1F">
        <w:rPr>
          <w:rFonts w:ascii="Times New Roman" w:hAnsi="Times New Roman" w:cs="Times New Roman"/>
          <w:sz w:val="24"/>
          <w:szCs w:val="24"/>
        </w:rPr>
        <w:t>,</w:t>
      </w:r>
      <w:r w:rsidR="00322652">
        <w:rPr>
          <w:rFonts w:ascii="Times New Roman" w:hAnsi="Times New Roman" w:cs="Times New Roman"/>
          <w:sz w:val="24"/>
          <w:szCs w:val="24"/>
        </w:rPr>
        <w:t xml:space="preserve"> </w:t>
      </w:r>
      <w:r w:rsidR="00322652" w:rsidRPr="005A00BA">
        <w:rPr>
          <w:rFonts w:ascii="Times New Roman" w:hAnsi="Times New Roman" w:cs="Times New Roman"/>
          <w:sz w:val="24"/>
          <w:szCs w:val="24"/>
        </w:rPr>
        <w:t>Schiehll and</w:t>
      </w:r>
      <w:r w:rsidR="00322652">
        <w:rPr>
          <w:rFonts w:ascii="Times New Roman" w:hAnsi="Times New Roman" w:cs="Times New Roman"/>
          <w:sz w:val="24"/>
          <w:szCs w:val="24"/>
        </w:rPr>
        <w:t xml:space="preserve"> Martin </w:t>
      </w:r>
      <w:r w:rsidR="00322652" w:rsidRPr="005A00BA">
        <w:rPr>
          <w:rFonts w:ascii="Times New Roman" w:hAnsi="Times New Roman" w:cs="Times New Roman"/>
          <w:sz w:val="24"/>
          <w:szCs w:val="24"/>
        </w:rPr>
        <w:t>2016</w:t>
      </w:r>
      <w:r w:rsidR="00322652">
        <w:rPr>
          <w:rFonts w:ascii="Times New Roman" w:hAnsi="Times New Roman" w:cs="Times New Roman"/>
          <w:sz w:val="24"/>
          <w:szCs w:val="24"/>
        </w:rPr>
        <w:t>)</w:t>
      </w:r>
      <w:r w:rsidR="00E2187D" w:rsidRPr="00E2187D">
        <w:rPr>
          <w:rFonts w:ascii="Times New Roman" w:hAnsi="Times New Roman" w:cs="Times New Roman"/>
          <w:sz w:val="24"/>
          <w:szCs w:val="24"/>
        </w:rPr>
        <w:t xml:space="preserve">. </w:t>
      </w:r>
      <w:r w:rsidR="00B528D0">
        <w:rPr>
          <w:rFonts w:ascii="Times New Roman" w:hAnsi="Times New Roman" w:cs="Times New Roman"/>
          <w:sz w:val="24"/>
          <w:szCs w:val="24"/>
        </w:rPr>
        <w:t xml:space="preserve"> </w:t>
      </w:r>
      <w:r w:rsidR="00E2187D" w:rsidRPr="00E2187D">
        <w:rPr>
          <w:rFonts w:ascii="Times New Roman" w:hAnsi="Times New Roman" w:cs="Times New Roman"/>
          <w:sz w:val="24"/>
          <w:szCs w:val="24"/>
        </w:rPr>
        <w:t>Following Wintoki</w:t>
      </w:r>
      <w:r w:rsidR="00DB6484">
        <w:rPr>
          <w:rFonts w:ascii="Times New Roman" w:hAnsi="Times New Roman" w:cs="Times New Roman"/>
          <w:sz w:val="24"/>
          <w:szCs w:val="24"/>
        </w:rPr>
        <w:t xml:space="preserve"> </w:t>
      </w:r>
      <w:r w:rsidR="00DB6484" w:rsidRPr="00305090">
        <w:rPr>
          <w:rFonts w:ascii="Times New Roman" w:hAnsi="Times New Roman" w:cs="Times New Roman"/>
          <w:i/>
          <w:iCs/>
          <w:sz w:val="24"/>
          <w:szCs w:val="24"/>
        </w:rPr>
        <w:t>et al.</w:t>
      </w:r>
      <w:r w:rsidR="00E2187D" w:rsidRPr="00E2187D">
        <w:rPr>
          <w:rFonts w:ascii="Times New Roman" w:hAnsi="Times New Roman" w:cs="Times New Roman"/>
          <w:sz w:val="24"/>
          <w:szCs w:val="24"/>
        </w:rPr>
        <w:t xml:space="preserve"> (2012) and others, we use the dynamic-panel </w:t>
      </w:r>
      <w:r w:rsidR="00F35DEE">
        <w:rPr>
          <w:rFonts w:ascii="Times New Roman" w:hAnsi="Times New Roman" w:cs="Times New Roman"/>
          <w:sz w:val="24"/>
          <w:szCs w:val="24"/>
        </w:rPr>
        <w:t>G</w:t>
      </w:r>
      <w:r w:rsidR="00E2187D" w:rsidRPr="00E2187D">
        <w:rPr>
          <w:rFonts w:ascii="Times New Roman" w:hAnsi="Times New Roman" w:cs="Times New Roman"/>
          <w:sz w:val="24"/>
          <w:szCs w:val="24"/>
        </w:rPr>
        <w:t xml:space="preserve">eneralized </w:t>
      </w:r>
      <w:r w:rsidR="00F35DEE">
        <w:rPr>
          <w:rFonts w:ascii="Times New Roman" w:hAnsi="Times New Roman" w:cs="Times New Roman"/>
          <w:sz w:val="24"/>
          <w:szCs w:val="24"/>
        </w:rPr>
        <w:t>M</w:t>
      </w:r>
      <w:r w:rsidR="00E2187D" w:rsidRPr="00E2187D">
        <w:rPr>
          <w:rFonts w:ascii="Times New Roman" w:hAnsi="Times New Roman" w:cs="Times New Roman"/>
          <w:sz w:val="24"/>
          <w:szCs w:val="24"/>
        </w:rPr>
        <w:t xml:space="preserve">ethods of </w:t>
      </w:r>
      <w:r w:rsidR="00F35DEE">
        <w:rPr>
          <w:rFonts w:ascii="Times New Roman" w:hAnsi="Times New Roman" w:cs="Times New Roman"/>
          <w:sz w:val="24"/>
          <w:szCs w:val="24"/>
        </w:rPr>
        <w:t>Moments (</w:t>
      </w:r>
      <w:r w:rsidR="00F35DEE" w:rsidRPr="00E2187D">
        <w:rPr>
          <w:rFonts w:ascii="Times New Roman" w:hAnsi="Times New Roman" w:cs="Times New Roman"/>
          <w:sz w:val="24"/>
          <w:szCs w:val="24"/>
        </w:rPr>
        <w:t>GMM</w:t>
      </w:r>
      <w:r w:rsidR="00F35DEE">
        <w:rPr>
          <w:rFonts w:ascii="Times New Roman" w:hAnsi="Times New Roman" w:cs="Times New Roman"/>
          <w:sz w:val="24"/>
          <w:szCs w:val="24"/>
        </w:rPr>
        <w:t xml:space="preserve">) </w:t>
      </w:r>
      <w:r w:rsidR="00E2187D" w:rsidRPr="00E2187D">
        <w:rPr>
          <w:rFonts w:ascii="Times New Roman" w:hAnsi="Times New Roman" w:cs="Times New Roman"/>
          <w:sz w:val="24"/>
          <w:szCs w:val="24"/>
        </w:rPr>
        <w:t>estimator introduced by Arellano and Bover (1995) and Blundell and Bond (1998) and follow a three steps estimation process. First of all, the regression model</w:t>
      </w:r>
      <w:r w:rsidR="008D328C">
        <w:rPr>
          <w:rFonts w:ascii="Times New Roman" w:hAnsi="Times New Roman" w:cs="Times New Roman"/>
          <w:sz w:val="24"/>
          <w:szCs w:val="24"/>
        </w:rPr>
        <w:t>s (</w:t>
      </w:r>
      <w:r w:rsidR="00B528D0">
        <w:rPr>
          <w:rFonts w:ascii="Times New Roman" w:hAnsi="Times New Roman" w:cs="Times New Roman"/>
          <w:sz w:val="24"/>
          <w:szCs w:val="24"/>
        </w:rPr>
        <w:t>M</w:t>
      </w:r>
      <w:r w:rsidR="008D328C">
        <w:rPr>
          <w:rFonts w:ascii="Times New Roman" w:hAnsi="Times New Roman" w:cs="Times New Roman"/>
          <w:sz w:val="24"/>
          <w:szCs w:val="24"/>
        </w:rPr>
        <w:t>odels 1 and 2a)</w:t>
      </w:r>
      <w:r w:rsidR="00E2187D" w:rsidRPr="00E2187D">
        <w:rPr>
          <w:rFonts w:ascii="Times New Roman" w:hAnsi="Times New Roman" w:cs="Times New Roman"/>
          <w:sz w:val="24"/>
          <w:szCs w:val="24"/>
        </w:rPr>
        <w:t xml:space="preserve"> </w:t>
      </w:r>
      <w:r w:rsidR="008D328C">
        <w:rPr>
          <w:rFonts w:ascii="Times New Roman" w:hAnsi="Times New Roman" w:cs="Times New Roman"/>
          <w:sz w:val="24"/>
          <w:szCs w:val="24"/>
        </w:rPr>
        <w:t>are</w:t>
      </w:r>
      <w:r w:rsidR="00E2187D" w:rsidRPr="00E2187D">
        <w:rPr>
          <w:rFonts w:ascii="Times New Roman" w:hAnsi="Times New Roman" w:cs="Times New Roman"/>
          <w:sz w:val="24"/>
          <w:szCs w:val="24"/>
        </w:rPr>
        <w:t xml:space="preserve"> modified to include the first </w:t>
      </w:r>
      <w:r w:rsidR="008D328C">
        <w:rPr>
          <w:rFonts w:ascii="Times New Roman" w:hAnsi="Times New Roman" w:cs="Times New Roman"/>
          <w:sz w:val="24"/>
          <w:szCs w:val="24"/>
        </w:rPr>
        <w:t>lag of the dependent variable as an independent variable</w:t>
      </w:r>
      <w:r w:rsidR="00E2187D" w:rsidRPr="00E2187D">
        <w:rPr>
          <w:rFonts w:ascii="Times New Roman" w:hAnsi="Times New Roman" w:cs="Times New Roman"/>
          <w:sz w:val="24"/>
          <w:szCs w:val="24"/>
        </w:rPr>
        <w:t>. Second</w:t>
      </w:r>
      <w:r w:rsidR="00B528D0">
        <w:rPr>
          <w:rFonts w:ascii="Times New Roman" w:hAnsi="Times New Roman" w:cs="Times New Roman"/>
          <w:sz w:val="24"/>
          <w:szCs w:val="24"/>
        </w:rPr>
        <w:t>ly</w:t>
      </w:r>
      <w:r w:rsidR="00E2187D" w:rsidRPr="00E2187D">
        <w:rPr>
          <w:rFonts w:ascii="Times New Roman" w:hAnsi="Times New Roman" w:cs="Times New Roman"/>
          <w:sz w:val="24"/>
          <w:szCs w:val="24"/>
        </w:rPr>
        <w:t>, we take the first-difference of the variables to account for any unobserved heterogeneity. Lastly, we use the dynamic panel GMM estimator to estimate the final model while using the lagged values of the explanatory variables as instruments</w:t>
      </w:r>
      <w:r w:rsidR="008D328C">
        <w:rPr>
          <w:rFonts w:ascii="Times New Roman" w:hAnsi="Times New Roman" w:cs="Times New Roman"/>
          <w:sz w:val="24"/>
          <w:szCs w:val="24"/>
        </w:rPr>
        <w:t xml:space="preserve"> </w:t>
      </w:r>
      <w:r w:rsidR="00E2187D" w:rsidRPr="00E2187D">
        <w:rPr>
          <w:rFonts w:ascii="Times New Roman" w:hAnsi="Times New Roman" w:cs="Times New Roman"/>
          <w:sz w:val="24"/>
          <w:szCs w:val="24"/>
        </w:rPr>
        <w:t xml:space="preserve">for the current values of the same variables </w:t>
      </w:r>
      <w:r w:rsidR="00290498">
        <w:rPr>
          <w:rFonts w:ascii="Times New Roman" w:hAnsi="Times New Roman" w:cs="Times New Roman"/>
          <w:sz w:val="24"/>
          <w:szCs w:val="24"/>
        </w:rPr>
        <w:t>to account</w:t>
      </w:r>
      <w:r w:rsidR="00E2187D" w:rsidRPr="00E2187D">
        <w:rPr>
          <w:rFonts w:ascii="Times New Roman" w:hAnsi="Times New Roman" w:cs="Times New Roman"/>
          <w:sz w:val="24"/>
          <w:szCs w:val="24"/>
        </w:rPr>
        <w:t xml:space="preserve"> for possible simultaneity and reverse causality</w:t>
      </w:r>
      <w:r w:rsidR="008211DD">
        <w:rPr>
          <w:rFonts w:ascii="Times New Roman" w:hAnsi="Times New Roman" w:cs="Times New Roman"/>
          <w:sz w:val="24"/>
          <w:szCs w:val="24"/>
        </w:rPr>
        <w:t xml:space="preserve"> (Hoechle </w:t>
      </w:r>
      <w:r w:rsidR="00A94F42" w:rsidRPr="00A94F42">
        <w:rPr>
          <w:rFonts w:ascii="Times New Roman" w:hAnsi="Times New Roman" w:cs="Times New Roman"/>
          <w:i/>
          <w:iCs/>
          <w:sz w:val="24"/>
          <w:szCs w:val="24"/>
        </w:rPr>
        <w:t>et al.</w:t>
      </w:r>
      <w:r w:rsidR="008211DD">
        <w:rPr>
          <w:rFonts w:ascii="Times New Roman" w:hAnsi="Times New Roman" w:cs="Times New Roman"/>
          <w:sz w:val="24"/>
          <w:szCs w:val="24"/>
        </w:rPr>
        <w:t xml:space="preserve"> 2012)</w:t>
      </w:r>
      <w:r w:rsidR="00E2187D" w:rsidRPr="00E2187D">
        <w:rPr>
          <w:rFonts w:ascii="Times New Roman" w:hAnsi="Times New Roman" w:cs="Times New Roman"/>
          <w:sz w:val="24"/>
          <w:szCs w:val="24"/>
        </w:rPr>
        <w:t>. This setup allows us to treat all explanatory variables as endogenous</w:t>
      </w:r>
      <w:r w:rsidR="008D328C">
        <w:rPr>
          <w:rFonts w:ascii="Times New Roman" w:hAnsi="Times New Roman" w:cs="Times New Roman"/>
          <w:sz w:val="24"/>
          <w:szCs w:val="24"/>
        </w:rPr>
        <w:t xml:space="preserve"> variables</w:t>
      </w:r>
      <w:r w:rsidR="00E2187D" w:rsidRPr="00E2187D">
        <w:rPr>
          <w:rFonts w:ascii="Times New Roman" w:hAnsi="Times New Roman" w:cs="Times New Roman"/>
          <w:sz w:val="24"/>
          <w:szCs w:val="24"/>
        </w:rPr>
        <w:t xml:space="preserve"> while adding the years’ dummy variables as the only exogenous variables. </w:t>
      </w:r>
      <w:r w:rsidR="00F47B0E">
        <w:rPr>
          <w:rFonts w:ascii="Times New Roman" w:hAnsi="Times New Roman" w:cs="Times New Roman"/>
          <w:sz w:val="24"/>
          <w:szCs w:val="24"/>
        </w:rPr>
        <w:t xml:space="preserve">The results from re-estimating model </w:t>
      </w:r>
      <w:r w:rsidR="0078118F">
        <w:rPr>
          <w:rFonts w:ascii="Times New Roman" w:hAnsi="Times New Roman" w:cs="Times New Roman"/>
          <w:sz w:val="24"/>
          <w:szCs w:val="24"/>
        </w:rPr>
        <w:t>3c</w:t>
      </w:r>
      <w:r w:rsidR="00F47B0E">
        <w:rPr>
          <w:rFonts w:ascii="Times New Roman" w:hAnsi="Times New Roman" w:cs="Times New Roman"/>
          <w:sz w:val="24"/>
          <w:szCs w:val="24"/>
        </w:rPr>
        <w:t xml:space="preserve"> are reported in </w:t>
      </w:r>
      <w:r w:rsidR="00F17F59" w:rsidRPr="003D4365">
        <w:rPr>
          <w:rFonts w:ascii="Times New Roman" w:hAnsi="Times New Roman" w:cs="Times New Roman"/>
          <w:sz w:val="24"/>
          <w:szCs w:val="24"/>
        </w:rPr>
        <w:t xml:space="preserve">Table </w:t>
      </w:r>
      <w:r w:rsidR="00320310" w:rsidRPr="003D4365">
        <w:rPr>
          <w:rFonts w:ascii="Times New Roman" w:hAnsi="Times New Roman" w:cs="Times New Roman"/>
          <w:sz w:val="24"/>
          <w:szCs w:val="24"/>
        </w:rPr>
        <w:t>7</w:t>
      </w:r>
      <w:r w:rsidR="008D328C">
        <w:rPr>
          <w:rFonts w:ascii="Times New Roman" w:hAnsi="Times New Roman" w:cs="Times New Roman"/>
          <w:i/>
          <w:iCs/>
          <w:sz w:val="24"/>
          <w:szCs w:val="24"/>
        </w:rPr>
        <w:t xml:space="preserve"> </w:t>
      </w:r>
      <w:r w:rsidR="00F47B0E">
        <w:rPr>
          <w:rStyle w:val="FootnoteReference"/>
          <w:rFonts w:ascii="Times New Roman" w:hAnsi="Times New Roman" w:cs="Times New Roman"/>
          <w:sz w:val="24"/>
          <w:szCs w:val="24"/>
        </w:rPr>
        <w:footnoteReference w:id="17"/>
      </w:r>
      <w:r w:rsidR="00F47B0E">
        <w:rPr>
          <w:rFonts w:ascii="Times New Roman" w:hAnsi="Times New Roman" w:cs="Times New Roman"/>
          <w:sz w:val="24"/>
          <w:szCs w:val="24"/>
        </w:rPr>
        <w:t xml:space="preserve">. </w:t>
      </w:r>
      <w:r w:rsidR="0078118F">
        <w:rPr>
          <w:rFonts w:ascii="Times New Roman" w:hAnsi="Times New Roman" w:cs="Times New Roman"/>
          <w:sz w:val="24"/>
          <w:szCs w:val="24"/>
        </w:rPr>
        <w:t xml:space="preserve">The results </w:t>
      </w:r>
      <w:r w:rsidR="009763EE">
        <w:rPr>
          <w:rFonts w:ascii="Times New Roman" w:hAnsi="Times New Roman" w:cs="Times New Roman"/>
          <w:sz w:val="24"/>
          <w:szCs w:val="24"/>
        </w:rPr>
        <w:t xml:space="preserve">convey similar results to ones reported earlier with higher significance in the model using Tobin’s Q as a dependent variable. </w:t>
      </w:r>
      <w:r w:rsidR="008426C7">
        <w:rPr>
          <w:rFonts w:ascii="Times New Roman" w:hAnsi="Times New Roman" w:cs="Times New Roman"/>
          <w:sz w:val="24"/>
          <w:szCs w:val="24"/>
        </w:rPr>
        <w:t xml:space="preserve">Our results remain essentially the same when we use Return on Assets (ROA) </w:t>
      </w:r>
      <w:r w:rsidR="00A1041C">
        <w:rPr>
          <w:rFonts w:ascii="Times New Roman" w:hAnsi="Times New Roman" w:cs="Times New Roman"/>
          <w:sz w:val="24"/>
          <w:szCs w:val="24"/>
        </w:rPr>
        <w:t xml:space="preserve">or Earnings Per Share (EPS) </w:t>
      </w:r>
      <w:r w:rsidR="008426C7">
        <w:rPr>
          <w:rFonts w:ascii="Times New Roman" w:hAnsi="Times New Roman" w:cs="Times New Roman"/>
          <w:sz w:val="24"/>
          <w:szCs w:val="24"/>
        </w:rPr>
        <w:t>as dependent variable</w:t>
      </w:r>
      <w:r w:rsidR="00A1041C">
        <w:rPr>
          <w:rFonts w:ascii="Times New Roman" w:hAnsi="Times New Roman" w:cs="Times New Roman"/>
          <w:sz w:val="24"/>
          <w:szCs w:val="24"/>
        </w:rPr>
        <w:t>s</w:t>
      </w:r>
      <w:r w:rsidR="0078118F">
        <w:rPr>
          <w:rFonts w:ascii="Times New Roman" w:hAnsi="Times New Roman" w:cs="Times New Roman"/>
          <w:sz w:val="24"/>
          <w:szCs w:val="24"/>
        </w:rPr>
        <w:t>.</w:t>
      </w:r>
    </w:p>
    <w:p w14:paraId="56E7F681" w14:textId="77777777" w:rsidR="00D95B36" w:rsidRDefault="00D95B36">
      <w:pPr>
        <w:rPr>
          <w:rFonts w:ascii="Times New Roman" w:hAnsi="Times New Roman" w:cs="Times New Roman"/>
          <w:sz w:val="24"/>
          <w:szCs w:val="24"/>
        </w:rPr>
      </w:pPr>
    </w:p>
    <w:p w14:paraId="1BE8952C" w14:textId="2FAC806D" w:rsidR="00D95B36" w:rsidRDefault="00CF5269" w:rsidP="00CF5269">
      <w:pPr>
        <w:pStyle w:val="ListParagraph"/>
        <w:tabs>
          <w:tab w:val="left" w:pos="426"/>
        </w:tabs>
        <w:spacing w:after="0" w:line="288" w:lineRule="auto"/>
        <w:ind w:left="360" w:hanging="360"/>
        <w:jc w:val="both"/>
        <w:rPr>
          <w:rFonts w:asciiTheme="majorBidi" w:hAnsiTheme="majorBidi" w:cstheme="majorBidi"/>
          <w:b/>
          <w:bCs/>
          <w:sz w:val="24"/>
          <w:szCs w:val="24"/>
        </w:rPr>
      </w:pPr>
      <w:r>
        <w:rPr>
          <w:rFonts w:asciiTheme="majorBidi" w:hAnsiTheme="majorBidi" w:cstheme="majorBidi"/>
          <w:b/>
          <w:bCs/>
          <w:sz w:val="24"/>
          <w:szCs w:val="24"/>
        </w:rPr>
        <w:t xml:space="preserve">V. </w:t>
      </w:r>
      <w:r w:rsidR="00D95B36">
        <w:rPr>
          <w:rFonts w:asciiTheme="majorBidi" w:hAnsiTheme="majorBidi" w:cstheme="majorBidi"/>
          <w:b/>
          <w:bCs/>
          <w:sz w:val="24"/>
          <w:szCs w:val="24"/>
        </w:rPr>
        <w:t>Conclusions</w:t>
      </w:r>
    </w:p>
    <w:p w14:paraId="519B38F0" w14:textId="77777777" w:rsidR="00305090" w:rsidRPr="00305090" w:rsidRDefault="00305090" w:rsidP="00D95B36">
      <w:pPr>
        <w:tabs>
          <w:tab w:val="left" w:pos="426"/>
        </w:tabs>
        <w:spacing w:after="0" w:line="288" w:lineRule="auto"/>
        <w:jc w:val="both"/>
        <w:rPr>
          <w:rFonts w:ascii="Times New Roman" w:hAnsi="Times New Roman" w:cs="Times New Roman"/>
          <w:sz w:val="12"/>
          <w:szCs w:val="12"/>
        </w:rPr>
      </w:pPr>
    </w:p>
    <w:p w14:paraId="2D3AAC66" w14:textId="3DC340C9" w:rsidR="00305090" w:rsidRDefault="00D95B36" w:rsidP="00D95B3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whether differences in some country-level characteristics can explain the differences in the corporate governance practices across countries. The study also analyzes the nature of the relationship between the mechanisms of corporate governance and the </w:t>
      </w:r>
      <w:r w:rsidRPr="002C5395">
        <w:rPr>
          <w:rFonts w:ascii="Times New Roman" w:hAnsi="Times New Roman" w:cs="Times New Roman"/>
          <w:sz w:val="24"/>
          <w:szCs w:val="24"/>
        </w:rPr>
        <w:t xml:space="preserve">institutions, markets, and socio-political </w:t>
      </w:r>
      <w:r>
        <w:rPr>
          <w:rFonts w:ascii="Times New Roman" w:hAnsi="Times New Roman" w:cs="Times New Roman"/>
          <w:sz w:val="24"/>
          <w:szCs w:val="24"/>
        </w:rPr>
        <w:t xml:space="preserve">variables across countries. We find that country-level factors such as </w:t>
      </w:r>
      <w:r w:rsidRPr="00DC2169">
        <w:rPr>
          <w:rFonts w:ascii="Times New Roman" w:hAnsi="Times New Roman" w:cs="Times New Roman"/>
          <w:sz w:val="24"/>
          <w:szCs w:val="24"/>
        </w:rPr>
        <w:t>rule of law, media freedom, social and cultural development, and market competition</w:t>
      </w:r>
      <w:r>
        <w:rPr>
          <w:rFonts w:ascii="Times New Roman" w:hAnsi="Times New Roman" w:cs="Times New Roman"/>
          <w:sz w:val="24"/>
          <w:szCs w:val="24"/>
        </w:rPr>
        <w:t>, explain a significant part of the variation in firm-level governance across countries (</w:t>
      </w:r>
      <w:r w:rsidRPr="004105E2">
        <w:rPr>
          <w:rFonts w:ascii="Times New Roman" w:hAnsi="Times New Roman" w:cs="Times New Roman"/>
          <w:sz w:val="24"/>
          <w:szCs w:val="24"/>
        </w:rPr>
        <w:t>Claessens and Yurtoglu 2015</w:t>
      </w:r>
      <w:r w:rsidR="00682D1F">
        <w:rPr>
          <w:rFonts w:ascii="Times New Roman" w:hAnsi="Times New Roman" w:cs="Times New Roman"/>
          <w:sz w:val="24"/>
          <w:szCs w:val="24"/>
        </w:rPr>
        <w:t>,</w:t>
      </w:r>
      <w:r w:rsidRPr="004105E2">
        <w:rPr>
          <w:rFonts w:ascii="Times New Roman" w:hAnsi="Times New Roman" w:cs="Times New Roman"/>
          <w:sz w:val="24"/>
          <w:szCs w:val="24"/>
        </w:rPr>
        <w:t xml:space="preserve"> Core </w:t>
      </w:r>
      <w:r w:rsidR="00A94F42" w:rsidRPr="00A94F42">
        <w:rPr>
          <w:rFonts w:ascii="Times New Roman" w:hAnsi="Times New Roman" w:cs="Times New Roman"/>
          <w:i/>
          <w:iCs/>
          <w:sz w:val="24"/>
          <w:szCs w:val="24"/>
        </w:rPr>
        <w:t>et al.</w:t>
      </w:r>
      <w:r w:rsidRPr="004105E2">
        <w:rPr>
          <w:rFonts w:ascii="Times New Roman" w:hAnsi="Times New Roman" w:cs="Times New Roman"/>
          <w:sz w:val="24"/>
          <w:szCs w:val="24"/>
        </w:rPr>
        <w:t xml:space="preserve"> 2008</w:t>
      </w:r>
      <w:r w:rsidR="00682D1F">
        <w:rPr>
          <w:rFonts w:ascii="Times New Roman" w:hAnsi="Times New Roman" w:cs="Times New Roman"/>
          <w:sz w:val="24"/>
          <w:szCs w:val="24"/>
        </w:rPr>
        <w:t>,</w:t>
      </w:r>
      <w:r>
        <w:rPr>
          <w:rFonts w:ascii="Times New Roman" w:hAnsi="Times New Roman" w:cs="Times New Roman"/>
          <w:sz w:val="24"/>
          <w:szCs w:val="24"/>
        </w:rPr>
        <w:t xml:space="preserve"> La Porta </w:t>
      </w:r>
      <w:r w:rsidR="00A94F42" w:rsidRPr="00A94F42">
        <w:rPr>
          <w:rFonts w:ascii="Times New Roman" w:hAnsi="Times New Roman" w:cs="Times New Roman"/>
          <w:i/>
          <w:iCs/>
          <w:sz w:val="24"/>
          <w:szCs w:val="24"/>
        </w:rPr>
        <w:t>et al.</w:t>
      </w:r>
      <w:r>
        <w:rPr>
          <w:rFonts w:ascii="Times New Roman" w:hAnsi="Times New Roman" w:cs="Times New Roman"/>
          <w:sz w:val="24"/>
          <w:szCs w:val="24"/>
        </w:rPr>
        <w:t xml:space="preserve"> 2000</w:t>
      </w:r>
      <w:r w:rsidR="00682D1F">
        <w:rPr>
          <w:rFonts w:ascii="Times New Roman" w:hAnsi="Times New Roman" w:cs="Times New Roman"/>
          <w:sz w:val="24"/>
          <w:szCs w:val="24"/>
        </w:rPr>
        <w:t>,</w:t>
      </w:r>
      <w:r>
        <w:rPr>
          <w:rFonts w:ascii="Times New Roman" w:hAnsi="Times New Roman" w:cs="Times New Roman"/>
          <w:sz w:val="24"/>
          <w:szCs w:val="24"/>
        </w:rPr>
        <w:t xml:space="preserve"> Stulz and Williamson 2003).</w:t>
      </w:r>
      <w:r w:rsidRPr="006D465B">
        <w:rPr>
          <w:rFonts w:ascii="Times New Roman" w:hAnsi="Times New Roman" w:cs="Times New Roman"/>
          <w:sz w:val="24"/>
          <w:szCs w:val="24"/>
        </w:rPr>
        <w:t xml:space="preserve"> </w:t>
      </w:r>
    </w:p>
    <w:p w14:paraId="474A4257" w14:textId="77777777" w:rsidR="00305090" w:rsidRDefault="00305090" w:rsidP="00D95B36">
      <w:pPr>
        <w:tabs>
          <w:tab w:val="left" w:pos="426"/>
        </w:tabs>
        <w:spacing w:after="0" w:line="288" w:lineRule="auto"/>
        <w:jc w:val="both"/>
        <w:rPr>
          <w:rFonts w:ascii="Times New Roman" w:hAnsi="Times New Roman" w:cs="Times New Roman"/>
          <w:sz w:val="24"/>
          <w:szCs w:val="24"/>
        </w:rPr>
      </w:pPr>
    </w:p>
    <w:p w14:paraId="44AF7873" w14:textId="402F95B2" w:rsidR="00D95B36" w:rsidRDefault="00305090" w:rsidP="00D95B3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D95B36">
        <w:rPr>
          <w:rFonts w:ascii="Times New Roman" w:hAnsi="Times New Roman" w:cs="Times New Roman"/>
          <w:sz w:val="24"/>
          <w:szCs w:val="24"/>
        </w:rPr>
        <w:t xml:space="preserve">Furthermore, we find that the relationship between country-level factors and firm-level mechanisms is best represented using a moderating model </w:t>
      </w:r>
      <w:r w:rsidR="00D95B36" w:rsidRPr="008056AD">
        <w:rPr>
          <w:rFonts w:ascii="Times New Roman" w:hAnsi="Times New Roman" w:cs="Times New Roman"/>
          <w:sz w:val="24"/>
          <w:szCs w:val="24"/>
        </w:rPr>
        <w:t xml:space="preserve">where country-level factors </w:t>
      </w:r>
      <w:r w:rsidR="00D95B36">
        <w:rPr>
          <w:rFonts w:ascii="Times New Roman" w:hAnsi="Times New Roman" w:cs="Times New Roman"/>
          <w:sz w:val="24"/>
          <w:szCs w:val="24"/>
        </w:rPr>
        <w:t>act as moderators of</w:t>
      </w:r>
      <w:r w:rsidR="00D95B36" w:rsidRPr="008056AD">
        <w:rPr>
          <w:rFonts w:ascii="Times New Roman" w:hAnsi="Times New Roman" w:cs="Times New Roman"/>
          <w:sz w:val="24"/>
          <w:szCs w:val="24"/>
        </w:rPr>
        <w:t xml:space="preserve"> the relationship between firm-level mechanisms and firm value/return.</w:t>
      </w:r>
      <w:r w:rsidR="00D95B36">
        <w:rPr>
          <w:rFonts w:ascii="Times New Roman" w:hAnsi="Times New Roman" w:cs="Times New Roman"/>
          <w:sz w:val="24"/>
          <w:szCs w:val="24"/>
        </w:rPr>
        <w:t xml:space="preserve"> Also, consistent with the findings of Aggarwal </w:t>
      </w:r>
      <w:r w:rsidR="00D95B36" w:rsidRPr="00B528D0">
        <w:rPr>
          <w:rFonts w:ascii="Times New Roman" w:hAnsi="Times New Roman" w:cs="Times New Roman"/>
          <w:i/>
          <w:iCs/>
          <w:sz w:val="24"/>
          <w:szCs w:val="24"/>
        </w:rPr>
        <w:t xml:space="preserve">et al. </w:t>
      </w:r>
      <w:r w:rsidR="00D95B36">
        <w:rPr>
          <w:rFonts w:ascii="Times New Roman" w:hAnsi="Times New Roman" w:cs="Times New Roman"/>
          <w:sz w:val="24"/>
          <w:szCs w:val="24"/>
        </w:rPr>
        <w:t>(2010),</w:t>
      </w:r>
      <w:r w:rsidR="00D95B36" w:rsidRPr="00E74DC3">
        <w:rPr>
          <w:rFonts w:ascii="Times New Roman" w:hAnsi="Times New Roman" w:cs="Times New Roman"/>
          <w:sz w:val="24"/>
          <w:szCs w:val="24"/>
        </w:rPr>
        <w:t xml:space="preserve"> Anderson and Gu</w:t>
      </w:r>
      <w:r w:rsidR="00D95B36">
        <w:rPr>
          <w:rFonts w:ascii="Times New Roman" w:hAnsi="Times New Roman" w:cs="Times New Roman"/>
          <w:sz w:val="24"/>
          <w:szCs w:val="24"/>
        </w:rPr>
        <w:t xml:space="preserve">pta (2009) and others, the results from our regressions indicate the presence of a complementary relationship between firm-level governance and all the country-level variables included in our study. Under the framework of the agency theory, this complementary relationship can be explained through the argument that a firm may not find it beneficial to improve its governance framework in an environment with weak institutions and country-level protections because it expects no gains from doing so (Jensen </w:t>
      </w:r>
      <w:r w:rsidR="00D95B36">
        <w:rPr>
          <w:rFonts w:ascii="Times New Roman" w:hAnsi="Times New Roman" w:cs="Times New Roman"/>
          <w:sz w:val="24"/>
          <w:szCs w:val="24"/>
        </w:rPr>
        <w:lastRenderedPageBreak/>
        <w:t>and Meckling 1976). Support for our observation also comes from the institutional theory framework, which views firm-level governance as a result of the prevailing national institutions and social systems (</w:t>
      </w:r>
      <w:r w:rsidR="00D95B36" w:rsidRPr="001239F0">
        <w:rPr>
          <w:rFonts w:ascii="Times New Roman" w:hAnsi="Times New Roman" w:cs="Times New Roman"/>
          <w:sz w:val="24"/>
          <w:szCs w:val="24"/>
        </w:rPr>
        <w:t xml:space="preserve">Aguilera </w:t>
      </w:r>
      <w:r w:rsidR="00A94F42" w:rsidRPr="00A94F42">
        <w:rPr>
          <w:rFonts w:ascii="Times New Roman" w:hAnsi="Times New Roman" w:cs="Times New Roman"/>
          <w:i/>
          <w:iCs/>
          <w:sz w:val="24"/>
          <w:szCs w:val="24"/>
        </w:rPr>
        <w:t>et al.</w:t>
      </w:r>
      <w:r w:rsidR="00D95B36">
        <w:rPr>
          <w:rFonts w:ascii="Times New Roman" w:hAnsi="Times New Roman" w:cs="Times New Roman"/>
          <w:sz w:val="24"/>
          <w:szCs w:val="24"/>
        </w:rPr>
        <w:t xml:space="preserve"> </w:t>
      </w:r>
      <w:r w:rsidR="00D95B36" w:rsidRPr="001239F0">
        <w:rPr>
          <w:rFonts w:ascii="Times New Roman" w:hAnsi="Times New Roman" w:cs="Times New Roman"/>
          <w:sz w:val="24"/>
          <w:szCs w:val="24"/>
        </w:rPr>
        <w:t>2015</w:t>
      </w:r>
      <w:r w:rsidR="00682D1F">
        <w:rPr>
          <w:rFonts w:ascii="Times New Roman" w:hAnsi="Times New Roman" w:cs="Times New Roman"/>
          <w:sz w:val="24"/>
          <w:szCs w:val="24"/>
        </w:rPr>
        <w:t>,</w:t>
      </w:r>
      <w:r w:rsidR="00D95B36">
        <w:rPr>
          <w:rFonts w:ascii="Times New Roman" w:hAnsi="Times New Roman" w:cs="Times New Roman"/>
          <w:sz w:val="24"/>
          <w:szCs w:val="24"/>
        </w:rPr>
        <w:t xml:space="preserve"> </w:t>
      </w:r>
      <w:r w:rsidR="00D95B36" w:rsidRPr="005A00BA">
        <w:rPr>
          <w:rFonts w:ascii="Times New Roman" w:hAnsi="Times New Roman" w:cs="Times New Roman"/>
          <w:sz w:val="24"/>
          <w:szCs w:val="24"/>
        </w:rPr>
        <w:t>Schiehll and</w:t>
      </w:r>
      <w:r w:rsidR="00D95B36">
        <w:rPr>
          <w:rFonts w:ascii="Times New Roman" w:hAnsi="Times New Roman" w:cs="Times New Roman"/>
          <w:sz w:val="24"/>
          <w:szCs w:val="24"/>
        </w:rPr>
        <w:t xml:space="preserve"> Martin </w:t>
      </w:r>
      <w:r w:rsidR="00D95B36" w:rsidRPr="005A00BA">
        <w:rPr>
          <w:rFonts w:ascii="Times New Roman" w:hAnsi="Times New Roman" w:cs="Times New Roman"/>
          <w:sz w:val="24"/>
          <w:szCs w:val="24"/>
        </w:rPr>
        <w:t>2016</w:t>
      </w:r>
      <w:r w:rsidR="00D95B36">
        <w:rPr>
          <w:rFonts w:ascii="Times New Roman" w:hAnsi="Times New Roman" w:cs="Times New Roman"/>
          <w:sz w:val="24"/>
          <w:szCs w:val="24"/>
        </w:rPr>
        <w:t xml:space="preserve">). </w:t>
      </w:r>
    </w:p>
    <w:p w14:paraId="1AACA7D9" w14:textId="77777777" w:rsidR="00D95B36" w:rsidRDefault="00D95B36" w:rsidP="00D95B36">
      <w:pPr>
        <w:tabs>
          <w:tab w:val="left" w:pos="426"/>
        </w:tabs>
        <w:spacing w:after="0" w:line="288" w:lineRule="auto"/>
        <w:jc w:val="both"/>
        <w:rPr>
          <w:rFonts w:ascii="Times New Roman" w:hAnsi="Times New Roman" w:cs="Times New Roman"/>
          <w:sz w:val="24"/>
          <w:szCs w:val="24"/>
        </w:rPr>
      </w:pPr>
    </w:p>
    <w:tbl>
      <w:tblPr>
        <w:tblStyle w:val="TableGrid"/>
        <w:tblW w:w="10980" w:type="dxa"/>
        <w:jc w:val="center"/>
        <w:tblLayout w:type="fixed"/>
        <w:tblLook w:val="04A0" w:firstRow="1" w:lastRow="0" w:firstColumn="1" w:lastColumn="0" w:noHBand="0" w:noVBand="1"/>
      </w:tblPr>
      <w:tblGrid>
        <w:gridCol w:w="6390"/>
        <w:gridCol w:w="2292"/>
        <w:gridCol w:w="2292"/>
        <w:gridCol w:w="6"/>
      </w:tblGrid>
      <w:tr w:rsidR="003D4365" w:rsidRPr="002E1EC0" w14:paraId="6AB17218" w14:textId="77777777" w:rsidTr="008A71E8">
        <w:trPr>
          <w:jc w:val="center"/>
        </w:trPr>
        <w:tc>
          <w:tcPr>
            <w:tcW w:w="10980" w:type="dxa"/>
            <w:gridSpan w:val="4"/>
            <w:tcBorders>
              <w:top w:val="nil"/>
              <w:left w:val="nil"/>
              <w:bottom w:val="single" w:sz="8" w:space="0" w:color="auto"/>
              <w:right w:val="nil"/>
            </w:tcBorders>
            <w:vAlign w:val="center"/>
          </w:tcPr>
          <w:p w14:paraId="798E1506" w14:textId="12D51A84" w:rsidR="003D4365" w:rsidRDefault="009904FA" w:rsidP="00305090">
            <w:pPr>
              <w:tabs>
                <w:tab w:val="left" w:pos="426"/>
              </w:tabs>
              <w:spacing w:after="6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7: </w:t>
            </w:r>
            <w:r w:rsidR="003D4365">
              <w:rPr>
                <w:rFonts w:asciiTheme="majorBidi" w:hAnsiTheme="majorBidi" w:cstheme="majorBidi"/>
                <w:b/>
                <w:bCs/>
                <w:color w:val="000000"/>
                <w:sz w:val="24"/>
                <w:szCs w:val="24"/>
              </w:rPr>
              <w:t>Robustness Test: Test for Endogeneity using Dynamic Panel GMM Models</w:t>
            </w:r>
          </w:p>
          <w:p w14:paraId="5AC98A87" w14:textId="77777777" w:rsidR="003D4365" w:rsidRPr="00EB0B20" w:rsidRDefault="003D4365" w:rsidP="003B097D">
            <w:pPr>
              <w:tabs>
                <w:tab w:val="left" w:pos="426"/>
              </w:tabs>
              <w:jc w:val="both"/>
              <w:rPr>
                <w:rFonts w:asciiTheme="majorBidi" w:hAnsiTheme="majorBidi" w:cstheme="majorBidi"/>
                <w:color w:val="000000"/>
                <w:sz w:val="20"/>
                <w:szCs w:val="20"/>
              </w:rPr>
            </w:pPr>
            <w:r w:rsidRPr="00EB0B20">
              <w:rPr>
                <w:rFonts w:asciiTheme="majorBidi" w:hAnsiTheme="majorBidi" w:cstheme="majorBidi"/>
                <w:color w:val="000000"/>
                <w:sz w:val="20"/>
                <w:szCs w:val="20"/>
              </w:rPr>
              <w:t xml:space="preserve">The table presents the results of </w:t>
            </w:r>
            <w:r>
              <w:rPr>
                <w:rFonts w:asciiTheme="majorBidi" w:hAnsiTheme="majorBidi" w:cstheme="majorBidi"/>
                <w:color w:val="000000"/>
                <w:sz w:val="20"/>
                <w:szCs w:val="20"/>
              </w:rPr>
              <w:t xml:space="preserve">two </w:t>
            </w:r>
            <w:r w:rsidRPr="00EB0B20">
              <w:rPr>
                <w:rFonts w:asciiTheme="majorBidi" w:hAnsiTheme="majorBidi" w:cstheme="majorBidi"/>
                <w:color w:val="000000"/>
                <w:sz w:val="20"/>
                <w:szCs w:val="20"/>
              </w:rPr>
              <w:t>different regressions with different dependent variables. COGI is a country-level governance index (explained in the text). GOVI is a firm-level additive index of governance constructed using a collection of individual measures of governance (see text for details). Details of the Dynamic Panel GMM procedure can be found in the text. Arellano-Bond test is a test for first-order autocorrelation in the first-differenced errors with the null hypothesis of zero autocorrelation (</w:t>
            </w:r>
            <w:r w:rsidRPr="00EB0B20">
              <w:rPr>
                <w:rFonts w:asciiTheme="majorBidi" w:hAnsiTheme="majorBidi" w:cstheme="majorBidi"/>
                <w:i/>
                <w:iCs/>
                <w:color w:val="000000"/>
                <w:sz w:val="20"/>
                <w:szCs w:val="20"/>
              </w:rPr>
              <w:t>p-value</w:t>
            </w:r>
            <w:r w:rsidRPr="00EB0B20">
              <w:rPr>
                <w:rFonts w:asciiTheme="majorBidi" w:hAnsiTheme="majorBidi" w:cstheme="majorBidi"/>
                <w:color w:val="000000"/>
                <w:sz w:val="20"/>
                <w:szCs w:val="20"/>
              </w:rPr>
              <w:t xml:space="preserve"> is reported). Hansen test of over-identification tests the null hypothesis that all instruments are valid (</w:t>
            </w:r>
            <w:r w:rsidRPr="00EB0B20">
              <w:rPr>
                <w:rFonts w:asciiTheme="majorBidi" w:hAnsiTheme="majorBidi" w:cstheme="majorBidi"/>
                <w:i/>
                <w:iCs/>
                <w:color w:val="000000"/>
                <w:sz w:val="20"/>
                <w:szCs w:val="20"/>
              </w:rPr>
              <w:t>p-value</w:t>
            </w:r>
            <w:r w:rsidRPr="00EB0B20">
              <w:rPr>
                <w:rFonts w:asciiTheme="majorBidi" w:hAnsiTheme="majorBidi" w:cstheme="majorBidi"/>
                <w:color w:val="000000"/>
                <w:sz w:val="20"/>
                <w:szCs w:val="20"/>
              </w:rPr>
              <w:t xml:space="preserve"> is reported). The t-statistics are reported in the parentheses. *Significant at the 10% level. **Significant at the 5% level. ***Significant at the 1% level.</w:t>
            </w:r>
          </w:p>
          <w:p w14:paraId="00D446EC" w14:textId="77777777" w:rsidR="003D4365" w:rsidRPr="009159CB" w:rsidRDefault="003D4365" w:rsidP="003B097D">
            <w:pPr>
              <w:tabs>
                <w:tab w:val="left" w:pos="426"/>
              </w:tabs>
              <w:jc w:val="center"/>
              <w:rPr>
                <w:rFonts w:asciiTheme="majorBidi" w:hAnsiTheme="majorBidi" w:cstheme="majorBidi"/>
                <w:b/>
                <w:bCs/>
                <w:color w:val="000000"/>
                <w:sz w:val="16"/>
                <w:szCs w:val="16"/>
              </w:rPr>
            </w:pPr>
          </w:p>
        </w:tc>
      </w:tr>
      <w:tr w:rsidR="003D4365" w14:paraId="174DF37C" w14:textId="77777777" w:rsidTr="008A71E8">
        <w:trPr>
          <w:gridAfter w:val="1"/>
          <w:wAfter w:w="6" w:type="dxa"/>
          <w:trHeight w:val="295"/>
          <w:jc w:val="center"/>
        </w:trPr>
        <w:tc>
          <w:tcPr>
            <w:tcW w:w="6390" w:type="dxa"/>
            <w:tcBorders>
              <w:top w:val="single" w:sz="4" w:space="0" w:color="FFFFFF" w:themeColor="background1"/>
              <w:left w:val="nil"/>
              <w:bottom w:val="single" w:sz="12" w:space="0" w:color="auto"/>
              <w:right w:val="nil"/>
            </w:tcBorders>
            <w:vAlign w:val="center"/>
          </w:tcPr>
          <w:p w14:paraId="347302EC" w14:textId="77777777" w:rsidR="003D4365" w:rsidRPr="002E1EC0" w:rsidRDefault="003D4365" w:rsidP="003B097D">
            <w:pPr>
              <w:tabs>
                <w:tab w:val="left" w:pos="426"/>
              </w:tabs>
              <w:rPr>
                <w:rFonts w:asciiTheme="majorBidi" w:hAnsiTheme="majorBidi" w:cstheme="majorBidi"/>
                <w:b/>
                <w:bCs/>
                <w:color w:val="000000"/>
              </w:rPr>
            </w:pPr>
          </w:p>
        </w:tc>
        <w:tc>
          <w:tcPr>
            <w:tcW w:w="2292" w:type="dxa"/>
            <w:tcBorders>
              <w:top w:val="single" w:sz="4" w:space="0" w:color="auto"/>
              <w:left w:val="nil"/>
              <w:bottom w:val="single" w:sz="12" w:space="0" w:color="auto"/>
              <w:right w:val="nil"/>
            </w:tcBorders>
            <w:vAlign w:val="center"/>
          </w:tcPr>
          <w:p w14:paraId="3B43F4DF" w14:textId="77777777" w:rsidR="003D4365" w:rsidRPr="002E1EC0" w:rsidRDefault="003D4365" w:rsidP="003B097D">
            <w:pPr>
              <w:tabs>
                <w:tab w:val="left" w:pos="426"/>
              </w:tabs>
              <w:jc w:val="center"/>
              <w:rPr>
                <w:rFonts w:asciiTheme="majorBidi" w:hAnsiTheme="majorBidi" w:cstheme="majorBidi"/>
                <w:b/>
                <w:bCs/>
                <w:color w:val="000000"/>
              </w:rPr>
            </w:pPr>
            <w:r>
              <w:rPr>
                <w:rFonts w:asciiTheme="majorBidi" w:hAnsiTheme="majorBidi" w:cstheme="majorBidi"/>
                <w:b/>
                <w:bCs/>
                <w:color w:val="000000"/>
              </w:rPr>
              <w:t>ROE</w:t>
            </w:r>
          </w:p>
        </w:tc>
        <w:tc>
          <w:tcPr>
            <w:tcW w:w="2292" w:type="dxa"/>
            <w:tcBorders>
              <w:top w:val="single" w:sz="4" w:space="0" w:color="auto"/>
              <w:left w:val="nil"/>
              <w:bottom w:val="single" w:sz="12" w:space="0" w:color="auto"/>
              <w:right w:val="nil"/>
            </w:tcBorders>
            <w:vAlign w:val="center"/>
          </w:tcPr>
          <w:p w14:paraId="3915E062" w14:textId="77777777" w:rsidR="003D4365" w:rsidRPr="002E1EC0" w:rsidRDefault="003D4365" w:rsidP="003B097D">
            <w:pPr>
              <w:tabs>
                <w:tab w:val="left" w:pos="426"/>
              </w:tabs>
              <w:jc w:val="center"/>
              <w:rPr>
                <w:rFonts w:asciiTheme="majorBidi" w:hAnsiTheme="majorBidi" w:cstheme="majorBidi"/>
                <w:b/>
                <w:bCs/>
                <w:color w:val="000000"/>
              </w:rPr>
            </w:pPr>
            <w:r>
              <w:rPr>
                <w:rFonts w:asciiTheme="majorBidi" w:hAnsiTheme="majorBidi" w:cstheme="majorBidi"/>
                <w:b/>
                <w:bCs/>
                <w:color w:val="000000"/>
              </w:rPr>
              <w:t>Tobin’s Q</w:t>
            </w:r>
          </w:p>
        </w:tc>
      </w:tr>
      <w:tr w:rsidR="003D4365" w14:paraId="76AD1665" w14:textId="77777777" w:rsidTr="008A71E8">
        <w:trPr>
          <w:gridAfter w:val="1"/>
          <w:wAfter w:w="6" w:type="dxa"/>
          <w:trHeight w:val="432"/>
          <w:jc w:val="center"/>
        </w:trPr>
        <w:tc>
          <w:tcPr>
            <w:tcW w:w="6390" w:type="dxa"/>
            <w:tcBorders>
              <w:top w:val="single" w:sz="12" w:space="0" w:color="auto"/>
              <w:left w:val="nil"/>
              <w:bottom w:val="nil"/>
              <w:right w:val="nil"/>
            </w:tcBorders>
            <w:vAlign w:val="center"/>
          </w:tcPr>
          <w:p w14:paraId="24829465" w14:textId="77777777" w:rsidR="003D4365" w:rsidRPr="002E1EC0" w:rsidRDefault="003D4365" w:rsidP="003B097D">
            <w:pPr>
              <w:tabs>
                <w:tab w:val="left" w:pos="426"/>
              </w:tabs>
              <w:rPr>
                <w:rFonts w:asciiTheme="majorBidi" w:hAnsiTheme="majorBidi" w:cstheme="majorBidi"/>
              </w:rPr>
            </w:pPr>
            <w:r>
              <w:rPr>
                <w:rFonts w:asciiTheme="majorBidi" w:hAnsiTheme="majorBidi" w:cstheme="majorBidi"/>
              </w:rPr>
              <w:t>Intercept</w:t>
            </w:r>
          </w:p>
        </w:tc>
        <w:tc>
          <w:tcPr>
            <w:tcW w:w="2292" w:type="dxa"/>
            <w:tcBorders>
              <w:top w:val="nil"/>
              <w:left w:val="nil"/>
              <w:bottom w:val="nil"/>
              <w:right w:val="nil"/>
            </w:tcBorders>
            <w:shd w:val="clear" w:color="auto" w:fill="auto"/>
            <w:vAlign w:val="bottom"/>
          </w:tcPr>
          <w:p w14:paraId="4083B0F2" w14:textId="77777777" w:rsidR="003D4365" w:rsidRPr="00391BF1" w:rsidRDefault="003D4365" w:rsidP="003B097D">
            <w:pPr>
              <w:tabs>
                <w:tab w:val="left" w:pos="426"/>
              </w:tabs>
              <w:jc w:val="center"/>
              <w:rPr>
                <w:rFonts w:asciiTheme="majorBidi" w:hAnsiTheme="majorBidi" w:cstheme="majorBidi"/>
              </w:rPr>
            </w:pPr>
            <w:r>
              <w:rPr>
                <w:rFonts w:asciiTheme="majorBidi" w:hAnsiTheme="majorBidi" w:cstheme="majorBidi"/>
              </w:rPr>
              <w:t>0.</w:t>
            </w:r>
            <w:r w:rsidRPr="00080FF6">
              <w:rPr>
                <w:rFonts w:asciiTheme="majorBidi" w:hAnsiTheme="majorBidi" w:cstheme="majorBidi"/>
              </w:rPr>
              <w:t>474</w:t>
            </w:r>
            <w:r w:rsidRPr="00080FF6">
              <w:rPr>
                <w:rFonts w:asciiTheme="majorBidi" w:hAnsiTheme="majorBidi" w:cstheme="majorBidi"/>
              </w:rPr>
              <w:br/>
              <w:t>(0.09</w:t>
            </w:r>
            <w:r>
              <w:rPr>
                <w:rFonts w:asciiTheme="majorBidi" w:hAnsiTheme="majorBidi" w:cstheme="majorBidi"/>
              </w:rPr>
              <w:t>0</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17280DFB" w14:textId="77777777" w:rsidR="003D4365" w:rsidRPr="00FB7BB4" w:rsidRDefault="003D4365" w:rsidP="003B097D">
            <w:pPr>
              <w:tabs>
                <w:tab w:val="left" w:pos="426"/>
              </w:tabs>
              <w:jc w:val="center"/>
              <w:rPr>
                <w:rFonts w:asciiTheme="majorBidi" w:hAnsiTheme="majorBidi" w:cstheme="majorBidi"/>
              </w:rPr>
            </w:pPr>
            <w:r w:rsidRPr="00080FF6">
              <w:rPr>
                <w:rFonts w:asciiTheme="majorBidi" w:hAnsiTheme="majorBidi" w:cstheme="majorBidi"/>
              </w:rPr>
              <w:t>-0.074***</w:t>
            </w:r>
            <w:r w:rsidRPr="00080FF6">
              <w:rPr>
                <w:rFonts w:asciiTheme="majorBidi" w:hAnsiTheme="majorBidi" w:cstheme="majorBidi"/>
              </w:rPr>
              <w:br/>
              <w:t>(-2.65</w:t>
            </w:r>
            <w:r>
              <w:rPr>
                <w:rFonts w:asciiTheme="majorBidi" w:hAnsiTheme="majorBidi" w:cstheme="majorBidi"/>
              </w:rPr>
              <w:t>0</w:t>
            </w:r>
            <w:r w:rsidRPr="00080FF6">
              <w:rPr>
                <w:rFonts w:asciiTheme="majorBidi" w:hAnsiTheme="majorBidi" w:cstheme="majorBidi"/>
              </w:rPr>
              <w:t>)</w:t>
            </w:r>
          </w:p>
        </w:tc>
      </w:tr>
      <w:tr w:rsidR="003D4365" w14:paraId="6AEB3566" w14:textId="77777777" w:rsidTr="008A71E8">
        <w:trPr>
          <w:gridAfter w:val="1"/>
          <w:wAfter w:w="6" w:type="dxa"/>
          <w:trHeight w:val="432"/>
          <w:jc w:val="center"/>
        </w:trPr>
        <w:tc>
          <w:tcPr>
            <w:tcW w:w="6390" w:type="dxa"/>
            <w:tcBorders>
              <w:top w:val="nil"/>
              <w:left w:val="nil"/>
              <w:bottom w:val="nil"/>
              <w:right w:val="nil"/>
            </w:tcBorders>
            <w:vAlign w:val="center"/>
          </w:tcPr>
          <w:p w14:paraId="69411414" w14:textId="77777777" w:rsidR="003D4365" w:rsidRDefault="003D4365" w:rsidP="003B097D">
            <w:pPr>
              <w:tabs>
                <w:tab w:val="left" w:pos="426"/>
              </w:tabs>
              <w:rPr>
                <w:rFonts w:asciiTheme="majorBidi" w:hAnsiTheme="majorBidi" w:cstheme="majorBidi"/>
              </w:rPr>
            </w:pPr>
            <w:r>
              <w:rPr>
                <w:rFonts w:asciiTheme="majorBidi" w:hAnsiTheme="majorBidi" w:cstheme="majorBidi"/>
              </w:rPr>
              <w:t>Dependent variable (One Lag)</w:t>
            </w:r>
          </w:p>
        </w:tc>
        <w:tc>
          <w:tcPr>
            <w:tcW w:w="2292" w:type="dxa"/>
            <w:tcBorders>
              <w:top w:val="nil"/>
              <w:left w:val="nil"/>
              <w:bottom w:val="nil"/>
              <w:right w:val="nil"/>
            </w:tcBorders>
            <w:shd w:val="clear" w:color="auto" w:fill="auto"/>
            <w:vAlign w:val="bottom"/>
          </w:tcPr>
          <w:p w14:paraId="00AC38FB" w14:textId="77777777" w:rsidR="003D4365" w:rsidRPr="00391BF1" w:rsidRDefault="003D4365" w:rsidP="003B097D">
            <w:pPr>
              <w:tabs>
                <w:tab w:val="left" w:pos="426"/>
              </w:tabs>
              <w:jc w:val="center"/>
              <w:rPr>
                <w:rFonts w:asciiTheme="majorBidi" w:hAnsiTheme="majorBidi" w:cstheme="majorBidi"/>
              </w:rPr>
            </w:pPr>
            <w:r w:rsidRPr="00080FF6">
              <w:rPr>
                <w:rFonts w:asciiTheme="majorBidi" w:hAnsiTheme="majorBidi" w:cstheme="majorBidi"/>
              </w:rPr>
              <w:t>0.966***</w:t>
            </w:r>
            <w:r w:rsidRPr="00080FF6">
              <w:rPr>
                <w:rFonts w:asciiTheme="majorBidi" w:hAnsiTheme="majorBidi" w:cstheme="majorBidi"/>
              </w:rPr>
              <w:br/>
              <w:t>(22.79</w:t>
            </w:r>
            <w:r>
              <w:rPr>
                <w:rFonts w:asciiTheme="majorBidi" w:hAnsiTheme="majorBidi" w:cstheme="majorBidi"/>
              </w:rPr>
              <w:t>0</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6A12B65E" w14:textId="77777777" w:rsidR="003D4365" w:rsidRPr="00FB7BB4" w:rsidRDefault="003D4365" w:rsidP="003B097D">
            <w:pPr>
              <w:tabs>
                <w:tab w:val="left" w:pos="426"/>
              </w:tabs>
              <w:jc w:val="center"/>
              <w:rPr>
                <w:rFonts w:asciiTheme="majorBidi" w:hAnsiTheme="majorBidi" w:cstheme="majorBidi"/>
              </w:rPr>
            </w:pPr>
            <w:r w:rsidRPr="00080FF6">
              <w:rPr>
                <w:rFonts w:asciiTheme="majorBidi" w:hAnsiTheme="majorBidi" w:cstheme="majorBidi"/>
              </w:rPr>
              <w:t>0.96</w:t>
            </w:r>
            <w:r>
              <w:rPr>
                <w:rFonts w:asciiTheme="majorBidi" w:hAnsiTheme="majorBidi" w:cstheme="majorBidi"/>
              </w:rPr>
              <w:t>0</w:t>
            </w:r>
            <w:r w:rsidRPr="00080FF6">
              <w:rPr>
                <w:rFonts w:asciiTheme="majorBidi" w:hAnsiTheme="majorBidi" w:cstheme="majorBidi"/>
              </w:rPr>
              <w:t>***</w:t>
            </w:r>
            <w:r w:rsidRPr="00080FF6">
              <w:rPr>
                <w:rFonts w:asciiTheme="majorBidi" w:hAnsiTheme="majorBidi" w:cstheme="majorBidi"/>
              </w:rPr>
              <w:br/>
              <w:t>(6</w:t>
            </w:r>
            <w:r>
              <w:rPr>
                <w:rFonts w:asciiTheme="majorBidi" w:hAnsiTheme="majorBidi" w:cstheme="majorBidi"/>
              </w:rPr>
              <w:t>2.000</w:t>
            </w:r>
            <w:r w:rsidRPr="00080FF6">
              <w:rPr>
                <w:rFonts w:asciiTheme="majorBidi" w:hAnsiTheme="majorBidi" w:cstheme="majorBidi"/>
              </w:rPr>
              <w:t>)</w:t>
            </w:r>
          </w:p>
        </w:tc>
      </w:tr>
      <w:tr w:rsidR="003D4365" w14:paraId="78586240" w14:textId="77777777" w:rsidTr="008A71E8">
        <w:trPr>
          <w:gridAfter w:val="1"/>
          <w:wAfter w:w="6" w:type="dxa"/>
          <w:trHeight w:val="432"/>
          <w:jc w:val="center"/>
        </w:trPr>
        <w:tc>
          <w:tcPr>
            <w:tcW w:w="6390" w:type="dxa"/>
            <w:tcBorders>
              <w:top w:val="nil"/>
              <w:left w:val="nil"/>
              <w:bottom w:val="nil"/>
              <w:right w:val="nil"/>
            </w:tcBorders>
            <w:vAlign w:val="center"/>
          </w:tcPr>
          <w:p w14:paraId="5C6C7C05" w14:textId="77777777" w:rsidR="003D4365" w:rsidRPr="008648E1" w:rsidRDefault="003D4365" w:rsidP="003B097D">
            <w:pPr>
              <w:tabs>
                <w:tab w:val="left" w:pos="426"/>
              </w:tabs>
              <w:rPr>
                <w:rFonts w:asciiTheme="majorBidi" w:hAnsiTheme="majorBidi" w:cstheme="majorBidi"/>
              </w:rPr>
            </w:pPr>
            <w:r>
              <w:rPr>
                <w:rFonts w:asciiTheme="majorBidi" w:hAnsiTheme="majorBidi" w:cstheme="majorBidi"/>
              </w:rPr>
              <w:t>GOVI</w:t>
            </w:r>
          </w:p>
        </w:tc>
        <w:tc>
          <w:tcPr>
            <w:tcW w:w="2292" w:type="dxa"/>
            <w:tcBorders>
              <w:top w:val="nil"/>
              <w:left w:val="nil"/>
              <w:bottom w:val="nil"/>
              <w:right w:val="nil"/>
            </w:tcBorders>
            <w:shd w:val="clear" w:color="auto" w:fill="auto"/>
            <w:vAlign w:val="bottom"/>
          </w:tcPr>
          <w:p w14:paraId="48DEB04C" w14:textId="77777777" w:rsidR="003D4365" w:rsidRPr="00391BF1" w:rsidRDefault="003D4365" w:rsidP="003B097D">
            <w:pPr>
              <w:tabs>
                <w:tab w:val="left" w:pos="426"/>
              </w:tabs>
              <w:jc w:val="center"/>
              <w:rPr>
                <w:rFonts w:asciiTheme="majorBidi" w:hAnsiTheme="majorBidi" w:cstheme="majorBidi"/>
              </w:rPr>
            </w:pPr>
            <w:r>
              <w:rPr>
                <w:rFonts w:asciiTheme="majorBidi" w:hAnsiTheme="majorBidi" w:cstheme="majorBidi"/>
              </w:rPr>
              <w:t>0.</w:t>
            </w:r>
            <w:r w:rsidRPr="00080FF6">
              <w:rPr>
                <w:rFonts w:asciiTheme="majorBidi" w:hAnsiTheme="majorBidi" w:cstheme="majorBidi"/>
              </w:rPr>
              <w:t>26</w:t>
            </w:r>
            <w:r>
              <w:rPr>
                <w:rFonts w:asciiTheme="majorBidi" w:hAnsiTheme="majorBidi" w:cstheme="majorBidi"/>
              </w:rPr>
              <w:t>4</w:t>
            </w:r>
            <w:r w:rsidRPr="00080FF6">
              <w:rPr>
                <w:rFonts w:asciiTheme="majorBidi" w:hAnsiTheme="majorBidi" w:cstheme="majorBidi"/>
              </w:rPr>
              <w:t>*</w:t>
            </w:r>
            <w:r w:rsidRPr="00080FF6">
              <w:rPr>
                <w:rFonts w:asciiTheme="majorBidi" w:hAnsiTheme="majorBidi" w:cstheme="majorBidi"/>
              </w:rPr>
              <w:br/>
              <w:t>(1.76</w:t>
            </w:r>
            <w:r>
              <w:rPr>
                <w:rFonts w:asciiTheme="majorBidi" w:hAnsiTheme="majorBidi" w:cstheme="majorBidi"/>
              </w:rPr>
              <w:t>0</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221E1D57" w14:textId="77777777" w:rsidR="003D4365" w:rsidRPr="00FB7BB4" w:rsidRDefault="003D4365" w:rsidP="003B097D">
            <w:pPr>
              <w:tabs>
                <w:tab w:val="left" w:pos="426"/>
              </w:tabs>
              <w:jc w:val="center"/>
              <w:rPr>
                <w:rFonts w:asciiTheme="majorBidi" w:hAnsiTheme="majorBidi" w:cstheme="majorBidi"/>
              </w:rPr>
            </w:pPr>
            <w:r>
              <w:rPr>
                <w:rFonts w:asciiTheme="majorBidi" w:hAnsiTheme="majorBidi" w:cstheme="majorBidi"/>
              </w:rPr>
              <w:t>0.009</w:t>
            </w:r>
            <w:r w:rsidRPr="00080FF6">
              <w:rPr>
                <w:rFonts w:asciiTheme="majorBidi" w:hAnsiTheme="majorBidi" w:cstheme="majorBidi"/>
              </w:rPr>
              <w:t>**</w:t>
            </w:r>
            <w:r w:rsidRPr="00080FF6">
              <w:rPr>
                <w:rFonts w:asciiTheme="majorBidi" w:hAnsiTheme="majorBidi" w:cstheme="majorBidi"/>
              </w:rPr>
              <w:br/>
              <w:t>(2.11</w:t>
            </w:r>
            <w:r>
              <w:rPr>
                <w:rFonts w:asciiTheme="majorBidi" w:hAnsiTheme="majorBidi" w:cstheme="majorBidi"/>
              </w:rPr>
              <w:t>0</w:t>
            </w:r>
            <w:r w:rsidRPr="00080FF6">
              <w:rPr>
                <w:rFonts w:asciiTheme="majorBidi" w:hAnsiTheme="majorBidi" w:cstheme="majorBidi"/>
              </w:rPr>
              <w:t>)</w:t>
            </w:r>
          </w:p>
        </w:tc>
      </w:tr>
      <w:tr w:rsidR="003D4365" w14:paraId="4283FF3D" w14:textId="77777777" w:rsidTr="008A71E8">
        <w:trPr>
          <w:gridAfter w:val="1"/>
          <w:wAfter w:w="6" w:type="dxa"/>
          <w:trHeight w:val="432"/>
          <w:jc w:val="center"/>
        </w:trPr>
        <w:tc>
          <w:tcPr>
            <w:tcW w:w="6390" w:type="dxa"/>
            <w:tcBorders>
              <w:top w:val="nil"/>
              <w:left w:val="nil"/>
              <w:bottom w:val="nil"/>
              <w:right w:val="nil"/>
            </w:tcBorders>
            <w:vAlign w:val="center"/>
          </w:tcPr>
          <w:p w14:paraId="71BE34AC" w14:textId="77777777" w:rsidR="003D4365" w:rsidRPr="008648E1" w:rsidRDefault="003D4365" w:rsidP="003B097D">
            <w:pPr>
              <w:tabs>
                <w:tab w:val="left" w:pos="426"/>
              </w:tabs>
              <w:rPr>
                <w:rFonts w:asciiTheme="majorBidi" w:hAnsiTheme="majorBidi" w:cstheme="majorBidi"/>
              </w:rPr>
            </w:pPr>
            <w:r>
              <w:rPr>
                <w:rFonts w:asciiTheme="majorBidi" w:hAnsiTheme="majorBidi" w:cstheme="majorBidi"/>
              </w:rPr>
              <w:t>GOVI*COGI</w:t>
            </w:r>
          </w:p>
        </w:tc>
        <w:tc>
          <w:tcPr>
            <w:tcW w:w="2292" w:type="dxa"/>
            <w:tcBorders>
              <w:top w:val="nil"/>
              <w:left w:val="nil"/>
              <w:bottom w:val="nil"/>
              <w:right w:val="nil"/>
            </w:tcBorders>
            <w:shd w:val="clear" w:color="auto" w:fill="auto"/>
            <w:vAlign w:val="bottom"/>
          </w:tcPr>
          <w:p w14:paraId="28F79B67" w14:textId="77777777" w:rsidR="003D4365" w:rsidRPr="00391BF1" w:rsidRDefault="003D4365" w:rsidP="003B097D">
            <w:pPr>
              <w:tabs>
                <w:tab w:val="left" w:pos="426"/>
              </w:tabs>
              <w:jc w:val="center"/>
              <w:rPr>
                <w:rFonts w:asciiTheme="majorBidi" w:hAnsiTheme="majorBidi" w:cstheme="majorBidi"/>
              </w:rPr>
            </w:pPr>
            <w:r>
              <w:rPr>
                <w:rFonts w:asciiTheme="majorBidi" w:hAnsiTheme="majorBidi" w:cstheme="majorBidi"/>
              </w:rPr>
              <w:t>0.102**</w:t>
            </w:r>
            <w:r>
              <w:rPr>
                <w:rFonts w:asciiTheme="majorBidi" w:hAnsiTheme="majorBidi" w:cstheme="majorBidi"/>
              </w:rPr>
              <w:br/>
              <w:t>(2.222</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3E118E11" w14:textId="77777777" w:rsidR="003D4365" w:rsidRPr="00FB7BB4" w:rsidRDefault="003D4365" w:rsidP="003B097D">
            <w:pPr>
              <w:tabs>
                <w:tab w:val="left" w:pos="426"/>
              </w:tabs>
              <w:jc w:val="center"/>
              <w:rPr>
                <w:rFonts w:asciiTheme="majorBidi" w:hAnsiTheme="majorBidi" w:cstheme="majorBidi"/>
              </w:rPr>
            </w:pPr>
            <w:r w:rsidRPr="00080FF6">
              <w:rPr>
                <w:rFonts w:asciiTheme="majorBidi" w:hAnsiTheme="majorBidi" w:cstheme="majorBidi"/>
              </w:rPr>
              <w:t>0.027**</w:t>
            </w:r>
            <w:r w:rsidRPr="00080FF6">
              <w:rPr>
                <w:rFonts w:asciiTheme="majorBidi" w:hAnsiTheme="majorBidi" w:cstheme="majorBidi"/>
              </w:rPr>
              <w:br/>
              <w:t>(2.33</w:t>
            </w:r>
            <w:r>
              <w:rPr>
                <w:rFonts w:asciiTheme="majorBidi" w:hAnsiTheme="majorBidi" w:cstheme="majorBidi"/>
              </w:rPr>
              <w:t>0</w:t>
            </w:r>
            <w:r w:rsidRPr="00080FF6">
              <w:rPr>
                <w:rFonts w:asciiTheme="majorBidi" w:hAnsiTheme="majorBidi" w:cstheme="majorBidi"/>
              </w:rPr>
              <w:t>)</w:t>
            </w:r>
          </w:p>
        </w:tc>
      </w:tr>
      <w:tr w:rsidR="003D4365" w14:paraId="07FED6D6" w14:textId="77777777" w:rsidTr="008A71E8">
        <w:trPr>
          <w:gridAfter w:val="1"/>
          <w:wAfter w:w="6" w:type="dxa"/>
          <w:trHeight w:val="432"/>
          <w:jc w:val="center"/>
        </w:trPr>
        <w:tc>
          <w:tcPr>
            <w:tcW w:w="6390" w:type="dxa"/>
            <w:tcBorders>
              <w:top w:val="nil"/>
              <w:left w:val="nil"/>
              <w:bottom w:val="nil"/>
              <w:right w:val="nil"/>
            </w:tcBorders>
            <w:vAlign w:val="center"/>
          </w:tcPr>
          <w:p w14:paraId="5CE39190" w14:textId="77777777" w:rsidR="003D4365" w:rsidRPr="008648E1" w:rsidRDefault="003D4365" w:rsidP="003B097D">
            <w:pPr>
              <w:tabs>
                <w:tab w:val="left" w:pos="426"/>
              </w:tabs>
              <w:rPr>
                <w:rFonts w:asciiTheme="majorBidi" w:hAnsiTheme="majorBidi" w:cstheme="majorBidi"/>
              </w:rPr>
            </w:pPr>
            <w:r>
              <w:rPr>
                <w:rFonts w:asciiTheme="majorBidi" w:hAnsiTheme="majorBidi" w:cstheme="majorBidi"/>
              </w:rPr>
              <w:t>SIZE</w:t>
            </w:r>
          </w:p>
        </w:tc>
        <w:tc>
          <w:tcPr>
            <w:tcW w:w="2292" w:type="dxa"/>
            <w:tcBorders>
              <w:top w:val="nil"/>
              <w:left w:val="nil"/>
              <w:bottom w:val="nil"/>
              <w:right w:val="nil"/>
            </w:tcBorders>
            <w:shd w:val="clear" w:color="auto" w:fill="auto"/>
            <w:vAlign w:val="bottom"/>
          </w:tcPr>
          <w:p w14:paraId="21542951" w14:textId="77777777" w:rsidR="003D4365" w:rsidRPr="00391BF1" w:rsidRDefault="003D4365" w:rsidP="003B097D">
            <w:pPr>
              <w:tabs>
                <w:tab w:val="left" w:pos="426"/>
              </w:tabs>
              <w:jc w:val="center"/>
              <w:rPr>
                <w:rFonts w:asciiTheme="majorBidi" w:hAnsiTheme="majorBidi" w:cstheme="majorBidi"/>
              </w:rPr>
            </w:pPr>
            <w:r>
              <w:rPr>
                <w:rFonts w:asciiTheme="majorBidi" w:hAnsiTheme="majorBidi" w:cstheme="majorBidi"/>
              </w:rPr>
              <w:t>0.2341</w:t>
            </w:r>
            <w:r>
              <w:rPr>
                <w:rFonts w:asciiTheme="majorBidi" w:hAnsiTheme="majorBidi" w:cstheme="majorBidi"/>
              </w:rPr>
              <w:br/>
              <w:t>(</w:t>
            </w:r>
            <w:r w:rsidRPr="00080FF6">
              <w:rPr>
                <w:rFonts w:asciiTheme="majorBidi" w:hAnsiTheme="majorBidi" w:cstheme="majorBidi"/>
              </w:rPr>
              <w:t>0.09</w:t>
            </w:r>
            <w:r>
              <w:rPr>
                <w:rFonts w:asciiTheme="majorBidi" w:hAnsiTheme="majorBidi" w:cstheme="majorBidi"/>
              </w:rPr>
              <w:t>0</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34C1C066" w14:textId="77777777" w:rsidR="003D4365" w:rsidRPr="00FB7BB4" w:rsidRDefault="003D4365" w:rsidP="003B097D">
            <w:pPr>
              <w:tabs>
                <w:tab w:val="left" w:pos="426"/>
              </w:tabs>
              <w:jc w:val="center"/>
              <w:rPr>
                <w:rFonts w:asciiTheme="majorBidi" w:hAnsiTheme="majorBidi" w:cstheme="majorBidi"/>
              </w:rPr>
            </w:pPr>
            <w:r>
              <w:rPr>
                <w:rFonts w:asciiTheme="majorBidi" w:hAnsiTheme="majorBidi" w:cstheme="majorBidi"/>
              </w:rPr>
              <w:t>-</w:t>
            </w:r>
            <w:r w:rsidRPr="00080FF6">
              <w:rPr>
                <w:rFonts w:asciiTheme="majorBidi" w:hAnsiTheme="majorBidi" w:cstheme="majorBidi"/>
              </w:rPr>
              <w:t>0.003**</w:t>
            </w:r>
            <w:r w:rsidRPr="00080FF6">
              <w:rPr>
                <w:rFonts w:asciiTheme="majorBidi" w:hAnsiTheme="majorBidi" w:cstheme="majorBidi"/>
              </w:rPr>
              <w:br/>
              <w:t>(</w:t>
            </w:r>
            <w:r>
              <w:rPr>
                <w:rFonts w:asciiTheme="majorBidi" w:hAnsiTheme="majorBidi" w:cstheme="majorBidi"/>
              </w:rPr>
              <w:t>-</w:t>
            </w:r>
            <w:r w:rsidRPr="00080FF6">
              <w:rPr>
                <w:rFonts w:asciiTheme="majorBidi" w:hAnsiTheme="majorBidi" w:cstheme="majorBidi"/>
              </w:rPr>
              <w:t>2.59</w:t>
            </w:r>
            <w:r>
              <w:rPr>
                <w:rFonts w:asciiTheme="majorBidi" w:hAnsiTheme="majorBidi" w:cstheme="majorBidi"/>
              </w:rPr>
              <w:t>0</w:t>
            </w:r>
            <w:r w:rsidRPr="00080FF6">
              <w:rPr>
                <w:rFonts w:asciiTheme="majorBidi" w:hAnsiTheme="majorBidi" w:cstheme="majorBidi"/>
              </w:rPr>
              <w:t>)</w:t>
            </w:r>
          </w:p>
        </w:tc>
      </w:tr>
      <w:tr w:rsidR="003D4365" w14:paraId="50AE3C3F" w14:textId="77777777" w:rsidTr="008A71E8">
        <w:trPr>
          <w:gridAfter w:val="1"/>
          <w:wAfter w:w="6" w:type="dxa"/>
          <w:trHeight w:val="432"/>
          <w:jc w:val="center"/>
        </w:trPr>
        <w:tc>
          <w:tcPr>
            <w:tcW w:w="6390" w:type="dxa"/>
            <w:tcBorders>
              <w:top w:val="nil"/>
              <w:left w:val="nil"/>
              <w:bottom w:val="nil"/>
              <w:right w:val="nil"/>
            </w:tcBorders>
            <w:vAlign w:val="center"/>
          </w:tcPr>
          <w:p w14:paraId="568471AF" w14:textId="77777777" w:rsidR="003D4365" w:rsidRPr="003649DF" w:rsidRDefault="003D4365" w:rsidP="003B097D">
            <w:pPr>
              <w:tabs>
                <w:tab w:val="left" w:pos="426"/>
              </w:tabs>
              <w:rPr>
                <w:rFonts w:asciiTheme="majorBidi" w:hAnsiTheme="majorBidi" w:cstheme="majorBidi"/>
              </w:rPr>
            </w:pPr>
            <w:r>
              <w:rPr>
                <w:rFonts w:asciiTheme="majorBidi" w:hAnsiTheme="majorBidi" w:cstheme="majorBidi"/>
              </w:rPr>
              <w:t>LEVG</w:t>
            </w:r>
          </w:p>
        </w:tc>
        <w:tc>
          <w:tcPr>
            <w:tcW w:w="2292" w:type="dxa"/>
            <w:tcBorders>
              <w:top w:val="nil"/>
              <w:left w:val="nil"/>
              <w:bottom w:val="nil"/>
              <w:right w:val="nil"/>
            </w:tcBorders>
            <w:shd w:val="clear" w:color="auto" w:fill="auto"/>
            <w:vAlign w:val="bottom"/>
          </w:tcPr>
          <w:p w14:paraId="320A2B47" w14:textId="77777777" w:rsidR="003D4365" w:rsidRPr="00391BF1" w:rsidRDefault="003D4365" w:rsidP="003B097D">
            <w:pPr>
              <w:tabs>
                <w:tab w:val="left" w:pos="426"/>
              </w:tabs>
              <w:jc w:val="center"/>
              <w:rPr>
                <w:rFonts w:asciiTheme="majorBidi" w:hAnsiTheme="majorBidi" w:cstheme="majorBidi"/>
              </w:rPr>
            </w:pPr>
            <w:r>
              <w:rPr>
                <w:rFonts w:asciiTheme="majorBidi" w:hAnsiTheme="majorBidi" w:cstheme="majorBidi"/>
              </w:rPr>
              <w:t>0.8</w:t>
            </w:r>
            <w:r w:rsidRPr="00080FF6">
              <w:rPr>
                <w:rFonts w:asciiTheme="majorBidi" w:hAnsiTheme="majorBidi" w:cstheme="majorBidi"/>
              </w:rPr>
              <w:t>173</w:t>
            </w:r>
            <w:r w:rsidRPr="00080FF6">
              <w:rPr>
                <w:rFonts w:asciiTheme="majorBidi" w:hAnsiTheme="majorBidi" w:cstheme="majorBidi"/>
              </w:rPr>
              <w:br/>
              <w:t>(0.54</w:t>
            </w:r>
            <w:r>
              <w:rPr>
                <w:rFonts w:asciiTheme="majorBidi" w:hAnsiTheme="majorBidi" w:cstheme="majorBidi"/>
              </w:rPr>
              <w:t>0</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4B2B216D" w14:textId="77777777" w:rsidR="003D4365" w:rsidRPr="00FB7BB4" w:rsidRDefault="003D4365" w:rsidP="003B097D">
            <w:pPr>
              <w:tabs>
                <w:tab w:val="left" w:pos="426"/>
              </w:tabs>
              <w:jc w:val="center"/>
              <w:rPr>
                <w:rFonts w:asciiTheme="majorBidi" w:hAnsiTheme="majorBidi" w:cstheme="majorBidi"/>
              </w:rPr>
            </w:pPr>
            <w:r w:rsidRPr="00080FF6">
              <w:rPr>
                <w:rFonts w:asciiTheme="majorBidi" w:hAnsiTheme="majorBidi" w:cstheme="majorBidi"/>
              </w:rPr>
              <w:t>0.003**</w:t>
            </w:r>
            <w:r w:rsidRPr="00080FF6">
              <w:rPr>
                <w:rFonts w:asciiTheme="majorBidi" w:hAnsiTheme="majorBidi" w:cstheme="majorBidi"/>
              </w:rPr>
              <w:br/>
              <w:t>(2.52</w:t>
            </w:r>
            <w:r>
              <w:rPr>
                <w:rFonts w:asciiTheme="majorBidi" w:hAnsiTheme="majorBidi" w:cstheme="majorBidi"/>
              </w:rPr>
              <w:t>0</w:t>
            </w:r>
            <w:r w:rsidRPr="00080FF6">
              <w:rPr>
                <w:rFonts w:asciiTheme="majorBidi" w:hAnsiTheme="majorBidi" w:cstheme="majorBidi"/>
              </w:rPr>
              <w:t>)</w:t>
            </w:r>
          </w:p>
        </w:tc>
      </w:tr>
      <w:tr w:rsidR="003D4365" w14:paraId="4EF928FE" w14:textId="77777777" w:rsidTr="008A71E8">
        <w:trPr>
          <w:gridAfter w:val="1"/>
          <w:wAfter w:w="6" w:type="dxa"/>
          <w:trHeight w:val="432"/>
          <w:jc w:val="center"/>
        </w:trPr>
        <w:tc>
          <w:tcPr>
            <w:tcW w:w="6390" w:type="dxa"/>
            <w:tcBorders>
              <w:top w:val="nil"/>
              <w:left w:val="nil"/>
              <w:bottom w:val="nil"/>
              <w:right w:val="nil"/>
            </w:tcBorders>
            <w:vAlign w:val="center"/>
          </w:tcPr>
          <w:p w14:paraId="474A1B12" w14:textId="77777777" w:rsidR="003D4365" w:rsidRPr="002E1EC0" w:rsidRDefault="003D4365" w:rsidP="003B097D">
            <w:pPr>
              <w:tabs>
                <w:tab w:val="left" w:pos="426"/>
              </w:tabs>
              <w:rPr>
                <w:rFonts w:asciiTheme="majorBidi" w:hAnsiTheme="majorBidi" w:cstheme="majorBidi"/>
              </w:rPr>
            </w:pPr>
            <w:r>
              <w:rPr>
                <w:rFonts w:asciiTheme="majorBidi" w:hAnsiTheme="majorBidi" w:cstheme="majorBidi"/>
              </w:rPr>
              <w:t>GROW</w:t>
            </w:r>
          </w:p>
        </w:tc>
        <w:tc>
          <w:tcPr>
            <w:tcW w:w="2292" w:type="dxa"/>
            <w:tcBorders>
              <w:top w:val="nil"/>
              <w:left w:val="nil"/>
              <w:bottom w:val="nil"/>
              <w:right w:val="nil"/>
            </w:tcBorders>
            <w:shd w:val="clear" w:color="auto" w:fill="auto"/>
            <w:vAlign w:val="bottom"/>
          </w:tcPr>
          <w:p w14:paraId="00FD67BF" w14:textId="77777777" w:rsidR="003D4365" w:rsidRPr="00391BF1" w:rsidRDefault="003D4365" w:rsidP="003B097D">
            <w:pPr>
              <w:tabs>
                <w:tab w:val="left" w:pos="426"/>
              </w:tabs>
              <w:jc w:val="center"/>
              <w:rPr>
                <w:rFonts w:asciiTheme="majorBidi" w:hAnsiTheme="majorBidi" w:cstheme="majorBidi"/>
              </w:rPr>
            </w:pPr>
            <w:r w:rsidRPr="00080FF6">
              <w:rPr>
                <w:rFonts w:asciiTheme="majorBidi" w:hAnsiTheme="majorBidi" w:cstheme="majorBidi"/>
              </w:rPr>
              <w:t>0.274</w:t>
            </w:r>
            <w:r w:rsidRPr="00080FF6">
              <w:rPr>
                <w:rFonts w:asciiTheme="majorBidi" w:hAnsiTheme="majorBidi" w:cstheme="majorBidi"/>
              </w:rPr>
              <w:br/>
              <w:t>(0.54</w:t>
            </w:r>
            <w:r>
              <w:rPr>
                <w:rFonts w:asciiTheme="majorBidi" w:hAnsiTheme="majorBidi" w:cstheme="majorBidi"/>
              </w:rPr>
              <w:t>0</w:t>
            </w:r>
            <w:r w:rsidRPr="00080FF6">
              <w:rPr>
                <w:rFonts w:asciiTheme="majorBidi" w:hAnsiTheme="majorBidi" w:cstheme="majorBidi"/>
              </w:rPr>
              <w:t>)</w:t>
            </w:r>
          </w:p>
        </w:tc>
        <w:tc>
          <w:tcPr>
            <w:tcW w:w="2292" w:type="dxa"/>
            <w:tcBorders>
              <w:top w:val="nil"/>
              <w:left w:val="nil"/>
              <w:bottom w:val="nil"/>
              <w:right w:val="nil"/>
            </w:tcBorders>
            <w:shd w:val="clear" w:color="auto" w:fill="auto"/>
            <w:vAlign w:val="bottom"/>
          </w:tcPr>
          <w:p w14:paraId="1481B493" w14:textId="77777777" w:rsidR="003D4365" w:rsidRPr="00FB7BB4" w:rsidRDefault="003D4365" w:rsidP="003B097D">
            <w:pPr>
              <w:tabs>
                <w:tab w:val="left" w:pos="426"/>
              </w:tabs>
              <w:jc w:val="center"/>
              <w:rPr>
                <w:rFonts w:asciiTheme="majorBidi" w:hAnsiTheme="majorBidi" w:cstheme="majorBidi"/>
              </w:rPr>
            </w:pPr>
            <w:r>
              <w:rPr>
                <w:rFonts w:asciiTheme="majorBidi" w:hAnsiTheme="majorBidi" w:cstheme="majorBidi"/>
              </w:rPr>
              <w:t>0.000***</w:t>
            </w:r>
            <w:r>
              <w:rPr>
                <w:rFonts w:asciiTheme="majorBidi" w:hAnsiTheme="majorBidi" w:cstheme="majorBidi"/>
              </w:rPr>
              <w:br/>
              <w:t>(</w:t>
            </w:r>
            <w:r w:rsidRPr="00080FF6">
              <w:rPr>
                <w:rFonts w:asciiTheme="majorBidi" w:hAnsiTheme="majorBidi" w:cstheme="majorBidi"/>
              </w:rPr>
              <w:t>2.61</w:t>
            </w:r>
            <w:r>
              <w:rPr>
                <w:rFonts w:asciiTheme="majorBidi" w:hAnsiTheme="majorBidi" w:cstheme="majorBidi"/>
              </w:rPr>
              <w:t>0</w:t>
            </w:r>
            <w:r w:rsidRPr="00080FF6">
              <w:rPr>
                <w:rFonts w:asciiTheme="majorBidi" w:hAnsiTheme="majorBidi" w:cstheme="majorBidi"/>
              </w:rPr>
              <w:t>)</w:t>
            </w:r>
          </w:p>
        </w:tc>
      </w:tr>
      <w:tr w:rsidR="003D4365" w14:paraId="76B5BAE4" w14:textId="77777777" w:rsidTr="008A71E8">
        <w:trPr>
          <w:gridAfter w:val="1"/>
          <w:wAfter w:w="6" w:type="dxa"/>
          <w:trHeight w:val="432"/>
          <w:jc w:val="center"/>
        </w:trPr>
        <w:tc>
          <w:tcPr>
            <w:tcW w:w="6390" w:type="dxa"/>
            <w:tcBorders>
              <w:top w:val="nil"/>
              <w:left w:val="nil"/>
              <w:bottom w:val="nil"/>
              <w:right w:val="nil"/>
            </w:tcBorders>
            <w:vAlign w:val="center"/>
          </w:tcPr>
          <w:p w14:paraId="47A68974" w14:textId="77777777" w:rsidR="003D4365" w:rsidRPr="002E1EC0" w:rsidRDefault="003D4365" w:rsidP="003B097D">
            <w:pPr>
              <w:tabs>
                <w:tab w:val="left" w:pos="426"/>
              </w:tabs>
              <w:rPr>
                <w:rFonts w:asciiTheme="majorBidi" w:hAnsiTheme="majorBidi" w:cstheme="majorBidi"/>
              </w:rPr>
            </w:pPr>
            <w:r>
              <w:rPr>
                <w:rFonts w:asciiTheme="majorBidi" w:hAnsiTheme="majorBidi" w:cstheme="majorBidi"/>
              </w:rPr>
              <w:t>LGPC</w:t>
            </w:r>
          </w:p>
        </w:tc>
        <w:tc>
          <w:tcPr>
            <w:tcW w:w="2292" w:type="dxa"/>
            <w:tcBorders>
              <w:top w:val="nil"/>
              <w:left w:val="nil"/>
              <w:bottom w:val="nil"/>
              <w:right w:val="nil"/>
            </w:tcBorders>
            <w:shd w:val="clear" w:color="auto" w:fill="auto"/>
            <w:vAlign w:val="bottom"/>
          </w:tcPr>
          <w:p w14:paraId="5AF3FBF5" w14:textId="77777777" w:rsidR="003D4365" w:rsidRDefault="003D4365" w:rsidP="003B097D">
            <w:pPr>
              <w:tabs>
                <w:tab w:val="left" w:pos="426"/>
              </w:tabs>
              <w:jc w:val="center"/>
              <w:rPr>
                <w:rFonts w:asciiTheme="majorBidi" w:hAnsiTheme="majorBidi" w:cstheme="majorBidi"/>
              </w:rPr>
            </w:pPr>
            <w:r>
              <w:rPr>
                <w:rFonts w:asciiTheme="majorBidi" w:hAnsiTheme="majorBidi" w:cstheme="majorBidi"/>
              </w:rPr>
              <w:t>-0.259</w:t>
            </w:r>
          </w:p>
          <w:p w14:paraId="5D15D785" w14:textId="77777777" w:rsidR="003D4365" w:rsidRPr="00391BF1" w:rsidRDefault="003D4365" w:rsidP="003B097D">
            <w:pPr>
              <w:tabs>
                <w:tab w:val="left" w:pos="426"/>
              </w:tabs>
              <w:jc w:val="center"/>
              <w:rPr>
                <w:rFonts w:asciiTheme="majorBidi" w:hAnsiTheme="majorBidi" w:cstheme="majorBidi"/>
              </w:rPr>
            </w:pPr>
            <w:r>
              <w:rPr>
                <w:rFonts w:asciiTheme="majorBidi" w:hAnsiTheme="majorBidi" w:cstheme="majorBidi"/>
              </w:rPr>
              <w:t>(-0.550)</w:t>
            </w:r>
          </w:p>
        </w:tc>
        <w:tc>
          <w:tcPr>
            <w:tcW w:w="2292" w:type="dxa"/>
            <w:tcBorders>
              <w:top w:val="nil"/>
              <w:left w:val="nil"/>
              <w:bottom w:val="nil"/>
              <w:right w:val="nil"/>
            </w:tcBorders>
            <w:shd w:val="clear" w:color="auto" w:fill="auto"/>
            <w:vAlign w:val="bottom"/>
          </w:tcPr>
          <w:p w14:paraId="29F9EA46" w14:textId="77777777" w:rsidR="003D4365" w:rsidRDefault="003D4365" w:rsidP="003B097D">
            <w:pPr>
              <w:tabs>
                <w:tab w:val="left" w:pos="426"/>
              </w:tabs>
              <w:jc w:val="center"/>
              <w:rPr>
                <w:rFonts w:asciiTheme="majorBidi" w:hAnsiTheme="majorBidi" w:cstheme="majorBidi"/>
              </w:rPr>
            </w:pPr>
            <w:r>
              <w:rPr>
                <w:rFonts w:asciiTheme="majorBidi" w:hAnsiTheme="majorBidi" w:cstheme="majorBidi"/>
              </w:rPr>
              <w:t>-0.002</w:t>
            </w:r>
          </w:p>
          <w:p w14:paraId="739D5AEA" w14:textId="77777777" w:rsidR="003D4365" w:rsidRPr="00FB7BB4" w:rsidRDefault="003D4365" w:rsidP="003B097D">
            <w:pPr>
              <w:tabs>
                <w:tab w:val="left" w:pos="426"/>
              </w:tabs>
              <w:jc w:val="center"/>
              <w:rPr>
                <w:rFonts w:asciiTheme="majorBidi" w:hAnsiTheme="majorBidi" w:cstheme="majorBidi"/>
              </w:rPr>
            </w:pPr>
            <w:r>
              <w:rPr>
                <w:rFonts w:asciiTheme="majorBidi" w:hAnsiTheme="majorBidi" w:cstheme="majorBidi"/>
              </w:rPr>
              <w:t>(-0.371)</w:t>
            </w:r>
          </w:p>
        </w:tc>
      </w:tr>
      <w:tr w:rsidR="003D4365" w:rsidRPr="008A23A5" w14:paraId="4C8C6FB7" w14:textId="77777777" w:rsidTr="008A71E8">
        <w:trPr>
          <w:gridAfter w:val="1"/>
          <w:wAfter w:w="6" w:type="dxa"/>
          <w:trHeight w:val="20"/>
          <w:jc w:val="center"/>
        </w:trPr>
        <w:tc>
          <w:tcPr>
            <w:tcW w:w="6390" w:type="dxa"/>
            <w:tcBorders>
              <w:top w:val="nil"/>
              <w:left w:val="nil"/>
              <w:bottom w:val="nil"/>
              <w:right w:val="nil"/>
            </w:tcBorders>
            <w:vAlign w:val="center"/>
          </w:tcPr>
          <w:p w14:paraId="34CFAEA5" w14:textId="77777777" w:rsidR="003D4365" w:rsidRPr="008A23A5" w:rsidRDefault="003D4365" w:rsidP="003B097D">
            <w:pPr>
              <w:tabs>
                <w:tab w:val="left" w:pos="426"/>
              </w:tabs>
              <w:rPr>
                <w:rFonts w:asciiTheme="majorBidi" w:hAnsiTheme="majorBidi" w:cstheme="majorBidi"/>
                <w:sz w:val="10"/>
                <w:szCs w:val="10"/>
              </w:rPr>
            </w:pPr>
          </w:p>
        </w:tc>
        <w:tc>
          <w:tcPr>
            <w:tcW w:w="2292" w:type="dxa"/>
            <w:tcBorders>
              <w:top w:val="nil"/>
              <w:left w:val="nil"/>
              <w:bottom w:val="nil"/>
              <w:right w:val="nil"/>
            </w:tcBorders>
            <w:shd w:val="clear" w:color="auto" w:fill="auto"/>
            <w:vAlign w:val="bottom"/>
          </w:tcPr>
          <w:p w14:paraId="1E6BC67C" w14:textId="77777777" w:rsidR="003D4365" w:rsidRPr="008A23A5" w:rsidRDefault="003D4365" w:rsidP="003B097D">
            <w:pPr>
              <w:tabs>
                <w:tab w:val="left" w:pos="426"/>
              </w:tabs>
              <w:jc w:val="center"/>
              <w:rPr>
                <w:rFonts w:asciiTheme="majorBidi" w:hAnsiTheme="majorBidi" w:cstheme="majorBidi"/>
                <w:sz w:val="10"/>
                <w:szCs w:val="10"/>
              </w:rPr>
            </w:pPr>
          </w:p>
        </w:tc>
        <w:tc>
          <w:tcPr>
            <w:tcW w:w="2292" w:type="dxa"/>
            <w:tcBorders>
              <w:top w:val="nil"/>
              <w:left w:val="nil"/>
              <w:bottom w:val="nil"/>
              <w:right w:val="nil"/>
            </w:tcBorders>
            <w:shd w:val="clear" w:color="auto" w:fill="auto"/>
            <w:vAlign w:val="bottom"/>
          </w:tcPr>
          <w:p w14:paraId="27AA5505" w14:textId="77777777" w:rsidR="003D4365" w:rsidRPr="008A23A5" w:rsidRDefault="003D4365" w:rsidP="003B097D">
            <w:pPr>
              <w:tabs>
                <w:tab w:val="left" w:pos="426"/>
              </w:tabs>
              <w:jc w:val="center"/>
              <w:rPr>
                <w:rFonts w:asciiTheme="majorBidi" w:hAnsiTheme="majorBidi" w:cstheme="majorBidi"/>
                <w:sz w:val="10"/>
                <w:szCs w:val="10"/>
              </w:rPr>
            </w:pPr>
          </w:p>
        </w:tc>
      </w:tr>
      <w:tr w:rsidR="003D4365" w:rsidRPr="00683D28" w14:paraId="45A335FB" w14:textId="77777777" w:rsidTr="008A71E8">
        <w:trPr>
          <w:gridAfter w:val="1"/>
          <w:wAfter w:w="6" w:type="dxa"/>
          <w:trHeight w:val="288"/>
          <w:jc w:val="center"/>
        </w:trPr>
        <w:tc>
          <w:tcPr>
            <w:tcW w:w="6390" w:type="dxa"/>
            <w:tcBorders>
              <w:top w:val="nil"/>
              <w:left w:val="nil"/>
              <w:bottom w:val="nil"/>
              <w:right w:val="nil"/>
            </w:tcBorders>
            <w:vAlign w:val="center"/>
          </w:tcPr>
          <w:p w14:paraId="42A6A396" w14:textId="77777777" w:rsidR="003D4365" w:rsidRPr="002E1EC0" w:rsidRDefault="003D4365" w:rsidP="003B097D">
            <w:pPr>
              <w:tabs>
                <w:tab w:val="left" w:pos="426"/>
              </w:tabs>
              <w:rPr>
                <w:rFonts w:asciiTheme="majorBidi" w:hAnsiTheme="majorBidi" w:cstheme="majorBidi"/>
              </w:rPr>
            </w:pPr>
            <w:r>
              <w:rPr>
                <w:rFonts w:asciiTheme="majorBidi" w:hAnsiTheme="majorBidi" w:cstheme="majorBidi"/>
              </w:rPr>
              <w:t>Arellano-Bond first order test</w:t>
            </w:r>
          </w:p>
        </w:tc>
        <w:tc>
          <w:tcPr>
            <w:tcW w:w="2292" w:type="dxa"/>
            <w:tcBorders>
              <w:top w:val="nil"/>
              <w:left w:val="nil"/>
              <w:bottom w:val="nil"/>
              <w:right w:val="nil"/>
            </w:tcBorders>
            <w:shd w:val="clear" w:color="auto" w:fill="auto"/>
            <w:vAlign w:val="center"/>
          </w:tcPr>
          <w:p w14:paraId="0DDE7EBF" w14:textId="77777777" w:rsidR="003D4365" w:rsidRDefault="003D4365" w:rsidP="003B097D">
            <w:pPr>
              <w:tabs>
                <w:tab w:val="left" w:pos="426"/>
              </w:tabs>
              <w:jc w:val="center"/>
              <w:rPr>
                <w:rFonts w:asciiTheme="majorBidi" w:hAnsiTheme="majorBidi" w:cstheme="majorBidi"/>
              </w:rPr>
            </w:pPr>
            <w:r>
              <w:rPr>
                <w:rFonts w:asciiTheme="majorBidi" w:hAnsiTheme="majorBidi" w:cstheme="majorBidi"/>
              </w:rPr>
              <w:t>0.229</w:t>
            </w:r>
          </w:p>
        </w:tc>
        <w:tc>
          <w:tcPr>
            <w:tcW w:w="2292" w:type="dxa"/>
            <w:tcBorders>
              <w:top w:val="nil"/>
              <w:left w:val="nil"/>
              <w:bottom w:val="nil"/>
              <w:right w:val="nil"/>
            </w:tcBorders>
            <w:shd w:val="clear" w:color="auto" w:fill="auto"/>
            <w:vAlign w:val="center"/>
          </w:tcPr>
          <w:p w14:paraId="2BB12347" w14:textId="77777777" w:rsidR="003D4365" w:rsidRPr="00683D28" w:rsidRDefault="003D4365" w:rsidP="003B097D">
            <w:pPr>
              <w:tabs>
                <w:tab w:val="left" w:pos="426"/>
              </w:tabs>
              <w:jc w:val="center"/>
              <w:rPr>
                <w:rFonts w:asciiTheme="majorBidi" w:hAnsiTheme="majorBidi" w:cstheme="majorBidi"/>
              </w:rPr>
            </w:pPr>
            <w:r>
              <w:rPr>
                <w:rFonts w:asciiTheme="majorBidi" w:hAnsiTheme="majorBidi" w:cstheme="majorBidi"/>
              </w:rPr>
              <w:t>0.396</w:t>
            </w:r>
          </w:p>
        </w:tc>
      </w:tr>
      <w:tr w:rsidR="003D4365" w:rsidRPr="00683D28" w14:paraId="314E9999" w14:textId="77777777" w:rsidTr="008A71E8">
        <w:trPr>
          <w:gridAfter w:val="1"/>
          <w:wAfter w:w="6" w:type="dxa"/>
          <w:trHeight w:val="288"/>
          <w:jc w:val="center"/>
        </w:trPr>
        <w:tc>
          <w:tcPr>
            <w:tcW w:w="6390" w:type="dxa"/>
            <w:tcBorders>
              <w:top w:val="nil"/>
              <w:left w:val="nil"/>
              <w:bottom w:val="nil"/>
              <w:right w:val="nil"/>
            </w:tcBorders>
            <w:vAlign w:val="center"/>
          </w:tcPr>
          <w:p w14:paraId="215ABA33" w14:textId="77777777" w:rsidR="003D4365" w:rsidRDefault="003D4365" w:rsidP="003B097D">
            <w:pPr>
              <w:tabs>
                <w:tab w:val="left" w:pos="426"/>
              </w:tabs>
              <w:rPr>
                <w:rFonts w:asciiTheme="majorBidi" w:hAnsiTheme="majorBidi" w:cstheme="majorBidi"/>
              </w:rPr>
            </w:pPr>
            <w:r>
              <w:rPr>
                <w:rFonts w:asciiTheme="majorBidi" w:hAnsiTheme="majorBidi" w:cstheme="majorBidi"/>
              </w:rPr>
              <w:t>Hansen Test</w:t>
            </w:r>
          </w:p>
        </w:tc>
        <w:tc>
          <w:tcPr>
            <w:tcW w:w="2292" w:type="dxa"/>
            <w:tcBorders>
              <w:top w:val="nil"/>
              <w:left w:val="nil"/>
              <w:bottom w:val="nil"/>
              <w:right w:val="nil"/>
            </w:tcBorders>
            <w:shd w:val="clear" w:color="auto" w:fill="auto"/>
            <w:vAlign w:val="center"/>
          </w:tcPr>
          <w:p w14:paraId="30A5EC1A" w14:textId="77777777" w:rsidR="003D4365" w:rsidRDefault="003D4365" w:rsidP="003B097D">
            <w:pPr>
              <w:tabs>
                <w:tab w:val="left" w:pos="426"/>
              </w:tabs>
              <w:jc w:val="center"/>
              <w:rPr>
                <w:rFonts w:asciiTheme="majorBidi" w:hAnsiTheme="majorBidi" w:cstheme="majorBidi"/>
              </w:rPr>
            </w:pPr>
            <w:r>
              <w:rPr>
                <w:rFonts w:asciiTheme="majorBidi" w:hAnsiTheme="majorBidi" w:cstheme="majorBidi"/>
              </w:rPr>
              <w:t>0.593</w:t>
            </w:r>
          </w:p>
        </w:tc>
        <w:tc>
          <w:tcPr>
            <w:tcW w:w="2292" w:type="dxa"/>
            <w:tcBorders>
              <w:top w:val="nil"/>
              <w:left w:val="nil"/>
              <w:bottom w:val="nil"/>
              <w:right w:val="nil"/>
            </w:tcBorders>
            <w:shd w:val="clear" w:color="auto" w:fill="auto"/>
            <w:vAlign w:val="center"/>
          </w:tcPr>
          <w:p w14:paraId="685F7669" w14:textId="77777777" w:rsidR="003D4365" w:rsidRPr="00683D28" w:rsidRDefault="003D4365" w:rsidP="003B097D">
            <w:pPr>
              <w:tabs>
                <w:tab w:val="left" w:pos="426"/>
              </w:tabs>
              <w:jc w:val="center"/>
              <w:rPr>
                <w:rFonts w:asciiTheme="majorBidi" w:hAnsiTheme="majorBidi" w:cstheme="majorBidi"/>
              </w:rPr>
            </w:pPr>
            <w:r>
              <w:rPr>
                <w:rFonts w:asciiTheme="majorBidi" w:hAnsiTheme="majorBidi" w:cstheme="majorBidi"/>
              </w:rPr>
              <w:t>0.330</w:t>
            </w:r>
          </w:p>
        </w:tc>
      </w:tr>
      <w:tr w:rsidR="003D4365" w:rsidRPr="002E1EC0" w14:paraId="0EF1B6AC" w14:textId="77777777" w:rsidTr="008A71E8">
        <w:trPr>
          <w:gridAfter w:val="1"/>
          <w:wAfter w:w="6" w:type="dxa"/>
          <w:trHeight w:val="288"/>
          <w:jc w:val="center"/>
        </w:trPr>
        <w:tc>
          <w:tcPr>
            <w:tcW w:w="6390" w:type="dxa"/>
            <w:tcBorders>
              <w:top w:val="nil"/>
              <w:left w:val="nil"/>
              <w:bottom w:val="nil"/>
              <w:right w:val="nil"/>
            </w:tcBorders>
            <w:vAlign w:val="center"/>
          </w:tcPr>
          <w:p w14:paraId="2F675B4C" w14:textId="77777777" w:rsidR="003D4365" w:rsidRDefault="003D4365" w:rsidP="003B097D">
            <w:pPr>
              <w:tabs>
                <w:tab w:val="left" w:pos="426"/>
              </w:tabs>
              <w:rPr>
                <w:rFonts w:asciiTheme="majorBidi" w:hAnsiTheme="majorBidi" w:cstheme="majorBidi"/>
              </w:rPr>
            </w:pPr>
            <w:r>
              <w:rPr>
                <w:rFonts w:asciiTheme="majorBidi" w:hAnsiTheme="majorBidi" w:cstheme="majorBidi"/>
              </w:rPr>
              <w:t>No. of Firms</w:t>
            </w:r>
          </w:p>
        </w:tc>
        <w:tc>
          <w:tcPr>
            <w:tcW w:w="2292" w:type="dxa"/>
            <w:tcBorders>
              <w:top w:val="nil"/>
              <w:left w:val="nil"/>
              <w:bottom w:val="nil"/>
              <w:right w:val="nil"/>
            </w:tcBorders>
            <w:vAlign w:val="center"/>
          </w:tcPr>
          <w:p w14:paraId="2B264ED9" w14:textId="77777777" w:rsidR="003D4365" w:rsidRPr="002E1EC0" w:rsidRDefault="003D4365" w:rsidP="003B097D">
            <w:pPr>
              <w:tabs>
                <w:tab w:val="left" w:pos="426"/>
              </w:tabs>
              <w:jc w:val="center"/>
              <w:rPr>
                <w:rFonts w:asciiTheme="majorBidi" w:hAnsiTheme="majorBidi" w:cstheme="majorBidi"/>
              </w:rPr>
            </w:pPr>
            <w:r>
              <w:rPr>
                <w:rFonts w:asciiTheme="majorBidi" w:hAnsiTheme="majorBidi" w:cstheme="majorBidi"/>
              </w:rPr>
              <w:t>3301</w:t>
            </w:r>
          </w:p>
        </w:tc>
        <w:tc>
          <w:tcPr>
            <w:tcW w:w="2292" w:type="dxa"/>
            <w:tcBorders>
              <w:top w:val="nil"/>
              <w:left w:val="nil"/>
              <w:bottom w:val="nil"/>
              <w:right w:val="nil"/>
            </w:tcBorders>
            <w:vAlign w:val="center"/>
          </w:tcPr>
          <w:p w14:paraId="77ABA54F" w14:textId="77777777" w:rsidR="003D4365" w:rsidRPr="002E1EC0" w:rsidRDefault="003D4365" w:rsidP="003B097D">
            <w:pPr>
              <w:tabs>
                <w:tab w:val="left" w:pos="426"/>
              </w:tabs>
              <w:jc w:val="center"/>
              <w:rPr>
                <w:rFonts w:asciiTheme="majorBidi" w:hAnsiTheme="majorBidi" w:cstheme="majorBidi"/>
              </w:rPr>
            </w:pPr>
            <w:r>
              <w:rPr>
                <w:rFonts w:asciiTheme="majorBidi" w:hAnsiTheme="majorBidi" w:cstheme="majorBidi"/>
              </w:rPr>
              <w:t>3301</w:t>
            </w:r>
          </w:p>
        </w:tc>
      </w:tr>
      <w:tr w:rsidR="003D4365" w:rsidRPr="002E1EC0" w14:paraId="4251449F" w14:textId="77777777" w:rsidTr="008A71E8">
        <w:trPr>
          <w:gridAfter w:val="1"/>
          <w:wAfter w:w="6" w:type="dxa"/>
          <w:trHeight w:val="288"/>
          <w:jc w:val="center"/>
        </w:trPr>
        <w:tc>
          <w:tcPr>
            <w:tcW w:w="6390" w:type="dxa"/>
            <w:tcBorders>
              <w:top w:val="nil"/>
              <w:left w:val="nil"/>
              <w:bottom w:val="nil"/>
              <w:right w:val="nil"/>
            </w:tcBorders>
            <w:vAlign w:val="center"/>
          </w:tcPr>
          <w:p w14:paraId="69F99868" w14:textId="77777777" w:rsidR="003D4365" w:rsidRDefault="003D4365" w:rsidP="003B097D">
            <w:pPr>
              <w:tabs>
                <w:tab w:val="left" w:pos="426"/>
              </w:tabs>
              <w:rPr>
                <w:rFonts w:asciiTheme="majorBidi" w:hAnsiTheme="majorBidi" w:cstheme="majorBidi"/>
              </w:rPr>
            </w:pPr>
            <w:r>
              <w:rPr>
                <w:rFonts w:asciiTheme="majorBidi" w:hAnsiTheme="majorBidi" w:cstheme="majorBidi"/>
              </w:rPr>
              <w:t>No. of Countries</w:t>
            </w:r>
          </w:p>
        </w:tc>
        <w:tc>
          <w:tcPr>
            <w:tcW w:w="2292" w:type="dxa"/>
            <w:tcBorders>
              <w:top w:val="nil"/>
              <w:left w:val="nil"/>
              <w:bottom w:val="nil"/>
              <w:right w:val="nil"/>
            </w:tcBorders>
            <w:vAlign w:val="center"/>
          </w:tcPr>
          <w:p w14:paraId="2758C944" w14:textId="77777777" w:rsidR="003D4365" w:rsidRPr="002E1EC0" w:rsidRDefault="003D4365" w:rsidP="003B097D">
            <w:pPr>
              <w:tabs>
                <w:tab w:val="left" w:pos="426"/>
              </w:tabs>
              <w:jc w:val="center"/>
              <w:rPr>
                <w:rFonts w:asciiTheme="majorBidi" w:hAnsiTheme="majorBidi" w:cstheme="majorBidi"/>
              </w:rPr>
            </w:pPr>
            <w:r>
              <w:rPr>
                <w:rFonts w:asciiTheme="majorBidi" w:hAnsiTheme="majorBidi" w:cstheme="majorBidi"/>
              </w:rPr>
              <w:t>43</w:t>
            </w:r>
          </w:p>
        </w:tc>
        <w:tc>
          <w:tcPr>
            <w:tcW w:w="2292" w:type="dxa"/>
            <w:tcBorders>
              <w:top w:val="nil"/>
              <w:left w:val="nil"/>
              <w:bottom w:val="nil"/>
              <w:right w:val="nil"/>
            </w:tcBorders>
            <w:vAlign w:val="center"/>
          </w:tcPr>
          <w:p w14:paraId="142DF65F" w14:textId="77777777" w:rsidR="003D4365" w:rsidRPr="002E1EC0" w:rsidRDefault="003D4365" w:rsidP="003B097D">
            <w:pPr>
              <w:tabs>
                <w:tab w:val="left" w:pos="426"/>
              </w:tabs>
              <w:jc w:val="center"/>
              <w:rPr>
                <w:rFonts w:asciiTheme="majorBidi" w:hAnsiTheme="majorBidi" w:cstheme="majorBidi"/>
              </w:rPr>
            </w:pPr>
            <w:r>
              <w:rPr>
                <w:rFonts w:asciiTheme="majorBidi" w:hAnsiTheme="majorBidi" w:cstheme="majorBidi"/>
              </w:rPr>
              <w:t>43</w:t>
            </w:r>
          </w:p>
        </w:tc>
      </w:tr>
      <w:tr w:rsidR="003D4365" w:rsidRPr="00486141" w14:paraId="34AC9C20" w14:textId="77777777" w:rsidTr="008A71E8">
        <w:trPr>
          <w:gridAfter w:val="1"/>
          <w:wAfter w:w="6" w:type="dxa"/>
          <w:trHeight w:val="80"/>
          <w:jc w:val="center"/>
        </w:trPr>
        <w:tc>
          <w:tcPr>
            <w:tcW w:w="6390" w:type="dxa"/>
            <w:tcBorders>
              <w:top w:val="nil"/>
              <w:left w:val="nil"/>
              <w:bottom w:val="single" w:sz="12" w:space="0" w:color="auto"/>
              <w:right w:val="nil"/>
            </w:tcBorders>
          </w:tcPr>
          <w:p w14:paraId="42C264BF" w14:textId="77777777" w:rsidR="003D4365" w:rsidRPr="00486141" w:rsidRDefault="003D4365" w:rsidP="003B097D">
            <w:pPr>
              <w:tabs>
                <w:tab w:val="left" w:pos="426"/>
              </w:tabs>
              <w:rPr>
                <w:rFonts w:asciiTheme="majorBidi" w:hAnsiTheme="majorBidi" w:cstheme="majorBidi"/>
                <w:sz w:val="8"/>
                <w:szCs w:val="8"/>
              </w:rPr>
            </w:pPr>
          </w:p>
        </w:tc>
        <w:tc>
          <w:tcPr>
            <w:tcW w:w="2292" w:type="dxa"/>
            <w:tcBorders>
              <w:top w:val="nil"/>
              <w:left w:val="nil"/>
              <w:bottom w:val="single" w:sz="12" w:space="0" w:color="auto"/>
              <w:right w:val="nil"/>
            </w:tcBorders>
            <w:vAlign w:val="center"/>
          </w:tcPr>
          <w:p w14:paraId="369FDD30" w14:textId="77777777" w:rsidR="003D4365" w:rsidRPr="00486141" w:rsidRDefault="003D4365" w:rsidP="003B097D">
            <w:pPr>
              <w:tabs>
                <w:tab w:val="left" w:pos="426"/>
              </w:tabs>
              <w:jc w:val="center"/>
              <w:rPr>
                <w:rFonts w:asciiTheme="majorBidi" w:hAnsiTheme="majorBidi" w:cstheme="majorBidi"/>
                <w:sz w:val="8"/>
                <w:szCs w:val="8"/>
              </w:rPr>
            </w:pPr>
          </w:p>
        </w:tc>
        <w:tc>
          <w:tcPr>
            <w:tcW w:w="2292" w:type="dxa"/>
            <w:tcBorders>
              <w:top w:val="nil"/>
              <w:left w:val="nil"/>
              <w:bottom w:val="single" w:sz="12" w:space="0" w:color="auto"/>
              <w:right w:val="nil"/>
            </w:tcBorders>
            <w:vAlign w:val="center"/>
          </w:tcPr>
          <w:p w14:paraId="2DF54032" w14:textId="77777777" w:rsidR="003D4365" w:rsidRPr="00486141" w:rsidRDefault="003D4365" w:rsidP="003B097D">
            <w:pPr>
              <w:tabs>
                <w:tab w:val="left" w:pos="426"/>
              </w:tabs>
              <w:jc w:val="center"/>
              <w:rPr>
                <w:rFonts w:asciiTheme="majorBidi" w:hAnsiTheme="majorBidi" w:cstheme="majorBidi"/>
                <w:sz w:val="8"/>
                <w:szCs w:val="8"/>
              </w:rPr>
            </w:pPr>
          </w:p>
        </w:tc>
      </w:tr>
    </w:tbl>
    <w:p w14:paraId="5CEE48EC" w14:textId="77777777" w:rsidR="003D4365" w:rsidRDefault="003D4365" w:rsidP="003D4365">
      <w:pPr>
        <w:tabs>
          <w:tab w:val="left" w:pos="426"/>
        </w:tabs>
        <w:rPr>
          <w:rFonts w:asciiTheme="majorBidi" w:hAnsiTheme="majorBidi"/>
          <w:b/>
          <w:bCs/>
          <w:sz w:val="24"/>
          <w:szCs w:val="24"/>
        </w:rPr>
      </w:pPr>
    </w:p>
    <w:p w14:paraId="375A987C" w14:textId="65C60991" w:rsidR="00D95B36" w:rsidRDefault="00D95B36" w:rsidP="00D95B3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When accounting for the effect of financial development, the results suggest that the adoption of stronger firm-level governance framework is associated with higher value or return when the firm operates in a highly developed financial market. This confirms our argument that a high state of financial development will encourage firms to adopt even more stringent governance frameworks to improve their access to the domestic capital markets. We also find evidence of stronger firm-level governance in firms with high financing needs supporting the argument that a firm’s governance framework is highly dependent not only on the financial development status of the country in which it operates but also on its needs for external financing (Aggarwal </w:t>
      </w:r>
      <w:r w:rsidR="00A94F42" w:rsidRPr="00A94F42">
        <w:rPr>
          <w:rFonts w:ascii="Times New Roman" w:hAnsi="Times New Roman" w:cs="Times New Roman"/>
          <w:i/>
          <w:iCs/>
          <w:sz w:val="24"/>
          <w:szCs w:val="24"/>
        </w:rPr>
        <w:t>et al.</w:t>
      </w:r>
      <w:r>
        <w:rPr>
          <w:rFonts w:ascii="Times New Roman" w:hAnsi="Times New Roman" w:cs="Times New Roman"/>
          <w:sz w:val="24"/>
          <w:szCs w:val="24"/>
        </w:rPr>
        <w:t xml:space="preserve"> 2010</w:t>
      </w:r>
      <w:r w:rsidR="00682D1F">
        <w:rPr>
          <w:rFonts w:ascii="Times New Roman" w:hAnsi="Times New Roman" w:cs="Times New Roman"/>
          <w:sz w:val="24"/>
          <w:szCs w:val="24"/>
        </w:rPr>
        <w:t>,</w:t>
      </w:r>
      <w:r>
        <w:rPr>
          <w:rFonts w:ascii="Times New Roman" w:hAnsi="Times New Roman" w:cs="Times New Roman"/>
          <w:sz w:val="24"/>
          <w:szCs w:val="24"/>
        </w:rPr>
        <w:t xml:space="preserve"> </w:t>
      </w:r>
      <w:r w:rsidRPr="006507CC">
        <w:rPr>
          <w:rFonts w:ascii="Times New Roman" w:hAnsi="Times New Roman" w:cs="Times New Roman"/>
          <w:sz w:val="24"/>
          <w:szCs w:val="24"/>
        </w:rPr>
        <w:t xml:space="preserve">Doidge </w:t>
      </w:r>
      <w:r w:rsidR="00A94F42" w:rsidRPr="00A94F42">
        <w:rPr>
          <w:rFonts w:ascii="Times New Roman" w:hAnsi="Times New Roman" w:cs="Times New Roman"/>
          <w:i/>
          <w:iCs/>
          <w:sz w:val="24"/>
          <w:szCs w:val="24"/>
        </w:rPr>
        <w:t>et al.</w:t>
      </w:r>
      <w:r w:rsidRPr="006507CC">
        <w:rPr>
          <w:rFonts w:ascii="Times New Roman" w:hAnsi="Times New Roman" w:cs="Times New Roman"/>
          <w:sz w:val="24"/>
          <w:szCs w:val="24"/>
        </w:rPr>
        <w:t xml:space="preserve"> 2007</w:t>
      </w:r>
      <w:r>
        <w:rPr>
          <w:rFonts w:ascii="Times New Roman" w:hAnsi="Times New Roman" w:cs="Times New Roman"/>
          <w:sz w:val="24"/>
          <w:szCs w:val="24"/>
        </w:rPr>
        <w:t xml:space="preserve">). A firm that expects to be able to secure its financing needs from the capital </w:t>
      </w:r>
      <w:r>
        <w:rPr>
          <w:rFonts w:ascii="Times New Roman" w:hAnsi="Times New Roman" w:cs="Times New Roman"/>
          <w:sz w:val="24"/>
          <w:szCs w:val="24"/>
        </w:rPr>
        <w:lastRenderedPageBreak/>
        <w:t xml:space="preserve">markets is more likely to adopt a stronger firm-level governance in order to improve the terms of its financing. </w:t>
      </w:r>
    </w:p>
    <w:p w14:paraId="25141446" w14:textId="77777777" w:rsidR="00305090" w:rsidRDefault="00305090" w:rsidP="00D95B36">
      <w:pPr>
        <w:tabs>
          <w:tab w:val="left" w:pos="426"/>
        </w:tabs>
        <w:spacing w:after="0" w:line="288" w:lineRule="auto"/>
        <w:jc w:val="both"/>
        <w:rPr>
          <w:rFonts w:ascii="Times New Roman" w:hAnsi="Times New Roman" w:cs="Times New Roman"/>
          <w:sz w:val="24"/>
          <w:szCs w:val="24"/>
        </w:rPr>
      </w:pPr>
    </w:p>
    <w:p w14:paraId="1E308503" w14:textId="0E5A88D7" w:rsidR="00D95B36" w:rsidRDefault="00D95B36" w:rsidP="00D95B3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5D4EEC">
        <w:rPr>
          <w:rFonts w:ascii="Times New Roman" w:hAnsi="Times New Roman" w:cs="Times New Roman"/>
          <w:sz w:val="24"/>
          <w:szCs w:val="24"/>
        </w:rPr>
        <w:t>The results of this study contr</w:t>
      </w:r>
      <w:r>
        <w:rPr>
          <w:rFonts w:ascii="Times New Roman" w:hAnsi="Times New Roman" w:cs="Times New Roman"/>
          <w:sz w:val="24"/>
          <w:szCs w:val="24"/>
        </w:rPr>
        <w:t>ibute to the global debate on</w:t>
      </w:r>
      <w:r w:rsidRPr="005D4EEC">
        <w:rPr>
          <w:rFonts w:ascii="Times New Roman" w:hAnsi="Times New Roman" w:cs="Times New Roman"/>
          <w:sz w:val="24"/>
          <w:szCs w:val="24"/>
        </w:rPr>
        <w:t xml:space="preserve"> the best governance practices and the role of country characteristics in determining the optimal set of mechanisms. </w:t>
      </w:r>
      <w:r>
        <w:rPr>
          <w:rFonts w:ascii="Times New Roman" w:hAnsi="Times New Roman" w:cs="Times New Roman"/>
          <w:sz w:val="24"/>
          <w:szCs w:val="24"/>
        </w:rPr>
        <w:t xml:space="preserve">Our finding regarding the form of the relationship between the country-level factors and firm-level mechanisms constitutes an important addition to the existing debate on the nature of the relationship between these two governance groups. </w:t>
      </w:r>
      <w:r w:rsidRPr="005D4EEC">
        <w:rPr>
          <w:rFonts w:ascii="Times New Roman" w:hAnsi="Times New Roman" w:cs="Times New Roman"/>
          <w:sz w:val="24"/>
          <w:szCs w:val="24"/>
        </w:rPr>
        <w:t xml:space="preserve">The results also inform future decision-making process with regards to improving corporate governance practices and increasing investor protection. </w:t>
      </w:r>
      <w:r>
        <w:rPr>
          <w:rFonts w:ascii="Times New Roman" w:hAnsi="Times New Roman" w:cs="Times New Roman"/>
          <w:sz w:val="24"/>
          <w:szCs w:val="24"/>
        </w:rPr>
        <w:t>Future research can focus on examining the changes in the relationship between firm-level governance and country-level factors over time, which was not possible in this study due to the limited availability of historical governance data in the database used. This will also permit a closer examination of the effect that structural changes in country-level factors leave on firm-level governance.</w:t>
      </w:r>
    </w:p>
    <w:p w14:paraId="4240578D" w14:textId="77777777" w:rsidR="00305090" w:rsidRDefault="00305090" w:rsidP="00D95B36">
      <w:pPr>
        <w:tabs>
          <w:tab w:val="left" w:pos="426"/>
        </w:tabs>
        <w:spacing w:after="0" w:line="288" w:lineRule="auto"/>
        <w:jc w:val="both"/>
        <w:rPr>
          <w:rFonts w:ascii="Times New Roman" w:hAnsi="Times New Roman" w:cs="Times New Roman"/>
          <w:sz w:val="24"/>
          <w:szCs w:val="24"/>
        </w:rPr>
      </w:pPr>
    </w:p>
    <w:p w14:paraId="30A9DFB2" w14:textId="466B81FB" w:rsidR="004E3C0F" w:rsidRPr="002A1A6A" w:rsidRDefault="00D95B36" w:rsidP="00D95B36">
      <w:pPr>
        <w:tabs>
          <w:tab w:val="left" w:pos="426"/>
        </w:tabs>
        <w:spacing w:after="0" w:line="288" w:lineRule="auto"/>
        <w:jc w:val="both"/>
        <w:rPr>
          <w:rFonts w:asciiTheme="majorBidi" w:hAnsiTheme="majorBidi" w:cstheme="majorBidi"/>
          <w:b/>
          <w:bCs/>
          <w:sz w:val="24"/>
          <w:szCs w:val="24"/>
          <w:lang w:val="es-ES"/>
        </w:rPr>
      </w:pPr>
      <w:r w:rsidRPr="002A1A6A">
        <w:rPr>
          <w:rFonts w:asciiTheme="majorBidi" w:hAnsiTheme="majorBidi"/>
          <w:b/>
          <w:bCs/>
          <w:sz w:val="24"/>
          <w:szCs w:val="24"/>
          <w:lang w:val="es-ES"/>
        </w:rPr>
        <w:t>R</w:t>
      </w:r>
      <w:r w:rsidR="004E3C0F" w:rsidRPr="002A1A6A">
        <w:rPr>
          <w:rFonts w:asciiTheme="majorBidi" w:hAnsiTheme="majorBidi" w:cstheme="majorBidi"/>
          <w:b/>
          <w:bCs/>
          <w:sz w:val="24"/>
          <w:szCs w:val="24"/>
          <w:lang w:val="es-ES"/>
        </w:rPr>
        <w:t>eferences</w:t>
      </w:r>
    </w:p>
    <w:p w14:paraId="7FF77784"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2A1A6A">
        <w:rPr>
          <w:rFonts w:asciiTheme="majorBidi" w:hAnsiTheme="majorBidi" w:cstheme="majorBidi"/>
          <w:lang w:val="es-ES"/>
        </w:rPr>
        <w:t xml:space="preserve">Aggarwal, R., Erel, I., Ferreira, M., &amp; Matos, P. (2011). </w:t>
      </w:r>
      <w:r w:rsidRPr="00EE0A97">
        <w:rPr>
          <w:rFonts w:asciiTheme="majorBidi" w:hAnsiTheme="majorBidi" w:cstheme="majorBidi"/>
        </w:rPr>
        <w:t xml:space="preserve">Does governance travel around the world? Evidence from institutional investors. </w:t>
      </w:r>
      <w:r w:rsidRPr="00EE0A97">
        <w:rPr>
          <w:rFonts w:asciiTheme="majorBidi" w:hAnsiTheme="majorBidi" w:cstheme="majorBidi"/>
          <w:i/>
          <w:iCs/>
        </w:rPr>
        <w:t>Journal of Financial Economics, 100</w:t>
      </w:r>
      <w:r w:rsidRPr="00EE0A97">
        <w:rPr>
          <w:rFonts w:asciiTheme="majorBidi" w:hAnsiTheme="majorBidi" w:cstheme="majorBidi"/>
        </w:rPr>
        <w:t>(1), 154-181.</w:t>
      </w:r>
    </w:p>
    <w:p w14:paraId="53B10A93"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Aggarwal, R., Erel, I., Stulz, R., &amp; Williamson, R. (2010). Differences in Governance Practices between U.S. and Foreign Firms: Measurement, Causes, and Consequences. </w:t>
      </w:r>
      <w:r w:rsidRPr="00EE0A97">
        <w:rPr>
          <w:rFonts w:asciiTheme="majorBidi" w:hAnsiTheme="majorBidi" w:cstheme="majorBidi"/>
          <w:i/>
          <w:iCs/>
        </w:rPr>
        <w:t>The Review of Financial Studies, 23</w:t>
      </w:r>
      <w:r w:rsidRPr="00EE0A97">
        <w:rPr>
          <w:rFonts w:asciiTheme="majorBidi" w:hAnsiTheme="majorBidi" w:cstheme="majorBidi"/>
        </w:rPr>
        <w:t>(3), 3131-3169.</w:t>
      </w:r>
    </w:p>
    <w:p w14:paraId="49EF7A8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Aguilera, R. V., Desender, K., Bednar, M. K., &amp; Lee, J. H. (2015). Connecting the Dots: Bringing External Corporate Governance into the Corporate Governance Puzzle. </w:t>
      </w:r>
      <w:r w:rsidRPr="00EE0A97">
        <w:rPr>
          <w:rFonts w:asciiTheme="majorBidi" w:hAnsiTheme="majorBidi" w:cstheme="majorBidi"/>
          <w:i/>
          <w:iCs/>
        </w:rPr>
        <w:t>The Academy of Management Annals, 9</w:t>
      </w:r>
      <w:r w:rsidRPr="00EE0A97">
        <w:rPr>
          <w:rFonts w:asciiTheme="majorBidi" w:hAnsiTheme="majorBidi" w:cstheme="majorBidi"/>
        </w:rPr>
        <w:t>(1), 483-573.</w:t>
      </w:r>
    </w:p>
    <w:p w14:paraId="033D4233"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Anderson, A., &amp; Gupta, P. P. (2009). A cross-country comparison of corporate governance and firm performance: Do financial structure and the legal system matter? </w:t>
      </w:r>
      <w:r w:rsidRPr="00EE0A97">
        <w:rPr>
          <w:rFonts w:asciiTheme="majorBidi" w:hAnsiTheme="majorBidi" w:cstheme="majorBidi"/>
          <w:i/>
          <w:iCs/>
        </w:rPr>
        <w:t>Journal of Contemporary Accounting &amp; Economics, 5</w:t>
      </w:r>
      <w:r w:rsidRPr="00EE0A97">
        <w:rPr>
          <w:rFonts w:asciiTheme="majorBidi" w:hAnsiTheme="majorBidi" w:cstheme="majorBidi"/>
        </w:rPr>
        <w:t>(2), 61-79.</w:t>
      </w:r>
    </w:p>
    <w:p w14:paraId="6021633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Arellano, M., &amp; Bover, O. (1995). Another look at the instrumental variable estimation of error-components models. </w:t>
      </w:r>
      <w:r w:rsidRPr="00EE0A97">
        <w:rPr>
          <w:rFonts w:asciiTheme="majorBidi" w:hAnsiTheme="majorBidi" w:cstheme="majorBidi"/>
          <w:i/>
          <w:iCs/>
        </w:rPr>
        <w:t>Journal of Econometrics, 68</w:t>
      </w:r>
      <w:r w:rsidRPr="00EE0A97">
        <w:rPr>
          <w:rFonts w:asciiTheme="majorBidi" w:hAnsiTheme="majorBidi" w:cstheme="majorBidi"/>
        </w:rPr>
        <w:t>(1), 29-51.</w:t>
      </w:r>
    </w:p>
    <w:p w14:paraId="7BE8E44A"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Baggs, J., &amp; de Bettignies, J.-E. (2007). Product Market Competition and Agency Costs. </w:t>
      </w:r>
      <w:r w:rsidRPr="00EE0A97">
        <w:rPr>
          <w:rFonts w:asciiTheme="majorBidi" w:hAnsiTheme="majorBidi" w:cstheme="majorBidi"/>
          <w:i/>
          <w:iCs/>
        </w:rPr>
        <w:t>The Journal of Industrial Economics, 55</w:t>
      </w:r>
      <w:r w:rsidRPr="00EE0A97">
        <w:rPr>
          <w:rFonts w:asciiTheme="majorBidi" w:hAnsiTheme="majorBidi" w:cstheme="majorBidi"/>
        </w:rPr>
        <w:t>(2), 289-323.</w:t>
      </w:r>
    </w:p>
    <w:p w14:paraId="308AE684"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Bebchuk, L. A., &amp; Neeman, Z. (2010). Investor Protection and Interest Group Politics. </w:t>
      </w:r>
      <w:r w:rsidRPr="00EE0A97">
        <w:rPr>
          <w:rFonts w:asciiTheme="majorBidi" w:hAnsiTheme="majorBidi" w:cstheme="majorBidi"/>
          <w:i/>
          <w:iCs/>
        </w:rPr>
        <w:t>The Review of Financial Studies, 23</w:t>
      </w:r>
      <w:r w:rsidRPr="00EE0A97">
        <w:rPr>
          <w:rFonts w:asciiTheme="majorBidi" w:hAnsiTheme="majorBidi" w:cstheme="majorBidi"/>
        </w:rPr>
        <w:t>(3), 1089-1119.</w:t>
      </w:r>
    </w:p>
    <w:p w14:paraId="5BBA24B4"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Bednar, M. K. (2012). Watchdog or Lapdog? A Behavioral View of the Media as a Corporate Governance Mechanism. </w:t>
      </w:r>
      <w:r w:rsidRPr="00EE0A97">
        <w:rPr>
          <w:rFonts w:asciiTheme="majorBidi" w:hAnsiTheme="majorBidi" w:cstheme="majorBidi"/>
          <w:i/>
          <w:iCs/>
        </w:rPr>
        <w:t>Academy of Management Journal, 55</w:t>
      </w:r>
      <w:r w:rsidRPr="00EE0A97">
        <w:rPr>
          <w:rFonts w:asciiTheme="majorBidi" w:hAnsiTheme="majorBidi" w:cstheme="majorBidi"/>
        </w:rPr>
        <w:t>(1), 131-150.</w:t>
      </w:r>
    </w:p>
    <w:p w14:paraId="0F1EE39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Bednar, M. K., Boivie, S., &amp; Prince, N. R. (2012). Burr Under the Saddle: How Media Coverage Influences Strategic Change. </w:t>
      </w:r>
      <w:r w:rsidRPr="00EE0A97">
        <w:rPr>
          <w:rFonts w:asciiTheme="majorBidi" w:hAnsiTheme="majorBidi" w:cstheme="majorBidi"/>
          <w:i/>
          <w:iCs/>
        </w:rPr>
        <w:t>Organization Science, 24</w:t>
      </w:r>
      <w:r w:rsidRPr="00EE0A97">
        <w:rPr>
          <w:rFonts w:asciiTheme="majorBidi" w:hAnsiTheme="majorBidi" w:cstheme="majorBidi"/>
        </w:rPr>
        <w:t>(3), 910-925.</w:t>
      </w:r>
    </w:p>
    <w:p w14:paraId="2F0CBA72"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Blundell, R., &amp; Bond, S. (1998). Initial conditions and moment restrictions in dynamic panel data models. </w:t>
      </w:r>
      <w:r w:rsidRPr="00EE0A97">
        <w:rPr>
          <w:rFonts w:asciiTheme="majorBidi" w:hAnsiTheme="majorBidi" w:cstheme="majorBidi"/>
          <w:i/>
          <w:iCs/>
        </w:rPr>
        <w:t>Journal of Econometrics, 87</w:t>
      </w:r>
      <w:r w:rsidRPr="00EE0A97">
        <w:rPr>
          <w:rFonts w:asciiTheme="majorBidi" w:hAnsiTheme="majorBidi" w:cstheme="majorBidi"/>
        </w:rPr>
        <w:t>(1), 115-143.</w:t>
      </w:r>
    </w:p>
    <w:p w14:paraId="1659648F"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lastRenderedPageBreak/>
        <w:t xml:space="preserve">Boytsun, A., Deloof, M., &amp; Matthyssens, P. (2011). Social Norms, Social Cohesion, and Corporate Governance. </w:t>
      </w:r>
      <w:r w:rsidRPr="00EE0A97">
        <w:rPr>
          <w:rFonts w:asciiTheme="majorBidi" w:hAnsiTheme="majorBidi" w:cstheme="majorBidi"/>
          <w:i/>
          <w:iCs/>
        </w:rPr>
        <w:t>Corporate Governance: An International Review, 19</w:t>
      </w:r>
      <w:r w:rsidRPr="00EE0A97">
        <w:rPr>
          <w:rFonts w:asciiTheme="majorBidi" w:hAnsiTheme="majorBidi" w:cstheme="majorBidi"/>
        </w:rPr>
        <w:t>(1), 41-60.</w:t>
      </w:r>
    </w:p>
    <w:p w14:paraId="7E737DD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Brown, L. D., &amp; Caylor, M. L. (2006). Corporate governance and firm valuation. </w:t>
      </w:r>
      <w:r w:rsidRPr="00EE0A97">
        <w:rPr>
          <w:rFonts w:asciiTheme="majorBidi" w:hAnsiTheme="majorBidi" w:cstheme="majorBidi"/>
          <w:i/>
          <w:iCs/>
        </w:rPr>
        <w:t>Journal of Accounting and Public Policy, 25</w:t>
      </w:r>
      <w:r w:rsidRPr="00EE0A97">
        <w:rPr>
          <w:rFonts w:asciiTheme="majorBidi" w:hAnsiTheme="majorBidi" w:cstheme="majorBidi"/>
        </w:rPr>
        <w:t>(4), 409-434.</w:t>
      </w:r>
    </w:p>
    <w:p w14:paraId="2FAE99C9"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Chen, K. C. W., Chen, Z., &amp; Wei, K. C. J. (2009). Legal protection of investors, corporate governance, and the cost of equity capital. </w:t>
      </w:r>
      <w:r w:rsidRPr="00EE0A97">
        <w:rPr>
          <w:rFonts w:asciiTheme="majorBidi" w:hAnsiTheme="majorBidi" w:cstheme="majorBidi"/>
          <w:i/>
          <w:iCs/>
        </w:rPr>
        <w:t>Journal of Corporate Finance, 15</w:t>
      </w:r>
      <w:r w:rsidRPr="00EE0A97">
        <w:rPr>
          <w:rFonts w:asciiTheme="majorBidi" w:hAnsiTheme="majorBidi" w:cstheme="majorBidi"/>
        </w:rPr>
        <w:t>(3), 273-289.</w:t>
      </w:r>
    </w:p>
    <w:p w14:paraId="584E8C5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Chou, J., Ng, L., Sibilkov, V., &amp; Wang, Q. (2011). Product market competition and corporate governance. </w:t>
      </w:r>
      <w:r w:rsidRPr="00EE0A97">
        <w:rPr>
          <w:rFonts w:asciiTheme="majorBidi" w:hAnsiTheme="majorBidi" w:cstheme="majorBidi"/>
          <w:i/>
          <w:iCs/>
        </w:rPr>
        <w:t>Review of Development Finance, 1</w:t>
      </w:r>
      <w:r w:rsidRPr="00EE0A97">
        <w:rPr>
          <w:rFonts w:asciiTheme="majorBidi" w:hAnsiTheme="majorBidi" w:cstheme="majorBidi"/>
        </w:rPr>
        <w:t>(2), 114-130.</w:t>
      </w:r>
    </w:p>
    <w:p w14:paraId="586B852E"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Chua, C. T., Eun, C. S., &amp; Lai, S. (2007). Corporate valuation around the world: The effects of governance, growth, and openness. </w:t>
      </w:r>
      <w:r w:rsidRPr="00EE0A97">
        <w:rPr>
          <w:rFonts w:asciiTheme="majorBidi" w:hAnsiTheme="majorBidi" w:cstheme="majorBidi"/>
          <w:i/>
          <w:iCs/>
        </w:rPr>
        <w:t>Journal of Banking &amp; Finance, 31</w:t>
      </w:r>
      <w:r w:rsidRPr="00EE0A97">
        <w:rPr>
          <w:rFonts w:asciiTheme="majorBidi" w:hAnsiTheme="majorBidi" w:cstheme="majorBidi"/>
        </w:rPr>
        <w:t>(1), 35-56.</w:t>
      </w:r>
    </w:p>
    <w:p w14:paraId="2FE114C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Chung, K. H., &amp; Pruitt, S. W. (1994). A Simple Approximation of Tobin's q. </w:t>
      </w:r>
      <w:r w:rsidRPr="00EE0A97">
        <w:rPr>
          <w:rFonts w:asciiTheme="majorBidi" w:hAnsiTheme="majorBidi" w:cstheme="majorBidi"/>
          <w:i/>
          <w:iCs/>
        </w:rPr>
        <w:t>Financial Management, 23</w:t>
      </w:r>
      <w:r w:rsidRPr="00EE0A97">
        <w:rPr>
          <w:rFonts w:asciiTheme="majorBidi" w:hAnsiTheme="majorBidi" w:cstheme="majorBidi"/>
        </w:rPr>
        <w:t>(3), 70-74.</w:t>
      </w:r>
    </w:p>
    <w:p w14:paraId="68E79CD7"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2A1A6A">
        <w:rPr>
          <w:rFonts w:asciiTheme="majorBidi" w:hAnsiTheme="majorBidi" w:cstheme="majorBidi"/>
          <w:lang w:val="fr-FR"/>
        </w:rPr>
        <w:t xml:space="preserve">Claessens, S., &amp; Yurtoglu, B. B. (2013). </w:t>
      </w:r>
      <w:r w:rsidRPr="00EE0A97">
        <w:rPr>
          <w:rFonts w:asciiTheme="majorBidi" w:hAnsiTheme="majorBidi" w:cstheme="majorBidi"/>
        </w:rPr>
        <w:t xml:space="preserve">Corporate governance in emerging markets: A survey. </w:t>
      </w:r>
      <w:r w:rsidRPr="00EE0A97">
        <w:rPr>
          <w:rFonts w:asciiTheme="majorBidi" w:hAnsiTheme="majorBidi" w:cstheme="majorBidi"/>
          <w:i/>
          <w:iCs/>
        </w:rPr>
        <w:t>Emerging Markets Review, 15</w:t>
      </w:r>
      <w:r w:rsidRPr="00EE0A97">
        <w:rPr>
          <w:rFonts w:asciiTheme="majorBidi" w:hAnsiTheme="majorBidi" w:cstheme="majorBidi"/>
        </w:rPr>
        <w:t>, 1-33.</w:t>
      </w:r>
    </w:p>
    <w:p w14:paraId="1878CFEE"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Core, J. E., Guay, W., &amp; Larcker, D. F. (2008). The power of the pen and executive compensation. </w:t>
      </w:r>
      <w:r w:rsidRPr="00EE0A97">
        <w:rPr>
          <w:rFonts w:asciiTheme="majorBidi" w:hAnsiTheme="majorBidi" w:cstheme="majorBidi"/>
          <w:i/>
          <w:iCs/>
        </w:rPr>
        <w:t>Journal of Financial Economics, 88</w:t>
      </w:r>
      <w:r w:rsidRPr="00EE0A97">
        <w:rPr>
          <w:rFonts w:asciiTheme="majorBidi" w:hAnsiTheme="majorBidi" w:cstheme="majorBidi"/>
        </w:rPr>
        <w:t>(1), 1-25.</w:t>
      </w:r>
    </w:p>
    <w:p w14:paraId="6DCD9F8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Daily, C. M., Dalton, D. R., &amp; Cannella, A. A. (2003). Corporate Governance: Decades of Dialogue and Data. </w:t>
      </w:r>
      <w:r w:rsidRPr="00EE0A97">
        <w:rPr>
          <w:rFonts w:asciiTheme="majorBidi" w:hAnsiTheme="majorBidi" w:cstheme="majorBidi"/>
          <w:i/>
          <w:iCs/>
        </w:rPr>
        <w:t>The Academy of Management Review, 28</w:t>
      </w:r>
      <w:r w:rsidRPr="00EE0A97">
        <w:rPr>
          <w:rFonts w:asciiTheme="majorBidi" w:hAnsiTheme="majorBidi" w:cstheme="majorBidi"/>
        </w:rPr>
        <w:t>(3), 371-382.</w:t>
      </w:r>
    </w:p>
    <w:p w14:paraId="046E9FA5"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DeFond, M. L., &amp; Park, C. W. (1999). The effect of competition on CEO turnover1. </w:t>
      </w:r>
      <w:r w:rsidRPr="00EE0A97">
        <w:rPr>
          <w:rFonts w:asciiTheme="majorBidi" w:hAnsiTheme="majorBidi" w:cstheme="majorBidi"/>
          <w:i/>
          <w:iCs/>
        </w:rPr>
        <w:t>Journal of Accounting and Economics, 27</w:t>
      </w:r>
      <w:r w:rsidRPr="00EE0A97">
        <w:rPr>
          <w:rFonts w:asciiTheme="majorBidi" w:hAnsiTheme="majorBidi" w:cstheme="majorBidi"/>
        </w:rPr>
        <w:t>(1), 35-56.</w:t>
      </w:r>
    </w:p>
    <w:p w14:paraId="22EF3211"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Denis, D. K., &amp; McConnell, J. J. (2003). International Corporate Governance. </w:t>
      </w:r>
      <w:r w:rsidRPr="00EE0A97">
        <w:rPr>
          <w:rFonts w:asciiTheme="majorBidi" w:hAnsiTheme="majorBidi" w:cstheme="majorBidi"/>
          <w:i/>
          <w:iCs/>
        </w:rPr>
        <w:t>The Journal of Financial and Quantitative Analysis, 38</w:t>
      </w:r>
      <w:r w:rsidRPr="00EE0A97">
        <w:rPr>
          <w:rFonts w:asciiTheme="majorBidi" w:hAnsiTheme="majorBidi" w:cstheme="majorBidi"/>
        </w:rPr>
        <w:t>(1), 1-36.</w:t>
      </w:r>
    </w:p>
    <w:p w14:paraId="4D6087B3"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Djankov, S., Glaeser, E., La Porta, R., Lopez-de-Silanes, F., &amp; Shleifer, A. (2003). The new comparative economics. </w:t>
      </w:r>
      <w:r w:rsidRPr="00EE0A97">
        <w:rPr>
          <w:rFonts w:asciiTheme="majorBidi" w:hAnsiTheme="majorBidi" w:cstheme="majorBidi"/>
          <w:i/>
          <w:iCs/>
        </w:rPr>
        <w:t>Journal of Comparative Economics, 31</w:t>
      </w:r>
      <w:r w:rsidRPr="00EE0A97">
        <w:rPr>
          <w:rFonts w:asciiTheme="majorBidi" w:hAnsiTheme="majorBidi" w:cstheme="majorBidi"/>
        </w:rPr>
        <w:t>(4), 595-619.</w:t>
      </w:r>
    </w:p>
    <w:p w14:paraId="0B42A97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Doidge, C., Andrew Karolyi, G., &amp; Stulz, R. M. (2007). Why do countries matter so much for corporate governance? </w:t>
      </w:r>
      <w:r w:rsidRPr="00EE0A97">
        <w:rPr>
          <w:rFonts w:asciiTheme="majorBidi" w:hAnsiTheme="majorBidi" w:cstheme="majorBidi"/>
          <w:i/>
          <w:iCs/>
        </w:rPr>
        <w:t>Journal of Financial Economics, 86</w:t>
      </w:r>
      <w:r w:rsidRPr="00EE0A97">
        <w:rPr>
          <w:rFonts w:asciiTheme="majorBidi" w:hAnsiTheme="majorBidi" w:cstheme="majorBidi"/>
        </w:rPr>
        <w:t>(1), 1-39.</w:t>
      </w:r>
    </w:p>
    <w:p w14:paraId="176CAA27"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Durnev, A. R. T., &amp; Kim, E. H. (2005). To Steal or Not to Steal: Firm Attributes, Legal Environment, and Valuation. </w:t>
      </w:r>
      <w:r w:rsidRPr="00EE0A97">
        <w:rPr>
          <w:rFonts w:asciiTheme="majorBidi" w:hAnsiTheme="majorBidi" w:cstheme="majorBidi"/>
          <w:i/>
          <w:iCs/>
        </w:rPr>
        <w:t>The Journal of Finance, 60</w:t>
      </w:r>
      <w:r w:rsidRPr="00EE0A97">
        <w:rPr>
          <w:rFonts w:asciiTheme="majorBidi" w:hAnsiTheme="majorBidi" w:cstheme="majorBidi"/>
        </w:rPr>
        <w:t>(3), 1461-1493.</w:t>
      </w:r>
    </w:p>
    <w:p w14:paraId="3EC8652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Dyck, A., Volchkova, N., &amp; Zingales, L. (2008). The Corporate Governance Role of the Media: Evidence from Russia. </w:t>
      </w:r>
      <w:r w:rsidRPr="00EE0A97">
        <w:rPr>
          <w:rFonts w:asciiTheme="majorBidi" w:hAnsiTheme="majorBidi" w:cstheme="majorBidi"/>
          <w:i/>
          <w:iCs/>
        </w:rPr>
        <w:t>The Journal of Finance, 63</w:t>
      </w:r>
      <w:r w:rsidRPr="00EE0A97">
        <w:rPr>
          <w:rFonts w:asciiTheme="majorBidi" w:hAnsiTheme="majorBidi" w:cstheme="majorBidi"/>
        </w:rPr>
        <w:t>(3), 1093-1135.</w:t>
      </w:r>
    </w:p>
    <w:p w14:paraId="28DE1C02"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Essen, M., Engelen, P. J., &amp; Carney, M. (2013). Does “Good” Corporate Governance Help in a Crisis? The Impact of Country</w:t>
      </w:r>
      <w:r w:rsidRPr="00EE0A97">
        <w:rPr>
          <w:rFonts w:ascii="Cambria Math" w:hAnsi="Cambria Math" w:cs="Cambria Math"/>
        </w:rPr>
        <w:t>‐</w:t>
      </w:r>
      <w:r w:rsidRPr="00EE0A97">
        <w:rPr>
          <w:rFonts w:asciiTheme="majorBidi" w:hAnsiTheme="majorBidi" w:cstheme="majorBidi"/>
        </w:rPr>
        <w:t xml:space="preserve"> and Firm</w:t>
      </w:r>
      <w:r w:rsidRPr="00EE0A97">
        <w:rPr>
          <w:rFonts w:ascii="Cambria Math" w:hAnsi="Cambria Math" w:cs="Cambria Math"/>
        </w:rPr>
        <w:t>‐</w:t>
      </w:r>
      <w:r w:rsidRPr="00EE0A97">
        <w:rPr>
          <w:rFonts w:asciiTheme="majorBidi" w:hAnsiTheme="majorBidi" w:cstheme="majorBidi"/>
        </w:rPr>
        <w:t xml:space="preserve">Level Governance Mechanisms in the European Financial Crisis. </w:t>
      </w:r>
      <w:r w:rsidRPr="00EE0A97">
        <w:rPr>
          <w:rFonts w:asciiTheme="majorBidi" w:hAnsiTheme="majorBidi" w:cstheme="majorBidi"/>
          <w:i/>
          <w:iCs/>
        </w:rPr>
        <w:t>Corporate Governance: An International Review, 21</w:t>
      </w:r>
      <w:r w:rsidRPr="00EE0A97">
        <w:rPr>
          <w:rFonts w:asciiTheme="majorBidi" w:hAnsiTheme="majorBidi" w:cstheme="majorBidi"/>
        </w:rPr>
        <w:t>(3), 201-224.</w:t>
      </w:r>
    </w:p>
    <w:p w14:paraId="6BE53617"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Estrin, S., &amp; Prevezer, M. (2011). The role of informal institutions in corporate governance: Brazil, Russia, India, and China compared. </w:t>
      </w:r>
      <w:r w:rsidRPr="00EE0A97">
        <w:rPr>
          <w:rFonts w:asciiTheme="majorBidi" w:hAnsiTheme="majorBidi" w:cstheme="majorBidi"/>
          <w:i/>
          <w:iCs/>
        </w:rPr>
        <w:t>Asia Pacific Journal of Management, 28</w:t>
      </w:r>
      <w:r w:rsidRPr="00EE0A97">
        <w:rPr>
          <w:rFonts w:asciiTheme="majorBidi" w:hAnsiTheme="majorBidi" w:cstheme="majorBidi"/>
        </w:rPr>
        <w:t>(1), 41-67.</w:t>
      </w:r>
    </w:p>
    <w:p w14:paraId="5359077E"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Fee, C. E., &amp; Hadlock, C. J. (2000). Management Turnover and Product Market Competition: Empirical Evidence from the U.S. Newspaper Industry. </w:t>
      </w:r>
      <w:r w:rsidRPr="00EE0A97">
        <w:rPr>
          <w:rFonts w:asciiTheme="majorBidi" w:hAnsiTheme="majorBidi" w:cstheme="majorBidi"/>
          <w:i/>
          <w:iCs/>
        </w:rPr>
        <w:t>The Journal of Business, 73</w:t>
      </w:r>
      <w:r w:rsidRPr="00EE0A97">
        <w:rPr>
          <w:rFonts w:asciiTheme="majorBidi" w:hAnsiTheme="majorBidi" w:cstheme="majorBidi"/>
        </w:rPr>
        <w:t>(2), 205-243.</w:t>
      </w:r>
    </w:p>
    <w:p w14:paraId="19813F6C"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lastRenderedPageBreak/>
        <w:t>García</w:t>
      </w:r>
      <w:r w:rsidRPr="00EE0A97">
        <w:rPr>
          <w:rFonts w:ascii="Cambria Math" w:hAnsi="Cambria Math" w:cs="Cambria Math"/>
        </w:rPr>
        <w:t>‐</w:t>
      </w:r>
      <w:r w:rsidRPr="00EE0A97">
        <w:rPr>
          <w:rFonts w:asciiTheme="majorBidi" w:hAnsiTheme="majorBidi" w:cstheme="majorBidi"/>
        </w:rPr>
        <w:t>Castro, R., Aguilera, R. V., &amp; Ari</w:t>
      </w:r>
      <w:r w:rsidRPr="00EE0A97">
        <w:rPr>
          <w:rFonts w:ascii="Times New Roman" w:hAnsi="Times New Roman" w:cs="Times New Roman"/>
        </w:rPr>
        <w:t>ñ</w:t>
      </w:r>
      <w:r w:rsidRPr="00EE0A97">
        <w:rPr>
          <w:rFonts w:asciiTheme="majorBidi" w:hAnsiTheme="majorBidi" w:cstheme="majorBidi"/>
        </w:rPr>
        <w:t xml:space="preserve">o, M. A. (2013). Bundles of Firm Corporate Governance Practices: A Fuzzy Set Analysis. </w:t>
      </w:r>
      <w:r w:rsidRPr="00EE0A97">
        <w:rPr>
          <w:rFonts w:asciiTheme="majorBidi" w:hAnsiTheme="majorBidi" w:cstheme="majorBidi"/>
          <w:i/>
          <w:iCs/>
        </w:rPr>
        <w:t>Corporate Governance: An International Review, 21</w:t>
      </w:r>
      <w:r w:rsidRPr="00EE0A97">
        <w:rPr>
          <w:rFonts w:asciiTheme="majorBidi" w:hAnsiTheme="majorBidi" w:cstheme="majorBidi"/>
        </w:rPr>
        <w:t>(4), 390-407.</w:t>
      </w:r>
    </w:p>
    <w:p w14:paraId="0E6AD32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Giroud, X., &amp; Mueller, H. M. (2010). Does corporate governance matter in competitive industries? </w:t>
      </w:r>
      <w:r w:rsidRPr="00EE0A97">
        <w:rPr>
          <w:rFonts w:asciiTheme="majorBidi" w:hAnsiTheme="majorBidi" w:cstheme="majorBidi"/>
          <w:i/>
          <w:iCs/>
        </w:rPr>
        <w:t>Journal of Financial Economics, 95</w:t>
      </w:r>
      <w:r w:rsidRPr="00EE0A97">
        <w:rPr>
          <w:rFonts w:asciiTheme="majorBidi" w:hAnsiTheme="majorBidi" w:cstheme="majorBidi"/>
        </w:rPr>
        <w:t>(3), 312-331.</w:t>
      </w:r>
    </w:p>
    <w:p w14:paraId="333231A4"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2A1A6A">
        <w:rPr>
          <w:rFonts w:asciiTheme="majorBidi" w:hAnsiTheme="majorBidi" w:cstheme="majorBidi"/>
          <w:lang w:val="nl-NL"/>
        </w:rPr>
        <w:t xml:space="preserve">Himmelberg, C. P., Hubbard, R. G., &amp; Palia, D. (1999). </w:t>
      </w:r>
      <w:r w:rsidRPr="00EE0A97">
        <w:rPr>
          <w:rFonts w:asciiTheme="majorBidi" w:hAnsiTheme="majorBidi" w:cstheme="majorBidi"/>
        </w:rPr>
        <w:t xml:space="preserve">Understanding the determinants of managerial ownership and the link between ownership and performance. </w:t>
      </w:r>
      <w:r w:rsidRPr="00EE0A97">
        <w:rPr>
          <w:rFonts w:asciiTheme="majorBidi" w:hAnsiTheme="majorBidi" w:cstheme="majorBidi"/>
          <w:i/>
          <w:iCs/>
        </w:rPr>
        <w:t>Journal of Financial Economics, 53</w:t>
      </w:r>
      <w:r w:rsidRPr="00EE0A97">
        <w:rPr>
          <w:rFonts w:asciiTheme="majorBidi" w:hAnsiTheme="majorBidi" w:cstheme="majorBidi"/>
        </w:rPr>
        <w:t>(3), 353-384.</w:t>
      </w:r>
    </w:p>
    <w:p w14:paraId="27A73134"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Hoechle, D., Schmid, M., Walter, I., &amp; Yermack, D. (2012). How much of the diversification discount can be explained by poor corporate governance? </w:t>
      </w:r>
      <w:r w:rsidRPr="00EE0A97">
        <w:rPr>
          <w:rFonts w:asciiTheme="majorBidi" w:hAnsiTheme="majorBidi" w:cstheme="majorBidi"/>
          <w:i/>
          <w:iCs/>
        </w:rPr>
        <w:t>Journal of Financial Economics, 103</w:t>
      </w:r>
      <w:r w:rsidRPr="00EE0A97">
        <w:rPr>
          <w:rFonts w:asciiTheme="majorBidi" w:hAnsiTheme="majorBidi" w:cstheme="majorBidi"/>
        </w:rPr>
        <w:t>(1), 41-60.</w:t>
      </w:r>
    </w:p>
    <w:p w14:paraId="54175C73"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Jackson, H. E., &amp; Roe, M. J. (2009). Public and private enforcement of securities laws: Resource-based evidence. </w:t>
      </w:r>
      <w:r w:rsidRPr="00EE0A97">
        <w:rPr>
          <w:rFonts w:asciiTheme="majorBidi" w:hAnsiTheme="majorBidi" w:cstheme="majorBidi"/>
          <w:i/>
          <w:iCs/>
        </w:rPr>
        <w:t>Journal of Financial Economics, 93</w:t>
      </w:r>
      <w:r w:rsidRPr="00EE0A97">
        <w:rPr>
          <w:rFonts w:asciiTheme="majorBidi" w:hAnsiTheme="majorBidi" w:cstheme="majorBidi"/>
        </w:rPr>
        <w:t>(2), 207-238.</w:t>
      </w:r>
    </w:p>
    <w:p w14:paraId="1F428956"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Jensen, M. C. (1986). Agency Costs of Free Cash Flow, Corporate Finance, and Takeovers. </w:t>
      </w:r>
      <w:r w:rsidRPr="00EE0A97">
        <w:rPr>
          <w:rFonts w:asciiTheme="majorBidi" w:hAnsiTheme="majorBidi" w:cstheme="majorBidi"/>
          <w:i/>
          <w:iCs/>
        </w:rPr>
        <w:t>The American Economic Review, 76</w:t>
      </w:r>
      <w:r w:rsidRPr="00EE0A97">
        <w:rPr>
          <w:rFonts w:asciiTheme="majorBidi" w:hAnsiTheme="majorBidi" w:cstheme="majorBidi"/>
        </w:rPr>
        <w:t>(2), 323-329.</w:t>
      </w:r>
    </w:p>
    <w:p w14:paraId="569B6EC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Jensen, M. C., &amp; Meckling, W. H. (1976). Theory of the firm: Managerial behavior, agency costs and ownership structure. </w:t>
      </w:r>
      <w:r w:rsidRPr="00EE0A97">
        <w:rPr>
          <w:rFonts w:asciiTheme="majorBidi" w:hAnsiTheme="majorBidi" w:cstheme="majorBidi"/>
          <w:i/>
          <w:iCs/>
        </w:rPr>
        <w:t>Journal of Financial Economics, 3</w:t>
      </w:r>
      <w:r w:rsidRPr="00EE0A97">
        <w:rPr>
          <w:rFonts w:asciiTheme="majorBidi" w:hAnsiTheme="majorBidi" w:cstheme="majorBidi"/>
        </w:rPr>
        <w:t>(4), 305-360.</w:t>
      </w:r>
    </w:p>
    <w:p w14:paraId="23F492AB"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Joe, J. R., Louis, H., &amp; Robinson, D. (2009). Managers' and Investors' Responses to Media Exposure of Board Ineffectiveness. </w:t>
      </w:r>
      <w:r w:rsidRPr="00EE0A97">
        <w:rPr>
          <w:rFonts w:asciiTheme="majorBidi" w:hAnsiTheme="majorBidi" w:cstheme="majorBidi"/>
          <w:i/>
          <w:iCs/>
        </w:rPr>
        <w:t>The Journal of Financial and Quantitative Analysis, 44</w:t>
      </w:r>
      <w:r w:rsidRPr="00EE0A97">
        <w:rPr>
          <w:rFonts w:asciiTheme="majorBidi" w:hAnsiTheme="majorBidi" w:cstheme="majorBidi"/>
        </w:rPr>
        <w:t>(3), 579-605.</w:t>
      </w:r>
    </w:p>
    <w:p w14:paraId="78AB7891"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Kaufmann, D., Kraay, A., &amp; Mastruzzi, M. (2011). The Worldwide Governance Indicators: Methodology and Analytical Issues. </w:t>
      </w:r>
      <w:r w:rsidRPr="00EE0A97">
        <w:rPr>
          <w:rFonts w:asciiTheme="majorBidi" w:hAnsiTheme="majorBidi" w:cstheme="majorBidi"/>
          <w:i/>
          <w:iCs/>
        </w:rPr>
        <w:t>Hague Journal on the Rule of Law, 3</w:t>
      </w:r>
      <w:r w:rsidRPr="00EE0A97">
        <w:rPr>
          <w:rFonts w:asciiTheme="majorBidi" w:hAnsiTheme="majorBidi" w:cstheme="majorBidi"/>
        </w:rPr>
        <w:t>(2), 220-246.</w:t>
      </w:r>
    </w:p>
    <w:p w14:paraId="653D59B2"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Klapper, L. F., &amp; Love, I. (2004). Corporate governance, investor protection, and performance in emerging markets. </w:t>
      </w:r>
      <w:r w:rsidRPr="00EE0A97">
        <w:rPr>
          <w:rFonts w:asciiTheme="majorBidi" w:hAnsiTheme="majorBidi" w:cstheme="majorBidi"/>
          <w:i/>
          <w:iCs/>
        </w:rPr>
        <w:t>Journal of Corporate Finance, 10</w:t>
      </w:r>
      <w:r w:rsidRPr="00EE0A97">
        <w:rPr>
          <w:rFonts w:asciiTheme="majorBidi" w:hAnsiTheme="majorBidi" w:cstheme="majorBidi"/>
        </w:rPr>
        <w:t>(5), 703-728.</w:t>
      </w:r>
    </w:p>
    <w:p w14:paraId="7DA6E7CA"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La Porta, R., Florencio, L.-D.-S., Shleifer, A., &amp; Vishny, R. W. (1997). Legal Determinants of External Finance. </w:t>
      </w:r>
      <w:r w:rsidRPr="00EE0A97">
        <w:rPr>
          <w:rFonts w:asciiTheme="majorBidi" w:hAnsiTheme="majorBidi" w:cstheme="majorBidi"/>
          <w:i/>
          <w:iCs/>
        </w:rPr>
        <w:t>The Journal of Finance, 52</w:t>
      </w:r>
      <w:r w:rsidRPr="00EE0A97">
        <w:rPr>
          <w:rFonts w:asciiTheme="majorBidi" w:hAnsiTheme="majorBidi" w:cstheme="majorBidi"/>
        </w:rPr>
        <w:t>(3), 1131-1150.</w:t>
      </w:r>
    </w:p>
    <w:p w14:paraId="07172054"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La Porta, R., Lopez-de-Silanes, F., Shleifer, A., &amp; Vishny, R. (1999). The quality of government. </w:t>
      </w:r>
      <w:r w:rsidRPr="00EE0A97">
        <w:rPr>
          <w:rFonts w:asciiTheme="majorBidi" w:hAnsiTheme="majorBidi" w:cstheme="majorBidi"/>
          <w:i/>
          <w:iCs/>
        </w:rPr>
        <w:t>Journal of Law, Economics, and Organization, 15</w:t>
      </w:r>
      <w:r w:rsidRPr="00EE0A97">
        <w:rPr>
          <w:rFonts w:asciiTheme="majorBidi" w:hAnsiTheme="majorBidi" w:cstheme="majorBidi"/>
        </w:rPr>
        <w:t>(1), 222-279.</w:t>
      </w:r>
    </w:p>
    <w:p w14:paraId="1D3FF861"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La Porta, R., Lopez-de-Silanes, F., Shleifer, A., &amp; Vishny, R. (2000). Investor protection and corporate governance. </w:t>
      </w:r>
      <w:r w:rsidRPr="00EE0A97">
        <w:rPr>
          <w:rFonts w:asciiTheme="majorBidi" w:hAnsiTheme="majorBidi" w:cstheme="majorBidi"/>
          <w:i/>
          <w:iCs/>
        </w:rPr>
        <w:t>Journal of Financial Economics, 58</w:t>
      </w:r>
      <w:r w:rsidRPr="00EE0A97">
        <w:rPr>
          <w:rFonts w:asciiTheme="majorBidi" w:hAnsiTheme="majorBidi" w:cstheme="majorBidi"/>
        </w:rPr>
        <w:t>(1–2), 3-27.</w:t>
      </w:r>
    </w:p>
    <w:p w14:paraId="3A286E1E"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La Porta, R., Lopez</w:t>
      </w:r>
      <w:r w:rsidRPr="00EE0A97">
        <w:rPr>
          <w:rFonts w:ascii="Cambria Math" w:hAnsi="Cambria Math" w:cs="Cambria Math"/>
        </w:rPr>
        <w:t>‐</w:t>
      </w:r>
      <w:r w:rsidRPr="00EE0A97">
        <w:rPr>
          <w:rFonts w:asciiTheme="majorBidi" w:hAnsiTheme="majorBidi" w:cstheme="majorBidi"/>
        </w:rPr>
        <w:t>de</w:t>
      </w:r>
      <w:r w:rsidRPr="00EE0A97">
        <w:rPr>
          <w:rFonts w:ascii="Cambria Math" w:hAnsi="Cambria Math" w:cs="Cambria Math"/>
        </w:rPr>
        <w:t>‐</w:t>
      </w:r>
      <w:r w:rsidRPr="00EE0A97">
        <w:rPr>
          <w:rFonts w:asciiTheme="majorBidi" w:hAnsiTheme="majorBidi" w:cstheme="majorBidi"/>
        </w:rPr>
        <w:t>Silanes, F., Shleifer, A., &amp; Vishny, Robert</w:t>
      </w:r>
      <w:r w:rsidRPr="00EE0A97">
        <w:rPr>
          <w:rFonts w:ascii="Times New Roman" w:hAnsi="Times New Roman" w:cs="Times New Roman"/>
        </w:rPr>
        <w:t> </w:t>
      </w:r>
      <w:r w:rsidRPr="00EE0A97">
        <w:rPr>
          <w:rFonts w:asciiTheme="majorBidi" w:hAnsiTheme="majorBidi" w:cstheme="majorBidi"/>
        </w:rPr>
        <w:t xml:space="preserve">W. (1998). Law and Finance. </w:t>
      </w:r>
      <w:r w:rsidRPr="00EE0A97">
        <w:rPr>
          <w:rFonts w:asciiTheme="majorBidi" w:hAnsiTheme="majorBidi" w:cstheme="majorBidi"/>
          <w:i/>
          <w:iCs/>
        </w:rPr>
        <w:t>Journal of Political Economy, 106</w:t>
      </w:r>
      <w:r w:rsidRPr="00EE0A97">
        <w:rPr>
          <w:rFonts w:asciiTheme="majorBidi" w:hAnsiTheme="majorBidi" w:cstheme="majorBidi"/>
        </w:rPr>
        <w:t>(6), 1113-1155.</w:t>
      </w:r>
    </w:p>
    <w:p w14:paraId="3C15365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Lauterbach, B., &amp; Pajuste, A. (2016). The Media and Firm Reputation Roles in Corporate Governance Improvements: Lessons from European Dual Class Share Unifications. </w:t>
      </w:r>
      <w:r w:rsidRPr="00EE0A97">
        <w:rPr>
          <w:rFonts w:asciiTheme="majorBidi" w:hAnsiTheme="majorBidi" w:cstheme="majorBidi"/>
          <w:i/>
          <w:iCs/>
        </w:rPr>
        <w:t>Corporate Governance: An International Review, 25</w:t>
      </w:r>
      <w:r w:rsidRPr="00EE0A97">
        <w:rPr>
          <w:rFonts w:asciiTheme="majorBidi" w:hAnsiTheme="majorBidi" w:cstheme="majorBidi"/>
        </w:rPr>
        <w:t>(1), 4-19.</w:t>
      </w:r>
    </w:p>
    <w:p w14:paraId="14D1647F"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Leuz, C., Nanda, D., &amp; Wysocki, P. D. (2003). Earnings management and investor protection: an international comparison. </w:t>
      </w:r>
      <w:r w:rsidRPr="00EE0A97">
        <w:rPr>
          <w:rFonts w:asciiTheme="majorBidi" w:hAnsiTheme="majorBidi" w:cstheme="majorBidi"/>
          <w:i/>
          <w:iCs/>
        </w:rPr>
        <w:t>Journal of Financial Economics, 69</w:t>
      </w:r>
      <w:r w:rsidRPr="00EE0A97">
        <w:rPr>
          <w:rFonts w:asciiTheme="majorBidi" w:hAnsiTheme="majorBidi" w:cstheme="majorBidi"/>
        </w:rPr>
        <w:t>(3), 505-527.</w:t>
      </w:r>
    </w:p>
    <w:p w14:paraId="40090FEA"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Licht, A. N., Goldschmidt, C., &amp; Schwartz, S. H. (2005). Culture, Law, and Corporate Governance. </w:t>
      </w:r>
      <w:r w:rsidRPr="00EE0A97">
        <w:rPr>
          <w:rFonts w:asciiTheme="majorBidi" w:hAnsiTheme="majorBidi" w:cstheme="majorBidi"/>
          <w:i/>
          <w:iCs/>
        </w:rPr>
        <w:t>International Review of Law and Economics, 25</w:t>
      </w:r>
      <w:r w:rsidRPr="00EE0A97">
        <w:rPr>
          <w:rFonts w:asciiTheme="majorBidi" w:hAnsiTheme="majorBidi" w:cstheme="majorBidi"/>
        </w:rPr>
        <w:t>(2), 229-255.</w:t>
      </w:r>
    </w:p>
    <w:p w14:paraId="36B44B31"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Licht, A. N., Goldschmidt, C., &amp; Schwartz, S. H. (2007). Culture rules: The foundations of the rule of law and other norms of governance. </w:t>
      </w:r>
      <w:r w:rsidRPr="00EE0A97">
        <w:rPr>
          <w:rFonts w:asciiTheme="majorBidi" w:hAnsiTheme="majorBidi" w:cstheme="majorBidi"/>
          <w:i/>
          <w:iCs/>
        </w:rPr>
        <w:t>Journal of Comparative Economics, 35</w:t>
      </w:r>
      <w:r w:rsidRPr="00EE0A97">
        <w:rPr>
          <w:rFonts w:asciiTheme="majorBidi" w:hAnsiTheme="majorBidi" w:cstheme="majorBidi"/>
        </w:rPr>
        <w:t>(4), 659-688.</w:t>
      </w:r>
    </w:p>
    <w:p w14:paraId="3DB55FB5"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lastRenderedPageBreak/>
        <w:t xml:space="preserve">Liu, B., &amp; McConnell, J. J. (2013). The role of the media in corporate governance: Do the media influence managers' capital allocation decisions? </w:t>
      </w:r>
      <w:r w:rsidRPr="00EE0A97">
        <w:rPr>
          <w:rFonts w:asciiTheme="majorBidi" w:hAnsiTheme="majorBidi" w:cstheme="majorBidi"/>
          <w:i/>
          <w:iCs/>
        </w:rPr>
        <w:t>Journal of Financial Economics, 110</w:t>
      </w:r>
      <w:r w:rsidRPr="00EE0A97">
        <w:rPr>
          <w:rFonts w:asciiTheme="majorBidi" w:hAnsiTheme="majorBidi" w:cstheme="majorBidi"/>
        </w:rPr>
        <w:t>(1), 1-17.</w:t>
      </w:r>
    </w:p>
    <w:p w14:paraId="7225727A"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Miller, G. S. (2006). The Press as a Watchdog for Accounting Fraud. </w:t>
      </w:r>
      <w:r w:rsidRPr="00EE0A97">
        <w:rPr>
          <w:rFonts w:asciiTheme="majorBidi" w:hAnsiTheme="majorBidi" w:cstheme="majorBidi"/>
          <w:i/>
          <w:iCs/>
        </w:rPr>
        <w:t>Journal of Accounting Research, 44</w:t>
      </w:r>
      <w:r w:rsidRPr="00EE0A97">
        <w:rPr>
          <w:rFonts w:asciiTheme="majorBidi" w:hAnsiTheme="majorBidi" w:cstheme="majorBidi"/>
        </w:rPr>
        <w:t>(5), 1001-1033.</w:t>
      </w:r>
    </w:p>
    <w:p w14:paraId="21A5965A"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Morey, M., Gottesman, A., Baker, E., &amp; Godridge, B. (2009). Does better corporate governance result in higher valuations in emerging markets? Another examination using a new data set. </w:t>
      </w:r>
      <w:r w:rsidRPr="00EE0A97">
        <w:rPr>
          <w:rFonts w:asciiTheme="majorBidi" w:hAnsiTheme="majorBidi" w:cstheme="majorBidi"/>
          <w:i/>
          <w:iCs/>
        </w:rPr>
        <w:t>Journal of Banking &amp; Finance, 33</w:t>
      </w:r>
      <w:r w:rsidRPr="00EE0A97">
        <w:rPr>
          <w:rFonts w:asciiTheme="majorBidi" w:hAnsiTheme="majorBidi" w:cstheme="majorBidi"/>
        </w:rPr>
        <w:t>(2), 254-262.</w:t>
      </w:r>
    </w:p>
    <w:p w14:paraId="6885C10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2A1A6A">
        <w:rPr>
          <w:rFonts w:asciiTheme="majorBidi" w:hAnsiTheme="majorBidi" w:cstheme="majorBidi"/>
          <w:lang w:val="de-DE"/>
        </w:rPr>
        <w:t xml:space="preserve">Renders, A., Gaeremynck, A., &amp; Sercu, P. (2010). </w:t>
      </w:r>
      <w:r w:rsidRPr="00EE0A97">
        <w:rPr>
          <w:rFonts w:asciiTheme="majorBidi" w:hAnsiTheme="majorBidi" w:cstheme="majorBidi"/>
        </w:rPr>
        <w:t xml:space="preserve">Corporate-Governance Ratings and Company Performance: A Cross-European Study. </w:t>
      </w:r>
      <w:r w:rsidRPr="00EE0A97">
        <w:rPr>
          <w:rFonts w:asciiTheme="majorBidi" w:hAnsiTheme="majorBidi" w:cstheme="majorBidi"/>
          <w:i/>
          <w:iCs/>
        </w:rPr>
        <w:t>Corporate Governance: An International Review, 18</w:t>
      </w:r>
      <w:r w:rsidRPr="00EE0A97">
        <w:rPr>
          <w:rFonts w:asciiTheme="majorBidi" w:hAnsiTheme="majorBidi" w:cstheme="majorBidi"/>
        </w:rPr>
        <w:t>(2), 87-106.</w:t>
      </w:r>
    </w:p>
    <w:p w14:paraId="6E4BFF1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Schiehll, E., &amp; Martins, H. C. (2016). Cross</w:t>
      </w:r>
      <w:r w:rsidRPr="00EE0A97">
        <w:rPr>
          <w:rFonts w:ascii="Cambria Math" w:hAnsi="Cambria Math" w:cs="Cambria Math"/>
        </w:rPr>
        <w:t>‐</w:t>
      </w:r>
      <w:r w:rsidRPr="00EE0A97">
        <w:rPr>
          <w:rFonts w:asciiTheme="majorBidi" w:hAnsiTheme="majorBidi" w:cstheme="majorBidi"/>
        </w:rPr>
        <w:t xml:space="preserve">National Governance Research: A Systematic Review and Assessment. </w:t>
      </w:r>
      <w:r w:rsidRPr="00EE0A97">
        <w:rPr>
          <w:rFonts w:asciiTheme="majorBidi" w:hAnsiTheme="majorBidi" w:cstheme="majorBidi"/>
          <w:i/>
          <w:iCs/>
        </w:rPr>
        <w:t>Corporate Governance: An International Review, 24</w:t>
      </w:r>
      <w:r w:rsidRPr="00EE0A97">
        <w:rPr>
          <w:rFonts w:asciiTheme="majorBidi" w:hAnsiTheme="majorBidi" w:cstheme="majorBidi"/>
        </w:rPr>
        <w:t>(3), 181-199.</w:t>
      </w:r>
    </w:p>
    <w:p w14:paraId="748505D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Shleifer, A., &amp; Vishny, R. W. (1997). A Survey of Corporate Governance. </w:t>
      </w:r>
      <w:r w:rsidRPr="00EE0A97">
        <w:rPr>
          <w:rFonts w:asciiTheme="majorBidi" w:hAnsiTheme="majorBidi" w:cstheme="majorBidi"/>
          <w:i/>
          <w:iCs/>
        </w:rPr>
        <w:t>The Journal of Finance, 52</w:t>
      </w:r>
      <w:r w:rsidRPr="00EE0A97">
        <w:rPr>
          <w:rFonts w:asciiTheme="majorBidi" w:hAnsiTheme="majorBidi" w:cstheme="majorBidi"/>
        </w:rPr>
        <w:t>(2), 737-783.</w:t>
      </w:r>
    </w:p>
    <w:p w14:paraId="2E3EF5A2"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Stulz, R. (1990). Managerial discretion and optimal financing policies. </w:t>
      </w:r>
      <w:r w:rsidRPr="00EE0A97">
        <w:rPr>
          <w:rFonts w:asciiTheme="majorBidi" w:hAnsiTheme="majorBidi" w:cstheme="majorBidi"/>
          <w:i/>
          <w:iCs/>
        </w:rPr>
        <w:t>Journal of Financial Economics, 26</w:t>
      </w:r>
      <w:r w:rsidRPr="00EE0A97">
        <w:rPr>
          <w:rFonts w:asciiTheme="majorBidi" w:hAnsiTheme="majorBidi" w:cstheme="majorBidi"/>
        </w:rPr>
        <w:t>(1), 3-27.</w:t>
      </w:r>
    </w:p>
    <w:p w14:paraId="4062158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Stulz, R. M., &amp; Williamson, R. (2003). Culture, openness, and finance. </w:t>
      </w:r>
      <w:r w:rsidRPr="00EE0A97">
        <w:rPr>
          <w:rFonts w:asciiTheme="majorBidi" w:hAnsiTheme="majorBidi" w:cstheme="majorBidi"/>
          <w:i/>
          <w:iCs/>
        </w:rPr>
        <w:t>Journal of Financial Economics, 70</w:t>
      </w:r>
      <w:r w:rsidRPr="00EE0A97">
        <w:rPr>
          <w:rFonts w:asciiTheme="majorBidi" w:hAnsiTheme="majorBidi" w:cstheme="majorBidi"/>
        </w:rPr>
        <w:t>(3), 313-349.</w:t>
      </w:r>
    </w:p>
    <w:p w14:paraId="0DE1A9E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Tian, G. Y., &amp; Twite, G. (2011). Corporate governance, external market discipline and firm productivity. </w:t>
      </w:r>
      <w:r w:rsidRPr="00EE0A97">
        <w:rPr>
          <w:rFonts w:asciiTheme="majorBidi" w:hAnsiTheme="majorBidi" w:cstheme="majorBidi"/>
          <w:i/>
          <w:iCs/>
        </w:rPr>
        <w:t>Journal of Corporate Finance, 17</w:t>
      </w:r>
      <w:r w:rsidRPr="00EE0A97">
        <w:rPr>
          <w:rFonts w:asciiTheme="majorBidi" w:hAnsiTheme="majorBidi" w:cstheme="majorBidi"/>
        </w:rPr>
        <w:t>(3), 403-417.</w:t>
      </w:r>
    </w:p>
    <w:p w14:paraId="2540AB90"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Walsh, J. P., &amp; Seward, J. K. (1990). On the Efficiency of Internal and External Corporate Control Mechanisms. </w:t>
      </w:r>
      <w:r w:rsidRPr="00EE0A97">
        <w:rPr>
          <w:rFonts w:asciiTheme="majorBidi" w:hAnsiTheme="majorBidi" w:cstheme="majorBidi"/>
          <w:i/>
          <w:iCs/>
        </w:rPr>
        <w:t>The Academy of Management Review, 15</w:t>
      </w:r>
      <w:r w:rsidRPr="00EE0A97">
        <w:rPr>
          <w:rFonts w:asciiTheme="majorBidi" w:hAnsiTheme="majorBidi" w:cstheme="majorBidi"/>
        </w:rPr>
        <w:t>(3), 421-458.</w:t>
      </w:r>
    </w:p>
    <w:p w14:paraId="3D026B36"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Wang, J., &amp; Ye, K. (2015). Media Coverage and Firm Valuation: Evidence from China. </w:t>
      </w:r>
      <w:r w:rsidRPr="00EE0A97">
        <w:rPr>
          <w:rFonts w:asciiTheme="majorBidi" w:hAnsiTheme="majorBidi" w:cstheme="majorBidi"/>
          <w:i/>
          <w:iCs/>
        </w:rPr>
        <w:t>Journal of Business Ethics, 127</w:t>
      </w:r>
      <w:r w:rsidRPr="00EE0A97">
        <w:rPr>
          <w:rFonts w:asciiTheme="majorBidi" w:hAnsiTheme="majorBidi" w:cstheme="majorBidi"/>
        </w:rPr>
        <w:t>(3), 501-511.</w:t>
      </w:r>
    </w:p>
    <w:p w14:paraId="20D7BD6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Westphal, J. D., &amp; Deephouse, D. L. (2010). Avoiding Bad Press: Interpersonal Influence in Relations Between CEOs and Journalists and the Consequences for Press Reporting About Firms and Their Leadership. </w:t>
      </w:r>
      <w:r w:rsidRPr="00EE0A97">
        <w:rPr>
          <w:rFonts w:asciiTheme="majorBidi" w:hAnsiTheme="majorBidi" w:cstheme="majorBidi"/>
          <w:i/>
          <w:iCs/>
        </w:rPr>
        <w:t>Organization Science, 22</w:t>
      </w:r>
      <w:r w:rsidRPr="00EE0A97">
        <w:rPr>
          <w:rFonts w:asciiTheme="majorBidi" w:hAnsiTheme="majorBidi" w:cstheme="majorBidi"/>
        </w:rPr>
        <w:t>(4), 1061-1086.</w:t>
      </w:r>
    </w:p>
    <w:p w14:paraId="0F8ACB07"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Wiesenfeld, B. M., Wurthmann, K. A., &amp; Hambrick, D. C. (2008). The Stigmatization and Devaluation of Elites Associated with Corporate Failures: A Process Model. </w:t>
      </w:r>
      <w:r w:rsidRPr="00EE0A97">
        <w:rPr>
          <w:rFonts w:asciiTheme="majorBidi" w:hAnsiTheme="majorBidi" w:cstheme="majorBidi"/>
          <w:i/>
          <w:iCs/>
        </w:rPr>
        <w:t>The Academy of Management Review, 33</w:t>
      </w:r>
      <w:r w:rsidRPr="00EE0A97">
        <w:rPr>
          <w:rFonts w:asciiTheme="majorBidi" w:hAnsiTheme="majorBidi" w:cstheme="majorBidi"/>
        </w:rPr>
        <w:t>(1), 231-251.</w:t>
      </w:r>
    </w:p>
    <w:p w14:paraId="5A9B8982"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Wintoki, M. B., Linck, J. S., &amp; Netter, J. M. (2012). Endogeneity and the dynamics of internal corporate governance. </w:t>
      </w:r>
      <w:r w:rsidRPr="00EE0A97">
        <w:rPr>
          <w:rFonts w:asciiTheme="majorBidi" w:hAnsiTheme="majorBidi" w:cstheme="majorBidi"/>
          <w:i/>
          <w:iCs/>
        </w:rPr>
        <w:t>Journal of Financial Economics, 105</w:t>
      </w:r>
      <w:r w:rsidRPr="00EE0A97">
        <w:rPr>
          <w:rFonts w:asciiTheme="majorBidi" w:hAnsiTheme="majorBidi" w:cstheme="majorBidi"/>
        </w:rPr>
        <w:t>(3), 581-606.</w:t>
      </w:r>
    </w:p>
    <w:p w14:paraId="1BF72263"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Wurgler, J. (2000). Financial markets and the allocation of capital. </w:t>
      </w:r>
      <w:r w:rsidRPr="00EE0A97">
        <w:rPr>
          <w:rFonts w:asciiTheme="majorBidi" w:hAnsiTheme="majorBidi" w:cstheme="majorBidi"/>
          <w:i/>
          <w:iCs/>
        </w:rPr>
        <w:t>Journal of Financial Economics, 58</w:t>
      </w:r>
      <w:r w:rsidRPr="00EE0A97">
        <w:rPr>
          <w:rFonts w:asciiTheme="majorBidi" w:hAnsiTheme="majorBidi" w:cstheme="majorBidi"/>
        </w:rPr>
        <w:t>(1–2), 187-214.</w:t>
      </w:r>
    </w:p>
    <w:p w14:paraId="72EEE17D" w14:textId="77777777" w:rsidR="00EE0A97" w:rsidRPr="00EE0A97"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Yoshikawa, T., &amp; Rasheed, A. A. (2009). Convergence of Corporate Governance: Critical Review and Future Directions. </w:t>
      </w:r>
      <w:r w:rsidRPr="00EE0A97">
        <w:rPr>
          <w:rFonts w:asciiTheme="majorBidi" w:hAnsiTheme="majorBidi" w:cstheme="majorBidi"/>
          <w:i/>
          <w:iCs/>
        </w:rPr>
        <w:t>Corporate Governance: An International Review, 17</w:t>
      </w:r>
      <w:r w:rsidRPr="00EE0A97">
        <w:rPr>
          <w:rFonts w:asciiTheme="majorBidi" w:hAnsiTheme="majorBidi" w:cstheme="majorBidi"/>
        </w:rPr>
        <w:t>(3), 388-404.</w:t>
      </w:r>
    </w:p>
    <w:p w14:paraId="514D7B16" w14:textId="6418F29B" w:rsidR="004E3C0F" w:rsidRDefault="00EE0A97" w:rsidP="00305090">
      <w:pPr>
        <w:autoSpaceDE w:val="0"/>
        <w:autoSpaceDN w:val="0"/>
        <w:adjustRightInd w:val="0"/>
        <w:spacing w:afterLines="80" w:after="192" w:line="240" w:lineRule="auto"/>
        <w:ind w:left="567" w:hanging="567"/>
        <w:jc w:val="both"/>
        <w:rPr>
          <w:rFonts w:asciiTheme="majorBidi" w:hAnsiTheme="majorBidi" w:cstheme="majorBidi"/>
        </w:rPr>
      </w:pPr>
      <w:r w:rsidRPr="00EE0A97">
        <w:rPr>
          <w:rFonts w:asciiTheme="majorBidi" w:hAnsiTheme="majorBidi" w:cstheme="majorBidi"/>
        </w:rPr>
        <w:t xml:space="preserve">Zhang, H., &amp; Su, Z. (2015). Does media governance restrict corporate overinvestment behavior? Evidence from Chinese listed firms. </w:t>
      </w:r>
      <w:r w:rsidRPr="00EE0A97">
        <w:rPr>
          <w:rFonts w:asciiTheme="majorBidi" w:hAnsiTheme="majorBidi" w:cstheme="majorBidi"/>
          <w:i/>
          <w:iCs/>
        </w:rPr>
        <w:t>China Journal of Accounting Research, 8</w:t>
      </w:r>
      <w:r w:rsidRPr="00EE0A97">
        <w:rPr>
          <w:rFonts w:asciiTheme="majorBidi" w:hAnsiTheme="majorBidi" w:cstheme="majorBidi"/>
        </w:rPr>
        <w:t>(1), 41-57.</w:t>
      </w:r>
    </w:p>
    <w:p w14:paraId="382022D1" w14:textId="77777777" w:rsidR="006B2419" w:rsidRDefault="006B2419" w:rsidP="00BF2605">
      <w:pPr>
        <w:tabs>
          <w:tab w:val="left" w:pos="426"/>
        </w:tabs>
        <w:rPr>
          <w:rFonts w:asciiTheme="majorBidi" w:hAnsiTheme="majorBidi"/>
          <w:b/>
          <w:bCs/>
          <w:sz w:val="24"/>
          <w:szCs w:val="24"/>
        </w:rPr>
        <w:sectPr w:rsidR="006B2419" w:rsidSect="00BF2605">
          <w:pgSz w:w="12240" w:h="15840"/>
          <w:pgMar w:top="1440" w:right="1440" w:bottom="1440" w:left="1440" w:header="720" w:footer="720" w:gutter="0"/>
          <w:cols w:space="720"/>
          <w:docGrid w:linePitch="360"/>
        </w:sectPr>
      </w:pPr>
      <w:bookmarkStart w:id="7" w:name="_Toc468074526"/>
    </w:p>
    <w:p w14:paraId="1067F11A" w14:textId="037CDA28" w:rsidR="001E2E71" w:rsidRPr="001E2E71" w:rsidRDefault="001E2E71" w:rsidP="00BF2605">
      <w:pPr>
        <w:tabs>
          <w:tab w:val="left" w:pos="426"/>
        </w:tabs>
        <w:jc w:val="center"/>
        <w:rPr>
          <w:rFonts w:ascii="Times New Roman" w:hAnsi="Times New Roman" w:cs="Times New Roman"/>
          <w:sz w:val="24"/>
          <w:szCs w:val="24"/>
        </w:rPr>
      </w:pPr>
      <w:r>
        <w:rPr>
          <w:rFonts w:asciiTheme="majorBidi" w:hAnsiTheme="majorBidi"/>
          <w:b/>
          <w:bCs/>
          <w:sz w:val="24"/>
          <w:szCs w:val="24"/>
        </w:rPr>
        <w:lastRenderedPageBreak/>
        <w:t>APPENDIX I</w:t>
      </w:r>
      <w:bookmarkEnd w:id="7"/>
    </w:p>
    <w:tbl>
      <w:tblPr>
        <w:tblStyle w:val="TableGrid"/>
        <w:tblW w:w="10795" w:type="dxa"/>
        <w:jc w:val="center"/>
        <w:tblLook w:val="06A0" w:firstRow="1" w:lastRow="0" w:firstColumn="1" w:lastColumn="0" w:noHBand="1" w:noVBand="1"/>
      </w:tblPr>
      <w:tblGrid>
        <w:gridCol w:w="508"/>
        <w:gridCol w:w="10287"/>
      </w:tblGrid>
      <w:tr w:rsidR="00F619CC" w:rsidRPr="007678DA" w14:paraId="542E21F5" w14:textId="77777777" w:rsidTr="00A5344F">
        <w:trPr>
          <w:jc w:val="center"/>
        </w:trPr>
        <w:tc>
          <w:tcPr>
            <w:tcW w:w="1079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E992505" w14:textId="55D687CB" w:rsidR="00F619CC" w:rsidRPr="00653CC9" w:rsidRDefault="00F619CC" w:rsidP="00B528D0">
            <w:pPr>
              <w:tabs>
                <w:tab w:val="left" w:pos="426"/>
              </w:tabs>
              <w:spacing w:line="360" w:lineRule="auto"/>
              <w:ind w:left="426" w:hanging="426"/>
              <w:jc w:val="center"/>
              <w:rPr>
                <w:rFonts w:ascii="Times New Roman" w:hAnsi="Times New Roman" w:cs="Times New Roman"/>
                <w:b/>
                <w:bCs/>
              </w:rPr>
            </w:pPr>
            <w:r w:rsidRPr="00653CC9">
              <w:rPr>
                <w:rFonts w:ascii="Times New Roman" w:hAnsi="Times New Roman" w:cs="Times New Roman"/>
                <w:b/>
                <w:bCs/>
              </w:rPr>
              <w:t xml:space="preserve">Corporate Governance </w:t>
            </w:r>
            <w:r w:rsidR="00B528D0">
              <w:rPr>
                <w:rFonts w:ascii="Times New Roman" w:hAnsi="Times New Roman" w:cs="Times New Roman"/>
                <w:b/>
                <w:bCs/>
              </w:rPr>
              <w:t>T</w:t>
            </w:r>
            <w:r w:rsidRPr="00653CC9">
              <w:rPr>
                <w:rFonts w:ascii="Times New Roman" w:hAnsi="Times New Roman" w:cs="Times New Roman"/>
                <w:b/>
                <w:bCs/>
              </w:rPr>
              <w:t xml:space="preserve">hresholds </w:t>
            </w:r>
            <w:r w:rsidR="00B528D0">
              <w:rPr>
                <w:rFonts w:ascii="Times New Roman" w:hAnsi="Times New Roman" w:cs="Times New Roman"/>
                <w:b/>
                <w:bCs/>
              </w:rPr>
              <w:t>P</w:t>
            </w:r>
            <w:r w:rsidRPr="00653CC9">
              <w:rPr>
                <w:rFonts w:ascii="Times New Roman" w:hAnsi="Times New Roman" w:cs="Times New Roman"/>
                <w:b/>
                <w:bCs/>
              </w:rPr>
              <w:t xml:space="preserve">rovided by the ISS Governance QuickScore 3.0 </w:t>
            </w:r>
          </w:p>
        </w:tc>
      </w:tr>
      <w:tr w:rsidR="00F619CC" w14:paraId="1EC15685" w14:textId="77777777" w:rsidTr="00A5344F">
        <w:trPr>
          <w:jc w:val="center"/>
        </w:trPr>
        <w:tc>
          <w:tcPr>
            <w:tcW w:w="10795" w:type="dxa"/>
            <w:gridSpan w:val="2"/>
            <w:tcBorders>
              <w:left w:val="nil"/>
              <w:bottom w:val="nil"/>
              <w:right w:val="nil"/>
            </w:tcBorders>
            <w:vAlign w:val="center"/>
          </w:tcPr>
          <w:p w14:paraId="08D998A3" w14:textId="77777777" w:rsidR="00F619CC" w:rsidRPr="00293A60" w:rsidRDefault="00F619CC" w:rsidP="002A388E">
            <w:pPr>
              <w:tabs>
                <w:tab w:val="left" w:pos="426"/>
              </w:tabs>
              <w:spacing w:before="100"/>
              <w:jc w:val="center"/>
              <w:rPr>
                <w:rFonts w:ascii="Times New Roman" w:hAnsi="Times New Roman" w:cs="Times New Roman"/>
                <w:b/>
                <w:bCs/>
              </w:rPr>
            </w:pPr>
            <w:r w:rsidRPr="00293A60">
              <w:rPr>
                <w:rFonts w:ascii="Times New Roman" w:hAnsi="Times New Roman" w:cs="Times New Roman"/>
                <w:b/>
                <w:bCs/>
              </w:rPr>
              <w:t>Attributes</w:t>
            </w:r>
          </w:p>
        </w:tc>
      </w:tr>
      <w:tr w:rsidR="00F619CC" w14:paraId="5D32DE04" w14:textId="77777777" w:rsidTr="00A5344F">
        <w:trPr>
          <w:jc w:val="center"/>
        </w:trPr>
        <w:tc>
          <w:tcPr>
            <w:tcW w:w="10795" w:type="dxa"/>
            <w:gridSpan w:val="2"/>
            <w:tcBorders>
              <w:top w:val="nil"/>
              <w:left w:val="nil"/>
              <w:bottom w:val="nil"/>
              <w:right w:val="nil"/>
            </w:tcBorders>
            <w:vAlign w:val="center"/>
          </w:tcPr>
          <w:p w14:paraId="7A20F3B8" w14:textId="77777777" w:rsidR="00F619CC" w:rsidRPr="00293A60" w:rsidRDefault="00F619CC" w:rsidP="002A388E">
            <w:pPr>
              <w:tabs>
                <w:tab w:val="left" w:pos="426"/>
              </w:tabs>
              <w:spacing w:before="100"/>
              <w:jc w:val="center"/>
              <w:rPr>
                <w:rFonts w:ascii="Times New Roman" w:hAnsi="Times New Roman" w:cs="Times New Roman"/>
              </w:rPr>
            </w:pPr>
            <w:r w:rsidRPr="00293A60">
              <w:rPr>
                <w:rFonts w:ascii="Times New Roman" w:hAnsi="Times New Roman" w:cs="Times New Roman"/>
                <w:b/>
                <w:bCs/>
              </w:rPr>
              <w:t>Board Structure and Policies</w:t>
            </w:r>
          </w:p>
        </w:tc>
      </w:tr>
      <w:tr w:rsidR="00F619CC" w:rsidRPr="00293A60" w14:paraId="59357894" w14:textId="77777777" w:rsidTr="00A5344F">
        <w:trPr>
          <w:jc w:val="center"/>
        </w:trPr>
        <w:tc>
          <w:tcPr>
            <w:tcW w:w="508" w:type="dxa"/>
            <w:tcBorders>
              <w:top w:val="nil"/>
              <w:left w:val="nil"/>
              <w:bottom w:val="nil"/>
              <w:right w:val="nil"/>
            </w:tcBorders>
            <w:vAlign w:val="center"/>
          </w:tcPr>
          <w:p w14:paraId="037C292E"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D448880" w14:textId="33FBFEF3"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Average attendance of board meetings is at least 75</w:t>
            </w:r>
            <w:r w:rsidR="00F27C61">
              <w:rPr>
                <w:rFonts w:ascii="Times New Roman" w:hAnsi="Times New Roman" w:cs="Times New Roman"/>
              </w:rPr>
              <w:t xml:space="preserve"> percent</w:t>
            </w:r>
          </w:p>
        </w:tc>
      </w:tr>
      <w:tr w:rsidR="00F619CC" w:rsidRPr="00293A60" w14:paraId="6A7BDBAD" w14:textId="77777777" w:rsidTr="00A5344F">
        <w:trPr>
          <w:jc w:val="center"/>
        </w:trPr>
        <w:tc>
          <w:tcPr>
            <w:tcW w:w="508" w:type="dxa"/>
            <w:tcBorders>
              <w:top w:val="nil"/>
              <w:left w:val="nil"/>
              <w:bottom w:val="nil"/>
              <w:right w:val="nil"/>
            </w:tcBorders>
            <w:vAlign w:val="center"/>
          </w:tcPr>
          <w:p w14:paraId="735FBD0C"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3AE47C28" w14:textId="262538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Board is controlled by more than 50</w:t>
            </w:r>
            <w:r w:rsidR="00F27C61">
              <w:rPr>
                <w:rFonts w:ascii="Times New Roman" w:hAnsi="Times New Roman" w:cs="Times New Roman"/>
              </w:rPr>
              <w:t xml:space="preserve"> percent</w:t>
            </w:r>
            <w:r w:rsidRPr="00293A60">
              <w:rPr>
                <w:rFonts w:ascii="Times New Roman" w:hAnsi="Times New Roman" w:cs="Times New Roman"/>
              </w:rPr>
              <w:t xml:space="preserve"> independent outside directors</w:t>
            </w:r>
          </w:p>
        </w:tc>
      </w:tr>
      <w:tr w:rsidR="00F619CC" w:rsidRPr="00293A60" w14:paraId="64BB91EF" w14:textId="77777777" w:rsidTr="00A5344F">
        <w:trPr>
          <w:jc w:val="center"/>
        </w:trPr>
        <w:tc>
          <w:tcPr>
            <w:tcW w:w="508" w:type="dxa"/>
            <w:tcBorders>
              <w:top w:val="nil"/>
              <w:left w:val="nil"/>
              <w:bottom w:val="nil"/>
              <w:right w:val="nil"/>
            </w:tcBorders>
            <w:vAlign w:val="center"/>
          </w:tcPr>
          <w:p w14:paraId="2CA77130"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2EAE0326"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Board size is not less than 6 but not greater than 15</w:t>
            </w:r>
          </w:p>
        </w:tc>
      </w:tr>
      <w:tr w:rsidR="00F619CC" w:rsidRPr="00293A60" w14:paraId="4F6D739B" w14:textId="77777777" w:rsidTr="00A5344F">
        <w:trPr>
          <w:jc w:val="center"/>
        </w:trPr>
        <w:tc>
          <w:tcPr>
            <w:tcW w:w="508" w:type="dxa"/>
            <w:tcBorders>
              <w:top w:val="nil"/>
              <w:left w:val="nil"/>
              <w:bottom w:val="nil"/>
              <w:right w:val="nil"/>
            </w:tcBorders>
            <w:vAlign w:val="center"/>
          </w:tcPr>
          <w:p w14:paraId="0ADA6275"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76FFD3C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Board has a policy on diversity</w:t>
            </w:r>
          </w:p>
        </w:tc>
      </w:tr>
      <w:tr w:rsidR="00F619CC" w:rsidRPr="00293A60" w14:paraId="293801CF" w14:textId="77777777" w:rsidTr="00A5344F">
        <w:trPr>
          <w:jc w:val="center"/>
        </w:trPr>
        <w:tc>
          <w:tcPr>
            <w:tcW w:w="508" w:type="dxa"/>
            <w:tcBorders>
              <w:top w:val="nil"/>
              <w:left w:val="nil"/>
              <w:bottom w:val="nil"/>
              <w:right w:val="nil"/>
            </w:tcBorders>
            <w:vAlign w:val="center"/>
          </w:tcPr>
          <w:p w14:paraId="34F8DF32"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A974B7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No former CEO on the board</w:t>
            </w:r>
          </w:p>
        </w:tc>
      </w:tr>
      <w:tr w:rsidR="00F619CC" w:rsidRPr="00293A60" w14:paraId="0814DC23" w14:textId="77777777" w:rsidTr="00A5344F">
        <w:trPr>
          <w:jc w:val="center"/>
        </w:trPr>
        <w:tc>
          <w:tcPr>
            <w:tcW w:w="508" w:type="dxa"/>
            <w:tcBorders>
              <w:top w:val="nil"/>
              <w:left w:val="nil"/>
              <w:bottom w:val="nil"/>
              <w:right w:val="nil"/>
            </w:tcBorders>
            <w:vAlign w:val="center"/>
          </w:tcPr>
          <w:p w14:paraId="64AA1E4A"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6D58F0A5"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Chairman and CEO are separated</w:t>
            </w:r>
          </w:p>
        </w:tc>
      </w:tr>
      <w:tr w:rsidR="00F619CC" w:rsidRPr="00293A60" w14:paraId="25432068" w14:textId="77777777" w:rsidTr="00A5344F">
        <w:trPr>
          <w:jc w:val="center"/>
        </w:trPr>
        <w:tc>
          <w:tcPr>
            <w:tcW w:w="508" w:type="dxa"/>
            <w:tcBorders>
              <w:top w:val="nil"/>
              <w:left w:val="nil"/>
              <w:bottom w:val="nil"/>
              <w:right w:val="nil"/>
            </w:tcBorders>
            <w:vAlign w:val="center"/>
          </w:tcPr>
          <w:p w14:paraId="234DD74D"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7C495B5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Compensation committee is composed of independent directors only</w:t>
            </w:r>
          </w:p>
        </w:tc>
      </w:tr>
      <w:tr w:rsidR="00F619CC" w:rsidRPr="00293A60" w14:paraId="1B7302DE" w14:textId="77777777" w:rsidTr="00A5344F">
        <w:trPr>
          <w:jc w:val="center"/>
        </w:trPr>
        <w:tc>
          <w:tcPr>
            <w:tcW w:w="508" w:type="dxa"/>
            <w:tcBorders>
              <w:top w:val="nil"/>
              <w:left w:val="nil"/>
              <w:bottom w:val="nil"/>
              <w:right w:val="nil"/>
            </w:tcBorders>
            <w:vAlign w:val="center"/>
          </w:tcPr>
          <w:p w14:paraId="1B3F07FB"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5C21E5A0"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Nominating committee is composed of independent directors only</w:t>
            </w:r>
          </w:p>
        </w:tc>
      </w:tr>
      <w:tr w:rsidR="00F619CC" w:rsidRPr="00293A60" w14:paraId="0A8986C0" w14:textId="77777777" w:rsidTr="00A5344F">
        <w:trPr>
          <w:jc w:val="center"/>
        </w:trPr>
        <w:tc>
          <w:tcPr>
            <w:tcW w:w="508" w:type="dxa"/>
            <w:tcBorders>
              <w:top w:val="nil"/>
              <w:left w:val="nil"/>
              <w:bottom w:val="nil"/>
              <w:right w:val="nil"/>
            </w:tcBorders>
            <w:vAlign w:val="center"/>
          </w:tcPr>
          <w:p w14:paraId="2641CD06"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56338D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Audit committee is composed of independent directors only</w:t>
            </w:r>
          </w:p>
        </w:tc>
      </w:tr>
      <w:tr w:rsidR="00F619CC" w:rsidRPr="00293A60" w14:paraId="4025300B" w14:textId="77777777" w:rsidTr="00A5344F">
        <w:trPr>
          <w:jc w:val="center"/>
        </w:trPr>
        <w:tc>
          <w:tcPr>
            <w:tcW w:w="508" w:type="dxa"/>
            <w:tcBorders>
              <w:top w:val="nil"/>
              <w:left w:val="nil"/>
              <w:bottom w:val="nil"/>
              <w:right w:val="nil"/>
            </w:tcBorders>
            <w:vAlign w:val="center"/>
          </w:tcPr>
          <w:p w14:paraId="59032F04"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6A2FA04A"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Governance committee or similar committee exists</w:t>
            </w:r>
          </w:p>
        </w:tc>
      </w:tr>
      <w:tr w:rsidR="00F619CC" w:rsidRPr="00293A60" w14:paraId="630D0C0B" w14:textId="77777777" w:rsidTr="00A5344F">
        <w:trPr>
          <w:jc w:val="center"/>
        </w:trPr>
        <w:tc>
          <w:tcPr>
            <w:tcW w:w="508" w:type="dxa"/>
            <w:tcBorders>
              <w:top w:val="nil"/>
              <w:left w:val="nil"/>
              <w:bottom w:val="nil"/>
              <w:right w:val="nil"/>
            </w:tcBorders>
            <w:vAlign w:val="center"/>
          </w:tcPr>
          <w:p w14:paraId="6DB0E4D1"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3647296D"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Average number of other corporate affiliations for the board member not greater than four</w:t>
            </w:r>
          </w:p>
        </w:tc>
      </w:tr>
      <w:tr w:rsidR="00F619CC" w:rsidRPr="00293A60" w14:paraId="24530B14" w14:textId="77777777" w:rsidTr="00A5344F">
        <w:trPr>
          <w:jc w:val="center"/>
        </w:trPr>
        <w:tc>
          <w:tcPr>
            <w:tcW w:w="508" w:type="dxa"/>
            <w:tcBorders>
              <w:top w:val="nil"/>
              <w:left w:val="nil"/>
              <w:bottom w:val="nil"/>
              <w:right w:val="nil"/>
            </w:tcBorders>
            <w:vAlign w:val="center"/>
          </w:tcPr>
          <w:p w14:paraId="0693ECD9"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73F1F50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Governance guidelines are publicly disclosed</w:t>
            </w:r>
          </w:p>
        </w:tc>
      </w:tr>
      <w:tr w:rsidR="00F619CC" w:rsidRPr="00293A60" w14:paraId="7DD0F5E1" w14:textId="77777777" w:rsidTr="00A5344F">
        <w:trPr>
          <w:jc w:val="center"/>
        </w:trPr>
        <w:tc>
          <w:tcPr>
            <w:tcW w:w="508" w:type="dxa"/>
            <w:tcBorders>
              <w:top w:val="nil"/>
              <w:left w:val="nil"/>
              <w:bottom w:val="nil"/>
              <w:right w:val="nil"/>
            </w:tcBorders>
            <w:vAlign w:val="center"/>
          </w:tcPr>
          <w:p w14:paraId="20DCD4CF"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52DCDB2C"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No staggered board (frequently elected board)</w:t>
            </w:r>
          </w:p>
        </w:tc>
      </w:tr>
      <w:tr w:rsidR="00F619CC" w:rsidRPr="00293A60" w14:paraId="444A5A1E" w14:textId="77777777" w:rsidTr="00A5344F">
        <w:trPr>
          <w:jc w:val="center"/>
        </w:trPr>
        <w:tc>
          <w:tcPr>
            <w:tcW w:w="508" w:type="dxa"/>
            <w:tcBorders>
              <w:top w:val="nil"/>
              <w:left w:val="nil"/>
              <w:bottom w:val="nil"/>
              <w:right w:val="nil"/>
            </w:tcBorders>
            <w:vAlign w:val="center"/>
          </w:tcPr>
          <w:p w14:paraId="5475C334"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4CE9581"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Majority vote requirement to amend charter/bylaws (no rights to vote or supermajority required)</w:t>
            </w:r>
          </w:p>
        </w:tc>
      </w:tr>
      <w:tr w:rsidR="00F619CC" w:rsidRPr="00293A60" w14:paraId="25B0F64D" w14:textId="77777777" w:rsidTr="00A5344F">
        <w:trPr>
          <w:jc w:val="center"/>
        </w:trPr>
        <w:tc>
          <w:tcPr>
            <w:tcW w:w="508" w:type="dxa"/>
            <w:tcBorders>
              <w:top w:val="nil"/>
              <w:left w:val="nil"/>
              <w:bottom w:val="nil"/>
              <w:right w:val="nil"/>
            </w:tcBorders>
            <w:vAlign w:val="center"/>
          </w:tcPr>
          <w:p w14:paraId="73700C15"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2C8C8401" w14:textId="24EB79C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No limitations on shareholders' right to remove board members (only for cause, supermajority vote required, etc.)</w:t>
            </w:r>
          </w:p>
        </w:tc>
      </w:tr>
      <w:tr w:rsidR="00F619CC" w:rsidRPr="00293A60" w14:paraId="649F664B" w14:textId="77777777" w:rsidTr="00A5344F">
        <w:trPr>
          <w:jc w:val="center"/>
        </w:trPr>
        <w:tc>
          <w:tcPr>
            <w:tcW w:w="508" w:type="dxa"/>
            <w:tcBorders>
              <w:top w:val="nil"/>
              <w:left w:val="nil"/>
              <w:bottom w:val="nil"/>
              <w:right w:val="nil"/>
            </w:tcBorders>
            <w:vAlign w:val="center"/>
          </w:tcPr>
          <w:p w14:paraId="10E5BCF2"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588E42A4"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Board has the authority to hire its own advisors</w:t>
            </w:r>
          </w:p>
        </w:tc>
      </w:tr>
      <w:tr w:rsidR="00F619CC" w:rsidRPr="00293A60" w14:paraId="65CE25A6" w14:textId="77777777" w:rsidTr="00A5344F">
        <w:trPr>
          <w:jc w:val="center"/>
        </w:trPr>
        <w:tc>
          <w:tcPr>
            <w:tcW w:w="508" w:type="dxa"/>
            <w:tcBorders>
              <w:top w:val="nil"/>
              <w:left w:val="nil"/>
              <w:bottom w:val="nil"/>
              <w:right w:val="nil"/>
            </w:tcBorders>
            <w:vAlign w:val="center"/>
          </w:tcPr>
          <w:p w14:paraId="5224277B"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500B8A86"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Performance of the board is reviewed regularly</w:t>
            </w:r>
          </w:p>
        </w:tc>
      </w:tr>
      <w:tr w:rsidR="00F619CC" w:rsidRPr="00293A60" w14:paraId="4BCACF61" w14:textId="77777777" w:rsidTr="00A5344F">
        <w:trPr>
          <w:jc w:val="center"/>
        </w:trPr>
        <w:tc>
          <w:tcPr>
            <w:tcW w:w="508" w:type="dxa"/>
            <w:tcBorders>
              <w:top w:val="nil"/>
              <w:left w:val="nil"/>
              <w:bottom w:val="nil"/>
              <w:right w:val="nil"/>
            </w:tcBorders>
            <w:vAlign w:val="center"/>
          </w:tcPr>
          <w:p w14:paraId="30872B85"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C9D5B77"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Cumulative voting rights for shareholders</w:t>
            </w:r>
          </w:p>
        </w:tc>
      </w:tr>
      <w:tr w:rsidR="00F619CC" w:rsidRPr="00293A60" w14:paraId="305360CB" w14:textId="77777777" w:rsidTr="00A5344F">
        <w:trPr>
          <w:jc w:val="center"/>
        </w:trPr>
        <w:tc>
          <w:tcPr>
            <w:tcW w:w="508" w:type="dxa"/>
            <w:tcBorders>
              <w:top w:val="nil"/>
              <w:left w:val="nil"/>
              <w:bottom w:val="nil"/>
              <w:right w:val="nil"/>
            </w:tcBorders>
            <w:vAlign w:val="center"/>
          </w:tcPr>
          <w:p w14:paraId="3E828C56"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314E9FC0"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A succession plan for executives is in place</w:t>
            </w:r>
          </w:p>
        </w:tc>
      </w:tr>
      <w:tr w:rsidR="00F619CC" w:rsidRPr="00293A60" w14:paraId="74219BAE" w14:textId="77777777" w:rsidTr="00A5344F">
        <w:trPr>
          <w:jc w:val="center"/>
        </w:trPr>
        <w:tc>
          <w:tcPr>
            <w:tcW w:w="508" w:type="dxa"/>
            <w:tcBorders>
              <w:top w:val="nil"/>
              <w:left w:val="nil"/>
              <w:bottom w:val="nil"/>
              <w:right w:val="nil"/>
            </w:tcBorders>
            <w:vAlign w:val="center"/>
          </w:tcPr>
          <w:p w14:paraId="09B50FA3"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02258310"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Policy on limit of the number of years of board membership</w:t>
            </w:r>
          </w:p>
        </w:tc>
      </w:tr>
      <w:tr w:rsidR="00F619CC" w:rsidRPr="00293A60" w14:paraId="6700F00B" w14:textId="77777777" w:rsidTr="00A5344F">
        <w:trPr>
          <w:jc w:val="center"/>
        </w:trPr>
        <w:tc>
          <w:tcPr>
            <w:tcW w:w="10795" w:type="dxa"/>
            <w:gridSpan w:val="2"/>
            <w:tcBorders>
              <w:top w:val="nil"/>
              <w:left w:val="nil"/>
              <w:bottom w:val="nil"/>
              <w:right w:val="nil"/>
            </w:tcBorders>
            <w:vAlign w:val="center"/>
          </w:tcPr>
          <w:p w14:paraId="485E5C1F" w14:textId="77777777" w:rsidR="00F619CC" w:rsidRPr="00293A60" w:rsidRDefault="00F619CC" w:rsidP="002A388E">
            <w:pPr>
              <w:tabs>
                <w:tab w:val="left" w:pos="426"/>
              </w:tabs>
              <w:spacing w:before="100"/>
              <w:jc w:val="center"/>
              <w:rPr>
                <w:rFonts w:ascii="Times New Roman" w:hAnsi="Times New Roman" w:cs="Times New Roman"/>
              </w:rPr>
            </w:pPr>
            <w:r w:rsidRPr="00293A60">
              <w:rPr>
                <w:rFonts w:ascii="Times New Roman" w:hAnsi="Times New Roman" w:cs="Times New Roman"/>
                <w:b/>
                <w:bCs/>
              </w:rPr>
              <w:t>Anti-takeover Provisions</w:t>
            </w:r>
          </w:p>
        </w:tc>
      </w:tr>
      <w:tr w:rsidR="00F619CC" w:rsidRPr="00293A60" w14:paraId="68F8D07D" w14:textId="77777777" w:rsidTr="00A5344F">
        <w:trPr>
          <w:jc w:val="center"/>
        </w:trPr>
        <w:tc>
          <w:tcPr>
            <w:tcW w:w="508" w:type="dxa"/>
            <w:tcBorders>
              <w:top w:val="nil"/>
              <w:left w:val="nil"/>
              <w:bottom w:val="nil"/>
              <w:right w:val="nil"/>
            </w:tcBorders>
            <w:vAlign w:val="center"/>
          </w:tcPr>
          <w:p w14:paraId="2A05CD95"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3BACA312"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Single class, common</w:t>
            </w:r>
          </w:p>
        </w:tc>
      </w:tr>
      <w:tr w:rsidR="00F619CC" w:rsidRPr="00293A60" w14:paraId="11CAA7FB" w14:textId="77777777" w:rsidTr="00A5344F">
        <w:trPr>
          <w:jc w:val="center"/>
        </w:trPr>
        <w:tc>
          <w:tcPr>
            <w:tcW w:w="508" w:type="dxa"/>
            <w:tcBorders>
              <w:top w:val="nil"/>
              <w:left w:val="nil"/>
              <w:bottom w:val="nil"/>
              <w:right w:val="nil"/>
            </w:tcBorders>
            <w:vAlign w:val="center"/>
          </w:tcPr>
          <w:p w14:paraId="2C633B48"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75E5F3E6"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Majority vote requirement to approve significant company transitions such as mergers and acquisitions (no rights to vote or supermajority required)</w:t>
            </w:r>
          </w:p>
        </w:tc>
      </w:tr>
      <w:tr w:rsidR="00F619CC" w:rsidRPr="00293A60" w14:paraId="69B7B1A3" w14:textId="77777777" w:rsidTr="00A5344F">
        <w:trPr>
          <w:jc w:val="center"/>
        </w:trPr>
        <w:tc>
          <w:tcPr>
            <w:tcW w:w="508" w:type="dxa"/>
            <w:tcBorders>
              <w:top w:val="nil"/>
              <w:left w:val="nil"/>
              <w:bottom w:val="nil"/>
              <w:right w:val="nil"/>
            </w:tcBorders>
            <w:vAlign w:val="center"/>
          </w:tcPr>
          <w:p w14:paraId="269B118A"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25FCAE4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 does not have a golden parachute or other similar clauses (compensation plan for accelerated pay-out)</w:t>
            </w:r>
          </w:p>
        </w:tc>
      </w:tr>
      <w:tr w:rsidR="00F619CC" w:rsidRPr="00293A60" w14:paraId="76295D24" w14:textId="77777777" w:rsidTr="00A5344F">
        <w:trPr>
          <w:jc w:val="center"/>
        </w:trPr>
        <w:tc>
          <w:tcPr>
            <w:tcW w:w="508" w:type="dxa"/>
            <w:tcBorders>
              <w:top w:val="nil"/>
              <w:left w:val="nil"/>
              <w:bottom w:val="nil"/>
              <w:right w:val="nil"/>
            </w:tcBorders>
            <w:vAlign w:val="center"/>
          </w:tcPr>
          <w:p w14:paraId="4726A91C"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31326A6B"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No limitations on shareholders’ rights to call special meetings</w:t>
            </w:r>
          </w:p>
        </w:tc>
      </w:tr>
      <w:tr w:rsidR="00F619CC" w:rsidRPr="00293A60" w14:paraId="38939E8C" w14:textId="77777777" w:rsidTr="00A5344F">
        <w:trPr>
          <w:jc w:val="center"/>
        </w:trPr>
        <w:tc>
          <w:tcPr>
            <w:tcW w:w="508" w:type="dxa"/>
            <w:tcBorders>
              <w:top w:val="nil"/>
              <w:left w:val="nil"/>
              <w:bottom w:val="nil"/>
              <w:right w:val="nil"/>
            </w:tcBorders>
            <w:vAlign w:val="center"/>
          </w:tcPr>
          <w:p w14:paraId="2BE718DA"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5BB136E4"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Company has no poison pill provisions</w:t>
            </w:r>
          </w:p>
        </w:tc>
      </w:tr>
      <w:tr w:rsidR="00F619CC" w:rsidRPr="00293A60" w14:paraId="29B0C5CA" w14:textId="77777777" w:rsidTr="00A5344F">
        <w:trPr>
          <w:jc w:val="center"/>
        </w:trPr>
        <w:tc>
          <w:tcPr>
            <w:tcW w:w="508" w:type="dxa"/>
            <w:tcBorders>
              <w:top w:val="nil"/>
              <w:left w:val="nil"/>
              <w:bottom w:val="nil"/>
              <w:right w:val="nil"/>
            </w:tcBorders>
            <w:vAlign w:val="center"/>
          </w:tcPr>
          <w:p w14:paraId="123632E9"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44BC426"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 has less than five anti-takeover devices in place</w:t>
            </w:r>
          </w:p>
        </w:tc>
      </w:tr>
      <w:tr w:rsidR="00F619CC" w:rsidRPr="00293A60" w14:paraId="7BCA9285" w14:textId="77777777" w:rsidTr="00A5344F">
        <w:trPr>
          <w:jc w:val="center"/>
        </w:trPr>
        <w:tc>
          <w:tcPr>
            <w:tcW w:w="508" w:type="dxa"/>
            <w:tcBorders>
              <w:top w:val="nil"/>
              <w:left w:val="nil"/>
              <w:bottom w:val="nil"/>
              <w:right w:val="nil"/>
            </w:tcBorders>
            <w:vAlign w:val="center"/>
          </w:tcPr>
          <w:p w14:paraId="7DA0A401"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16C0C176"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 does not have unlimited authorized capital or a blank check</w:t>
            </w:r>
          </w:p>
        </w:tc>
      </w:tr>
      <w:tr w:rsidR="00F619CC" w:rsidRPr="00293A60" w14:paraId="567C6BF8" w14:textId="77777777" w:rsidTr="00A5344F">
        <w:trPr>
          <w:jc w:val="center"/>
        </w:trPr>
        <w:tc>
          <w:tcPr>
            <w:tcW w:w="508" w:type="dxa"/>
            <w:tcBorders>
              <w:top w:val="nil"/>
              <w:left w:val="nil"/>
              <w:bottom w:val="nil"/>
              <w:right w:val="nil"/>
            </w:tcBorders>
            <w:vAlign w:val="center"/>
          </w:tcPr>
          <w:p w14:paraId="25640389"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08E86522"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 is not owned by a reference shareholder who has the majority of the voting rights, veto power or golden share</w:t>
            </w:r>
          </w:p>
        </w:tc>
      </w:tr>
      <w:tr w:rsidR="00F619CC" w:rsidRPr="00293A60" w14:paraId="34CACE1F" w14:textId="77777777" w:rsidTr="00A5344F">
        <w:trPr>
          <w:jc w:val="center"/>
        </w:trPr>
        <w:tc>
          <w:tcPr>
            <w:tcW w:w="508" w:type="dxa"/>
            <w:tcBorders>
              <w:top w:val="nil"/>
              <w:left w:val="nil"/>
              <w:bottom w:val="nil"/>
              <w:right w:val="nil"/>
            </w:tcBorders>
            <w:vAlign w:val="center"/>
          </w:tcPr>
          <w:p w14:paraId="7E46DFC8"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000401EF"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 permits actions to be taken without meeting by written consent</w:t>
            </w:r>
          </w:p>
        </w:tc>
      </w:tr>
      <w:tr w:rsidR="00F619CC" w:rsidRPr="00293A60" w14:paraId="647E7525" w14:textId="77777777" w:rsidTr="00A5344F">
        <w:trPr>
          <w:jc w:val="center"/>
        </w:trPr>
        <w:tc>
          <w:tcPr>
            <w:tcW w:w="10795" w:type="dxa"/>
            <w:gridSpan w:val="2"/>
            <w:tcBorders>
              <w:top w:val="nil"/>
              <w:left w:val="nil"/>
              <w:bottom w:val="nil"/>
              <w:right w:val="nil"/>
            </w:tcBorders>
            <w:vAlign w:val="center"/>
          </w:tcPr>
          <w:p w14:paraId="635239C0" w14:textId="77777777" w:rsidR="00F619CC" w:rsidRPr="00293A60" w:rsidRDefault="00F619CC" w:rsidP="002A388E">
            <w:pPr>
              <w:tabs>
                <w:tab w:val="left" w:pos="426"/>
              </w:tabs>
              <w:spacing w:before="100"/>
              <w:jc w:val="center"/>
              <w:rPr>
                <w:rFonts w:ascii="Times New Roman" w:hAnsi="Times New Roman" w:cs="Times New Roman"/>
              </w:rPr>
            </w:pPr>
            <w:r w:rsidRPr="00293A60">
              <w:rPr>
                <w:rFonts w:ascii="Times New Roman" w:hAnsi="Times New Roman" w:cs="Times New Roman"/>
                <w:b/>
                <w:bCs/>
              </w:rPr>
              <w:t>Compensation and Ownership</w:t>
            </w:r>
          </w:p>
        </w:tc>
      </w:tr>
      <w:tr w:rsidR="00F619CC" w:rsidRPr="00293A60" w14:paraId="6D12C5B4" w14:textId="77777777" w:rsidTr="00A5344F">
        <w:trPr>
          <w:jc w:val="center"/>
        </w:trPr>
        <w:tc>
          <w:tcPr>
            <w:tcW w:w="508" w:type="dxa"/>
            <w:tcBorders>
              <w:top w:val="nil"/>
              <w:left w:val="nil"/>
              <w:bottom w:val="nil"/>
              <w:right w:val="nil"/>
            </w:tcBorders>
            <w:vAlign w:val="center"/>
          </w:tcPr>
          <w:p w14:paraId="6260EE4C"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3BA2BBF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CEO compensation is linked to total shareholder return</w:t>
            </w:r>
          </w:p>
        </w:tc>
      </w:tr>
      <w:tr w:rsidR="00F619CC" w:rsidRPr="00293A60" w14:paraId="29DEDC86" w14:textId="77777777" w:rsidTr="00A5344F">
        <w:trPr>
          <w:jc w:val="center"/>
        </w:trPr>
        <w:tc>
          <w:tcPr>
            <w:tcW w:w="508" w:type="dxa"/>
            <w:tcBorders>
              <w:top w:val="nil"/>
              <w:left w:val="nil"/>
              <w:bottom w:val="nil"/>
              <w:right w:val="nil"/>
            </w:tcBorders>
            <w:vAlign w:val="center"/>
          </w:tcPr>
          <w:p w14:paraId="043780B5"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60514C09"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company's statutes or by-laws require that stock-options are only granted with a vote at a shareholder meeting</w:t>
            </w:r>
          </w:p>
        </w:tc>
      </w:tr>
      <w:tr w:rsidR="00F619CC" w:rsidRPr="00293A60" w14:paraId="0BC53B72" w14:textId="77777777" w:rsidTr="00A5344F">
        <w:trPr>
          <w:jc w:val="center"/>
        </w:trPr>
        <w:tc>
          <w:tcPr>
            <w:tcW w:w="508" w:type="dxa"/>
            <w:tcBorders>
              <w:top w:val="nil"/>
              <w:left w:val="nil"/>
              <w:bottom w:val="nil"/>
              <w:right w:val="nil"/>
            </w:tcBorders>
            <w:vAlign w:val="center"/>
          </w:tcPr>
          <w:p w14:paraId="65BEBFB1"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61CCE049"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 has a policy for performance-oriented compensation that attracts and retain the senior executives and board members</w:t>
            </w:r>
          </w:p>
        </w:tc>
      </w:tr>
      <w:tr w:rsidR="00F619CC" w:rsidRPr="00293A60" w14:paraId="43EA5DA1" w14:textId="77777777" w:rsidTr="00A5344F">
        <w:trPr>
          <w:jc w:val="center"/>
        </w:trPr>
        <w:tc>
          <w:tcPr>
            <w:tcW w:w="508" w:type="dxa"/>
            <w:tcBorders>
              <w:top w:val="nil"/>
              <w:left w:val="nil"/>
              <w:bottom w:val="nil"/>
              <w:right w:val="nil"/>
            </w:tcBorders>
            <w:vAlign w:val="center"/>
          </w:tcPr>
          <w:p w14:paraId="28863F9C"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1430A2E"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most recently granted stocks/options vest in a three-year period at a minimum</w:t>
            </w:r>
          </w:p>
        </w:tc>
      </w:tr>
      <w:tr w:rsidR="00F619CC" w:rsidRPr="00293A60" w14:paraId="74C60E71" w14:textId="77777777" w:rsidTr="00A5344F">
        <w:trPr>
          <w:jc w:val="center"/>
        </w:trPr>
        <w:tc>
          <w:tcPr>
            <w:tcW w:w="508" w:type="dxa"/>
            <w:tcBorders>
              <w:top w:val="nil"/>
              <w:left w:val="nil"/>
              <w:bottom w:val="nil"/>
              <w:right w:val="nil"/>
            </w:tcBorders>
            <w:vAlign w:val="center"/>
          </w:tcPr>
          <w:p w14:paraId="1116B7F1"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2F9B52D9"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company's shareholders have the right to vote on executive compensation</w:t>
            </w:r>
          </w:p>
        </w:tc>
      </w:tr>
      <w:tr w:rsidR="00F619CC" w:rsidRPr="00293A60" w14:paraId="0140C012" w14:textId="77777777" w:rsidTr="00A5344F">
        <w:trPr>
          <w:jc w:val="center"/>
        </w:trPr>
        <w:tc>
          <w:tcPr>
            <w:tcW w:w="508" w:type="dxa"/>
            <w:tcBorders>
              <w:top w:val="nil"/>
              <w:left w:val="nil"/>
              <w:bottom w:val="nil"/>
              <w:right w:val="nil"/>
            </w:tcBorders>
            <w:vAlign w:val="center"/>
          </w:tcPr>
          <w:p w14:paraId="6D250D6B"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bottom w:val="nil"/>
              <w:right w:val="nil"/>
            </w:tcBorders>
          </w:tcPr>
          <w:p w14:paraId="4180B230" w14:textId="77777777"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The remuneration of management and directors is partly linked to objectives or targets which are more than two years forward looking</w:t>
            </w:r>
          </w:p>
        </w:tc>
      </w:tr>
      <w:tr w:rsidR="00F619CC" w:rsidRPr="00293A60" w14:paraId="028266B1" w14:textId="77777777" w:rsidTr="002A388E">
        <w:trPr>
          <w:trHeight w:val="77"/>
          <w:jc w:val="center"/>
        </w:trPr>
        <w:tc>
          <w:tcPr>
            <w:tcW w:w="508" w:type="dxa"/>
            <w:tcBorders>
              <w:top w:val="nil"/>
              <w:left w:val="nil"/>
              <w:right w:val="nil"/>
            </w:tcBorders>
            <w:vAlign w:val="center"/>
          </w:tcPr>
          <w:p w14:paraId="2C1523D8" w14:textId="77777777" w:rsidR="00F619CC" w:rsidRPr="00293A60" w:rsidRDefault="00F619CC" w:rsidP="00293A60">
            <w:pPr>
              <w:pStyle w:val="ListParagraph"/>
              <w:numPr>
                <w:ilvl w:val="0"/>
                <w:numId w:val="5"/>
              </w:numPr>
              <w:tabs>
                <w:tab w:val="left" w:pos="426"/>
              </w:tabs>
              <w:rPr>
                <w:rFonts w:ascii="Times New Roman" w:hAnsi="Times New Roman" w:cs="Times New Roman"/>
                <w:b/>
                <w:bCs/>
              </w:rPr>
            </w:pPr>
          </w:p>
        </w:tc>
        <w:tc>
          <w:tcPr>
            <w:tcW w:w="10287" w:type="dxa"/>
            <w:tcBorders>
              <w:top w:val="nil"/>
              <w:left w:val="nil"/>
              <w:right w:val="nil"/>
            </w:tcBorders>
          </w:tcPr>
          <w:p w14:paraId="420CDCE0" w14:textId="0D562711" w:rsidR="00F619CC" w:rsidRPr="00293A60" w:rsidRDefault="00F619CC" w:rsidP="00293A60">
            <w:pPr>
              <w:tabs>
                <w:tab w:val="left" w:pos="426"/>
              </w:tabs>
              <w:rPr>
                <w:rFonts w:ascii="Times New Roman" w:hAnsi="Times New Roman" w:cs="Times New Roman"/>
              </w:rPr>
            </w:pPr>
            <w:r w:rsidRPr="00293A60">
              <w:rPr>
                <w:rFonts w:ascii="Times New Roman" w:hAnsi="Times New Roman" w:cs="Times New Roman"/>
              </w:rPr>
              <w:t>Percentage of shares held by all insiders and 5</w:t>
            </w:r>
            <w:r w:rsidR="00F27C61">
              <w:rPr>
                <w:rFonts w:ascii="Times New Roman" w:hAnsi="Times New Roman" w:cs="Times New Roman"/>
              </w:rPr>
              <w:t xml:space="preserve"> percent</w:t>
            </w:r>
            <w:r w:rsidRPr="00293A60">
              <w:rPr>
                <w:rFonts w:ascii="Times New Roman" w:hAnsi="Times New Roman" w:cs="Times New Roman"/>
              </w:rPr>
              <w:t xml:space="preserve"> owners is less than 50</w:t>
            </w:r>
            <w:r w:rsidR="00F27C61">
              <w:rPr>
                <w:rFonts w:ascii="Times New Roman" w:hAnsi="Times New Roman" w:cs="Times New Roman"/>
              </w:rPr>
              <w:t xml:space="preserve"> percent</w:t>
            </w:r>
          </w:p>
        </w:tc>
      </w:tr>
    </w:tbl>
    <w:p w14:paraId="21629C8C" w14:textId="77777777" w:rsidR="000F4BE3" w:rsidRDefault="000F4BE3" w:rsidP="00BF2605">
      <w:pPr>
        <w:tabs>
          <w:tab w:val="left" w:pos="426"/>
        </w:tabs>
        <w:rPr>
          <w:rFonts w:asciiTheme="majorBidi" w:hAnsiTheme="majorBidi" w:cstheme="majorBidi"/>
          <w:b/>
          <w:bCs/>
          <w:sz w:val="24"/>
          <w:szCs w:val="24"/>
        </w:rPr>
      </w:pPr>
      <w:r>
        <w:rPr>
          <w:rFonts w:asciiTheme="majorBidi" w:hAnsiTheme="majorBidi" w:cstheme="majorBidi"/>
          <w:b/>
          <w:bCs/>
          <w:sz w:val="24"/>
          <w:szCs w:val="24"/>
        </w:rPr>
        <w:br w:type="page"/>
      </w:r>
    </w:p>
    <w:p w14:paraId="5F1C7B9A" w14:textId="77777777" w:rsidR="000F4BE3" w:rsidRPr="001E2E71" w:rsidRDefault="000F4BE3" w:rsidP="00BF2605">
      <w:pPr>
        <w:tabs>
          <w:tab w:val="left" w:pos="426"/>
        </w:tabs>
        <w:jc w:val="center"/>
        <w:rPr>
          <w:rFonts w:ascii="Times New Roman" w:hAnsi="Times New Roman" w:cs="Times New Roman"/>
          <w:sz w:val="24"/>
          <w:szCs w:val="24"/>
        </w:rPr>
      </w:pPr>
      <w:r>
        <w:rPr>
          <w:rFonts w:asciiTheme="majorBidi" w:hAnsiTheme="majorBidi"/>
          <w:b/>
          <w:bCs/>
          <w:sz w:val="24"/>
          <w:szCs w:val="24"/>
        </w:rPr>
        <w:lastRenderedPageBreak/>
        <w:t>APPENDIX II</w:t>
      </w:r>
    </w:p>
    <w:p w14:paraId="48129FDA" w14:textId="504BE763" w:rsidR="00C8120E" w:rsidRDefault="0040358C" w:rsidP="00BF2605">
      <w:pPr>
        <w:tabs>
          <w:tab w:val="left" w:pos="426"/>
        </w:tabs>
        <w:spacing w:after="0" w:line="288" w:lineRule="auto"/>
        <w:jc w:val="both"/>
        <w:rPr>
          <w:rFonts w:ascii="Times New Roman" w:hAnsi="Times New Roman" w:cs="Times New Roman"/>
          <w:b/>
          <w:bCs/>
          <w:sz w:val="24"/>
          <w:szCs w:val="24"/>
        </w:rPr>
      </w:pPr>
      <w:bookmarkStart w:id="8" w:name="_Toc468074512"/>
      <w:r>
        <w:rPr>
          <w:rFonts w:ascii="Times New Roman" w:hAnsi="Times New Roman" w:cs="Times New Roman"/>
          <w:b/>
          <w:bCs/>
          <w:sz w:val="24"/>
          <w:szCs w:val="24"/>
        </w:rPr>
        <w:t>Country-Level M</w:t>
      </w:r>
      <w:r w:rsidR="00C8120E" w:rsidRPr="003E6053">
        <w:rPr>
          <w:rFonts w:ascii="Times New Roman" w:hAnsi="Times New Roman" w:cs="Times New Roman"/>
          <w:b/>
          <w:bCs/>
          <w:sz w:val="24"/>
          <w:szCs w:val="24"/>
        </w:rPr>
        <w:t>easures</w:t>
      </w:r>
      <w:bookmarkEnd w:id="8"/>
    </w:p>
    <w:p w14:paraId="435CE455" w14:textId="77777777" w:rsidR="00305090" w:rsidRPr="00305090" w:rsidRDefault="00305090" w:rsidP="00BF2605">
      <w:pPr>
        <w:tabs>
          <w:tab w:val="left" w:pos="426"/>
        </w:tabs>
        <w:spacing w:after="0" w:line="288" w:lineRule="auto"/>
        <w:jc w:val="both"/>
        <w:rPr>
          <w:rFonts w:ascii="Times New Roman" w:hAnsi="Times New Roman" w:cs="Times New Roman"/>
          <w:sz w:val="12"/>
          <w:szCs w:val="12"/>
        </w:rPr>
      </w:pPr>
    </w:p>
    <w:p w14:paraId="0D8B4950" w14:textId="17737504" w:rsidR="00C8120E" w:rsidRPr="00A75A01" w:rsidRDefault="00C8120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We include a number of country-level variables in our regression models which are selected based on our research questions as well as prior findings in the literature on the role played by these variables in explaining variations in firm-level governance across countries. We explain the construction of these variables in the next few sub-sections.</w:t>
      </w:r>
    </w:p>
    <w:p w14:paraId="3B50A015" w14:textId="77777777" w:rsidR="005022DD" w:rsidRDefault="005022DD" w:rsidP="00BF2605">
      <w:pPr>
        <w:tabs>
          <w:tab w:val="left" w:pos="426"/>
        </w:tabs>
        <w:spacing w:after="0" w:line="288" w:lineRule="auto"/>
        <w:jc w:val="both"/>
        <w:rPr>
          <w:rFonts w:ascii="Times New Roman" w:hAnsi="Times New Roman" w:cs="Times New Roman"/>
          <w:b/>
          <w:bCs/>
          <w:sz w:val="24"/>
          <w:szCs w:val="24"/>
        </w:rPr>
      </w:pPr>
      <w:bookmarkStart w:id="9" w:name="_Toc468074513"/>
    </w:p>
    <w:p w14:paraId="338830BE" w14:textId="15E85029" w:rsidR="00C8120E" w:rsidRPr="005022DD" w:rsidRDefault="00C8120E" w:rsidP="00BF2605">
      <w:pPr>
        <w:tabs>
          <w:tab w:val="left" w:pos="426"/>
        </w:tabs>
        <w:spacing w:after="0" w:line="288" w:lineRule="auto"/>
        <w:jc w:val="both"/>
        <w:rPr>
          <w:rFonts w:ascii="Times New Roman" w:hAnsi="Times New Roman" w:cs="Times New Roman"/>
          <w:b/>
          <w:bCs/>
          <w:sz w:val="24"/>
          <w:szCs w:val="24"/>
        </w:rPr>
      </w:pPr>
      <w:r w:rsidRPr="005022DD">
        <w:rPr>
          <w:rFonts w:ascii="Times New Roman" w:hAnsi="Times New Roman" w:cs="Times New Roman"/>
          <w:b/>
          <w:bCs/>
          <w:sz w:val="24"/>
          <w:szCs w:val="24"/>
        </w:rPr>
        <w:t xml:space="preserve">Legal </w:t>
      </w:r>
      <w:r w:rsidR="0040358C">
        <w:rPr>
          <w:rFonts w:ascii="Times New Roman" w:hAnsi="Times New Roman" w:cs="Times New Roman"/>
          <w:b/>
          <w:bCs/>
          <w:sz w:val="24"/>
          <w:szCs w:val="24"/>
        </w:rPr>
        <w:t>System a</w:t>
      </w:r>
      <w:r w:rsidR="0040358C" w:rsidRPr="005022DD">
        <w:rPr>
          <w:rFonts w:ascii="Times New Roman" w:hAnsi="Times New Roman" w:cs="Times New Roman"/>
          <w:b/>
          <w:bCs/>
          <w:sz w:val="24"/>
          <w:szCs w:val="24"/>
        </w:rPr>
        <w:t>nd Law Enforcement</w:t>
      </w:r>
      <w:r w:rsidRPr="003E6053">
        <w:rPr>
          <w:vertAlign w:val="superscript"/>
        </w:rPr>
        <w:footnoteReference w:id="18"/>
      </w:r>
      <w:bookmarkEnd w:id="9"/>
    </w:p>
    <w:p w14:paraId="52AB79FB" w14:textId="77777777" w:rsidR="00305090" w:rsidRPr="00305090" w:rsidRDefault="00305090" w:rsidP="00BF2605">
      <w:pPr>
        <w:tabs>
          <w:tab w:val="left" w:pos="426"/>
        </w:tabs>
        <w:spacing w:after="0" w:line="288" w:lineRule="auto"/>
        <w:jc w:val="both"/>
        <w:rPr>
          <w:rFonts w:ascii="Times New Roman" w:hAnsi="Times New Roman" w:cs="Times New Roman"/>
          <w:sz w:val="12"/>
          <w:szCs w:val="12"/>
        </w:rPr>
      </w:pPr>
    </w:p>
    <w:p w14:paraId="0AC2C916" w14:textId="10D137F7" w:rsidR="00C8120E" w:rsidRDefault="00C8120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As a measure of the differences in the degree of law enforcement around the world, we use the Rule of Law Index (RLAW) published by the World Justice Project on an annual basis. RLAW relies on more than 100,000 expert and household surveys to gauge how the rule of law is felt in everyday life in more than 100 countries around the world. The survey covers 44 indicators under eight primary rule of law categories, which are: constraints on government powers, absence of corruption, open government, fundamental rights, order and security, regulatory enforcement, civil justice, and criminal j</w:t>
      </w:r>
      <w:r w:rsidRPr="002B7F9F">
        <w:rPr>
          <w:rFonts w:ascii="Times New Roman" w:hAnsi="Times New Roman" w:cs="Times New Roman"/>
          <w:sz w:val="24"/>
          <w:szCs w:val="24"/>
        </w:rPr>
        <w:t>ustice.</w:t>
      </w:r>
      <w:r>
        <w:rPr>
          <w:rFonts w:ascii="Times New Roman" w:hAnsi="Times New Roman" w:cs="Times New Roman"/>
          <w:sz w:val="24"/>
          <w:szCs w:val="24"/>
        </w:rPr>
        <w:t xml:space="preserve"> We use </w:t>
      </w:r>
      <w:r w:rsidRPr="00122509">
        <w:rPr>
          <w:rFonts w:ascii="Times New Roman" w:hAnsi="Times New Roman" w:cs="Times New Roman"/>
          <w:sz w:val="24"/>
          <w:szCs w:val="24"/>
        </w:rPr>
        <w:t>pri</w:t>
      </w:r>
      <w:r>
        <w:rPr>
          <w:rFonts w:ascii="Times New Roman" w:hAnsi="Times New Roman" w:cs="Times New Roman"/>
          <w:sz w:val="24"/>
          <w:szCs w:val="24"/>
        </w:rPr>
        <w:t>ncipal component analysis (PCA) to estimate the overall scores of the different countries in our sample using their scores in each of the eight categories. Using this approach allows us to capture as much as possible of the differences in the various categories while maintaining the brevity of our final model</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It also simplifies the interpretation of the results of our regressions. </w:t>
      </w:r>
      <w:r w:rsidR="00615108">
        <w:rPr>
          <w:rFonts w:ascii="Times New Roman" w:hAnsi="Times New Roman" w:cs="Times New Roman"/>
          <w:sz w:val="24"/>
          <w:szCs w:val="24"/>
        </w:rPr>
        <w:t>Countr</w:t>
      </w:r>
      <w:r>
        <w:rPr>
          <w:rFonts w:ascii="Times New Roman" w:hAnsi="Times New Roman" w:cs="Times New Roman"/>
          <w:sz w:val="24"/>
          <w:szCs w:val="24"/>
        </w:rPr>
        <w:t xml:space="preserve">ies with better or more positive conditions will score higher in this index. We also use the legal system origin (LORG) classification provided in La Porta </w:t>
      </w:r>
      <w:r w:rsidR="002A1A6A" w:rsidRPr="002A1A6A">
        <w:rPr>
          <w:rFonts w:ascii="Times New Roman" w:hAnsi="Times New Roman" w:cs="Times New Roman"/>
          <w:i/>
          <w:iCs/>
          <w:sz w:val="24"/>
          <w:szCs w:val="24"/>
        </w:rPr>
        <w:t>et al.</w:t>
      </w:r>
      <w:r>
        <w:rPr>
          <w:rFonts w:ascii="Times New Roman" w:hAnsi="Times New Roman" w:cs="Times New Roman"/>
          <w:sz w:val="24"/>
          <w:szCs w:val="24"/>
        </w:rPr>
        <w:t xml:space="preserve"> (1998) to classify the legal systems of the countries included in our sample into two main categories: civil or common. Some of the countries covered in our study are not included in </w:t>
      </w:r>
      <w:r w:rsidR="002A1A6A">
        <w:rPr>
          <w:rFonts w:ascii="Times New Roman" w:hAnsi="Times New Roman" w:cs="Times New Roman"/>
          <w:sz w:val="24"/>
          <w:szCs w:val="24"/>
        </w:rPr>
        <w:t xml:space="preserve">the original list in </w:t>
      </w:r>
      <w:r>
        <w:rPr>
          <w:rFonts w:ascii="Times New Roman" w:hAnsi="Times New Roman" w:cs="Times New Roman"/>
          <w:sz w:val="24"/>
          <w:szCs w:val="24"/>
        </w:rPr>
        <w:t xml:space="preserve">La Porta </w:t>
      </w:r>
      <w:r w:rsidR="002A1A6A">
        <w:rPr>
          <w:rFonts w:ascii="Times New Roman" w:hAnsi="Times New Roman" w:cs="Times New Roman"/>
          <w:i/>
          <w:iCs/>
          <w:sz w:val="24"/>
          <w:szCs w:val="24"/>
        </w:rPr>
        <w:t>et al.</w:t>
      </w:r>
      <w:r w:rsidR="002A1A6A">
        <w:rPr>
          <w:rFonts w:ascii="Times New Roman" w:hAnsi="Times New Roman" w:cs="Times New Roman"/>
          <w:sz w:val="24"/>
          <w:szCs w:val="24"/>
        </w:rPr>
        <w:t xml:space="preserve">  We therefore</w:t>
      </w:r>
      <w:r>
        <w:rPr>
          <w:rFonts w:ascii="Times New Roman" w:hAnsi="Times New Roman" w:cs="Times New Roman"/>
          <w:sz w:val="24"/>
          <w:szCs w:val="24"/>
        </w:rPr>
        <w:t xml:space="preserve"> classify these countries ourselves using the same classification logic followed in La Porta </w:t>
      </w:r>
      <w:r w:rsidRPr="00D8659B">
        <w:rPr>
          <w:rFonts w:ascii="Times New Roman" w:hAnsi="Times New Roman" w:cs="Times New Roman"/>
          <w:i/>
          <w:iCs/>
          <w:sz w:val="24"/>
          <w:szCs w:val="24"/>
        </w:rPr>
        <w:t>et al.</w:t>
      </w:r>
      <w:r>
        <w:rPr>
          <w:rFonts w:ascii="Times New Roman" w:hAnsi="Times New Roman" w:cs="Times New Roman"/>
          <w:sz w:val="24"/>
          <w:szCs w:val="24"/>
        </w:rPr>
        <w:t xml:space="preserve"> (1998). </w:t>
      </w:r>
    </w:p>
    <w:p w14:paraId="1E80DD49" w14:textId="77777777" w:rsidR="005022DD" w:rsidRDefault="005022DD" w:rsidP="00BF2605">
      <w:pPr>
        <w:keepNext/>
        <w:tabs>
          <w:tab w:val="left" w:pos="426"/>
        </w:tabs>
        <w:spacing w:after="0" w:line="288" w:lineRule="auto"/>
        <w:jc w:val="both"/>
        <w:rPr>
          <w:rFonts w:ascii="Times New Roman" w:hAnsi="Times New Roman" w:cs="Times New Roman"/>
          <w:b/>
          <w:bCs/>
          <w:sz w:val="24"/>
          <w:szCs w:val="24"/>
        </w:rPr>
      </w:pPr>
      <w:bookmarkStart w:id="10" w:name="_Toc468074514"/>
    </w:p>
    <w:p w14:paraId="6DA8FF38" w14:textId="713522B1" w:rsidR="00C8120E" w:rsidRPr="005022DD" w:rsidRDefault="00C8120E" w:rsidP="00BF2605">
      <w:pPr>
        <w:keepNext/>
        <w:tabs>
          <w:tab w:val="left" w:pos="426"/>
        </w:tabs>
        <w:spacing w:after="0" w:line="288" w:lineRule="auto"/>
        <w:jc w:val="both"/>
        <w:rPr>
          <w:rFonts w:ascii="Times New Roman" w:hAnsi="Times New Roman" w:cs="Times New Roman"/>
          <w:b/>
          <w:bCs/>
          <w:sz w:val="24"/>
          <w:szCs w:val="24"/>
        </w:rPr>
      </w:pPr>
      <w:r w:rsidRPr="005022DD">
        <w:rPr>
          <w:rFonts w:ascii="Times New Roman" w:hAnsi="Times New Roman" w:cs="Times New Roman"/>
          <w:b/>
          <w:bCs/>
          <w:sz w:val="24"/>
          <w:szCs w:val="24"/>
        </w:rPr>
        <w:t>Media</w:t>
      </w:r>
      <w:bookmarkEnd w:id="10"/>
    </w:p>
    <w:p w14:paraId="4D3B0516" w14:textId="77777777" w:rsidR="00D8659B" w:rsidRPr="00D8659B" w:rsidRDefault="00D8659B" w:rsidP="00BF2605">
      <w:pPr>
        <w:keepNext/>
        <w:tabs>
          <w:tab w:val="left" w:pos="426"/>
        </w:tabs>
        <w:spacing w:after="0" w:line="288" w:lineRule="auto"/>
        <w:jc w:val="both"/>
        <w:rPr>
          <w:rFonts w:ascii="Times New Roman" w:hAnsi="Times New Roman" w:cs="Times New Roman"/>
          <w:sz w:val="12"/>
          <w:szCs w:val="12"/>
        </w:rPr>
      </w:pPr>
    </w:p>
    <w:p w14:paraId="07540A52" w14:textId="48E0D588" w:rsidR="00C8120E" w:rsidRDefault="00C8120E" w:rsidP="00BF2605">
      <w:pPr>
        <w:keepNext/>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We use the Freedom of the Press annual report published by Freedom House to measure the strength of media’s monitoring role in everyday life and the degree of independence enjoyed by journalists in a particular country. </w:t>
      </w:r>
      <w:r w:rsidRPr="0011552A">
        <w:rPr>
          <w:rFonts w:ascii="Times New Roman" w:hAnsi="Times New Roman" w:cs="Times New Roman"/>
          <w:sz w:val="24"/>
          <w:szCs w:val="24"/>
        </w:rPr>
        <w:t>Freedom of the Press</w:t>
      </w:r>
      <w:r>
        <w:rPr>
          <w:rFonts w:ascii="Times New Roman" w:hAnsi="Times New Roman" w:cs="Times New Roman"/>
          <w:sz w:val="24"/>
          <w:szCs w:val="24"/>
        </w:rPr>
        <w:t xml:space="preserve"> is an annual report published since 1980 to assess the degree of media (print, broadcast, and digital) freedom in 199 countries and territories around the world. A group of e</w:t>
      </w:r>
      <w:r w:rsidRPr="008558E6">
        <w:rPr>
          <w:rFonts w:ascii="Times New Roman" w:hAnsi="Times New Roman" w:cs="Times New Roman"/>
          <w:sz w:val="24"/>
          <w:szCs w:val="24"/>
        </w:rPr>
        <w:t>xternal analysts</w:t>
      </w:r>
      <w:r>
        <w:rPr>
          <w:rFonts w:ascii="Times New Roman" w:hAnsi="Times New Roman" w:cs="Times New Roman"/>
          <w:sz w:val="24"/>
          <w:szCs w:val="24"/>
        </w:rPr>
        <w:t>, e</w:t>
      </w:r>
      <w:r w:rsidRPr="008558E6">
        <w:rPr>
          <w:rFonts w:ascii="Times New Roman" w:hAnsi="Times New Roman" w:cs="Times New Roman"/>
          <w:sz w:val="24"/>
          <w:szCs w:val="24"/>
        </w:rPr>
        <w:t>xpert advisers</w:t>
      </w:r>
      <w:r>
        <w:rPr>
          <w:rFonts w:ascii="Times New Roman" w:hAnsi="Times New Roman" w:cs="Times New Roman"/>
          <w:sz w:val="24"/>
          <w:szCs w:val="24"/>
        </w:rPr>
        <w:t>,</w:t>
      </w:r>
      <w:r w:rsidRPr="008558E6">
        <w:rPr>
          <w:rFonts w:ascii="Times New Roman" w:hAnsi="Times New Roman" w:cs="Times New Roman"/>
          <w:sz w:val="24"/>
          <w:szCs w:val="24"/>
        </w:rPr>
        <w:t xml:space="preserve"> and regional specialists</w:t>
      </w:r>
      <w:r>
        <w:rPr>
          <w:rFonts w:ascii="Times New Roman" w:hAnsi="Times New Roman" w:cs="Times New Roman"/>
          <w:sz w:val="24"/>
          <w:szCs w:val="24"/>
        </w:rPr>
        <w:t>, produce</w:t>
      </w:r>
      <w:r w:rsidRPr="008558E6">
        <w:rPr>
          <w:rFonts w:ascii="Times New Roman" w:hAnsi="Times New Roman" w:cs="Times New Roman"/>
          <w:sz w:val="24"/>
          <w:szCs w:val="24"/>
        </w:rPr>
        <w:t xml:space="preserve"> </w:t>
      </w:r>
      <w:r>
        <w:rPr>
          <w:rFonts w:ascii="Times New Roman" w:hAnsi="Times New Roman" w:cs="Times New Roman"/>
          <w:sz w:val="24"/>
          <w:szCs w:val="24"/>
        </w:rPr>
        <w:lastRenderedPageBreak/>
        <w:t>the scores seen in the report using a</w:t>
      </w:r>
      <w:r w:rsidRPr="008558E6">
        <w:rPr>
          <w:rFonts w:ascii="Times New Roman" w:hAnsi="Times New Roman" w:cs="Times New Roman"/>
          <w:sz w:val="24"/>
          <w:szCs w:val="24"/>
        </w:rPr>
        <w:t xml:space="preserve"> combina</w:t>
      </w:r>
      <w:r>
        <w:rPr>
          <w:rFonts w:ascii="Times New Roman" w:hAnsi="Times New Roman" w:cs="Times New Roman"/>
          <w:sz w:val="24"/>
          <w:szCs w:val="24"/>
        </w:rPr>
        <w:t xml:space="preserve">tion of on-the-ground research </w:t>
      </w:r>
      <w:r w:rsidRPr="008558E6">
        <w:rPr>
          <w:rFonts w:ascii="Times New Roman" w:hAnsi="Times New Roman" w:cs="Times New Roman"/>
          <w:sz w:val="24"/>
          <w:szCs w:val="24"/>
        </w:rPr>
        <w:t xml:space="preserve">and information from variety of </w:t>
      </w:r>
      <w:r>
        <w:rPr>
          <w:rFonts w:ascii="Times New Roman" w:hAnsi="Times New Roman" w:cs="Times New Roman"/>
          <w:sz w:val="24"/>
          <w:szCs w:val="24"/>
        </w:rPr>
        <w:t>sources. The overall score of any country is the sum of its scores in three primary categories, which are: l</w:t>
      </w:r>
      <w:r w:rsidRPr="008558E6">
        <w:rPr>
          <w:rFonts w:ascii="Times New Roman" w:hAnsi="Times New Roman" w:cs="Times New Roman"/>
          <w:sz w:val="24"/>
          <w:szCs w:val="24"/>
        </w:rPr>
        <w:t>aws and regulation</w:t>
      </w:r>
      <w:r>
        <w:rPr>
          <w:rFonts w:ascii="Times New Roman" w:hAnsi="Times New Roman" w:cs="Times New Roman"/>
          <w:sz w:val="24"/>
          <w:szCs w:val="24"/>
        </w:rPr>
        <w:t>s that influence media content, p</w:t>
      </w:r>
      <w:r w:rsidRPr="008558E6">
        <w:rPr>
          <w:rFonts w:ascii="Times New Roman" w:hAnsi="Times New Roman" w:cs="Times New Roman"/>
          <w:sz w:val="24"/>
          <w:szCs w:val="24"/>
        </w:rPr>
        <w:t>olitical pressures and controls on media content (including harassment or violence against journalists or facilities, censors</w:t>
      </w:r>
      <w:r>
        <w:rPr>
          <w:rFonts w:ascii="Times New Roman" w:hAnsi="Times New Roman" w:cs="Times New Roman"/>
          <w:sz w:val="24"/>
          <w:szCs w:val="24"/>
        </w:rPr>
        <w:t>hip</w:t>
      </w:r>
      <w:r w:rsidR="002A388E">
        <w:rPr>
          <w:rFonts w:ascii="Times New Roman" w:hAnsi="Times New Roman" w:cs="Times New Roman"/>
          <w:sz w:val="24"/>
          <w:szCs w:val="24"/>
        </w:rPr>
        <w:t xml:space="preserve"> and</w:t>
      </w:r>
      <w:r>
        <w:rPr>
          <w:rFonts w:ascii="Times New Roman" w:hAnsi="Times New Roman" w:cs="Times New Roman"/>
          <w:sz w:val="24"/>
          <w:szCs w:val="24"/>
        </w:rPr>
        <w:t xml:space="preserve"> self-censorship</w:t>
      </w:r>
      <w:r w:rsidR="002A388E">
        <w:rPr>
          <w:rFonts w:ascii="Times New Roman" w:hAnsi="Times New Roman" w:cs="Times New Roman"/>
          <w:sz w:val="24"/>
          <w:szCs w:val="24"/>
        </w:rPr>
        <w:t xml:space="preserve">) </w:t>
      </w:r>
      <w:r>
        <w:rPr>
          <w:rFonts w:ascii="Times New Roman" w:hAnsi="Times New Roman" w:cs="Times New Roman"/>
          <w:sz w:val="24"/>
          <w:szCs w:val="24"/>
        </w:rPr>
        <w:t>and e</w:t>
      </w:r>
      <w:r w:rsidRPr="008558E6">
        <w:rPr>
          <w:rFonts w:ascii="Times New Roman" w:hAnsi="Times New Roman" w:cs="Times New Roman"/>
          <w:sz w:val="24"/>
          <w:szCs w:val="24"/>
        </w:rPr>
        <w:t>conomic</w:t>
      </w:r>
      <w:r>
        <w:rPr>
          <w:rFonts w:ascii="Times New Roman" w:hAnsi="Times New Roman" w:cs="Times New Roman"/>
          <w:sz w:val="24"/>
          <w:szCs w:val="24"/>
        </w:rPr>
        <w:t xml:space="preserve"> influences over media content. We use PCA to estimate the overall scores of the different countries in our sample using their scores in each of the three categories and we name the estimated variable: </w:t>
      </w:r>
      <w:r w:rsidRPr="004F54BC">
        <w:rPr>
          <w:rFonts w:ascii="Times New Roman" w:hAnsi="Times New Roman" w:cs="Times New Roman"/>
          <w:i/>
          <w:iCs/>
          <w:sz w:val="24"/>
          <w:szCs w:val="24"/>
        </w:rPr>
        <w:t>MEDI</w:t>
      </w:r>
      <w:r>
        <w:rPr>
          <w:rFonts w:ascii="Times New Roman" w:hAnsi="Times New Roman" w:cs="Times New Roman"/>
          <w:sz w:val="24"/>
          <w:szCs w:val="24"/>
        </w:rPr>
        <w:t xml:space="preserve">. </w:t>
      </w:r>
      <w:r w:rsidR="00615108">
        <w:rPr>
          <w:rFonts w:ascii="Times New Roman" w:hAnsi="Times New Roman" w:cs="Times New Roman"/>
          <w:sz w:val="24"/>
          <w:szCs w:val="24"/>
        </w:rPr>
        <w:t>Countr</w:t>
      </w:r>
      <w:r>
        <w:rPr>
          <w:rFonts w:ascii="Times New Roman" w:hAnsi="Times New Roman" w:cs="Times New Roman"/>
          <w:sz w:val="24"/>
          <w:szCs w:val="24"/>
        </w:rPr>
        <w:t>ies with better or more positive conditions will score higher in this index.</w:t>
      </w:r>
    </w:p>
    <w:p w14:paraId="70F4AB92" w14:textId="77777777" w:rsidR="005022DD" w:rsidRDefault="005022DD" w:rsidP="00BF2605">
      <w:pPr>
        <w:tabs>
          <w:tab w:val="left" w:pos="426"/>
        </w:tabs>
        <w:spacing w:after="0" w:line="288" w:lineRule="auto"/>
        <w:jc w:val="both"/>
        <w:rPr>
          <w:rFonts w:ascii="Times New Roman" w:hAnsi="Times New Roman" w:cs="Times New Roman"/>
          <w:b/>
          <w:bCs/>
          <w:sz w:val="24"/>
          <w:szCs w:val="24"/>
        </w:rPr>
      </w:pPr>
      <w:bookmarkStart w:id="11" w:name="_Toc468074515"/>
    </w:p>
    <w:p w14:paraId="3E1CB2BF" w14:textId="19C5BCE5" w:rsidR="00C8120E" w:rsidRPr="005022DD" w:rsidRDefault="00C8120E" w:rsidP="00BF2605">
      <w:pPr>
        <w:tabs>
          <w:tab w:val="left" w:pos="426"/>
        </w:tabs>
        <w:spacing w:after="0" w:line="288" w:lineRule="auto"/>
        <w:jc w:val="both"/>
        <w:rPr>
          <w:rFonts w:ascii="Times New Roman" w:hAnsi="Times New Roman" w:cs="Times New Roman"/>
          <w:b/>
          <w:bCs/>
          <w:sz w:val="24"/>
          <w:szCs w:val="24"/>
        </w:rPr>
      </w:pPr>
      <w:r w:rsidRPr="005022DD">
        <w:rPr>
          <w:rFonts w:ascii="Times New Roman" w:hAnsi="Times New Roman" w:cs="Times New Roman"/>
          <w:b/>
          <w:bCs/>
          <w:sz w:val="24"/>
          <w:szCs w:val="24"/>
        </w:rPr>
        <w:t xml:space="preserve">Social </w:t>
      </w:r>
      <w:r w:rsidR="00CC7E15" w:rsidRPr="005022DD">
        <w:rPr>
          <w:rFonts w:ascii="Times New Roman" w:hAnsi="Times New Roman" w:cs="Times New Roman"/>
          <w:b/>
          <w:bCs/>
          <w:sz w:val="24"/>
          <w:szCs w:val="24"/>
        </w:rPr>
        <w:t xml:space="preserve">Norms </w:t>
      </w:r>
      <w:r w:rsidR="00CC7E15">
        <w:rPr>
          <w:rFonts w:ascii="Times New Roman" w:hAnsi="Times New Roman" w:cs="Times New Roman"/>
          <w:b/>
          <w:bCs/>
          <w:sz w:val="24"/>
          <w:szCs w:val="24"/>
        </w:rPr>
        <w:t>a</w:t>
      </w:r>
      <w:r w:rsidR="00CC7E15" w:rsidRPr="005022DD">
        <w:rPr>
          <w:rFonts w:ascii="Times New Roman" w:hAnsi="Times New Roman" w:cs="Times New Roman"/>
          <w:b/>
          <w:bCs/>
          <w:sz w:val="24"/>
          <w:szCs w:val="24"/>
        </w:rPr>
        <w:t>nd Cultural Characteristics</w:t>
      </w:r>
      <w:bookmarkEnd w:id="11"/>
    </w:p>
    <w:p w14:paraId="7AB4F545" w14:textId="77777777" w:rsidR="00D8659B" w:rsidRPr="00D8659B" w:rsidRDefault="00D8659B" w:rsidP="00BF2605">
      <w:pPr>
        <w:tabs>
          <w:tab w:val="left" w:pos="426"/>
        </w:tabs>
        <w:spacing w:after="0" w:line="288" w:lineRule="auto"/>
        <w:jc w:val="both"/>
        <w:rPr>
          <w:rFonts w:ascii="Times New Roman" w:hAnsi="Times New Roman" w:cs="Times New Roman"/>
          <w:sz w:val="12"/>
          <w:szCs w:val="12"/>
        </w:rPr>
      </w:pPr>
    </w:p>
    <w:p w14:paraId="0D73DF79" w14:textId="0B326143" w:rsidR="00A40588" w:rsidRDefault="00C8120E" w:rsidP="00BF260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The World Economic Forum publishes the Global Competitiveness Index (GCI) report on an annual basis using its Executive Opinion Survey (EOS) of more than 14,000 business leaders from 140 countries in addition to data collected from reports published by several international organizations such as: the World Bank Group, the International Monetary Fund, </w:t>
      </w:r>
      <w:r w:rsidRPr="003A15F6">
        <w:rPr>
          <w:rFonts w:ascii="Times New Roman" w:hAnsi="Times New Roman" w:cs="Times New Roman"/>
          <w:sz w:val="24"/>
          <w:szCs w:val="24"/>
        </w:rPr>
        <w:t>the United Nations Educational, Scien</w:t>
      </w:r>
      <w:r>
        <w:rPr>
          <w:rFonts w:ascii="Times New Roman" w:hAnsi="Times New Roman" w:cs="Times New Roman"/>
          <w:sz w:val="24"/>
          <w:szCs w:val="24"/>
        </w:rPr>
        <w:t>tific and Cultural Organization,</w:t>
      </w:r>
      <w:r w:rsidRPr="003A15F6">
        <w:rPr>
          <w:rFonts w:ascii="Times New Roman" w:hAnsi="Times New Roman" w:cs="Times New Roman"/>
          <w:sz w:val="24"/>
          <w:szCs w:val="24"/>
        </w:rPr>
        <w:t xml:space="preserve"> and the World Health Organization.</w:t>
      </w:r>
      <w:r>
        <w:rPr>
          <w:rFonts w:ascii="Times New Roman" w:hAnsi="Times New Roman" w:cs="Times New Roman"/>
          <w:sz w:val="24"/>
          <w:szCs w:val="24"/>
        </w:rPr>
        <w:t xml:space="preserve"> </w:t>
      </w:r>
      <w:r w:rsidRPr="00074EF6">
        <w:rPr>
          <w:rFonts w:ascii="Times New Roman" w:hAnsi="Times New Roman" w:cs="Times New Roman"/>
          <w:sz w:val="24"/>
          <w:szCs w:val="24"/>
        </w:rPr>
        <w:t xml:space="preserve">The report analyses </w:t>
      </w:r>
      <w:r>
        <w:rPr>
          <w:rFonts w:ascii="Times New Roman" w:hAnsi="Times New Roman" w:cs="Times New Roman"/>
          <w:sz w:val="24"/>
          <w:szCs w:val="24"/>
        </w:rPr>
        <w:t xml:space="preserve">and rates a </w:t>
      </w:r>
      <w:r w:rsidR="00615108">
        <w:rPr>
          <w:rFonts w:ascii="Times New Roman" w:hAnsi="Times New Roman" w:cs="Times New Roman"/>
          <w:sz w:val="24"/>
          <w:szCs w:val="24"/>
        </w:rPr>
        <w:t>countr</w:t>
      </w:r>
      <w:r>
        <w:rPr>
          <w:rFonts w:ascii="Times New Roman" w:hAnsi="Times New Roman" w:cs="Times New Roman"/>
          <w:sz w:val="24"/>
          <w:szCs w:val="24"/>
        </w:rPr>
        <w:t xml:space="preserve">y’s </w:t>
      </w:r>
      <w:r w:rsidRPr="00074EF6">
        <w:rPr>
          <w:rFonts w:ascii="Times New Roman" w:hAnsi="Times New Roman" w:cs="Times New Roman"/>
          <w:sz w:val="24"/>
          <w:szCs w:val="24"/>
        </w:rPr>
        <w:t xml:space="preserve">competitiveness </w:t>
      </w:r>
      <w:r>
        <w:rPr>
          <w:rFonts w:ascii="Times New Roman" w:hAnsi="Times New Roman" w:cs="Times New Roman"/>
          <w:sz w:val="24"/>
          <w:szCs w:val="24"/>
        </w:rPr>
        <w:t>based on 12 main pillars</w:t>
      </w:r>
      <w:r w:rsidRPr="00074EF6">
        <w:rPr>
          <w:rFonts w:ascii="Times New Roman" w:hAnsi="Times New Roman" w:cs="Times New Roman"/>
          <w:sz w:val="24"/>
          <w:szCs w:val="24"/>
        </w:rPr>
        <w:t xml:space="preserve">: </w:t>
      </w:r>
    </w:p>
    <w:p w14:paraId="26CA114C" w14:textId="77777777" w:rsidR="00D8659B" w:rsidRPr="00D8659B" w:rsidRDefault="00D8659B" w:rsidP="00BF2605">
      <w:pPr>
        <w:tabs>
          <w:tab w:val="left" w:pos="426"/>
        </w:tabs>
        <w:spacing w:after="0" w:line="288" w:lineRule="auto"/>
        <w:jc w:val="both"/>
        <w:rPr>
          <w:rFonts w:ascii="Times New Roman" w:hAnsi="Times New Roman" w:cs="Times New Roman"/>
          <w:sz w:val="12"/>
          <w:szCs w:val="12"/>
        </w:rPr>
      </w:pPr>
    </w:p>
    <w:p w14:paraId="050D71B1" w14:textId="2D87008E"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t>I</w:t>
      </w:r>
      <w:r w:rsidR="00C8120E" w:rsidRPr="00074EF6">
        <w:rPr>
          <w:rFonts w:ascii="Times New Roman" w:hAnsi="Times New Roman" w:cs="Times New Roman"/>
          <w:sz w:val="24"/>
          <w:szCs w:val="24"/>
        </w:rPr>
        <w:t xml:space="preserve">nstitutions </w:t>
      </w:r>
    </w:p>
    <w:p w14:paraId="7C3764D8" w14:textId="6727D69F"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Infrastructure </w:t>
      </w:r>
    </w:p>
    <w:p w14:paraId="3D0457F5" w14:textId="6B0B1C4E"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Macroeconomic environment </w:t>
      </w:r>
    </w:p>
    <w:p w14:paraId="5E73C0A8" w14:textId="650CAC9C"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Health and primary education </w:t>
      </w:r>
    </w:p>
    <w:p w14:paraId="7A44ED87" w14:textId="25FA065E"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Higher education and training </w:t>
      </w:r>
    </w:p>
    <w:p w14:paraId="17477193" w14:textId="72DC726B"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Goods market efficiency </w:t>
      </w:r>
    </w:p>
    <w:p w14:paraId="71F87F66" w14:textId="290F16DE"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Labor market efficiency </w:t>
      </w:r>
    </w:p>
    <w:p w14:paraId="5AC149C2" w14:textId="200CF74B"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Financial market development </w:t>
      </w:r>
    </w:p>
    <w:p w14:paraId="20840543" w14:textId="232A3586"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T</w:t>
      </w:r>
      <w:r w:rsidR="00C8120E" w:rsidRPr="00074EF6">
        <w:rPr>
          <w:rFonts w:ascii="Times New Roman" w:hAnsi="Times New Roman" w:cs="Times New Roman"/>
          <w:sz w:val="24"/>
          <w:szCs w:val="24"/>
        </w:rPr>
        <w:t xml:space="preserve">echnological readiness </w:t>
      </w:r>
    </w:p>
    <w:p w14:paraId="0D069767" w14:textId="07861AB1"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 xml:space="preserve">Market size </w:t>
      </w:r>
    </w:p>
    <w:p w14:paraId="6309A121" w14:textId="15AFEB94" w:rsidR="00A40588" w:rsidRDefault="009B2996" w:rsidP="0040358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074EF6">
        <w:rPr>
          <w:rFonts w:ascii="Times New Roman" w:hAnsi="Times New Roman" w:cs="Times New Roman"/>
          <w:sz w:val="24"/>
          <w:szCs w:val="24"/>
        </w:rPr>
        <w:t>Business sophistication</w:t>
      </w:r>
      <w:r>
        <w:rPr>
          <w:rFonts w:ascii="Times New Roman" w:hAnsi="Times New Roman" w:cs="Times New Roman"/>
          <w:sz w:val="24"/>
          <w:szCs w:val="24"/>
        </w:rPr>
        <w:t xml:space="preserve">, </w:t>
      </w:r>
      <w:r w:rsidR="00C8120E" w:rsidRPr="00074EF6">
        <w:rPr>
          <w:rFonts w:ascii="Times New Roman" w:hAnsi="Times New Roman" w:cs="Times New Roman"/>
          <w:sz w:val="24"/>
          <w:szCs w:val="24"/>
        </w:rPr>
        <w:t>and</w:t>
      </w:r>
    </w:p>
    <w:p w14:paraId="4805591D" w14:textId="7B8D2955" w:rsidR="009B2996" w:rsidRDefault="00C8120E" w:rsidP="0040358C">
      <w:pPr>
        <w:tabs>
          <w:tab w:val="left" w:pos="426"/>
        </w:tabs>
        <w:spacing w:after="0" w:line="288" w:lineRule="auto"/>
        <w:jc w:val="both"/>
        <w:rPr>
          <w:rFonts w:ascii="Times New Roman" w:hAnsi="Times New Roman" w:cs="Times New Roman"/>
          <w:sz w:val="24"/>
          <w:szCs w:val="24"/>
        </w:rPr>
      </w:pPr>
      <w:r w:rsidRPr="00074EF6">
        <w:rPr>
          <w:rFonts w:ascii="Times New Roman" w:hAnsi="Times New Roman" w:cs="Times New Roman"/>
          <w:sz w:val="24"/>
          <w:szCs w:val="24"/>
        </w:rPr>
        <w:t xml:space="preserve"> </w:t>
      </w:r>
      <w:r w:rsidR="009B2996">
        <w:rPr>
          <w:rFonts w:ascii="Times New Roman" w:hAnsi="Times New Roman" w:cs="Times New Roman"/>
          <w:sz w:val="24"/>
          <w:szCs w:val="24"/>
        </w:rPr>
        <w:tab/>
      </w:r>
      <w:r w:rsidR="009B2996" w:rsidRPr="00074EF6">
        <w:rPr>
          <w:rFonts w:ascii="Times New Roman" w:hAnsi="Times New Roman" w:cs="Times New Roman"/>
          <w:sz w:val="24"/>
          <w:szCs w:val="24"/>
        </w:rPr>
        <w:t>Innovation.</w:t>
      </w:r>
      <w:r>
        <w:rPr>
          <w:rFonts w:ascii="Times New Roman" w:hAnsi="Times New Roman" w:cs="Times New Roman"/>
          <w:sz w:val="24"/>
          <w:szCs w:val="24"/>
        </w:rPr>
        <w:t xml:space="preserve"> </w:t>
      </w:r>
    </w:p>
    <w:p w14:paraId="61BA160C" w14:textId="77777777" w:rsidR="009B2996" w:rsidRDefault="009B2996" w:rsidP="009B2996">
      <w:pPr>
        <w:tabs>
          <w:tab w:val="left" w:pos="426"/>
        </w:tabs>
        <w:spacing w:after="0" w:line="288" w:lineRule="auto"/>
        <w:jc w:val="both"/>
        <w:rPr>
          <w:rFonts w:ascii="Times New Roman" w:hAnsi="Times New Roman" w:cs="Times New Roman"/>
          <w:sz w:val="24"/>
          <w:szCs w:val="24"/>
        </w:rPr>
      </w:pPr>
    </w:p>
    <w:p w14:paraId="294C3FD2" w14:textId="6D391F65" w:rsidR="002A388E" w:rsidRDefault="009B2996"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8120E">
        <w:rPr>
          <w:rFonts w:ascii="Times New Roman" w:hAnsi="Times New Roman" w:cs="Times New Roman"/>
          <w:sz w:val="24"/>
          <w:szCs w:val="24"/>
        </w:rPr>
        <w:t>The overall scores are calculated based on</w:t>
      </w:r>
      <w:r w:rsidR="00C8120E" w:rsidRPr="00325380">
        <w:rPr>
          <w:rFonts w:ascii="Times New Roman" w:hAnsi="Times New Roman" w:cs="Times New Roman"/>
          <w:sz w:val="24"/>
          <w:szCs w:val="24"/>
        </w:rPr>
        <w:t xml:space="preserve"> three sub</w:t>
      </w:r>
      <w:r w:rsidR="00C8120E">
        <w:rPr>
          <w:rFonts w:ascii="Times New Roman" w:hAnsi="Times New Roman" w:cs="Times New Roman"/>
          <w:sz w:val="24"/>
          <w:szCs w:val="24"/>
        </w:rPr>
        <w:t xml:space="preserve">-indices: </w:t>
      </w:r>
      <w:r w:rsidR="00C8120E" w:rsidRPr="00325380">
        <w:rPr>
          <w:rFonts w:ascii="Times New Roman" w:hAnsi="Times New Roman" w:cs="Times New Roman"/>
          <w:sz w:val="24"/>
          <w:szCs w:val="24"/>
        </w:rPr>
        <w:t>basic requirement</w:t>
      </w:r>
      <w:r w:rsidR="00C8120E">
        <w:rPr>
          <w:rFonts w:ascii="Times New Roman" w:hAnsi="Times New Roman" w:cs="Times New Roman"/>
          <w:sz w:val="24"/>
          <w:szCs w:val="24"/>
        </w:rPr>
        <w:t>s</w:t>
      </w:r>
      <w:r w:rsidR="00C8120E" w:rsidRPr="00325380">
        <w:rPr>
          <w:rFonts w:ascii="Times New Roman" w:hAnsi="Times New Roman" w:cs="Times New Roman"/>
          <w:sz w:val="24"/>
          <w:szCs w:val="24"/>
        </w:rPr>
        <w:t>, efficiency enhancers, and innovation and sophistication factors,</w:t>
      </w:r>
      <w:r w:rsidR="00C8120E">
        <w:rPr>
          <w:rFonts w:ascii="Times New Roman" w:hAnsi="Times New Roman" w:cs="Times New Roman"/>
          <w:sz w:val="24"/>
          <w:szCs w:val="24"/>
        </w:rPr>
        <w:t xml:space="preserve"> for which the weights of the overall score are determined based on the economy’s stage of development (factor-driven, efficiency-driven, or innovation driven). In order to estimate our overall social and cultural index (</w:t>
      </w:r>
      <w:r w:rsidR="00C8120E" w:rsidRPr="004F54BC">
        <w:rPr>
          <w:rFonts w:ascii="Times New Roman" w:hAnsi="Times New Roman" w:cs="Times New Roman"/>
          <w:i/>
          <w:iCs/>
          <w:sz w:val="24"/>
          <w:szCs w:val="24"/>
        </w:rPr>
        <w:t>SOCL</w:t>
      </w:r>
      <w:r w:rsidR="00C8120E">
        <w:rPr>
          <w:rFonts w:ascii="Times New Roman" w:hAnsi="Times New Roman" w:cs="Times New Roman"/>
          <w:sz w:val="24"/>
          <w:szCs w:val="24"/>
        </w:rPr>
        <w:t xml:space="preserve">), we use PCA and the scores of the different countries in our sample in each of the following relevant pillars: </w:t>
      </w:r>
    </w:p>
    <w:p w14:paraId="43766A2A" w14:textId="77777777" w:rsidR="002A388E" w:rsidRPr="002A388E" w:rsidRDefault="002A388E" w:rsidP="009B2996">
      <w:pPr>
        <w:tabs>
          <w:tab w:val="left" w:pos="426"/>
        </w:tabs>
        <w:spacing w:after="0" w:line="288" w:lineRule="auto"/>
        <w:jc w:val="both"/>
        <w:rPr>
          <w:rFonts w:ascii="Times New Roman" w:hAnsi="Times New Roman" w:cs="Times New Roman"/>
          <w:sz w:val="12"/>
          <w:szCs w:val="12"/>
        </w:rPr>
      </w:pPr>
    </w:p>
    <w:p w14:paraId="0FEE9D47" w14:textId="30D3AC7E" w:rsidR="002A388E" w:rsidRDefault="002A388E"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t>H</w:t>
      </w:r>
      <w:r w:rsidR="00C8120E" w:rsidRPr="0015779B">
        <w:rPr>
          <w:rFonts w:ascii="Times New Roman" w:hAnsi="Times New Roman" w:cs="Times New Roman"/>
          <w:sz w:val="24"/>
          <w:szCs w:val="24"/>
        </w:rPr>
        <w:t>ealth and primary education,</w:t>
      </w:r>
    </w:p>
    <w:p w14:paraId="28438292" w14:textId="2E3F4AFE" w:rsidR="002A388E" w:rsidRDefault="002A388E"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t>H</w:t>
      </w:r>
      <w:r w:rsidR="00C8120E" w:rsidRPr="0015779B">
        <w:rPr>
          <w:rFonts w:ascii="Times New Roman" w:hAnsi="Times New Roman" w:cs="Times New Roman"/>
          <w:sz w:val="24"/>
          <w:szCs w:val="24"/>
        </w:rPr>
        <w:t>igher education and training,</w:t>
      </w:r>
      <w:r w:rsidR="00C8120E">
        <w:rPr>
          <w:rFonts w:ascii="Times New Roman" w:hAnsi="Times New Roman" w:cs="Times New Roman"/>
          <w:sz w:val="24"/>
          <w:szCs w:val="24"/>
        </w:rPr>
        <w:t xml:space="preserve"> and </w:t>
      </w:r>
    </w:p>
    <w:p w14:paraId="546826A3" w14:textId="77777777" w:rsidR="002A388E" w:rsidRDefault="002A388E"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t>T</w:t>
      </w:r>
      <w:r w:rsidR="00C8120E" w:rsidRPr="0015779B">
        <w:rPr>
          <w:rFonts w:ascii="Times New Roman" w:hAnsi="Times New Roman" w:cs="Times New Roman"/>
          <w:sz w:val="24"/>
          <w:szCs w:val="24"/>
        </w:rPr>
        <w:t>echnological readiness</w:t>
      </w:r>
      <w:r w:rsidR="00C8120E">
        <w:rPr>
          <w:rFonts w:ascii="Times New Roman" w:hAnsi="Times New Roman" w:cs="Times New Roman"/>
          <w:sz w:val="24"/>
          <w:szCs w:val="24"/>
        </w:rPr>
        <w:t xml:space="preserve">. </w:t>
      </w:r>
    </w:p>
    <w:p w14:paraId="659EE2E3" w14:textId="77777777" w:rsidR="00B528D0" w:rsidRDefault="002A388E"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15108">
        <w:rPr>
          <w:rFonts w:ascii="Times New Roman" w:hAnsi="Times New Roman" w:cs="Times New Roman"/>
          <w:sz w:val="24"/>
          <w:szCs w:val="24"/>
        </w:rPr>
        <w:t>Countr</w:t>
      </w:r>
      <w:r w:rsidR="00C8120E">
        <w:rPr>
          <w:rFonts w:ascii="Times New Roman" w:hAnsi="Times New Roman" w:cs="Times New Roman"/>
          <w:sz w:val="24"/>
          <w:szCs w:val="24"/>
        </w:rPr>
        <w:t xml:space="preserve">ies with better or more positive conditions will score higher in this index. Furthermore, following Stulz and </w:t>
      </w:r>
      <w:r w:rsidR="00C8120E" w:rsidRPr="00E3730A">
        <w:rPr>
          <w:rFonts w:ascii="Times New Roman" w:hAnsi="Times New Roman" w:cs="Times New Roman"/>
          <w:sz w:val="24"/>
          <w:szCs w:val="24"/>
        </w:rPr>
        <w:t>Williamson (2003)</w:t>
      </w:r>
      <w:r w:rsidR="00C8120E">
        <w:rPr>
          <w:rFonts w:ascii="Times New Roman" w:hAnsi="Times New Roman" w:cs="Times New Roman"/>
          <w:sz w:val="24"/>
          <w:szCs w:val="24"/>
        </w:rPr>
        <w:t xml:space="preserve"> and others,</w:t>
      </w:r>
      <w:r w:rsidR="00C8120E" w:rsidRPr="00E3730A">
        <w:rPr>
          <w:rFonts w:ascii="Times New Roman" w:hAnsi="Times New Roman" w:cs="Times New Roman"/>
          <w:sz w:val="24"/>
          <w:szCs w:val="24"/>
        </w:rPr>
        <w:t xml:space="preserve"> </w:t>
      </w:r>
      <w:r w:rsidR="00C8120E">
        <w:rPr>
          <w:rFonts w:ascii="Times New Roman" w:hAnsi="Times New Roman" w:cs="Times New Roman"/>
          <w:sz w:val="24"/>
          <w:szCs w:val="24"/>
        </w:rPr>
        <w:t xml:space="preserve">we add dummy variables (1 or 0) to capture differences in the </w:t>
      </w:r>
      <w:r w:rsidR="00C8120E" w:rsidRPr="00E3730A">
        <w:rPr>
          <w:rFonts w:ascii="Times New Roman" w:hAnsi="Times New Roman" w:cs="Times New Roman"/>
          <w:sz w:val="24"/>
          <w:szCs w:val="24"/>
        </w:rPr>
        <w:t>prevailing religion</w:t>
      </w:r>
      <w:r w:rsidR="00C8120E">
        <w:rPr>
          <w:rFonts w:ascii="Times New Roman" w:hAnsi="Times New Roman" w:cs="Times New Roman"/>
          <w:sz w:val="24"/>
          <w:szCs w:val="24"/>
        </w:rPr>
        <w:t>s</w:t>
      </w:r>
      <w:r w:rsidR="00C8120E" w:rsidRPr="00E3730A">
        <w:rPr>
          <w:rFonts w:ascii="Times New Roman" w:hAnsi="Times New Roman" w:cs="Times New Roman"/>
          <w:sz w:val="24"/>
          <w:szCs w:val="24"/>
        </w:rPr>
        <w:t xml:space="preserve"> </w:t>
      </w:r>
      <w:r w:rsidR="00C8120E">
        <w:rPr>
          <w:rFonts w:ascii="Times New Roman" w:hAnsi="Times New Roman" w:cs="Times New Roman"/>
          <w:sz w:val="24"/>
          <w:szCs w:val="24"/>
        </w:rPr>
        <w:t xml:space="preserve">in the countries in our sample. Our religion dummy variables reflect three main categories: </w:t>
      </w:r>
    </w:p>
    <w:p w14:paraId="27F9B3FD" w14:textId="77777777" w:rsidR="00B528D0" w:rsidRPr="00B528D0" w:rsidRDefault="00B528D0" w:rsidP="009B2996">
      <w:pPr>
        <w:tabs>
          <w:tab w:val="left" w:pos="426"/>
        </w:tabs>
        <w:spacing w:after="0" w:line="288" w:lineRule="auto"/>
        <w:jc w:val="both"/>
        <w:rPr>
          <w:rFonts w:ascii="Times New Roman" w:hAnsi="Times New Roman" w:cs="Times New Roman"/>
          <w:sz w:val="12"/>
          <w:szCs w:val="12"/>
        </w:rPr>
      </w:pPr>
    </w:p>
    <w:p w14:paraId="46275546" w14:textId="77777777" w:rsidR="00B528D0" w:rsidRDefault="00B528D0"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8120E">
        <w:rPr>
          <w:rFonts w:ascii="Times New Roman" w:hAnsi="Times New Roman" w:cs="Times New Roman"/>
          <w:sz w:val="24"/>
          <w:szCs w:val="24"/>
        </w:rPr>
        <w:t>Christianity (</w:t>
      </w:r>
      <w:r w:rsidR="00C8120E" w:rsidRPr="004F54BC">
        <w:rPr>
          <w:rFonts w:ascii="Times New Roman" w:hAnsi="Times New Roman" w:cs="Times New Roman"/>
          <w:i/>
          <w:iCs/>
          <w:sz w:val="24"/>
          <w:szCs w:val="24"/>
        </w:rPr>
        <w:t>CHRN</w:t>
      </w:r>
      <w:r w:rsidR="00C8120E">
        <w:rPr>
          <w:rFonts w:ascii="Times New Roman" w:hAnsi="Times New Roman" w:cs="Times New Roman"/>
          <w:sz w:val="24"/>
          <w:szCs w:val="24"/>
        </w:rPr>
        <w:t>)</w:t>
      </w:r>
    </w:p>
    <w:p w14:paraId="393D2093" w14:textId="77777777" w:rsidR="00B528D0" w:rsidRDefault="00B528D0"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8120E">
        <w:rPr>
          <w:rFonts w:ascii="Times New Roman" w:hAnsi="Times New Roman" w:cs="Times New Roman"/>
          <w:sz w:val="24"/>
          <w:szCs w:val="24"/>
        </w:rPr>
        <w:t>Islam (</w:t>
      </w:r>
      <w:r w:rsidR="00C8120E" w:rsidRPr="004F54BC">
        <w:rPr>
          <w:rFonts w:ascii="Times New Roman" w:hAnsi="Times New Roman" w:cs="Times New Roman"/>
          <w:i/>
          <w:iCs/>
          <w:sz w:val="24"/>
          <w:szCs w:val="24"/>
        </w:rPr>
        <w:t>ISLM</w:t>
      </w:r>
      <w:r w:rsidR="00C8120E">
        <w:rPr>
          <w:rFonts w:ascii="Times New Roman" w:hAnsi="Times New Roman" w:cs="Times New Roman"/>
          <w:sz w:val="24"/>
          <w:szCs w:val="24"/>
        </w:rPr>
        <w:t>)</w:t>
      </w:r>
      <w:r w:rsidR="00C8120E" w:rsidRPr="006075A4">
        <w:rPr>
          <w:rFonts w:ascii="Times New Roman" w:hAnsi="Times New Roman" w:cs="Times New Roman"/>
          <w:sz w:val="24"/>
          <w:szCs w:val="24"/>
        </w:rPr>
        <w:t xml:space="preserve">, </w:t>
      </w:r>
      <w:r w:rsidR="00C8120E">
        <w:rPr>
          <w:rFonts w:ascii="Times New Roman" w:hAnsi="Times New Roman" w:cs="Times New Roman"/>
          <w:sz w:val="24"/>
          <w:szCs w:val="24"/>
        </w:rPr>
        <w:t xml:space="preserve">and </w:t>
      </w:r>
    </w:p>
    <w:p w14:paraId="6E0223BF" w14:textId="791774A6" w:rsidR="00C8120E" w:rsidRDefault="00B528D0" w:rsidP="009B2996">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8120E">
        <w:rPr>
          <w:rFonts w:ascii="Times New Roman" w:hAnsi="Times New Roman" w:cs="Times New Roman"/>
          <w:sz w:val="24"/>
          <w:szCs w:val="24"/>
        </w:rPr>
        <w:t>Shinto/Buddhism/Hinduism (</w:t>
      </w:r>
      <w:r w:rsidR="00C8120E" w:rsidRPr="004F54BC">
        <w:rPr>
          <w:rFonts w:ascii="Times New Roman" w:hAnsi="Times New Roman" w:cs="Times New Roman"/>
          <w:i/>
          <w:iCs/>
          <w:sz w:val="24"/>
          <w:szCs w:val="24"/>
        </w:rPr>
        <w:t>SBHD</w:t>
      </w:r>
      <w:r w:rsidR="00C8120E">
        <w:rPr>
          <w:rFonts w:ascii="Times New Roman" w:hAnsi="Times New Roman" w:cs="Times New Roman"/>
          <w:sz w:val="24"/>
          <w:szCs w:val="24"/>
        </w:rPr>
        <w:t>)</w:t>
      </w:r>
      <w:r w:rsidR="00C8120E">
        <w:rPr>
          <w:rStyle w:val="FootnoteReference"/>
          <w:rFonts w:ascii="Times New Roman" w:hAnsi="Times New Roman" w:cs="Times New Roman"/>
          <w:sz w:val="24"/>
          <w:szCs w:val="24"/>
        </w:rPr>
        <w:footnoteReference w:id="20"/>
      </w:r>
      <w:r w:rsidR="00C8120E">
        <w:rPr>
          <w:rFonts w:ascii="Times New Roman" w:hAnsi="Times New Roman" w:cs="Times New Roman"/>
          <w:sz w:val="24"/>
          <w:szCs w:val="24"/>
        </w:rPr>
        <w:t xml:space="preserve"> </w:t>
      </w:r>
      <w:r w:rsidR="00C8120E">
        <w:rPr>
          <w:rStyle w:val="FootnoteReference"/>
          <w:rFonts w:ascii="Times New Roman" w:hAnsi="Times New Roman" w:cs="Times New Roman"/>
          <w:sz w:val="24"/>
          <w:szCs w:val="24"/>
        </w:rPr>
        <w:footnoteReference w:id="21"/>
      </w:r>
      <w:r w:rsidR="00C8120E">
        <w:rPr>
          <w:rFonts w:ascii="Times New Roman" w:hAnsi="Times New Roman" w:cs="Times New Roman"/>
          <w:sz w:val="24"/>
          <w:szCs w:val="24"/>
        </w:rPr>
        <w:t>.</w:t>
      </w:r>
    </w:p>
    <w:p w14:paraId="4546C091" w14:textId="77777777" w:rsidR="005022DD" w:rsidRDefault="005022DD" w:rsidP="00BF2605">
      <w:pPr>
        <w:tabs>
          <w:tab w:val="left" w:pos="426"/>
        </w:tabs>
        <w:spacing w:after="0" w:line="288" w:lineRule="auto"/>
        <w:jc w:val="both"/>
        <w:rPr>
          <w:rFonts w:ascii="Times New Roman" w:hAnsi="Times New Roman" w:cs="Times New Roman"/>
          <w:b/>
          <w:bCs/>
          <w:sz w:val="24"/>
          <w:szCs w:val="24"/>
        </w:rPr>
      </w:pPr>
      <w:bookmarkStart w:id="12" w:name="_Toc468074516"/>
    </w:p>
    <w:p w14:paraId="632258D6" w14:textId="2E408D07" w:rsidR="00C8120E" w:rsidRPr="005022DD" w:rsidRDefault="00C8120E" w:rsidP="00BF2605">
      <w:pPr>
        <w:tabs>
          <w:tab w:val="left" w:pos="426"/>
        </w:tabs>
        <w:spacing w:after="0" w:line="288" w:lineRule="auto"/>
        <w:jc w:val="both"/>
        <w:rPr>
          <w:rFonts w:ascii="Times New Roman" w:hAnsi="Times New Roman" w:cs="Times New Roman"/>
          <w:b/>
          <w:bCs/>
          <w:sz w:val="24"/>
          <w:szCs w:val="24"/>
        </w:rPr>
      </w:pPr>
      <w:r w:rsidRPr="005022DD">
        <w:rPr>
          <w:rFonts w:ascii="Times New Roman" w:hAnsi="Times New Roman" w:cs="Times New Roman"/>
          <w:b/>
          <w:bCs/>
          <w:sz w:val="24"/>
          <w:szCs w:val="24"/>
        </w:rPr>
        <w:t xml:space="preserve">Competition and </w:t>
      </w:r>
      <w:r w:rsidR="00D8659B">
        <w:rPr>
          <w:rFonts w:ascii="Times New Roman" w:hAnsi="Times New Roman" w:cs="Times New Roman"/>
          <w:b/>
          <w:bCs/>
          <w:sz w:val="24"/>
          <w:szCs w:val="24"/>
        </w:rPr>
        <w:t>M</w:t>
      </w:r>
      <w:r w:rsidRPr="005022DD">
        <w:rPr>
          <w:rFonts w:ascii="Times New Roman" w:hAnsi="Times New Roman" w:cs="Times New Roman"/>
          <w:b/>
          <w:bCs/>
          <w:sz w:val="24"/>
          <w:szCs w:val="24"/>
        </w:rPr>
        <w:t xml:space="preserve">arket </w:t>
      </w:r>
      <w:r w:rsidR="00D8659B">
        <w:rPr>
          <w:rFonts w:ascii="Times New Roman" w:hAnsi="Times New Roman" w:cs="Times New Roman"/>
          <w:b/>
          <w:bCs/>
          <w:sz w:val="24"/>
          <w:szCs w:val="24"/>
        </w:rPr>
        <w:t>C</w:t>
      </w:r>
      <w:r w:rsidRPr="005022DD">
        <w:rPr>
          <w:rFonts w:ascii="Times New Roman" w:hAnsi="Times New Roman" w:cs="Times New Roman"/>
          <w:b/>
          <w:bCs/>
          <w:sz w:val="24"/>
          <w:szCs w:val="24"/>
        </w:rPr>
        <w:t>onditions</w:t>
      </w:r>
      <w:bookmarkEnd w:id="12"/>
    </w:p>
    <w:p w14:paraId="283C84FF" w14:textId="77777777" w:rsidR="00D8659B" w:rsidRPr="00D8659B" w:rsidRDefault="00D8659B" w:rsidP="00BF2605">
      <w:pPr>
        <w:tabs>
          <w:tab w:val="left" w:pos="426"/>
        </w:tabs>
        <w:spacing w:after="0" w:line="288" w:lineRule="auto"/>
        <w:jc w:val="both"/>
        <w:rPr>
          <w:rFonts w:ascii="Times New Roman" w:hAnsi="Times New Roman" w:cs="Times New Roman"/>
          <w:sz w:val="12"/>
          <w:szCs w:val="12"/>
        </w:rPr>
      </w:pPr>
    </w:p>
    <w:p w14:paraId="37B6ECB9" w14:textId="7D6F0C6C" w:rsidR="001E2E71" w:rsidRPr="00703E8D" w:rsidRDefault="00C8120E" w:rsidP="00BF2605">
      <w:pPr>
        <w:tabs>
          <w:tab w:val="left" w:pos="426"/>
        </w:tabs>
        <w:spacing w:after="0" w:line="288" w:lineRule="auto"/>
        <w:jc w:val="both"/>
        <w:rPr>
          <w:rFonts w:asciiTheme="majorBidi" w:hAnsiTheme="majorBidi" w:cstheme="majorBidi"/>
          <w:b/>
          <w:bCs/>
          <w:sz w:val="24"/>
          <w:szCs w:val="24"/>
        </w:rPr>
      </w:pPr>
      <w:r>
        <w:rPr>
          <w:rFonts w:ascii="Times New Roman" w:hAnsi="Times New Roman" w:cs="Times New Roman"/>
          <w:sz w:val="24"/>
          <w:szCs w:val="24"/>
        </w:rPr>
        <w:t>We use data from the GC</w:t>
      </w:r>
      <w:r w:rsidRPr="00E3730A">
        <w:rPr>
          <w:rFonts w:ascii="Times New Roman" w:hAnsi="Times New Roman" w:cs="Times New Roman"/>
          <w:sz w:val="24"/>
          <w:szCs w:val="24"/>
        </w:rPr>
        <w:t>I</w:t>
      </w:r>
      <w:r>
        <w:rPr>
          <w:rFonts w:ascii="Times New Roman" w:hAnsi="Times New Roman" w:cs="Times New Roman"/>
          <w:sz w:val="24"/>
          <w:szCs w:val="24"/>
        </w:rPr>
        <w:t xml:space="preserve"> report (discussed earlier) to build our market competitiveness index (COMP). Specifically, </w:t>
      </w:r>
      <w:r w:rsidRPr="00E3730A">
        <w:rPr>
          <w:rFonts w:ascii="Times New Roman" w:hAnsi="Times New Roman" w:cs="Times New Roman"/>
          <w:sz w:val="24"/>
          <w:szCs w:val="24"/>
        </w:rPr>
        <w:t xml:space="preserve">we use PCA and the scores of the following relevant pillars: </w:t>
      </w:r>
      <w:r>
        <w:rPr>
          <w:rFonts w:ascii="Times New Roman" w:hAnsi="Times New Roman" w:cs="Times New Roman"/>
          <w:sz w:val="24"/>
          <w:szCs w:val="24"/>
        </w:rPr>
        <w:t xml:space="preserve">goods market efficiency, </w:t>
      </w:r>
      <w:r w:rsidRPr="00074EF6">
        <w:rPr>
          <w:rFonts w:ascii="Times New Roman" w:hAnsi="Times New Roman" w:cs="Times New Roman"/>
          <w:sz w:val="24"/>
          <w:szCs w:val="24"/>
        </w:rPr>
        <w:t>labor</w:t>
      </w:r>
      <w:r>
        <w:rPr>
          <w:rFonts w:ascii="Times New Roman" w:hAnsi="Times New Roman" w:cs="Times New Roman"/>
          <w:sz w:val="24"/>
          <w:szCs w:val="24"/>
        </w:rPr>
        <w:t xml:space="preserve"> market efficiency, market size, </w:t>
      </w:r>
      <w:r w:rsidRPr="00074EF6">
        <w:rPr>
          <w:rFonts w:ascii="Times New Roman" w:hAnsi="Times New Roman" w:cs="Times New Roman"/>
          <w:sz w:val="24"/>
          <w:szCs w:val="24"/>
        </w:rPr>
        <w:t>business sophistication</w:t>
      </w:r>
      <w:r>
        <w:rPr>
          <w:rFonts w:ascii="Times New Roman" w:hAnsi="Times New Roman" w:cs="Times New Roman"/>
          <w:sz w:val="24"/>
          <w:szCs w:val="24"/>
        </w:rPr>
        <w:t xml:space="preserve">, and </w:t>
      </w:r>
      <w:r w:rsidRPr="00074EF6">
        <w:rPr>
          <w:rFonts w:ascii="Times New Roman" w:hAnsi="Times New Roman" w:cs="Times New Roman"/>
          <w:sz w:val="24"/>
          <w:szCs w:val="24"/>
        </w:rPr>
        <w:t>innovation.</w:t>
      </w:r>
      <w:r>
        <w:rPr>
          <w:rFonts w:ascii="Times New Roman" w:hAnsi="Times New Roman" w:cs="Times New Roman"/>
          <w:sz w:val="24"/>
          <w:szCs w:val="24"/>
        </w:rPr>
        <w:t xml:space="preserve"> </w:t>
      </w:r>
      <w:r w:rsidR="00615108">
        <w:rPr>
          <w:rFonts w:ascii="Times New Roman" w:hAnsi="Times New Roman" w:cs="Times New Roman"/>
          <w:sz w:val="24"/>
          <w:szCs w:val="24"/>
        </w:rPr>
        <w:t>Countr</w:t>
      </w:r>
      <w:r>
        <w:rPr>
          <w:rFonts w:ascii="Times New Roman" w:hAnsi="Times New Roman" w:cs="Times New Roman"/>
          <w:sz w:val="24"/>
          <w:szCs w:val="24"/>
        </w:rPr>
        <w:t>ies with better or more positive conditions will score higher in this index</w:t>
      </w:r>
      <w:r w:rsidRPr="00E3730A">
        <w:rPr>
          <w:rFonts w:ascii="Times New Roman" w:hAnsi="Times New Roman" w:cs="Times New Roman"/>
          <w:sz w:val="24"/>
          <w:szCs w:val="24"/>
        </w:rPr>
        <w:t>.</w:t>
      </w:r>
      <w:r>
        <w:rPr>
          <w:rFonts w:ascii="Times New Roman" w:hAnsi="Times New Roman" w:cs="Times New Roman"/>
          <w:sz w:val="24"/>
          <w:szCs w:val="24"/>
        </w:rPr>
        <w:t xml:space="preserve"> This index is intended to measure the level of overall competitiveness and to capture differences in the market conditions and practices among the countries included in our sample.</w:t>
      </w:r>
    </w:p>
    <w:sectPr w:rsidR="001E2E71" w:rsidRPr="00703E8D" w:rsidSect="006618FC">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BD952" w14:textId="77777777" w:rsidR="00EC3451" w:rsidRDefault="00EC3451" w:rsidP="003E6053">
      <w:pPr>
        <w:spacing w:after="0" w:line="240" w:lineRule="auto"/>
      </w:pPr>
      <w:r>
        <w:separator/>
      </w:r>
    </w:p>
  </w:endnote>
  <w:endnote w:type="continuationSeparator" w:id="0">
    <w:p w14:paraId="4AB6BF8E" w14:textId="77777777" w:rsidR="00EC3451" w:rsidRDefault="00EC3451" w:rsidP="003E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418632"/>
      <w:docPartObj>
        <w:docPartGallery w:val="Page Numbers (Bottom of Page)"/>
        <w:docPartUnique/>
      </w:docPartObj>
    </w:sdtPr>
    <w:sdtEndPr>
      <w:rPr>
        <w:noProof/>
      </w:rPr>
    </w:sdtEndPr>
    <w:sdtContent>
      <w:p w14:paraId="1DB67F83" w14:textId="1481A30D" w:rsidR="00E219C5" w:rsidRDefault="00E219C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8F61BC7" w14:textId="77777777" w:rsidR="00E219C5" w:rsidRDefault="00E2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1246" w14:textId="77777777" w:rsidR="00EC3451" w:rsidRDefault="00EC3451" w:rsidP="003E6053">
      <w:pPr>
        <w:spacing w:after="0" w:line="240" w:lineRule="auto"/>
      </w:pPr>
      <w:r>
        <w:separator/>
      </w:r>
    </w:p>
  </w:footnote>
  <w:footnote w:type="continuationSeparator" w:id="0">
    <w:p w14:paraId="572A3058" w14:textId="77777777" w:rsidR="00EC3451" w:rsidRDefault="00EC3451" w:rsidP="003E6053">
      <w:pPr>
        <w:spacing w:after="0" w:line="240" w:lineRule="auto"/>
      </w:pPr>
      <w:r>
        <w:continuationSeparator/>
      </w:r>
    </w:p>
  </w:footnote>
  <w:footnote w:id="1">
    <w:p w14:paraId="51ACEFD7" w14:textId="144C8C3F" w:rsidR="00E219C5" w:rsidRPr="00BF2605" w:rsidRDefault="00E219C5" w:rsidP="00BF2605">
      <w:pPr>
        <w:pStyle w:val="FootnoteText"/>
        <w:ind w:left="142" w:hanging="142"/>
        <w:rPr>
          <w:rFonts w:ascii="Times New Roman" w:hAnsi="Times New Roman" w:cs="Times New Roman"/>
          <w:sz w:val="22"/>
          <w:szCs w:val="22"/>
        </w:rPr>
      </w:pPr>
      <w:r w:rsidRPr="00BF2605">
        <w:rPr>
          <w:rStyle w:val="FootnoteReference"/>
          <w:rFonts w:ascii="Times New Roman" w:hAnsi="Times New Roman" w:cs="Times New Roman"/>
          <w:sz w:val="22"/>
          <w:szCs w:val="22"/>
        </w:rPr>
        <w:footnoteRef/>
      </w:r>
      <w:r w:rsidRPr="00BF2605">
        <w:rPr>
          <w:rFonts w:ascii="Times New Roman" w:hAnsi="Times New Roman" w:cs="Times New Roman"/>
          <w:sz w:val="22"/>
          <w:szCs w:val="22"/>
        </w:rPr>
        <w:t xml:space="preserve"> For a detailed review of the different theoretical frameworks employed in governance research refer to Aguilera </w:t>
      </w:r>
      <w:r w:rsidRPr="001F2E5E">
        <w:rPr>
          <w:rFonts w:ascii="Times New Roman" w:hAnsi="Times New Roman" w:cs="Times New Roman"/>
          <w:i/>
          <w:iCs/>
          <w:sz w:val="22"/>
          <w:szCs w:val="22"/>
        </w:rPr>
        <w:t>et al.</w:t>
      </w:r>
      <w:r w:rsidRPr="00BF2605">
        <w:rPr>
          <w:rFonts w:ascii="Times New Roman" w:hAnsi="Times New Roman" w:cs="Times New Roman"/>
          <w:sz w:val="22"/>
          <w:szCs w:val="22"/>
        </w:rPr>
        <w:t xml:space="preserve"> (2015).</w:t>
      </w:r>
    </w:p>
  </w:footnote>
  <w:footnote w:id="2">
    <w:p w14:paraId="24BB8F8B" w14:textId="77777777" w:rsidR="00E219C5" w:rsidRPr="001F2E5E" w:rsidRDefault="00E219C5" w:rsidP="001F2E5E">
      <w:pPr>
        <w:pStyle w:val="FootnoteText"/>
        <w:ind w:left="142" w:hanging="142"/>
        <w:jc w:val="both"/>
        <w:rPr>
          <w:rFonts w:ascii="Times New Roman" w:hAnsi="Times New Roman" w:cs="Times New Roman"/>
          <w:sz w:val="22"/>
          <w:szCs w:val="22"/>
        </w:rPr>
      </w:pPr>
      <w:r w:rsidRPr="001F2E5E">
        <w:rPr>
          <w:rStyle w:val="FootnoteReference"/>
          <w:rFonts w:ascii="Times New Roman" w:hAnsi="Times New Roman" w:cs="Times New Roman"/>
          <w:sz w:val="22"/>
          <w:szCs w:val="22"/>
        </w:rPr>
        <w:footnoteRef/>
      </w:r>
      <w:r w:rsidRPr="001F2E5E">
        <w:rPr>
          <w:rFonts w:ascii="Times New Roman" w:hAnsi="Times New Roman" w:cs="Times New Roman"/>
          <w:sz w:val="22"/>
          <w:szCs w:val="22"/>
        </w:rPr>
        <w:t xml:space="preserve"> Heterogeneity arises when unobservable factors affect both the dependent and the independent variables, whereas simultaneity arises when the independent variables are a function of the dependent variable or its expected value.</w:t>
      </w:r>
    </w:p>
  </w:footnote>
  <w:footnote w:id="3">
    <w:p w14:paraId="4A7E8636" w14:textId="7D05E45C" w:rsidR="00E219C5" w:rsidRPr="00E11F2A" w:rsidRDefault="00E219C5" w:rsidP="00AF24F2">
      <w:pPr>
        <w:pStyle w:val="FootnoteText"/>
        <w:jc w:val="both"/>
        <w:rPr>
          <w:rFonts w:ascii="Times New Roman" w:hAnsi="Times New Roman" w:cs="Times New Roman"/>
          <w:sz w:val="22"/>
          <w:szCs w:val="22"/>
        </w:rPr>
      </w:pPr>
      <w:r w:rsidRPr="00E11F2A">
        <w:rPr>
          <w:rStyle w:val="FootnoteReference"/>
          <w:rFonts w:ascii="Times New Roman" w:hAnsi="Times New Roman" w:cs="Times New Roman"/>
          <w:sz w:val="22"/>
          <w:szCs w:val="22"/>
        </w:rPr>
        <w:footnoteRef/>
      </w:r>
      <w:r w:rsidRPr="00E11F2A">
        <w:rPr>
          <w:rFonts w:ascii="Times New Roman" w:hAnsi="Times New Roman" w:cs="Times New Roman"/>
          <w:sz w:val="22"/>
          <w:szCs w:val="22"/>
        </w:rPr>
        <w:t xml:space="preserve"> Market capitalization figures are sourced from the World Federation of Exchanges as of end 2017.</w:t>
      </w:r>
    </w:p>
  </w:footnote>
  <w:footnote w:id="4">
    <w:p w14:paraId="72EFA0BA" w14:textId="382EC5B6" w:rsidR="00E219C5" w:rsidRDefault="00E219C5" w:rsidP="00E11F2A">
      <w:pPr>
        <w:pStyle w:val="FootnoteText"/>
        <w:ind w:left="142" w:hanging="142"/>
        <w:jc w:val="both"/>
        <w:rPr>
          <w:rFonts w:ascii="Times New Roman" w:hAnsi="Times New Roman" w:cs="Times New Roman"/>
          <w:sz w:val="22"/>
          <w:szCs w:val="22"/>
        </w:rPr>
      </w:pPr>
      <w:r w:rsidRPr="00E11F2A">
        <w:rPr>
          <w:rStyle w:val="FootnoteReference"/>
          <w:rFonts w:ascii="Times New Roman" w:hAnsi="Times New Roman" w:cs="Times New Roman"/>
          <w:sz w:val="22"/>
          <w:szCs w:val="22"/>
        </w:rPr>
        <w:footnoteRef/>
      </w:r>
      <w:r w:rsidRPr="00E11F2A">
        <w:rPr>
          <w:rFonts w:ascii="Times New Roman" w:hAnsi="Times New Roman" w:cs="Times New Roman"/>
          <w:sz w:val="22"/>
          <w:szCs w:val="22"/>
        </w:rPr>
        <w:t xml:space="preserve"> </w:t>
      </w:r>
      <w:r>
        <w:rPr>
          <w:rFonts w:ascii="Times New Roman" w:hAnsi="Times New Roman" w:cs="Times New Roman"/>
          <w:sz w:val="22"/>
          <w:szCs w:val="22"/>
        </w:rPr>
        <w:tab/>
      </w:r>
      <w:r w:rsidRPr="00E11F2A">
        <w:rPr>
          <w:rFonts w:ascii="Times New Roman" w:hAnsi="Times New Roman" w:cs="Times New Roman"/>
          <w:sz w:val="22"/>
          <w:szCs w:val="22"/>
        </w:rPr>
        <w:t xml:space="preserve">Thresholds for the different governance measures are provided in the appendix. </w:t>
      </w:r>
    </w:p>
    <w:p w14:paraId="7563BC0B" w14:textId="77777777" w:rsidR="00E219C5" w:rsidRPr="00D70B70" w:rsidRDefault="00E219C5" w:rsidP="00E11F2A">
      <w:pPr>
        <w:pStyle w:val="FootnoteText"/>
        <w:ind w:left="142" w:hanging="142"/>
        <w:jc w:val="both"/>
        <w:rPr>
          <w:rFonts w:ascii="Times New Roman" w:hAnsi="Times New Roman" w:cs="Times New Roman"/>
          <w:sz w:val="6"/>
          <w:szCs w:val="6"/>
        </w:rPr>
      </w:pPr>
    </w:p>
  </w:footnote>
  <w:footnote w:id="5">
    <w:p w14:paraId="6DF5FAFA" w14:textId="77501FF8" w:rsidR="00E219C5" w:rsidRPr="00E11F2A" w:rsidRDefault="00E219C5" w:rsidP="00E11F2A">
      <w:pPr>
        <w:pStyle w:val="FootnoteText"/>
        <w:ind w:left="142" w:hanging="142"/>
        <w:jc w:val="both"/>
        <w:rPr>
          <w:rFonts w:ascii="Times New Roman" w:hAnsi="Times New Roman" w:cs="Times New Roman"/>
          <w:sz w:val="22"/>
          <w:szCs w:val="22"/>
        </w:rPr>
      </w:pPr>
      <w:r w:rsidRPr="00E11F2A">
        <w:rPr>
          <w:rStyle w:val="FootnoteReference"/>
          <w:rFonts w:ascii="Times New Roman" w:hAnsi="Times New Roman" w:cs="Times New Roman"/>
          <w:sz w:val="22"/>
          <w:szCs w:val="22"/>
        </w:rPr>
        <w:footnoteRef/>
      </w:r>
      <w:r w:rsidRPr="00E11F2A">
        <w:rPr>
          <w:rFonts w:ascii="Times New Roman" w:hAnsi="Times New Roman" w:cs="Times New Roman"/>
          <w:sz w:val="22"/>
          <w:szCs w:val="22"/>
        </w:rPr>
        <w:t xml:space="preserve"> </w:t>
      </w:r>
      <w:r>
        <w:rPr>
          <w:rFonts w:ascii="Times New Roman" w:hAnsi="Times New Roman" w:cs="Times New Roman"/>
          <w:sz w:val="22"/>
          <w:szCs w:val="22"/>
        </w:rPr>
        <w:tab/>
      </w:r>
      <w:r w:rsidRPr="00E11F2A">
        <w:rPr>
          <w:rFonts w:ascii="Times New Roman" w:hAnsi="Times New Roman" w:cs="Times New Roman"/>
          <w:sz w:val="22"/>
          <w:szCs w:val="22"/>
        </w:rPr>
        <w:t>We analyze individual Variance Inflation Factor (VIF) scores for any signs of multicollinearity in our models. We also report mean VIF scores for all of our regressions.</w:t>
      </w:r>
    </w:p>
  </w:footnote>
  <w:footnote w:id="6">
    <w:p w14:paraId="10AA28F5" w14:textId="0A30B717" w:rsidR="00E219C5" w:rsidRDefault="00E219C5" w:rsidP="00E11F2A">
      <w:pPr>
        <w:pStyle w:val="FootnoteText"/>
        <w:ind w:left="142" w:hanging="142"/>
        <w:jc w:val="both"/>
        <w:rPr>
          <w:rFonts w:ascii="Times New Roman" w:hAnsi="Times New Roman" w:cs="Times New Roman"/>
          <w:sz w:val="22"/>
          <w:szCs w:val="22"/>
        </w:rPr>
      </w:pPr>
      <w:r w:rsidRPr="00E11F2A">
        <w:rPr>
          <w:rStyle w:val="FootnoteReference"/>
          <w:rFonts w:ascii="Times New Roman" w:hAnsi="Times New Roman" w:cs="Times New Roman"/>
          <w:sz w:val="22"/>
          <w:szCs w:val="22"/>
        </w:rPr>
        <w:footnoteRef/>
      </w:r>
      <w:r w:rsidRPr="00E11F2A">
        <w:rPr>
          <w:rFonts w:ascii="Times New Roman" w:hAnsi="Times New Roman" w:cs="Times New Roman"/>
          <w:sz w:val="22"/>
          <w:szCs w:val="22"/>
        </w:rPr>
        <w:t xml:space="preserve"> </w:t>
      </w:r>
      <w:r>
        <w:rPr>
          <w:rFonts w:ascii="Times New Roman" w:hAnsi="Times New Roman" w:cs="Times New Roman"/>
          <w:sz w:val="22"/>
          <w:szCs w:val="22"/>
        </w:rPr>
        <w:tab/>
      </w:r>
      <w:r w:rsidRPr="00E11F2A">
        <w:rPr>
          <w:rFonts w:ascii="Times New Roman" w:hAnsi="Times New Roman" w:cs="Times New Roman"/>
          <w:sz w:val="22"/>
          <w:szCs w:val="22"/>
        </w:rPr>
        <w:t>For the other models we rely on country clustered standard errors to address our concerns about violation of the independence assumption.</w:t>
      </w:r>
    </w:p>
    <w:p w14:paraId="09EC9525" w14:textId="77777777" w:rsidR="00E219C5" w:rsidRPr="00187D48" w:rsidRDefault="00E219C5" w:rsidP="00E11F2A">
      <w:pPr>
        <w:pStyle w:val="FootnoteText"/>
        <w:ind w:left="142" w:hanging="142"/>
        <w:jc w:val="both"/>
        <w:rPr>
          <w:sz w:val="6"/>
          <w:szCs w:val="6"/>
        </w:rPr>
      </w:pPr>
    </w:p>
  </w:footnote>
  <w:footnote w:id="7">
    <w:p w14:paraId="5F352740" w14:textId="58377A2C" w:rsidR="00E219C5" w:rsidRDefault="00E219C5" w:rsidP="00E11F2A">
      <w:pPr>
        <w:pStyle w:val="FootnoteText"/>
        <w:ind w:left="142" w:hanging="142"/>
        <w:jc w:val="both"/>
        <w:rPr>
          <w:rFonts w:ascii="Times New Roman" w:hAnsi="Times New Roman" w:cs="Times New Roman"/>
          <w:sz w:val="22"/>
          <w:szCs w:val="22"/>
        </w:rPr>
      </w:pPr>
      <w:r w:rsidRPr="00E11F2A">
        <w:rPr>
          <w:rStyle w:val="FootnoteReference"/>
          <w:rFonts w:ascii="Times New Roman" w:hAnsi="Times New Roman" w:cs="Times New Roman"/>
          <w:sz w:val="22"/>
          <w:szCs w:val="22"/>
        </w:rPr>
        <w:footnoteRef/>
      </w:r>
      <w:r w:rsidRPr="00E11F2A">
        <w:rPr>
          <w:rFonts w:ascii="Times New Roman" w:hAnsi="Times New Roman" w:cs="Times New Roman"/>
          <w:sz w:val="22"/>
          <w:szCs w:val="22"/>
        </w:rPr>
        <w:t xml:space="preserve"> We omit some of the control variables used in earlier studies </w:t>
      </w:r>
      <w:r w:rsidR="00C434B8" w:rsidRPr="00E11F2A">
        <w:rPr>
          <w:rFonts w:ascii="Times New Roman" w:hAnsi="Times New Roman" w:cs="Times New Roman"/>
          <w:sz w:val="22"/>
          <w:szCs w:val="22"/>
        </w:rPr>
        <w:t>(</w:t>
      </w:r>
      <w:r w:rsidR="008D5C08">
        <w:rPr>
          <w:rFonts w:ascii="Times New Roman" w:hAnsi="Times New Roman" w:cs="Times New Roman"/>
          <w:sz w:val="22"/>
          <w:szCs w:val="22"/>
        </w:rPr>
        <w:t xml:space="preserve">for example, </w:t>
      </w:r>
      <w:r w:rsidRPr="00E11F2A">
        <w:rPr>
          <w:rFonts w:ascii="Times New Roman" w:hAnsi="Times New Roman" w:cs="Times New Roman"/>
          <w:sz w:val="22"/>
          <w:szCs w:val="22"/>
        </w:rPr>
        <w:t xml:space="preserve"> Aggarwal </w:t>
      </w:r>
      <w:r w:rsidRPr="001F2E5E">
        <w:rPr>
          <w:rFonts w:ascii="Times New Roman" w:hAnsi="Times New Roman" w:cs="Times New Roman"/>
          <w:i/>
          <w:iCs/>
          <w:sz w:val="22"/>
          <w:szCs w:val="22"/>
        </w:rPr>
        <w:t>et al.</w:t>
      </w:r>
      <w:r w:rsidRPr="00E11F2A">
        <w:rPr>
          <w:rFonts w:ascii="Times New Roman" w:hAnsi="Times New Roman" w:cs="Times New Roman"/>
          <w:sz w:val="22"/>
          <w:szCs w:val="22"/>
        </w:rPr>
        <w:t xml:space="preserve"> 2010</w:t>
      </w:r>
      <w:r>
        <w:rPr>
          <w:rFonts w:ascii="Times New Roman" w:hAnsi="Times New Roman" w:cs="Times New Roman"/>
          <w:sz w:val="22"/>
          <w:szCs w:val="22"/>
        </w:rPr>
        <w:t>,</w:t>
      </w:r>
      <w:r w:rsidRPr="00E11F2A">
        <w:rPr>
          <w:rFonts w:ascii="Times New Roman" w:hAnsi="Times New Roman" w:cs="Times New Roman"/>
          <w:sz w:val="22"/>
          <w:szCs w:val="22"/>
        </w:rPr>
        <w:t xml:space="preserve"> Klapper and Love 2004) such as PPE/Sales, because they were found to be insignificant in these studies. We also believe that the industry dummies will capture many of the differences that those omitted control variables were designed to capture. </w:t>
      </w:r>
    </w:p>
    <w:p w14:paraId="485E8E2B" w14:textId="77777777" w:rsidR="00E219C5" w:rsidRPr="00187D48" w:rsidRDefault="00E219C5" w:rsidP="00E11F2A">
      <w:pPr>
        <w:pStyle w:val="FootnoteText"/>
        <w:ind w:left="142" w:hanging="142"/>
        <w:jc w:val="both"/>
        <w:rPr>
          <w:rFonts w:ascii="Times New Roman" w:hAnsi="Times New Roman" w:cs="Times New Roman"/>
          <w:sz w:val="6"/>
          <w:szCs w:val="6"/>
        </w:rPr>
      </w:pPr>
    </w:p>
  </w:footnote>
  <w:footnote w:id="8">
    <w:p w14:paraId="2FA5BF9D" w14:textId="77777777" w:rsidR="00E219C5" w:rsidRPr="00E11F2A" w:rsidRDefault="00E219C5" w:rsidP="00E11F2A">
      <w:pPr>
        <w:pStyle w:val="FootnoteText"/>
        <w:ind w:left="142" w:hanging="142"/>
        <w:jc w:val="both"/>
        <w:rPr>
          <w:rFonts w:ascii="Times New Roman" w:hAnsi="Times New Roman" w:cs="Times New Roman"/>
          <w:sz w:val="22"/>
          <w:szCs w:val="22"/>
        </w:rPr>
      </w:pPr>
      <w:r w:rsidRPr="00E11F2A">
        <w:rPr>
          <w:rStyle w:val="FootnoteReference"/>
          <w:rFonts w:ascii="Times New Roman" w:hAnsi="Times New Roman" w:cs="Times New Roman"/>
          <w:sz w:val="22"/>
          <w:szCs w:val="22"/>
        </w:rPr>
        <w:footnoteRef/>
      </w:r>
      <w:r w:rsidRPr="00E11F2A">
        <w:rPr>
          <w:rFonts w:ascii="Times New Roman" w:hAnsi="Times New Roman" w:cs="Times New Roman"/>
          <w:sz w:val="22"/>
          <w:szCs w:val="22"/>
        </w:rPr>
        <w:t xml:space="preserve"> The sensitivity of the results of the analysis to the choice and definition of these different control variables will be tested for robustness in a later section.</w:t>
      </w:r>
    </w:p>
  </w:footnote>
  <w:footnote w:id="9">
    <w:p w14:paraId="152FABFA" w14:textId="3DA5030E" w:rsidR="00E219C5" w:rsidRPr="000C20D9" w:rsidRDefault="00E219C5" w:rsidP="00D64016">
      <w:pPr>
        <w:pStyle w:val="FootnoteText"/>
        <w:ind w:left="142" w:hanging="142"/>
        <w:jc w:val="both"/>
        <w:rPr>
          <w:rFonts w:ascii="Times New Roman" w:hAnsi="Times New Roman" w:cs="Times New Roman"/>
          <w:sz w:val="22"/>
          <w:szCs w:val="22"/>
        </w:rPr>
      </w:pPr>
      <w:r w:rsidRPr="000C20D9">
        <w:rPr>
          <w:rStyle w:val="FootnoteReference"/>
          <w:rFonts w:ascii="Times New Roman" w:hAnsi="Times New Roman" w:cs="Times New Roman"/>
          <w:sz w:val="22"/>
          <w:szCs w:val="22"/>
        </w:rPr>
        <w:footnoteRef/>
      </w:r>
      <w:r w:rsidRPr="000C20D9">
        <w:rPr>
          <w:rFonts w:ascii="Times New Roman" w:hAnsi="Times New Roman" w:cs="Times New Roman"/>
          <w:sz w:val="22"/>
          <w:szCs w:val="22"/>
        </w:rPr>
        <w:t xml:space="preserve"> </w:t>
      </w:r>
      <w:r>
        <w:rPr>
          <w:rFonts w:ascii="Times New Roman" w:hAnsi="Times New Roman" w:cs="Times New Roman"/>
          <w:sz w:val="22"/>
          <w:szCs w:val="22"/>
        </w:rPr>
        <w:tab/>
      </w:r>
      <w:r w:rsidRPr="000C20D9">
        <w:rPr>
          <w:rFonts w:ascii="Times New Roman" w:hAnsi="Times New Roman" w:cs="Times New Roman"/>
          <w:sz w:val="22"/>
          <w:szCs w:val="22"/>
        </w:rPr>
        <w:t xml:space="preserve">As explained earlier, the rules-based indicators measure whether there are adequate rules to protect investors, while outcome-based indicators reflect the actual outcome of these rules (see Kaufmann </w:t>
      </w:r>
      <w:r w:rsidRPr="001F2E5E">
        <w:rPr>
          <w:rFonts w:ascii="Times New Roman" w:hAnsi="Times New Roman" w:cs="Times New Roman"/>
          <w:i/>
          <w:iCs/>
          <w:sz w:val="22"/>
          <w:szCs w:val="22"/>
        </w:rPr>
        <w:t>et al.</w:t>
      </w:r>
      <w:r>
        <w:rPr>
          <w:rFonts w:ascii="Times New Roman" w:hAnsi="Times New Roman" w:cs="Times New Roman"/>
          <w:i/>
          <w:iCs/>
          <w:sz w:val="22"/>
          <w:szCs w:val="22"/>
        </w:rPr>
        <w:t xml:space="preserve"> </w:t>
      </w:r>
      <w:r w:rsidRPr="000C20D9">
        <w:rPr>
          <w:rFonts w:ascii="Times New Roman" w:hAnsi="Times New Roman" w:cs="Times New Roman"/>
          <w:sz w:val="22"/>
          <w:szCs w:val="22"/>
        </w:rPr>
        <w:t>2011</w:t>
      </w:r>
      <w:r>
        <w:rPr>
          <w:rFonts w:ascii="Times New Roman" w:hAnsi="Times New Roman" w:cs="Times New Roman"/>
          <w:sz w:val="22"/>
          <w:szCs w:val="22"/>
        </w:rPr>
        <w:t>,</w:t>
      </w:r>
      <w:r w:rsidRPr="000C20D9">
        <w:rPr>
          <w:rFonts w:ascii="Times New Roman" w:hAnsi="Times New Roman" w:cs="Times New Roman"/>
          <w:sz w:val="22"/>
          <w:szCs w:val="22"/>
        </w:rPr>
        <w:t xml:space="preserve"> Schiehll and Martin 2016)</w:t>
      </w:r>
    </w:p>
  </w:footnote>
  <w:footnote w:id="10">
    <w:p w14:paraId="60E5549C" w14:textId="6097B6D2" w:rsidR="00E219C5" w:rsidRPr="000C20D9" w:rsidRDefault="00E219C5" w:rsidP="000C20D9">
      <w:pPr>
        <w:pStyle w:val="FootnoteText"/>
        <w:ind w:left="284" w:hanging="284"/>
        <w:jc w:val="both"/>
        <w:rPr>
          <w:rFonts w:ascii="Times New Roman" w:hAnsi="Times New Roman" w:cs="Times New Roman"/>
          <w:sz w:val="22"/>
          <w:szCs w:val="22"/>
        </w:rPr>
      </w:pPr>
      <w:r w:rsidRPr="000C20D9">
        <w:rPr>
          <w:rStyle w:val="FootnoteReference"/>
          <w:rFonts w:ascii="Times New Roman" w:hAnsi="Times New Roman" w:cs="Times New Roman"/>
          <w:sz w:val="22"/>
          <w:szCs w:val="22"/>
        </w:rPr>
        <w:footnoteRef/>
      </w:r>
      <w:r w:rsidRPr="000C20D9">
        <w:rPr>
          <w:rFonts w:ascii="Times New Roman" w:hAnsi="Times New Roman" w:cs="Times New Roman"/>
          <w:sz w:val="22"/>
          <w:szCs w:val="22"/>
        </w:rPr>
        <w:t xml:space="preserve"> </w:t>
      </w:r>
      <w:r>
        <w:rPr>
          <w:rFonts w:ascii="Times New Roman" w:hAnsi="Times New Roman" w:cs="Times New Roman"/>
          <w:sz w:val="22"/>
          <w:szCs w:val="22"/>
        </w:rPr>
        <w:tab/>
      </w:r>
      <w:r w:rsidRPr="000C20D9">
        <w:rPr>
          <w:rFonts w:ascii="Times New Roman" w:hAnsi="Times New Roman" w:cs="Times New Roman"/>
          <w:sz w:val="22"/>
          <w:szCs w:val="22"/>
        </w:rPr>
        <w:t>This pillar scores financial development around the world based on factors such as: affordability and availability of financial services; financing through local equity market; ease of access to loans; venture capital availability; soundness of banks; regulation of securities exchanges.</w:t>
      </w:r>
    </w:p>
  </w:footnote>
  <w:footnote w:id="11">
    <w:p w14:paraId="58EBC6C0" w14:textId="5B86D66E" w:rsidR="00E219C5" w:rsidRPr="000C20D9" w:rsidRDefault="00E219C5" w:rsidP="000C20D9">
      <w:pPr>
        <w:pStyle w:val="FootnoteText"/>
        <w:ind w:left="284" w:hanging="284"/>
        <w:rPr>
          <w:rFonts w:ascii="Times New Roman" w:hAnsi="Times New Roman" w:cs="Times New Roman"/>
          <w:sz w:val="22"/>
          <w:szCs w:val="22"/>
        </w:rPr>
      </w:pPr>
      <w:r w:rsidRPr="000C20D9">
        <w:rPr>
          <w:rStyle w:val="FootnoteReference"/>
          <w:rFonts w:ascii="Times New Roman" w:hAnsi="Times New Roman" w:cs="Times New Roman"/>
          <w:sz w:val="22"/>
          <w:szCs w:val="22"/>
        </w:rPr>
        <w:footnoteRef/>
      </w:r>
      <w:r w:rsidRPr="000C20D9">
        <w:rPr>
          <w:rFonts w:ascii="Times New Roman" w:hAnsi="Times New Roman" w:cs="Times New Roman"/>
          <w:sz w:val="22"/>
          <w:szCs w:val="22"/>
        </w:rPr>
        <w:t xml:space="preserve"> </w:t>
      </w:r>
      <w:r>
        <w:rPr>
          <w:rFonts w:ascii="Times New Roman" w:hAnsi="Times New Roman" w:cs="Times New Roman"/>
          <w:sz w:val="22"/>
          <w:szCs w:val="22"/>
        </w:rPr>
        <w:tab/>
      </w:r>
      <w:r w:rsidRPr="000C20D9">
        <w:rPr>
          <w:rFonts w:ascii="Times New Roman" w:hAnsi="Times New Roman" w:cs="Times New Roman"/>
          <w:sz w:val="22"/>
          <w:szCs w:val="22"/>
        </w:rPr>
        <w:t>We intend to revisit this claim in our next set of regressions.</w:t>
      </w:r>
    </w:p>
  </w:footnote>
  <w:footnote w:id="12">
    <w:p w14:paraId="78215681" w14:textId="78947F1A" w:rsidR="00E219C5" w:rsidRDefault="00E219C5" w:rsidP="006F6182">
      <w:pPr>
        <w:pStyle w:val="FootnoteText"/>
        <w:ind w:left="284" w:hanging="284"/>
        <w:jc w:val="both"/>
        <w:rPr>
          <w:rFonts w:ascii="Times New Roman" w:hAnsi="Times New Roman" w:cs="Times New Roman"/>
          <w:sz w:val="22"/>
          <w:szCs w:val="22"/>
        </w:rPr>
      </w:pPr>
      <w:r w:rsidRPr="006F6182">
        <w:rPr>
          <w:rStyle w:val="FootnoteReference"/>
          <w:rFonts w:ascii="Times New Roman" w:hAnsi="Times New Roman" w:cs="Times New Roman"/>
          <w:sz w:val="22"/>
          <w:szCs w:val="22"/>
        </w:rPr>
        <w:footnoteRef/>
      </w:r>
      <w:r w:rsidRPr="006F6182">
        <w:rPr>
          <w:rFonts w:ascii="Times New Roman" w:hAnsi="Times New Roman" w:cs="Times New Roman"/>
          <w:sz w:val="22"/>
          <w:szCs w:val="22"/>
        </w:rPr>
        <w:t xml:space="preserve"> </w:t>
      </w:r>
      <w:r>
        <w:rPr>
          <w:rFonts w:ascii="Times New Roman" w:hAnsi="Times New Roman" w:cs="Times New Roman"/>
          <w:sz w:val="22"/>
          <w:szCs w:val="22"/>
        </w:rPr>
        <w:tab/>
      </w:r>
      <w:r w:rsidRPr="006F6182">
        <w:rPr>
          <w:rFonts w:ascii="Times New Roman" w:hAnsi="Times New Roman" w:cs="Times New Roman"/>
          <w:sz w:val="22"/>
          <w:szCs w:val="22"/>
        </w:rPr>
        <w:t>The AIC is an approximately unbiased estimate of the Kullback‐Liebler Information Criterion (KLIC) used to measure divergence between models.</w:t>
      </w:r>
    </w:p>
    <w:p w14:paraId="73DD0CFE" w14:textId="77777777" w:rsidR="00E219C5" w:rsidRPr="00B528D0" w:rsidRDefault="00E219C5" w:rsidP="006F6182">
      <w:pPr>
        <w:pStyle w:val="FootnoteText"/>
        <w:ind w:left="284" w:hanging="284"/>
        <w:jc w:val="both"/>
        <w:rPr>
          <w:rFonts w:ascii="Times New Roman" w:hAnsi="Times New Roman" w:cs="Times New Roman"/>
          <w:sz w:val="4"/>
          <w:szCs w:val="4"/>
        </w:rPr>
      </w:pPr>
    </w:p>
  </w:footnote>
  <w:footnote w:id="13">
    <w:p w14:paraId="5AC0A74B" w14:textId="6BAF9EA1" w:rsidR="00E219C5" w:rsidRPr="006F6182" w:rsidRDefault="00E219C5" w:rsidP="006F6182">
      <w:pPr>
        <w:pStyle w:val="FootnoteText"/>
        <w:ind w:left="284" w:hanging="284"/>
        <w:jc w:val="both"/>
        <w:rPr>
          <w:rFonts w:ascii="Times New Roman" w:hAnsi="Times New Roman" w:cs="Times New Roman"/>
          <w:sz w:val="22"/>
          <w:szCs w:val="22"/>
        </w:rPr>
      </w:pPr>
      <w:r w:rsidRPr="006F6182">
        <w:rPr>
          <w:rStyle w:val="FootnoteReference"/>
          <w:rFonts w:ascii="Times New Roman" w:hAnsi="Times New Roman" w:cs="Times New Roman"/>
          <w:sz w:val="22"/>
          <w:szCs w:val="22"/>
        </w:rPr>
        <w:footnoteRef/>
      </w:r>
      <w:r w:rsidRPr="006F6182">
        <w:rPr>
          <w:rFonts w:ascii="Times New Roman" w:hAnsi="Times New Roman" w:cs="Times New Roman"/>
          <w:sz w:val="22"/>
          <w:szCs w:val="22"/>
        </w:rPr>
        <w:t xml:space="preserve"> </w:t>
      </w:r>
      <w:r>
        <w:rPr>
          <w:rFonts w:ascii="Times New Roman" w:hAnsi="Times New Roman" w:cs="Times New Roman"/>
          <w:sz w:val="22"/>
          <w:szCs w:val="22"/>
        </w:rPr>
        <w:tab/>
      </w:r>
      <w:r w:rsidRPr="006F6182">
        <w:rPr>
          <w:rFonts w:ascii="Times New Roman" w:hAnsi="Times New Roman" w:cs="Times New Roman"/>
          <w:sz w:val="22"/>
          <w:szCs w:val="22"/>
        </w:rPr>
        <w:t xml:space="preserve">We test the causality up to the fourth lag of the independent variables and find no significant evidence of </w:t>
      </w:r>
      <w:r w:rsidR="005E0490">
        <w:rPr>
          <w:rFonts w:ascii="Times New Roman" w:hAnsi="Times New Roman" w:cs="Times New Roman"/>
          <w:sz w:val="22"/>
          <w:szCs w:val="22"/>
        </w:rPr>
        <w:t>G</w:t>
      </w:r>
      <w:r w:rsidRPr="006F6182">
        <w:rPr>
          <w:rFonts w:ascii="Times New Roman" w:hAnsi="Times New Roman" w:cs="Times New Roman"/>
          <w:sz w:val="22"/>
          <w:szCs w:val="22"/>
        </w:rPr>
        <w:t>ranger-causality in our sample.</w:t>
      </w:r>
    </w:p>
  </w:footnote>
  <w:footnote w:id="14">
    <w:p w14:paraId="4677C35A" w14:textId="29CEB9AB" w:rsidR="00E219C5" w:rsidRDefault="00E219C5" w:rsidP="00BE78CC">
      <w:pPr>
        <w:pStyle w:val="FootnoteText"/>
        <w:ind w:left="284" w:hanging="284"/>
        <w:jc w:val="both"/>
        <w:rPr>
          <w:rFonts w:ascii="Times New Roman" w:hAnsi="Times New Roman" w:cs="Times New Roman"/>
          <w:sz w:val="22"/>
          <w:szCs w:val="22"/>
        </w:rPr>
      </w:pPr>
      <w:r w:rsidRPr="00BE78CC">
        <w:rPr>
          <w:rStyle w:val="FootnoteReference"/>
          <w:rFonts w:ascii="Times New Roman" w:hAnsi="Times New Roman" w:cs="Times New Roman"/>
          <w:sz w:val="22"/>
          <w:szCs w:val="22"/>
        </w:rPr>
        <w:footnoteRef/>
      </w:r>
      <w:r w:rsidRPr="00BE78CC">
        <w:rPr>
          <w:rFonts w:ascii="Times New Roman" w:hAnsi="Times New Roman" w:cs="Times New Roman"/>
          <w:sz w:val="22"/>
          <w:szCs w:val="22"/>
        </w:rPr>
        <w:t xml:space="preserve"> </w:t>
      </w:r>
      <w:r>
        <w:rPr>
          <w:rFonts w:ascii="Times New Roman" w:hAnsi="Times New Roman" w:cs="Times New Roman"/>
          <w:sz w:val="22"/>
          <w:szCs w:val="22"/>
        </w:rPr>
        <w:tab/>
      </w:r>
      <w:r w:rsidRPr="00BE78CC">
        <w:rPr>
          <w:rFonts w:ascii="Times New Roman" w:hAnsi="Times New Roman" w:cs="Times New Roman"/>
          <w:sz w:val="22"/>
          <w:szCs w:val="22"/>
        </w:rPr>
        <w:t>Results remain essentially the same when we re-run model 4 excluding the country variables.</w:t>
      </w:r>
    </w:p>
    <w:p w14:paraId="7AB59841" w14:textId="77777777" w:rsidR="00E219C5" w:rsidRPr="00BE78CC" w:rsidRDefault="00E219C5" w:rsidP="00BE78CC">
      <w:pPr>
        <w:pStyle w:val="FootnoteText"/>
        <w:ind w:left="284" w:hanging="284"/>
        <w:jc w:val="both"/>
        <w:rPr>
          <w:rFonts w:ascii="Times New Roman" w:hAnsi="Times New Roman" w:cs="Times New Roman"/>
          <w:sz w:val="22"/>
          <w:szCs w:val="22"/>
        </w:rPr>
      </w:pPr>
    </w:p>
  </w:footnote>
  <w:footnote w:id="15">
    <w:p w14:paraId="479258B4" w14:textId="239EEC3A" w:rsidR="00E219C5" w:rsidRDefault="00E219C5" w:rsidP="00BE78CC">
      <w:pPr>
        <w:pStyle w:val="FootnoteText"/>
        <w:ind w:left="284" w:hanging="284"/>
        <w:jc w:val="both"/>
        <w:rPr>
          <w:rFonts w:ascii="Times New Roman" w:hAnsi="Times New Roman" w:cs="Times New Roman"/>
          <w:sz w:val="22"/>
          <w:szCs w:val="22"/>
        </w:rPr>
      </w:pPr>
      <w:r w:rsidRPr="00BE78CC">
        <w:rPr>
          <w:rStyle w:val="FootnoteReference"/>
          <w:rFonts w:ascii="Times New Roman" w:hAnsi="Times New Roman" w:cs="Times New Roman"/>
          <w:sz w:val="22"/>
          <w:szCs w:val="22"/>
        </w:rPr>
        <w:footnoteRef/>
      </w:r>
      <w:r w:rsidRPr="00BE78CC">
        <w:rPr>
          <w:rFonts w:ascii="Times New Roman" w:hAnsi="Times New Roman" w:cs="Times New Roman"/>
          <w:sz w:val="22"/>
          <w:szCs w:val="22"/>
        </w:rPr>
        <w:t xml:space="preserve"> </w:t>
      </w:r>
      <w:r>
        <w:rPr>
          <w:rFonts w:ascii="Times New Roman" w:hAnsi="Times New Roman" w:cs="Times New Roman"/>
          <w:sz w:val="22"/>
          <w:szCs w:val="22"/>
        </w:rPr>
        <w:tab/>
      </w:r>
      <w:r w:rsidRPr="00BE78CC">
        <w:rPr>
          <w:rFonts w:ascii="Times New Roman" w:hAnsi="Times New Roman" w:cs="Times New Roman"/>
          <w:sz w:val="22"/>
          <w:szCs w:val="22"/>
        </w:rPr>
        <w:t>The governance score provided by DataStream is a standardized score (Z-score) that compares the firm’s overall governance framework to all other firms in the database.</w:t>
      </w:r>
    </w:p>
    <w:p w14:paraId="22D9353A" w14:textId="77777777" w:rsidR="00E219C5" w:rsidRPr="00BE78CC" w:rsidRDefault="00E219C5" w:rsidP="00BE78CC">
      <w:pPr>
        <w:pStyle w:val="FootnoteText"/>
        <w:ind w:left="284" w:hanging="284"/>
        <w:jc w:val="both"/>
        <w:rPr>
          <w:rFonts w:ascii="Times New Roman" w:hAnsi="Times New Roman" w:cs="Times New Roman"/>
          <w:sz w:val="22"/>
          <w:szCs w:val="22"/>
        </w:rPr>
      </w:pPr>
    </w:p>
  </w:footnote>
  <w:footnote w:id="16">
    <w:p w14:paraId="5461C276" w14:textId="687A54DE" w:rsidR="00E219C5" w:rsidRPr="00BE78CC" w:rsidRDefault="00E219C5" w:rsidP="00BE78CC">
      <w:pPr>
        <w:pStyle w:val="FootnoteText"/>
        <w:ind w:left="284" w:hanging="284"/>
        <w:jc w:val="both"/>
        <w:rPr>
          <w:rFonts w:ascii="Times New Roman" w:hAnsi="Times New Roman" w:cs="Times New Roman"/>
          <w:sz w:val="22"/>
          <w:szCs w:val="22"/>
        </w:rPr>
      </w:pPr>
      <w:r w:rsidRPr="00BE78CC">
        <w:rPr>
          <w:rStyle w:val="FootnoteReference"/>
          <w:rFonts w:ascii="Times New Roman" w:hAnsi="Times New Roman" w:cs="Times New Roman"/>
          <w:sz w:val="22"/>
          <w:szCs w:val="22"/>
        </w:rPr>
        <w:footnoteRef/>
      </w:r>
      <w:r w:rsidRPr="00BE78CC">
        <w:rPr>
          <w:rFonts w:ascii="Times New Roman" w:hAnsi="Times New Roman" w:cs="Times New Roman"/>
          <w:sz w:val="22"/>
          <w:szCs w:val="22"/>
        </w:rPr>
        <w:t xml:space="preserve"> </w:t>
      </w:r>
      <w:r>
        <w:rPr>
          <w:rFonts w:ascii="Times New Roman" w:hAnsi="Times New Roman" w:cs="Times New Roman"/>
          <w:sz w:val="22"/>
          <w:szCs w:val="22"/>
        </w:rPr>
        <w:tab/>
      </w:r>
      <w:r w:rsidRPr="00BE78CC">
        <w:rPr>
          <w:rFonts w:ascii="Times New Roman" w:hAnsi="Times New Roman" w:cs="Times New Roman"/>
          <w:sz w:val="22"/>
          <w:szCs w:val="22"/>
        </w:rPr>
        <w:t>We re-run all models but report the results for Model 1 only as all results remain essentially the same.</w:t>
      </w:r>
    </w:p>
  </w:footnote>
  <w:footnote w:id="17">
    <w:p w14:paraId="456E173D" w14:textId="50B8B9B8" w:rsidR="00E219C5" w:rsidRPr="003B097D" w:rsidRDefault="00E219C5" w:rsidP="003B097D">
      <w:pPr>
        <w:pStyle w:val="FootnoteText"/>
        <w:ind w:left="284" w:hanging="284"/>
        <w:rPr>
          <w:rFonts w:ascii="Times New Roman" w:hAnsi="Times New Roman" w:cs="Times New Roman"/>
          <w:sz w:val="22"/>
          <w:szCs w:val="22"/>
        </w:rPr>
      </w:pPr>
      <w:r w:rsidRPr="003B097D">
        <w:rPr>
          <w:rStyle w:val="FootnoteReference"/>
          <w:rFonts w:ascii="Times New Roman" w:hAnsi="Times New Roman" w:cs="Times New Roman"/>
          <w:sz w:val="22"/>
          <w:szCs w:val="22"/>
        </w:rPr>
        <w:footnoteRef/>
      </w:r>
      <w:r w:rsidRPr="003B097D">
        <w:rPr>
          <w:rFonts w:ascii="Times New Roman" w:hAnsi="Times New Roman" w:cs="Times New Roman"/>
          <w:sz w:val="22"/>
          <w:szCs w:val="22"/>
        </w:rPr>
        <w:t xml:space="preserve"> </w:t>
      </w:r>
      <w:r>
        <w:rPr>
          <w:rFonts w:ascii="Times New Roman" w:hAnsi="Times New Roman" w:cs="Times New Roman"/>
          <w:sz w:val="22"/>
          <w:szCs w:val="22"/>
        </w:rPr>
        <w:tab/>
      </w:r>
      <w:r w:rsidRPr="003B097D">
        <w:rPr>
          <w:rFonts w:ascii="Times New Roman" w:hAnsi="Times New Roman" w:cs="Times New Roman"/>
          <w:sz w:val="22"/>
          <w:szCs w:val="22"/>
        </w:rPr>
        <w:t>Unreported results for Models 2c and 4 confirm similar findings, with regressions using Tobin’s Q as the dependent variable showing more significant results.</w:t>
      </w:r>
    </w:p>
  </w:footnote>
  <w:footnote w:id="18">
    <w:p w14:paraId="269CA408" w14:textId="78D5893B" w:rsidR="00E219C5" w:rsidRDefault="00E219C5" w:rsidP="00A5344F">
      <w:pPr>
        <w:pStyle w:val="FootnoteText"/>
        <w:ind w:left="284" w:hanging="284"/>
        <w:jc w:val="both"/>
        <w:rPr>
          <w:rFonts w:ascii="Times New Roman" w:hAnsi="Times New Roman" w:cs="Times New Roman"/>
          <w:sz w:val="22"/>
          <w:szCs w:val="22"/>
        </w:rPr>
      </w:pPr>
      <w:r w:rsidRPr="00A5344F">
        <w:rPr>
          <w:rStyle w:val="FootnoteReference"/>
          <w:rFonts w:ascii="Times New Roman" w:hAnsi="Times New Roman" w:cs="Times New Roman"/>
          <w:sz w:val="22"/>
          <w:szCs w:val="22"/>
        </w:rPr>
        <w:footnoteRef/>
      </w:r>
      <w:r w:rsidRPr="00A5344F">
        <w:rPr>
          <w:rFonts w:ascii="Times New Roman" w:hAnsi="Times New Roman" w:cs="Times New Roman"/>
          <w:sz w:val="22"/>
          <w:szCs w:val="22"/>
        </w:rPr>
        <w:t xml:space="preserve"> </w:t>
      </w:r>
      <w:r>
        <w:rPr>
          <w:rFonts w:ascii="Times New Roman" w:hAnsi="Times New Roman" w:cs="Times New Roman"/>
          <w:sz w:val="22"/>
          <w:szCs w:val="22"/>
        </w:rPr>
        <w:tab/>
      </w:r>
      <w:r w:rsidRPr="00A5344F">
        <w:rPr>
          <w:rFonts w:ascii="Times New Roman" w:hAnsi="Times New Roman" w:cs="Times New Roman"/>
          <w:sz w:val="22"/>
          <w:szCs w:val="22"/>
        </w:rPr>
        <w:t xml:space="preserve">We do not include a variable related to the type of financial systems in our study. La Porta </w:t>
      </w:r>
      <w:r w:rsidRPr="00B4533D">
        <w:rPr>
          <w:rFonts w:ascii="Times New Roman" w:hAnsi="Times New Roman" w:cs="Times New Roman"/>
          <w:i/>
          <w:iCs/>
          <w:sz w:val="22"/>
          <w:szCs w:val="22"/>
        </w:rPr>
        <w:t>et al.</w:t>
      </w:r>
      <w:r w:rsidRPr="00A5344F">
        <w:rPr>
          <w:rFonts w:ascii="Times New Roman" w:hAnsi="Times New Roman" w:cs="Times New Roman"/>
          <w:sz w:val="22"/>
          <w:szCs w:val="22"/>
        </w:rPr>
        <w:t xml:space="preserve"> (2000) argue that the legal approach is more powerful in explaining differences in corporate governance practices than the usual argument between bank-centered and market-centered financial systems. La Porta </w:t>
      </w:r>
      <w:r w:rsidRPr="00B4533D">
        <w:rPr>
          <w:rFonts w:ascii="Times New Roman" w:hAnsi="Times New Roman" w:cs="Times New Roman"/>
          <w:i/>
          <w:iCs/>
          <w:sz w:val="22"/>
          <w:szCs w:val="22"/>
        </w:rPr>
        <w:t>et al</w:t>
      </w:r>
      <w:r w:rsidRPr="00A5344F">
        <w:rPr>
          <w:rFonts w:ascii="Times New Roman" w:hAnsi="Times New Roman" w:cs="Times New Roman"/>
          <w:sz w:val="22"/>
          <w:szCs w:val="22"/>
        </w:rPr>
        <w:t>. (1997) also highlight that the differences in the financial systems can be traced back to differences in the legal systems.</w:t>
      </w:r>
    </w:p>
    <w:p w14:paraId="32FE92D2" w14:textId="77777777" w:rsidR="00E219C5" w:rsidRPr="00A5344F" w:rsidRDefault="00E219C5" w:rsidP="00A5344F">
      <w:pPr>
        <w:pStyle w:val="FootnoteText"/>
        <w:ind w:left="284" w:hanging="284"/>
        <w:jc w:val="both"/>
        <w:rPr>
          <w:rFonts w:ascii="Times New Roman" w:hAnsi="Times New Roman" w:cs="Times New Roman"/>
          <w:sz w:val="10"/>
          <w:szCs w:val="10"/>
        </w:rPr>
      </w:pPr>
    </w:p>
  </w:footnote>
  <w:footnote w:id="19">
    <w:p w14:paraId="624D88B1" w14:textId="5E262999" w:rsidR="00E219C5" w:rsidRPr="00A5344F" w:rsidRDefault="00E219C5" w:rsidP="00A5344F">
      <w:pPr>
        <w:pStyle w:val="FootnoteText"/>
        <w:ind w:left="284" w:hanging="284"/>
        <w:rPr>
          <w:rFonts w:ascii="Times New Roman" w:hAnsi="Times New Roman" w:cs="Times New Roman"/>
          <w:sz w:val="22"/>
          <w:szCs w:val="22"/>
        </w:rPr>
      </w:pPr>
      <w:r w:rsidRPr="00A5344F">
        <w:rPr>
          <w:rStyle w:val="FootnoteReference"/>
          <w:rFonts w:ascii="Times New Roman" w:hAnsi="Times New Roman" w:cs="Times New Roman"/>
          <w:sz w:val="22"/>
          <w:szCs w:val="22"/>
        </w:rPr>
        <w:footnoteRef/>
      </w:r>
      <w:r w:rsidRPr="00A5344F">
        <w:rPr>
          <w:rFonts w:ascii="Times New Roman" w:hAnsi="Times New Roman" w:cs="Times New Roman"/>
          <w:sz w:val="22"/>
          <w:szCs w:val="22"/>
        </w:rPr>
        <w:t xml:space="preserve"> </w:t>
      </w:r>
      <w:r>
        <w:rPr>
          <w:rFonts w:ascii="Times New Roman" w:hAnsi="Times New Roman" w:cs="Times New Roman"/>
          <w:sz w:val="22"/>
          <w:szCs w:val="22"/>
        </w:rPr>
        <w:tab/>
      </w:r>
      <w:r w:rsidRPr="00A5344F">
        <w:rPr>
          <w:rFonts w:ascii="Times New Roman" w:hAnsi="Times New Roman" w:cs="Times New Roman"/>
          <w:sz w:val="22"/>
          <w:szCs w:val="22"/>
        </w:rPr>
        <w:t>For all indices included in this study, the first principal explains more than 80</w:t>
      </w:r>
      <w:r>
        <w:rPr>
          <w:rFonts w:ascii="Times New Roman" w:hAnsi="Times New Roman" w:cs="Times New Roman"/>
          <w:sz w:val="22"/>
          <w:szCs w:val="22"/>
        </w:rPr>
        <w:t xml:space="preserve"> percent</w:t>
      </w:r>
      <w:r w:rsidRPr="00A5344F">
        <w:rPr>
          <w:rFonts w:ascii="Times New Roman" w:hAnsi="Times New Roman" w:cs="Times New Roman"/>
          <w:sz w:val="22"/>
          <w:szCs w:val="22"/>
        </w:rPr>
        <w:t xml:space="preserve"> of the variation observed in the scores.</w:t>
      </w:r>
    </w:p>
  </w:footnote>
  <w:footnote w:id="20">
    <w:p w14:paraId="5381DA92" w14:textId="542AB62D" w:rsidR="00E219C5" w:rsidRPr="008A2287" w:rsidRDefault="00E219C5" w:rsidP="00B528D0">
      <w:pPr>
        <w:pStyle w:val="FootnoteText"/>
        <w:spacing w:after="100"/>
        <w:ind w:left="284" w:hanging="284"/>
        <w:rPr>
          <w:rFonts w:ascii="Times New Roman" w:hAnsi="Times New Roman" w:cs="Times New Roman"/>
          <w:sz w:val="22"/>
          <w:szCs w:val="22"/>
        </w:rPr>
      </w:pPr>
      <w:r w:rsidRPr="008A2287">
        <w:rPr>
          <w:rStyle w:val="FootnoteReference"/>
          <w:rFonts w:ascii="Times New Roman" w:hAnsi="Times New Roman" w:cs="Times New Roman"/>
          <w:sz w:val="22"/>
          <w:szCs w:val="22"/>
        </w:rPr>
        <w:footnoteRef/>
      </w:r>
      <w:r w:rsidRPr="008A2287">
        <w:rPr>
          <w:rFonts w:ascii="Times New Roman" w:hAnsi="Times New Roman" w:cs="Times New Roman"/>
          <w:sz w:val="22"/>
          <w:szCs w:val="22"/>
        </w:rPr>
        <w:t xml:space="preserve"> </w:t>
      </w:r>
      <w:r>
        <w:rPr>
          <w:rFonts w:ascii="Times New Roman" w:hAnsi="Times New Roman" w:cs="Times New Roman"/>
          <w:sz w:val="22"/>
          <w:szCs w:val="22"/>
        </w:rPr>
        <w:tab/>
      </w:r>
      <w:r w:rsidRPr="008A2287">
        <w:rPr>
          <w:rFonts w:ascii="Times New Roman" w:hAnsi="Times New Roman" w:cs="Times New Roman"/>
          <w:sz w:val="22"/>
          <w:szCs w:val="22"/>
        </w:rPr>
        <w:t>We obtain data on the prevailing religion from the CIA World Factbook.</w:t>
      </w:r>
    </w:p>
  </w:footnote>
  <w:footnote w:id="21">
    <w:p w14:paraId="37AAFEF0" w14:textId="059BB06C" w:rsidR="00E219C5" w:rsidRPr="008A2287" w:rsidRDefault="00E219C5" w:rsidP="008A2287">
      <w:pPr>
        <w:pStyle w:val="FootnoteText"/>
        <w:ind w:left="284" w:hanging="284"/>
        <w:rPr>
          <w:rFonts w:ascii="Times New Roman" w:hAnsi="Times New Roman" w:cs="Times New Roman"/>
          <w:sz w:val="22"/>
          <w:szCs w:val="22"/>
        </w:rPr>
      </w:pPr>
      <w:r w:rsidRPr="008A2287">
        <w:rPr>
          <w:rStyle w:val="FootnoteReference"/>
          <w:rFonts w:ascii="Times New Roman" w:hAnsi="Times New Roman" w:cs="Times New Roman"/>
          <w:sz w:val="22"/>
          <w:szCs w:val="22"/>
        </w:rPr>
        <w:footnoteRef/>
      </w:r>
      <w:r w:rsidRPr="008A2287">
        <w:rPr>
          <w:rFonts w:ascii="Times New Roman" w:hAnsi="Times New Roman" w:cs="Times New Roman"/>
          <w:sz w:val="22"/>
          <w:szCs w:val="22"/>
        </w:rPr>
        <w:t xml:space="preserve"> </w:t>
      </w:r>
      <w:r>
        <w:rPr>
          <w:rFonts w:ascii="Times New Roman" w:hAnsi="Times New Roman" w:cs="Times New Roman"/>
          <w:sz w:val="22"/>
          <w:szCs w:val="22"/>
        </w:rPr>
        <w:tab/>
      </w:r>
      <w:r w:rsidRPr="008A2287">
        <w:rPr>
          <w:rFonts w:ascii="Times New Roman" w:hAnsi="Times New Roman" w:cs="Times New Roman"/>
          <w:sz w:val="22"/>
          <w:szCs w:val="22"/>
        </w:rPr>
        <w:t>Shinto is the ethnic religion of the Japanese people.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E58"/>
    <w:multiLevelType w:val="hybridMultilevel"/>
    <w:tmpl w:val="1C7ACB7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24EEF"/>
    <w:multiLevelType w:val="hybridMultilevel"/>
    <w:tmpl w:val="23AE42B2"/>
    <w:lvl w:ilvl="0" w:tplc="FF9E06B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2BD0"/>
    <w:multiLevelType w:val="hybridMultilevel"/>
    <w:tmpl w:val="1D0E1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366DAD"/>
    <w:multiLevelType w:val="multilevel"/>
    <w:tmpl w:val="8984F0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62475E7"/>
    <w:multiLevelType w:val="hybridMultilevel"/>
    <w:tmpl w:val="CFE2D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61072"/>
    <w:multiLevelType w:val="hybridMultilevel"/>
    <w:tmpl w:val="2708D7C6"/>
    <w:lvl w:ilvl="0" w:tplc="030C62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8D4C80"/>
    <w:multiLevelType w:val="hybridMultilevel"/>
    <w:tmpl w:val="02C479BA"/>
    <w:lvl w:ilvl="0" w:tplc="71ECF2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gutterAtTop/>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0C3"/>
    <w:rsid w:val="0000114E"/>
    <w:rsid w:val="00001638"/>
    <w:rsid w:val="00001DC5"/>
    <w:rsid w:val="00004C19"/>
    <w:rsid w:val="00004F41"/>
    <w:rsid w:val="00007478"/>
    <w:rsid w:val="00007EF8"/>
    <w:rsid w:val="000104C6"/>
    <w:rsid w:val="0001387A"/>
    <w:rsid w:val="000139BB"/>
    <w:rsid w:val="000153FB"/>
    <w:rsid w:val="00015954"/>
    <w:rsid w:val="00016722"/>
    <w:rsid w:val="000174B5"/>
    <w:rsid w:val="00024945"/>
    <w:rsid w:val="00024ABE"/>
    <w:rsid w:val="00033865"/>
    <w:rsid w:val="00033962"/>
    <w:rsid w:val="000353EC"/>
    <w:rsid w:val="00043AA6"/>
    <w:rsid w:val="000451B3"/>
    <w:rsid w:val="0004571D"/>
    <w:rsid w:val="00045D60"/>
    <w:rsid w:val="0004674E"/>
    <w:rsid w:val="00050495"/>
    <w:rsid w:val="0005365D"/>
    <w:rsid w:val="00057EA7"/>
    <w:rsid w:val="0006527E"/>
    <w:rsid w:val="000658CA"/>
    <w:rsid w:val="00065D65"/>
    <w:rsid w:val="00071B7F"/>
    <w:rsid w:val="000733AD"/>
    <w:rsid w:val="00074294"/>
    <w:rsid w:val="00074993"/>
    <w:rsid w:val="00076A39"/>
    <w:rsid w:val="0007736F"/>
    <w:rsid w:val="0007793A"/>
    <w:rsid w:val="00080FF6"/>
    <w:rsid w:val="000810FB"/>
    <w:rsid w:val="00081554"/>
    <w:rsid w:val="00081755"/>
    <w:rsid w:val="000821D9"/>
    <w:rsid w:val="00083073"/>
    <w:rsid w:val="00085FEF"/>
    <w:rsid w:val="00087C5F"/>
    <w:rsid w:val="00091C8A"/>
    <w:rsid w:val="00095140"/>
    <w:rsid w:val="0009534A"/>
    <w:rsid w:val="000959F6"/>
    <w:rsid w:val="00095F21"/>
    <w:rsid w:val="000A06DB"/>
    <w:rsid w:val="000A1093"/>
    <w:rsid w:val="000A1F59"/>
    <w:rsid w:val="000A253F"/>
    <w:rsid w:val="000A3784"/>
    <w:rsid w:val="000A490B"/>
    <w:rsid w:val="000A5741"/>
    <w:rsid w:val="000A68C7"/>
    <w:rsid w:val="000B0019"/>
    <w:rsid w:val="000B10A4"/>
    <w:rsid w:val="000C20D9"/>
    <w:rsid w:val="000C2E93"/>
    <w:rsid w:val="000C5DD9"/>
    <w:rsid w:val="000D041C"/>
    <w:rsid w:val="000D09BD"/>
    <w:rsid w:val="000D0A63"/>
    <w:rsid w:val="000D445B"/>
    <w:rsid w:val="000E06DA"/>
    <w:rsid w:val="000E23CD"/>
    <w:rsid w:val="000E2A45"/>
    <w:rsid w:val="000E452A"/>
    <w:rsid w:val="000E4AEF"/>
    <w:rsid w:val="000E6284"/>
    <w:rsid w:val="000F23A8"/>
    <w:rsid w:val="000F3A7A"/>
    <w:rsid w:val="000F4BE3"/>
    <w:rsid w:val="000F6BE3"/>
    <w:rsid w:val="00110B3A"/>
    <w:rsid w:val="00110F3E"/>
    <w:rsid w:val="00117F15"/>
    <w:rsid w:val="00120429"/>
    <w:rsid w:val="0012095C"/>
    <w:rsid w:val="00121BD2"/>
    <w:rsid w:val="001220F1"/>
    <w:rsid w:val="0012271D"/>
    <w:rsid w:val="001230A9"/>
    <w:rsid w:val="00123716"/>
    <w:rsid w:val="001239F0"/>
    <w:rsid w:val="00125AB9"/>
    <w:rsid w:val="00135AEA"/>
    <w:rsid w:val="00135D76"/>
    <w:rsid w:val="001362E9"/>
    <w:rsid w:val="00137A5B"/>
    <w:rsid w:val="00143EB1"/>
    <w:rsid w:val="001450D0"/>
    <w:rsid w:val="001457A4"/>
    <w:rsid w:val="00145954"/>
    <w:rsid w:val="00146AA3"/>
    <w:rsid w:val="00146AD0"/>
    <w:rsid w:val="001476D2"/>
    <w:rsid w:val="0015182A"/>
    <w:rsid w:val="00151C04"/>
    <w:rsid w:val="00153B14"/>
    <w:rsid w:val="00154180"/>
    <w:rsid w:val="00154B0D"/>
    <w:rsid w:val="0016122D"/>
    <w:rsid w:val="00162185"/>
    <w:rsid w:val="00163196"/>
    <w:rsid w:val="00163F43"/>
    <w:rsid w:val="00170DE6"/>
    <w:rsid w:val="0017103E"/>
    <w:rsid w:val="00175D82"/>
    <w:rsid w:val="00177C25"/>
    <w:rsid w:val="001800CB"/>
    <w:rsid w:val="00180216"/>
    <w:rsid w:val="00180EAE"/>
    <w:rsid w:val="00183FF3"/>
    <w:rsid w:val="001846FB"/>
    <w:rsid w:val="001853DA"/>
    <w:rsid w:val="0018640B"/>
    <w:rsid w:val="0018680F"/>
    <w:rsid w:val="00187D48"/>
    <w:rsid w:val="0019034F"/>
    <w:rsid w:val="001929D1"/>
    <w:rsid w:val="001943F9"/>
    <w:rsid w:val="00194B28"/>
    <w:rsid w:val="001955D6"/>
    <w:rsid w:val="001963C1"/>
    <w:rsid w:val="001A1A8A"/>
    <w:rsid w:val="001A39C2"/>
    <w:rsid w:val="001A3A89"/>
    <w:rsid w:val="001A43D5"/>
    <w:rsid w:val="001A4820"/>
    <w:rsid w:val="001A68A0"/>
    <w:rsid w:val="001A6F08"/>
    <w:rsid w:val="001A7D5F"/>
    <w:rsid w:val="001B01FB"/>
    <w:rsid w:val="001B287F"/>
    <w:rsid w:val="001B3207"/>
    <w:rsid w:val="001B5C2B"/>
    <w:rsid w:val="001B7E87"/>
    <w:rsid w:val="001C2A49"/>
    <w:rsid w:val="001C3CA5"/>
    <w:rsid w:val="001C4B00"/>
    <w:rsid w:val="001D0707"/>
    <w:rsid w:val="001D1BD6"/>
    <w:rsid w:val="001D1F3D"/>
    <w:rsid w:val="001D36DD"/>
    <w:rsid w:val="001E1647"/>
    <w:rsid w:val="001E2E71"/>
    <w:rsid w:val="001E3E26"/>
    <w:rsid w:val="001E4130"/>
    <w:rsid w:val="001E568A"/>
    <w:rsid w:val="001E56E8"/>
    <w:rsid w:val="001E6AD4"/>
    <w:rsid w:val="001E6F1C"/>
    <w:rsid w:val="001F125A"/>
    <w:rsid w:val="001F1792"/>
    <w:rsid w:val="001F2E5E"/>
    <w:rsid w:val="001F49A1"/>
    <w:rsid w:val="002056E2"/>
    <w:rsid w:val="00206D53"/>
    <w:rsid w:val="002131C4"/>
    <w:rsid w:val="0021371B"/>
    <w:rsid w:val="0021398F"/>
    <w:rsid w:val="00213B24"/>
    <w:rsid w:val="00215052"/>
    <w:rsid w:val="002201F3"/>
    <w:rsid w:val="00220BD9"/>
    <w:rsid w:val="00222206"/>
    <w:rsid w:val="00223BFA"/>
    <w:rsid w:val="00227055"/>
    <w:rsid w:val="0023059F"/>
    <w:rsid w:val="002322A6"/>
    <w:rsid w:val="00232418"/>
    <w:rsid w:val="00232489"/>
    <w:rsid w:val="00232F35"/>
    <w:rsid w:val="00234EFA"/>
    <w:rsid w:val="00235179"/>
    <w:rsid w:val="0024008D"/>
    <w:rsid w:val="00243F83"/>
    <w:rsid w:val="0024517A"/>
    <w:rsid w:val="00245DE3"/>
    <w:rsid w:val="00246BC9"/>
    <w:rsid w:val="00251BA1"/>
    <w:rsid w:val="00252DC1"/>
    <w:rsid w:val="002531C9"/>
    <w:rsid w:val="0025331D"/>
    <w:rsid w:val="002538BF"/>
    <w:rsid w:val="00254626"/>
    <w:rsid w:val="0025584C"/>
    <w:rsid w:val="00255CB9"/>
    <w:rsid w:val="00256D45"/>
    <w:rsid w:val="002577B8"/>
    <w:rsid w:val="0026181F"/>
    <w:rsid w:val="002621A2"/>
    <w:rsid w:val="00265C38"/>
    <w:rsid w:val="002714F2"/>
    <w:rsid w:val="00271A19"/>
    <w:rsid w:val="0027374C"/>
    <w:rsid w:val="00274D8A"/>
    <w:rsid w:val="002753D1"/>
    <w:rsid w:val="00276A53"/>
    <w:rsid w:val="00277FAF"/>
    <w:rsid w:val="00281081"/>
    <w:rsid w:val="00282B2A"/>
    <w:rsid w:val="00282EF0"/>
    <w:rsid w:val="002847C9"/>
    <w:rsid w:val="00285186"/>
    <w:rsid w:val="0029012B"/>
    <w:rsid w:val="00290498"/>
    <w:rsid w:val="00291995"/>
    <w:rsid w:val="002920A5"/>
    <w:rsid w:val="00292565"/>
    <w:rsid w:val="00292712"/>
    <w:rsid w:val="00293149"/>
    <w:rsid w:val="00293A60"/>
    <w:rsid w:val="00294352"/>
    <w:rsid w:val="002949FD"/>
    <w:rsid w:val="00295C53"/>
    <w:rsid w:val="0029605F"/>
    <w:rsid w:val="00296AA4"/>
    <w:rsid w:val="002A0CD4"/>
    <w:rsid w:val="002A10CC"/>
    <w:rsid w:val="002A1408"/>
    <w:rsid w:val="002A1A6A"/>
    <w:rsid w:val="002A388E"/>
    <w:rsid w:val="002B0E23"/>
    <w:rsid w:val="002B19B8"/>
    <w:rsid w:val="002B31DD"/>
    <w:rsid w:val="002B3A53"/>
    <w:rsid w:val="002B526B"/>
    <w:rsid w:val="002B5D6B"/>
    <w:rsid w:val="002B626C"/>
    <w:rsid w:val="002B784B"/>
    <w:rsid w:val="002C2162"/>
    <w:rsid w:val="002C280E"/>
    <w:rsid w:val="002C4258"/>
    <w:rsid w:val="002C5F09"/>
    <w:rsid w:val="002C613E"/>
    <w:rsid w:val="002C785A"/>
    <w:rsid w:val="002D08A4"/>
    <w:rsid w:val="002D19B3"/>
    <w:rsid w:val="002D2460"/>
    <w:rsid w:val="002D2D67"/>
    <w:rsid w:val="002D3327"/>
    <w:rsid w:val="002D37EF"/>
    <w:rsid w:val="002D5A4F"/>
    <w:rsid w:val="002D5E38"/>
    <w:rsid w:val="002D75B8"/>
    <w:rsid w:val="002D7F91"/>
    <w:rsid w:val="002E1EC0"/>
    <w:rsid w:val="002E38B6"/>
    <w:rsid w:val="002F3C3B"/>
    <w:rsid w:val="002F53CA"/>
    <w:rsid w:val="002F619E"/>
    <w:rsid w:val="002F799E"/>
    <w:rsid w:val="00300818"/>
    <w:rsid w:val="00300F45"/>
    <w:rsid w:val="0030100A"/>
    <w:rsid w:val="00302F32"/>
    <w:rsid w:val="003034F6"/>
    <w:rsid w:val="00305090"/>
    <w:rsid w:val="00305C47"/>
    <w:rsid w:val="00305DA4"/>
    <w:rsid w:val="00306044"/>
    <w:rsid w:val="003105AC"/>
    <w:rsid w:val="003105ED"/>
    <w:rsid w:val="00311082"/>
    <w:rsid w:val="003117EF"/>
    <w:rsid w:val="00311F7C"/>
    <w:rsid w:val="00315339"/>
    <w:rsid w:val="00320310"/>
    <w:rsid w:val="003204CF"/>
    <w:rsid w:val="00320F2E"/>
    <w:rsid w:val="003213A5"/>
    <w:rsid w:val="00322652"/>
    <w:rsid w:val="00322C40"/>
    <w:rsid w:val="00324315"/>
    <w:rsid w:val="00327FF2"/>
    <w:rsid w:val="003306B2"/>
    <w:rsid w:val="00332339"/>
    <w:rsid w:val="00333713"/>
    <w:rsid w:val="0033427A"/>
    <w:rsid w:val="00335F1F"/>
    <w:rsid w:val="00340B73"/>
    <w:rsid w:val="003435DB"/>
    <w:rsid w:val="00344A77"/>
    <w:rsid w:val="00347516"/>
    <w:rsid w:val="0034770A"/>
    <w:rsid w:val="00352AF1"/>
    <w:rsid w:val="00353209"/>
    <w:rsid w:val="00354465"/>
    <w:rsid w:val="0035562F"/>
    <w:rsid w:val="0035667C"/>
    <w:rsid w:val="00356A0C"/>
    <w:rsid w:val="00357027"/>
    <w:rsid w:val="0035730D"/>
    <w:rsid w:val="00362430"/>
    <w:rsid w:val="00363903"/>
    <w:rsid w:val="00363CFB"/>
    <w:rsid w:val="003649DF"/>
    <w:rsid w:val="0036509C"/>
    <w:rsid w:val="0036673B"/>
    <w:rsid w:val="003670CD"/>
    <w:rsid w:val="003670FA"/>
    <w:rsid w:val="003708BB"/>
    <w:rsid w:val="003806B0"/>
    <w:rsid w:val="00382EB4"/>
    <w:rsid w:val="00383DA3"/>
    <w:rsid w:val="003866F0"/>
    <w:rsid w:val="00387484"/>
    <w:rsid w:val="00390B62"/>
    <w:rsid w:val="00391BF1"/>
    <w:rsid w:val="0039655D"/>
    <w:rsid w:val="00397DAE"/>
    <w:rsid w:val="003A0F7B"/>
    <w:rsid w:val="003A2698"/>
    <w:rsid w:val="003A3ACE"/>
    <w:rsid w:val="003A5F5C"/>
    <w:rsid w:val="003A7D07"/>
    <w:rsid w:val="003B0673"/>
    <w:rsid w:val="003B097D"/>
    <w:rsid w:val="003B1954"/>
    <w:rsid w:val="003B2205"/>
    <w:rsid w:val="003B2AF3"/>
    <w:rsid w:val="003B4058"/>
    <w:rsid w:val="003B43BD"/>
    <w:rsid w:val="003B49A7"/>
    <w:rsid w:val="003B5604"/>
    <w:rsid w:val="003B6612"/>
    <w:rsid w:val="003B7BEE"/>
    <w:rsid w:val="003C1A50"/>
    <w:rsid w:val="003C377D"/>
    <w:rsid w:val="003C3997"/>
    <w:rsid w:val="003C5099"/>
    <w:rsid w:val="003C5B50"/>
    <w:rsid w:val="003C7445"/>
    <w:rsid w:val="003D1B9F"/>
    <w:rsid w:val="003D2221"/>
    <w:rsid w:val="003D4120"/>
    <w:rsid w:val="003D4365"/>
    <w:rsid w:val="003D7508"/>
    <w:rsid w:val="003E1DCC"/>
    <w:rsid w:val="003E1E10"/>
    <w:rsid w:val="003E2063"/>
    <w:rsid w:val="003E301D"/>
    <w:rsid w:val="003E4F41"/>
    <w:rsid w:val="003E5A7D"/>
    <w:rsid w:val="003E5EF8"/>
    <w:rsid w:val="003E6053"/>
    <w:rsid w:val="003F10CA"/>
    <w:rsid w:val="003F4E58"/>
    <w:rsid w:val="003F6D3A"/>
    <w:rsid w:val="004002EC"/>
    <w:rsid w:val="00401753"/>
    <w:rsid w:val="0040358C"/>
    <w:rsid w:val="004061C5"/>
    <w:rsid w:val="00406533"/>
    <w:rsid w:val="004105E2"/>
    <w:rsid w:val="00410E7C"/>
    <w:rsid w:val="00414F3C"/>
    <w:rsid w:val="00416206"/>
    <w:rsid w:val="00416C4C"/>
    <w:rsid w:val="00420317"/>
    <w:rsid w:val="00422269"/>
    <w:rsid w:val="0042634E"/>
    <w:rsid w:val="004268E7"/>
    <w:rsid w:val="0042753C"/>
    <w:rsid w:val="00427F97"/>
    <w:rsid w:val="00431625"/>
    <w:rsid w:val="00431FE7"/>
    <w:rsid w:val="0043468E"/>
    <w:rsid w:val="00437200"/>
    <w:rsid w:val="004376D1"/>
    <w:rsid w:val="0044174D"/>
    <w:rsid w:val="00441C4F"/>
    <w:rsid w:val="004421B1"/>
    <w:rsid w:val="00442746"/>
    <w:rsid w:val="004429ED"/>
    <w:rsid w:val="004445FC"/>
    <w:rsid w:val="00444DFA"/>
    <w:rsid w:val="004540D7"/>
    <w:rsid w:val="0045617D"/>
    <w:rsid w:val="0046060C"/>
    <w:rsid w:val="00465E4B"/>
    <w:rsid w:val="0046787B"/>
    <w:rsid w:val="00467E84"/>
    <w:rsid w:val="00470A44"/>
    <w:rsid w:val="00473A01"/>
    <w:rsid w:val="004742C2"/>
    <w:rsid w:val="00474494"/>
    <w:rsid w:val="00477315"/>
    <w:rsid w:val="00477FD4"/>
    <w:rsid w:val="00483869"/>
    <w:rsid w:val="004844EA"/>
    <w:rsid w:val="00486141"/>
    <w:rsid w:val="004874E1"/>
    <w:rsid w:val="0049177C"/>
    <w:rsid w:val="00491842"/>
    <w:rsid w:val="00491E99"/>
    <w:rsid w:val="00492126"/>
    <w:rsid w:val="00492D48"/>
    <w:rsid w:val="00494A39"/>
    <w:rsid w:val="004954E4"/>
    <w:rsid w:val="004A1E7E"/>
    <w:rsid w:val="004A2D78"/>
    <w:rsid w:val="004A685B"/>
    <w:rsid w:val="004A6B83"/>
    <w:rsid w:val="004A6C39"/>
    <w:rsid w:val="004A7B04"/>
    <w:rsid w:val="004B1BD8"/>
    <w:rsid w:val="004B3B0C"/>
    <w:rsid w:val="004B3DA3"/>
    <w:rsid w:val="004B3FED"/>
    <w:rsid w:val="004B4DED"/>
    <w:rsid w:val="004B5939"/>
    <w:rsid w:val="004B611F"/>
    <w:rsid w:val="004B64E8"/>
    <w:rsid w:val="004B6751"/>
    <w:rsid w:val="004C0181"/>
    <w:rsid w:val="004C3DA9"/>
    <w:rsid w:val="004C6F25"/>
    <w:rsid w:val="004D0CC4"/>
    <w:rsid w:val="004D1D14"/>
    <w:rsid w:val="004D3DBD"/>
    <w:rsid w:val="004D5C3E"/>
    <w:rsid w:val="004D670F"/>
    <w:rsid w:val="004D6C86"/>
    <w:rsid w:val="004D703F"/>
    <w:rsid w:val="004E3C0F"/>
    <w:rsid w:val="004F2FCA"/>
    <w:rsid w:val="004F3A7C"/>
    <w:rsid w:val="004F510E"/>
    <w:rsid w:val="004F6739"/>
    <w:rsid w:val="005022DD"/>
    <w:rsid w:val="00503357"/>
    <w:rsid w:val="0050445D"/>
    <w:rsid w:val="00507F53"/>
    <w:rsid w:val="005113E8"/>
    <w:rsid w:val="00512789"/>
    <w:rsid w:val="005135A6"/>
    <w:rsid w:val="00514BC4"/>
    <w:rsid w:val="005154A6"/>
    <w:rsid w:val="00515EB4"/>
    <w:rsid w:val="00525348"/>
    <w:rsid w:val="00526CEB"/>
    <w:rsid w:val="0053195E"/>
    <w:rsid w:val="0053216C"/>
    <w:rsid w:val="00533C46"/>
    <w:rsid w:val="005378E0"/>
    <w:rsid w:val="00542288"/>
    <w:rsid w:val="00542931"/>
    <w:rsid w:val="00543DC7"/>
    <w:rsid w:val="0054544E"/>
    <w:rsid w:val="00547B37"/>
    <w:rsid w:val="0055374E"/>
    <w:rsid w:val="0055437B"/>
    <w:rsid w:val="00555D89"/>
    <w:rsid w:val="00556F86"/>
    <w:rsid w:val="00560728"/>
    <w:rsid w:val="0056199D"/>
    <w:rsid w:val="00561E4C"/>
    <w:rsid w:val="00562A81"/>
    <w:rsid w:val="00563171"/>
    <w:rsid w:val="0056361C"/>
    <w:rsid w:val="005637E8"/>
    <w:rsid w:val="00564296"/>
    <w:rsid w:val="00564C39"/>
    <w:rsid w:val="00565E6D"/>
    <w:rsid w:val="00566E83"/>
    <w:rsid w:val="00567732"/>
    <w:rsid w:val="00570F15"/>
    <w:rsid w:val="005728C8"/>
    <w:rsid w:val="00572CA4"/>
    <w:rsid w:val="005730AF"/>
    <w:rsid w:val="005733B3"/>
    <w:rsid w:val="005741AA"/>
    <w:rsid w:val="00577447"/>
    <w:rsid w:val="00583F7C"/>
    <w:rsid w:val="00585DCB"/>
    <w:rsid w:val="00586581"/>
    <w:rsid w:val="00587163"/>
    <w:rsid w:val="0058788C"/>
    <w:rsid w:val="00587A83"/>
    <w:rsid w:val="005911B4"/>
    <w:rsid w:val="0059225E"/>
    <w:rsid w:val="00592703"/>
    <w:rsid w:val="00592C7E"/>
    <w:rsid w:val="00593CF1"/>
    <w:rsid w:val="00594D16"/>
    <w:rsid w:val="005962F0"/>
    <w:rsid w:val="005A00BA"/>
    <w:rsid w:val="005A29DE"/>
    <w:rsid w:val="005A46C2"/>
    <w:rsid w:val="005A51B0"/>
    <w:rsid w:val="005A5616"/>
    <w:rsid w:val="005A722F"/>
    <w:rsid w:val="005A735A"/>
    <w:rsid w:val="005A7FB2"/>
    <w:rsid w:val="005B07BD"/>
    <w:rsid w:val="005B1475"/>
    <w:rsid w:val="005B1FD9"/>
    <w:rsid w:val="005B42AF"/>
    <w:rsid w:val="005B57D4"/>
    <w:rsid w:val="005B75D3"/>
    <w:rsid w:val="005B7BBA"/>
    <w:rsid w:val="005C1528"/>
    <w:rsid w:val="005D11DD"/>
    <w:rsid w:val="005D3D00"/>
    <w:rsid w:val="005D42AA"/>
    <w:rsid w:val="005D4AC6"/>
    <w:rsid w:val="005D4D7F"/>
    <w:rsid w:val="005D4EEC"/>
    <w:rsid w:val="005D5F1D"/>
    <w:rsid w:val="005D608E"/>
    <w:rsid w:val="005D74C8"/>
    <w:rsid w:val="005D78B7"/>
    <w:rsid w:val="005D7ABE"/>
    <w:rsid w:val="005E0490"/>
    <w:rsid w:val="005E1B09"/>
    <w:rsid w:val="005E1D6F"/>
    <w:rsid w:val="005E4C74"/>
    <w:rsid w:val="005F17CD"/>
    <w:rsid w:val="005F2337"/>
    <w:rsid w:val="005F26E4"/>
    <w:rsid w:val="005F298F"/>
    <w:rsid w:val="005F4A75"/>
    <w:rsid w:val="005F5B14"/>
    <w:rsid w:val="005F6B00"/>
    <w:rsid w:val="006010BD"/>
    <w:rsid w:val="006029F4"/>
    <w:rsid w:val="00603318"/>
    <w:rsid w:val="00606BC9"/>
    <w:rsid w:val="00610D28"/>
    <w:rsid w:val="00610E4E"/>
    <w:rsid w:val="00611175"/>
    <w:rsid w:val="00611914"/>
    <w:rsid w:val="00614599"/>
    <w:rsid w:val="00615108"/>
    <w:rsid w:val="00616CDF"/>
    <w:rsid w:val="00620522"/>
    <w:rsid w:val="006225AF"/>
    <w:rsid w:val="00623C7D"/>
    <w:rsid w:val="0062583A"/>
    <w:rsid w:val="006260AA"/>
    <w:rsid w:val="00630C38"/>
    <w:rsid w:val="00630CF5"/>
    <w:rsid w:val="00631751"/>
    <w:rsid w:val="0063200D"/>
    <w:rsid w:val="00633222"/>
    <w:rsid w:val="0063421B"/>
    <w:rsid w:val="00634C1E"/>
    <w:rsid w:val="00637C3A"/>
    <w:rsid w:val="00640B80"/>
    <w:rsid w:val="00640BAB"/>
    <w:rsid w:val="00642FA8"/>
    <w:rsid w:val="006457D5"/>
    <w:rsid w:val="00645EA8"/>
    <w:rsid w:val="0064663F"/>
    <w:rsid w:val="00646676"/>
    <w:rsid w:val="00646A04"/>
    <w:rsid w:val="006507CC"/>
    <w:rsid w:val="00651314"/>
    <w:rsid w:val="00651B62"/>
    <w:rsid w:val="00652907"/>
    <w:rsid w:val="00653958"/>
    <w:rsid w:val="00653CC9"/>
    <w:rsid w:val="00654B6B"/>
    <w:rsid w:val="00656ED9"/>
    <w:rsid w:val="00657CA0"/>
    <w:rsid w:val="00660D78"/>
    <w:rsid w:val="006618FC"/>
    <w:rsid w:val="0066588E"/>
    <w:rsid w:val="00665D0E"/>
    <w:rsid w:val="006678FC"/>
    <w:rsid w:val="006703BC"/>
    <w:rsid w:val="00674C05"/>
    <w:rsid w:val="00676E7A"/>
    <w:rsid w:val="006770C4"/>
    <w:rsid w:val="006805A6"/>
    <w:rsid w:val="00680EA9"/>
    <w:rsid w:val="00682D1F"/>
    <w:rsid w:val="00683892"/>
    <w:rsid w:val="00683D28"/>
    <w:rsid w:val="00685675"/>
    <w:rsid w:val="006861B6"/>
    <w:rsid w:val="006864BB"/>
    <w:rsid w:val="006870C4"/>
    <w:rsid w:val="00687457"/>
    <w:rsid w:val="0069124C"/>
    <w:rsid w:val="006912C5"/>
    <w:rsid w:val="0069220B"/>
    <w:rsid w:val="00692951"/>
    <w:rsid w:val="006950F9"/>
    <w:rsid w:val="006A034F"/>
    <w:rsid w:val="006A058E"/>
    <w:rsid w:val="006A3583"/>
    <w:rsid w:val="006A3C47"/>
    <w:rsid w:val="006A4C15"/>
    <w:rsid w:val="006A5CF8"/>
    <w:rsid w:val="006B00D2"/>
    <w:rsid w:val="006B2419"/>
    <w:rsid w:val="006B3F17"/>
    <w:rsid w:val="006B43A7"/>
    <w:rsid w:val="006B4A02"/>
    <w:rsid w:val="006B5081"/>
    <w:rsid w:val="006C12BE"/>
    <w:rsid w:val="006C14CD"/>
    <w:rsid w:val="006C236C"/>
    <w:rsid w:val="006C4002"/>
    <w:rsid w:val="006C63BB"/>
    <w:rsid w:val="006C7E05"/>
    <w:rsid w:val="006D1A30"/>
    <w:rsid w:val="006D2FD9"/>
    <w:rsid w:val="006D3F12"/>
    <w:rsid w:val="006D4185"/>
    <w:rsid w:val="006D465B"/>
    <w:rsid w:val="006D62F8"/>
    <w:rsid w:val="006D6A81"/>
    <w:rsid w:val="006D7BEC"/>
    <w:rsid w:val="006D7EF1"/>
    <w:rsid w:val="006E1F37"/>
    <w:rsid w:val="006E3708"/>
    <w:rsid w:val="006E77FD"/>
    <w:rsid w:val="006F249F"/>
    <w:rsid w:val="006F6182"/>
    <w:rsid w:val="006F668B"/>
    <w:rsid w:val="006F7ACF"/>
    <w:rsid w:val="00703E8D"/>
    <w:rsid w:val="0070676E"/>
    <w:rsid w:val="007105FD"/>
    <w:rsid w:val="0071098F"/>
    <w:rsid w:val="0071208E"/>
    <w:rsid w:val="00713659"/>
    <w:rsid w:val="007151AF"/>
    <w:rsid w:val="0071713E"/>
    <w:rsid w:val="007218A1"/>
    <w:rsid w:val="00724683"/>
    <w:rsid w:val="00727F1D"/>
    <w:rsid w:val="00732D68"/>
    <w:rsid w:val="007341B9"/>
    <w:rsid w:val="0073548B"/>
    <w:rsid w:val="00737FE3"/>
    <w:rsid w:val="0074150F"/>
    <w:rsid w:val="00750157"/>
    <w:rsid w:val="00751816"/>
    <w:rsid w:val="00756EE3"/>
    <w:rsid w:val="00757395"/>
    <w:rsid w:val="00760806"/>
    <w:rsid w:val="00762BAA"/>
    <w:rsid w:val="0076322A"/>
    <w:rsid w:val="00764B2B"/>
    <w:rsid w:val="00765589"/>
    <w:rsid w:val="00766685"/>
    <w:rsid w:val="00767499"/>
    <w:rsid w:val="007708C1"/>
    <w:rsid w:val="00774AA7"/>
    <w:rsid w:val="00774FC5"/>
    <w:rsid w:val="00775121"/>
    <w:rsid w:val="007753FF"/>
    <w:rsid w:val="0078118F"/>
    <w:rsid w:val="0078734F"/>
    <w:rsid w:val="00792E54"/>
    <w:rsid w:val="00796846"/>
    <w:rsid w:val="00797247"/>
    <w:rsid w:val="007972FA"/>
    <w:rsid w:val="007A0002"/>
    <w:rsid w:val="007A0AE7"/>
    <w:rsid w:val="007A2CB2"/>
    <w:rsid w:val="007A6A49"/>
    <w:rsid w:val="007A7172"/>
    <w:rsid w:val="007A75BE"/>
    <w:rsid w:val="007A7846"/>
    <w:rsid w:val="007A7953"/>
    <w:rsid w:val="007A7C30"/>
    <w:rsid w:val="007A7CA7"/>
    <w:rsid w:val="007B22C8"/>
    <w:rsid w:val="007B2391"/>
    <w:rsid w:val="007B29FF"/>
    <w:rsid w:val="007C0CA4"/>
    <w:rsid w:val="007C1006"/>
    <w:rsid w:val="007C1F3A"/>
    <w:rsid w:val="007C358F"/>
    <w:rsid w:val="007C3822"/>
    <w:rsid w:val="007C3ABA"/>
    <w:rsid w:val="007C7B1D"/>
    <w:rsid w:val="007D1121"/>
    <w:rsid w:val="007D29AE"/>
    <w:rsid w:val="007D4F46"/>
    <w:rsid w:val="007D5EE6"/>
    <w:rsid w:val="007D78B2"/>
    <w:rsid w:val="007E0799"/>
    <w:rsid w:val="007E2B69"/>
    <w:rsid w:val="007E310A"/>
    <w:rsid w:val="007E7180"/>
    <w:rsid w:val="007E7987"/>
    <w:rsid w:val="007F3A88"/>
    <w:rsid w:val="007F5181"/>
    <w:rsid w:val="007F626E"/>
    <w:rsid w:val="007F7A9B"/>
    <w:rsid w:val="00800C04"/>
    <w:rsid w:val="0080211A"/>
    <w:rsid w:val="008023FB"/>
    <w:rsid w:val="00802FAD"/>
    <w:rsid w:val="00804A37"/>
    <w:rsid w:val="008054B3"/>
    <w:rsid w:val="008056AD"/>
    <w:rsid w:val="008078CD"/>
    <w:rsid w:val="0081605E"/>
    <w:rsid w:val="00816B6F"/>
    <w:rsid w:val="00820D7D"/>
    <w:rsid w:val="008211DD"/>
    <w:rsid w:val="00821950"/>
    <w:rsid w:val="00823792"/>
    <w:rsid w:val="00824284"/>
    <w:rsid w:val="0082492C"/>
    <w:rsid w:val="00824FAA"/>
    <w:rsid w:val="008276CF"/>
    <w:rsid w:val="00827E88"/>
    <w:rsid w:val="008325EA"/>
    <w:rsid w:val="00835299"/>
    <w:rsid w:val="008358B8"/>
    <w:rsid w:val="00836BF6"/>
    <w:rsid w:val="008376CA"/>
    <w:rsid w:val="0084165E"/>
    <w:rsid w:val="008426C7"/>
    <w:rsid w:val="00845137"/>
    <w:rsid w:val="00845AC5"/>
    <w:rsid w:val="008474D1"/>
    <w:rsid w:val="00847F49"/>
    <w:rsid w:val="00850EC8"/>
    <w:rsid w:val="008513A0"/>
    <w:rsid w:val="00852123"/>
    <w:rsid w:val="0085675E"/>
    <w:rsid w:val="00860996"/>
    <w:rsid w:val="00860D3D"/>
    <w:rsid w:val="00860EAB"/>
    <w:rsid w:val="008648E1"/>
    <w:rsid w:val="00866DF0"/>
    <w:rsid w:val="00867C5D"/>
    <w:rsid w:val="008701BA"/>
    <w:rsid w:val="0087051C"/>
    <w:rsid w:val="00872780"/>
    <w:rsid w:val="0087300E"/>
    <w:rsid w:val="00877E50"/>
    <w:rsid w:val="00882689"/>
    <w:rsid w:val="00883722"/>
    <w:rsid w:val="008855AB"/>
    <w:rsid w:val="00887A6F"/>
    <w:rsid w:val="00890906"/>
    <w:rsid w:val="008910EB"/>
    <w:rsid w:val="00896781"/>
    <w:rsid w:val="00897C2B"/>
    <w:rsid w:val="008A2287"/>
    <w:rsid w:val="008A23A5"/>
    <w:rsid w:val="008A2DC4"/>
    <w:rsid w:val="008A3916"/>
    <w:rsid w:val="008A566B"/>
    <w:rsid w:val="008A71E8"/>
    <w:rsid w:val="008A76EB"/>
    <w:rsid w:val="008B0F9C"/>
    <w:rsid w:val="008B1069"/>
    <w:rsid w:val="008B333A"/>
    <w:rsid w:val="008B4978"/>
    <w:rsid w:val="008B51A8"/>
    <w:rsid w:val="008B57F1"/>
    <w:rsid w:val="008B6B33"/>
    <w:rsid w:val="008C01E8"/>
    <w:rsid w:val="008C0430"/>
    <w:rsid w:val="008C1965"/>
    <w:rsid w:val="008C1E13"/>
    <w:rsid w:val="008C40AA"/>
    <w:rsid w:val="008D1B1B"/>
    <w:rsid w:val="008D1DA5"/>
    <w:rsid w:val="008D1F9F"/>
    <w:rsid w:val="008D242C"/>
    <w:rsid w:val="008D2C32"/>
    <w:rsid w:val="008D3187"/>
    <w:rsid w:val="008D328C"/>
    <w:rsid w:val="008D38DB"/>
    <w:rsid w:val="008D4811"/>
    <w:rsid w:val="008D48E8"/>
    <w:rsid w:val="008D4DF8"/>
    <w:rsid w:val="008D512F"/>
    <w:rsid w:val="008D5C08"/>
    <w:rsid w:val="008E0243"/>
    <w:rsid w:val="008E1ACF"/>
    <w:rsid w:val="008E2D51"/>
    <w:rsid w:val="008E600D"/>
    <w:rsid w:val="008E7EEF"/>
    <w:rsid w:val="008F083F"/>
    <w:rsid w:val="008F0E99"/>
    <w:rsid w:val="008F14BB"/>
    <w:rsid w:val="008F5FBF"/>
    <w:rsid w:val="008F7B50"/>
    <w:rsid w:val="00906682"/>
    <w:rsid w:val="00910896"/>
    <w:rsid w:val="0091273F"/>
    <w:rsid w:val="0091531D"/>
    <w:rsid w:val="009159CB"/>
    <w:rsid w:val="00916A59"/>
    <w:rsid w:val="00917604"/>
    <w:rsid w:val="0091768B"/>
    <w:rsid w:val="00917809"/>
    <w:rsid w:val="0092145D"/>
    <w:rsid w:val="00923D5D"/>
    <w:rsid w:val="00924E69"/>
    <w:rsid w:val="00924FC7"/>
    <w:rsid w:val="0092708F"/>
    <w:rsid w:val="00931054"/>
    <w:rsid w:val="00932CA3"/>
    <w:rsid w:val="00934309"/>
    <w:rsid w:val="009344F6"/>
    <w:rsid w:val="009372D2"/>
    <w:rsid w:val="00937603"/>
    <w:rsid w:val="00943DC8"/>
    <w:rsid w:val="0094446D"/>
    <w:rsid w:val="00945959"/>
    <w:rsid w:val="009500B4"/>
    <w:rsid w:val="00950EA6"/>
    <w:rsid w:val="0095137C"/>
    <w:rsid w:val="00952029"/>
    <w:rsid w:val="00952A1D"/>
    <w:rsid w:val="00952F35"/>
    <w:rsid w:val="00955899"/>
    <w:rsid w:val="0095672A"/>
    <w:rsid w:val="0095699B"/>
    <w:rsid w:val="00957C4B"/>
    <w:rsid w:val="0096069D"/>
    <w:rsid w:val="009616EE"/>
    <w:rsid w:val="00961CDD"/>
    <w:rsid w:val="009648DF"/>
    <w:rsid w:val="0096555E"/>
    <w:rsid w:val="00965717"/>
    <w:rsid w:val="00965CF1"/>
    <w:rsid w:val="0096611A"/>
    <w:rsid w:val="009674BB"/>
    <w:rsid w:val="0097146A"/>
    <w:rsid w:val="00973D32"/>
    <w:rsid w:val="009763EE"/>
    <w:rsid w:val="009778C7"/>
    <w:rsid w:val="00977C97"/>
    <w:rsid w:val="009841E3"/>
    <w:rsid w:val="00984B55"/>
    <w:rsid w:val="009864F8"/>
    <w:rsid w:val="0098682B"/>
    <w:rsid w:val="00986AB0"/>
    <w:rsid w:val="00987163"/>
    <w:rsid w:val="00987DA3"/>
    <w:rsid w:val="00987E92"/>
    <w:rsid w:val="009904FA"/>
    <w:rsid w:val="009922A9"/>
    <w:rsid w:val="00992F0C"/>
    <w:rsid w:val="00996724"/>
    <w:rsid w:val="00997323"/>
    <w:rsid w:val="009A0FAB"/>
    <w:rsid w:val="009A10E8"/>
    <w:rsid w:val="009A440E"/>
    <w:rsid w:val="009A4E75"/>
    <w:rsid w:val="009A5C3E"/>
    <w:rsid w:val="009B1A4C"/>
    <w:rsid w:val="009B2996"/>
    <w:rsid w:val="009B60FA"/>
    <w:rsid w:val="009B666F"/>
    <w:rsid w:val="009C037B"/>
    <w:rsid w:val="009C153F"/>
    <w:rsid w:val="009C3257"/>
    <w:rsid w:val="009C65A6"/>
    <w:rsid w:val="009C6867"/>
    <w:rsid w:val="009D1C47"/>
    <w:rsid w:val="009D207D"/>
    <w:rsid w:val="009D42CA"/>
    <w:rsid w:val="009D66DD"/>
    <w:rsid w:val="009E0353"/>
    <w:rsid w:val="009E1D65"/>
    <w:rsid w:val="009E2698"/>
    <w:rsid w:val="009E705F"/>
    <w:rsid w:val="009E726F"/>
    <w:rsid w:val="009F0C17"/>
    <w:rsid w:val="009F1024"/>
    <w:rsid w:val="009F1A3F"/>
    <w:rsid w:val="009F6C65"/>
    <w:rsid w:val="009F6CC7"/>
    <w:rsid w:val="00A030C3"/>
    <w:rsid w:val="00A04B6A"/>
    <w:rsid w:val="00A062EB"/>
    <w:rsid w:val="00A065D2"/>
    <w:rsid w:val="00A0761B"/>
    <w:rsid w:val="00A1041C"/>
    <w:rsid w:val="00A11381"/>
    <w:rsid w:val="00A15407"/>
    <w:rsid w:val="00A15458"/>
    <w:rsid w:val="00A1625E"/>
    <w:rsid w:val="00A171F2"/>
    <w:rsid w:val="00A217A2"/>
    <w:rsid w:val="00A220CE"/>
    <w:rsid w:val="00A22459"/>
    <w:rsid w:val="00A237DD"/>
    <w:rsid w:val="00A2417F"/>
    <w:rsid w:val="00A241B9"/>
    <w:rsid w:val="00A269F9"/>
    <w:rsid w:val="00A303F4"/>
    <w:rsid w:val="00A3363D"/>
    <w:rsid w:val="00A33752"/>
    <w:rsid w:val="00A367C2"/>
    <w:rsid w:val="00A40588"/>
    <w:rsid w:val="00A40886"/>
    <w:rsid w:val="00A41A6E"/>
    <w:rsid w:val="00A42B0A"/>
    <w:rsid w:val="00A433F7"/>
    <w:rsid w:val="00A44CA0"/>
    <w:rsid w:val="00A45F50"/>
    <w:rsid w:val="00A46013"/>
    <w:rsid w:val="00A466F7"/>
    <w:rsid w:val="00A4739F"/>
    <w:rsid w:val="00A51630"/>
    <w:rsid w:val="00A5344F"/>
    <w:rsid w:val="00A55FE3"/>
    <w:rsid w:val="00A56BA2"/>
    <w:rsid w:val="00A57973"/>
    <w:rsid w:val="00A60DF6"/>
    <w:rsid w:val="00A613E2"/>
    <w:rsid w:val="00A63C98"/>
    <w:rsid w:val="00A6407C"/>
    <w:rsid w:val="00A65027"/>
    <w:rsid w:val="00A6680E"/>
    <w:rsid w:val="00A7027F"/>
    <w:rsid w:val="00A75271"/>
    <w:rsid w:val="00A75A01"/>
    <w:rsid w:val="00A76AE3"/>
    <w:rsid w:val="00A7789D"/>
    <w:rsid w:val="00A806C9"/>
    <w:rsid w:val="00A90EB6"/>
    <w:rsid w:val="00A91967"/>
    <w:rsid w:val="00A924AB"/>
    <w:rsid w:val="00A941F8"/>
    <w:rsid w:val="00A94F42"/>
    <w:rsid w:val="00A97B62"/>
    <w:rsid w:val="00AA06AE"/>
    <w:rsid w:val="00AA2C2D"/>
    <w:rsid w:val="00AA330B"/>
    <w:rsid w:val="00AA3F92"/>
    <w:rsid w:val="00AA4045"/>
    <w:rsid w:val="00AA4760"/>
    <w:rsid w:val="00AA47DA"/>
    <w:rsid w:val="00AA487B"/>
    <w:rsid w:val="00AA4F64"/>
    <w:rsid w:val="00AA553B"/>
    <w:rsid w:val="00AB0BB1"/>
    <w:rsid w:val="00AB1D7B"/>
    <w:rsid w:val="00AB26F6"/>
    <w:rsid w:val="00AB2A14"/>
    <w:rsid w:val="00AB59FD"/>
    <w:rsid w:val="00AB5DDE"/>
    <w:rsid w:val="00AC2436"/>
    <w:rsid w:val="00AC751D"/>
    <w:rsid w:val="00AD0C9B"/>
    <w:rsid w:val="00AD1226"/>
    <w:rsid w:val="00AD2ABC"/>
    <w:rsid w:val="00AD3C66"/>
    <w:rsid w:val="00AD408C"/>
    <w:rsid w:val="00AD50BC"/>
    <w:rsid w:val="00AE1D43"/>
    <w:rsid w:val="00AE1F12"/>
    <w:rsid w:val="00AE2B63"/>
    <w:rsid w:val="00AE4AC4"/>
    <w:rsid w:val="00AE74BE"/>
    <w:rsid w:val="00AF0A2C"/>
    <w:rsid w:val="00AF24F2"/>
    <w:rsid w:val="00AF2967"/>
    <w:rsid w:val="00AF3376"/>
    <w:rsid w:val="00AF55DB"/>
    <w:rsid w:val="00AF672B"/>
    <w:rsid w:val="00AF7357"/>
    <w:rsid w:val="00B0299E"/>
    <w:rsid w:val="00B05035"/>
    <w:rsid w:val="00B0787C"/>
    <w:rsid w:val="00B12BB1"/>
    <w:rsid w:val="00B13C02"/>
    <w:rsid w:val="00B22B89"/>
    <w:rsid w:val="00B238EE"/>
    <w:rsid w:val="00B24236"/>
    <w:rsid w:val="00B24922"/>
    <w:rsid w:val="00B251A3"/>
    <w:rsid w:val="00B25962"/>
    <w:rsid w:val="00B27631"/>
    <w:rsid w:val="00B3050A"/>
    <w:rsid w:val="00B33186"/>
    <w:rsid w:val="00B37487"/>
    <w:rsid w:val="00B37EB8"/>
    <w:rsid w:val="00B415D0"/>
    <w:rsid w:val="00B41939"/>
    <w:rsid w:val="00B421AD"/>
    <w:rsid w:val="00B42D8E"/>
    <w:rsid w:val="00B446E1"/>
    <w:rsid w:val="00B4533D"/>
    <w:rsid w:val="00B45AE8"/>
    <w:rsid w:val="00B461BF"/>
    <w:rsid w:val="00B50DE7"/>
    <w:rsid w:val="00B528D0"/>
    <w:rsid w:val="00B53680"/>
    <w:rsid w:val="00B54806"/>
    <w:rsid w:val="00B55D09"/>
    <w:rsid w:val="00B56186"/>
    <w:rsid w:val="00B625E3"/>
    <w:rsid w:val="00B62BF3"/>
    <w:rsid w:val="00B6334A"/>
    <w:rsid w:val="00B635B7"/>
    <w:rsid w:val="00B6388B"/>
    <w:rsid w:val="00B6670A"/>
    <w:rsid w:val="00B66B29"/>
    <w:rsid w:val="00B73017"/>
    <w:rsid w:val="00B74212"/>
    <w:rsid w:val="00B764C2"/>
    <w:rsid w:val="00B766CA"/>
    <w:rsid w:val="00B805B0"/>
    <w:rsid w:val="00B81DF1"/>
    <w:rsid w:val="00B8392B"/>
    <w:rsid w:val="00B84A36"/>
    <w:rsid w:val="00B84B4B"/>
    <w:rsid w:val="00B84F4E"/>
    <w:rsid w:val="00B85432"/>
    <w:rsid w:val="00B86091"/>
    <w:rsid w:val="00B92BAC"/>
    <w:rsid w:val="00B930A8"/>
    <w:rsid w:val="00B9543A"/>
    <w:rsid w:val="00BA4835"/>
    <w:rsid w:val="00BA48FD"/>
    <w:rsid w:val="00BA568A"/>
    <w:rsid w:val="00BB1973"/>
    <w:rsid w:val="00BB1F86"/>
    <w:rsid w:val="00BB2972"/>
    <w:rsid w:val="00BB44C8"/>
    <w:rsid w:val="00BC1EDD"/>
    <w:rsid w:val="00BC2FEC"/>
    <w:rsid w:val="00BC4932"/>
    <w:rsid w:val="00BC7029"/>
    <w:rsid w:val="00BC7F00"/>
    <w:rsid w:val="00BD4074"/>
    <w:rsid w:val="00BE0EAE"/>
    <w:rsid w:val="00BE2513"/>
    <w:rsid w:val="00BE4049"/>
    <w:rsid w:val="00BE457C"/>
    <w:rsid w:val="00BE51A5"/>
    <w:rsid w:val="00BE56F5"/>
    <w:rsid w:val="00BE78CC"/>
    <w:rsid w:val="00BF2605"/>
    <w:rsid w:val="00BF46B3"/>
    <w:rsid w:val="00BF5AE2"/>
    <w:rsid w:val="00BF5F53"/>
    <w:rsid w:val="00C01BDF"/>
    <w:rsid w:val="00C02555"/>
    <w:rsid w:val="00C04E23"/>
    <w:rsid w:val="00C05CDA"/>
    <w:rsid w:val="00C10583"/>
    <w:rsid w:val="00C12BE7"/>
    <w:rsid w:val="00C16677"/>
    <w:rsid w:val="00C17533"/>
    <w:rsid w:val="00C175D5"/>
    <w:rsid w:val="00C20B25"/>
    <w:rsid w:val="00C24188"/>
    <w:rsid w:val="00C2766F"/>
    <w:rsid w:val="00C329E8"/>
    <w:rsid w:val="00C32AD0"/>
    <w:rsid w:val="00C33DC5"/>
    <w:rsid w:val="00C34E4B"/>
    <w:rsid w:val="00C35B38"/>
    <w:rsid w:val="00C40642"/>
    <w:rsid w:val="00C411E5"/>
    <w:rsid w:val="00C41484"/>
    <w:rsid w:val="00C41690"/>
    <w:rsid w:val="00C429EC"/>
    <w:rsid w:val="00C434B8"/>
    <w:rsid w:val="00C45972"/>
    <w:rsid w:val="00C46206"/>
    <w:rsid w:val="00C46A09"/>
    <w:rsid w:val="00C47540"/>
    <w:rsid w:val="00C5168F"/>
    <w:rsid w:val="00C51BA8"/>
    <w:rsid w:val="00C549C5"/>
    <w:rsid w:val="00C549EB"/>
    <w:rsid w:val="00C61A38"/>
    <w:rsid w:val="00C621A1"/>
    <w:rsid w:val="00C63D42"/>
    <w:rsid w:val="00C666C2"/>
    <w:rsid w:val="00C677CB"/>
    <w:rsid w:val="00C71C29"/>
    <w:rsid w:val="00C71C89"/>
    <w:rsid w:val="00C74AB6"/>
    <w:rsid w:val="00C75849"/>
    <w:rsid w:val="00C8120E"/>
    <w:rsid w:val="00C82A6B"/>
    <w:rsid w:val="00C831DA"/>
    <w:rsid w:val="00C85B86"/>
    <w:rsid w:val="00C90547"/>
    <w:rsid w:val="00C928FD"/>
    <w:rsid w:val="00C94227"/>
    <w:rsid w:val="00C962E3"/>
    <w:rsid w:val="00C96975"/>
    <w:rsid w:val="00C96B79"/>
    <w:rsid w:val="00C96C05"/>
    <w:rsid w:val="00C97A06"/>
    <w:rsid w:val="00CA110E"/>
    <w:rsid w:val="00CA2DC5"/>
    <w:rsid w:val="00CA4E19"/>
    <w:rsid w:val="00CA66CE"/>
    <w:rsid w:val="00CA685C"/>
    <w:rsid w:val="00CB1053"/>
    <w:rsid w:val="00CB3102"/>
    <w:rsid w:val="00CB376C"/>
    <w:rsid w:val="00CB49BC"/>
    <w:rsid w:val="00CB61C9"/>
    <w:rsid w:val="00CC1AAF"/>
    <w:rsid w:val="00CC4E14"/>
    <w:rsid w:val="00CC58AA"/>
    <w:rsid w:val="00CC7E15"/>
    <w:rsid w:val="00CD0556"/>
    <w:rsid w:val="00CD08FE"/>
    <w:rsid w:val="00CD3598"/>
    <w:rsid w:val="00CD3F97"/>
    <w:rsid w:val="00CD4037"/>
    <w:rsid w:val="00CD56AC"/>
    <w:rsid w:val="00CD5C77"/>
    <w:rsid w:val="00CD7DDB"/>
    <w:rsid w:val="00CE2DD6"/>
    <w:rsid w:val="00CE7C3B"/>
    <w:rsid w:val="00CF11F7"/>
    <w:rsid w:val="00CF4214"/>
    <w:rsid w:val="00CF5269"/>
    <w:rsid w:val="00CF6AC2"/>
    <w:rsid w:val="00CF6EB7"/>
    <w:rsid w:val="00CF7300"/>
    <w:rsid w:val="00CF7F32"/>
    <w:rsid w:val="00D03F75"/>
    <w:rsid w:val="00D04760"/>
    <w:rsid w:val="00D057FC"/>
    <w:rsid w:val="00D074B9"/>
    <w:rsid w:val="00D10382"/>
    <w:rsid w:val="00D11174"/>
    <w:rsid w:val="00D12F08"/>
    <w:rsid w:val="00D13027"/>
    <w:rsid w:val="00D13086"/>
    <w:rsid w:val="00D161AC"/>
    <w:rsid w:val="00D1748F"/>
    <w:rsid w:val="00D20017"/>
    <w:rsid w:val="00D225AA"/>
    <w:rsid w:val="00D2585A"/>
    <w:rsid w:val="00D313A0"/>
    <w:rsid w:val="00D32338"/>
    <w:rsid w:val="00D334A2"/>
    <w:rsid w:val="00D3380D"/>
    <w:rsid w:val="00D35A1A"/>
    <w:rsid w:val="00D365CD"/>
    <w:rsid w:val="00D40192"/>
    <w:rsid w:val="00D4126C"/>
    <w:rsid w:val="00D46189"/>
    <w:rsid w:val="00D4719F"/>
    <w:rsid w:val="00D52245"/>
    <w:rsid w:val="00D52D07"/>
    <w:rsid w:val="00D545DB"/>
    <w:rsid w:val="00D553D3"/>
    <w:rsid w:val="00D55E0E"/>
    <w:rsid w:val="00D5613B"/>
    <w:rsid w:val="00D56295"/>
    <w:rsid w:val="00D5639D"/>
    <w:rsid w:val="00D63F7C"/>
    <w:rsid w:val="00D64016"/>
    <w:rsid w:val="00D6493A"/>
    <w:rsid w:val="00D66370"/>
    <w:rsid w:val="00D67A33"/>
    <w:rsid w:val="00D70B70"/>
    <w:rsid w:val="00D73272"/>
    <w:rsid w:val="00D742EE"/>
    <w:rsid w:val="00D75162"/>
    <w:rsid w:val="00D75622"/>
    <w:rsid w:val="00D8053C"/>
    <w:rsid w:val="00D81BE6"/>
    <w:rsid w:val="00D8476E"/>
    <w:rsid w:val="00D8659B"/>
    <w:rsid w:val="00D8723E"/>
    <w:rsid w:val="00D87FF6"/>
    <w:rsid w:val="00D931A8"/>
    <w:rsid w:val="00D94CB4"/>
    <w:rsid w:val="00D95165"/>
    <w:rsid w:val="00D95891"/>
    <w:rsid w:val="00D95B36"/>
    <w:rsid w:val="00DA0A47"/>
    <w:rsid w:val="00DA1089"/>
    <w:rsid w:val="00DA1B68"/>
    <w:rsid w:val="00DA22F9"/>
    <w:rsid w:val="00DA25D4"/>
    <w:rsid w:val="00DA3A8D"/>
    <w:rsid w:val="00DA5190"/>
    <w:rsid w:val="00DB4662"/>
    <w:rsid w:val="00DB6484"/>
    <w:rsid w:val="00DB6956"/>
    <w:rsid w:val="00DC2169"/>
    <w:rsid w:val="00DC7FFC"/>
    <w:rsid w:val="00DD0D5B"/>
    <w:rsid w:val="00DD13E9"/>
    <w:rsid w:val="00DD201F"/>
    <w:rsid w:val="00DD2056"/>
    <w:rsid w:val="00DD30A8"/>
    <w:rsid w:val="00DD47D2"/>
    <w:rsid w:val="00DD549A"/>
    <w:rsid w:val="00DE0242"/>
    <w:rsid w:val="00DE41A3"/>
    <w:rsid w:val="00DE462F"/>
    <w:rsid w:val="00DE4785"/>
    <w:rsid w:val="00DE4BA5"/>
    <w:rsid w:val="00DE5426"/>
    <w:rsid w:val="00DE6CEC"/>
    <w:rsid w:val="00DE74C7"/>
    <w:rsid w:val="00DF29C9"/>
    <w:rsid w:val="00DF2ADD"/>
    <w:rsid w:val="00DF3378"/>
    <w:rsid w:val="00DF5883"/>
    <w:rsid w:val="00DF5B79"/>
    <w:rsid w:val="00E006D0"/>
    <w:rsid w:val="00E0227C"/>
    <w:rsid w:val="00E033BB"/>
    <w:rsid w:val="00E05A03"/>
    <w:rsid w:val="00E070AD"/>
    <w:rsid w:val="00E114A8"/>
    <w:rsid w:val="00E11F2A"/>
    <w:rsid w:val="00E17359"/>
    <w:rsid w:val="00E2187D"/>
    <w:rsid w:val="00E219B6"/>
    <w:rsid w:val="00E219C5"/>
    <w:rsid w:val="00E240CD"/>
    <w:rsid w:val="00E26027"/>
    <w:rsid w:val="00E26A5D"/>
    <w:rsid w:val="00E26AE6"/>
    <w:rsid w:val="00E327B2"/>
    <w:rsid w:val="00E32980"/>
    <w:rsid w:val="00E34C2E"/>
    <w:rsid w:val="00E35810"/>
    <w:rsid w:val="00E35A45"/>
    <w:rsid w:val="00E360CB"/>
    <w:rsid w:val="00E36FAE"/>
    <w:rsid w:val="00E44B0C"/>
    <w:rsid w:val="00E45EFF"/>
    <w:rsid w:val="00E4614F"/>
    <w:rsid w:val="00E52966"/>
    <w:rsid w:val="00E52A76"/>
    <w:rsid w:val="00E536A8"/>
    <w:rsid w:val="00E55258"/>
    <w:rsid w:val="00E62302"/>
    <w:rsid w:val="00E63F90"/>
    <w:rsid w:val="00E678AA"/>
    <w:rsid w:val="00E702F2"/>
    <w:rsid w:val="00E7132B"/>
    <w:rsid w:val="00E71F25"/>
    <w:rsid w:val="00E72F52"/>
    <w:rsid w:val="00E74471"/>
    <w:rsid w:val="00E74C4E"/>
    <w:rsid w:val="00E74DC3"/>
    <w:rsid w:val="00E764D5"/>
    <w:rsid w:val="00E806BD"/>
    <w:rsid w:val="00E806CF"/>
    <w:rsid w:val="00E83319"/>
    <w:rsid w:val="00E94C6D"/>
    <w:rsid w:val="00E94D19"/>
    <w:rsid w:val="00E95BED"/>
    <w:rsid w:val="00EA0956"/>
    <w:rsid w:val="00EA24FD"/>
    <w:rsid w:val="00EA25AE"/>
    <w:rsid w:val="00EA26AE"/>
    <w:rsid w:val="00EA29EC"/>
    <w:rsid w:val="00EA3D15"/>
    <w:rsid w:val="00EB0B20"/>
    <w:rsid w:val="00EB3ADA"/>
    <w:rsid w:val="00EB6886"/>
    <w:rsid w:val="00EC0F13"/>
    <w:rsid w:val="00EC1360"/>
    <w:rsid w:val="00EC3118"/>
    <w:rsid w:val="00EC3451"/>
    <w:rsid w:val="00EC3660"/>
    <w:rsid w:val="00EC36E9"/>
    <w:rsid w:val="00EC4667"/>
    <w:rsid w:val="00EC7D38"/>
    <w:rsid w:val="00ED510B"/>
    <w:rsid w:val="00ED61A4"/>
    <w:rsid w:val="00ED6E41"/>
    <w:rsid w:val="00ED70FE"/>
    <w:rsid w:val="00EE0819"/>
    <w:rsid w:val="00EE0A97"/>
    <w:rsid w:val="00EE20AC"/>
    <w:rsid w:val="00EE297D"/>
    <w:rsid w:val="00EE3478"/>
    <w:rsid w:val="00EE6624"/>
    <w:rsid w:val="00EE724F"/>
    <w:rsid w:val="00EF3B45"/>
    <w:rsid w:val="00EF443B"/>
    <w:rsid w:val="00EF4708"/>
    <w:rsid w:val="00EF58A2"/>
    <w:rsid w:val="00EF59A8"/>
    <w:rsid w:val="00EF7E74"/>
    <w:rsid w:val="00F000E0"/>
    <w:rsid w:val="00F017F5"/>
    <w:rsid w:val="00F0315C"/>
    <w:rsid w:val="00F032FB"/>
    <w:rsid w:val="00F03678"/>
    <w:rsid w:val="00F0624F"/>
    <w:rsid w:val="00F0764E"/>
    <w:rsid w:val="00F127B8"/>
    <w:rsid w:val="00F132C5"/>
    <w:rsid w:val="00F135BF"/>
    <w:rsid w:val="00F14B4E"/>
    <w:rsid w:val="00F1798E"/>
    <w:rsid w:val="00F17F59"/>
    <w:rsid w:val="00F2260B"/>
    <w:rsid w:val="00F2798F"/>
    <w:rsid w:val="00F27C61"/>
    <w:rsid w:val="00F3230C"/>
    <w:rsid w:val="00F326D2"/>
    <w:rsid w:val="00F35DEE"/>
    <w:rsid w:val="00F36A16"/>
    <w:rsid w:val="00F403EA"/>
    <w:rsid w:val="00F43340"/>
    <w:rsid w:val="00F44126"/>
    <w:rsid w:val="00F4552D"/>
    <w:rsid w:val="00F45F61"/>
    <w:rsid w:val="00F46A46"/>
    <w:rsid w:val="00F47918"/>
    <w:rsid w:val="00F47B0E"/>
    <w:rsid w:val="00F50092"/>
    <w:rsid w:val="00F50849"/>
    <w:rsid w:val="00F517C2"/>
    <w:rsid w:val="00F57BB9"/>
    <w:rsid w:val="00F60647"/>
    <w:rsid w:val="00F60648"/>
    <w:rsid w:val="00F617E6"/>
    <w:rsid w:val="00F619CC"/>
    <w:rsid w:val="00F61AA4"/>
    <w:rsid w:val="00F6367B"/>
    <w:rsid w:val="00F67160"/>
    <w:rsid w:val="00F70EA8"/>
    <w:rsid w:val="00F7101F"/>
    <w:rsid w:val="00F7203B"/>
    <w:rsid w:val="00F74309"/>
    <w:rsid w:val="00F765FA"/>
    <w:rsid w:val="00F85658"/>
    <w:rsid w:val="00F86534"/>
    <w:rsid w:val="00F86BE2"/>
    <w:rsid w:val="00F87C6A"/>
    <w:rsid w:val="00F87EE2"/>
    <w:rsid w:val="00F9086A"/>
    <w:rsid w:val="00F91663"/>
    <w:rsid w:val="00F9258E"/>
    <w:rsid w:val="00F9267C"/>
    <w:rsid w:val="00F92F75"/>
    <w:rsid w:val="00F962E2"/>
    <w:rsid w:val="00FA01B1"/>
    <w:rsid w:val="00FA0716"/>
    <w:rsid w:val="00FA1C4D"/>
    <w:rsid w:val="00FA2B7D"/>
    <w:rsid w:val="00FA7D84"/>
    <w:rsid w:val="00FB01E8"/>
    <w:rsid w:val="00FB1281"/>
    <w:rsid w:val="00FB2905"/>
    <w:rsid w:val="00FB5633"/>
    <w:rsid w:val="00FB583B"/>
    <w:rsid w:val="00FB67F2"/>
    <w:rsid w:val="00FB7BB4"/>
    <w:rsid w:val="00FC08DC"/>
    <w:rsid w:val="00FC265E"/>
    <w:rsid w:val="00FC2E58"/>
    <w:rsid w:val="00FC5602"/>
    <w:rsid w:val="00FC5CF9"/>
    <w:rsid w:val="00FD1906"/>
    <w:rsid w:val="00FD2ED4"/>
    <w:rsid w:val="00FD34AA"/>
    <w:rsid w:val="00FD41C3"/>
    <w:rsid w:val="00FD4276"/>
    <w:rsid w:val="00FD5182"/>
    <w:rsid w:val="00FE1B5B"/>
    <w:rsid w:val="00FE2694"/>
    <w:rsid w:val="00FF02A7"/>
    <w:rsid w:val="00FF0E75"/>
    <w:rsid w:val="00FF1B36"/>
    <w:rsid w:val="00FF28CE"/>
    <w:rsid w:val="00FF2AC2"/>
    <w:rsid w:val="00FF484D"/>
    <w:rsid w:val="00FF4D0E"/>
    <w:rsid w:val="00FF57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D50D555"/>
  <w15:docId w15:val="{141B5D10-F0F3-4EBE-882E-3729A1DF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E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60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1B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E1B5B"/>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3E60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053"/>
    <w:rPr>
      <w:sz w:val="20"/>
      <w:szCs w:val="20"/>
    </w:rPr>
  </w:style>
  <w:style w:type="character" w:styleId="FootnoteReference">
    <w:name w:val="footnote reference"/>
    <w:basedOn w:val="DefaultParagraphFont"/>
    <w:uiPriority w:val="99"/>
    <w:semiHidden/>
    <w:unhideWhenUsed/>
    <w:rsid w:val="003E6053"/>
    <w:rPr>
      <w:vertAlign w:val="superscript"/>
    </w:rPr>
  </w:style>
  <w:style w:type="character" w:customStyle="1" w:styleId="Heading3Char">
    <w:name w:val="Heading 3 Char"/>
    <w:basedOn w:val="DefaultParagraphFont"/>
    <w:link w:val="Heading3"/>
    <w:uiPriority w:val="9"/>
    <w:rsid w:val="003E605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E6053"/>
    <w:pPr>
      <w:ind w:left="720"/>
      <w:contextualSpacing/>
    </w:pPr>
  </w:style>
  <w:style w:type="table" w:styleId="TableGrid">
    <w:name w:val="Table Grid"/>
    <w:basedOn w:val="TableNormal"/>
    <w:uiPriority w:val="39"/>
    <w:rsid w:val="000E0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2E7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B0019"/>
    <w:rPr>
      <w:sz w:val="16"/>
      <w:szCs w:val="16"/>
    </w:rPr>
  </w:style>
  <w:style w:type="paragraph" w:styleId="CommentText">
    <w:name w:val="annotation text"/>
    <w:basedOn w:val="Normal"/>
    <w:link w:val="CommentTextChar"/>
    <w:uiPriority w:val="99"/>
    <w:unhideWhenUsed/>
    <w:rsid w:val="000B0019"/>
    <w:pPr>
      <w:spacing w:line="240" w:lineRule="auto"/>
    </w:pPr>
    <w:rPr>
      <w:sz w:val="20"/>
      <w:szCs w:val="20"/>
    </w:rPr>
  </w:style>
  <w:style w:type="character" w:customStyle="1" w:styleId="CommentTextChar">
    <w:name w:val="Comment Text Char"/>
    <w:basedOn w:val="DefaultParagraphFont"/>
    <w:link w:val="CommentText"/>
    <w:uiPriority w:val="99"/>
    <w:rsid w:val="000B0019"/>
    <w:rPr>
      <w:sz w:val="20"/>
      <w:szCs w:val="20"/>
    </w:rPr>
  </w:style>
  <w:style w:type="paragraph" w:styleId="CommentSubject">
    <w:name w:val="annotation subject"/>
    <w:basedOn w:val="CommentText"/>
    <w:next w:val="CommentText"/>
    <w:link w:val="CommentSubjectChar"/>
    <w:uiPriority w:val="99"/>
    <w:semiHidden/>
    <w:unhideWhenUsed/>
    <w:rsid w:val="000B0019"/>
    <w:rPr>
      <w:b/>
      <w:bCs/>
    </w:rPr>
  </w:style>
  <w:style w:type="character" w:customStyle="1" w:styleId="CommentSubjectChar">
    <w:name w:val="Comment Subject Char"/>
    <w:basedOn w:val="CommentTextChar"/>
    <w:link w:val="CommentSubject"/>
    <w:uiPriority w:val="99"/>
    <w:semiHidden/>
    <w:rsid w:val="000B0019"/>
    <w:rPr>
      <w:b/>
      <w:bCs/>
      <w:sz w:val="20"/>
      <w:szCs w:val="20"/>
    </w:rPr>
  </w:style>
  <w:style w:type="paragraph" w:styleId="BalloonText">
    <w:name w:val="Balloon Text"/>
    <w:basedOn w:val="Normal"/>
    <w:link w:val="BalloonTextChar"/>
    <w:uiPriority w:val="99"/>
    <w:semiHidden/>
    <w:unhideWhenUsed/>
    <w:rsid w:val="000B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19"/>
    <w:rPr>
      <w:rFonts w:ascii="Segoe UI" w:hAnsi="Segoe UI" w:cs="Segoe UI"/>
      <w:sz w:val="18"/>
      <w:szCs w:val="18"/>
    </w:rPr>
  </w:style>
  <w:style w:type="paragraph" w:styleId="Header">
    <w:name w:val="header"/>
    <w:basedOn w:val="Normal"/>
    <w:link w:val="HeaderChar"/>
    <w:uiPriority w:val="99"/>
    <w:unhideWhenUsed/>
    <w:rsid w:val="00213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71B"/>
  </w:style>
  <w:style w:type="paragraph" w:styleId="Footer">
    <w:name w:val="footer"/>
    <w:basedOn w:val="Normal"/>
    <w:link w:val="FooterChar"/>
    <w:uiPriority w:val="99"/>
    <w:unhideWhenUsed/>
    <w:rsid w:val="00213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71B"/>
  </w:style>
  <w:style w:type="character" w:styleId="Hyperlink">
    <w:name w:val="Hyperlink"/>
    <w:basedOn w:val="DefaultParagraphFont"/>
    <w:uiPriority w:val="99"/>
    <w:unhideWhenUsed/>
    <w:rsid w:val="0097146A"/>
    <w:rPr>
      <w:color w:val="0563C1" w:themeColor="hyperlink"/>
      <w:u w:val="single"/>
    </w:rPr>
  </w:style>
  <w:style w:type="paragraph" w:styleId="NormalWeb">
    <w:name w:val="Normal (Web)"/>
    <w:basedOn w:val="Normal"/>
    <w:unhideWhenUsed/>
    <w:rsid w:val="0097146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97146A"/>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97146A"/>
    <w:rPr>
      <w:rFonts w:ascii="Courier New" w:eastAsia="SimSun" w:hAnsi="Courier New" w:cs="Courier New"/>
      <w:sz w:val="20"/>
      <w:szCs w:val="20"/>
      <w:lang w:eastAsia="zh-CN"/>
    </w:rPr>
  </w:style>
  <w:style w:type="character" w:styleId="UnresolvedMention">
    <w:name w:val="Unresolved Mention"/>
    <w:basedOn w:val="DefaultParagraphFont"/>
    <w:uiPriority w:val="99"/>
    <w:semiHidden/>
    <w:unhideWhenUsed/>
    <w:rsid w:val="00BA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2983">
      <w:bodyDiv w:val="1"/>
      <w:marLeft w:val="0"/>
      <w:marRight w:val="0"/>
      <w:marTop w:val="0"/>
      <w:marBottom w:val="0"/>
      <w:divBdr>
        <w:top w:val="none" w:sz="0" w:space="0" w:color="auto"/>
        <w:left w:val="none" w:sz="0" w:space="0" w:color="auto"/>
        <w:bottom w:val="none" w:sz="0" w:space="0" w:color="auto"/>
        <w:right w:val="none" w:sz="0" w:space="0" w:color="auto"/>
      </w:divBdr>
    </w:div>
    <w:div w:id="134766104">
      <w:bodyDiv w:val="1"/>
      <w:marLeft w:val="0"/>
      <w:marRight w:val="0"/>
      <w:marTop w:val="0"/>
      <w:marBottom w:val="0"/>
      <w:divBdr>
        <w:top w:val="none" w:sz="0" w:space="0" w:color="auto"/>
        <w:left w:val="none" w:sz="0" w:space="0" w:color="auto"/>
        <w:bottom w:val="none" w:sz="0" w:space="0" w:color="auto"/>
        <w:right w:val="none" w:sz="0" w:space="0" w:color="auto"/>
      </w:divBdr>
    </w:div>
    <w:div w:id="184684547">
      <w:bodyDiv w:val="1"/>
      <w:marLeft w:val="0"/>
      <w:marRight w:val="0"/>
      <w:marTop w:val="0"/>
      <w:marBottom w:val="0"/>
      <w:divBdr>
        <w:top w:val="none" w:sz="0" w:space="0" w:color="auto"/>
        <w:left w:val="none" w:sz="0" w:space="0" w:color="auto"/>
        <w:bottom w:val="none" w:sz="0" w:space="0" w:color="auto"/>
        <w:right w:val="none" w:sz="0" w:space="0" w:color="auto"/>
      </w:divBdr>
    </w:div>
    <w:div w:id="257256231">
      <w:bodyDiv w:val="1"/>
      <w:marLeft w:val="0"/>
      <w:marRight w:val="0"/>
      <w:marTop w:val="0"/>
      <w:marBottom w:val="0"/>
      <w:divBdr>
        <w:top w:val="none" w:sz="0" w:space="0" w:color="auto"/>
        <w:left w:val="none" w:sz="0" w:space="0" w:color="auto"/>
        <w:bottom w:val="none" w:sz="0" w:space="0" w:color="auto"/>
        <w:right w:val="none" w:sz="0" w:space="0" w:color="auto"/>
      </w:divBdr>
    </w:div>
    <w:div w:id="337931844">
      <w:bodyDiv w:val="1"/>
      <w:marLeft w:val="0"/>
      <w:marRight w:val="0"/>
      <w:marTop w:val="0"/>
      <w:marBottom w:val="0"/>
      <w:divBdr>
        <w:top w:val="none" w:sz="0" w:space="0" w:color="auto"/>
        <w:left w:val="none" w:sz="0" w:space="0" w:color="auto"/>
        <w:bottom w:val="none" w:sz="0" w:space="0" w:color="auto"/>
        <w:right w:val="none" w:sz="0" w:space="0" w:color="auto"/>
      </w:divBdr>
    </w:div>
    <w:div w:id="352607465">
      <w:bodyDiv w:val="1"/>
      <w:marLeft w:val="0"/>
      <w:marRight w:val="0"/>
      <w:marTop w:val="0"/>
      <w:marBottom w:val="0"/>
      <w:divBdr>
        <w:top w:val="none" w:sz="0" w:space="0" w:color="auto"/>
        <w:left w:val="none" w:sz="0" w:space="0" w:color="auto"/>
        <w:bottom w:val="none" w:sz="0" w:space="0" w:color="auto"/>
        <w:right w:val="none" w:sz="0" w:space="0" w:color="auto"/>
      </w:divBdr>
    </w:div>
    <w:div w:id="381712890">
      <w:bodyDiv w:val="1"/>
      <w:marLeft w:val="0"/>
      <w:marRight w:val="0"/>
      <w:marTop w:val="0"/>
      <w:marBottom w:val="0"/>
      <w:divBdr>
        <w:top w:val="none" w:sz="0" w:space="0" w:color="auto"/>
        <w:left w:val="none" w:sz="0" w:space="0" w:color="auto"/>
        <w:bottom w:val="none" w:sz="0" w:space="0" w:color="auto"/>
        <w:right w:val="none" w:sz="0" w:space="0" w:color="auto"/>
      </w:divBdr>
    </w:div>
    <w:div w:id="445197829">
      <w:bodyDiv w:val="1"/>
      <w:marLeft w:val="0"/>
      <w:marRight w:val="0"/>
      <w:marTop w:val="0"/>
      <w:marBottom w:val="0"/>
      <w:divBdr>
        <w:top w:val="none" w:sz="0" w:space="0" w:color="auto"/>
        <w:left w:val="none" w:sz="0" w:space="0" w:color="auto"/>
        <w:bottom w:val="none" w:sz="0" w:space="0" w:color="auto"/>
        <w:right w:val="none" w:sz="0" w:space="0" w:color="auto"/>
      </w:divBdr>
    </w:div>
    <w:div w:id="550582468">
      <w:bodyDiv w:val="1"/>
      <w:marLeft w:val="0"/>
      <w:marRight w:val="0"/>
      <w:marTop w:val="0"/>
      <w:marBottom w:val="0"/>
      <w:divBdr>
        <w:top w:val="none" w:sz="0" w:space="0" w:color="auto"/>
        <w:left w:val="none" w:sz="0" w:space="0" w:color="auto"/>
        <w:bottom w:val="none" w:sz="0" w:space="0" w:color="auto"/>
        <w:right w:val="none" w:sz="0" w:space="0" w:color="auto"/>
      </w:divBdr>
    </w:div>
    <w:div w:id="562177871">
      <w:bodyDiv w:val="1"/>
      <w:marLeft w:val="0"/>
      <w:marRight w:val="0"/>
      <w:marTop w:val="0"/>
      <w:marBottom w:val="0"/>
      <w:divBdr>
        <w:top w:val="none" w:sz="0" w:space="0" w:color="auto"/>
        <w:left w:val="none" w:sz="0" w:space="0" w:color="auto"/>
        <w:bottom w:val="none" w:sz="0" w:space="0" w:color="auto"/>
        <w:right w:val="none" w:sz="0" w:space="0" w:color="auto"/>
      </w:divBdr>
    </w:div>
    <w:div w:id="587227453">
      <w:bodyDiv w:val="1"/>
      <w:marLeft w:val="0"/>
      <w:marRight w:val="0"/>
      <w:marTop w:val="0"/>
      <w:marBottom w:val="0"/>
      <w:divBdr>
        <w:top w:val="none" w:sz="0" w:space="0" w:color="auto"/>
        <w:left w:val="none" w:sz="0" w:space="0" w:color="auto"/>
        <w:bottom w:val="none" w:sz="0" w:space="0" w:color="auto"/>
        <w:right w:val="none" w:sz="0" w:space="0" w:color="auto"/>
      </w:divBdr>
    </w:div>
    <w:div w:id="674573765">
      <w:bodyDiv w:val="1"/>
      <w:marLeft w:val="0"/>
      <w:marRight w:val="0"/>
      <w:marTop w:val="0"/>
      <w:marBottom w:val="0"/>
      <w:divBdr>
        <w:top w:val="none" w:sz="0" w:space="0" w:color="auto"/>
        <w:left w:val="none" w:sz="0" w:space="0" w:color="auto"/>
        <w:bottom w:val="none" w:sz="0" w:space="0" w:color="auto"/>
        <w:right w:val="none" w:sz="0" w:space="0" w:color="auto"/>
      </w:divBdr>
    </w:div>
    <w:div w:id="743063822">
      <w:bodyDiv w:val="1"/>
      <w:marLeft w:val="0"/>
      <w:marRight w:val="0"/>
      <w:marTop w:val="0"/>
      <w:marBottom w:val="0"/>
      <w:divBdr>
        <w:top w:val="none" w:sz="0" w:space="0" w:color="auto"/>
        <w:left w:val="none" w:sz="0" w:space="0" w:color="auto"/>
        <w:bottom w:val="none" w:sz="0" w:space="0" w:color="auto"/>
        <w:right w:val="none" w:sz="0" w:space="0" w:color="auto"/>
      </w:divBdr>
    </w:div>
    <w:div w:id="747307301">
      <w:bodyDiv w:val="1"/>
      <w:marLeft w:val="0"/>
      <w:marRight w:val="0"/>
      <w:marTop w:val="0"/>
      <w:marBottom w:val="0"/>
      <w:divBdr>
        <w:top w:val="none" w:sz="0" w:space="0" w:color="auto"/>
        <w:left w:val="none" w:sz="0" w:space="0" w:color="auto"/>
        <w:bottom w:val="none" w:sz="0" w:space="0" w:color="auto"/>
        <w:right w:val="none" w:sz="0" w:space="0" w:color="auto"/>
      </w:divBdr>
    </w:div>
    <w:div w:id="754976185">
      <w:bodyDiv w:val="1"/>
      <w:marLeft w:val="0"/>
      <w:marRight w:val="0"/>
      <w:marTop w:val="0"/>
      <w:marBottom w:val="0"/>
      <w:divBdr>
        <w:top w:val="none" w:sz="0" w:space="0" w:color="auto"/>
        <w:left w:val="none" w:sz="0" w:space="0" w:color="auto"/>
        <w:bottom w:val="none" w:sz="0" w:space="0" w:color="auto"/>
        <w:right w:val="none" w:sz="0" w:space="0" w:color="auto"/>
      </w:divBdr>
    </w:div>
    <w:div w:id="1035539623">
      <w:bodyDiv w:val="1"/>
      <w:marLeft w:val="0"/>
      <w:marRight w:val="0"/>
      <w:marTop w:val="0"/>
      <w:marBottom w:val="0"/>
      <w:divBdr>
        <w:top w:val="none" w:sz="0" w:space="0" w:color="auto"/>
        <w:left w:val="none" w:sz="0" w:space="0" w:color="auto"/>
        <w:bottom w:val="none" w:sz="0" w:space="0" w:color="auto"/>
        <w:right w:val="none" w:sz="0" w:space="0" w:color="auto"/>
      </w:divBdr>
    </w:div>
    <w:div w:id="1050805880">
      <w:bodyDiv w:val="1"/>
      <w:marLeft w:val="0"/>
      <w:marRight w:val="0"/>
      <w:marTop w:val="0"/>
      <w:marBottom w:val="0"/>
      <w:divBdr>
        <w:top w:val="none" w:sz="0" w:space="0" w:color="auto"/>
        <w:left w:val="none" w:sz="0" w:space="0" w:color="auto"/>
        <w:bottom w:val="none" w:sz="0" w:space="0" w:color="auto"/>
        <w:right w:val="none" w:sz="0" w:space="0" w:color="auto"/>
      </w:divBdr>
    </w:div>
    <w:div w:id="1060984488">
      <w:bodyDiv w:val="1"/>
      <w:marLeft w:val="0"/>
      <w:marRight w:val="0"/>
      <w:marTop w:val="0"/>
      <w:marBottom w:val="0"/>
      <w:divBdr>
        <w:top w:val="none" w:sz="0" w:space="0" w:color="auto"/>
        <w:left w:val="none" w:sz="0" w:space="0" w:color="auto"/>
        <w:bottom w:val="none" w:sz="0" w:space="0" w:color="auto"/>
        <w:right w:val="none" w:sz="0" w:space="0" w:color="auto"/>
      </w:divBdr>
    </w:div>
    <w:div w:id="1126436584">
      <w:bodyDiv w:val="1"/>
      <w:marLeft w:val="0"/>
      <w:marRight w:val="0"/>
      <w:marTop w:val="0"/>
      <w:marBottom w:val="0"/>
      <w:divBdr>
        <w:top w:val="none" w:sz="0" w:space="0" w:color="auto"/>
        <w:left w:val="none" w:sz="0" w:space="0" w:color="auto"/>
        <w:bottom w:val="none" w:sz="0" w:space="0" w:color="auto"/>
        <w:right w:val="none" w:sz="0" w:space="0" w:color="auto"/>
      </w:divBdr>
    </w:div>
    <w:div w:id="1191722159">
      <w:bodyDiv w:val="1"/>
      <w:marLeft w:val="0"/>
      <w:marRight w:val="0"/>
      <w:marTop w:val="0"/>
      <w:marBottom w:val="0"/>
      <w:divBdr>
        <w:top w:val="none" w:sz="0" w:space="0" w:color="auto"/>
        <w:left w:val="none" w:sz="0" w:space="0" w:color="auto"/>
        <w:bottom w:val="none" w:sz="0" w:space="0" w:color="auto"/>
        <w:right w:val="none" w:sz="0" w:space="0" w:color="auto"/>
      </w:divBdr>
    </w:div>
    <w:div w:id="1260485651">
      <w:bodyDiv w:val="1"/>
      <w:marLeft w:val="0"/>
      <w:marRight w:val="0"/>
      <w:marTop w:val="0"/>
      <w:marBottom w:val="0"/>
      <w:divBdr>
        <w:top w:val="none" w:sz="0" w:space="0" w:color="auto"/>
        <w:left w:val="none" w:sz="0" w:space="0" w:color="auto"/>
        <w:bottom w:val="none" w:sz="0" w:space="0" w:color="auto"/>
        <w:right w:val="none" w:sz="0" w:space="0" w:color="auto"/>
      </w:divBdr>
    </w:div>
    <w:div w:id="1438136375">
      <w:bodyDiv w:val="1"/>
      <w:marLeft w:val="0"/>
      <w:marRight w:val="0"/>
      <w:marTop w:val="0"/>
      <w:marBottom w:val="0"/>
      <w:divBdr>
        <w:top w:val="none" w:sz="0" w:space="0" w:color="auto"/>
        <w:left w:val="none" w:sz="0" w:space="0" w:color="auto"/>
        <w:bottom w:val="none" w:sz="0" w:space="0" w:color="auto"/>
        <w:right w:val="none" w:sz="0" w:space="0" w:color="auto"/>
      </w:divBdr>
    </w:div>
    <w:div w:id="1469782732">
      <w:bodyDiv w:val="1"/>
      <w:marLeft w:val="0"/>
      <w:marRight w:val="0"/>
      <w:marTop w:val="0"/>
      <w:marBottom w:val="0"/>
      <w:divBdr>
        <w:top w:val="none" w:sz="0" w:space="0" w:color="auto"/>
        <w:left w:val="none" w:sz="0" w:space="0" w:color="auto"/>
        <w:bottom w:val="none" w:sz="0" w:space="0" w:color="auto"/>
        <w:right w:val="none" w:sz="0" w:space="0" w:color="auto"/>
      </w:divBdr>
    </w:div>
    <w:div w:id="1560165416">
      <w:bodyDiv w:val="1"/>
      <w:marLeft w:val="0"/>
      <w:marRight w:val="0"/>
      <w:marTop w:val="0"/>
      <w:marBottom w:val="0"/>
      <w:divBdr>
        <w:top w:val="none" w:sz="0" w:space="0" w:color="auto"/>
        <w:left w:val="none" w:sz="0" w:space="0" w:color="auto"/>
        <w:bottom w:val="none" w:sz="0" w:space="0" w:color="auto"/>
        <w:right w:val="none" w:sz="0" w:space="0" w:color="auto"/>
      </w:divBdr>
    </w:div>
    <w:div w:id="1574464495">
      <w:bodyDiv w:val="1"/>
      <w:marLeft w:val="0"/>
      <w:marRight w:val="0"/>
      <w:marTop w:val="0"/>
      <w:marBottom w:val="0"/>
      <w:divBdr>
        <w:top w:val="none" w:sz="0" w:space="0" w:color="auto"/>
        <w:left w:val="none" w:sz="0" w:space="0" w:color="auto"/>
        <w:bottom w:val="none" w:sz="0" w:space="0" w:color="auto"/>
        <w:right w:val="none" w:sz="0" w:space="0" w:color="auto"/>
      </w:divBdr>
    </w:div>
    <w:div w:id="1584487633">
      <w:bodyDiv w:val="1"/>
      <w:marLeft w:val="0"/>
      <w:marRight w:val="0"/>
      <w:marTop w:val="0"/>
      <w:marBottom w:val="0"/>
      <w:divBdr>
        <w:top w:val="none" w:sz="0" w:space="0" w:color="auto"/>
        <w:left w:val="none" w:sz="0" w:space="0" w:color="auto"/>
        <w:bottom w:val="none" w:sz="0" w:space="0" w:color="auto"/>
        <w:right w:val="none" w:sz="0" w:space="0" w:color="auto"/>
      </w:divBdr>
    </w:div>
    <w:div w:id="1675064732">
      <w:bodyDiv w:val="1"/>
      <w:marLeft w:val="0"/>
      <w:marRight w:val="0"/>
      <w:marTop w:val="0"/>
      <w:marBottom w:val="0"/>
      <w:divBdr>
        <w:top w:val="none" w:sz="0" w:space="0" w:color="auto"/>
        <w:left w:val="none" w:sz="0" w:space="0" w:color="auto"/>
        <w:bottom w:val="none" w:sz="0" w:space="0" w:color="auto"/>
        <w:right w:val="none" w:sz="0" w:space="0" w:color="auto"/>
      </w:divBdr>
    </w:div>
    <w:div w:id="1683781271">
      <w:bodyDiv w:val="1"/>
      <w:marLeft w:val="0"/>
      <w:marRight w:val="0"/>
      <w:marTop w:val="0"/>
      <w:marBottom w:val="0"/>
      <w:divBdr>
        <w:top w:val="none" w:sz="0" w:space="0" w:color="auto"/>
        <w:left w:val="none" w:sz="0" w:space="0" w:color="auto"/>
        <w:bottom w:val="none" w:sz="0" w:space="0" w:color="auto"/>
        <w:right w:val="none" w:sz="0" w:space="0" w:color="auto"/>
      </w:divBdr>
    </w:div>
    <w:div w:id="1684747156">
      <w:bodyDiv w:val="1"/>
      <w:marLeft w:val="0"/>
      <w:marRight w:val="0"/>
      <w:marTop w:val="0"/>
      <w:marBottom w:val="0"/>
      <w:divBdr>
        <w:top w:val="none" w:sz="0" w:space="0" w:color="auto"/>
        <w:left w:val="none" w:sz="0" w:space="0" w:color="auto"/>
        <w:bottom w:val="none" w:sz="0" w:space="0" w:color="auto"/>
        <w:right w:val="none" w:sz="0" w:space="0" w:color="auto"/>
      </w:divBdr>
    </w:div>
    <w:div w:id="1741440271">
      <w:bodyDiv w:val="1"/>
      <w:marLeft w:val="0"/>
      <w:marRight w:val="0"/>
      <w:marTop w:val="0"/>
      <w:marBottom w:val="0"/>
      <w:divBdr>
        <w:top w:val="none" w:sz="0" w:space="0" w:color="auto"/>
        <w:left w:val="none" w:sz="0" w:space="0" w:color="auto"/>
        <w:bottom w:val="none" w:sz="0" w:space="0" w:color="auto"/>
        <w:right w:val="none" w:sz="0" w:space="0" w:color="auto"/>
      </w:divBdr>
    </w:div>
    <w:div w:id="1808164484">
      <w:bodyDiv w:val="1"/>
      <w:marLeft w:val="0"/>
      <w:marRight w:val="0"/>
      <w:marTop w:val="0"/>
      <w:marBottom w:val="0"/>
      <w:divBdr>
        <w:top w:val="none" w:sz="0" w:space="0" w:color="auto"/>
        <w:left w:val="none" w:sz="0" w:space="0" w:color="auto"/>
        <w:bottom w:val="none" w:sz="0" w:space="0" w:color="auto"/>
        <w:right w:val="none" w:sz="0" w:space="0" w:color="auto"/>
      </w:divBdr>
    </w:div>
    <w:div w:id="1850293419">
      <w:bodyDiv w:val="1"/>
      <w:marLeft w:val="0"/>
      <w:marRight w:val="0"/>
      <w:marTop w:val="0"/>
      <w:marBottom w:val="0"/>
      <w:divBdr>
        <w:top w:val="none" w:sz="0" w:space="0" w:color="auto"/>
        <w:left w:val="none" w:sz="0" w:space="0" w:color="auto"/>
        <w:bottom w:val="none" w:sz="0" w:space="0" w:color="auto"/>
        <w:right w:val="none" w:sz="0" w:space="0" w:color="auto"/>
      </w:divBdr>
    </w:div>
    <w:div w:id="1891959225">
      <w:bodyDiv w:val="1"/>
      <w:marLeft w:val="0"/>
      <w:marRight w:val="0"/>
      <w:marTop w:val="0"/>
      <w:marBottom w:val="0"/>
      <w:divBdr>
        <w:top w:val="none" w:sz="0" w:space="0" w:color="auto"/>
        <w:left w:val="none" w:sz="0" w:space="0" w:color="auto"/>
        <w:bottom w:val="none" w:sz="0" w:space="0" w:color="auto"/>
        <w:right w:val="none" w:sz="0" w:space="0" w:color="auto"/>
      </w:divBdr>
    </w:div>
    <w:div w:id="1901672402">
      <w:bodyDiv w:val="1"/>
      <w:marLeft w:val="0"/>
      <w:marRight w:val="0"/>
      <w:marTop w:val="0"/>
      <w:marBottom w:val="0"/>
      <w:divBdr>
        <w:top w:val="none" w:sz="0" w:space="0" w:color="auto"/>
        <w:left w:val="none" w:sz="0" w:space="0" w:color="auto"/>
        <w:bottom w:val="none" w:sz="0" w:space="0" w:color="auto"/>
        <w:right w:val="none" w:sz="0" w:space="0" w:color="auto"/>
      </w:divBdr>
    </w:div>
    <w:div w:id="1907952941">
      <w:bodyDiv w:val="1"/>
      <w:marLeft w:val="0"/>
      <w:marRight w:val="0"/>
      <w:marTop w:val="0"/>
      <w:marBottom w:val="0"/>
      <w:divBdr>
        <w:top w:val="none" w:sz="0" w:space="0" w:color="auto"/>
        <w:left w:val="none" w:sz="0" w:space="0" w:color="auto"/>
        <w:bottom w:val="none" w:sz="0" w:space="0" w:color="auto"/>
        <w:right w:val="none" w:sz="0" w:space="0" w:color="auto"/>
      </w:divBdr>
    </w:div>
    <w:div w:id="1928034360">
      <w:bodyDiv w:val="1"/>
      <w:marLeft w:val="0"/>
      <w:marRight w:val="0"/>
      <w:marTop w:val="0"/>
      <w:marBottom w:val="0"/>
      <w:divBdr>
        <w:top w:val="none" w:sz="0" w:space="0" w:color="auto"/>
        <w:left w:val="none" w:sz="0" w:space="0" w:color="auto"/>
        <w:bottom w:val="none" w:sz="0" w:space="0" w:color="auto"/>
        <w:right w:val="none" w:sz="0" w:space="0" w:color="auto"/>
      </w:divBdr>
    </w:div>
    <w:div w:id="193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wafmask@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8CBE-2A4B-411B-B6E4-2E218E8E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40</Pages>
  <Words>15130</Words>
  <Characters>86242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Nawaf</dc:creator>
  <cp:keywords/>
  <dc:description/>
  <cp:lastModifiedBy>silverab71@gmail.com</cp:lastModifiedBy>
  <cp:revision>25</cp:revision>
  <cp:lastPrinted>2018-01-13T23:52:00Z</cp:lastPrinted>
  <dcterms:created xsi:type="dcterms:W3CDTF">2019-07-03T03:49:00Z</dcterms:created>
  <dcterms:modified xsi:type="dcterms:W3CDTF">2019-07-04T21:35:00Z</dcterms:modified>
</cp:coreProperties>
</file>