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783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bookmarkStart w:id="0" w:name="_Toc443491016"/>
      <w:bookmarkStart w:id="1" w:name="_GoBack"/>
      <w:bookmarkEnd w:id="1"/>
    </w:p>
    <w:p w14:paraId="6F2E90D2"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475A5B" w14:textId="77777777" w:rsidR="006D1685" w:rsidRPr="00B24172" w:rsidRDefault="006D1685" w:rsidP="00BF2AB8">
      <w:pPr>
        <w:pStyle w:val="PlainText"/>
        <w:tabs>
          <w:tab w:val="left" w:pos="284"/>
          <w:tab w:val="left" w:pos="426"/>
        </w:tabs>
        <w:spacing w:line="288" w:lineRule="auto"/>
        <w:jc w:val="center"/>
        <w:rPr>
          <w:rFonts w:asciiTheme="majorBidi" w:hAnsiTheme="majorBidi" w:cstheme="majorBidi"/>
          <w:b/>
          <w:sz w:val="28"/>
        </w:rPr>
      </w:pPr>
    </w:p>
    <w:p w14:paraId="2D1B7982" w14:textId="0B6997A3"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r w:rsidRPr="00B24172">
        <w:rPr>
          <w:rFonts w:asciiTheme="majorBidi" w:hAnsiTheme="majorBidi" w:cstheme="majorBidi"/>
          <w:b/>
          <w:sz w:val="28"/>
        </w:rPr>
        <w:t>UNIVERSITY OF WAIKATO</w:t>
      </w:r>
    </w:p>
    <w:p w14:paraId="12113457"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14"/>
          <w:szCs w:val="14"/>
        </w:rPr>
      </w:pPr>
    </w:p>
    <w:p w14:paraId="3911A55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ity">
        <w:smartTag w:uri="urn:schemas-microsoft-com:office:smarttags" w:element="place">
          <w:r w:rsidRPr="00B24172">
            <w:rPr>
              <w:rFonts w:asciiTheme="majorBidi" w:hAnsiTheme="majorBidi" w:cstheme="majorBidi"/>
              <w:b/>
              <w:sz w:val="28"/>
            </w:rPr>
            <w:t>Hamilton</w:t>
          </w:r>
        </w:smartTag>
      </w:smartTag>
    </w:p>
    <w:p w14:paraId="75014CED"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smartTag w:uri="urn:schemas-microsoft-com:office:smarttags" w:element="country-region">
        <w:smartTag w:uri="urn:schemas-microsoft-com:office:smarttags" w:element="place">
          <w:r w:rsidRPr="00B24172">
            <w:rPr>
              <w:rFonts w:asciiTheme="majorBidi" w:hAnsiTheme="majorBidi" w:cstheme="majorBidi"/>
              <w:b/>
              <w:sz w:val="28"/>
            </w:rPr>
            <w:t>New Zealand</w:t>
          </w:r>
        </w:smartTag>
      </w:smartTag>
    </w:p>
    <w:p w14:paraId="4DF11B21"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sz w:val="28"/>
        </w:rPr>
      </w:pPr>
    </w:p>
    <w:p w14:paraId="35AAA4B8"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4"/>
          <w:szCs w:val="24"/>
        </w:rPr>
      </w:pPr>
    </w:p>
    <w:p w14:paraId="11DB73B5" w14:textId="77777777" w:rsidR="005D584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sidRPr="00B24172">
        <w:rPr>
          <w:rFonts w:asciiTheme="majorBidi" w:hAnsiTheme="majorBidi" w:cstheme="majorBidi"/>
          <w:b/>
          <w:sz w:val="28"/>
          <w:szCs w:val="28"/>
        </w:rPr>
        <w:t>Interventions t</w:t>
      </w:r>
      <w:r w:rsidR="00C66B12" w:rsidRPr="00B24172">
        <w:rPr>
          <w:rFonts w:asciiTheme="majorBidi" w:hAnsiTheme="majorBidi" w:cstheme="majorBidi"/>
          <w:b/>
          <w:sz w:val="28"/>
          <w:szCs w:val="28"/>
        </w:rPr>
        <w:t xml:space="preserve">o </w:t>
      </w:r>
      <w:r w:rsidR="005D5840" w:rsidRPr="00B24172">
        <w:rPr>
          <w:rFonts w:asciiTheme="majorBidi" w:hAnsiTheme="majorBidi" w:cstheme="majorBidi"/>
          <w:b/>
          <w:sz w:val="28"/>
          <w:szCs w:val="28"/>
        </w:rPr>
        <w:t>M</w:t>
      </w:r>
      <w:r w:rsidR="00C66B12" w:rsidRPr="00B24172">
        <w:rPr>
          <w:rFonts w:asciiTheme="majorBidi" w:hAnsiTheme="majorBidi" w:cstheme="majorBidi"/>
          <w:b/>
          <w:sz w:val="28"/>
          <w:szCs w:val="28"/>
        </w:rPr>
        <w:t xml:space="preserve">itigate </w:t>
      </w:r>
      <w:r w:rsidR="005D5840" w:rsidRPr="00B24172">
        <w:rPr>
          <w:rFonts w:asciiTheme="majorBidi" w:hAnsiTheme="majorBidi" w:cstheme="majorBidi"/>
          <w:b/>
          <w:sz w:val="28"/>
          <w:szCs w:val="28"/>
        </w:rPr>
        <w:t>I</w:t>
      </w:r>
      <w:r w:rsidR="00C66B12" w:rsidRPr="00B24172">
        <w:rPr>
          <w:rFonts w:asciiTheme="majorBidi" w:hAnsiTheme="majorBidi" w:cstheme="majorBidi"/>
          <w:b/>
          <w:sz w:val="28"/>
          <w:szCs w:val="28"/>
        </w:rPr>
        <w:t xml:space="preserve">ndoor </w:t>
      </w:r>
      <w:r w:rsidR="005D5840" w:rsidRPr="00B24172">
        <w:rPr>
          <w:rFonts w:asciiTheme="majorBidi" w:hAnsiTheme="majorBidi" w:cstheme="majorBidi"/>
          <w:b/>
          <w:sz w:val="28"/>
          <w:szCs w:val="28"/>
        </w:rPr>
        <w:t>A</w:t>
      </w:r>
      <w:r w:rsidR="00C66B12" w:rsidRPr="00B24172">
        <w:rPr>
          <w:rFonts w:asciiTheme="majorBidi" w:hAnsiTheme="majorBidi" w:cstheme="majorBidi"/>
          <w:b/>
          <w:sz w:val="28"/>
          <w:szCs w:val="28"/>
        </w:rPr>
        <w:t xml:space="preserve">ir </w:t>
      </w:r>
      <w:r w:rsidR="005D5840" w:rsidRPr="00B24172">
        <w:rPr>
          <w:rFonts w:asciiTheme="majorBidi" w:hAnsiTheme="majorBidi" w:cstheme="majorBidi"/>
          <w:b/>
          <w:sz w:val="28"/>
          <w:szCs w:val="28"/>
        </w:rPr>
        <w:t>P</w:t>
      </w:r>
      <w:r w:rsidR="00C66B12" w:rsidRPr="00B24172">
        <w:rPr>
          <w:rFonts w:asciiTheme="majorBidi" w:hAnsiTheme="majorBidi" w:cstheme="majorBidi"/>
          <w:b/>
          <w:sz w:val="28"/>
          <w:szCs w:val="28"/>
        </w:rPr>
        <w:t>ollution:</w:t>
      </w:r>
      <w:r w:rsidRPr="00B24172">
        <w:rPr>
          <w:rFonts w:asciiTheme="majorBidi" w:hAnsiTheme="majorBidi" w:cstheme="majorBidi"/>
          <w:b/>
          <w:sz w:val="28"/>
          <w:szCs w:val="28"/>
        </w:rPr>
        <w:t xml:space="preserve"> </w:t>
      </w:r>
    </w:p>
    <w:p w14:paraId="6E7DF79D" w14:textId="5D8430EC" w:rsidR="00F766D0" w:rsidRPr="00B24172" w:rsidRDefault="005D5840" w:rsidP="00D54EFC">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r w:rsidRPr="00B24172">
        <w:rPr>
          <w:rFonts w:asciiTheme="majorBidi" w:hAnsiTheme="majorBidi" w:cstheme="majorBidi"/>
          <w:b/>
          <w:sz w:val="28"/>
          <w:szCs w:val="28"/>
        </w:rPr>
        <w:t>A</w:t>
      </w:r>
      <w:r w:rsidR="00F766D0" w:rsidRPr="00B24172">
        <w:rPr>
          <w:rFonts w:asciiTheme="majorBidi" w:hAnsiTheme="majorBidi" w:cstheme="majorBidi"/>
          <w:b/>
          <w:sz w:val="28"/>
          <w:szCs w:val="28"/>
        </w:rPr>
        <w:t xml:space="preserve"> </w:t>
      </w:r>
      <w:r w:rsidR="00376CC8" w:rsidRPr="00B24172">
        <w:rPr>
          <w:rFonts w:asciiTheme="majorBidi" w:hAnsiTheme="majorBidi" w:cstheme="majorBidi"/>
          <w:b/>
          <w:sz w:val="28"/>
          <w:szCs w:val="28"/>
        </w:rPr>
        <w:t>Cost</w:t>
      </w:r>
      <w:r w:rsidR="00D54EFC" w:rsidRPr="00B24172">
        <w:rPr>
          <w:rFonts w:asciiTheme="majorBidi" w:hAnsiTheme="majorBidi" w:cstheme="majorBidi"/>
          <w:b/>
          <w:sz w:val="28"/>
          <w:szCs w:val="28"/>
        </w:rPr>
        <w:t>-Benefit</w:t>
      </w:r>
      <w:r w:rsidR="00F766D0" w:rsidRPr="00B24172">
        <w:rPr>
          <w:rFonts w:asciiTheme="majorBidi" w:hAnsiTheme="majorBidi" w:cstheme="majorBidi"/>
          <w:b/>
          <w:sz w:val="28"/>
          <w:szCs w:val="28"/>
        </w:rPr>
        <w:t xml:space="preserve"> </w:t>
      </w:r>
      <w:r w:rsidRPr="00B24172">
        <w:rPr>
          <w:rFonts w:asciiTheme="majorBidi" w:hAnsiTheme="majorBidi" w:cstheme="majorBidi"/>
          <w:b/>
          <w:sz w:val="28"/>
          <w:szCs w:val="28"/>
        </w:rPr>
        <w:t>A</w:t>
      </w:r>
      <w:r w:rsidR="00F766D0" w:rsidRPr="00B24172">
        <w:rPr>
          <w:rFonts w:asciiTheme="majorBidi" w:hAnsiTheme="majorBidi" w:cstheme="majorBidi"/>
          <w:b/>
          <w:sz w:val="28"/>
          <w:szCs w:val="28"/>
        </w:rPr>
        <w:t>nalysis</w:t>
      </w:r>
    </w:p>
    <w:p w14:paraId="71913AE4"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
          <w:sz w:val="28"/>
          <w:szCs w:val="28"/>
        </w:rPr>
      </w:pPr>
    </w:p>
    <w:p w14:paraId="2459EE6E" w14:textId="3D40DFF9"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sz w:val="28"/>
          <w:szCs w:val="28"/>
        </w:rPr>
      </w:pPr>
      <w:r w:rsidRPr="00B24172">
        <w:rPr>
          <w:rFonts w:asciiTheme="majorBidi" w:hAnsiTheme="majorBidi" w:cstheme="majorBidi"/>
          <w:bCs/>
          <w:sz w:val="28"/>
          <w:szCs w:val="28"/>
        </w:rPr>
        <w:t xml:space="preserve">Muhammad Irfan, </w:t>
      </w:r>
      <w:r w:rsidR="00365EAE" w:rsidRPr="00B24172">
        <w:rPr>
          <w:rFonts w:asciiTheme="majorBidi" w:hAnsiTheme="majorBidi" w:cstheme="majorBidi"/>
          <w:bCs/>
          <w:sz w:val="28"/>
          <w:szCs w:val="28"/>
        </w:rPr>
        <w:t xml:space="preserve"> </w:t>
      </w:r>
      <w:r w:rsidRPr="00B24172">
        <w:rPr>
          <w:rFonts w:asciiTheme="majorBidi" w:hAnsiTheme="majorBidi" w:cstheme="majorBidi"/>
          <w:bCs/>
          <w:sz w:val="28"/>
          <w:szCs w:val="28"/>
        </w:rPr>
        <w:t xml:space="preserve">Michael P. Cameron </w:t>
      </w:r>
      <w:r w:rsidR="00365EAE" w:rsidRPr="00B24172">
        <w:rPr>
          <w:rFonts w:asciiTheme="majorBidi" w:hAnsiTheme="majorBidi" w:cstheme="majorBidi"/>
          <w:bCs/>
          <w:sz w:val="28"/>
          <w:szCs w:val="28"/>
        </w:rPr>
        <w:t xml:space="preserve"> </w:t>
      </w:r>
      <w:r w:rsidRPr="00B24172">
        <w:rPr>
          <w:rFonts w:asciiTheme="majorBidi" w:hAnsiTheme="majorBidi" w:cstheme="majorBidi"/>
          <w:bCs/>
          <w:sz w:val="28"/>
          <w:szCs w:val="28"/>
        </w:rPr>
        <w:t xml:space="preserve">and </w:t>
      </w:r>
      <w:r w:rsidR="00365EAE" w:rsidRPr="00B24172">
        <w:rPr>
          <w:rFonts w:asciiTheme="majorBidi" w:hAnsiTheme="majorBidi" w:cstheme="majorBidi"/>
          <w:bCs/>
          <w:sz w:val="28"/>
          <w:szCs w:val="28"/>
        </w:rPr>
        <w:t xml:space="preserve"> </w:t>
      </w:r>
      <w:r w:rsidRPr="00B24172">
        <w:rPr>
          <w:rFonts w:asciiTheme="majorBidi" w:hAnsiTheme="majorBidi" w:cstheme="majorBidi"/>
          <w:bCs/>
          <w:sz w:val="28"/>
          <w:szCs w:val="28"/>
        </w:rPr>
        <w:t>Gazi Hassan</w:t>
      </w:r>
    </w:p>
    <w:p w14:paraId="291CC4C2" w14:textId="77777777" w:rsidR="00F766D0" w:rsidRPr="00B24172" w:rsidRDefault="00F766D0" w:rsidP="00BF2AB8">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288" w:lineRule="auto"/>
        <w:jc w:val="center"/>
        <w:rPr>
          <w:rFonts w:asciiTheme="majorBidi" w:hAnsiTheme="majorBidi" w:cstheme="majorBidi"/>
          <w:bCs/>
          <w:i/>
          <w:iCs/>
          <w:sz w:val="24"/>
          <w:szCs w:val="24"/>
        </w:rPr>
      </w:pPr>
    </w:p>
    <w:p w14:paraId="4FB5154D" w14:textId="77777777" w:rsidR="00F766D0" w:rsidRPr="00B24172" w:rsidRDefault="00F766D0" w:rsidP="00BF2AB8">
      <w:pPr>
        <w:pStyle w:val="PlainText"/>
        <w:tabs>
          <w:tab w:val="left" w:pos="284"/>
          <w:tab w:val="left" w:pos="426"/>
        </w:tabs>
        <w:spacing w:line="288" w:lineRule="auto"/>
        <w:jc w:val="both"/>
        <w:rPr>
          <w:rFonts w:asciiTheme="majorBidi" w:hAnsiTheme="majorBidi" w:cstheme="majorBidi"/>
          <w:b/>
        </w:rPr>
      </w:pPr>
    </w:p>
    <w:p w14:paraId="70FF081B"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6FE71786"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0F7E5C55" w14:textId="0D915B63"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r w:rsidRPr="00B24172">
        <w:rPr>
          <w:rFonts w:asciiTheme="majorBidi" w:hAnsiTheme="majorBidi" w:cstheme="majorBidi"/>
          <w:b/>
          <w:bCs/>
          <w:sz w:val="28"/>
        </w:rPr>
        <w:t xml:space="preserve">Working Paper in Economics </w:t>
      </w:r>
      <w:r w:rsidR="00AA24EE" w:rsidRPr="00B24172">
        <w:rPr>
          <w:rFonts w:asciiTheme="majorBidi" w:hAnsiTheme="majorBidi" w:cstheme="majorBidi"/>
          <w:b/>
          <w:bCs/>
          <w:sz w:val="28"/>
        </w:rPr>
        <w:t>14</w:t>
      </w:r>
      <w:r w:rsidRPr="00B24172">
        <w:rPr>
          <w:rFonts w:asciiTheme="majorBidi" w:hAnsiTheme="majorBidi" w:cstheme="majorBidi"/>
          <w:b/>
          <w:bCs/>
          <w:sz w:val="28"/>
        </w:rPr>
        <w:t>/18</w:t>
      </w:r>
    </w:p>
    <w:p w14:paraId="7DA8DB9A"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b/>
          <w:bCs/>
          <w:sz w:val="28"/>
        </w:rPr>
      </w:pPr>
    </w:p>
    <w:p w14:paraId="51FDA206" w14:textId="3B3BE742" w:rsidR="00F766D0" w:rsidRPr="00B24172" w:rsidRDefault="009C1A3D" w:rsidP="009C1A3D">
      <w:pPr>
        <w:pStyle w:val="PlainText"/>
        <w:tabs>
          <w:tab w:val="left" w:pos="284"/>
          <w:tab w:val="left" w:pos="426"/>
        </w:tabs>
        <w:spacing w:line="288" w:lineRule="auto"/>
        <w:jc w:val="center"/>
        <w:rPr>
          <w:rFonts w:asciiTheme="majorBidi" w:hAnsiTheme="majorBidi" w:cstheme="majorBidi"/>
          <w:sz w:val="28"/>
        </w:rPr>
      </w:pPr>
      <w:r>
        <w:rPr>
          <w:rFonts w:asciiTheme="majorBidi" w:hAnsiTheme="majorBidi" w:cstheme="majorBidi"/>
          <w:sz w:val="28"/>
        </w:rPr>
        <w:t>Revised January 2021</w:t>
      </w:r>
    </w:p>
    <w:p w14:paraId="0A3D9C6C" w14:textId="77777777" w:rsidR="00F766D0" w:rsidRPr="00B24172" w:rsidRDefault="00F766D0" w:rsidP="00BF2AB8">
      <w:pPr>
        <w:pStyle w:val="PlainText"/>
        <w:tabs>
          <w:tab w:val="left" w:pos="284"/>
          <w:tab w:val="left" w:pos="426"/>
        </w:tabs>
        <w:spacing w:line="288" w:lineRule="auto"/>
        <w:jc w:val="center"/>
        <w:rPr>
          <w:rFonts w:asciiTheme="majorBidi" w:hAnsiTheme="majorBidi" w:cstheme="majorBidi"/>
          <w:sz w:val="28"/>
        </w:rPr>
      </w:pPr>
    </w:p>
    <w:p w14:paraId="2BEFDA72" w14:textId="77777777" w:rsidR="0011564B" w:rsidRPr="00B24172" w:rsidRDefault="0011564B" w:rsidP="00B16018">
      <w:pPr>
        <w:pStyle w:val="PlainText"/>
        <w:tabs>
          <w:tab w:val="left" w:pos="284"/>
          <w:tab w:val="left" w:pos="567"/>
        </w:tabs>
        <w:jc w:val="center"/>
        <w:rPr>
          <w:rFonts w:asciiTheme="majorBidi" w:hAnsiTheme="majorBidi" w:cstheme="majorBidi"/>
          <w:b/>
          <w:bCs/>
          <w:sz w:val="24"/>
          <w:szCs w:val="21"/>
        </w:rPr>
      </w:pPr>
    </w:p>
    <w:p w14:paraId="415E2C43" w14:textId="456417BF" w:rsidR="00F766D0" w:rsidRPr="00B24172" w:rsidRDefault="00F766D0" w:rsidP="00B16018">
      <w:pPr>
        <w:pStyle w:val="PlainText"/>
        <w:tabs>
          <w:tab w:val="left" w:pos="284"/>
          <w:tab w:val="left" w:pos="567"/>
        </w:tabs>
        <w:jc w:val="center"/>
        <w:rPr>
          <w:rFonts w:asciiTheme="majorBidi" w:hAnsiTheme="majorBidi" w:cstheme="majorBidi"/>
          <w:b/>
          <w:bCs/>
          <w:sz w:val="24"/>
          <w:szCs w:val="21"/>
        </w:rPr>
      </w:pPr>
      <w:r w:rsidRPr="00B24172">
        <w:rPr>
          <w:rFonts w:asciiTheme="majorBidi" w:hAnsiTheme="majorBidi" w:cstheme="majorBidi"/>
          <w:b/>
          <w:bCs/>
          <w:sz w:val="24"/>
          <w:szCs w:val="21"/>
        </w:rPr>
        <w:t>Muhammad Irfan</w:t>
      </w:r>
    </w:p>
    <w:p w14:paraId="54D4DB75" w14:textId="77777777" w:rsidR="00F766D0" w:rsidRPr="009C1A3D" w:rsidRDefault="00F766D0" w:rsidP="00B16018">
      <w:pPr>
        <w:tabs>
          <w:tab w:val="left" w:pos="567"/>
        </w:tabs>
        <w:autoSpaceDE w:val="0"/>
        <w:autoSpaceDN w:val="0"/>
        <w:adjustRightInd w:val="0"/>
        <w:jc w:val="center"/>
        <w:rPr>
          <w:rFonts w:asciiTheme="majorBidi" w:hAnsiTheme="majorBidi" w:cstheme="majorBidi"/>
          <w:lang w:val="es-ES"/>
        </w:rPr>
      </w:pPr>
      <w:r w:rsidRPr="009C1A3D">
        <w:rPr>
          <w:rFonts w:asciiTheme="majorBidi" w:hAnsiTheme="majorBidi" w:cstheme="majorBidi"/>
          <w:lang w:val="es-ES"/>
        </w:rPr>
        <w:t>irfaneconomist786@gmail.com</w:t>
      </w:r>
    </w:p>
    <w:p w14:paraId="04F3FE89" w14:textId="77777777" w:rsidR="00F766D0" w:rsidRPr="009C1A3D" w:rsidRDefault="00F766D0" w:rsidP="00B16018">
      <w:pPr>
        <w:pStyle w:val="PlainText"/>
        <w:tabs>
          <w:tab w:val="left" w:pos="284"/>
          <w:tab w:val="left" w:pos="567"/>
        </w:tabs>
        <w:jc w:val="center"/>
        <w:rPr>
          <w:rFonts w:asciiTheme="majorBidi" w:hAnsiTheme="majorBidi" w:cstheme="majorBidi"/>
          <w:b/>
          <w:bCs/>
          <w:sz w:val="24"/>
          <w:szCs w:val="24"/>
          <w:lang w:val="es-ES"/>
        </w:rPr>
      </w:pPr>
    </w:p>
    <w:p w14:paraId="1F7877E2" w14:textId="77777777" w:rsidR="00F766D0" w:rsidRPr="009C1A3D" w:rsidRDefault="00F766D0" w:rsidP="00B16018">
      <w:pPr>
        <w:pStyle w:val="PlainText"/>
        <w:tabs>
          <w:tab w:val="left" w:pos="284"/>
          <w:tab w:val="left" w:pos="567"/>
        </w:tabs>
        <w:jc w:val="center"/>
        <w:rPr>
          <w:rFonts w:asciiTheme="majorBidi" w:hAnsiTheme="majorBidi" w:cstheme="majorBidi"/>
          <w:b/>
          <w:bCs/>
          <w:sz w:val="24"/>
          <w:szCs w:val="24"/>
          <w:lang w:val="es-ES"/>
        </w:rPr>
      </w:pPr>
      <w:r w:rsidRPr="009C1A3D">
        <w:rPr>
          <w:rFonts w:asciiTheme="majorBidi" w:hAnsiTheme="majorBidi" w:cstheme="majorBidi"/>
          <w:b/>
          <w:bCs/>
          <w:sz w:val="24"/>
          <w:szCs w:val="24"/>
          <w:lang w:val="es-ES"/>
        </w:rPr>
        <w:t>Michael P. Cameron</w:t>
      </w:r>
    </w:p>
    <w:p w14:paraId="6B9BCFB9" w14:textId="77777777" w:rsidR="00F766D0" w:rsidRPr="009C1A3D" w:rsidRDefault="00F766D0" w:rsidP="00B16018">
      <w:pPr>
        <w:tabs>
          <w:tab w:val="left" w:pos="567"/>
        </w:tabs>
        <w:autoSpaceDE w:val="0"/>
        <w:autoSpaceDN w:val="0"/>
        <w:adjustRightInd w:val="0"/>
        <w:jc w:val="center"/>
        <w:rPr>
          <w:rFonts w:asciiTheme="majorBidi" w:hAnsiTheme="majorBidi" w:cstheme="majorBidi"/>
          <w:shd w:val="clear" w:color="auto" w:fill="FFFFFF"/>
          <w:lang w:val="es-ES"/>
        </w:rPr>
      </w:pPr>
      <w:r w:rsidRPr="009C1A3D">
        <w:rPr>
          <w:rFonts w:asciiTheme="majorBidi" w:hAnsiTheme="majorBidi" w:cstheme="majorBidi"/>
          <w:shd w:val="clear" w:color="auto" w:fill="FFFFFF"/>
          <w:lang w:val="es-ES"/>
        </w:rPr>
        <w:t>mcam@waikato.ac.nz</w:t>
      </w:r>
    </w:p>
    <w:p w14:paraId="537CD601" w14:textId="77777777" w:rsidR="00F766D0" w:rsidRPr="009C1A3D" w:rsidRDefault="00F766D0" w:rsidP="00B16018">
      <w:pPr>
        <w:pStyle w:val="PlainText"/>
        <w:tabs>
          <w:tab w:val="left" w:pos="284"/>
          <w:tab w:val="left" w:pos="567"/>
        </w:tabs>
        <w:jc w:val="center"/>
        <w:rPr>
          <w:rFonts w:asciiTheme="majorBidi" w:hAnsiTheme="majorBidi" w:cstheme="majorBidi"/>
          <w:b/>
          <w:bCs/>
          <w:sz w:val="24"/>
          <w:szCs w:val="24"/>
          <w:lang w:val="es-ES"/>
        </w:rPr>
      </w:pPr>
    </w:p>
    <w:p w14:paraId="772AD07B" w14:textId="77777777" w:rsidR="00F766D0" w:rsidRPr="009C1A3D" w:rsidRDefault="00F766D0" w:rsidP="00B16018">
      <w:pPr>
        <w:pStyle w:val="PlainText"/>
        <w:tabs>
          <w:tab w:val="left" w:pos="284"/>
          <w:tab w:val="left" w:pos="567"/>
        </w:tabs>
        <w:jc w:val="center"/>
        <w:rPr>
          <w:rFonts w:asciiTheme="majorBidi" w:hAnsiTheme="majorBidi" w:cstheme="majorBidi"/>
          <w:b/>
          <w:bCs/>
          <w:sz w:val="24"/>
          <w:szCs w:val="24"/>
          <w:lang w:val="es-ES"/>
        </w:rPr>
      </w:pPr>
      <w:r w:rsidRPr="009C1A3D">
        <w:rPr>
          <w:rFonts w:asciiTheme="majorBidi" w:hAnsiTheme="majorBidi" w:cstheme="majorBidi"/>
          <w:b/>
          <w:bCs/>
          <w:sz w:val="24"/>
          <w:szCs w:val="24"/>
          <w:lang w:val="es-ES"/>
        </w:rPr>
        <w:t>Gazi Hassan</w:t>
      </w:r>
    </w:p>
    <w:p w14:paraId="408D0302" w14:textId="77777777" w:rsidR="00F766D0" w:rsidRPr="009C1A3D" w:rsidRDefault="00F766D0" w:rsidP="00B16018">
      <w:pPr>
        <w:tabs>
          <w:tab w:val="left" w:pos="567"/>
        </w:tabs>
        <w:autoSpaceDE w:val="0"/>
        <w:autoSpaceDN w:val="0"/>
        <w:adjustRightInd w:val="0"/>
        <w:jc w:val="center"/>
        <w:rPr>
          <w:rFonts w:asciiTheme="majorBidi" w:hAnsiTheme="majorBidi" w:cstheme="majorBidi"/>
          <w:lang w:val="es-ES"/>
        </w:rPr>
      </w:pPr>
      <w:r w:rsidRPr="009C1A3D">
        <w:rPr>
          <w:rFonts w:asciiTheme="majorBidi" w:hAnsiTheme="majorBidi" w:cstheme="majorBidi"/>
          <w:lang w:val="es-ES"/>
        </w:rPr>
        <w:t xml:space="preserve">gazi.hassan@waikato.ac.nz </w:t>
      </w:r>
    </w:p>
    <w:p w14:paraId="7CB9352C" w14:textId="71B2CA3F" w:rsidR="00F766D0" w:rsidRPr="009C1A3D" w:rsidRDefault="00F766D0" w:rsidP="00BF2AB8">
      <w:pPr>
        <w:pStyle w:val="PlainText"/>
        <w:tabs>
          <w:tab w:val="left" w:pos="284"/>
          <w:tab w:val="left" w:pos="567"/>
        </w:tabs>
        <w:jc w:val="center"/>
        <w:rPr>
          <w:rFonts w:asciiTheme="majorBidi" w:hAnsiTheme="majorBidi" w:cstheme="majorBidi"/>
          <w:b/>
          <w:bCs/>
          <w:sz w:val="24"/>
          <w:szCs w:val="24"/>
          <w:lang w:val="es-ES"/>
        </w:rPr>
      </w:pPr>
    </w:p>
    <w:p w14:paraId="7305C60C" w14:textId="77777777" w:rsidR="00B16018" w:rsidRPr="009C1A3D" w:rsidRDefault="00B16018" w:rsidP="00BF2AB8">
      <w:pPr>
        <w:pStyle w:val="PlainText"/>
        <w:tabs>
          <w:tab w:val="left" w:pos="284"/>
          <w:tab w:val="left" w:pos="567"/>
        </w:tabs>
        <w:jc w:val="center"/>
        <w:rPr>
          <w:rFonts w:asciiTheme="majorBidi" w:hAnsiTheme="majorBidi" w:cstheme="majorBidi"/>
          <w:b/>
          <w:bCs/>
          <w:sz w:val="24"/>
          <w:szCs w:val="24"/>
          <w:lang w:val="es-ES"/>
        </w:rPr>
      </w:pPr>
    </w:p>
    <w:p w14:paraId="6839C3D4" w14:textId="3CDA12EF" w:rsidR="00F766D0" w:rsidRPr="00B24172" w:rsidRDefault="00C66B12" w:rsidP="00BF2AB8">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 xml:space="preserve">School of Accounting, Finance and </w:t>
      </w:r>
      <w:r w:rsidR="00F766D0" w:rsidRPr="00B24172">
        <w:rPr>
          <w:rFonts w:asciiTheme="majorBidi" w:hAnsiTheme="majorBidi" w:cstheme="majorBidi"/>
          <w:sz w:val="24"/>
          <w:szCs w:val="24"/>
        </w:rPr>
        <w:t xml:space="preserve">Economics </w:t>
      </w:r>
    </w:p>
    <w:p w14:paraId="0B1A9D1F" w14:textId="77777777" w:rsidR="00F766D0" w:rsidRPr="00B24172" w:rsidRDefault="00F766D0" w:rsidP="00BF2AB8">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 xml:space="preserve">University of Waikato </w:t>
      </w:r>
    </w:p>
    <w:p w14:paraId="170A6077" w14:textId="77777777" w:rsidR="00F766D0" w:rsidRPr="00B24172" w:rsidRDefault="00F766D0" w:rsidP="00BF2AB8">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Private Bag 3105</w:t>
      </w:r>
    </w:p>
    <w:p w14:paraId="04238389" w14:textId="77777777" w:rsidR="00F766D0" w:rsidRPr="00B24172" w:rsidRDefault="00F766D0" w:rsidP="00BF2AB8">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Hamilton 3240</w:t>
      </w:r>
    </w:p>
    <w:p w14:paraId="6179CB20" w14:textId="727D7B3D" w:rsidR="00F766D0" w:rsidRPr="00B24172" w:rsidRDefault="00047837" w:rsidP="00BF2AB8">
      <w:pPr>
        <w:pStyle w:val="PlainText"/>
        <w:tabs>
          <w:tab w:val="left" w:pos="284"/>
          <w:tab w:val="left" w:pos="567"/>
        </w:tabs>
        <w:jc w:val="center"/>
        <w:rPr>
          <w:rFonts w:asciiTheme="majorBidi" w:hAnsiTheme="majorBidi" w:cstheme="majorBidi"/>
          <w:sz w:val="24"/>
          <w:szCs w:val="24"/>
        </w:rPr>
      </w:pPr>
      <w:r w:rsidRPr="00B24172">
        <w:rPr>
          <w:rFonts w:asciiTheme="majorBidi" w:hAnsiTheme="majorBidi" w:cstheme="majorBidi"/>
          <w:sz w:val="24"/>
          <w:szCs w:val="24"/>
        </w:rPr>
        <w:t>NEW ZEALAND</w:t>
      </w:r>
    </w:p>
    <w:p w14:paraId="6CC1ADD4" w14:textId="77777777" w:rsidR="00F766D0" w:rsidRPr="00B24172" w:rsidRDefault="00F766D0" w:rsidP="00BF2AB8">
      <w:pPr>
        <w:pStyle w:val="NormalWeb"/>
        <w:spacing w:before="0" w:beforeAutospacing="0" w:after="0" w:afterAutospacing="0" w:line="288" w:lineRule="auto"/>
        <w:jc w:val="center"/>
        <w:rPr>
          <w:bCs/>
          <w:sz w:val="28"/>
          <w:szCs w:val="28"/>
        </w:rPr>
      </w:pPr>
    </w:p>
    <w:p w14:paraId="75D6B5DB" w14:textId="77777777" w:rsidR="00F766D0" w:rsidRPr="00B24172" w:rsidRDefault="00F766D0" w:rsidP="00BF2AB8">
      <w:pPr>
        <w:pStyle w:val="NormalWeb"/>
        <w:spacing w:before="0" w:beforeAutospacing="0" w:after="0" w:afterAutospacing="0" w:line="288" w:lineRule="auto"/>
        <w:jc w:val="center"/>
        <w:rPr>
          <w:bCs/>
          <w:sz w:val="28"/>
          <w:szCs w:val="28"/>
        </w:rPr>
      </w:pPr>
    </w:p>
    <w:p w14:paraId="59C76F12" w14:textId="77777777" w:rsidR="003452AB" w:rsidRPr="00B24172" w:rsidRDefault="003452AB" w:rsidP="00BF2AB8">
      <w:pPr>
        <w:spacing w:line="288" w:lineRule="auto"/>
      </w:pPr>
    </w:p>
    <w:p w14:paraId="0A676BD5" w14:textId="3739B2ED" w:rsidR="00F766D0" w:rsidRPr="00B24172" w:rsidRDefault="00F766D0" w:rsidP="00BF2AB8">
      <w:pPr>
        <w:spacing w:line="288" w:lineRule="auto"/>
        <w:jc w:val="center"/>
        <w:rPr>
          <w:b/>
          <w:bCs/>
        </w:rPr>
      </w:pPr>
    </w:p>
    <w:p w14:paraId="3B91F07C" w14:textId="77777777" w:rsidR="00F766D0" w:rsidRPr="00B24172" w:rsidRDefault="00F766D0" w:rsidP="00BF2AB8">
      <w:pPr>
        <w:spacing w:line="288" w:lineRule="auto"/>
        <w:jc w:val="center"/>
        <w:rPr>
          <w:b/>
          <w:bCs/>
        </w:rPr>
      </w:pPr>
    </w:p>
    <w:p w14:paraId="44094B8F" w14:textId="77777777" w:rsidR="00ED7A65" w:rsidRPr="00B24172" w:rsidRDefault="00ED7A65" w:rsidP="00BF2AB8">
      <w:pPr>
        <w:spacing w:line="288" w:lineRule="auto"/>
        <w:jc w:val="center"/>
        <w:rPr>
          <w:b/>
          <w:bCs/>
        </w:rPr>
      </w:pPr>
    </w:p>
    <w:p w14:paraId="6F8F2BE6" w14:textId="77777777" w:rsidR="00B16018" w:rsidRPr="00B24172" w:rsidRDefault="00B16018" w:rsidP="00BF2AB8">
      <w:pPr>
        <w:spacing w:line="288" w:lineRule="auto"/>
        <w:jc w:val="center"/>
        <w:rPr>
          <w:b/>
          <w:bCs/>
        </w:rPr>
      </w:pPr>
    </w:p>
    <w:p w14:paraId="66A43D5C" w14:textId="77777777" w:rsidR="00B16018" w:rsidRPr="00B24172" w:rsidRDefault="00B16018" w:rsidP="00BF2AB8">
      <w:pPr>
        <w:spacing w:line="288" w:lineRule="auto"/>
        <w:jc w:val="center"/>
        <w:rPr>
          <w:b/>
          <w:bCs/>
        </w:rPr>
      </w:pPr>
    </w:p>
    <w:p w14:paraId="48C6D4E4" w14:textId="77777777" w:rsidR="00B16018" w:rsidRPr="00B24172" w:rsidRDefault="00B16018" w:rsidP="00BF2AB8">
      <w:pPr>
        <w:spacing w:line="288" w:lineRule="auto"/>
        <w:jc w:val="center"/>
        <w:rPr>
          <w:b/>
          <w:bCs/>
        </w:rPr>
      </w:pPr>
    </w:p>
    <w:p w14:paraId="11CF2A26" w14:textId="77777777" w:rsidR="00B16018" w:rsidRPr="00B24172" w:rsidRDefault="00B16018" w:rsidP="00BF2AB8">
      <w:pPr>
        <w:spacing w:line="288" w:lineRule="auto"/>
        <w:jc w:val="center"/>
        <w:rPr>
          <w:b/>
          <w:bCs/>
        </w:rPr>
      </w:pPr>
    </w:p>
    <w:p w14:paraId="52FCD9FB" w14:textId="0EE211BD" w:rsidR="003452AB" w:rsidRPr="00B24172" w:rsidRDefault="003452AB" w:rsidP="00BF2AB8">
      <w:pPr>
        <w:spacing w:line="288" w:lineRule="auto"/>
        <w:jc w:val="center"/>
        <w:rPr>
          <w:b/>
          <w:bCs/>
        </w:rPr>
      </w:pPr>
      <w:r w:rsidRPr="00B24172">
        <w:rPr>
          <w:b/>
          <w:bCs/>
        </w:rPr>
        <w:t>Abstract</w:t>
      </w:r>
    </w:p>
    <w:p w14:paraId="4B1B7650" w14:textId="77777777" w:rsidR="00ED7A65" w:rsidRPr="00B24172" w:rsidRDefault="00ED7A65" w:rsidP="00BF2AB8">
      <w:pPr>
        <w:spacing w:line="288" w:lineRule="auto"/>
        <w:jc w:val="center"/>
        <w:rPr>
          <w:b/>
          <w:bCs/>
          <w:sz w:val="12"/>
          <w:szCs w:val="12"/>
        </w:rPr>
      </w:pPr>
    </w:p>
    <w:p w14:paraId="49436739" w14:textId="0FDB0961" w:rsidR="003452AB" w:rsidRPr="00B24172" w:rsidRDefault="00CE182F" w:rsidP="00B15504">
      <w:pPr>
        <w:spacing w:line="360" w:lineRule="auto"/>
        <w:jc w:val="both"/>
      </w:pPr>
      <w:r w:rsidRPr="00B24172">
        <w:rPr>
          <w:rFonts w:asciiTheme="majorBidi" w:hAnsiTheme="majorBidi" w:cstheme="majorBidi"/>
        </w:rPr>
        <w:t>Globally, around three billion people depend upon solid fuels such as firewood, dry animal dung, crop residue</w:t>
      </w:r>
      <w:r w:rsidR="00FA50CD" w:rsidRPr="00B24172">
        <w:rPr>
          <w:rFonts w:asciiTheme="majorBidi" w:hAnsiTheme="majorBidi" w:cstheme="majorBidi"/>
        </w:rPr>
        <w:t>s</w:t>
      </w:r>
      <w:r w:rsidRPr="00B24172">
        <w:rPr>
          <w:rFonts w:asciiTheme="majorBidi" w:hAnsiTheme="majorBidi" w:cstheme="majorBidi"/>
        </w:rPr>
        <w:t xml:space="preserve">, </w:t>
      </w:r>
      <w:r w:rsidR="00FA50CD" w:rsidRPr="00B24172">
        <w:rPr>
          <w:rFonts w:asciiTheme="majorBidi" w:hAnsiTheme="majorBidi" w:cstheme="majorBidi"/>
        </w:rPr>
        <w:t xml:space="preserve">or </w:t>
      </w:r>
      <w:r w:rsidRPr="00B24172">
        <w:rPr>
          <w:rFonts w:asciiTheme="majorBidi" w:hAnsiTheme="majorBidi" w:cstheme="majorBidi"/>
        </w:rPr>
        <w:t>coal</w:t>
      </w:r>
      <w:r w:rsidR="00FA50CD" w:rsidRPr="00B24172">
        <w:rPr>
          <w:rFonts w:asciiTheme="majorBidi" w:hAnsiTheme="majorBidi" w:cstheme="majorBidi"/>
        </w:rPr>
        <w:t>,</w:t>
      </w:r>
      <w:r w:rsidRPr="00B24172">
        <w:rPr>
          <w:rFonts w:asciiTheme="majorBidi" w:hAnsiTheme="majorBidi" w:cstheme="majorBidi"/>
        </w:rPr>
        <w:t xml:space="preserve"> and use traditional stoves for cooking and heating purpose</w:t>
      </w:r>
      <w:r w:rsidR="00FA50CD" w:rsidRPr="00B24172">
        <w:rPr>
          <w:rFonts w:asciiTheme="majorBidi" w:hAnsiTheme="majorBidi" w:cstheme="majorBidi"/>
        </w:rPr>
        <w:t>s</w:t>
      </w:r>
      <w:r w:rsidRPr="00B24172">
        <w:rPr>
          <w:rFonts w:asciiTheme="majorBidi" w:hAnsiTheme="majorBidi" w:cstheme="majorBidi"/>
        </w:rPr>
        <w:t>.</w:t>
      </w:r>
      <w:r w:rsidR="00A13B4A" w:rsidRPr="00B24172">
        <w:rPr>
          <w:rFonts w:asciiTheme="majorBidi" w:hAnsiTheme="majorBidi" w:cstheme="majorBidi"/>
        </w:rPr>
        <w:t xml:space="preserve"> This</w:t>
      </w:r>
      <w:r w:rsidRPr="00B24172">
        <w:rPr>
          <w:rFonts w:asciiTheme="majorBidi" w:hAnsiTheme="majorBidi" w:cstheme="majorBidi"/>
        </w:rPr>
        <w:t xml:space="preserve"> </w:t>
      </w:r>
      <w:r w:rsidR="00A13B4A" w:rsidRPr="00B24172">
        <w:rPr>
          <w:rFonts w:asciiTheme="majorBidi" w:hAnsiTheme="majorBidi" w:cstheme="majorBidi"/>
        </w:rPr>
        <w:t>solid fuel</w:t>
      </w:r>
      <w:r w:rsidR="005A2124" w:rsidRPr="00B24172">
        <w:rPr>
          <w:rFonts w:asciiTheme="majorBidi" w:hAnsiTheme="majorBidi" w:cstheme="majorBidi"/>
        </w:rPr>
        <w:t xml:space="preserve"> combustion cause</w:t>
      </w:r>
      <w:r w:rsidR="00F2377F" w:rsidRPr="00B24172">
        <w:rPr>
          <w:rFonts w:asciiTheme="majorBidi" w:hAnsiTheme="majorBidi" w:cstheme="majorBidi"/>
        </w:rPr>
        <w:t>s</w:t>
      </w:r>
      <w:r w:rsidR="005A2124" w:rsidRPr="00B24172">
        <w:rPr>
          <w:rFonts w:asciiTheme="majorBidi" w:hAnsiTheme="majorBidi" w:cstheme="majorBidi"/>
        </w:rPr>
        <w:t xml:space="preserve"> indoor air pollution (IAP) and</w:t>
      </w:r>
      <w:r w:rsidR="00CB48D0" w:rsidRPr="00B24172">
        <w:rPr>
          <w:rFonts w:asciiTheme="majorBidi" w:hAnsiTheme="majorBidi" w:cstheme="majorBidi"/>
        </w:rPr>
        <w:t xml:space="preserve"> severely impair</w:t>
      </w:r>
      <w:r w:rsidR="00F2377F" w:rsidRPr="00B24172">
        <w:rPr>
          <w:rFonts w:asciiTheme="majorBidi" w:hAnsiTheme="majorBidi" w:cstheme="majorBidi"/>
        </w:rPr>
        <w:t>s</w:t>
      </w:r>
      <w:r w:rsidR="00CB48D0" w:rsidRPr="00B24172">
        <w:rPr>
          <w:rFonts w:asciiTheme="majorBidi" w:hAnsiTheme="majorBidi" w:cstheme="majorBidi"/>
        </w:rPr>
        <w:t xml:space="preserve"> health and </w:t>
      </w:r>
      <w:r w:rsidR="00F2377F" w:rsidRPr="00B24172">
        <w:rPr>
          <w:rFonts w:asciiTheme="majorBidi" w:hAnsiTheme="majorBidi" w:cstheme="majorBidi"/>
        </w:rPr>
        <w:t xml:space="preserve">the </w:t>
      </w:r>
      <w:r w:rsidR="00CB48D0" w:rsidRPr="00B24172">
        <w:rPr>
          <w:rFonts w:asciiTheme="majorBidi" w:hAnsiTheme="majorBidi" w:cstheme="majorBidi"/>
        </w:rPr>
        <w:t>environment</w:t>
      </w:r>
      <w:r w:rsidR="00F2377F" w:rsidRPr="00B24172">
        <w:rPr>
          <w:rFonts w:asciiTheme="majorBidi" w:hAnsiTheme="majorBidi" w:cstheme="majorBidi"/>
        </w:rPr>
        <w:t>,</w:t>
      </w:r>
      <w:r w:rsidRPr="00B24172">
        <w:rPr>
          <w:rFonts w:asciiTheme="majorBidi" w:hAnsiTheme="majorBidi" w:cstheme="majorBidi"/>
        </w:rPr>
        <w:t xml:space="preserve"> especially in developing countries</w:t>
      </w:r>
      <w:r w:rsidR="00A13B4A" w:rsidRPr="00B24172">
        <w:rPr>
          <w:rFonts w:asciiTheme="majorBidi" w:hAnsiTheme="majorBidi" w:cstheme="majorBidi"/>
        </w:rPr>
        <w:t xml:space="preserve"> like Pakistan</w:t>
      </w:r>
      <w:r w:rsidRPr="00B24172">
        <w:rPr>
          <w:rFonts w:asciiTheme="majorBidi" w:hAnsiTheme="majorBidi" w:cstheme="majorBidi"/>
        </w:rPr>
        <w:t>.</w:t>
      </w:r>
      <w:r w:rsidR="005A2124" w:rsidRPr="00B24172">
        <w:rPr>
          <w:rFonts w:asciiTheme="majorBidi" w:hAnsiTheme="majorBidi" w:cstheme="majorBidi"/>
        </w:rPr>
        <w:t xml:space="preserve"> </w:t>
      </w:r>
      <w:r w:rsidR="00F2377F" w:rsidRPr="00B24172">
        <w:rPr>
          <w:rFonts w:asciiTheme="majorBidi" w:hAnsiTheme="majorBidi" w:cstheme="majorBidi"/>
        </w:rPr>
        <w:t>A</w:t>
      </w:r>
      <w:r w:rsidR="00CB48D0" w:rsidRPr="00B24172">
        <w:rPr>
          <w:rFonts w:asciiTheme="majorBidi" w:hAnsiTheme="majorBidi" w:cstheme="majorBidi"/>
        </w:rPr>
        <w:t xml:space="preserve"> number of alternative </w:t>
      </w:r>
      <w:r w:rsidR="00F2377F" w:rsidRPr="00B24172">
        <w:rPr>
          <w:rFonts w:asciiTheme="majorBidi" w:hAnsiTheme="majorBidi" w:cstheme="majorBidi"/>
        </w:rPr>
        <w:t>household energy strategies</w:t>
      </w:r>
      <w:r w:rsidR="00CB48D0" w:rsidRPr="00B24172">
        <w:rPr>
          <w:rFonts w:asciiTheme="majorBidi" w:hAnsiTheme="majorBidi" w:cstheme="majorBidi"/>
        </w:rPr>
        <w:t xml:space="preserve"> can be adopted to </w:t>
      </w:r>
      <w:r w:rsidR="00A13B4A" w:rsidRPr="00B24172">
        <w:rPr>
          <w:rFonts w:asciiTheme="majorBidi" w:hAnsiTheme="majorBidi" w:cstheme="majorBidi"/>
        </w:rPr>
        <w:t xml:space="preserve">mitigate </w:t>
      </w:r>
      <w:r w:rsidR="00962D3F" w:rsidRPr="00B24172">
        <w:rPr>
          <w:rFonts w:asciiTheme="majorBidi" w:hAnsiTheme="majorBidi" w:cstheme="majorBidi"/>
        </w:rPr>
        <w:t>IAP</w:t>
      </w:r>
      <w:r w:rsidR="00FA50CD" w:rsidRPr="00B24172">
        <w:rPr>
          <w:rFonts w:asciiTheme="majorBidi" w:hAnsiTheme="majorBidi" w:cstheme="majorBidi"/>
        </w:rPr>
        <w:t>,</w:t>
      </w:r>
      <w:r w:rsidR="00962D3F" w:rsidRPr="00B24172">
        <w:rPr>
          <w:rFonts w:asciiTheme="majorBidi" w:hAnsiTheme="majorBidi" w:cstheme="majorBidi"/>
        </w:rPr>
        <w:t xml:space="preserve"> </w:t>
      </w:r>
      <w:r w:rsidR="00A13B4A" w:rsidRPr="00B24172">
        <w:rPr>
          <w:rFonts w:asciiTheme="majorBidi" w:hAnsiTheme="majorBidi" w:cstheme="majorBidi"/>
        </w:rPr>
        <w:t xml:space="preserve">such as </w:t>
      </w:r>
      <w:r w:rsidR="00F2377F" w:rsidRPr="00B24172">
        <w:rPr>
          <w:rFonts w:asciiTheme="majorBidi" w:hAnsiTheme="majorBidi" w:cstheme="majorBidi"/>
        </w:rPr>
        <w:t>using</w:t>
      </w:r>
      <w:r w:rsidR="00B97B7E" w:rsidRPr="00B24172">
        <w:rPr>
          <w:rFonts w:asciiTheme="majorBidi" w:hAnsiTheme="majorBidi" w:cstheme="majorBidi"/>
        </w:rPr>
        <w:t xml:space="preserve"> liquid petroleum gas</w:t>
      </w:r>
      <w:r w:rsidR="00F2377F" w:rsidRPr="00B24172">
        <w:rPr>
          <w:rFonts w:asciiTheme="majorBidi" w:hAnsiTheme="majorBidi" w:cstheme="majorBidi"/>
        </w:rPr>
        <w:t xml:space="preserve"> </w:t>
      </w:r>
      <w:r w:rsidR="00B97B7E" w:rsidRPr="00B24172">
        <w:rPr>
          <w:rFonts w:asciiTheme="majorBidi" w:hAnsiTheme="majorBidi" w:cstheme="majorBidi"/>
        </w:rPr>
        <w:t>(</w:t>
      </w:r>
      <w:r w:rsidR="00A13B4A" w:rsidRPr="00B24172">
        <w:t>LPG</w:t>
      </w:r>
      <w:r w:rsidR="00B97B7E" w:rsidRPr="00B24172">
        <w:t>)</w:t>
      </w:r>
      <w:r w:rsidR="00A13B4A" w:rsidRPr="00B24172">
        <w:t xml:space="preserve">, natural gas, </w:t>
      </w:r>
      <w:r w:rsidR="00F2377F" w:rsidRPr="00B24172">
        <w:t xml:space="preserve">biogas, </w:t>
      </w:r>
      <w:r w:rsidR="00A13B4A" w:rsidRPr="00B24172">
        <w:t>electric stove</w:t>
      </w:r>
      <w:r w:rsidR="00F2377F" w:rsidRPr="00B24172">
        <w:t>s</w:t>
      </w:r>
      <w:r w:rsidR="00A13B4A" w:rsidRPr="00B24172">
        <w:t xml:space="preserve">, </w:t>
      </w:r>
      <w:r w:rsidR="00FA50CD" w:rsidRPr="00B24172">
        <w:t xml:space="preserve">or </w:t>
      </w:r>
      <w:r w:rsidR="00A13B4A" w:rsidRPr="00B24172">
        <w:t>improved cook stove</w:t>
      </w:r>
      <w:r w:rsidR="00F2377F" w:rsidRPr="00B24172">
        <w:t>s</w:t>
      </w:r>
      <w:r w:rsidR="00076FB3" w:rsidRPr="00B24172">
        <w:t xml:space="preserve"> (ICS)</w:t>
      </w:r>
      <w:r w:rsidR="00A13B4A" w:rsidRPr="00B24172">
        <w:rPr>
          <w:rFonts w:asciiTheme="majorBidi" w:hAnsiTheme="majorBidi" w:cstheme="majorBidi"/>
        </w:rPr>
        <w:t>.</w:t>
      </w:r>
      <w:r w:rsidR="00CB48D0" w:rsidRPr="00B24172">
        <w:rPr>
          <w:rFonts w:asciiTheme="majorBidi" w:hAnsiTheme="majorBidi" w:cstheme="majorBidi"/>
        </w:rPr>
        <w:t xml:space="preserve"> </w:t>
      </w:r>
      <w:r w:rsidR="00F2377F" w:rsidRPr="00B24172">
        <w:t>In</w:t>
      </w:r>
      <w:r w:rsidR="00CB48D0" w:rsidRPr="00B24172">
        <w:t xml:space="preserve"> </w:t>
      </w:r>
      <w:r w:rsidRPr="00B24172">
        <w:t>this study</w:t>
      </w:r>
      <w:r w:rsidR="00F2377F" w:rsidRPr="00B24172">
        <w:t>, we</w:t>
      </w:r>
      <w:r w:rsidR="00CB48D0" w:rsidRPr="00B24172">
        <w:t xml:space="preserve"> estimate the benefit-cost ratio</w:t>
      </w:r>
      <w:r w:rsidR="00B568DF" w:rsidRPr="00B24172">
        <w:t>s and</w:t>
      </w:r>
      <w:r w:rsidRPr="00B24172">
        <w:t xml:space="preserve"> </w:t>
      </w:r>
      <w:r w:rsidR="00F2377F" w:rsidRPr="00B24172">
        <w:t>n</w:t>
      </w:r>
      <w:r w:rsidRPr="00B24172">
        <w:t xml:space="preserve">et </w:t>
      </w:r>
      <w:r w:rsidR="00F2377F" w:rsidRPr="00B24172">
        <w:t>p</w:t>
      </w:r>
      <w:r w:rsidRPr="00B24172">
        <w:t xml:space="preserve">resent </w:t>
      </w:r>
      <w:r w:rsidR="00F2377F" w:rsidRPr="00B24172">
        <w:t>v</w:t>
      </w:r>
      <w:r w:rsidRPr="00B24172">
        <w:t>alue</w:t>
      </w:r>
      <w:r w:rsidR="00CB48D0" w:rsidRPr="00B24172">
        <w:t xml:space="preserve"> of the</w:t>
      </w:r>
      <w:r w:rsidR="00A13B4A" w:rsidRPr="00B24172">
        <w:t>se interventions</w:t>
      </w:r>
      <w:r w:rsidR="00F2377F" w:rsidRPr="00B24172">
        <w:t xml:space="preserve"> over a ten-year period in Pakistan</w:t>
      </w:r>
      <w:r w:rsidR="00A13B4A" w:rsidRPr="00B24172">
        <w:t>.</w:t>
      </w:r>
      <w:r w:rsidR="00F2377F" w:rsidRPr="00B24172">
        <w:t xml:space="preserve"> </w:t>
      </w:r>
      <w:r w:rsidR="00A13B4A" w:rsidRPr="00B24172">
        <w:t>Annual cost</w:t>
      </w:r>
      <w:r w:rsidR="00FA50CD" w:rsidRPr="00B24172">
        <w:t>s</w:t>
      </w:r>
      <w:r w:rsidR="004951C5" w:rsidRPr="00B24172">
        <w:t xml:space="preserve"> include</w:t>
      </w:r>
      <w:r w:rsidR="00A13B4A" w:rsidRPr="00B24172">
        <w:t xml:space="preserve"> </w:t>
      </w:r>
      <w:r w:rsidR="00F2377F" w:rsidRPr="00B24172">
        <w:t xml:space="preserve">both </w:t>
      </w:r>
      <w:r w:rsidR="00A13B4A" w:rsidRPr="00B24172">
        <w:t>fixed and operating cos</w:t>
      </w:r>
      <w:r w:rsidR="00AF1C4A" w:rsidRPr="00B24172">
        <w:t>t</w:t>
      </w:r>
      <w:r w:rsidR="00F2377F" w:rsidRPr="00B24172">
        <w:t>s</w:t>
      </w:r>
      <w:r w:rsidR="0037116F" w:rsidRPr="00B24172">
        <w:t>, whereas benefits cover</w:t>
      </w:r>
      <w:r w:rsidR="00AF1C4A" w:rsidRPr="00B24172">
        <w:t xml:space="preserve"> </w:t>
      </w:r>
      <w:r w:rsidR="00A13B4A" w:rsidRPr="00B24172">
        <w:t>health, productivity gains, time saving</w:t>
      </w:r>
      <w:r w:rsidR="00FA50CD" w:rsidRPr="00B24172">
        <w:t>s</w:t>
      </w:r>
      <w:r w:rsidR="00A13B4A" w:rsidRPr="00B24172">
        <w:t>,</w:t>
      </w:r>
      <w:r w:rsidR="00AF1C4A" w:rsidRPr="00B24172">
        <w:t xml:space="preserve"> and </w:t>
      </w:r>
      <w:r w:rsidR="00E15A67" w:rsidRPr="00B24172">
        <w:t>fuel savings</w:t>
      </w:r>
      <w:r w:rsidR="00AF1C4A" w:rsidRPr="00B24172">
        <w:t>.</w:t>
      </w:r>
      <w:r w:rsidR="00A13B4A" w:rsidRPr="00B24172">
        <w:t xml:space="preserve"> </w:t>
      </w:r>
      <w:r w:rsidRPr="00B24172">
        <w:t xml:space="preserve">We </w:t>
      </w:r>
      <w:r w:rsidR="0037116F" w:rsidRPr="00B24172">
        <w:t>find</w:t>
      </w:r>
      <w:r w:rsidRPr="00B24172">
        <w:t xml:space="preserve"> that LPG has th</w:t>
      </w:r>
      <w:r w:rsidR="0037116F" w:rsidRPr="00B24172">
        <w:t>e highest benefit-cost ratio</w:t>
      </w:r>
      <w:r w:rsidR="00AE1BE8" w:rsidRPr="00B24172">
        <w:t xml:space="preserve"> followed by Natural gas</w:t>
      </w:r>
      <w:r w:rsidR="00FA50CD" w:rsidRPr="00B24172">
        <w:t>,</w:t>
      </w:r>
      <w:r w:rsidRPr="00B24172">
        <w:t xml:space="preserve"> and </w:t>
      </w:r>
      <w:r w:rsidR="00076FB3" w:rsidRPr="00B24172">
        <w:t>ICS</w:t>
      </w:r>
      <w:r w:rsidRPr="00B24172">
        <w:t xml:space="preserve"> </w:t>
      </w:r>
      <w:r w:rsidR="0005755C" w:rsidRPr="00B24172">
        <w:t>has</w:t>
      </w:r>
      <w:r w:rsidR="00FA50CD" w:rsidRPr="00B24172">
        <w:t xml:space="preserve"> the lowest </w:t>
      </w:r>
      <w:r w:rsidRPr="00B24172">
        <w:t>bene</w:t>
      </w:r>
      <w:r w:rsidR="0037116F" w:rsidRPr="00B24172">
        <w:t>fit-cost ratio</w:t>
      </w:r>
      <w:r w:rsidRPr="00B24172">
        <w:t>.</w:t>
      </w:r>
      <w:r w:rsidR="00021FDB" w:rsidRPr="00B24172">
        <w:t xml:space="preserve"> </w:t>
      </w:r>
      <w:r w:rsidR="00AE1BE8" w:rsidRPr="00B24172">
        <w:t>E</w:t>
      </w:r>
      <w:r w:rsidR="00021FDB" w:rsidRPr="00B24172">
        <w:t>lectric stove</w:t>
      </w:r>
      <w:r w:rsidR="00FA50CD" w:rsidRPr="00B24172">
        <w:t>s</w:t>
      </w:r>
      <w:r w:rsidR="00021FDB" w:rsidRPr="00B24172">
        <w:t xml:space="preserve">, and biogas </w:t>
      </w:r>
      <w:r w:rsidR="00FA50CD" w:rsidRPr="00B24172">
        <w:t>ha</w:t>
      </w:r>
      <w:r w:rsidR="0037116F" w:rsidRPr="00B24172">
        <w:t>ve moderate</w:t>
      </w:r>
      <w:r w:rsidR="00FA50CD" w:rsidRPr="00B24172">
        <w:t xml:space="preserve"> benefit-cost ratios </w:t>
      </w:r>
      <w:r w:rsidR="0037116F" w:rsidRPr="00B24172">
        <w:t>that nevertheless exceed one</w:t>
      </w:r>
      <w:r w:rsidR="00021FDB" w:rsidRPr="00B24172">
        <w:t>.</w:t>
      </w:r>
      <w:r w:rsidRPr="00B24172">
        <w:t xml:space="preserve"> </w:t>
      </w:r>
      <w:r w:rsidR="00FA50CD" w:rsidRPr="00B24172">
        <w:t>T</w:t>
      </w:r>
      <w:r w:rsidR="00F2377F" w:rsidRPr="00B24172">
        <w:t xml:space="preserve">o maximize the </w:t>
      </w:r>
      <w:r w:rsidR="0037116F" w:rsidRPr="00B24172">
        <w:t xml:space="preserve">return on </w:t>
      </w:r>
      <w:r w:rsidR="00FA50CD" w:rsidRPr="00B24172">
        <w:t>cleaner burning technology</w:t>
      </w:r>
      <w:r w:rsidR="00F2377F" w:rsidRPr="00B24172">
        <w:t>, the</w:t>
      </w:r>
      <w:r w:rsidRPr="00B24172">
        <w:t xml:space="preserve"> government</w:t>
      </w:r>
      <w:r w:rsidR="0066591F" w:rsidRPr="00B24172">
        <w:t xml:space="preserve"> of Pakistan</w:t>
      </w:r>
      <w:r w:rsidRPr="00B24172">
        <w:t xml:space="preserve"> </w:t>
      </w:r>
      <w:r w:rsidR="003348A5" w:rsidRPr="00B24172">
        <w:t xml:space="preserve">should consider </w:t>
      </w:r>
      <w:r w:rsidR="00F2377F" w:rsidRPr="00B24172">
        <w:t xml:space="preserve">encouraging the adoption of </w:t>
      </w:r>
      <w:r w:rsidR="00E15A67" w:rsidRPr="00B24172">
        <w:t xml:space="preserve">LPG, piped </w:t>
      </w:r>
      <w:r w:rsidR="003348A5" w:rsidRPr="00B24172">
        <w:t>natural</w:t>
      </w:r>
      <w:r w:rsidR="00E15A67" w:rsidRPr="00B24172">
        <w:t xml:space="preserve"> gas, and electric stove</w:t>
      </w:r>
      <w:r w:rsidR="00FA50CD" w:rsidRPr="00B24172">
        <w:t>s</w:t>
      </w:r>
      <w:r w:rsidR="003348A5" w:rsidRPr="00B24172">
        <w:t xml:space="preserve"> </w:t>
      </w:r>
      <w:r w:rsidR="00F2377F" w:rsidRPr="00B24172">
        <w:t xml:space="preserve">as means to reduce </w:t>
      </w:r>
      <w:r w:rsidR="00962D3F" w:rsidRPr="00B24172">
        <w:t>IAP</w:t>
      </w:r>
      <w:r w:rsidR="00FB254C" w:rsidRPr="00B24172">
        <w:t xml:space="preserve"> and adopt clean technologies</w:t>
      </w:r>
      <w:r w:rsidR="003348A5" w:rsidRPr="00B24172">
        <w:t>.</w:t>
      </w:r>
      <w:r w:rsidRPr="00B24172">
        <w:t xml:space="preserve"> </w:t>
      </w:r>
    </w:p>
    <w:p w14:paraId="5387D449" w14:textId="77777777" w:rsidR="00F766D0" w:rsidRPr="00B24172" w:rsidRDefault="00F766D0" w:rsidP="00BF2AB8">
      <w:pPr>
        <w:spacing w:line="288" w:lineRule="auto"/>
        <w:jc w:val="center"/>
        <w:rPr>
          <w:b/>
          <w:bCs/>
        </w:rPr>
      </w:pPr>
    </w:p>
    <w:p w14:paraId="43810319" w14:textId="77777777" w:rsidR="00F766D0" w:rsidRPr="00B24172" w:rsidRDefault="00F766D0" w:rsidP="00BF2AB8">
      <w:pPr>
        <w:spacing w:line="288" w:lineRule="auto"/>
        <w:jc w:val="center"/>
        <w:rPr>
          <w:b/>
          <w:bCs/>
        </w:rPr>
      </w:pPr>
    </w:p>
    <w:p w14:paraId="40342FBD" w14:textId="1160A405" w:rsidR="00F766D0" w:rsidRPr="00B24172" w:rsidRDefault="00F766D0" w:rsidP="00BF2AB8">
      <w:pPr>
        <w:spacing w:line="288" w:lineRule="auto"/>
        <w:jc w:val="center"/>
      </w:pPr>
      <w:r w:rsidRPr="00B24172">
        <w:rPr>
          <w:b/>
          <w:bCs/>
        </w:rPr>
        <w:t>Keywords</w:t>
      </w:r>
    </w:p>
    <w:p w14:paraId="45E9039E" w14:textId="316F34F0" w:rsidR="00F766D0" w:rsidRPr="00B24172" w:rsidRDefault="005D0961" w:rsidP="00BF2AB8">
      <w:pPr>
        <w:spacing w:line="288" w:lineRule="auto"/>
        <w:jc w:val="center"/>
      </w:pPr>
      <w:r w:rsidRPr="00B24172">
        <w:t>i</w:t>
      </w:r>
      <w:r w:rsidR="00F766D0" w:rsidRPr="00B24172">
        <w:t>ndoor air pollution</w:t>
      </w:r>
    </w:p>
    <w:p w14:paraId="0BF385DE" w14:textId="6C05D2F1" w:rsidR="00F766D0" w:rsidRPr="00B24172" w:rsidRDefault="005D0961" w:rsidP="00BF2AB8">
      <w:pPr>
        <w:spacing w:line="288" w:lineRule="auto"/>
        <w:jc w:val="center"/>
      </w:pPr>
      <w:r w:rsidRPr="00B24172">
        <w:t>i</w:t>
      </w:r>
      <w:r w:rsidR="00F766D0" w:rsidRPr="00B24172">
        <w:t>nterventions</w:t>
      </w:r>
    </w:p>
    <w:p w14:paraId="39DBC4E8" w14:textId="22D9A846" w:rsidR="00F65A1C" w:rsidRPr="00B24172" w:rsidRDefault="00D54EFC" w:rsidP="00BF2AB8">
      <w:pPr>
        <w:spacing w:line="288" w:lineRule="auto"/>
        <w:jc w:val="center"/>
      </w:pPr>
      <w:r w:rsidRPr="00B24172">
        <w:t>cost-benefit</w:t>
      </w:r>
      <w:r w:rsidR="00F766D0" w:rsidRPr="00B24172">
        <w:t xml:space="preserve"> analysis</w:t>
      </w:r>
    </w:p>
    <w:p w14:paraId="5337ACC4" w14:textId="7796AB02" w:rsidR="00E15A67" w:rsidRPr="00B24172" w:rsidRDefault="00E15A67" w:rsidP="00BF2AB8">
      <w:pPr>
        <w:spacing w:line="288" w:lineRule="auto"/>
        <w:jc w:val="center"/>
      </w:pPr>
    </w:p>
    <w:p w14:paraId="6A2B64A9" w14:textId="1DC187D4" w:rsidR="00ED7A65" w:rsidRPr="00B24172" w:rsidRDefault="00ED7A65" w:rsidP="00BF2AB8">
      <w:pPr>
        <w:spacing w:line="288" w:lineRule="auto"/>
        <w:jc w:val="center"/>
      </w:pPr>
    </w:p>
    <w:p w14:paraId="2484A117" w14:textId="77777777" w:rsidR="00ED7A65" w:rsidRPr="00B24172" w:rsidRDefault="00ED7A65" w:rsidP="00BF2AB8">
      <w:pPr>
        <w:spacing w:line="288" w:lineRule="auto"/>
        <w:jc w:val="center"/>
      </w:pPr>
    </w:p>
    <w:p w14:paraId="7768562B" w14:textId="77777777" w:rsidR="00F766D0" w:rsidRPr="00B24172" w:rsidRDefault="00E15A67" w:rsidP="00BF2AB8">
      <w:pPr>
        <w:spacing w:line="288" w:lineRule="auto"/>
        <w:jc w:val="center"/>
        <w:rPr>
          <w:lang w:val="it-IT"/>
        </w:rPr>
      </w:pPr>
      <w:r w:rsidRPr="00B24172">
        <w:rPr>
          <w:b/>
          <w:bCs/>
          <w:lang w:val="it-IT"/>
        </w:rPr>
        <w:t>JEL Classification</w:t>
      </w:r>
    </w:p>
    <w:p w14:paraId="121B89F1" w14:textId="1E8CB6DA" w:rsidR="00E15A67" w:rsidRPr="00B24172" w:rsidRDefault="008C1352" w:rsidP="00BF2AB8">
      <w:pPr>
        <w:spacing w:line="288" w:lineRule="auto"/>
        <w:jc w:val="center"/>
        <w:rPr>
          <w:lang w:val="it-IT"/>
        </w:rPr>
      </w:pPr>
      <w:r w:rsidRPr="00B24172">
        <w:rPr>
          <w:lang w:val="it-IT"/>
        </w:rPr>
        <w:t>O15; Q42; Q47</w:t>
      </w:r>
    </w:p>
    <w:p w14:paraId="174F7F26" w14:textId="1B573268" w:rsidR="00F766D0" w:rsidRPr="00B24172" w:rsidRDefault="00F766D0" w:rsidP="00BF2AB8">
      <w:pPr>
        <w:spacing w:line="288" w:lineRule="auto"/>
        <w:jc w:val="center"/>
        <w:rPr>
          <w:lang w:val="it-IT"/>
        </w:rPr>
      </w:pPr>
    </w:p>
    <w:p w14:paraId="7B358AC8" w14:textId="46367F83" w:rsidR="00F766D0" w:rsidRPr="00B24172" w:rsidRDefault="00F766D0" w:rsidP="00BF2AB8">
      <w:pPr>
        <w:spacing w:line="288" w:lineRule="auto"/>
        <w:jc w:val="center"/>
        <w:rPr>
          <w:lang w:val="it-IT"/>
        </w:rPr>
      </w:pPr>
    </w:p>
    <w:p w14:paraId="33C6A147" w14:textId="23C43FD7" w:rsidR="00F766D0" w:rsidRPr="00B24172" w:rsidRDefault="00F766D0" w:rsidP="00BF2AB8">
      <w:pPr>
        <w:spacing w:line="288" w:lineRule="auto"/>
        <w:jc w:val="center"/>
        <w:rPr>
          <w:lang w:val="it-IT"/>
        </w:rPr>
      </w:pPr>
    </w:p>
    <w:p w14:paraId="3AD1EFB3" w14:textId="583C2622" w:rsidR="00DF4C6C" w:rsidRPr="00B24172" w:rsidRDefault="00DF4C6C" w:rsidP="00BF2AB8">
      <w:pPr>
        <w:spacing w:line="288" w:lineRule="auto"/>
        <w:jc w:val="center"/>
        <w:rPr>
          <w:lang w:val="it-IT"/>
        </w:rPr>
      </w:pPr>
    </w:p>
    <w:p w14:paraId="168FC271" w14:textId="2C76AAA4" w:rsidR="00DF4C6C" w:rsidRPr="00B24172" w:rsidRDefault="00DF4C6C" w:rsidP="00BF2AB8">
      <w:pPr>
        <w:spacing w:line="288" w:lineRule="auto"/>
        <w:jc w:val="center"/>
        <w:rPr>
          <w:lang w:val="it-IT"/>
        </w:rPr>
      </w:pPr>
    </w:p>
    <w:p w14:paraId="5F7D2AEB" w14:textId="53F8F486" w:rsidR="00DF4C6C" w:rsidRPr="00B24172" w:rsidRDefault="00DF4C6C" w:rsidP="00BF2AB8">
      <w:pPr>
        <w:spacing w:line="288" w:lineRule="auto"/>
        <w:jc w:val="center"/>
        <w:rPr>
          <w:lang w:val="it-IT"/>
        </w:rPr>
      </w:pPr>
    </w:p>
    <w:bookmarkEnd w:id="0"/>
    <w:p w14:paraId="3F1DD1E5" w14:textId="2CFAEF45" w:rsidR="00913C30" w:rsidRPr="00B24172" w:rsidRDefault="004906FF" w:rsidP="00BF2AB8">
      <w:pPr>
        <w:pStyle w:val="Heading1"/>
        <w:numPr>
          <w:ilvl w:val="0"/>
          <w:numId w:val="20"/>
        </w:numPr>
        <w:spacing w:before="0" w:after="0" w:line="288" w:lineRule="auto"/>
        <w:ind w:left="284" w:hanging="284"/>
        <w:rPr>
          <w:sz w:val="24"/>
          <w:szCs w:val="28"/>
        </w:rPr>
      </w:pPr>
      <w:r w:rsidRPr="00B24172">
        <w:rPr>
          <w:sz w:val="24"/>
          <w:szCs w:val="28"/>
        </w:rPr>
        <w:lastRenderedPageBreak/>
        <w:t>Introduction</w:t>
      </w:r>
    </w:p>
    <w:p w14:paraId="4A8A30EE" w14:textId="77777777" w:rsidR="00A91CBB" w:rsidRPr="00B24172" w:rsidRDefault="00A91CBB" w:rsidP="00BF2AB8">
      <w:pPr>
        <w:autoSpaceDE w:val="0"/>
        <w:autoSpaceDN w:val="0"/>
        <w:adjustRightInd w:val="0"/>
        <w:spacing w:line="288" w:lineRule="auto"/>
        <w:jc w:val="both"/>
        <w:rPr>
          <w:sz w:val="12"/>
          <w:szCs w:val="12"/>
        </w:rPr>
      </w:pPr>
    </w:p>
    <w:p w14:paraId="760A2152" w14:textId="26A30AC9" w:rsidR="004A7C0E" w:rsidRPr="00B24172" w:rsidRDefault="00921AE7" w:rsidP="0037116F">
      <w:pPr>
        <w:autoSpaceDE w:val="0"/>
        <w:autoSpaceDN w:val="0"/>
        <w:adjustRightInd w:val="0"/>
        <w:spacing w:line="288" w:lineRule="auto"/>
        <w:jc w:val="both"/>
      </w:pPr>
      <w:r w:rsidRPr="00B24172">
        <w:t xml:space="preserve">Currently, almost </w:t>
      </w:r>
      <w:r w:rsidR="00FA50CD" w:rsidRPr="00B24172">
        <w:t>three</w:t>
      </w:r>
      <w:r w:rsidRPr="00B24172">
        <w:t xml:space="preserve"> billion people in low and middle income countries do not have access to clean or modern energy sources and hence depend upon solid fuel</w:t>
      </w:r>
      <w:r w:rsidR="00F2377F" w:rsidRPr="00B24172">
        <w:t>s</w:t>
      </w:r>
      <w:r w:rsidRPr="00B24172">
        <w:t xml:space="preserve"> such as firewood, biomass, crop residues, coal, and charcoal </w:t>
      </w:r>
      <w:r w:rsidR="00F2377F" w:rsidRPr="00B24172">
        <w:t xml:space="preserve">for cooking and heating </w:t>
      </w:r>
      <w:r w:rsidRPr="00B24172">
        <w:fldChar w:fldCharType="begin"/>
      </w:r>
      <w:r w:rsidR="00A260FD" w:rsidRPr="00B24172">
        <w:instrText xml:space="preserve"> ADDIN ZOTERO_ITEM CSL_CITATION {"citationID":"a1t275b91va","properties":{"formattedCitation":"(Landrigan et al., n.d.)","plainCitation":"(Landrigan et al., n.d.)","dontUpdate":true,"noteIndex":0},"citationItems":[{"id":"yPj1CNji/NuhOL0Fm","uris":["http://zotero.org/users/2699952/items/4VARPTNV"],"uri":["http://zotero.org/users/2699952/items/4VARPTNV"],"itemData":{"id":899,"type":"article-journal","title":"The Lancet Commission on pollution and health","container-title":"The Lancet","source":"ScienceDirect","URL":"https://www.sciencedirect.com/science/article/pii/S0140673617323450","DOI":"10.1016/S0140-6736(17)32345-0","ISSN":"0140-6736","journalAbbreviation":"The Lancet","author":[{"family":"Landrigan","given":"Philip J"},{"family":"Fuller","given":"Richard"},{"family":"Acosta","given":"Nereus J R"},{"family":"Adeyi","given":"Olusoji"},{"family":"Arnold","given":"Robert"},{"family":"Basu","given":"Niladri (Nil)"},{"family":"Baldé","given":"Abdoulaye Bibi"},{"family":"Bertollini","given":"Roberto"},{"family":"Bose-O'Reilly","given":"Stephan"},{"family":"Boufford","given":"Jo Ivey"},{"family":"Breysse","given":"Patrick N"},{"family":"Chiles","given":"Thomas"},{"family":"Mahidol","given":"Chulabhorn"},{"family":"Coll-Seck","given":"Awa M"},{"family":"Cropper","given":"Maureen L"},{"family":"Fobil","given":"Julius"},{"family":"Fuster","given":"Valentin"},{"family":"Greenstone","given":"Michael"},{"family":"Haines","given":"Andy"},{"family":"Hanrahan","given":"David"},{"family":"Hunter","given":"David"},{"family":"Khare","given":"Mukesh"},{"family":"Krupnick","given":"Alan"},{"family":"Lanphear","given":"Bruce"},{"family":"Lohani","given":"Bindu"},{"family":"Martin","given":"Keith"},{"family":"Mathiasen","given":"Karen V"},{"family":"McTeer","given":"Maureen A"},{"family":"Murray","given":"Christopher J L"},{"family":"Ndahimananjara","given":"Johanita D"},{"family":"Perera","given":"Frederica"},{"family":"Potočnik","given":"Janez"},{"family":"Preker","given":"Alexander S"},{"family":"Ramesh","given":"Jairam"},{"family":"Rockström","given":"Johan"},{"family":"Salinas","given":"Carlos"},{"family":"Samson","given":"Leona D"},{"family":"Sandilya","given":"Karti"},{"family":"Sly","given":"Peter D"},{"family":"Smith","given":"Kirk R"},{"family":"Steiner","given":"Achim"},{"family":"Stewart","given":"Richard B"},{"family":"Suk","given":"William A"},{"family":"Schayck","given":"Onno C P","non-dropping-particle":"van"},{"family":"Yadama","given":"Gautam N"},{"family":"Yumkella","given":"Kandeh"},{"family":"Zhong","given":"Ma"}]}}],"schema":"https://github.com/citation-style-language/schema/raw/master/csl-citation.json"} </w:instrText>
      </w:r>
      <w:r w:rsidRPr="00B24172">
        <w:fldChar w:fldCharType="separate"/>
      </w:r>
      <w:r w:rsidRPr="00B24172">
        <w:t xml:space="preserve">(Landrigan </w:t>
      </w:r>
      <w:r w:rsidRPr="00B24172">
        <w:rPr>
          <w:i/>
        </w:rPr>
        <w:t>et al.</w:t>
      </w:r>
      <w:r w:rsidRPr="00B24172">
        <w:t xml:space="preserve"> 2017)</w:t>
      </w:r>
      <w:r w:rsidRPr="00B24172">
        <w:fldChar w:fldCharType="end"/>
      </w:r>
      <w:r w:rsidRPr="00B24172">
        <w:t>. When these solid fuel</w:t>
      </w:r>
      <w:r w:rsidR="00FA50CD" w:rsidRPr="00B24172">
        <w:t>s</w:t>
      </w:r>
      <w:r w:rsidRPr="00B24172">
        <w:t xml:space="preserve"> burn</w:t>
      </w:r>
      <w:r w:rsidR="00F2377F" w:rsidRPr="00B24172">
        <w:t>,</w:t>
      </w:r>
      <w:r w:rsidRPr="00B24172">
        <w:t xml:space="preserve"> </w:t>
      </w:r>
      <w:r w:rsidR="00F2377F" w:rsidRPr="00B24172">
        <w:t xml:space="preserve">they </w:t>
      </w:r>
      <w:r w:rsidRPr="00B24172">
        <w:t xml:space="preserve">emit a multitude of complex chemicals including </w:t>
      </w:r>
      <w:r w:rsidRPr="00B24172">
        <w:rPr>
          <w:rFonts w:asciiTheme="majorBidi" w:hAnsiTheme="majorBidi" w:cstheme="majorBidi"/>
        </w:rPr>
        <w:t>formaldehyde,</w:t>
      </w:r>
      <w:r w:rsidRPr="00B24172">
        <w:t xml:space="preserve"> </w:t>
      </w:r>
      <w:r w:rsidRPr="00B24172">
        <w:rPr>
          <w:rFonts w:asciiTheme="majorBidi" w:hAnsiTheme="majorBidi" w:cstheme="majorBidi"/>
        </w:rPr>
        <w:t>nitrogen dioxide, carbon monoxide, cilia toxic, polycy</w:t>
      </w:r>
      <w:r w:rsidR="00F61B82" w:rsidRPr="00B24172">
        <w:rPr>
          <w:rFonts w:asciiTheme="majorBidi" w:hAnsiTheme="majorBidi" w:cstheme="majorBidi"/>
        </w:rPr>
        <w:t>clic aromatic hydrocarbons</w:t>
      </w:r>
      <w:r w:rsidRPr="00B24172">
        <w:rPr>
          <w:rFonts w:asciiTheme="majorBidi" w:hAnsiTheme="majorBidi" w:cstheme="majorBidi"/>
        </w:rPr>
        <w:t xml:space="preserve">, and other inhalable particulates </w:t>
      </w:r>
      <w:r w:rsidRPr="00B24172">
        <w:rPr>
          <w:rFonts w:asciiTheme="majorBidi" w:hAnsiTheme="majorBidi" w:cstheme="majorBidi"/>
        </w:rPr>
        <w:fldChar w:fldCharType="begin"/>
      </w:r>
      <w:r w:rsidR="00A260FD" w:rsidRPr="00B24172">
        <w:rPr>
          <w:rFonts w:asciiTheme="majorBidi" w:hAnsiTheme="majorBidi" w:cstheme="majorBidi"/>
        </w:rPr>
        <w:instrText xml:space="preserve"> ADDIN ZOTERO_ITEM CSL_CITATION {"citationID":"amg5ntk9f9","properties":{"formattedCitation":"(Cooper, 1980; Torres-Duque, Maldonado, P\\uc0\\u233{}rez-Padilla, Ezzati, &amp; Viegi, 2008)","plainCitation":"(Cooper, 1980; Torres-Duque, Maldonado, Pérez-Padilla, Ezzati, &amp; Viegi, 2008)","dontUpdate":true,"noteIndex":0},"citationItems":[{"id":"yPj1CNji/8RadWK17","uris":["http://zotero.org/users/2699952/items/VBFDNMVZ"],"uri":["http://zotero.org/users/2699952/items/VBFDNMVZ"],"itemData":{"id":823,"type":"article-journal","title":"Environmental Impact of Residential Wood Combustion Emissions and its Implications","container-title":"Journal of the Air Pollution Control Association","page":"855-861","volume":"30","issue":"8","source":"Taylor and Francis+NEJM","abstract":"Currently available information suggests a substantial environmental impact from residential wood combustion emissions. Air pollution from this source is widespread and increasing. Current ambient measurements, surveys, and model predictions indicate winter respirable (&lt;2 μm) emissions from residential wood combustion can easily exceed all other sources. Both the chemical potency and deliverability of the emissions from this source are of concern. The emissions are almost entirely in the inhalable size range and contain toxic and priority pollutants, carcinogens, co-carcinogens, cilia toxic, mucus coagulating agents, and other respiratory irritants such as phenols, aldehydes, etc. This source is contributing substantially to the nonattainment of current particulate, carbon monoxide, and hydrocarbon ambient air quality standards and will almost certainly have a significant impact on potential future standards such as inhalable particulates, visibility, and other chemically specific standards. Emission from this growing source is likely to require additional expenditures by industry for air pollution control equipment in nonattainment areas.","DOI":"10.1080/00022470.1980.10465119","ISSN":"0002-2470","author":[{"family":"Cooper","given":"John A."}],"issued":{"date-parts":[["1980",8,1]]}}},{"id":"yPj1CNji/tLOjkmkV","uris":["http://zotero.org/users/2699952/items/PMUC2QWC"],"uri":["http://zotero.org/users/2699952/items/PMUC2QWC"],"itemData":{"id":826,"type":"article-journal","title":"Biomass Fuels and Respiratory Diseases","container-title":"Proceedings of the American Thoracic Society","page":"577-590","volume":"5","issue":"5","source":"atsjournals.org (Atypon)","abstract":"Globally, about 50% of all households and 90% of rural households use solid fuels (coal and biomass) as the main domestic source of energy, thus exposing approximately 50% of the world population—close to 3 billion people—to the harmful effects of these combustion products. There is strong evidence that acute respiratory infections in children and chronic obstructive pulmonary disease in women are associated with indoor biomass smoke. Lung cancer in women has been clearly associated with household coal use. Other conditions such as chronic obstructive pulmonary disease in men and tuberculosis could be also associated but evidence is scarce. According to estimates of the World Health Organization, more than 1.6 million deaths and over 38.5 million disability-adjusted life-years can be attributable to indoor smoke from solid fuels affecting mainly children and women. Interventions to suppress or reduce indoor exposure include behavior changes, improvements of household ventilation, improvements of stoves, and, outstandingly, transitions to better and cleaner fuels. These changes face personal and local beliefs and economic and sociocultural conditions. In addition, selection of fuels should consider cost, sustainability, and protection of the environment. Consequently, complex solutions need to be locally adapted, and involve the commitment and active participation of governments, scientific societies, nongovernmental organizations, and the general community.","DOI":"10.1513/pats.200707-100RP","ISSN":"1546-3222","journalAbbreviation":"Proc Am Thorac Soc","author":[{"family":"Torres-Duque","given":"Carlos"},{"family":"Maldonado","given":"Darío"},{"family":"Pérez-Padilla","given":"Rogelio"},{"family":"Ezzati","given":"Majid"},{"family":"Viegi","given":"Giovanni"}],"issued":{"date-parts":[["2008",7,15]]}}}],"schema":"https://github.com/citation-style-language/schema/raw/master/csl-citation.json"} </w:instrText>
      </w:r>
      <w:r w:rsidRPr="00B24172">
        <w:rPr>
          <w:rFonts w:asciiTheme="majorBidi" w:hAnsiTheme="majorBidi" w:cstheme="majorBidi"/>
        </w:rPr>
        <w:fldChar w:fldCharType="separate"/>
      </w:r>
      <w:r w:rsidR="00D36A12" w:rsidRPr="00B24172">
        <w:t xml:space="preserve">(Cooper </w:t>
      </w:r>
      <w:r w:rsidR="005D36E6" w:rsidRPr="00B24172">
        <w:t>1980</w:t>
      </w:r>
      <w:r w:rsidR="00120E4B" w:rsidRPr="00B24172">
        <w:t>,</w:t>
      </w:r>
      <w:r w:rsidR="005D36E6" w:rsidRPr="00B24172">
        <w:t xml:space="preserve"> Torres-Duque </w:t>
      </w:r>
      <w:r w:rsidR="00ED7A65" w:rsidRPr="00B24172">
        <w:rPr>
          <w:i/>
        </w:rPr>
        <w:t>et al.</w:t>
      </w:r>
      <w:r w:rsidR="00D36A12" w:rsidRPr="00B24172">
        <w:t xml:space="preserve"> 2008)</w:t>
      </w:r>
      <w:r w:rsidRPr="00B24172">
        <w:rPr>
          <w:rFonts w:asciiTheme="majorBidi" w:hAnsiTheme="majorBidi" w:cstheme="majorBidi"/>
        </w:rPr>
        <w:fldChar w:fldCharType="end"/>
      </w:r>
      <w:r w:rsidRPr="00B24172">
        <w:rPr>
          <w:rFonts w:asciiTheme="majorBidi" w:hAnsiTheme="majorBidi" w:cstheme="majorBidi"/>
        </w:rPr>
        <w:t xml:space="preserve">. </w:t>
      </w:r>
      <w:r w:rsidR="00F2377F" w:rsidRPr="00B24172">
        <w:rPr>
          <w:rFonts w:asciiTheme="majorBidi" w:hAnsiTheme="majorBidi" w:cstheme="majorBidi"/>
        </w:rPr>
        <w:t>These pollutants lead to</w:t>
      </w:r>
      <w:r w:rsidRPr="00B24172">
        <w:rPr>
          <w:rFonts w:asciiTheme="majorBidi" w:hAnsiTheme="majorBidi" w:cstheme="majorBidi"/>
        </w:rPr>
        <w:t xml:space="preserve"> adverse effects on health and </w:t>
      </w:r>
      <w:r w:rsidR="00F2377F" w:rsidRPr="00B24172">
        <w:rPr>
          <w:rFonts w:asciiTheme="majorBidi" w:hAnsiTheme="majorBidi" w:cstheme="majorBidi"/>
        </w:rPr>
        <w:t xml:space="preserve">the </w:t>
      </w:r>
      <w:r w:rsidRPr="00B24172">
        <w:rPr>
          <w:rFonts w:asciiTheme="majorBidi" w:hAnsiTheme="majorBidi" w:cstheme="majorBidi"/>
        </w:rPr>
        <w:t xml:space="preserve">environment </w:t>
      </w:r>
      <w:r w:rsidRPr="00B24172">
        <w:fldChar w:fldCharType="begin"/>
      </w:r>
      <w:r w:rsidR="00A260FD" w:rsidRPr="00B24172">
        <w:instrText xml:space="preserve"> ADDIN ZOTERO_ITEM CSL_CITATION {"citationID":"R26AMRpH","properties":{"formattedCitation":"(Edwards &amp; Langpap, 2012)","plainCitation":"(Edwards &amp; Langpap, 2012)","dontUpdate":true,"noteIndex":0},"citationItems":[{"id":"yPj1CNji/RCYUMSoC","uris":["http://zotero.org/users/2699952/items/9E26EDNZ"],"uri":["http://zotero.org/users/2699952/items/9E26EDNZ"],"itemData":{"id":9,"type":"article-journal","title":"Fuel choice, indoor air pollution and children's health","container-title":"Environment and Development Economics","page":"379-406","volume":"17","issue":"4","source":"ProQuest","abstract":"Much of the population in developing countries uses firewood for cooking. The resulting indoor air pollution has severe health consequences for children who are close to the fire while their mothers cook. We use survey data from Guatemala to examine the effects of firewood consumption on the health of children up to five years of age. We also investigate the impact of cooking inside the home, the importance of a mother cooking while caring for her children and the role played by the smoke permeability of housing construction materials. We find that children living in households that use more wood, and where exposure to indoor air pollution is higher because the mother cooks while caring for children or because cooking takes place inside, are more likely to have symptoms of respiratory infection. Simulations indicate that policies that target cooking habits in order to directly reduce exposure, particularly by reducing the number of women who simultaneously cook and care for children, may be more effective for improving young children's health than policies to accelerate the adoption of gas stoves. [PUBLICATION ABSTRACT]","DOI":"http://dx.doi.org.ezproxy.waikato.ac.nz/10.1017/S1355770X12000010","ISSN":"1355770X","language":"English","author":[{"family":"Edwards","given":"John H. Y."},{"family":"Langpap","given":"Christian"}],"issued":{"date-parts":[["2012",8]]}}}],"schema":"https://github.com/citation-style-language/schema/raw/master/csl-citation.json"} </w:instrText>
      </w:r>
      <w:r w:rsidRPr="00B24172">
        <w:fldChar w:fldCharType="separate"/>
      </w:r>
      <w:r w:rsidRPr="00B24172">
        <w:t xml:space="preserve">(Edwards </w:t>
      </w:r>
      <w:r w:rsidR="008525A5" w:rsidRPr="00B24172">
        <w:t>and</w:t>
      </w:r>
      <w:r w:rsidRPr="00B24172">
        <w:t xml:space="preserve"> Langpap</w:t>
      </w:r>
      <w:r w:rsidR="00120E4B" w:rsidRPr="00B24172">
        <w:t xml:space="preserve"> </w:t>
      </w:r>
      <w:r w:rsidRPr="00B24172">
        <w:t>2012)</w:t>
      </w:r>
      <w:r w:rsidRPr="00B24172">
        <w:fldChar w:fldCharType="end"/>
      </w:r>
      <w:r w:rsidRPr="00B24172">
        <w:rPr>
          <w:rFonts w:asciiTheme="majorBidi" w:hAnsiTheme="majorBidi" w:cstheme="majorBidi"/>
        </w:rPr>
        <w:t xml:space="preserve">. </w:t>
      </w:r>
      <w:r w:rsidR="005D36E6" w:rsidRPr="00B24172">
        <w:t>Alarmingly</w:t>
      </w:r>
      <w:r w:rsidR="004A7C0E" w:rsidRPr="00B24172">
        <w:t xml:space="preserve">, the overall </w:t>
      </w:r>
      <w:r w:rsidR="00F2377F" w:rsidRPr="00B24172">
        <w:t xml:space="preserve">household </w:t>
      </w:r>
      <w:r w:rsidR="004A7C0E" w:rsidRPr="00B24172">
        <w:t>consumption of solid fuel</w:t>
      </w:r>
      <w:r w:rsidR="00F2377F" w:rsidRPr="00B24172">
        <w:t>s</w:t>
      </w:r>
      <w:r w:rsidR="004A7C0E" w:rsidRPr="00B24172">
        <w:t xml:space="preserve"> is expected to continue increasing until 2030 </w:t>
      </w:r>
      <w:r w:rsidR="004A7C0E" w:rsidRPr="00B24172">
        <w:fldChar w:fldCharType="begin"/>
      </w:r>
      <w:r w:rsidR="00A260FD" w:rsidRPr="00B24172">
        <w:instrText xml:space="preserve"> ADDIN ZOTERO_ITEM CSL_CITATION {"citationID":"a16202qsi1d","properties":{"formattedCitation":"(Edwards &amp; Langpap, 2012)","plainCitation":"(Edwards &amp; Langpap, 2012)","dontUpdate":true,"noteIndex":0},"citationItems":[{"id":"yPj1CNji/RCYUMSoC","uris":["http://zotero.org/users/2699952/items/9E26EDNZ"],"uri":["http://zotero.org/users/2699952/items/9E26EDNZ"],"itemData":{"id":9,"type":"article-journal","title":"Fuel choice, indoor air pollution and children's health","container-title":"Environment and Development Economics","page":"379-406","volume":"17","issue":"4","source":"ProQuest","abstract":"Much of the population in developing countries uses firewood for cooking. The resulting indoor air pollution has severe health consequences for children who are close to the fire while their mothers cook. We use survey data from Guatemala to examine the effects of firewood consumption on the health of children up to five years of age. We also investigate the impact of cooking inside the home, the importance of a mother cooking while caring for her children and the role played by the smoke permeability of housing construction materials. We find that children living in households that use more wood, and where exposure to indoor air pollution is higher because the mother cooks while caring for children or because cooking takes place inside, are more likely to have symptoms of respiratory infection. Simulations indicate that policies that target cooking habits in order to directly reduce exposure, particularly by reducing the number of women who simultaneously cook and care for children, may be more effective for improving young children's health than policies to accelerate the adoption of gas stoves. [PUBLICATION ABSTRACT]","DOI":"http://dx.doi.org.ezproxy.waikato.ac.nz/10.1017/S1355770X12000010","ISSN":"1355770X","language":"English","author":[{"family":"Edwards","given":"John H. Y."},{"family":"Langpap","given":"Christian"}],"issued":{"date-parts":[["2012",8]]}}}],"schema":"https://github.com/citation-style-language/schema/raw/master/csl-citation.json"} </w:instrText>
      </w:r>
      <w:r w:rsidR="004A7C0E" w:rsidRPr="00B24172">
        <w:fldChar w:fldCharType="separate"/>
      </w:r>
      <w:r w:rsidR="004A7C0E" w:rsidRPr="00B24172">
        <w:t xml:space="preserve">(Edwards </w:t>
      </w:r>
      <w:r w:rsidR="008525A5" w:rsidRPr="00B24172">
        <w:t>and</w:t>
      </w:r>
      <w:r w:rsidR="004A7C0E" w:rsidRPr="00B24172">
        <w:t xml:space="preserve"> Langpap 2012)</w:t>
      </w:r>
      <w:r w:rsidR="004A7C0E" w:rsidRPr="00B24172">
        <w:fldChar w:fldCharType="end"/>
      </w:r>
      <w:r w:rsidR="004A7C0E" w:rsidRPr="00B24172">
        <w:t xml:space="preserve">. </w:t>
      </w:r>
    </w:p>
    <w:p w14:paraId="0A1ACCD7" w14:textId="77777777" w:rsidR="00A91CBB" w:rsidRPr="00B24172" w:rsidRDefault="00A91CBB" w:rsidP="00BF2AB8">
      <w:pPr>
        <w:autoSpaceDE w:val="0"/>
        <w:autoSpaceDN w:val="0"/>
        <w:adjustRightInd w:val="0"/>
        <w:spacing w:line="288" w:lineRule="auto"/>
        <w:jc w:val="both"/>
        <w:rPr>
          <w:sz w:val="16"/>
          <w:szCs w:val="16"/>
        </w:rPr>
      </w:pPr>
    </w:p>
    <w:p w14:paraId="15B52854" w14:textId="01DBB5C8" w:rsidR="0013261C" w:rsidRPr="00B24172" w:rsidRDefault="0037116F" w:rsidP="0037116F">
      <w:pPr>
        <w:spacing w:line="288" w:lineRule="auto"/>
        <w:ind w:firstLine="720"/>
        <w:jc w:val="both"/>
        <w:rPr>
          <w:rFonts w:asciiTheme="majorBidi" w:hAnsiTheme="majorBidi" w:cstheme="majorBidi"/>
          <w:lang w:val="en-NZ" w:eastAsia="zh-CN"/>
        </w:rPr>
      </w:pPr>
      <w:r w:rsidRPr="00B24172">
        <w:rPr>
          <w:rFonts w:asciiTheme="majorBidi" w:hAnsiTheme="majorBidi" w:cstheme="majorBidi"/>
        </w:rPr>
        <w:t>When conducted indoors, b</w:t>
      </w:r>
      <w:r w:rsidR="00921AE7" w:rsidRPr="00B24172">
        <w:rPr>
          <w:rFonts w:asciiTheme="majorBidi" w:hAnsiTheme="majorBidi" w:cstheme="majorBidi"/>
        </w:rPr>
        <w:t>iomass combustion cause</w:t>
      </w:r>
      <w:r w:rsidR="00187CA2" w:rsidRPr="00B24172">
        <w:rPr>
          <w:rFonts w:asciiTheme="majorBidi" w:hAnsiTheme="majorBidi" w:cstheme="majorBidi"/>
        </w:rPr>
        <w:t>s</w:t>
      </w:r>
      <w:r w:rsidR="00921AE7" w:rsidRPr="00B24172">
        <w:rPr>
          <w:rFonts w:asciiTheme="majorBidi" w:hAnsiTheme="majorBidi" w:cstheme="majorBidi"/>
        </w:rPr>
        <w:t xml:space="preserve"> indoor air pollution (IAP) and due to this almost </w:t>
      </w:r>
      <w:r w:rsidR="00A048B2" w:rsidRPr="00B24172">
        <w:rPr>
          <w:rFonts w:asciiTheme="majorBidi" w:hAnsiTheme="majorBidi" w:cstheme="majorBidi"/>
        </w:rPr>
        <w:t>four</w:t>
      </w:r>
      <w:r w:rsidR="00921AE7" w:rsidRPr="00B24172">
        <w:rPr>
          <w:rFonts w:asciiTheme="majorBidi" w:hAnsiTheme="majorBidi" w:cstheme="majorBidi"/>
        </w:rPr>
        <w:t xml:space="preserve"> million people </w:t>
      </w:r>
      <w:r w:rsidR="00187CA2" w:rsidRPr="00B24172">
        <w:rPr>
          <w:rFonts w:asciiTheme="majorBidi" w:hAnsiTheme="majorBidi" w:cstheme="majorBidi"/>
        </w:rPr>
        <w:t>die</w:t>
      </w:r>
      <w:r w:rsidR="00921AE7" w:rsidRPr="00B24172">
        <w:rPr>
          <w:rFonts w:asciiTheme="majorBidi" w:hAnsiTheme="majorBidi" w:cstheme="majorBidi"/>
        </w:rPr>
        <w:t xml:space="preserve"> prematurely </w:t>
      </w:r>
      <w:r w:rsidR="00187CA2" w:rsidRPr="00B24172">
        <w:rPr>
          <w:rFonts w:asciiTheme="majorBidi" w:hAnsiTheme="majorBidi" w:cstheme="majorBidi"/>
        </w:rPr>
        <w:t>each year</w:t>
      </w:r>
      <w:r w:rsidRPr="00B24172">
        <w:rPr>
          <w:rFonts w:asciiTheme="majorBidi" w:hAnsiTheme="majorBidi" w:cstheme="majorBidi"/>
        </w:rPr>
        <w:t>,</w:t>
      </w:r>
      <w:r w:rsidR="00FA50CD" w:rsidRPr="00B24172">
        <w:rPr>
          <w:rStyle w:val="FootnoteReference"/>
          <w:rFonts w:asciiTheme="majorBidi" w:hAnsiTheme="majorBidi" w:cstheme="majorBidi"/>
        </w:rPr>
        <w:footnoteReference w:id="1"/>
      </w:r>
      <w:r w:rsidR="00921AE7" w:rsidRPr="00B24172">
        <w:rPr>
          <w:rFonts w:asciiTheme="majorBidi" w:hAnsiTheme="majorBidi" w:cstheme="majorBidi"/>
        </w:rPr>
        <w:t xml:space="preserve"> and millions </w:t>
      </w:r>
      <w:r w:rsidRPr="00B24172">
        <w:rPr>
          <w:rFonts w:asciiTheme="majorBidi" w:hAnsiTheme="majorBidi" w:cstheme="majorBidi"/>
        </w:rPr>
        <w:t xml:space="preserve">more </w:t>
      </w:r>
      <w:r w:rsidR="00921AE7" w:rsidRPr="00B24172">
        <w:rPr>
          <w:rFonts w:asciiTheme="majorBidi" w:hAnsiTheme="majorBidi" w:cstheme="majorBidi"/>
        </w:rPr>
        <w:t>fac</w:t>
      </w:r>
      <w:r w:rsidR="00FA50CD" w:rsidRPr="00B24172">
        <w:rPr>
          <w:rFonts w:asciiTheme="majorBidi" w:hAnsiTheme="majorBidi" w:cstheme="majorBidi"/>
        </w:rPr>
        <w:t>e</w:t>
      </w:r>
      <w:r w:rsidR="00921AE7" w:rsidRPr="00B24172">
        <w:rPr>
          <w:rFonts w:asciiTheme="majorBidi" w:hAnsiTheme="majorBidi" w:cstheme="majorBidi"/>
        </w:rPr>
        <w:t xml:space="preserve"> serious diseases such as lung infection</w:t>
      </w:r>
      <w:r w:rsidR="00187CA2" w:rsidRPr="00B24172">
        <w:rPr>
          <w:rFonts w:asciiTheme="majorBidi" w:hAnsiTheme="majorBidi" w:cstheme="majorBidi"/>
        </w:rPr>
        <w:t>s</w:t>
      </w:r>
      <w:r w:rsidR="00921AE7" w:rsidRPr="00B24172">
        <w:rPr>
          <w:rFonts w:asciiTheme="majorBidi" w:hAnsiTheme="majorBidi" w:cstheme="majorBidi"/>
        </w:rPr>
        <w:t xml:space="preserve">, asthma, </w:t>
      </w:r>
      <w:r w:rsidR="00F61B82" w:rsidRPr="00B24172">
        <w:rPr>
          <w:rFonts w:asciiTheme="majorBidi" w:eastAsiaTheme="minorEastAsia" w:hAnsiTheme="majorBidi" w:cstheme="majorBidi"/>
        </w:rPr>
        <w:t>tuberculosis</w:t>
      </w:r>
      <w:r w:rsidR="00921AE7" w:rsidRPr="00B24172">
        <w:rPr>
          <w:rFonts w:asciiTheme="majorBidi" w:eastAsiaTheme="minorEastAsia" w:hAnsiTheme="majorBidi" w:cstheme="majorBidi"/>
        </w:rPr>
        <w:t xml:space="preserve">, </w:t>
      </w:r>
      <w:r w:rsidR="00921AE7" w:rsidRPr="00B24172">
        <w:rPr>
          <w:rFonts w:asciiTheme="majorBidi" w:hAnsiTheme="majorBidi" w:cstheme="majorBidi"/>
        </w:rPr>
        <w:t xml:space="preserve">sinus problems, </w:t>
      </w:r>
      <w:r w:rsidR="00921AE7" w:rsidRPr="00B24172">
        <w:rPr>
          <w:rFonts w:asciiTheme="majorBidi" w:eastAsiaTheme="minorEastAsia" w:hAnsiTheme="majorBidi" w:cstheme="majorBidi"/>
        </w:rPr>
        <w:t xml:space="preserve">cardiovascular disease, and cancer </w:t>
      </w:r>
      <w:r w:rsidR="00921AE7" w:rsidRPr="00B24172">
        <w:rPr>
          <w:rFonts w:asciiTheme="majorBidi" w:eastAsiaTheme="minorEastAsia" w:hAnsiTheme="majorBidi" w:cstheme="majorBidi"/>
        </w:rPr>
        <w:fldChar w:fldCharType="begin"/>
      </w:r>
      <w:r w:rsidR="00A260FD" w:rsidRPr="00B24172">
        <w:rPr>
          <w:rFonts w:asciiTheme="majorBidi" w:eastAsiaTheme="minorEastAsia" w:hAnsiTheme="majorBidi" w:cstheme="majorBidi"/>
        </w:rPr>
        <w:instrText xml:space="preserve"> ADDIN ZOTERO_ITEM CSL_CITATION {"citationID":"a1p9gn1vrs4","properties":{"formattedCitation":"(Kim, Jahan, &amp; Kabir, 2011; Lakshmi et al., 2012; Mishra, 2003)","plainCitation":"(Kim, Jahan, &amp; Kabir, 2011; Lakshmi et al., 2012; Mishra, 2003)","dontUpdate":true,"noteIndex":0},"citationItems":[{"id":"yPj1CNji/hmW3NpN9","uris":["http://zotero.org/users/2699952/items/FI283BZJ"],"uri":["http://zotero.org/users/2699952/items/FI283BZJ"],"itemData":{"id":34,"type":"article-journal","title":"A review of diseases associated with household air pollution due to the use of biomass fuels","container-title":"Journal of Hazardous Materials","page":"425-431","volume":"192","issue":"2","source":"ScienceDirect","abstract":"Nearly one third of the world's population use biomass fuels such as coal, wood, animal dung, and crop residues as their primary source of domestic energy. Due to their incomplete combustion, a multitude of pollutants associated with high levels of indoor air pollution (IAP) are released which include suspended particulate matter (SPM), carbon monoxide, formaldehyde, nitrogen dioxide, polycyclic aromatic hydrocarbons (PAH), etc. There is a line of evidence that exposure to those pollutants can lead to increased risk of diseases including respiratory infections (e.g., pneumonia, tuberculosis and chronic obstructive pulmonary disease (COPD), lung cancer, and asthma), low birth weight, cataracts, and cardiovascular events. It is one of the major global public health threats that require greater efforts for prevention through research and policy-making. This review summarizes the available information on potential health risks associated with biomass fuel use.","DOI":"10.1016/j.jhazmat.2011.05.087","ISSN":"0304-3894","journalAbbreviation":"Journal of Hazardous Materials","author":[{"family":"Kim","given":"Ki-Hyun"},{"family":"Jahan","given":"Shamin Ara"},{"family":"Kabir","given":"Ehsanul"}],"issued":{"date-parts":[["2011",8,30]]}}},{"id":"yPj1CNji/2Oi6ENVh","uris":["http://zotero.org/users/2699952/items/EFQ7I7KC"],"uri":["http://zotero.org/users/2699952/items/EFQ7I7KC"],"itemData":{"id":612,"type":"article-journal","title":"Biomass fuel and risk of tuberculosis: a case—control study from Northern India","container-title":"Journal of Epidemiology and Community Health (1979-)","page":"457-461","volume":"66","issue":"5","source":"JSTOR","abstract":"Background Although a known risk factor for several respiratory diseases, the relationship between cooking smoke and tuberculosis has not been conclusively established. Hence, a case—control study was conducted among adult women of Chandigarh Union Territory in India. Methods Physician-diagnosed cases of sputum positive pulmonary tuberculosis (n=126) and age- and residence area-matched controls (n=252) were enrolled from clinics in urban, rural and slum areas. Interviews were conducted in the clinic using a pretested questionnaire to collect information on type of cooking fuel, education, occupation, socio-economic status, smoking, overcrowding and type of kitchen, etc. The conditional logistic regression model was used for control of confounding. Results The study population was predominantly in the 20—29-year-old age group (58%) and lived in urban areas (67%). The majority were illiterate (52%) and housewives (93%), and nearly half (46%) had an income of no more than Rs 25 000. Among the cases, 20.6%, 27% and 52.4% used biomass fuel, kerosene and liquid petroleum gas (LPG), respectively, whereas among controls, the respective figures were: 12.3%, 26.2% and 61.5%. The unadjusted OR for biomass fuel compared with LPG was 2.33 (95% CI 1.18 to 4.59, p 0.01). Adjustment for confounding factors (education, type of kitchen, smoking tobacco and TB in a family member) and interaction between cooking fuel and smoker in family revealed an OR of 3.14 (95% CI 1.15 to 8.56, p=0.02) for biomass fuel in comparison with LPG. Conclusions Cooking with biomass fuel increases the risk for pulmonary tuberculosis.","ISSN":"0143-005X","shortTitle":"Biomass fuel and risk of tuberculosis","journalAbbreviation":"Journal of Epidemiology and Community Health (1979-)","author":[{"family":"Lakshmi","given":"P V M"},{"family":"Virdi","given":"Navkiran Kaur"},{"family":"Thakur","given":"J S"},{"family":"Smith","given":"Kirk R"},{"family":"Bates","given":"Michael N"},{"family":"Kumar","given":"Rajesh"}],"issued":{"date-parts":[["2012"]]}}},{"id":"yPj1CNji/Sj3ozbDq","uris":["http://zotero.org/users/2699952/items/I2SFST6T"],"uri":["http://zotero.org/users/2699952/items/I2SFST6T"],"itemData":{"id":137,"type":"article-journal","title":"Indoor air pollution from biomass combustion and acute respiratory illness in preschool age children in Zimbabwe","container-title":"International Journal of Epidemiology","page":"847-853","volume":"32","issue":"5","source":"ije.oxfordjournals.org","abstract":"Background Reliance on biomass for cooking and heating exposes many women and young children in developing countries to high levels of air pollution indoors. This study investigated the association between household use of biomass fuels for cooking and acute respiratory infections (ARI) in preschool age children (&lt;5 years) in Zimbabwe.\nMethods Analysis is based on 3559 children age 0–59 months included in the 1999 Zimbabwe Demographic and Health Survey (ZDHS). Children who suffered from cough accompanied by short, rapid breathing during the 2 weeks preceding the survey were defined as having suffered from ARI. Logistic regression was used to estimate the odds of suffering from ARI among children from households using biomass fuels (wood, dung, or straw) relative to children from households using cleaner fuels (liquid petroleum gas [LPG]/natural gas, or electricity), after controlling for potentially confounding factors.\nResults About two-thirds (66%) of children lived in households using biomass fuels and 16% suffered from ARI during the 2 weeks preceding the survey interview. After adjusting for child’s age, sex, birth order, nutritional status, mother’s age at childbirth, education, religion, household living standard, and region of residence, children in households using wood, dung, or straw for cooking were more than twice as likely to have suffered from ARI as children from households using LPG/natural gas or electricity (OR = 2.20; 95% CI: 1.16, 4.19).\nConclusions Household use of high pollution biomass fuels is associated with ARI in children in Zimbabwe. The relationship needs to be further investigated using more direct measures of smoke exposure and clinical measures of ARI.","DOI":"10.1093/ije/dyg240","ISSN":"0300-5771, 1464-3685","note":"PMID: 14559763","journalAbbreviation":"Int. J. Epidemiol.","language":"en","author":[{"family":"Mishra","given":"Vinod"}],"issued":{"date-parts":[["2003",10,1]]}}}],"schema":"https://github.com/citation-style-language/schema/raw/master/csl-citation.json"} </w:instrText>
      </w:r>
      <w:r w:rsidR="00921AE7" w:rsidRPr="00B24172">
        <w:rPr>
          <w:rFonts w:asciiTheme="majorBidi" w:eastAsiaTheme="minorEastAsia" w:hAnsiTheme="majorBidi" w:cstheme="majorBidi"/>
        </w:rPr>
        <w:fldChar w:fldCharType="separate"/>
      </w:r>
      <w:r w:rsidR="00FE14FB" w:rsidRPr="00B24172">
        <w:rPr>
          <w:rFonts w:eastAsiaTheme="minorEastAsia"/>
        </w:rPr>
        <w:t xml:space="preserve">(Kim, Jahan </w:t>
      </w:r>
      <w:r w:rsidR="008525A5" w:rsidRPr="00B24172">
        <w:rPr>
          <w:rFonts w:eastAsiaTheme="minorEastAsia"/>
        </w:rPr>
        <w:t>and</w:t>
      </w:r>
      <w:r w:rsidR="00FE14FB" w:rsidRPr="00B24172">
        <w:rPr>
          <w:rFonts w:eastAsiaTheme="minorEastAsia"/>
        </w:rPr>
        <w:t xml:space="preserve"> Kabir 2011</w:t>
      </w:r>
      <w:r w:rsidR="009737DD" w:rsidRPr="00B24172">
        <w:rPr>
          <w:rFonts w:eastAsiaTheme="minorEastAsia"/>
        </w:rPr>
        <w:t>,</w:t>
      </w:r>
      <w:r w:rsidR="00FE14FB" w:rsidRPr="00B24172">
        <w:rPr>
          <w:rFonts w:eastAsiaTheme="minorEastAsia"/>
        </w:rPr>
        <w:t xml:space="preserve"> Lakshmi </w:t>
      </w:r>
      <w:r w:rsidR="00ED7A65" w:rsidRPr="00B24172">
        <w:rPr>
          <w:i/>
        </w:rPr>
        <w:t xml:space="preserve">et al. </w:t>
      </w:r>
      <w:r w:rsidR="00FE14FB" w:rsidRPr="00B24172">
        <w:rPr>
          <w:rFonts w:eastAsiaTheme="minorEastAsia"/>
        </w:rPr>
        <w:t>2012; Mishra 2003)</w:t>
      </w:r>
      <w:r w:rsidR="00921AE7" w:rsidRPr="00B24172">
        <w:rPr>
          <w:rFonts w:asciiTheme="majorBidi" w:eastAsiaTheme="minorEastAsia" w:hAnsiTheme="majorBidi" w:cstheme="majorBidi"/>
        </w:rPr>
        <w:fldChar w:fldCharType="end"/>
      </w:r>
      <w:r w:rsidR="00921AE7" w:rsidRPr="00B24172">
        <w:rPr>
          <w:rFonts w:asciiTheme="majorBidi" w:eastAsiaTheme="minorEastAsia" w:hAnsiTheme="majorBidi" w:cstheme="majorBidi"/>
        </w:rPr>
        <w:t xml:space="preserve">.  </w:t>
      </w:r>
      <w:r w:rsidRPr="00B24172">
        <w:rPr>
          <w:rFonts w:asciiTheme="majorBidi" w:eastAsiaTheme="minorEastAsia" w:hAnsiTheme="majorBidi" w:cstheme="majorBidi"/>
        </w:rPr>
        <w:t>In total</w:t>
      </w:r>
      <w:r w:rsidR="00921AE7" w:rsidRPr="00B24172">
        <w:rPr>
          <w:rFonts w:asciiTheme="majorBidi" w:eastAsiaTheme="minorEastAsia" w:hAnsiTheme="majorBidi" w:cstheme="majorBidi"/>
        </w:rPr>
        <w:t xml:space="preserve">, </w:t>
      </w:r>
      <w:r w:rsidR="005A2124" w:rsidRPr="00B24172">
        <w:rPr>
          <w:rFonts w:asciiTheme="majorBidi" w:hAnsiTheme="majorBidi" w:cstheme="majorBidi"/>
        </w:rPr>
        <w:t>pollution</w:t>
      </w:r>
      <w:r w:rsidRPr="00B24172">
        <w:rPr>
          <w:rFonts w:asciiTheme="majorBidi" w:hAnsiTheme="majorBidi" w:cstheme="majorBidi"/>
        </w:rPr>
        <w:t xml:space="preserve"> (of which IAP is one example)</w:t>
      </w:r>
      <w:r w:rsidR="00921AE7" w:rsidRPr="00B24172">
        <w:rPr>
          <w:rFonts w:asciiTheme="majorBidi" w:hAnsiTheme="majorBidi" w:cstheme="majorBidi"/>
        </w:rPr>
        <w:t xml:space="preserve"> is chiefly responsible for more deaths than AIDS, tuberculosis, obesity, malaria, child and maternal malnutrition, alcohol, road accidents, or war</w:t>
      </w:r>
      <w:r w:rsidR="00921AE7" w:rsidRPr="00B24172">
        <w:t xml:space="preserve"> </w:t>
      </w:r>
      <w:r w:rsidR="00921AE7" w:rsidRPr="00B24172">
        <w:fldChar w:fldCharType="begin"/>
      </w:r>
      <w:r w:rsidR="00A260FD" w:rsidRPr="00B24172">
        <w:instrText xml:space="preserve"> ADDIN ZOTERO_ITEM CSL_CITATION {"citationID":"bRMm6jNx","properties":{"formattedCitation":"(Landrigan et al., n.d.)","plainCitation":"(Landrigan et al., n.d.)","dontUpdate":true,"noteIndex":0},"citationItems":[{"id":"yPj1CNji/NuhOL0Fm","uris":["http://zotero.org/users/2699952/items/4VARPTNV"],"uri":["http://zotero.org/users/2699952/items/4VARPTNV"],"itemData":{"id":899,"type":"article-journal","title":"The Lancet Commission on pollution and health","container-title":"The Lancet","source":"ScienceDirect","URL":"https://www.sciencedirect.com/science/article/pii/S0140673617323450","DOI":"10.1016/S0140-6736(17)32345-0","ISSN":"0140-6736","journalAbbreviation":"The Lancet","author":[{"family":"Landrigan","given":"Philip J"},{"family":"Fuller","given":"Richard"},{"family":"Acosta","given":"Nereus J R"},{"family":"Adeyi","given":"Olusoji"},{"family":"Arnold","given":"Robert"},{"family":"Basu","given":"Niladri (Nil)"},{"family":"Baldé","given":"Abdoulaye Bibi"},{"family":"Bertollini","given":"Roberto"},{"family":"Bose-O'Reilly","given":"Stephan"},{"family":"Boufford","given":"Jo Ivey"},{"family":"Breysse","given":"Patrick N"},{"family":"Chiles","given":"Thomas"},{"family":"Mahidol","given":"Chulabhorn"},{"family":"Coll-Seck","given":"Awa M"},{"family":"Cropper","given":"Maureen L"},{"family":"Fobil","given":"Julius"},{"family":"Fuster","given":"Valentin"},{"family":"Greenstone","given":"Michael"},{"family":"Haines","given":"Andy"},{"family":"Hanrahan","given":"David"},{"family":"Hunter","given":"David"},{"family":"Khare","given":"Mukesh"},{"family":"Krupnick","given":"Alan"},{"family":"Lanphear","given":"Bruce"},{"family":"Lohani","given":"Bindu"},{"family":"Martin","given":"Keith"},{"family":"Mathiasen","given":"Karen V"},{"family":"McTeer","given":"Maureen A"},{"family":"Murray","given":"Christopher J L"},{"family":"Ndahimananjara","given":"Johanita D"},{"family":"Perera","given":"Frederica"},{"family":"Potočnik","given":"Janez"},{"family":"Preker","given":"Alexander S"},{"family":"Ramesh","given":"Jairam"},{"family":"Rockström","given":"Johan"},{"family":"Salinas","given":"Carlos"},{"family":"Samson","given":"Leona D"},{"family":"Sandilya","given":"Karti"},{"family":"Sly","given":"Peter D"},{"family":"Smith","given":"Kirk R"},{"family":"Steiner","given":"Achim"},{"family":"Stewart","given":"Richard B"},{"family":"Suk","given":"William A"},{"family":"Schayck","given":"Onno C P","non-dropping-particle":"van"},{"family":"Yadama","given":"Gautam N"},{"family":"Yumkella","given":"Kandeh"},{"family":"Zhong","given":"Ma"}]}}],"schema":"https://github.com/citation-style-language/schema/raw/master/csl-citation.json"} </w:instrText>
      </w:r>
      <w:r w:rsidR="00921AE7" w:rsidRPr="00B24172">
        <w:fldChar w:fldCharType="separate"/>
      </w:r>
      <w:r w:rsidR="00921AE7" w:rsidRPr="00B24172">
        <w:t xml:space="preserve">(Landrigan </w:t>
      </w:r>
      <w:r w:rsidR="00ED7A65" w:rsidRPr="00B24172">
        <w:rPr>
          <w:i/>
        </w:rPr>
        <w:t>et al.</w:t>
      </w:r>
      <w:r w:rsidR="00921AE7" w:rsidRPr="00B24172">
        <w:t>2017)</w:t>
      </w:r>
      <w:r w:rsidR="00921AE7" w:rsidRPr="00B24172">
        <w:fldChar w:fldCharType="end"/>
      </w:r>
      <w:r w:rsidR="00921AE7" w:rsidRPr="00B24172">
        <w:t>.</w:t>
      </w:r>
      <w:r w:rsidR="00A048B2" w:rsidRPr="00B24172">
        <w:t xml:space="preserve"> </w:t>
      </w:r>
      <w:r w:rsidRPr="00B24172">
        <w:t>Moreover</w:t>
      </w:r>
      <w:r w:rsidR="0013261C" w:rsidRPr="00B24172">
        <w:t xml:space="preserve">, </w:t>
      </w:r>
      <w:r w:rsidR="0013261C" w:rsidRPr="00B24172">
        <w:rPr>
          <w:rFonts w:asciiTheme="majorBidi" w:hAnsiTheme="majorBidi" w:cstheme="majorBidi"/>
          <w:lang w:val="en-NZ" w:eastAsia="zh-CN"/>
        </w:rPr>
        <w:t xml:space="preserve">various studies have found </w:t>
      </w:r>
      <w:r w:rsidR="00FA50CD" w:rsidRPr="00B24172">
        <w:rPr>
          <w:rFonts w:asciiTheme="majorBidi" w:hAnsiTheme="majorBidi" w:cstheme="majorBidi"/>
          <w:lang w:val="en-NZ" w:eastAsia="zh-CN"/>
        </w:rPr>
        <w:t xml:space="preserve">a </w:t>
      </w:r>
      <w:r w:rsidR="0013261C" w:rsidRPr="00B24172">
        <w:rPr>
          <w:rFonts w:asciiTheme="majorBidi" w:hAnsiTheme="majorBidi" w:cstheme="majorBidi"/>
          <w:lang w:val="en-NZ" w:eastAsia="zh-CN"/>
        </w:rPr>
        <w:t xml:space="preserve">positive association between </w:t>
      </w:r>
      <w:r w:rsidR="00962D3F" w:rsidRPr="00B24172">
        <w:rPr>
          <w:rFonts w:asciiTheme="majorBidi" w:hAnsiTheme="majorBidi" w:cstheme="majorBidi"/>
          <w:lang w:val="en-NZ" w:eastAsia="zh-CN"/>
        </w:rPr>
        <w:t>IAP</w:t>
      </w:r>
      <w:r w:rsidR="0013261C" w:rsidRPr="00B24172">
        <w:rPr>
          <w:rFonts w:asciiTheme="majorBidi" w:hAnsiTheme="majorBidi" w:cstheme="majorBidi"/>
          <w:lang w:val="en-NZ" w:eastAsia="zh-CN"/>
        </w:rPr>
        <w:t xml:space="preserve"> </w:t>
      </w:r>
      <w:r w:rsidR="00F53540" w:rsidRPr="00B24172">
        <w:rPr>
          <w:rFonts w:asciiTheme="majorBidi" w:hAnsiTheme="majorBidi" w:cstheme="majorBidi"/>
          <w:lang w:val="en-NZ" w:eastAsia="zh-CN"/>
        </w:rPr>
        <w:t>and ill health</w:t>
      </w:r>
      <w:r w:rsidRPr="00B24172">
        <w:rPr>
          <w:rFonts w:asciiTheme="majorBidi" w:hAnsiTheme="majorBidi" w:cstheme="majorBidi"/>
          <w:lang w:val="en-NZ" w:eastAsia="zh-CN"/>
        </w:rPr>
        <w:t>,</w:t>
      </w:r>
      <w:r w:rsidR="00F53540" w:rsidRPr="00B24172">
        <w:rPr>
          <w:rFonts w:asciiTheme="majorBidi" w:hAnsiTheme="majorBidi" w:cstheme="majorBidi"/>
          <w:lang w:val="en-NZ" w:eastAsia="zh-CN"/>
        </w:rPr>
        <w:t xml:space="preserve"> a</w:t>
      </w:r>
      <w:r w:rsidR="0013261C" w:rsidRPr="00B24172">
        <w:rPr>
          <w:rFonts w:asciiTheme="majorBidi" w:hAnsiTheme="majorBidi" w:cstheme="majorBidi"/>
          <w:lang w:val="en-NZ" w:eastAsia="zh-CN"/>
        </w:rPr>
        <w:t xml:space="preserve">nd </w:t>
      </w:r>
      <w:r w:rsidR="00FA50CD" w:rsidRPr="00B24172">
        <w:rPr>
          <w:rFonts w:asciiTheme="majorBidi" w:hAnsiTheme="majorBidi" w:cstheme="majorBidi"/>
          <w:lang w:val="en-NZ" w:eastAsia="zh-CN"/>
        </w:rPr>
        <w:t xml:space="preserve">have </w:t>
      </w:r>
      <w:r w:rsidR="0013261C" w:rsidRPr="00B24172">
        <w:rPr>
          <w:rFonts w:asciiTheme="majorBidi" w:hAnsiTheme="majorBidi" w:cstheme="majorBidi"/>
          <w:lang w:val="en-NZ" w:eastAsia="zh-CN"/>
        </w:rPr>
        <w:t xml:space="preserve">suggested that </w:t>
      </w:r>
      <w:r w:rsidRPr="00B24172">
        <w:rPr>
          <w:rFonts w:asciiTheme="majorBidi" w:hAnsiTheme="majorBidi" w:cstheme="majorBidi"/>
          <w:lang w:val="en-NZ" w:eastAsia="zh-CN"/>
        </w:rPr>
        <w:t xml:space="preserve">use of </w:t>
      </w:r>
      <w:r w:rsidR="0013261C" w:rsidRPr="00B24172">
        <w:rPr>
          <w:rFonts w:asciiTheme="majorBidi" w:hAnsiTheme="majorBidi" w:cstheme="majorBidi"/>
          <w:lang w:val="en-NZ" w:eastAsia="zh-CN"/>
        </w:rPr>
        <w:t>cleaner fuels can save lives</w:t>
      </w:r>
      <w:r w:rsidR="00FA50CD" w:rsidRPr="00B24172">
        <w:rPr>
          <w:rFonts w:asciiTheme="majorBidi" w:hAnsiTheme="majorBidi" w:cstheme="majorBidi"/>
          <w:lang w:val="en-NZ" w:eastAsia="zh-CN"/>
        </w:rPr>
        <w:t>,</w:t>
      </w:r>
      <w:r w:rsidR="0013261C" w:rsidRPr="00B24172">
        <w:rPr>
          <w:rFonts w:asciiTheme="majorBidi" w:hAnsiTheme="majorBidi" w:cstheme="majorBidi"/>
          <w:lang w:val="en-NZ" w:eastAsia="zh-CN"/>
        </w:rPr>
        <w:t xml:space="preserve"> and </w:t>
      </w:r>
      <w:r w:rsidRPr="00B24172">
        <w:rPr>
          <w:rFonts w:asciiTheme="majorBidi" w:hAnsiTheme="majorBidi" w:cstheme="majorBidi"/>
          <w:lang w:val="en-NZ" w:eastAsia="zh-CN"/>
        </w:rPr>
        <w:t xml:space="preserve">lead to </w:t>
      </w:r>
      <w:r w:rsidR="0013261C" w:rsidRPr="00B24172">
        <w:rPr>
          <w:rFonts w:asciiTheme="majorBidi" w:hAnsiTheme="majorBidi" w:cstheme="majorBidi"/>
          <w:lang w:val="en-NZ" w:eastAsia="zh-CN"/>
        </w:rPr>
        <w:t xml:space="preserve">health and environmental benefits </w:t>
      </w:r>
      <w:r w:rsidR="00457422" w:rsidRPr="00B24172">
        <w:rPr>
          <w:rFonts w:asciiTheme="majorBidi" w:hAnsiTheme="majorBidi" w:cstheme="majorBidi"/>
          <w:lang w:val="en-NZ" w:eastAsia="zh-CN"/>
        </w:rPr>
        <w:t>(</w:t>
      </w:r>
      <w:r w:rsidR="00457422"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{"citationID":"a13cd1bt0tn","properties":{"formattedCitation":"(Barnes et al., 2004; Bruce, Perez-Padilla, &amp; Albalak, 2000; Duflo, Greenstone, &amp; Hanna, 2008; Ezzati, 2005; Fullerton, Bruce, &amp; Gordon, 2008)","plainCitation":"(Barnes et al., 2004; Bruce, Perez-Padilla, &amp; Albalak, 2000; Duflo, Greenstone, &amp; Hanna, 2008; Ezzati, 2005; Fullerton, Bruce, &amp; Gordon, 2008)","dontUpdate":true,"noteIndex":0},"citationItems":[{"id":"yPj1CNji/m9fc7GZK","uris":["http://zotero.org/users/2699952/items/2ARIDGPV"],"uri":["http://zotero.org/users/2699952/items/2ARIDGPV"],"itemData":{"id":1084,"type":"article-journal","title":"Testing selected behaviors to reduce indoor air pollution exposure in young children","container-title":"Health Education Research","page":"543-550","volume":"19","issue":"5","source":"academic.oup.com","abstract":"Indoor air pollution is responsible for the deaths and illness of millions of young children in developing countries. This study investigated the acceptability (willingness to try) and feasibility (ability to perform) of four indoor air pollution reduction behaviors (improve stove maintenance practices, child location practices, ventilation practices and reduce the duration of solid fuel burning). The study further aimed to identify the motivations for and barriers against modifying the behaviors, the perceived impact of the behaviors on children's respiratory health, and families intention to continue with the behaviors. Thirty families in a rural village of South Africa tried out one or more of the behaviors over a 4-week trial period during winter 2002. Improving stove maintenance and reducing the duration of solid fuel burning proved to be very difficult for most families. It is recommended that the main intervention should focus on improving child location and ventilation practices.","DOI":"10.1093/her/cyg075","ISSN":"0268-1153","journalAbbreviation":"Health Educ Res","language":"en","author":[{"family":"Barnes","given":"B. R."},{"family":"Mathee","given":"A."},{"family":"Krieger","given":"L."},{"family":"Shafritz","given":"L."},{"family":"Favin","given":"M."},{"family":"Sherburne","given":"L."}],"issued":{"date-parts":[["2004",10,1]]}}},{"id":"yPj1CNji/0AuMNByn","uris":["http://zotero.org/users/2699952/items/FQBGMREA"],"uri":["http://zotero.org/users/2699952/items/FQBGMREA"],"itemData":{"id":231,"type":"article-journal","title":"Indoor air pollution in developing countries: a major environmental and public health challenge","container-title":"Bulletin of the World Health Organization","page":"1078-1092","volume":"78","issue":"9","source":"SciELO","DOI":"10.1590/S0042-96862000000900004","ISSN":"0042-9686","shortTitle":"Indoor air pollution in developing countries","author":[{"family":"Bruce","given":"Nigel"},{"family":"Perez-Padilla","given":"Rogelio"},{"family":"Albalak","given":"Rachel"}],"issued":{"date-parts":[["2000",1]]}}},{"id":"yPj1CNji/4TcKxq2F","uris":["http://zotero.org/users/2699952/items/T67GZD73"],"uri":["http://zotero.org/users/2699952/items/T67GZD73"],"itemData":{"id":1088,"type":"article-journal","title":"Indoor air pollution, health and economic well-being","container-title":"S.A.P.I.EN.S. Surveys and Perspectives Integrating Environment and Society","issue":"1.1","source":"journals.openedition.org","abstract":"Indoor air pollution (IAP) caused by solid fuel use and/or traditional cooking stoves is a global health threat, particularly for women and young children. The WHO World Health Report 2002 estimates that IAP is responsible for 2.7% of the loss of disability adjusted life years (DALYs) worldwide and 3.7% in high mortality developing countries. Despite the magnitude of this problem, social scientists have only recently begun to pay closer attention to this issue and to test strategies for reducing IAP. In this paper, we provide a survey of the current literature on the relationship between indoor air pollution, respiratory health and economic well-being. We then discuss the available evidence on the effectiveness of popular policy prescriptions to reduce IAP within the household.","URL":"http://journals.openedition.org/sapiens/130","ISSN":"1993-3800","language":"en","author":[{"family":"Duflo","given":"Esther"},{"family":"Greenstone","given":"Michael"},{"family":"Hanna","given":"Rema"}],"issued":{"date-parts":[["2008",11,26]]},"accessed":{"date-parts":[["2018",3,15]]}}},{"id":"yPj1CNji/tKcwrzHY","uris":["http://zotero.org/users/2699952/items/J5D8JZFN"],"uri":["http://zotero.org/users/2699952/items/J5D8JZFN"],"itemData":{"id":1078,"type":"article-journal","title":"Indoor air pollution and health in developing countries","container-title":"The Lancet","page":"104-106","volume":"366","issue":"9480","source":"www.thelancet.com","DOI":"10.1016/S0140-6736(05)66845-6","ISSN":"0140-6736, 1474-547X","note":"PMID: 16005317, 16005317","journalAbbreviation":"The Lancet","language":"English","author":[{"family":"Ezzati","given":"Majid"}],"issued":{"date-parts":[["2005",7,9]]}}},{"id":"yPj1CNji/nFxZ6Ecm","uris":["http://zotero.org/users/2699952/items/M7SQUMXV"],"uri":["http://zotero.org/users/2699952/items/M7SQUMXV"],"itemData":{"id":861,"type":"article-journal","title":"Indoor air pollution from biomass fuel smoke is a major health concern in the developing world","container-title":"Transactions of The Royal Society of Tropical Medicine and Hygiene","page":"843-851","volume":"102","issue":"9","source":"academic.oup.com","DOI":"10.1016/j.trstmh.2008.05.028","ISSN":"0035-9203","journalAbbreviation":"Trans R Soc Trop Med Hyg","author":[{"family":"Fullerton","given":"Duncan G."},{"family":"Bruce","given":"Nigel"},{"family":"Gordon","given":"Stephen B."}],"issued":{"date-parts":[["2008",9,1]]}}}],"schema":"https://github.com/citation-style-language/schema/raw/master/csl-citation.json"} </w:instrText>
      </w:r>
      <w:r w:rsidR="00457422" w:rsidRPr="00B24172">
        <w:rPr>
          <w:rFonts w:asciiTheme="majorBidi" w:hAnsiTheme="majorBidi" w:cstheme="majorBidi"/>
          <w:lang w:val="en-NZ" w:eastAsia="zh-CN"/>
        </w:rPr>
        <w:fldChar w:fldCharType="separate"/>
      </w:r>
      <w:r w:rsidR="00457422" w:rsidRPr="00B24172">
        <w:rPr>
          <w:lang w:val="en-NZ"/>
        </w:rPr>
        <w:t xml:space="preserve">Barnes </w:t>
      </w:r>
      <w:r w:rsidR="00ED7A65" w:rsidRPr="00B24172">
        <w:rPr>
          <w:i/>
        </w:rPr>
        <w:t>et al.</w:t>
      </w:r>
      <w:r w:rsidR="00457422" w:rsidRPr="00B24172">
        <w:rPr>
          <w:lang w:val="en-NZ"/>
        </w:rPr>
        <w:t xml:space="preserve"> 2004</w:t>
      </w:r>
      <w:r w:rsidR="009737DD" w:rsidRPr="00B24172">
        <w:rPr>
          <w:lang w:val="en-NZ"/>
        </w:rPr>
        <w:t>,</w:t>
      </w:r>
      <w:r w:rsidR="00457422" w:rsidRPr="00B24172">
        <w:rPr>
          <w:lang w:val="en-NZ"/>
        </w:rPr>
        <w:t xml:space="preserve"> Bruce, Perez-Padilla </w:t>
      </w:r>
      <w:r w:rsidR="008525A5" w:rsidRPr="00B24172">
        <w:rPr>
          <w:lang w:val="en-NZ"/>
        </w:rPr>
        <w:t>and</w:t>
      </w:r>
      <w:r w:rsidR="00457422" w:rsidRPr="00B24172">
        <w:rPr>
          <w:lang w:val="en-NZ"/>
        </w:rPr>
        <w:t xml:space="preserve"> Albalak 2000</w:t>
      </w:r>
      <w:r w:rsidR="009737DD" w:rsidRPr="00B24172">
        <w:rPr>
          <w:lang w:val="en-NZ"/>
        </w:rPr>
        <w:t>,</w:t>
      </w:r>
      <w:r w:rsidR="00457422" w:rsidRPr="00B24172">
        <w:rPr>
          <w:lang w:val="en-NZ"/>
        </w:rPr>
        <w:t xml:space="preserve"> Duflo, Greenstone </w:t>
      </w:r>
      <w:r w:rsidR="008525A5" w:rsidRPr="00B24172">
        <w:rPr>
          <w:lang w:val="en-NZ"/>
        </w:rPr>
        <w:t>and</w:t>
      </w:r>
      <w:r w:rsidR="00457422" w:rsidRPr="00B24172">
        <w:rPr>
          <w:lang w:val="en-NZ"/>
        </w:rPr>
        <w:t xml:space="preserve"> Hanna 2008</w:t>
      </w:r>
      <w:r w:rsidR="009737DD" w:rsidRPr="00B24172">
        <w:rPr>
          <w:lang w:val="en-NZ"/>
        </w:rPr>
        <w:t>,</w:t>
      </w:r>
      <w:r w:rsidR="00457422" w:rsidRPr="00B24172">
        <w:rPr>
          <w:lang w:val="en-NZ"/>
        </w:rPr>
        <w:t xml:space="preserve"> Ezzati 2005</w:t>
      </w:r>
      <w:r w:rsidR="009737DD" w:rsidRPr="00B24172">
        <w:rPr>
          <w:lang w:val="en-NZ"/>
        </w:rPr>
        <w:t>,</w:t>
      </w:r>
      <w:r w:rsidR="00457422" w:rsidRPr="00B24172">
        <w:rPr>
          <w:lang w:val="en-NZ"/>
        </w:rPr>
        <w:t xml:space="preserve"> Fullerton, Bruce </w:t>
      </w:r>
      <w:r w:rsidR="008525A5" w:rsidRPr="00B24172">
        <w:rPr>
          <w:lang w:val="en-NZ"/>
        </w:rPr>
        <w:t>and</w:t>
      </w:r>
      <w:r w:rsidR="00457422" w:rsidRPr="00B24172">
        <w:rPr>
          <w:lang w:val="en-NZ"/>
        </w:rPr>
        <w:t xml:space="preserve"> Gordon 2008)</w:t>
      </w:r>
      <w:r w:rsidR="00457422" w:rsidRPr="00B24172">
        <w:rPr>
          <w:rFonts w:asciiTheme="majorBidi" w:hAnsiTheme="majorBidi" w:cstheme="majorBidi"/>
          <w:lang w:val="en-NZ" w:eastAsia="zh-CN"/>
        </w:rPr>
        <w:fldChar w:fldCharType="end"/>
      </w:r>
      <w:r w:rsidR="0013261C" w:rsidRPr="00B24172">
        <w:rPr>
          <w:rFonts w:asciiTheme="majorBidi" w:hAnsiTheme="majorBidi" w:cstheme="majorBidi"/>
          <w:lang w:val="en-NZ" w:eastAsia="zh-CN"/>
        </w:rPr>
        <w:t>.</w:t>
      </w:r>
    </w:p>
    <w:p w14:paraId="365B25AC" w14:textId="77777777" w:rsidR="00120E4B" w:rsidRPr="00B24172" w:rsidRDefault="00120E4B" w:rsidP="00BF2AB8">
      <w:pPr>
        <w:spacing w:line="288" w:lineRule="auto"/>
        <w:ind w:firstLine="720"/>
        <w:jc w:val="both"/>
      </w:pPr>
    </w:p>
    <w:p w14:paraId="2EC72A0F" w14:textId="5A64E90A" w:rsidR="00E011E3" w:rsidRPr="00B24172" w:rsidRDefault="00FF3CB3" w:rsidP="00FF3CB3">
      <w:pPr>
        <w:shd w:val="clear" w:color="auto" w:fill="FFFFFF"/>
        <w:spacing w:line="288" w:lineRule="auto"/>
        <w:ind w:right="26" w:firstLine="720"/>
        <w:jc w:val="both"/>
        <w:textAlignment w:val="baseline"/>
        <w:rPr>
          <w:rFonts w:asciiTheme="majorBidi" w:hAnsiTheme="majorBidi" w:cstheme="majorBidi"/>
          <w:lang w:val="en-NZ" w:eastAsia="zh-CN"/>
        </w:rPr>
      </w:pPr>
      <w:r w:rsidRPr="00B24172">
        <w:t>IAP arises from a combination of the choice of fuel by a household, the way that the households use the fuel, and the characteristics of the living environment Thus,</w:t>
      </w:r>
      <w:r w:rsidR="001D55CA" w:rsidRPr="00B24172">
        <w:t xml:space="preserve"> interventions</w:t>
      </w:r>
      <w:r w:rsidR="00275DEB" w:rsidRPr="00B24172">
        <w:rPr>
          <w:rStyle w:val="FootnoteReference"/>
        </w:rPr>
        <w:footnoteReference w:id="2"/>
      </w:r>
      <w:r w:rsidR="001D55CA" w:rsidRPr="00B24172">
        <w:t xml:space="preserve"> </w:t>
      </w:r>
      <w:r w:rsidRPr="00B24172">
        <w:t xml:space="preserve">to reduce IAP </w:t>
      </w:r>
      <w:r w:rsidR="00E011E3" w:rsidRPr="00B24172">
        <w:t>can be categorized in</w:t>
      </w:r>
      <w:r w:rsidR="00D03343" w:rsidRPr="00B24172">
        <w:t>to</w:t>
      </w:r>
      <w:r w:rsidR="00E011E3" w:rsidRPr="00B24172">
        <w:t xml:space="preserve"> three </w:t>
      </w:r>
      <w:r w:rsidR="00D03343" w:rsidRPr="00B24172">
        <w:t>types</w:t>
      </w:r>
      <w:r w:rsidR="00E011E3" w:rsidRPr="00B24172">
        <w:t xml:space="preserve">: (1) Interventions </w:t>
      </w:r>
      <w:r w:rsidRPr="00B24172">
        <w:t>affecting</w:t>
      </w:r>
      <w:r w:rsidR="00E011E3" w:rsidRPr="00B24172">
        <w:t xml:space="preserve"> the source of pollution; (2) Interventions </w:t>
      </w:r>
      <w:r w:rsidRPr="00B24172">
        <w:t>affecting</w:t>
      </w:r>
      <w:r w:rsidR="00D03343" w:rsidRPr="00B24172">
        <w:t xml:space="preserve"> </w:t>
      </w:r>
      <w:r w:rsidR="00E011E3" w:rsidRPr="00B24172">
        <w:t xml:space="preserve">the living environment; and (3) Interventions to change user’s behavior </w:t>
      </w:r>
      <w:r w:rsidR="00E011E3" w:rsidRPr="00B24172">
        <w:fldChar w:fldCharType="begin"/>
      </w:r>
      <w:r w:rsidR="00A260FD" w:rsidRPr="00B24172">
        <w:instrText xml:space="preserve"> ADDIN ZOTERO_ITEM CSL_CITATION {"citationID":"LvGMDy4j","properties":{"formattedCitation":"(Mehta &amp; Shahpar, 2004; Quansah et al., 2015)","plainCitation":"(Mehta &amp; Shahpar, 2004; Quansah et al., 2015)","dontUpdate":true,"noteIndex":0},"citationItems":[{"id":"yPj1CNji/HljaxTcl","uris":["http://zotero.org/users/2699952/items/ZAN4GF2M"],"uri":["http://zotero.org/users/2699952/items/ZAN4GF2M"],"itemData":{"id":184,"type":"article-journal","title":"The health benefits of interventions to reduce indoor air pollution from solid fuel use: a cost-effectiveness analysis","container-title":"Energy for Sustainable Development","page":"53-59","volume":"8","issue":"3","source":"ScienceDirect","abstract":"The air pollution-related health benefits of interventions to reduce indoor air pollution from cooking and heating with solid fuels are evaluated in South and South-east Asia, Africa, and the Americas using generalized cost-effectiveness methodology. Three scenarios are assessed: 1) providing access to cleaner fuels, (2) providing access to improved stoves, and (3) providing part of the population with access to cleaner fuels and part of the population with improved stoves. All intervention scenarios are compared with the current situation, i.e., the “business as usual” scenario where current exposures to indoor air pollution from solid fuel use would be sustained. Two major health outcomes associated with indoor air pollution are addressed, namely acute lower respiratory infections (ALRI) in young children under five years of age and chronic obstructive pulmonary disease in adults over twenty. While providing access to cleaner fuels has a larger health impact on the population than improved stoves, there are considerable health benefits associated with improved stove use. Improved stoves are also much more cost-effective than cleaner fuels. Of the cleaner fuels, kerosene, or paraffin, is more cost-effective than liquified petroleum gas (LPG), since kerosene is cheaper than LPG. Concerns about kerosene use, including poisoning, explosions, and possible carcinogenic effects, should be carefully considered before recommending its widespread use over LPG, however. This analysis offers further support for the argument that, from a public health point of view, there should be a continued emphasis on the promotion of improved stoves, as well as other locally appropriate means to reduce exposures within solid fuel-using households, until everyone can be given access to cleaner fuels.","DOI":"10.1016/S0973-0826(08)60466-4","ISSN":"0973-0826","shortTitle":"The health benefits of interventions to reduce indoor air pollution from solid fuel use","journalAbbreviation":"Energy for Sustainable Development","author":[{"family":"Mehta","given":"Sumi"},{"family":"Shahpar","given":"Cyrus"}],"issued":{"date-parts":[["2004",9]]}}},{"id":"yPj1CNji/pWx2ADUw","uris":["http://zotero.org/users/2699952/items/PS94FKXB"],"uri":["http://zotero.org/users/2699952/items/PS94FKXB"],"itemData":{"id":1258,"type":"article-journal","title":"Effectiveness of interventions to reduce indoor air pollution and/or improve health in homes using solid fuel in lower and middle income countries: protocol for a systematic review","container-title":"Systematic Reviews","volume":"4","source":"PubMed Central","abstract":"Background\nIndoor air pollution (IAP) interventions are widely promoted as a means of reducing indoor air pollution/health from solid fuel use; and research addressing impact of these interventions has increased substantially in the past two decades. It is timely and important to understand more about effectiveness of these interventions. We describe the protocol of a systematic review to (i) evaluate effectiveness of IAP interventions to improve indoor air quality and/or health in homes using solid fuel for cooking and/or heating in lower- and middle-income countries, (ii) identify the most effective intervention to improve indoor air quality and/or health, and (iii) identify future research needs.\n\nMethods\nThis review will be conducted according to the National Institute for Health and Care Excellence (NICE) guidelines and will be reported following the PRISMA statement. Ovid MEDLINE, Ovid Embase, SCOPUS, and PubMed searches were conducted in September 2013 and updated in November 2014 (and include any further search updates in February 2015). Additional references will be located through searching the references cited by identified studies and through the World Health Organization Global database of household air pollution measurements. We will also search our own archives. Data extraction and risk of bias assessment of all included papers will be conducted independently by five reviewers.\n\nDiscussion\nThe study will provide insights into what interventions are most effective in reducing indoor air pollution and/or adverse health outcomes in homes using solid fuel for cooking or heating in lower- or middle-income countries. The findings from this review will be used to inform future IAP interventions and policy on poverty reduction and health improvement in poor communities who rely on biomass and solid fuels for cooking and heating.\n\nSystematic review registration\nThe review has been registered with PROSPERO (registration number CRD42014009768).\n\nElectronic supplementary material\nThe online version of this article (doi:10.1186/s13643-015-0012-8) contains supplementary material, which is available to authorized users.","URL":"https://www.ncbi.nlm.nih.gov/pmc/articles/PMC4378274/","DOI":"10.1186/s13643-015-0012-8","ISSN":"2046-4053","note":"PMID: 25875770\nPMCID: PMC4378274","shortTitle":"Effectiveness of interventions to reduce indoor air pollution and/or improve health in homes using solid fuel in lower and middle income countries","journalAbbreviation":"Syst Rev","author":[{"family":"Quansah","given":"Reginald"},{"family":"Ochieng","given":"Caroline A"},{"family":"Semple","given":"Sean"},{"family":"Juvekar","given":"Sanjar"},{"family":"Emina","given":"Jacques"},{"family":"Armah","given":"Frederick Ato"},{"family":"Luginaah","given":"Isaac"}],"issued":{"date-parts":[["2015",3,4]]},"accessed":{"date-parts":[["2018",6,6]]}}}],"schema":"https://github.com/citation-style-language/schema/raw/master/csl-citation.json"} </w:instrText>
      </w:r>
      <w:r w:rsidR="00E011E3" w:rsidRPr="00B24172">
        <w:fldChar w:fldCharType="separate"/>
      </w:r>
      <w:r w:rsidR="00E011E3" w:rsidRPr="00B24172">
        <w:t xml:space="preserve">(Mehta </w:t>
      </w:r>
      <w:r w:rsidR="008525A5" w:rsidRPr="00B24172">
        <w:t>and</w:t>
      </w:r>
      <w:r w:rsidR="00E011E3" w:rsidRPr="00B24172">
        <w:t xml:space="preserve"> Shahpar 2004</w:t>
      </w:r>
      <w:r w:rsidR="009737DD" w:rsidRPr="00B24172">
        <w:t>,</w:t>
      </w:r>
      <w:r w:rsidR="00E011E3" w:rsidRPr="00B24172">
        <w:t xml:space="preserve"> Quansah </w:t>
      </w:r>
      <w:r w:rsidR="00ED7A65" w:rsidRPr="00B24172">
        <w:rPr>
          <w:i/>
        </w:rPr>
        <w:t>et al.</w:t>
      </w:r>
      <w:r w:rsidR="00E011E3" w:rsidRPr="00B24172">
        <w:t xml:space="preserve"> 2015)</w:t>
      </w:r>
      <w:r w:rsidR="00E011E3" w:rsidRPr="00B24172">
        <w:fldChar w:fldCharType="end"/>
      </w:r>
      <w:r w:rsidR="00E011E3" w:rsidRPr="00B24172">
        <w:t xml:space="preserve">. In the first type of intervention, </w:t>
      </w:r>
      <w:r w:rsidR="002417CE" w:rsidRPr="00B24172">
        <w:t>IAP</w:t>
      </w:r>
      <w:r w:rsidR="00E011E3" w:rsidRPr="00B24172">
        <w:t xml:space="preserve"> can be reduced by switching from solid fuel to cleaner fuels. For instance, households may switch from</w:t>
      </w:r>
      <w:r w:rsidRPr="00B24172">
        <w:t xml:space="preserve"> using</w:t>
      </w:r>
      <w:r w:rsidR="00E011E3" w:rsidRPr="00B24172">
        <w:t xml:space="preserve"> coal, firewood, animal dung, or crop residues to electricity, </w:t>
      </w:r>
      <w:r w:rsidR="002417CE" w:rsidRPr="00B24172">
        <w:t>liquefied petroleum gas (</w:t>
      </w:r>
      <w:r w:rsidR="00E011E3" w:rsidRPr="00B24172">
        <w:t>LPG</w:t>
      </w:r>
      <w:r w:rsidR="002417CE" w:rsidRPr="00B24172">
        <w:t>)</w:t>
      </w:r>
      <w:r w:rsidR="00E011E3" w:rsidRPr="00B24172">
        <w:t xml:space="preserve">, piped natural gas, or biogas. </w:t>
      </w:r>
      <w:r w:rsidR="00E011E3" w:rsidRPr="00B24172">
        <w:rPr>
          <w:rFonts w:asciiTheme="majorBidi" w:hAnsiTheme="majorBidi" w:cstheme="majorBidi"/>
          <w:lang w:val="en-NZ" w:eastAsia="zh-CN"/>
        </w:rPr>
        <w:t xml:space="preserve">An example of the second type of intervention is improving ventilation of the cooking and living area. Examples of the third type of intervention include drying firewood before use, keeping young children away from smoke, and blowing out the fire immediately after cooking. </w:t>
      </w:r>
    </w:p>
    <w:p w14:paraId="7A05C600" w14:textId="77777777" w:rsidR="00A91CBB" w:rsidRPr="00B24172" w:rsidRDefault="00A91CBB" w:rsidP="00BF2AB8">
      <w:pPr>
        <w:shd w:val="clear" w:color="auto" w:fill="FFFFFF"/>
        <w:spacing w:line="288" w:lineRule="auto"/>
        <w:ind w:right="26" w:firstLine="720"/>
        <w:jc w:val="both"/>
        <w:textAlignment w:val="baseline"/>
        <w:rPr>
          <w:rFonts w:asciiTheme="majorBidi" w:hAnsiTheme="majorBidi" w:cstheme="majorBidi"/>
          <w:lang w:val="en-NZ" w:eastAsia="zh-CN"/>
        </w:rPr>
      </w:pPr>
    </w:p>
    <w:p w14:paraId="4588560F" w14:textId="0F73BD3F" w:rsidR="00FF3CB3" w:rsidRPr="00B24172" w:rsidRDefault="00FF3CB3" w:rsidP="00D54EFC">
      <w:pPr>
        <w:shd w:val="clear" w:color="auto" w:fill="FFFFFF"/>
        <w:spacing w:line="288" w:lineRule="auto"/>
        <w:ind w:right="26" w:firstLine="720"/>
        <w:jc w:val="both"/>
        <w:textAlignment w:val="baseline"/>
      </w:pPr>
      <w:r w:rsidRPr="00B24172">
        <w:t xml:space="preserve">Although </w:t>
      </w:r>
      <w:r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{"citationID":"4x0sdr9S","properties":{"formattedCitation":"(Malla, Bruce, Bates, &amp; Rehfuess, 2011)","plainCitation":"(Malla, Bruce, Bates, &amp; Rehfuess, 2011)","dontUpdate":true,"noteIndex":0},"citationItems":[{"id":"yPj1CNji/hp7p6PQY","uris":["http://zotero.org/users/2699952/items/CRU6GQE2"],"uri":["http://zotero.org/users/2699952/items/CRU6GQE2"],"itemData":{"id":24,"type":"article-journal","title":"Applying global cost-benefit analysis methods to indoor air pollution mitigation interventions in Nepal, Kenya and Sudan: Insights and challenges","container-title":"Energy Policy","collection-title":"Clean Cooking Fuels and Technologies in Developing Economies","page":"7518-7529","volume":"39","issue":"12","source":"ScienceDirect","abstract":"Indoor air pollution from burning solid fuels for cooking is a major environmental health problem in developing countries, predominantly affecting children and women. Traditional household energy practices also contribute to substantial time loss and drudgery among households. While effective interventions exist, levels of investment to date have been very low, in part due to lack of evidence on economic viability. Between 2004 and 2007, different combinations of interventions – improved stoves, smoke hoods and a switch to liquefied petroleum gas – were implemented in poor communities in Nepal, Sudan and Kenya. The impacts were extensively evaluated and provided the basis for a household-level cost-benefit analysis, which essentially followed the methodology proposed by the World Health Organization. The results suggest that interventions are justified on economic grounds with estimated internal rates of return of 19%, 429% and 62% in Nepal, Kenya and Sudan, respectively. Time savings constituted by far the most important benefit followed by fuel cost savings; direct health improvements were a small component of the overall benefit. This paper describes the methodology applied, discusses the findings and highlights the methodological challenges that arise when a global approach is applied to a local programme.","DOI":"10.1016/j.enpol.2011.06.031","ISSN":"0301-4215","shortTitle":"Applying global cost-benefit analysis methods to indoor air pollution mitigation interventions in Nepal, Kenya and Sudan","journalAbbreviation":"Energy Policy","author":[{"family":"Malla","given":"Min Bikram"},{"family":"Bruce","given":"Nigel"},{"family":"Bates","given":"Elizabeth"},{"family":"Rehfuess","given":"Eva"}],"issued":{"date-parts":[["2011",12]]}}}],"schema":"https://github.com/citation-style-language/schema/raw/master/csl-citation.json"} </w:instrText>
      </w:r>
      <w:r w:rsidRPr="00B24172">
        <w:rPr>
          <w:rFonts w:asciiTheme="majorBidi" w:hAnsiTheme="majorBidi" w:cstheme="majorBidi"/>
          <w:lang w:val="en-NZ" w:eastAsia="zh-CN"/>
        </w:rPr>
        <w:fldChar w:fldCharType="separate"/>
      </w:r>
      <w:r w:rsidRPr="00B24172">
        <w:rPr>
          <w:rFonts w:asciiTheme="majorBidi" w:hAnsiTheme="majorBidi" w:cstheme="majorBidi"/>
        </w:rPr>
        <w:t xml:space="preserve">Malla </w:t>
      </w:r>
      <w:r w:rsidRPr="00B24172">
        <w:rPr>
          <w:i/>
        </w:rPr>
        <w:t>et al.</w:t>
      </w:r>
      <w:r w:rsidRPr="00B24172">
        <w:rPr>
          <w:rFonts w:asciiTheme="majorBidi" w:hAnsiTheme="majorBidi" w:cstheme="majorBidi"/>
        </w:rPr>
        <w:t xml:space="preserve"> (2011) and </w:t>
      </w:r>
      <w:r w:rsidRPr="00B24172">
        <w:t xml:space="preserve">Hutton </w:t>
      </w:r>
      <w:r w:rsidRPr="00B24172">
        <w:rPr>
          <w:i/>
        </w:rPr>
        <w:t>et al.</w:t>
      </w:r>
      <w:r w:rsidRPr="00B24172">
        <w:t xml:space="preserve"> (2007)</w:t>
      </w:r>
      <w:r w:rsidRPr="00B24172">
        <w:rPr>
          <w:rFonts w:asciiTheme="majorBidi" w:hAnsiTheme="majorBidi" w:cstheme="majorBidi"/>
          <w:lang w:val="en-NZ" w:eastAsia="zh-CN"/>
        </w:rPr>
        <w:fldChar w:fldCharType="end"/>
      </w:r>
      <w:r w:rsidRPr="00B24172">
        <w:t xml:space="preserve"> provide </w:t>
      </w:r>
      <w:r w:rsidR="00D54EFC" w:rsidRPr="00B24172">
        <w:t>cost-benefit</w:t>
      </w:r>
      <w:r w:rsidRPr="00B24172">
        <w:t xml:space="preserve"> evaluations at the regional (multi-country) level, every country has different local</w:t>
      </w:r>
      <w:r w:rsidRPr="00B24172">
        <w:rPr>
          <w:rFonts w:asciiTheme="majorBidi" w:hAnsiTheme="majorBidi" w:cstheme="majorBidi"/>
          <w:lang w:val="en-NZ" w:eastAsia="zh-CN"/>
        </w:rPr>
        <w:t xml:space="preserve"> behaviours in terms of energy consumption, as well as differences in infrastructure and climate, which can impact the costs and benefits of interventions </w:t>
      </w:r>
      <w:r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{"citationID":"a253atdn69o","properties":{"formattedCitation":"(Fullerton et al., 2008)","plainCitation":"(Fullerton et al., 2008)","dontUpdate":true,"noteIndex":0},"citationItems":[{"id":"yPj1CNji/nFxZ6Ecm","uris":["http://zotero.org/users/2699952/items/M7SQUMXV"],"uri":["http://zotero.org/users/2699952/items/M7SQUMXV"],"itemData":{"id":861,"type":"article-journal","title":"Indoor air pollution from biomass fuel smoke is a major health concern in the developing world","container-title":"Transactions of The Royal Society of Tropical Medicine and Hygiene","page":"843-851","volume":"102","issue":"9","source":"academic.oup.com","DOI":"10.1016/j.trstmh.2008.05.028","ISSN":"0035-9203","journalAbbreviation":"Trans R Soc Trop Med Hyg","author":[{"family":"Fullerton","given":"Duncan G."},{"family":"Bruce","given":"Nigel"},{"family":"Gordon","given":"Stephen B."}],"issued":{"date-parts":[["2008",9,1]]}}}],"schema":"https://github.com/citation-style-language/schema/raw/master/csl-citation.json"} </w:instrText>
      </w:r>
      <w:r w:rsidRPr="00B24172">
        <w:rPr>
          <w:rFonts w:asciiTheme="majorBidi" w:hAnsiTheme="majorBidi" w:cstheme="majorBidi"/>
          <w:lang w:val="en-NZ" w:eastAsia="zh-CN"/>
        </w:rPr>
        <w:fldChar w:fldCharType="separate"/>
      </w:r>
      <w:r w:rsidRPr="00B24172">
        <w:t xml:space="preserve">(Fullerton </w:t>
      </w:r>
      <w:r w:rsidRPr="00B24172">
        <w:rPr>
          <w:i/>
        </w:rPr>
        <w:t>et al.</w:t>
      </w:r>
      <w:r w:rsidRPr="00B24172">
        <w:t xml:space="preserve"> 2008)</w:t>
      </w:r>
      <w:r w:rsidRPr="00B24172">
        <w:rPr>
          <w:rFonts w:asciiTheme="majorBidi" w:hAnsiTheme="majorBidi" w:cstheme="majorBidi"/>
          <w:lang w:val="en-NZ" w:eastAsia="zh-CN"/>
        </w:rPr>
        <w:fldChar w:fldCharType="end"/>
      </w:r>
      <w:r w:rsidRPr="00B24172">
        <w:rPr>
          <w:rFonts w:asciiTheme="majorBidi" w:hAnsiTheme="majorBidi" w:cstheme="majorBidi"/>
          <w:lang w:val="en-NZ" w:eastAsia="zh-CN"/>
        </w:rPr>
        <w:t xml:space="preserve">. Moreover, </w:t>
      </w:r>
      <w:r w:rsidR="00CC2EB9" w:rsidRPr="00B24172">
        <w:rPr>
          <w:rFonts w:asciiTheme="majorBidi" w:hAnsiTheme="majorBidi" w:cstheme="majorBidi"/>
          <w:lang w:val="en-NZ" w:eastAsia="zh-CN"/>
        </w:rPr>
        <w:t>the</w:t>
      </w:r>
      <w:r w:rsidRPr="00B24172">
        <w:t xml:space="preserve"> consumption of solid </w:t>
      </w:r>
      <w:r w:rsidRPr="00B24172">
        <w:lastRenderedPageBreak/>
        <w:t xml:space="preserve">fuels differs across different low and middle income countries (LMICs) (and is much higher than in developed countries), and is often higher in rural areas than in urban areas </w:t>
      </w:r>
      <w:r w:rsidRPr="00B24172">
        <w:fldChar w:fldCharType="begin"/>
      </w:r>
      <w:r w:rsidR="00A260FD" w:rsidRPr="00B24172">
        <w:instrText xml:space="preserve"> ADDIN ZOTERO_ITEM CSL_CITATION {"citationID":"a1ubadq9lk7","properties":{"formattedCitation":"(Irfan, Cameron, &amp; Hassan, 2017a)","plainCitation":"(Irfan, Cameron, &amp; Hassan, 2017a)","dontUpdate":true,"noteIndex":0},"citationItems":[{"id":"yPj1CNji/T5VErI4R","uris":["http://zotero.org/users/2699952/items/5FICPQKH"],"uri":["http://zotero.org/users/2699952/items/5FICPQKH"],"itemData":{"id":865,"type":"report","title":"Household Energy Elasticities in Pakistan: An Application of the LA-AIDS Model on Pooled Household Data","publisher":"University of Waikato, Department of Economics","genre":"Working Papers in Economics","source":"RePEc - IDEAS","abstract":"This study aims to estimate the fuel expenditure and price elasticities of household fuels in Pakistan. Burning of wood, animal dung, and crop residues are harmful to health and may cause preventable morbidity and mortality in developing countries. Forests, natural gas and other energy reserves are depleting. It is important to investigate how households’ fuel choices are linked to prices, so that governments can consider appropriate steps to enhance the consumption of clean fuels and discourage the use of solid fuels. In this paper we pooled three Pakistan Social and Living Standard Measurement Survey (PSLM) data sets (2007-08, 2010-11 and 2013-14) and applied the Linear Approximate Almost Ideal Demand System (LA-AIDS) model to investigate the price and expenditure elasticities at urban, rural, and national levels. We found that all fuel types except natural gas were price inelastic at the national level and for urban households, implying that changes in prices lead to comparatively lesser changes in quantity demanded of most fuels. In rural areas, natural gas and LPG were found to be more price elastic compared with urban areas. Fuel expenditures elasticities for all fuels were found to be positive and between zero and one. Simple policy simulations based on our results suggest that in order to reduce the indoor air pollution, governments should subsidise clean fuels rather than imposing taxes on solid fuels.","URL":"https://ideas.repec.org/p/wai/econwp/17-11.html#download","number":"17/11","shortTitle":"Household Energy Elasticities in Pakistan","author":[{"family":"Irfan","given":"Muhammad"},{"family":"Cameron","given":"Michael P."},{"family":"Hassan","given":"Gazi"}],"issued":{"date-parts":[["2017"]]}}}],"schema":"https://github.com/citation-style-language/schema/raw/master/csl-citation.json"} </w:instrText>
      </w:r>
      <w:r w:rsidRPr="00B24172">
        <w:fldChar w:fldCharType="separate"/>
      </w:r>
      <w:r w:rsidRPr="00B24172">
        <w:t>(Irfan, Cameron and Hassan 201</w:t>
      </w:r>
      <w:r w:rsidR="00D564A9" w:rsidRPr="00B24172">
        <w:t>8</w:t>
      </w:r>
      <w:r w:rsidRPr="00B24172">
        <w:t>)</w:t>
      </w:r>
      <w:r w:rsidRPr="00B24172">
        <w:fldChar w:fldCharType="end"/>
      </w:r>
      <w:r w:rsidRPr="00B24172">
        <w:t xml:space="preserve">. Hence, the negative effects arising from IAP are not distributed evenly across the population </w:t>
      </w:r>
      <w:r w:rsidRPr="00B24172">
        <w:fldChar w:fldCharType="begin"/>
      </w:r>
      <w:r w:rsidR="00A260FD" w:rsidRPr="00B24172">
        <w:instrText xml:space="preserve"> ADDIN ZOTERO_ITEM CSL_CITATION {"citationID":"rdUVzBBl","properties":{"formattedCitation":"(Landrigan et al., n.d.)","plainCitation":"(Landrigan et al., n.d.)","dontUpdate":true,"noteIndex":0},"citationItems":[{"id":"yPj1CNji/NuhOL0Fm","uris":["http://zotero.org/users/2699952/items/4VARPTNV"],"uri":["http://zotero.org/users/2699952/items/4VARPTNV"],"itemData":{"id":899,"type":"article-journal","title":"The Lancet Commission on pollution and health","container-title":"The Lancet","source":"ScienceDirect","URL":"https://www.sciencedirect.com/science/article/pii/S0140673617323450","DOI":"10.1016/S0140-6736(17)32345-0","ISSN":"0140-6736","journalAbbreviation":"The Lancet","author":[{"family":"Landrigan","given":"Philip J"},{"family":"Fuller","given":"Richard"},{"family":"Acosta","given":"Nereus J R"},{"family":"Adeyi","given":"Olusoji"},{"family":"Arnold","given":"Robert"},{"family":"Basu","given":"Niladri (Nil)"},{"family":"Baldé","given":"Abdoulaye Bibi"},{"family":"Bertollini","given":"Roberto"},{"family":"Bose-O'Reilly","given":"Stephan"},{"family":"Boufford","given":"Jo Ivey"},{"family":"Breysse","given":"Patrick N"},{"family":"Chiles","given":"Thomas"},{"family":"Mahidol","given":"Chulabhorn"},{"family":"Coll-Seck","given":"Awa M"},{"family":"Cropper","given":"Maureen L"},{"family":"Fobil","given":"Julius"},{"family":"Fuster","given":"Valentin"},{"family":"Greenstone","given":"Michael"},{"family":"Haines","given":"Andy"},{"family":"Hanrahan","given":"David"},{"family":"Hunter","given":"David"},{"family":"Khare","given":"Mukesh"},{"family":"Krupnick","given":"Alan"},{"family":"Lanphear","given":"Bruce"},{"family":"Lohani","given":"Bindu"},{"family":"Martin","given":"Keith"},{"family":"Mathiasen","given":"Karen V"},{"family":"McTeer","given":"Maureen A"},{"family":"Murray","given":"Christopher J L"},{"family":"Ndahimananjara","given":"Johanita D"},{"family":"Perera","given":"Frederica"},{"family":"Potočnik","given":"Janez"},{"family":"Preker","given":"Alexander S"},{"family":"Ramesh","given":"Jairam"},{"family":"Rockström","given":"Johan"},{"family":"Salinas","given":"Carlos"},{"family":"Samson","given":"Leona D"},{"family":"Sandilya","given":"Karti"},{"family":"Sly","given":"Peter D"},{"family":"Smith","given":"Kirk R"},{"family":"Steiner","given":"Achim"},{"family":"Stewart","given":"Richard B"},{"family":"Suk","given":"William A"},{"family":"Schayck","given":"Onno C P","non-dropping-particle":"van"},{"family":"Yadama","given":"Gautam N"},{"family":"Yumkella","given":"Kandeh"},{"family":"Zhong","given":"Ma"}]}}],"schema":"https://github.com/citation-style-language/schema/raw/master/csl-citation.json"} </w:instrText>
      </w:r>
      <w:r w:rsidRPr="00B24172">
        <w:fldChar w:fldCharType="separate"/>
      </w:r>
      <w:r w:rsidRPr="00B24172">
        <w:t xml:space="preserve">(Landrigan </w:t>
      </w:r>
      <w:r w:rsidRPr="00B24172">
        <w:rPr>
          <w:i/>
        </w:rPr>
        <w:t xml:space="preserve">et al. </w:t>
      </w:r>
      <w:r w:rsidRPr="00B24172">
        <w:t>2017)</w:t>
      </w:r>
      <w:r w:rsidRPr="00B24172">
        <w:fldChar w:fldCharType="end"/>
      </w:r>
      <w:r w:rsidRPr="00B24172">
        <w:t xml:space="preserve">. </w:t>
      </w:r>
      <w:r w:rsidR="00D564A9" w:rsidRPr="00B24172">
        <w:t>Moreover</w:t>
      </w:r>
      <w:r w:rsidRPr="00B24172">
        <w:t xml:space="preserve">, despite the availability of potentially cost-effective interventions, these have yet to be adopted in many developing countries like Pakistan. Part of the reason for this may be a lack of understanding of the costs and benefits of these interventions in local conditions. We aim to contribute to the adoption of effective interventions to mitigate IAP, by demonstrating the net benefits of these interventions. </w:t>
      </w:r>
    </w:p>
    <w:p w14:paraId="1A5A5F02" w14:textId="77777777" w:rsidR="00FF3CB3" w:rsidRPr="00B24172" w:rsidRDefault="00FF3CB3" w:rsidP="00FF3CB3">
      <w:pPr>
        <w:shd w:val="clear" w:color="auto" w:fill="FFFFFF"/>
        <w:spacing w:line="288" w:lineRule="auto"/>
        <w:ind w:right="26" w:firstLine="720"/>
        <w:jc w:val="both"/>
        <w:textAlignment w:val="baseline"/>
      </w:pPr>
    </w:p>
    <w:p w14:paraId="319343C8" w14:textId="6C6FEAFE" w:rsidR="00FF3CB3" w:rsidRPr="00B24172" w:rsidRDefault="00FF3CB3" w:rsidP="00B15504">
      <w:pPr>
        <w:spacing w:line="288" w:lineRule="auto"/>
        <w:ind w:firstLine="720"/>
        <w:jc w:val="both"/>
      </w:pPr>
      <w:r w:rsidRPr="00B24172">
        <w:t xml:space="preserve">Due to heterogeneity in the use of solid fuels and the impacts of IAP between LMICs, and between urban and rural areas of LMICs, investigating the effects of interventions to address IAP therefore requires careful selection of exemplar case studies. In this paper, we use Pakistan as a case study for our analysis of the costs and benefits of adopting cleaner burning technologies. Pakistan provides a good exemplar for other developing countries, because it has diverse household energy options, and households currently employ a mix of clean and solid fuel energy sources </w:t>
      </w:r>
      <w:r w:rsidRPr="00B24172">
        <w:fldChar w:fldCharType="begin"/>
      </w:r>
      <w:r w:rsidR="00A260FD" w:rsidRPr="00B24172">
        <w:instrText xml:space="preserve"> ADDIN ZOTERO_ITEM CSL_CITATION {"citationID":"9kbBBgW4","properties":{"formattedCitation":"(Irfan, Cameron, &amp; Hassan, 2017b)","plainCitation":"(Irfan, Cameron, &amp; Hassan, 2017b)","dontUpdate":true,"noteIndex":0},"citationItems":[{"id":"yPj1CNji/tcd8icl4","uris":["http://zotero.org/users/2699952/items/3LI6PZHB"],"uri":["http://zotero.org/users/2699952/items/3LI6PZHB"],"itemData":{"id":1048,"type":"report","title":"Households’ Energy Mix Selection in Pakistan","collection-title":"Working Papers in Economics","publisher":"University of Waikato","source":"ideas.repec.org","abstract":"Despite the adverse effects of biomass fuels on health and the environment, the use of solid fuels at the household level for cooking, lighting and heating purposes is very common in developing countries such as Pakistan. Globally almost 3 billion people depend on traditional or conventional solid energy sources for cooking. These solid fuels are a major cause of indoor air pollution and can severely damage health and the environment, so there is a need to better understand the factors that lead to the consumption of solid fuels. This study analyzes data from the Pakistan Social and Living Standards Measurement (PSLM) Survey 2013-14 to establish the non-price factors associated with the fuel mix selection of households. A novel aspect of the study is that, rather than treating fuel choices as independent, we first group household fuel mix choices into categories using cluster analysis. We then apply multinomial logit models to investigate the factors associated with households’ fuel mix selection. We find that income, education, agricultural occupation and urban location are strongest factors associated with the selection of a mix of fuels that is substantially made up of clean fuels, while agricultural occupation, large family size, and having cattle are associated with fuel mixes that are more heavily based on solid fuels. Moreover, we show that income growth is unlikely to lead to substantial uptake of cleaner fuels in rural areas. Our results suggest that the government, if concerned about indoor air pollution, should rapidly increase the availability of natural gas and electricity connections to support a shift to cleaner fuel mixes.","URL":"https://ideas.repec.org/p/wai/econwp/28-17.html","number":"28/17","language":"en","author":[{"family":"Irfan","given":"Muhammad"},{"family":"Cameron","given":"Michael P."},{"family":"Hassan","given":"Gazi"}],"issued":{"date-parts":[["2017",12,27]]},"accessed":{"date-parts":[["2018",2,3]]}}}],"schema":"https://github.com/citation-style-language/schema/raw/master/csl-citation.json"} </w:instrText>
      </w:r>
      <w:r w:rsidRPr="00B24172">
        <w:fldChar w:fldCharType="separate"/>
      </w:r>
      <w:r w:rsidRPr="00B24172">
        <w:t>(Irfan, Cameron and Hassan 2017b)</w:t>
      </w:r>
      <w:r w:rsidRPr="00B24172">
        <w:fldChar w:fldCharType="end"/>
      </w:r>
      <w:r w:rsidRPr="00B24172">
        <w:t>. Generally in Pakistan, piped natural gas, LPG, firewood, crop residues, and animal dung are the main energy sources for cooking food, whereas electricity is rarely used for cooking</w:t>
      </w:r>
      <w:r w:rsidR="00BD5112" w:rsidRPr="00B24172">
        <w:t xml:space="preserve">. Additionally, urban households have better access </w:t>
      </w:r>
      <w:r w:rsidR="00B15504" w:rsidRPr="00B24172">
        <w:t xml:space="preserve">to </w:t>
      </w:r>
      <w:r w:rsidR="00BD5112" w:rsidRPr="00B24172">
        <w:t>piped natural gas and electricity</w:t>
      </w:r>
      <w:r w:rsidRPr="00B24172">
        <w:t xml:space="preserve"> </w:t>
      </w:r>
      <w:r w:rsidRPr="00B24172">
        <w:fldChar w:fldCharType="begin"/>
      </w:r>
      <w:r w:rsidR="00A260FD" w:rsidRPr="00B24172">
        <w:instrText xml:space="preserve"> ADDIN ZOTERO_ITEM CSL_CITATION {"citationID":"R5KEagno","properties":{"formattedCitation":"(Irfan et al., 2017b)","plainCitation":"(Irfan et al., 2017b)","dontUpdate":true,"noteIndex":0},"citationItems":[{"id":"yPj1CNji/tcd8icl4","uris":["http://zotero.org/users/2699952/items/3LI6PZHB"],"uri":["http://zotero.org/users/2699952/items/3LI6PZHB"],"itemData":{"id":1048,"type":"report","title":"Households’ Energy Mix Selection in Pakistan","collection-title":"Working Papers in Economics","publisher":"University of Waikato","source":"ideas.repec.org","abstract":"Despite the adverse effects of biomass fuels on health and the environment, the use of solid fuels at the household level for cooking, lighting and heating purposes is very common in developing countries such as Pakistan. Globally almost 3 billion people depend on traditional or conventional solid energy sources for cooking. These solid fuels are a major cause of indoor air pollution and can severely damage health and the environment, so there is a need to better understand the factors that lead to the consumption of solid fuels. This study analyzes data from the Pakistan Social and Living Standards Measurement (PSLM) Survey 2013-14 to establish the non-price factors associated with the fuel mix selection of households. A novel aspect of the study is that, rather than treating fuel choices as independent, we first group household fuel mix choices into categories using cluster analysis. We then apply multinomial logit models to investigate the factors associated with households’ fuel mix selection. We find that income, education, agricultural occupation and urban location are strongest factors associated with the selection of a mix of fuels that is substantially made up of clean fuels, while agricultural occupation, large family size, and having cattle are associated with fuel mixes that are more heavily based on solid fuels. Moreover, we show that income growth is unlikely to lead to substantial uptake of cleaner fuels in rural areas. Our results suggest that the government, if concerned about indoor air pollution, should rapidly increase the availability of natural gas and electricity connections to support a shift to cleaner fuel mixes.","URL":"https://ideas.repec.org/p/wai/econwp/28-17.html","number":"28/17","language":"en","author":[{"family":"Irfan","given":"Muhammad"},{"family":"Cameron","given":"Michael P."},{"family":"Hassan","given":"Gazi"}],"issued":{"date-parts":[["2017",12,27]]},"accessed":{"date-parts":[["2018",2,3]]}}}],"schema":"https://github.com/citation-style-language/schema/raw/master/csl-citation.json"} </w:instrText>
      </w:r>
      <w:r w:rsidRPr="00B24172">
        <w:fldChar w:fldCharType="separate"/>
      </w:r>
      <w:r w:rsidRPr="00B24172">
        <w:t xml:space="preserve">(Irfan </w:t>
      </w:r>
      <w:r w:rsidRPr="00B24172">
        <w:rPr>
          <w:i/>
        </w:rPr>
        <w:t>et al.</w:t>
      </w:r>
      <w:r w:rsidRPr="00B24172">
        <w:t xml:space="preserve"> 2017b)</w:t>
      </w:r>
      <w:r w:rsidRPr="00B24172">
        <w:fldChar w:fldCharType="end"/>
      </w:r>
      <w:r w:rsidRPr="00B24172">
        <w:t>.</w:t>
      </w:r>
      <w:r w:rsidR="00691CA2" w:rsidRPr="00B24172">
        <w:t xml:space="preserve"> </w:t>
      </w:r>
      <w:r w:rsidR="00BD5112" w:rsidRPr="00B24172">
        <w:t>The proportion of urban households in Pakistan was around</w:t>
      </w:r>
      <w:r w:rsidR="00691CA2" w:rsidRPr="00B24172">
        <w:t xml:space="preserve"> 36.4 percent and</w:t>
      </w:r>
      <w:r w:rsidR="00BD5112" w:rsidRPr="00B24172">
        <w:t xml:space="preserve"> GDP per capita was</w:t>
      </w:r>
      <w:r w:rsidR="00691CA2" w:rsidRPr="00B24172">
        <w:t xml:space="preserve"> 1</w:t>
      </w:r>
      <w:r w:rsidR="00BD5112" w:rsidRPr="00B24172">
        <w:t>,</w:t>
      </w:r>
      <w:r w:rsidR="00691CA2" w:rsidRPr="00B24172">
        <w:t>155 USD</w:t>
      </w:r>
      <w:r w:rsidR="00BD5112" w:rsidRPr="00B24172">
        <w:t xml:space="preserve"> in 2017 </w:t>
      </w:r>
      <w:r w:rsidR="00691CA2" w:rsidRPr="00B24172">
        <w:t>(World Bank)</w:t>
      </w:r>
      <w:r w:rsidR="00B15504" w:rsidRPr="00B24172">
        <w:t>.</w:t>
      </w:r>
      <w:r w:rsidR="00F47A65" w:rsidRPr="00B24172">
        <w:rPr>
          <w:rStyle w:val="FootnoteReference"/>
        </w:rPr>
        <w:footnoteReference w:id="3"/>
      </w:r>
      <w:r w:rsidR="00132277" w:rsidRPr="00B24172">
        <w:t xml:space="preserve"> </w:t>
      </w:r>
      <w:r w:rsidRPr="00B24172">
        <w:t xml:space="preserve">Moreover, Pakistan has suitable microdata available for analysis, which are not available in all developing countries. The findings of this study may therefore also provide some guidance for other low and middle-income countries, especially those in South Asia. </w:t>
      </w:r>
    </w:p>
    <w:p w14:paraId="799C2628" w14:textId="77777777" w:rsidR="00FF3CB3" w:rsidRPr="00B24172" w:rsidRDefault="00FF3CB3" w:rsidP="00FF3CB3">
      <w:pPr>
        <w:shd w:val="clear" w:color="auto" w:fill="FFFFFF"/>
        <w:spacing w:line="288" w:lineRule="auto"/>
        <w:ind w:right="26" w:firstLine="720"/>
        <w:jc w:val="both"/>
        <w:textAlignment w:val="baseline"/>
      </w:pPr>
    </w:p>
    <w:p w14:paraId="6936CF60" w14:textId="25119640" w:rsidR="00DD7D94" w:rsidRPr="00B24172" w:rsidRDefault="00FF3CB3" w:rsidP="00D54EFC">
      <w:pPr>
        <w:shd w:val="clear" w:color="auto" w:fill="FFFFFF"/>
        <w:spacing w:line="288" w:lineRule="auto"/>
        <w:ind w:right="26" w:firstLine="720"/>
        <w:jc w:val="both"/>
        <w:textAlignment w:val="baseline"/>
      </w:pPr>
      <w:r w:rsidRPr="00B24172">
        <w:t xml:space="preserve">Our study is one of the first to compare a range of possible IAP mitigating technologies at the country level, rather than at a more aggregated multi-country region. This allows us to better consider differences in </w:t>
      </w:r>
      <w:r w:rsidR="00D564A9" w:rsidRPr="00B24172">
        <w:t>adoption</w:t>
      </w:r>
      <w:r w:rsidRPr="00B24172">
        <w:t xml:space="preserve"> between rural and urban households. We evaluate </w:t>
      </w:r>
      <w:r w:rsidRPr="00B24172">
        <w:rPr>
          <w:rFonts w:asciiTheme="majorBidi" w:hAnsiTheme="majorBidi" w:cstheme="majorBidi"/>
          <w:lang w:val="en-NZ" w:eastAsia="zh-CN"/>
        </w:rPr>
        <w:t xml:space="preserve">five interventions, including </w:t>
      </w:r>
      <w:r w:rsidR="00785ED2" w:rsidRPr="00B24172">
        <w:rPr>
          <w:rFonts w:asciiTheme="majorBidi" w:hAnsiTheme="majorBidi" w:cstheme="majorBidi"/>
          <w:lang w:val="en-NZ" w:eastAsia="zh-CN"/>
        </w:rPr>
        <w:t>four</w:t>
      </w:r>
      <w:r w:rsidRPr="00B24172">
        <w:rPr>
          <w:rFonts w:asciiTheme="majorBidi" w:hAnsiTheme="majorBidi" w:cstheme="majorBidi"/>
          <w:lang w:val="en-NZ" w:eastAsia="zh-CN"/>
        </w:rPr>
        <w:t xml:space="preserve"> examples of the first type of intervention (universal adoption of LPG; natural gas; </w:t>
      </w:r>
      <w:r w:rsidR="00785ED2" w:rsidRPr="00B24172">
        <w:rPr>
          <w:rFonts w:asciiTheme="majorBidi" w:hAnsiTheme="majorBidi" w:cstheme="majorBidi"/>
          <w:lang w:val="en-NZ" w:eastAsia="zh-CN"/>
        </w:rPr>
        <w:t xml:space="preserve">electric stove; </w:t>
      </w:r>
      <w:r w:rsidRPr="00B24172">
        <w:rPr>
          <w:rFonts w:asciiTheme="majorBidi" w:hAnsiTheme="majorBidi" w:cstheme="majorBidi"/>
          <w:lang w:val="en-NZ" w:eastAsia="zh-CN"/>
        </w:rPr>
        <w:t xml:space="preserve">or biogas), and </w:t>
      </w:r>
      <w:r w:rsidR="00785ED2" w:rsidRPr="00B24172">
        <w:rPr>
          <w:rFonts w:asciiTheme="majorBidi" w:hAnsiTheme="majorBidi" w:cstheme="majorBidi"/>
          <w:lang w:val="en-NZ" w:eastAsia="zh-CN"/>
        </w:rPr>
        <w:t>one</w:t>
      </w:r>
      <w:r w:rsidRPr="00B24172">
        <w:rPr>
          <w:rFonts w:asciiTheme="majorBidi" w:hAnsiTheme="majorBidi" w:cstheme="majorBidi"/>
          <w:lang w:val="en-NZ" w:eastAsia="zh-CN"/>
        </w:rPr>
        <w:t xml:space="preserve"> example of the second type of intervention (universal adoption improved cook stoves</w:t>
      </w:r>
      <w:r w:rsidR="00785ED2" w:rsidRPr="00B24172">
        <w:rPr>
          <w:rFonts w:asciiTheme="majorBidi" w:hAnsiTheme="majorBidi" w:cstheme="majorBidi"/>
          <w:lang w:val="en-NZ" w:eastAsia="zh-CN"/>
        </w:rPr>
        <w:t xml:space="preserve"> (ICS)</w:t>
      </w:r>
      <w:r w:rsidRPr="00B24172">
        <w:rPr>
          <w:rFonts w:asciiTheme="majorBidi" w:hAnsiTheme="majorBidi" w:cstheme="majorBidi"/>
          <w:lang w:val="en-NZ" w:eastAsia="zh-CN"/>
        </w:rPr>
        <w:t xml:space="preserve">). </w:t>
      </w:r>
      <w:r w:rsidRPr="00B24172">
        <w:t xml:space="preserve">Because of data unavailability, </w:t>
      </w:r>
      <w:r w:rsidRPr="00B24172">
        <w:rPr>
          <w:rFonts w:asciiTheme="majorBidi" w:hAnsiTheme="majorBidi" w:cstheme="majorBidi"/>
          <w:lang w:val="en-NZ" w:eastAsia="zh-CN"/>
        </w:rPr>
        <w:t xml:space="preserve">it is not possible to address third type of intervention (changes in user behaviour). </w:t>
      </w:r>
      <w:r w:rsidR="00D36A12" w:rsidRPr="00B24172">
        <w:t xml:space="preserve">Economic evaluation through </w:t>
      </w:r>
      <w:r w:rsidRPr="00B24172">
        <w:t>cost</w:t>
      </w:r>
      <w:r w:rsidR="00D54EFC" w:rsidRPr="00B24172">
        <w:t>-benefit</w:t>
      </w:r>
      <w:r w:rsidR="00D36A12" w:rsidRPr="00B24172">
        <w:t xml:space="preserve"> analysis is </w:t>
      </w:r>
      <w:r w:rsidR="00A12AC0" w:rsidRPr="00B24172">
        <w:t xml:space="preserve">a widely used </w:t>
      </w:r>
      <w:r w:rsidR="00D36A12" w:rsidRPr="00B24172">
        <w:t xml:space="preserve">analytical tool for comparing the benefits and costs of interventions </w:t>
      </w:r>
      <w:r w:rsidR="00D36A12" w:rsidRPr="00B24172">
        <w:rPr>
          <w:lang w:val="en-NZ"/>
        </w:rPr>
        <w:fldChar w:fldCharType="begin"/>
      </w:r>
      <w:r w:rsidR="00A260FD" w:rsidRPr="00B24172">
        <w:rPr>
          <w:lang w:val="en-NZ"/>
        </w:rPr>
        <w:instrText xml:space="preserve"> ADDIN ZOTERO_ITEM CSL_CITATION {"citationID":"UMNhDMsN","properties":{"formattedCitation":"(Hutton et al., 2007)","plainCitation":"(Hutton et al., 2007)","noteIndex":0},"citationItems":[{"id":"yPj1CNji/eYwjIPdP","uris":["http://zotero.org/users/2699952/items/ESNF2DMZ"],"uri":["http://zotero.org/users/2699952/items/ESNF2DMZ"],"itemData":{"id":25,"type":"article-journal","title":"Evaluation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00D36A12" w:rsidRPr="00B24172">
        <w:rPr>
          <w:lang w:val="en-NZ"/>
        </w:rPr>
        <w:fldChar w:fldCharType="separate"/>
      </w:r>
      <w:r w:rsidR="00A260FD" w:rsidRPr="00B24172">
        <w:t>(Hutton et al., 2007)</w:t>
      </w:r>
      <w:r w:rsidR="00D36A12" w:rsidRPr="00B24172">
        <w:rPr>
          <w:lang w:val="en-NZ"/>
        </w:rPr>
        <w:fldChar w:fldCharType="end"/>
      </w:r>
      <w:r w:rsidR="00D36A12" w:rsidRPr="00B24172">
        <w:t>.</w:t>
      </w:r>
      <w:r w:rsidR="007839CF" w:rsidRPr="00B24172">
        <w:t xml:space="preserve"> </w:t>
      </w:r>
      <w:r w:rsidR="00A12AC0" w:rsidRPr="00B24172">
        <w:t>We</w:t>
      </w:r>
      <w:r w:rsidR="007839CF" w:rsidRPr="00B24172">
        <w:t xml:space="preserve"> follow the guidelines of the</w:t>
      </w:r>
      <w:r w:rsidR="007A5F7A" w:rsidRPr="00B24172">
        <w:t xml:space="preserve"> World Health Organization</w:t>
      </w:r>
      <w:r w:rsidR="007839CF" w:rsidRPr="00B24172">
        <w:t xml:space="preserve"> </w:t>
      </w:r>
      <w:r w:rsidR="00A12AC0" w:rsidRPr="00B24172">
        <w:t xml:space="preserve">to </w:t>
      </w:r>
      <w:r w:rsidR="007839CF" w:rsidRPr="00B24172">
        <w:t xml:space="preserve">estimate the benefit-cost </w:t>
      </w:r>
      <w:r w:rsidR="0089365D" w:rsidRPr="00B24172">
        <w:t>ratio</w:t>
      </w:r>
      <w:r w:rsidR="00010EA1" w:rsidRPr="00B24172">
        <w:t xml:space="preserve"> (BCR)</w:t>
      </w:r>
      <w:r w:rsidR="00AE1BE8" w:rsidRPr="00B24172">
        <w:t xml:space="preserve"> and</w:t>
      </w:r>
      <w:r w:rsidR="0089365D" w:rsidRPr="00B24172">
        <w:t xml:space="preserve"> </w:t>
      </w:r>
      <w:r w:rsidR="00A12AC0" w:rsidRPr="00B24172">
        <w:t>n</w:t>
      </w:r>
      <w:r w:rsidR="0089365D" w:rsidRPr="00B24172">
        <w:t xml:space="preserve">et </w:t>
      </w:r>
      <w:r w:rsidR="00A12AC0" w:rsidRPr="00B24172">
        <w:t>p</w:t>
      </w:r>
      <w:r w:rsidR="0089365D" w:rsidRPr="00B24172">
        <w:t xml:space="preserve">resent </w:t>
      </w:r>
      <w:r w:rsidR="00A12AC0" w:rsidRPr="00B24172">
        <w:t>v</w:t>
      </w:r>
      <w:r w:rsidR="0089365D" w:rsidRPr="00B24172">
        <w:t xml:space="preserve">alue (NPV) of </w:t>
      </w:r>
      <w:r w:rsidR="00D03343" w:rsidRPr="00B24172">
        <w:t xml:space="preserve">the </w:t>
      </w:r>
      <w:r w:rsidR="00A12AC0" w:rsidRPr="00B24172">
        <w:t>five interventions</w:t>
      </w:r>
      <w:r w:rsidR="00077DE2" w:rsidRPr="00B24172">
        <w:t>, and find that universal adoption of LPG has the highest benefit-cost ratio of the five</w:t>
      </w:r>
      <w:r w:rsidRPr="00B24172">
        <w:t xml:space="preserve"> interventions we evaluate</w:t>
      </w:r>
      <w:r w:rsidR="0089365D" w:rsidRPr="00B24172">
        <w:t>.</w:t>
      </w:r>
      <w:r w:rsidR="00DD7D94" w:rsidRPr="00B24172">
        <w:t xml:space="preserve"> </w:t>
      </w:r>
      <w:r w:rsidR="0005755C" w:rsidRPr="00B24172">
        <w:t>However, of the five interventions, improved cook stoves are the only intervention where benefits do not exceed costs.</w:t>
      </w:r>
    </w:p>
    <w:p w14:paraId="1FB489A5" w14:textId="77777777" w:rsidR="00A91CBB" w:rsidRPr="00B24172" w:rsidRDefault="00A91CBB" w:rsidP="00BF2AB8">
      <w:pPr>
        <w:shd w:val="clear" w:color="auto" w:fill="FFFFFF"/>
        <w:spacing w:line="288" w:lineRule="auto"/>
        <w:ind w:right="26" w:firstLine="720"/>
        <w:jc w:val="both"/>
        <w:textAlignment w:val="baseline"/>
      </w:pPr>
    </w:p>
    <w:p w14:paraId="65B52AB6" w14:textId="695F1B49" w:rsidR="00D36A12" w:rsidRPr="00B24172" w:rsidRDefault="007839CF" w:rsidP="00D54EFC">
      <w:pPr>
        <w:shd w:val="clear" w:color="auto" w:fill="FFFFFF"/>
        <w:spacing w:line="288" w:lineRule="auto"/>
        <w:ind w:right="26" w:firstLine="720"/>
        <w:jc w:val="both"/>
        <w:textAlignment w:val="baseline"/>
      </w:pPr>
      <w:r w:rsidRPr="00B24172">
        <w:lastRenderedPageBreak/>
        <w:t>The</w:t>
      </w:r>
      <w:r w:rsidR="00A12AC0" w:rsidRPr="00B24172">
        <w:t xml:space="preserve"> remainder of the paper is organized as follows. A</w:t>
      </w:r>
      <w:r w:rsidRPr="00B24172">
        <w:t xml:space="preserve"> literature review of related articles is </w:t>
      </w:r>
      <w:r w:rsidR="00077DE2" w:rsidRPr="00B24172">
        <w:t xml:space="preserve">provided </w:t>
      </w:r>
      <w:r w:rsidRPr="00B24172">
        <w:t xml:space="preserve">in </w:t>
      </w:r>
      <w:r w:rsidR="00A12AC0" w:rsidRPr="00B24172">
        <w:t>S</w:t>
      </w:r>
      <w:r w:rsidRPr="00B24172">
        <w:t xml:space="preserve">ection 2, </w:t>
      </w:r>
      <w:r w:rsidR="00A12AC0" w:rsidRPr="00B24172">
        <w:t xml:space="preserve">and the data and </w:t>
      </w:r>
      <w:r w:rsidRPr="00B24172">
        <w:t xml:space="preserve">methods are </w:t>
      </w:r>
      <w:r w:rsidR="00A12AC0" w:rsidRPr="00B24172">
        <w:t xml:space="preserve">described </w:t>
      </w:r>
      <w:r w:rsidR="0089365D" w:rsidRPr="00B24172">
        <w:t xml:space="preserve">in </w:t>
      </w:r>
      <w:r w:rsidR="00A12AC0" w:rsidRPr="00B24172">
        <w:t>S</w:t>
      </w:r>
      <w:r w:rsidRPr="00B24172">
        <w:t>ection 3</w:t>
      </w:r>
      <w:r w:rsidR="00A12AC0" w:rsidRPr="00B24172">
        <w:t>.</w:t>
      </w:r>
      <w:r w:rsidRPr="00B24172">
        <w:t xml:space="preserve"> </w:t>
      </w:r>
      <w:r w:rsidR="00A12AC0" w:rsidRPr="00B24172">
        <w:t>W</w:t>
      </w:r>
      <w:r w:rsidRPr="00B24172">
        <w:t>e discuss the results</w:t>
      </w:r>
      <w:r w:rsidR="00A12AC0" w:rsidRPr="00B24172">
        <w:t xml:space="preserve"> of the </w:t>
      </w:r>
      <w:r w:rsidR="00D54EFC" w:rsidRPr="00B24172">
        <w:t>cost-benefit</w:t>
      </w:r>
      <w:r w:rsidR="00A12AC0" w:rsidRPr="00B24172">
        <w:t xml:space="preserve"> evaluations and associated sensitivity tests</w:t>
      </w:r>
      <w:r w:rsidRPr="00B24172">
        <w:t xml:space="preserve"> in </w:t>
      </w:r>
      <w:r w:rsidR="00A12AC0" w:rsidRPr="00B24172">
        <w:t>S</w:t>
      </w:r>
      <w:r w:rsidRPr="00B24172">
        <w:t>ection</w:t>
      </w:r>
      <w:r w:rsidR="001B0300" w:rsidRPr="00B24172">
        <w:t>s</w:t>
      </w:r>
      <w:r w:rsidRPr="00B24172">
        <w:t xml:space="preserve"> 4</w:t>
      </w:r>
      <w:r w:rsidR="001B0300" w:rsidRPr="00B24172">
        <w:t xml:space="preserve"> to 6</w:t>
      </w:r>
      <w:r w:rsidRPr="00B24172">
        <w:t xml:space="preserve">, </w:t>
      </w:r>
      <w:r w:rsidR="00077DE2" w:rsidRPr="00B24172">
        <w:t xml:space="preserve">after which </w:t>
      </w:r>
      <w:r w:rsidR="00A12AC0" w:rsidRPr="00B24172">
        <w:t>S</w:t>
      </w:r>
      <w:r w:rsidRPr="00B24172">
        <w:t xml:space="preserve">ection </w:t>
      </w:r>
      <w:r w:rsidR="001B0300" w:rsidRPr="00B24172">
        <w:t xml:space="preserve">7 </w:t>
      </w:r>
      <w:r w:rsidRPr="00B24172">
        <w:t xml:space="preserve">concludes. </w:t>
      </w:r>
    </w:p>
    <w:p w14:paraId="1CF9AB7D" w14:textId="77777777" w:rsidR="00FF3CB3" w:rsidRPr="00B24172" w:rsidRDefault="00FF3CB3" w:rsidP="00BF2AB8">
      <w:pPr>
        <w:shd w:val="clear" w:color="auto" w:fill="FFFFFF"/>
        <w:spacing w:line="288" w:lineRule="auto"/>
        <w:ind w:right="26" w:firstLine="720"/>
        <w:jc w:val="both"/>
        <w:textAlignment w:val="baseline"/>
      </w:pPr>
    </w:p>
    <w:p w14:paraId="723466F9" w14:textId="4EC43171" w:rsidR="00285A45" w:rsidRPr="00B24172" w:rsidRDefault="009737DD" w:rsidP="00BF2AB8">
      <w:pPr>
        <w:pStyle w:val="Heading1"/>
        <w:numPr>
          <w:ilvl w:val="0"/>
          <w:numId w:val="20"/>
        </w:numPr>
        <w:spacing w:before="0" w:after="0" w:line="288" w:lineRule="auto"/>
        <w:rPr>
          <w:sz w:val="24"/>
          <w:szCs w:val="28"/>
        </w:rPr>
      </w:pPr>
      <w:bookmarkStart w:id="2" w:name="_Toc443491018"/>
      <w:r w:rsidRPr="00B24172">
        <w:rPr>
          <w:sz w:val="24"/>
          <w:szCs w:val="28"/>
        </w:rPr>
        <w:t>Literature Review</w:t>
      </w:r>
      <w:bookmarkEnd w:id="2"/>
    </w:p>
    <w:p w14:paraId="47D0A2AB" w14:textId="77777777" w:rsidR="00120E4B" w:rsidRPr="00B24172" w:rsidRDefault="00120E4B" w:rsidP="00BF2AB8">
      <w:pPr>
        <w:shd w:val="clear" w:color="auto" w:fill="FFFFFF"/>
        <w:spacing w:line="288" w:lineRule="auto"/>
        <w:ind w:right="26"/>
        <w:jc w:val="both"/>
        <w:textAlignment w:val="baseline"/>
        <w:rPr>
          <w:rFonts w:asciiTheme="majorBidi" w:hAnsiTheme="majorBidi" w:cstheme="majorBidi"/>
          <w:sz w:val="12"/>
          <w:szCs w:val="12"/>
          <w:lang w:val="en-NZ" w:eastAsia="zh-CN"/>
        </w:rPr>
      </w:pPr>
    </w:p>
    <w:p w14:paraId="68800DFC" w14:textId="67DD90FB" w:rsidR="003A7564" w:rsidRPr="00B24172" w:rsidRDefault="00482642" w:rsidP="00D54EFC">
      <w:pPr>
        <w:shd w:val="clear" w:color="auto" w:fill="FFFFFF"/>
        <w:spacing w:line="288" w:lineRule="auto"/>
        <w:ind w:right="26"/>
        <w:jc w:val="both"/>
        <w:textAlignment w:val="baseline"/>
        <w:rPr>
          <w:rFonts w:eastAsiaTheme="minorEastAsia"/>
          <w:lang w:val="en-NZ" w:eastAsia="zh-CN"/>
        </w:rPr>
      </w:pPr>
      <w:r w:rsidRPr="00B24172">
        <w:rPr>
          <w:rFonts w:asciiTheme="majorBidi" w:hAnsiTheme="majorBidi" w:cstheme="majorBidi"/>
          <w:lang w:val="en-NZ" w:eastAsia="zh-CN"/>
        </w:rPr>
        <w:t xml:space="preserve">There is very limited literature on </w:t>
      </w:r>
      <w:r w:rsidR="00E869D3" w:rsidRPr="00B24172">
        <w:rPr>
          <w:rFonts w:asciiTheme="majorBidi" w:hAnsiTheme="majorBidi" w:cstheme="majorBidi"/>
          <w:lang w:val="en-NZ" w:eastAsia="zh-CN"/>
        </w:rPr>
        <w:t>cost</w:t>
      </w:r>
      <w:r w:rsidR="00D54EFC" w:rsidRPr="00B24172">
        <w:rPr>
          <w:rFonts w:asciiTheme="majorBidi" w:hAnsiTheme="majorBidi" w:cstheme="majorBidi"/>
          <w:lang w:val="en-NZ" w:eastAsia="zh-CN"/>
        </w:rPr>
        <w:t>-benefit</w:t>
      </w:r>
      <w:r w:rsidRPr="00B24172">
        <w:rPr>
          <w:rFonts w:asciiTheme="majorBidi" w:hAnsiTheme="majorBidi" w:cstheme="majorBidi"/>
          <w:lang w:val="en-NZ" w:eastAsia="zh-CN"/>
        </w:rPr>
        <w:t xml:space="preserve"> analysis of household energy</w:t>
      </w:r>
      <w:r w:rsidR="00F647E2" w:rsidRPr="00B24172">
        <w:rPr>
          <w:rFonts w:asciiTheme="majorBidi" w:hAnsiTheme="majorBidi" w:cstheme="majorBidi"/>
          <w:lang w:val="en-NZ" w:eastAsia="zh-CN"/>
        </w:rPr>
        <w:t xml:space="preserve"> interventions</w:t>
      </w:r>
      <w:r w:rsidR="00E869D3" w:rsidRPr="00B24172">
        <w:rPr>
          <w:rFonts w:asciiTheme="majorBidi" w:hAnsiTheme="majorBidi" w:cstheme="majorBidi"/>
          <w:lang w:val="en-NZ" w:eastAsia="zh-CN"/>
        </w:rPr>
        <w:t>. Moreover, extant studies tend</w:t>
      </w:r>
      <w:r w:rsidR="00F647E2" w:rsidRPr="00B24172">
        <w:rPr>
          <w:rFonts w:asciiTheme="majorBidi" w:hAnsiTheme="majorBidi" w:cstheme="majorBidi"/>
          <w:lang w:val="en-NZ" w:eastAsia="zh-CN"/>
        </w:rPr>
        <w:t xml:space="preserve"> </w:t>
      </w:r>
      <w:r w:rsidRPr="00B24172">
        <w:rPr>
          <w:rFonts w:asciiTheme="majorBidi" w:hAnsiTheme="majorBidi" w:cstheme="majorBidi"/>
          <w:lang w:val="en-NZ" w:eastAsia="zh-CN"/>
        </w:rPr>
        <w:t>not</w:t>
      </w:r>
      <w:r w:rsidR="00E869D3" w:rsidRPr="00B24172">
        <w:rPr>
          <w:rFonts w:asciiTheme="majorBidi" w:hAnsiTheme="majorBidi" w:cstheme="majorBidi"/>
          <w:lang w:val="en-NZ" w:eastAsia="zh-CN"/>
        </w:rPr>
        <w:t xml:space="preserve"> to</w:t>
      </w:r>
      <w:r w:rsidRPr="00B24172">
        <w:rPr>
          <w:rFonts w:asciiTheme="majorBidi" w:hAnsiTheme="majorBidi" w:cstheme="majorBidi"/>
          <w:lang w:val="en-NZ" w:eastAsia="zh-CN"/>
        </w:rPr>
        <w:t xml:space="preserve"> </w:t>
      </w:r>
      <w:r w:rsidR="00F647E2" w:rsidRPr="00B24172">
        <w:rPr>
          <w:rFonts w:asciiTheme="majorBidi" w:hAnsiTheme="majorBidi" w:cstheme="majorBidi"/>
          <w:lang w:val="en-NZ" w:eastAsia="zh-CN"/>
        </w:rPr>
        <w:t xml:space="preserve">evaluate </w:t>
      </w:r>
      <w:r w:rsidR="00E869D3" w:rsidRPr="00B24172">
        <w:rPr>
          <w:rFonts w:asciiTheme="majorBidi" w:hAnsiTheme="majorBidi" w:cstheme="majorBidi"/>
          <w:lang w:val="en-NZ" w:eastAsia="zh-CN"/>
        </w:rPr>
        <w:t>a wide range of the</w:t>
      </w:r>
      <w:r w:rsidRPr="00B24172">
        <w:rPr>
          <w:rFonts w:asciiTheme="majorBidi" w:hAnsiTheme="majorBidi" w:cstheme="majorBidi"/>
          <w:lang w:val="en-NZ" w:eastAsia="zh-CN"/>
        </w:rPr>
        <w:t xml:space="preserve"> available choices a household can adopt to </w:t>
      </w:r>
      <w:r w:rsidR="00E869D3" w:rsidRPr="00B24172">
        <w:rPr>
          <w:rFonts w:asciiTheme="majorBidi" w:hAnsiTheme="majorBidi" w:cstheme="majorBidi"/>
          <w:lang w:val="en-NZ" w:eastAsia="zh-CN"/>
        </w:rPr>
        <w:t>reduce</w:t>
      </w:r>
      <w:r w:rsidRPr="00B24172">
        <w:rPr>
          <w:rFonts w:asciiTheme="majorBidi" w:hAnsiTheme="majorBidi" w:cstheme="majorBidi"/>
          <w:lang w:val="en-NZ" w:eastAsia="zh-CN"/>
        </w:rPr>
        <w:t xml:space="preserve"> IAP. However, </w:t>
      </w:r>
      <w:r w:rsidR="003953B5"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{"citationID":"cce0diu6e","properties":{"formattedCitation":"(Mehta &amp; Shahpar, 2004)","plainCitation":"(Mehta &amp; Shahpar, 2004)","dontUpdate":true,"noteIndex":0},"citationItems":[{"id":"yPj1CNji/HljaxTcl","uris":["http://zotero.org/users/2699952/items/ZAN4GF2M"],"uri":["http://zotero.org/users/2699952/items/ZAN4GF2M"],"itemData":{"id":184,"type":"article-journal","title":"The health benefits of interventions to reduce indoor air pollution from solid fuel use: a cost-effectiveness analysis","container-title":"Energy for Sustainable Development","page":"53-59","volume":"8","issue":"3","source":"ScienceDirect","abstract":"The air pollution-related health benefits of interventions to reduce indoor air pollution from cooking and heating with solid fuels are evaluated in South and South-east Asia, Africa, and the Americas using generalized cost-effectiveness methodology. Three scenarios are assessed: 1) providing access to cleaner fuels, (2) providing access to improved stoves, and (3) providing part of the population with access to cleaner fuels and part of the population with improved stoves. All intervention scenarios are compared with the current situation, i.e., the “business as usual” scenario where current exposures to indoor air pollution from solid fuel use would be sustained. Two major health outcomes associated with indoor air pollution are addressed, namely acute lower respiratory infections (ALRI) in young children under five years of age and chronic obstructive pulmonary disease in adults over twenty. While providing access to cleaner fuels has a larger health impact on the population than improved stoves, there are considerable health benefits associated with improved stove use. Improved stoves are also much more cost-effective than cleaner fuels. Of the cleaner fuels, kerosene, or paraffin, is more cost-effective than liquified petroleum gas (LPG), since kerosene is cheaper than LPG. Concerns about kerosene use, including poisoning, explosions, and possible carcinogenic effects, should be carefully considered before recommending its widespread use over LPG, however. This analysis offers further support for the argument that, from a public health point of view, there should be a continued emphasis on the promotion of improved stoves, as well as other locally appropriate means to reduce exposures within solid fuel-using households, until everyone can be given access to cleaner fuels.","DOI":"10.1016/S0973-0826(08)60466-4","ISSN":"0973-0826","shortTitle":"The health benefits of interventions to reduce indoor air pollution from solid fuel use","journalAbbreviation":"Energy for Sustainable Development","author":[{"family":"Mehta","given":"Sumi"},{"family":"Shahpar","given":"Cyrus"}],"issued":{"date-parts":[["2004",9]]}}}],"schema":"https://github.com/citation-style-language/schema/raw/master/csl-citation.json"} </w:instrText>
      </w:r>
      <w:r w:rsidR="003953B5" w:rsidRPr="00B24172">
        <w:rPr>
          <w:rFonts w:asciiTheme="majorBidi" w:hAnsiTheme="majorBidi" w:cstheme="majorBidi"/>
          <w:lang w:val="en-NZ" w:eastAsia="zh-CN"/>
        </w:rPr>
        <w:fldChar w:fldCharType="separate"/>
      </w:r>
      <w:r w:rsidR="003953B5" w:rsidRPr="00B24172">
        <w:t xml:space="preserve">Mehta </w:t>
      </w:r>
      <w:r w:rsidR="00A12AC0" w:rsidRPr="00B24172">
        <w:t>and</w:t>
      </w:r>
      <w:r w:rsidR="003953B5" w:rsidRPr="00B24172">
        <w:t xml:space="preserve"> Shahpar (2004)</w:t>
      </w:r>
      <w:r w:rsidR="003953B5" w:rsidRPr="00B24172">
        <w:rPr>
          <w:rFonts w:asciiTheme="majorBidi" w:hAnsiTheme="majorBidi" w:cstheme="majorBidi"/>
          <w:lang w:val="en-NZ" w:eastAsia="zh-CN"/>
        </w:rPr>
        <w:fldChar w:fldCharType="end"/>
      </w:r>
      <w:r w:rsidR="003953B5" w:rsidRPr="00B24172">
        <w:rPr>
          <w:rFonts w:asciiTheme="majorBidi" w:hAnsiTheme="majorBidi" w:cstheme="majorBidi"/>
          <w:lang w:val="en-NZ" w:eastAsia="zh-CN"/>
        </w:rPr>
        <w:t xml:space="preserve"> examined the results of two major interventions</w:t>
      </w:r>
      <w:r w:rsidR="00A12AC0" w:rsidRPr="00B24172">
        <w:rPr>
          <w:rFonts w:asciiTheme="majorBidi" w:hAnsiTheme="majorBidi" w:cstheme="majorBidi"/>
          <w:lang w:val="en-NZ" w:eastAsia="zh-CN"/>
        </w:rPr>
        <w:t xml:space="preserve"> (</w:t>
      </w:r>
      <w:r w:rsidR="00A12AC0" w:rsidRPr="00B24172">
        <w:rPr>
          <w:rFonts w:eastAsiaTheme="minorEastAsia"/>
          <w:lang w:val="en-NZ" w:eastAsia="zh-CN"/>
        </w:rPr>
        <w:t>providing access to cleaner fuels</w:t>
      </w:r>
      <w:r w:rsidR="00E869D3" w:rsidRPr="00B24172">
        <w:rPr>
          <w:rFonts w:eastAsiaTheme="minorEastAsia"/>
          <w:lang w:val="en-NZ" w:eastAsia="zh-CN"/>
        </w:rPr>
        <w:t>;</w:t>
      </w:r>
      <w:r w:rsidR="00A12AC0" w:rsidRPr="00B24172">
        <w:rPr>
          <w:rFonts w:eastAsiaTheme="minorEastAsia"/>
          <w:lang w:val="en-NZ" w:eastAsia="zh-CN"/>
        </w:rPr>
        <w:t xml:space="preserve"> and providin</w:t>
      </w:r>
      <w:r w:rsidR="00457422" w:rsidRPr="00B24172">
        <w:rPr>
          <w:rFonts w:eastAsiaTheme="minorEastAsia"/>
          <w:lang w:val="en-NZ" w:eastAsia="zh-CN"/>
        </w:rPr>
        <w:t>g access to ICS</w:t>
      </w:r>
      <w:r w:rsidR="00A12AC0" w:rsidRPr="00B24172">
        <w:rPr>
          <w:rFonts w:eastAsiaTheme="minorEastAsia"/>
        </w:rPr>
        <w:t>)</w:t>
      </w:r>
      <w:r w:rsidR="003953B5" w:rsidRPr="00B24172">
        <w:rPr>
          <w:rFonts w:asciiTheme="majorBidi" w:hAnsiTheme="majorBidi" w:cstheme="majorBidi"/>
          <w:lang w:val="en-NZ" w:eastAsia="zh-CN"/>
        </w:rPr>
        <w:t xml:space="preserve"> in </w:t>
      </w:r>
      <w:r w:rsidR="00A12AC0" w:rsidRPr="00B24172">
        <w:rPr>
          <w:rFonts w:asciiTheme="majorBidi" w:hAnsiTheme="majorBidi" w:cstheme="majorBidi"/>
          <w:lang w:val="en-NZ" w:eastAsia="zh-CN"/>
        </w:rPr>
        <w:t xml:space="preserve">six </w:t>
      </w:r>
      <w:r w:rsidR="003953B5" w:rsidRPr="00B24172">
        <w:rPr>
          <w:rFonts w:eastAsiaTheme="minorEastAsia"/>
          <w:lang w:val="en-NZ" w:eastAsia="zh-CN"/>
        </w:rPr>
        <w:t>epidemiologic sub-regions</w:t>
      </w:r>
      <w:r w:rsidR="00A12AC0" w:rsidRPr="00B24172">
        <w:rPr>
          <w:rFonts w:eastAsiaTheme="minorEastAsia"/>
          <w:lang w:val="en-NZ" w:eastAsia="zh-CN"/>
        </w:rPr>
        <w:t>.</w:t>
      </w:r>
      <w:r w:rsidR="003953B5" w:rsidRPr="00B24172">
        <w:rPr>
          <w:rStyle w:val="FootnoteReference"/>
          <w:rFonts w:eastAsiaTheme="minorEastAsia"/>
          <w:lang w:val="en-NZ" w:eastAsia="zh-CN"/>
        </w:rPr>
        <w:footnoteReference w:id="4"/>
      </w:r>
      <w:r w:rsidR="003953B5" w:rsidRPr="00B24172">
        <w:rPr>
          <w:rFonts w:eastAsiaTheme="minorEastAsia"/>
          <w:lang w:val="en-NZ" w:eastAsia="zh-CN"/>
        </w:rPr>
        <w:t xml:space="preserve"> </w:t>
      </w:r>
      <w:r w:rsidR="00A12AC0" w:rsidRPr="00B24172">
        <w:rPr>
          <w:rFonts w:eastAsiaTheme="minorEastAsia"/>
          <w:lang w:val="en-NZ" w:eastAsia="zh-CN"/>
        </w:rPr>
        <w:t>They focused on</w:t>
      </w:r>
      <w:r w:rsidR="00B12265" w:rsidRPr="00B24172">
        <w:rPr>
          <w:rFonts w:eastAsiaTheme="minorEastAsia"/>
          <w:lang w:val="en-NZ" w:eastAsia="zh-CN"/>
        </w:rPr>
        <w:t xml:space="preserve"> </w:t>
      </w:r>
      <w:r w:rsidR="00A12AC0" w:rsidRPr="00B24172">
        <w:rPr>
          <w:rFonts w:eastAsiaTheme="minorEastAsia"/>
          <w:lang w:val="en-NZ" w:eastAsia="zh-CN"/>
        </w:rPr>
        <w:t>t</w:t>
      </w:r>
      <w:r w:rsidR="001A5D60" w:rsidRPr="00B24172">
        <w:rPr>
          <w:rFonts w:eastAsiaTheme="minorEastAsia"/>
          <w:lang w:val="en-NZ" w:eastAsia="zh-CN"/>
        </w:rPr>
        <w:t>wo main health outcomes associated with IAP</w:t>
      </w:r>
      <w:r w:rsidR="00A12AC0" w:rsidRPr="00B24172">
        <w:rPr>
          <w:rFonts w:eastAsiaTheme="minorEastAsia"/>
          <w:lang w:val="en-NZ" w:eastAsia="zh-CN"/>
        </w:rPr>
        <w:t>:</w:t>
      </w:r>
      <w:r w:rsidR="006F3B4E" w:rsidRPr="00B24172">
        <w:rPr>
          <w:rFonts w:eastAsiaTheme="minorEastAsia"/>
          <w:lang w:val="en-NZ" w:eastAsia="zh-CN"/>
        </w:rPr>
        <w:t xml:space="preserve"> </w:t>
      </w:r>
      <w:r w:rsidR="00A12AC0" w:rsidRPr="00B24172">
        <w:rPr>
          <w:rFonts w:eastAsiaTheme="minorEastAsia"/>
          <w:lang w:val="en-NZ" w:eastAsia="zh-CN"/>
        </w:rPr>
        <w:t xml:space="preserve">(1) </w:t>
      </w:r>
      <w:r w:rsidR="006F3B4E" w:rsidRPr="00B24172">
        <w:rPr>
          <w:rFonts w:eastAsiaTheme="minorEastAsia"/>
          <w:lang w:val="en-NZ" w:eastAsia="zh-CN"/>
        </w:rPr>
        <w:t>acute</w:t>
      </w:r>
      <w:r w:rsidR="001A5D60" w:rsidRPr="00B24172">
        <w:rPr>
          <w:rFonts w:eastAsiaTheme="minorEastAsia"/>
          <w:lang w:val="en-NZ" w:eastAsia="zh-CN"/>
        </w:rPr>
        <w:t xml:space="preserve"> lower respiratory infections in young children under five years of age</w:t>
      </w:r>
      <w:r w:rsidR="00A12AC0" w:rsidRPr="00B24172">
        <w:rPr>
          <w:rFonts w:eastAsiaTheme="minorEastAsia"/>
          <w:lang w:val="en-NZ" w:eastAsia="zh-CN"/>
        </w:rPr>
        <w:t>;</w:t>
      </w:r>
      <w:r w:rsidR="001A5D60" w:rsidRPr="00B24172">
        <w:rPr>
          <w:rFonts w:eastAsiaTheme="minorEastAsia"/>
          <w:lang w:val="en-NZ" w:eastAsia="zh-CN"/>
        </w:rPr>
        <w:t xml:space="preserve"> and </w:t>
      </w:r>
      <w:r w:rsidR="00A12AC0" w:rsidRPr="00B24172">
        <w:rPr>
          <w:rFonts w:eastAsiaTheme="minorEastAsia"/>
          <w:lang w:val="en-NZ" w:eastAsia="zh-CN"/>
        </w:rPr>
        <w:t xml:space="preserve">(2) </w:t>
      </w:r>
      <w:r w:rsidR="001A5D60" w:rsidRPr="00B24172">
        <w:rPr>
          <w:rFonts w:eastAsiaTheme="minorEastAsia"/>
          <w:lang w:val="en-NZ" w:eastAsia="zh-CN"/>
        </w:rPr>
        <w:t xml:space="preserve">chronic obstructive pulmonary disease in adults </w:t>
      </w:r>
      <w:r w:rsidR="00A12AC0" w:rsidRPr="00B24172">
        <w:rPr>
          <w:rFonts w:eastAsiaTheme="minorEastAsia"/>
          <w:lang w:val="en-NZ" w:eastAsia="zh-CN"/>
        </w:rPr>
        <w:t xml:space="preserve">aged </w:t>
      </w:r>
      <w:r w:rsidR="001A5D60" w:rsidRPr="00B24172">
        <w:rPr>
          <w:rFonts w:eastAsiaTheme="minorEastAsia"/>
          <w:lang w:val="en-NZ" w:eastAsia="zh-CN"/>
        </w:rPr>
        <w:t xml:space="preserve">over twenty years. </w:t>
      </w:r>
      <w:r w:rsidR="00A12AC0" w:rsidRPr="00B24172">
        <w:rPr>
          <w:rFonts w:eastAsiaTheme="minorEastAsia"/>
          <w:lang w:val="en-NZ" w:eastAsia="zh-CN"/>
        </w:rPr>
        <w:t>They</w:t>
      </w:r>
      <w:r w:rsidR="001A5D60" w:rsidRPr="00B24172">
        <w:rPr>
          <w:rFonts w:eastAsiaTheme="minorEastAsia"/>
          <w:lang w:val="en-NZ" w:eastAsia="zh-CN"/>
        </w:rPr>
        <w:t xml:space="preserve"> est</w:t>
      </w:r>
      <w:r w:rsidR="001619D0" w:rsidRPr="00B24172">
        <w:rPr>
          <w:rFonts w:eastAsiaTheme="minorEastAsia"/>
          <w:lang w:val="en-NZ" w:eastAsia="zh-CN"/>
        </w:rPr>
        <w:t xml:space="preserve">imated the cost using </w:t>
      </w:r>
      <w:r w:rsidR="00A12AC0" w:rsidRPr="00B24172">
        <w:rPr>
          <w:rFonts w:eastAsiaTheme="minorEastAsia"/>
          <w:lang w:val="en-NZ" w:eastAsia="zh-CN"/>
        </w:rPr>
        <w:t xml:space="preserve">a </w:t>
      </w:r>
      <w:r w:rsidR="001619D0" w:rsidRPr="00B24172">
        <w:rPr>
          <w:rFonts w:eastAsiaTheme="minorEastAsia"/>
          <w:lang w:val="en-NZ" w:eastAsia="zh-CN"/>
        </w:rPr>
        <w:t xml:space="preserve">costing </w:t>
      </w:r>
      <w:r w:rsidR="006F3B4E" w:rsidRPr="00B24172">
        <w:rPr>
          <w:rFonts w:eastAsiaTheme="minorEastAsia"/>
          <w:lang w:val="en-NZ" w:eastAsia="zh-CN"/>
        </w:rPr>
        <w:t>template</w:t>
      </w:r>
      <w:r w:rsidR="001619D0" w:rsidRPr="00B24172">
        <w:rPr>
          <w:rFonts w:eastAsiaTheme="minorEastAsia"/>
          <w:lang w:val="en-NZ" w:eastAsia="zh-CN"/>
        </w:rPr>
        <w:t xml:space="preserve"> developed by WHO</w:t>
      </w:r>
      <w:r w:rsidR="00014D0F" w:rsidRPr="00B24172">
        <w:rPr>
          <w:rFonts w:eastAsiaTheme="minorEastAsia"/>
          <w:lang w:val="en-NZ" w:eastAsia="zh-CN"/>
        </w:rPr>
        <w:t>, and</w:t>
      </w:r>
      <w:r w:rsidR="001619D0" w:rsidRPr="00B24172">
        <w:rPr>
          <w:rFonts w:eastAsiaTheme="minorEastAsia"/>
          <w:lang w:val="en-NZ" w:eastAsia="zh-CN"/>
        </w:rPr>
        <w:t xml:space="preserve"> found that these interventions could reduce the burden of diseases associated with IAP and save 500-600 international dollar</w:t>
      </w:r>
      <w:r w:rsidR="00014D0F" w:rsidRPr="00B24172">
        <w:rPr>
          <w:rFonts w:eastAsiaTheme="minorEastAsia"/>
          <w:lang w:val="en-NZ" w:eastAsia="zh-CN"/>
        </w:rPr>
        <w:t>s</w:t>
      </w:r>
      <w:r w:rsidR="001619D0" w:rsidRPr="00B24172">
        <w:rPr>
          <w:rStyle w:val="FootnoteReference"/>
          <w:rFonts w:eastAsiaTheme="minorEastAsia"/>
          <w:lang w:val="en-NZ" w:eastAsia="zh-CN"/>
        </w:rPr>
        <w:footnoteReference w:id="5"/>
      </w:r>
      <w:r w:rsidR="001619D0" w:rsidRPr="00B24172">
        <w:rPr>
          <w:rFonts w:eastAsiaTheme="minorEastAsia"/>
          <w:lang w:val="en-NZ" w:eastAsia="zh-CN"/>
        </w:rPr>
        <w:t xml:space="preserve"> </w:t>
      </w:r>
      <w:r w:rsidR="00014D0F" w:rsidRPr="00B24172">
        <w:rPr>
          <w:rFonts w:eastAsiaTheme="minorEastAsia"/>
          <w:lang w:val="en-NZ" w:eastAsia="zh-CN"/>
        </w:rPr>
        <w:t>per year</w:t>
      </w:r>
      <w:r w:rsidR="00E926F3" w:rsidRPr="00B24172">
        <w:rPr>
          <w:rFonts w:eastAsiaTheme="minorEastAsia"/>
          <w:lang w:val="en-NZ" w:eastAsia="zh-CN"/>
        </w:rPr>
        <w:t xml:space="preserve"> per household</w:t>
      </w:r>
      <w:r w:rsidR="001619D0" w:rsidRPr="00B24172">
        <w:rPr>
          <w:rFonts w:eastAsiaTheme="minorEastAsia"/>
          <w:lang w:val="en-NZ" w:eastAsia="zh-CN"/>
        </w:rPr>
        <w:t xml:space="preserve">. </w:t>
      </w:r>
      <w:r w:rsidR="00014D0F" w:rsidRPr="00B24172">
        <w:rPr>
          <w:rFonts w:eastAsiaTheme="minorEastAsia"/>
          <w:lang w:val="en-NZ" w:eastAsia="zh-CN"/>
        </w:rPr>
        <w:t>They</w:t>
      </w:r>
      <w:r w:rsidR="001619D0" w:rsidRPr="00B24172">
        <w:rPr>
          <w:rFonts w:eastAsiaTheme="minorEastAsia"/>
          <w:lang w:val="en-NZ" w:eastAsia="zh-CN"/>
        </w:rPr>
        <w:t xml:space="preserve"> concluded that provi</w:t>
      </w:r>
      <w:r w:rsidR="00E869D3" w:rsidRPr="00B24172">
        <w:rPr>
          <w:rFonts w:eastAsiaTheme="minorEastAsia"/>
          <w:lang w:val="en-NZ" w:eastAsia="zh-CN"/>
        </w:rPr>
        <w:t>ding access to cleaner fuels has</w:t>
      </w:r>
      <w:r w:rsidR="001619D0" w:rsidRPr="00B24172">
        <w:rPr>
          <w:rFonts w:eastAsiaTheme="minorEastAsia"/>
          <w:lang w:val="en-NZ" w:eastAsia="zh-CN"/>
        </w:rPr>
        <w:t xml:space="preserve"> a </w:t>
      </w:r>
      <w:r w:rsidR="006F3B4E" w:rsidRPr="00B24172">
        <w:rPr>
          <w:rFonts w:eastAsiaTheme="minorEastAsia"/>
          <w:lang w:val="en-NZ" w:eastAsia="zh-CN"/>
        </w:rPr>
        <w:t>greater positive health</w:t>
      </w:r>
      <w:r w:rsidR="00014D0F" w:rsidRPr="00B24172">
        <w:rPr>
          <w:rFonts w:eastAsiaTheme="minorEastAsia"/>
          <w:lang w:val="en-NZ" w:eastAsia="zh-CN"/>
        </w:rPr>
        <w:t xml:space="preserve"> effect</w:t>
      </w:r>
      <w:r w:rsidR="006F3B4E" w:rsidRPr="00B24172">
        <w:rPr>
          <w:rFonts w:eastAsiaTheme="minorEastAsia"/>
          <w:lang w:val="en-NZ" w:eastAsia="zh-CN"/>
        </w:rPr>
        <w:t xml:space="preserve"> </w:t>
      </w:r>
      <w:r w:rsidR="001619D0" w:rsidRPr="00B24172">
        <w:rPr>
          <w:rFonts w:eastAsiaTheme="minorEastAsia"/>
          <w:lang w:val="en-NZ" w:eastAsia="zh-CN"/>
        </w:rPr>
        <w:t>than</w:t>
      </w:r>
      <w:r w:rsidR="00457422" w:rsidRPr="00B24172">
        <w:rPr>
          <w:rFonts w:eastAsiaTheme="minorEastAsia"/>
          <w:lang w:val="en-NZ" w:eastAsia="zh-CN"/>
        </w:rPr>
        <w:t xml:space="preserve"> ICS</w:t>
      </w:r>
      <w:r w:rsidR="001619D0" w:rsidRPr="00B24172">
        <w:rPr>
          <w:rFonts w:eastAsiaTheme="minorEastAsia"/>
          <w:lang w:val="en-NZ" w:eastAsia="zh-CN"/>
        </w:rPr>
        <w:t xml:space="preserve">, </w:t>
      </w:r>
      <w:r w:rsidR="00014D0F" w:rsidRPr="00B24172">
        <w:rPr>
          <w:rFonts w:eastAsiaTheme="minorEastAsia"/>
          <w:lang w:val="en-NZ" w:eastAsia="zh-CN"/>
        </w:rPr>
        <w:t xml:space="preserve">although </w:t>
      </w:r>
      <w:r w:rsidR="00D90FE8" w:rsidRPr="00B24172">
        <w:rPr>
          <w:rFonts w:eastAsiaTheme="minorEastAsia"/>
          <w:lang w:val="en-NZ" w:eastAsia="zh-CN"/>
        </w:rPr>
        <w:t>there were also</w:t>
      </w:r>
      <w:r w:rsidR="001619D0" w:rsidRPr="00B24172">
        <w:rPr>
          <w:rFonts w:eastAsiaTheme="minorEastAsia"/>
          <w:lang w:val="en-NZ" w:eastAsia="zh-CN"/>
        </w:rPr>
        <w:t xml:space="preserve"> </w:t>
      </w:r>
      <w:r w:rsidR="006F3B4E" w:rsidRPr="00B24172">
        <w:rPr>
          <w:rFonts w:eastAsiaTheme="minorEastAsia"/>
          <w:lang w:val="en-NZ" w:eastAsia="zh-CN"/>
        </w:rPr>
        <w:t>significant</w:t>
      </w:r>
      <w:r w:rsidR="001619D0" w:rsidRPr="00B24172">
        <w:rPr>
          <w:rFonts w:eastAsiaTheme="minorEastAsia"/>
          <w:lang w:val="en-NZ" w:eastAsia="zh-CN"/>
        </w:rPr>
        <w:t xml:space="preserve"> health benefits </w:t>
      </w:r>
      <w:r w:rsidR="00E869D3" w:rsidRPr="00B24172">
        <w:rPr>
          <w:rFonts w:eastAsiaTheme="minorEastAsia"/>
          <w:lang w:val="en-NZ" w:eastAsia="zh-CN"/>
        </w:rPr>
        <w:t>arising from</w:t>
      </w:r>
      <w:r w:rsidR="00014D0F" w:rsidRPr="00B24172">
        <w:rPr>
          <w:rFonts w:eastAsiaTheme="minorEastAsia"/>
          <w:lang w:val="en-NZ" w:eastAsia="zh-CN"/>
        </w:rPr>
        <w:t xml:space="preserve"> </w:t>
      </w:r>
      <w:r w:rsidR="00B97B7E" w:rsidRPr="00B24172">
        <w:rPr>
          <w:rFonts w:eastAsiaTheme="minorEastAsia"/>
          <w:lang w:val="en-NZ" w:eastAsia="zh-CN"/>
        </w:rPr>
        <w:t>ICS</w:t>
      </w:r>
      <w:r w:rsidR="00E869D3" w:rsidRPr="00B24172">
        <w:rPr>
          <w:rFonts w:eastAsiaTheme="minorEastAsia"/>
          <w:lang w:val="en-NZ" w:eastAsia="zh-CN"/>
        </w:rPr>
        <w:t xml:space="preserve"> adoption</w:t>
      </w:r>
      <w:r w:rsidR="006F3B4E" w:rsidRPr="00B24172">
        <w:rPr>
          <w:rFonts w:eastAsiaTheme="minorEastAsia"/>
          <w:lang w:val="en-NZ" w:eastAsia="zh-CN"/>
        </w:rPr>
        <w:t>.</w:t>
      </w:r>
      <w:r w:rsidR="00806AFF" w:rsidRPr="00B24172">
        <w:rPr>
          <w:rFonts w:eastAsiaTheme="minorEastAsia"/>
          <w:lang w:val="en-NZ" w:eastAsia="zh-CN"/>
        </w:rPr>
        <w:t xml:space="preserve"> </w:t>
      </w:r>
    </w:p>
    <w:p w14:paraId="31872F92" w14:textId="77777777" w:rsidR="00DF4C6C" w:rsidRPr="00B24172" w:rsidRDefault="00DF4C6C" w:rsidP="00BF2AB8">
      <w:pPr>
        <w:shd w:val="clear" w:color="auto" w:fill="FFFFFF"/>
        <w:spacing w:line="288" w:lineRule="auto"/>
        <w:ind w:right="26"/>
        <w:jc w:val="both"/>
        <w:textAlignment w:val="baseline"/>
        <w:rPr>
          <w:rFonts w:asciiTheme="majorBidi" w:hAnsiTheme="majorBidi" w:cstheme="majorBidi"/>
          <w:lang w:val="en-NZ" w:eastAsia="zh-CN"/>
        </w:rPr>
      </w:pPr>
    </w:p>
    <w:p w14:paraId="101996B1" w14:textId="060E2731" w:rsidR="00DF4C6C" w:rsidRPr="00B24172" w:rsidRDefault="003A7564" w:rsidP="00B15504">
      <w:pPr>
        <w:autoSpaceDE w:val="0"/>
        <w:autoSpaceDN w:val="0"/>
        <w:adjustRightInd w:val="0"/>
        <w:spacing w:line="288" w:lineRule="auto"/>
        <w:ind w:firstLine="720"/>
        <w:jc w:val="both"/>
        <w:rPr>
          <w:rFonts w:asciiTheme="majorBidi" w:hAnsiTheme="majorBidi" w:cstheme="majorBidi"/>
          <w:lang w:val="en-NZ" w:eastAsia="zh-CN"/>
        </w:rPr>
      </w:pPr>
      <w:r w:rsidRPr="00B24172">
        <w:rPr>
          <w:rFonts w:eastAsiaTheme="minorEastAsia"/>
          <w:lang w:val="en-NZ" w:eastAsia="zh-CN"/>
        </w:rPr>
        <w:fldChar w:fldCharType="begin"/>
      </w:r>
      <w:r w:rsidR="00A260FD" w:rsidRPr="00B24172">
        <w:rPr>
          <w:rFonts w:eastAsiaTheme="minorEastAsia"/>
          <w:lang w:val="en-NZ" w:eastAsia="zh-CN"/>
        </w:rPr>
        <w:instrText xml:space="preserve"> ADDIN ZOTERO_ITEM CSL_CITATION {"citationID":"2817e0puqi","properties":{"formattedCitation":"(Hutton, Rehfuess, &amp; Tediosi, 2007)","plainCitation":"(Hutton, Rehfuess, &amp; Tediosi, 2007)","dontUpdate":true,"noteIndex":0},"citationItems":[{"id":"yPj1CNji/eYwjIPdP","uris":["http://zotero.org/users/2699952/items/ESNF2DMZ"],"uri":["http://zotero.org/users/2699952/items/ESNF2DMZ"],"itemData":{"id":25,"type":"article-journal","title":"Evaluation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Pr="00B24172">
        <w:rPr>
          <w:rFonts w:eastAsiaTheme="minorEastAsia"/>
          <w:lang w:val="en-NZ" w:eastAsia="zh-CN"/>
        </w:rPr>
        <w:fldChar w:fldCharType="separate"/>
      </w:r>
      <w:r w:rsidRPr="00B24172">
        <w:rPr>
          <w:rFonts w:eastAsiaTheme="minorEastAsia"/>
        </w:rPr>
        <w:t xml:space="preserve">Hutton, Rehfuess </w:t>
      </w:r>
      <w:r w:rsidR="00014D0F" w:rsidRPr="00B24172">
        <w:rPr>
          <w:rFonts w:eastAsiaTheme="minorEastAsia"/>
        </w:rPr>
        <w:t>and</w:t>
      </w:r>
      <w:r w:rsidRPr="00B24172">
        <w:rPr>
          <w:rFonts w:eastAsiaTheme="minorEastAsia"/>
        </w:rPr>
        <w:t xml:space="preserve"> Tediosi (2007)</w:t>
      </w:r>
      <w:r w:rsidRPr="00B24172">
        <w:rPr>
          <w:rFonts w:eastAsiaTheme="minorEastAsia"/>
          <w:lang w:val="en-NZ" w:eastAsia="zh-CN"/>
        </w:rPr>
        <w:fldChar w:fldCharType="end"/>
      </w:r>
      <w:r w:rsidR="001619D0" w:rsidRPr="00B24172">
        <w:rPr>
          <w:rFonts w:eastAsiaTheme="minorEastAsia"/>
          <w:lang w:val="en-NZ" w:eastAsia="zh-CN"/>
        </w:rPr>
        <w:t xml:space="preserve"> </w:t>
      </w:r>
      <w:r w:rsidR="00212D3A" w:rsidRPr="00B24172">
        <w:rPr>
          <w:rFonts w:eastAsiaTheme="minorEastAsia"/>
          <w:lang w:val="en-NZ" w:eastAsia="zh-CN"/>
        </w:rPr>
        <w:t xml:space="preserve">also </w:t>
      </w:r>
      <w:r w:rsidR="00B400B1" w:rsidRPr="00B24172">
        <w:rPr>
          <w:rFonts w:eastAsiaTheme="minorEastAsia"/>
          <w:lang w:val="en-NZ" w:eastAsia="zh-CN"/>
        </w:rPr>
        <w:t xml:space="preserve">applied </w:t>
      </w:r>
      <w:r w:rsidR="00E869D3" w:rsidRPr="00B24172">
        <w:rPr>
          <w:rFonts w:eastAsiaTheme="minorEastAsia"/>
          <w:lang w:val="en-NZ" w:eastAsia="zh-CN"/>
        </w:rPr>
        <w:t>cost</w:t>
      </w:r>
      <w:r w:rsidR="00D54EFC" w:rsidRPr="00B24172">
        <w:rPr>
          <w:rFonts w:eastAsiaTheme="minorEastAsia"/>
          <w:lang w:val="en-NZ" w:eastAsia="zh-CN"/>
        </w:rPr>
        <w:t>-benefit</w:t>
      </w:r>
      <w:r w:rsidRPr="00B24172">
        <w:rPr>
          <w:rFonts w:eastAsiaTheme="minorEastAsia"/>
          <w:lang w:val="en-NZ" w:eastAsia="zh-CN"/>
        </w:rPr>
        <w:t xml:space="preserve"> analysis</w:t>
      </w:r>
      <w:r w:rsidR="00E869D3" w:rsidRPr="00B24172">
        <w:rPr>
          <w:rFonts w:eastAsiaTheme="minorEastAsia"/>
          <w:lang w:val="en-NZ" w:eastAsia="zh-CN"/>
        </w:rPr>
        <w:t>,</w:t>
      </w:r>
      <w:r w:rsidR="00B400B1" w:rsidRPr="00B24172">
        <w:rPr>
          <w:rFonts w:eastAsiaTheme="minorEastAsia"/>
          <w:lang w:val="en-NZ" w:eastAsia="zh-CN"/>
        </w:rPr>
        <w:t xml:space="preserve"> </w:t>
      </w:r>
      <w:r w:rsidR="00E869D3" w:rsidRPr="00B24172">
        <w:rPr>
          <w:rFonts w:eastAsiaTheme="minorEastAsia"/>
          <w:lang w:val="en-NZ" w:eastAsia="zh-CN"/>
        </w:rPr>
        <w:t xml:space="preserve">for the same epidemiologic sub-regions as </w:t>
      </w:r>
      <w:r w:rsidR="00E869D3"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{"citationID":"OwbB2z8t","properties":{"formattedCitation":"(Mehta &amp; Shahpar, 2004)","plainCitation":"(Mehta &amp; Shahpar, 2004)","dontUpdate":true,"noteIndex":0},"citationItems":[{"id":"yPj1CNji/HljaxTcl","uris":["http://zotero.org/users/2699952/items/ZAN4GF2M"],"uri":["http://zotero.org/users/2699952/items/ZAN4GF2M"],"itemData":{"id":184,"type":"article-journal","title":"The health benefits of interventions to reduce indoor air pollution from solid fuel use: a cost-effectiveness analysis","container-title":"Energy for Sustainable Development","page":"53-59","volume":"8","issue":"3","source":"ScienceDirect","abstract":"The air pollution-related health benefits of interventions to reduce indoor air pollution from cooking and heating with solid fuels are evaluated in South and South-east Asia, Africa, and the Americas using generalized cost-effectiveness methodology. Three scenarios are assessed: 1) providing access to cleaner fuels, (2) providing access to improved stoves, and (3) providing part of the population with access to cleaner fuels and part of the population with improved stoves. All intervention scenarios are compared with the current situation, i.e., the “business as usual” scenario where current exposures to indoor air pollution from solid fuel use would be sustained. Two major health outcomes associated with indoor air pollution are addressed, namely acute lower respiratory infections (ALRI) in young children under five years of age and chronic obstructive pulmonary disease in adults over twenty. While providing access to cleaner fuels has a larger health impact on the population than improved stoves, there are considerable health benefits associated with improved stove use. Improved stoves are also much more cost-effective than cleaner fuels. Of the cleaner fuels, kerosene, or paraffin, is more cost-effective than liquified petroleum gas (LPG), since kerosene is cheaper than LPG. Concerns about kerosene use, including poisoning, explosions, and possible carcinogenic effects, should be carefully considered before recommending its widespread use over LPG, however. This analysis offers further support for the argument that, from a public health point of view, there should be a continued emphasis on the promotion of improved stoves, as well as other locally appropriate means to reduce exposures within solid fuel-using households, until everyone can be given access to cleaner fuels.","DOI":"10.1016/S0973-0826(08)60466-4","ISSN":"0973-0826","shortTitle":"The health benefits of interventions to reduce indoor air pollution from solid fuel use","journalAbbreviation":"Energy for Sustainable Development","author":[{"family":"Mehta","given":"Sumi"},{"family":"Shahpar","given":"Cyrus"}],"issued":{"date-parts":[["2004",9]]}}}],"schema":"https://github.com/citation-style-language/schema/raw/master/csl-citation.json"} </w:instrText>
      </w:r>
      <w:r w:rsidR="00E869D3" w:rsidRPr="00B24172">
        <w:rPr>
          <w:rFonts w:asciiTheme="majorBidi" w:hAnsiTheme="majorBidi" w:cstheme="majorBidi"/>
          <w:lang w:val="en-NZ" w:eastAsia="zh-CN"/>
        </w:rPr>
        <w:fldChar w:fldCharType="separate"/>
      </w:r>
      <w:r w:rsidR="00E869D3" w:rsidRPr="00B24172">
        <w:t>Mehta and Shahpar (2004)</w:t>
      </w:r>
      <w:r w:rsidR="00E869D3" w:rsidRPr="00B24172">
        <w:rPr>
          <w:rFonts w:asciiTheme="majorBidi" w:hAnsiTheme="majorBidi" w:cstheme="majorBidi"/>
          <w:lang w:val="en-NZ" w:eastAsia="zh-CN"/>
        </w:rPr>
        <w:fldChar w:fldCharType="end"/>
      </w:r>
      <w:r w:rsidR="00E869D3" w:rsidRPr="00B24172">
        <w:rPr>
          <w:rFonts w:eastAsiaTheme="minorEastAsia"/>
          <w:lang w:val="en-NZ" w:eastAsia="zh-CN"/>
        </w:rPr>
        <w:t xml:space="preserve">, </w:t>
      </w:r>
      <w:r w:rsidRPr="00B24172">
        <w:rPr>
          <w:rFonts w:eastAsiaTheme="minorEastAsia"/>
          <w:lang w:val="en-NZ" w:eastAsia="zh-CN"/>
        </w:rPr>
        <w:t xml:space="preserve">to </w:t>
      </w:r>
      <w:r w:rsidR="00014D0F" w:rsidRPr="00B24172">
        <w:rPr>
          <w:rFonts w:eastAsiaTheme="minorEastAsia"/>
          <w:lang w:val="en-NZ" w:eastAsia="zh-CN"/>
        </w:rPr>
        <w:t>evaluate</w:t>
      </w:r>
      <w:r w:rsidRPr="00B24172">
        <w:rPr>
          <w:rFonts w:eastAsiaTheme="minorEastAsia"/>
          <w:lang w:val="en-NZ" w:eastAsia="zh-CN"/>
        </w:rPr>
        <w:t xml:space="preserve"> two interventions</w:t>
      </w:r>
      <w:r w:rsidR="00014D0F" w:rsidRPr="00B24172">
        <w:rPr>
          <w:rFonts w:eastAsiaTheme="minorEastAsia"/>
          <w:lang w:val="en-NZ" w:eastAsia="zh-CN"/>
        </w:rPr>
        <w:t>:</w:t>
      </w:r>
      <w:r w:rsidRPr="00B24172">
        <w:rPr>
          <w:rFonts w:eastAsiaTheme="minorEastAsia"/>
          <w:lang w:val="en-NZ" w:eastAsia="zh-CN"/>
        </w:rPr>
        <w:t xml:space="preserve"> </w:t>
      </w:r>
      <w:r w:rsidR="00014D0F" w:rsidRPr="00B24172">
        <w:rPr>
          <w:rFonts w:eastAsiaTheme="minorEastAsia"/>
          <w:lang w:val="en-NZ" w:eastAsia="zh-CN"/>
        </w:rPr>
        <w:t>(1</w:t>
      </w:r>
      <w:r w:rsidRPr="00B24172">
        <w:rPr>
          <w:rFonts w:eastAsiaTheme="minorEastAsia"/>
          <w:lang w:val="en-NZ" w:eastAsia="zh-CN"/>
        </w:rPr>
        <w:t>) access to cleaner fuel</w:t>
      </w:r>
      <w:r w:rsidR="00014D0F" w:rsidRPr="00B24172">
        <w:rPr>
          <w:rFonts w:eastAsiaTheme="minorEastAsia"/>
          <w:lang w:val="en-NZ" w:eastAsia="zh-CN"/>
        </w:rPr>
        <w:t>s;</w:t>
      </w:r>
      <w:r w:rsidRPr="00B24172">
        <w:rPr>
          <w:rFonts w:eastAsiaTheme="minorEastAsia"/>
          <w:lang w:val="en-NZ" w:eastAsia="zh-CN"/>
        </w:rPr>
        <w:t xml:space="preserve"> and </w:t>
      </w:r>
      <w:r w:rsidR="00014D0F" w:rsidRPr="00B24172">
        <w:rPr>
          <w:rFonts w:eastAsiaTheme="minorEastAsia"/>
          <w:lang w:val="en-NZ" w:eastAsia="zh-CN"/>
        </w:rPr>
        <w:t>(2</w:t>
      </w:r>
      <w:r w:rsidRPr="00B24172">
        <w:rPr>
          <w:rFonts w:eastAsiaTheme="minorEastAsia"/>
          <w:lang w:val="en-NZ" w:eastAsia="zh-CN"/>
        </w:rPr>
        <w:t>)</w:t>
      </w:r>
      <w:r w:rsidR="00014D0F" w:rsidRPr="00B24172">
        <w:rPr>
          <w:rFonts w:eastAsiaTheme="minorEastAsia"/>
          <w:lang w:val="en-NZ" w:eastAsia="zh-CN"/>
        </w:rPr>
        <w:t xml:space="preserve"> </w:t>
      </w:r>
      <w:r w:rsidRPr="00B24172">
        <w:rPr>
          <w:rFonts w:eastAsiaTheme="minorEastAsia"/>
          <w:lang w:val="en-NZ" w:eastAsia="zh-CN"/>
        </w:rPr>
        <w:t xml:space="preserve">more efficient </w:t>
      </w:r>
      <w:r w:rsidR="00603E5E" w:rsidRPr="00B24172">
        <w:rPr>
          <w:rFonts w:eastAsiaTheme="minorEastAsia"/>
          <w:lang w:val="en-NZ" w:eastAsia="zh-CN"/>
        </w:rPr>
        <w:t>stoves</w:t>
      </w:r>
      <w:r w:rsidR="00E869D3" w:rsidRPr="00B24172">
        <w:rPr>
          <w:rFonts w:eastAsiaTheme="minorEastAsia"/>
          <w:lang w:val="en-NZ" w:eastAsia="zh-CN"/>
        </w:rPr>
        <w:t>.</w:t>
      </w:r>
      <w:r w:rsidR="00603E5E" w:rsidRPr="00B24172">
        <w:rPr>
          <w:rFonts w:eastAsiaTheme="minorEastAsia"/>
          <w:lang w:val="en-NZ" w:eastAsia="zh-CN"/>
        </w:rPr>
        <w:t xml:space="preserve"> </w:t>
      </w:r>
      <w:r w:rsidR="00014D0F" w:rsidRPr="00B24172">
        <w:rPr>
          <w:rFonts w:eastAsiaTheme="minorEastAsia"/>
          <w:lang w:val="en-NZ" w:eastAsia="zh-CN"/>
        </w:rPr>
        <w:t xml:space="preserve">They </w:t>
      </w:r>
      <w:r w:rsidR="00E869D3" w:rsidRPr="00B24172">
        <w:rPr>
          <w:rFonts w:eastAsiaTheme="minorEastAsia"/>
          <w:lang w:val="en-NZ" w:eastAsia="zh-CN"/>
        </w:rPr>
        <w:t xml:space="preserve">also </w:t>
      </w:r>
      <w:r w:rsidR="00014D0F" w:rsidRPr="00B24172">
        <w:rPr>
          <w:rFonts w:eastAsiaTheme="minorEastAsia"/>
          <w:lang w:val="en-NZ" w:eastAsia="zh-CN"/>
        </w:rPr>
        <w:t>followed the WHO’s guidelines for the estimation of economic cost</w:t>
      </w:r>
      <w:r w:rsidR="00E869D3" w:rsidRPr="00B24172">
        <w:rPr>
          <w:rFonts w:eastAsiaTheme="minorEastAsia"/>
          <w:lang w:val="en-NZ" w:eastAsia="zh-CN"/>
        </w:rPr>
        <w:t>s</w:t>
      </w:r>
      <w:r w:rsidR="00014D0F" w:rsidRPr="00B24172">
        <w:rPr>
          <w:rFonts w:eastAsiaTheme="minorEastAsia"/>
          <w:lang w:val="en-NZ" w:eastAsia="zh-CN"/>
        </w:rPr>
        <w:t xml:space="preserve"> and benefits. C</w:t>
      </w:r>
      <w:r w:rsidR="00742333" w:rsidRPr="00B24172">
        <w:rPr>
          <w:rFonts w:eastAsiaTheme="minorEastAsia"/>
          <w:lang w:val="en-NZ" w:eastAsia="zh-CN"/>
        </w:rPr>
        <w:t>ost</w:t>
      </w:r>
      <w:r w:rsidR="00014D0F" w:rsidRPr="00B24172">
        <w:rPr>
          <w:rFonts w:eastAsiaTheme="minorEastAsia"/>
          <w:lang w:val="en-NZ" w:eastAsia="zh-CN"/>
        </w:rPr>
        <w:t>s</w:t>
      </w:r>
      <w:r w:rsidR="00742333" w:rsidRPr="00B24172">
        <w:rPr>
          <w:rFonts w:eastAsiaTheme="minorEastAsia"/>
          <w:lang w:val="en-NZ" w:eastAsia="zh-CN"/>
        </w:rPr>
        <w:t xml:space="preserve"> included fuel cost</w:t>
      </w:r>
      <w:r w:rsidR="00014D0F" w:rsidRPr="00B24172">
        <w:rPr>
          <w:rFonts w:eastAsiaTheme="minorEastAsia"/>
          <w:lang w:val="en-NZ" w:eastAsia="zh-CN"/>
        </w:rPr>
        <w:t>s</w:t>
      </w:r>
      <w:r w:rsidR="00742333" w:rsidRPr="00B24172">
        <w:rPr>
          <w:rFonts w:eastAsiaTheme="minorEastAsia"/>
          <w:lang w:val="en-NZ" w:eastAsia="zh-CN"/>
        </w:rPr>
        <w:t>, stove cost</w:t>
      </w:r>
      <w:r w:rsidR="00014D0F" w:rsidRPr="00B24172">
        <w:rPr>
          <w:rFonts w:eastAsiaTheme="minorEastAsia"/>
          <w:lang w:val="en-NZ" w:eastAsia="zh-CN"/>
        </w:rPr>
        <w:t>s</w:t>
      </w:r>
      <w:r w:rsidR="00742333" w:rsidRPr="00B24172">
        <w:rPr>
          <w:rFonts w:eastAsiaTheme="minorEastAsia"/>
          <w:lang w:val="en-NZ" w:eastAsia="zh-CN"/>
        </w:rPr>
        <w:t>, program cost</w:t>
      </w:r>
      <w:r w:rsidR="00014D0F" w:rsidRPr="00B24172">
        <w:rPr>
          <w:rFonts w:eastAsiaTheme="minorEastAsia"/>
          <w:lang w:val="en-NZ" w:eastAsia="zh-CN"/>
        </w:rPr>
        <w:t>s</w:t>
      </w:r>
      <w:r w:rsidR="00742333" w:rsidRPr="00B24172">
        <w:rPr>
          <w:rFonts w:eastAsiaTheme="minorEastAsia"/>
          <w:lang w:val="en-NZ" w:eastAsia="zh-CN"/>
        </w:rPr>
        <w:t>, and operational cost</w:t>
      </w:r>
      <w:r w:rsidR="00014D0F" w:rsidRPr="00B24172">
        <w:rPr>
          <w:rFonts w:eastAsiaTheme="minorEastAsia"/>
          <w:lang w:val="en-NZ" w:eastAsia="zh-CN"/>
        </w:rPr>
        <w:t>s,</w:t>
      </w:r>
      <w:r w:rsidR="00742333" w:rsidRPr="00B24172">
        <w:rPr>
          <w:rFonts w:eastAsiaTheme="minorEastAsia"/>
          <w:lang w:val="en-NZ" w:eastAsia="zh-CN"/>
        </w:rPr>
        <w:t xml:space="preserve"> while benefits included reduced health related expenditures, productivity gains, time savings,</w:t>
      </w:r>
      <w:r w:rsidR="00D83871" w:rsidRPr="00B24172">
        <w:rPr>
          <w:rFonts w:eastAsiaTheme="minorEastAsia"/>
          <w:lang w:val="en-NZ" w:eastAsia="zh-CN"/>
        </w:rPr>
        <w:t xml:space="preserve"> and environmental benefits</w:t>
      </w:r>
      <w:r w:rsidR="00014D0F" w:rsidRPr="00B24172">
        <w:rPr>
          <w:rFonts w:eastAsiaTheme="minorEastAsia"/>
          <w:lang w:val="en-NZ" w:eastAsia="zh-CN"/>
        </w:rPr>
        <w:t xml:space="preserve">. </w:t>
      </w:r>
      <w:r w:rsidR="00603E5E" w:rsidRPr="00B24172">
        <w:rPr>
          <w:rFonts w:eastAsiaTheme="minorEastAsia"/>
          <w:lang w:val="en-NZ" w:eastAsia="zh-CN"/>
        </w:rPr>
        <w:t>A</w:t>
      </w:r>
      <w:r w:rsidR="00B400B1" w:rsidRPr="00B24172">
        <w:rPr>
          <w:rFonts w:eastAsiaTheme="minorEastAsia"/>
          <w:lang w:val="en-NZ" w:eastAsia="zh-CN"/>
        </w:rPr>
        <w:t xml:space="preserve"> </w:t>
      </w:r>
      <w:r w:rsidR="00603E5E" w:rsidRPr="00B24172">
        <w:rPr>
          <w:rFonts w:eastAsiaTheme="minorEastAsia"/>
          <w:lang w:val="en-NZ" w:eastAsia="zh-CN"/>
        </w:rPr>
        <w:t>s</w:t>
      </w:r>
      <w:r w:rsidR="003D40CF" w:rsidRPr="00B24172">
        <w:rPr>
          <w:rFonts w:eastAsiaTheme="minorEastAsia"/>
          <w:lang w:val="en-NZ" w:eastAsia="zh-CN"/>
        </w:rPr>
        <w:t>ensitivity</w:t>
      </w:r>
      <w:r w:rsidR="00603E5E" w:rsidRPr="00B24172">
        <w:rPr>
          <w:rFonts w:eastAsiaTheme="minorEastAsia"/>
          <w:lang w:val="en-NZ" w:eastAsia="zh-CN"/>
        </w:rPr>
        <w:t xml:space="preserve"> analysis was also carried out</w:t>
      </w:r>
      <w:r w:rsidR="003D40CF" w:rsidRPr="00B24172">
        <w:rPr>
          <w:rFonts w:eastAsiaTheme="minorEastAsia"/>
          <w:lang w:val="en-NZ" w:eastAsia="zh-CN"/>
        </w:rPr>
        <w:t xml:space="preserve"> to</w:t>
      </w:r>
      <w:r w:rsidR="00B400B1" w:rsidRPr="00B24172">
        <w:rPr>
          <w:rFonts w:eastAsiaTheme="minorEastAsia"/>
          <w:lang w:val="en-NZ" w:eastAsia="zh-CN"/>
        </w:rPr>
        <w:t xml:space="preserve"> </w:t>
      </w:r>
      <w:r w:rsidR="00014D0F" w:rsidRPr="00B24172">
        <w:rPr>
          <w:rFonts w:eastAsiaTheme="minorEastAsia"/>
          <w:lang w:val="en-NZ" w:eastAsia="zh-CN"/>
        </w:rPr>
        <w:t xml:space="preserve">explicitly estimate </w:t>
      </w:r>
      <w:r w:rsidR="00B400B1" w:rsidRPr="00B24172">
        <w:rPr>
          <w:rFonts w:eastAsiaTheme="minorEastAsia"/>
          <w:lang w:val="en-NZ" w:eastAsia="zh-CN"/>
        </w:rPr>
        <w:t xml:space="preserve">the </w:t>
      </w:r>
      <w:r w:rsidR="003D40CF" w:rsidRPr="00B24172">
        <w:rPr>
          <w:rFonts w:eastAsiaTheme="minorEastAsia"/>
          <w:lang w:val="en-NZ" w:eastAsia="zh-CN"/>
        </w:rPr>
        <w:t>uncertainty</w:t>
      </w:r>
      <w:r w:rsidR="00B400B1" w:rsidRPr="00B24172">
        <w:rPr>
          <w:rFonts w:eastAsiaTheme="minorEastAsia"/>
          <w:lang w:val="en-NZ" w:eastAsia="zh-CN"/>
        </w:rPr>
        <w:t xml:space="preserve"> in the results. </w:t>
      </w:r>
      <w:r w:rsidR="008B5BEB" w:rsidRPr="00B24172">
        <w:rPr>
          <w:rFonts w:eastAsiaTheme="minorEastAsia"/>
          <w:lang w:val="en-NZ" w:eastAsia="zh-CN"/>
        </w:rPr>
        <w:t>S</w:t>
      </w:r>
      <w:r w:rsidR="000A5F12" w:rsidRPr="00B24172">
        <w:rPr>
          <w:rFonts w:eastAsiaTheme="minorEastAsia"/>
          <w:lang w:val="en-NZ" w:eastAsia="zh-CN"/>
        </w:rPr>
        <w:t xml:space="preserve">urprisingly, </w:t>
      </w:r>
      <w:r w:rsidR="008A2853" w:rsidRPr="00B24172">
        <w:rPr>
          <w:rFonts w:eastAsiaTheme="minorEastAsia"/>
          <w:lang w:val="en-NZ" w:eastAsia="zh-CN"/>
        </w:rPr>
        <w:t>for the Eastern Mediterranean Region-D</w:t>
      </w:r>
      <w:r w:rsidR="008A2853" w:rsidRPr="00B24172">
        <w:rPr>
          <w:rStyle w:val="FootnoteReference"/>
          <w:rFonts w:eastAsiaTheme="minorEastAsia"/>
          <w:lang w:val="en-NZ" w:eastAsia="zh-CN"/>
        </w:rPr>
        <w:footnoteReference w:id="6"/>
      </w:r>
      <w:r w:rsidR="008A2853" w:rsidRPr="00B24172">
        <w:rPr>
          <w:rFonts w:eastAsiaTheme="minorEastAsia"/>
          <w:lang w:val="en-NZ" w:eastAsia="zh-CN"/>
        </w:rPr>
        <w:t xml:space="preserve"> (EMR-D, the region that includes Pakistan) </w:t>
      </w:r>
      <w:r w:rsidR="000A5F12" w:rsidRPr="00B24172">
        <w:rPr>
          <w:rFonts w:eastAsiaTheme="minorEastAsia"/>
          <w:lang w:val="en-NZ" w:eastAsia="zh-CN"/>
        </w:rPr>
        <w:t>the BCR for LPG in urban area</w:t>
      </w:r>
      <w:r w:rsidR="000F63EA" w:rsidRPr="00B24172">
        <w:rPr>
          <w:rFonts w:eastAsiaTheme="minorEastAsia"/>
          <w:lang w:val="en-NZ" w:eastAsia="zh-CN"/>
        </w:rPr>
        <w:t>s</w:t>
      </w:r>
      <w:r w:rsidR="000A5F12" w:rsidRPr="00B24172">
        <w:rPr>
          <w:rFonts w:eastAsiaTheme="minorEastAsia"/>
          <w:lang w:val="en-NZ" w:eastAsia="zh-CN"/>
        </w:rPr>
        <w:t xml:space="preserve"> </w:t>
      </w:r>
      <w:r w:rsidR="000F63EA" w:rsidRPr="00B24172">
        <w:rPr>
          <w:rFonts w:eastAsiaTheme="minorEastAsia"/>
          <w:lang w:val="en-NZ" w:eastAsia="zh-CN"/>
        </w:rPr>
        <w:t xml:space="preserve">was </w:t>
      </w:r>
      <w:r w:rsidR="00B0028C" w:rsidRPr="00B24172">
        <w:rPr>
          <w:rFonts w:eastAsiaTheme="minorEastAsia"/>
          <w:lang w:val="en-NZ" w:eastAsia="zh-CN"/>
        </w:rPr>
        <w:t>less than one</w:t>
      </w:r>
      <w:r w:rsidR="00B15504" w:rsidRPr="00B24172">
        <w:rPr>
          <w:rFonts w:eastAsiaTheme="minorEastAsia"/>
          <w:lang w:val="en-NZ" w:eastAsia="zh-CN"/>
        </w:rPr>
        <w:t>,</w:t>
      </w:r>
      <w:r w:rsidR="000A5F12" w:rsidRPr="00B24172">
        <w:rPr>
          <w:rFonts w:eastAsiaTheme="minorEastAsia"/>
          <w:lang w:val="en-NZ" w:eastAsia="zh-CN"/>
        </w:rPr>
        <w:t xml:space="preserve"> </w:t>
      </w:r>
      <w:r w:rsidR="00B15504" w:rsidRPr="00B24172">
        <w:rPr>
          <w:rFonts w:eastAsiaTheme="minorEastAsia"/>
          <w:lang w:val="en-NZ" w:eastAsia="zh-CN"/>
        </w:rPr>
        <w:t xml:space="preserve">while </w:t>
      </w:r>
      <w:r w:rsidR="000A5F12" w:rsidRPr="00B24172">
        <w:rPr>
          <w:rFonts w:eastAsiaTheme="minorEastAsia"/>
          <w:lang w:val="en-NZ" w:eastAsia="zh-CN"/>
        </w:rPr>
        <w:t xml:space="preserve">for ICS in both urban and rural areas the BCR </w:t>
      </w:r>
      <w:r w:rsidR="000F63EA" w:rsidRPr="00B24172">
        <w:rPr>
          <w:rFonts w:eastAsiaTheme="minorEastAsia"/>
          <w:lang w:val="en-NZ" w:eastAsia="zh-CN"/>
        </w:rPr>
        <w:t xml:space="preserve">was </w:t>
      </w:r>
      <w:r w:rsidR="00B0028C" w:rsidRPr="00B24172">
        <w:rPr>
          <w:rFonts w:eastAsiaTheme="minorEastAsia"/>
          <w:lang w:val="en-NZ" w:eastAsia="zh-CN"/>
        </w:rPr>
        <w:t>less than one</w:t>
      </w:r>
      <w:r w:rsidR="000A5F12" w:rsidRPr="00B24172">
        <w:rPr>
          <w:rFonts w:eastAsiaTheme="minorEastAsia"/>
          <w:lang w:val="en-NZ" w:eastAsia="zh-CN"/>
        </w:rPr>
        <w:t xml:space="preserve">. This implies that the LPG and ICS interventions are not beneficial for </w:t>
      </w:r>
      <w:r w:rsidR="000F63EA" w:rsidRPr="00B24172">
        <w:rPr>
          <w:rFonts w:eastAsiaTheme="minorEastAsia"/>
          <w:lang w:val="en-NZ" w:eastAsia="zh-CN"/>
        </w:rPr>
        <w:t xml:space="preserve">the </w:t>
      </w:r>
      <w:r w:rsidR="000A5F12" w:rsidRPr="00B24172">
        <w:rPr>
          <w:rFonts w:eastAsiaTheme="minorEastAsia"/>
          <w:lang w:val="en-NZ" w:eastAsia="zh-CN"/>
        </w:rPr>
        <w:t>EMR-D region</w:t>
      </w:r>
      <w:r w:rsidR="000F63EA" w:rsidRPr="00B24172">
        <w:rPr>
          <w:rFonts w:eastAsiaTheme="minorEastAsia"/>
          <w:lang w:val="en-NZ" w:eastAsia="zh-CN"/>
        </w:rPr>
        <w:t xml:space="preserve"> on average.</w:t>
      </w:r>
      <w:r w:rsidR="000A5F12" w:rsidRPr="00B24172">
        <w:rPr>
          <w:rFonts w:eastAsiaTheme="minorEastAsia"/>
          <w:lang w:val="en-NZ" w:eastAsia="zh-CN"/>
        </w:rPr>
        <w:t xml:space="preserve"> </w:t>
      </w:r>
      <w:r w:rsidR="000F63EA" w:rsidRPr="00B24172">
        <w:rPr>
          <w:rFonts w:eastAsiaTheme="minorEastAsia"/>
          <w:lang w:val="en-NZ" w:eastAsia="zh-CN"/>
        </w:rPr>
        <w:t>I</w:t>
      </w:r>
      <w:r w:rsidR="000A5F12" w:rsidRPr="00B24172">
        <w:rPr>
          <w:rFonts w:eastAsiaTheme="minorEastAsia"/>
          <w:lang w:val="en-NZ" w:eastAsia="zh-CN"/>
        </w:rPr>
        <w:t>n other words</w:t>
      </w:r>
      <w:r w:rsidR="004B0FB6" w:rsidRPr="00B24172">
        <w:rPr>
          <w:rFonts w:eastAsiaTheme="minorEastAsia"/>
          <w:lang w:val="en-NZ" w:eastAsia="zh-CN"/>
        </w:rPr>
        <w:t>,</w:t>
      </w:r>
      <w:r w:rsidR="000A5F12" w:rsidRPr="00B24172">
        <w:rPr>
          <w:rFonts w:eastAsiaTheme="minorEastAsia"/>
          <w:lang w:val="en-NZ" w:eastAsia="zh-CN"/>
        </w:rPr>
        <w:t xml:space="preserve"> in this region the net cost of the interventions is higher than the net benefits.</w:t>
      </w:r>
      <w:r w:rsidR="00CE4824" w:rsidRPr="00B24172">
        <w:rPr>
          <w:rFonts w:eastAsiaTheme="minorEastAsia"/>
          <w:lang w:val="en-NZ" w:eastAsia="zh-CN"/>
        </w:rPr>
        <w:t xml:space="preserve"> </w:t>
      </w:r>
      <w:r w:rsidR="00E869D3" w:rsidRPr="00B24172">
        <w:rPr>
          <w:rFonts w:eastAsiaTheme="minorEastAsia"/>
          <w:lang w:val="en-NZ" w:eastAsia="zh-CN"/>
        </w:rPr>
        <w:t xml:space="preserve">Moreover, it appears that ICS are not a good intervention, with </w:t>
      </w:r>
      <w:r w:rsidR="00DE50E5" w:rsidRPr="00B24172">
        <w:rPr>
          <w:rFonts w:eastAsiaTheme="minorEastAsia"/>
          <w:lang w:val="en-NZ" w:eastAsia="zh-CN"/>
        </w:rPr>
        <w:t>less than 1</w:t>
      </w:r>
      <w:r w:rsidR="00E869D3" w:rsidRPr="00B24172">
        <w:rPr>
          <w:rFonts w:eastAsiaTheme="minorEastAsia"/>
          <w:lang w:val="en-NZ" w:eastAsia="zh-CN"/>
        </w:rPr>
        <w:t xml:space="preserve"> BCR. </w:t>
      </w:r>
      <w:r w:rsidR="00CE4824" w:rsidRPr="00B24172">
        <w:rPr>
          <w:rFonts w:eastAsiaTheme="minorEastAsia"/>
          <w:lang w:val="en-NZ" w:eastAsia="zh-CN"/>
        </w:rPr>
        <w:t>On the other hand,</w:t>
      </w:r>
      <w:r w:rsidR="008B5BEB" w:rsidRPr="00B24172">
        <w:rPr>
          <w:rFonts w:eastAsiaTheme="minorEastAsia"/>
          <w:lang w:val="en-NZ" w:eastAsia="zh-CN"/>
        </w:rPr>
        <w:t xml:space="preserve"> </w:t>
      </w:r>
      <w:r w:rsidR="00CE4824" w:rsidRPr="00B24172">
        <w:rPr>
          <w:rFonts w:asciiTheme="majorBidi" w:hAnsiTheme="majorBidi" w:cstheme="majorBidi"/>
          <w:lang w:val="en-NZ" w:eastAsia="zh-CN"/>
        </w:rPr>
        <w:fldChar w:fldCharType="begin"/>
      </w:r>
      <w:r w:rsidR="00A260FD" w:rsidRPr="00B24172">
        <w:rPr>
          <w:rFonts w:asciiTheme="majorBidi" w:hAnsiTheme="majorBidi" w:cstheme="majorBidi"/>
          <w:lang w:eastAsia="zh-CN"/>
        </w:rPr>
        <w:instrText xml:space="preserve"> ADDIN ZOTERO_ITEM CSL_CITATION {"citationID":"aetoprk2mq","properties":{"formattedCitation":"(Jeuland &amp; Pattanayak, 2012)","plainCitation":"(Jeuland &amp; Pattanayak, 2012)","dontUpdate":true,"noteIndex":0},"citationItems":[{"id":"yPj1CNji/ViYRazKr","uris":["http://zotero.org/users/2699952/items/PCW63CBX"],"uri":["http://zotero.org/users/2699952/items/PCW63CBX"],"itemData":{"id":207,"type":"article-journal","title":"Benefits and Costs of Improved Cookstoves: Assessing the Implications of Variability in Health, Forest and Climate Impacts","container-title":"PLoS ONE","page":"e30338","volume":"7","issue":"2","source":"PLoS Journals","abstract":"Current attention to improved cook stoves (ICS) focuses on the “triple benefits” they provide, in improved health and time savings for households, in preservation of forests and associated ecosystem services, and in reducing emissions that contribute to global climate change. Despite the purported economic benefits of such technologies, however, progress in achieving large-scale adoption and use has been remarkably slow. This paper uses Monte Carlo simulation analysis to evaluate the claim that households will always reap positive and large benefits from the use of such technologies. Our analysis allows for better understanding of the variability in economic costs and benefits of ICS use in developing countries, which depend on unknown combinations of numerous uncertain parameters. The model results suggest that the private net benefits of ICS will sometimes be negative, and in many instances highly so. Moreover, carbon financing and social subsidies may help enhance incentives to adopt, but will not always be appropriate. The costs and benefits of these technologies are most affected by their relative fuel costs, time and fuel use efficiencies, the incidence and cost-of-illness of acute respiratory illness, and the cost of household cooking time. Combining these results with the fact that households often find these technologies to be inconvenient or culturally inappropriate leads us to understand why uptake has been disappointing. Given the current attention to the scale up of ICS, this analysis is timely and important for highlighting some of the challenges for global efforts to promote ICS.","DOI":"10.1371/journal.pone.0030338","shortTitle":"Benefits and Costs of Improved Cookstoves","journalAbbreviation":"PLoS ONE","author":[{"family":"Jeuland","given":"Marc A."},{"family":"Pattanayak","given":"Subhrendu K."}],"issued":{"date-parts":[["2012",2,13]]}}}],"schema":"https://github.com/citation-style-language/schema/raw/master/csl-citation.json"} </w:instrText>
      </w:r>
      <w:r w:rsidR="00CE4824" w:rsidRPr="00B24172">
        <w:rPr>
          <w:rFonts w:asciiTheme="majorBidi" w:hAnsiTheme="majorBidi" w:cstheme="majorBidi"/>
          <w:lang w:val="en-NZ" w:eastAsia="zh-CN"/>
        </w:rPr>
        <w:fldChar w:fldCharType="separate"/>
      </w:r>
      <w:r w:rsidR="00CE4824" w:rsidRPr="00B24172">
        <w:t xml:space="preserve">Jeuland </w:t>
      </w:r>
      <w:r w:rsidR="008525A5" w:rsidRPr="00B24172">
        <w:t>and</w:t>
      </w:r>
      <w:r w:rsidR="00CE4824" w:rsidRPr="00B24172">
        <w:t xml:space="preserve"> Pattanayak (2012)</w:t>
      </w:r>
      <w:r w:rsidR="00CE4824" w:rsidRPr="00B24172">
        <w:rPr>
          <w:rFonts w:asciiTheme="majorBidi" w:hAnsiTheme="majorBidi" w:cstheme="majorBidi"/>
          <w:lang w:val="en-NZ" w:eastAsia="zh-CN"/>
        </w:rPr>
        <w:fldChar w:fldCharType="end"/>
      </w:r>
      <w:r w:rsidR="00CE4824" w:rsidRPr="00B24172">
        <w:rPr>
          <w:rFonts w:asciiTheme="majorBidi" w:hAnsiTheme="majorBidi" w:cstheme="majorBidi"/>
          <w:lang w:eastAsia="zh-CN"/>
        </w:rPr>
        <w:t xml:space="preserve"> carried out </w:t>
      </w:r>
      <w:r w:rsidR="000F63EA" w:rsidRPr="00B24172">
        <w:rPr>
          <w:rFonts w:asciiTheme="majorBidi" w:hAnsiTheme="majorBidi" w:cstheme="majorBidi"/>
          <w:lang w:eastAsia="zh-CN"/>
        </w:rPr>
        <w:t xml:space="preserve">an </w:t>
      </w:r>
      <w:r w:rsidR="004E4ABA" w:rsidRPr="00B24172">
        <w:rPr>
          <w:rFonts w:asciiTheme="majorBidi" w:hAnsiTheme="majorBidi" w:cstheme="majorBidi"/>
          <w:lang w:eastAsia="zh-CN"/>
        </w:rPr>
        <w:t xml:space="preserve">extensive review of literature </w:t>
      </w:r>
      <w:r w:rsidR="000F63EA" w:rsidRPr="00B24172">
        <w:rPr>
          <w:rFonts w:asciiTheme="majorBidi" w:hAnsiTheme="majorBidi" w:cstheme="majorBidi"/>
          <w:lang w:eastAsia="zh-CN"/>
        </w:rPr>
        <w:t xml:space="preserve">on </w:t>
      </w:r>
      <w:r w:rsidR="00E869D3" w:rsidRPr="00B24172">
        <w:rPr>
          <w:rFonts w:asciiTheme="majorBidi" w:hAnsiTheme="majorBidi" w:cstheme="majorBidi"/>
          <w:lang w:eastAsia="zh-CN"/>
        </w:rPr>
        <w:t>cost</w:t>
      </w:r>
      <w:r w:rsidR="00D54EFC" w:rsidRPr="00B24172">
        <w:rPr>
          <w:rFonts w:asciiTheme="majorBidi" w:hAnsiTheme="majorBidi" w:cstheme="majorBidi"/>
          <w:lang w:eastAsia="zh-CN"/>
        </w:rPr>
        <w:t>-benefit</w:t>
      </w:r>
      <w:r w:rsidR="00CE4824" w:rsidRPr="00B24172">
        <w:rPr>
          <w:rFonts w:asciiTheme="majorBidi" w:hAnsiTheme="majorBidi" w:cstheme="majorBidi"/>
          <w:lang w:eastAsia="zh-CN"/>
        </w:rPr>
        <w:t xml:space="preserve"> analysis for ICS</w:t>
      </w:r>
      <w:r w:rsidR="004E4ABA" w:rsidRPr="00B24172">
        <w:rPr>
          <w:rFonts w:asciiTheme="majorBidi" w:hAnsiTheme="majorBidi" w:cstheme="majorBidi"/>
          <w:lang w:eastAsia="zh-CN"/>
        </w:rPr>
        <w:t xml:space="preserve"> and </w:t>
      </w:r>
      <w:r w:rsidR="00CE4824" w:rsidRPr="00B24172">
        <w:rPr>
          <w:rFonts w:asciiTheme="majorBidi" w:hAnsiTheme="majorBidi" w:cstheme="majorBidi"/>
          <w:lang w:val="en-NZ" w:eastAsia="zh-CN"/>
        </w:rPr>
        <w:t xml:space="preserve">found </w:t>
      </w:r>
      <w:r w:rsidR="000F63EA" w:rsidRPr="00B24172">
        <w:rPr>
          <w:rFonts w:asciiTheme="majorBidi" w:hAnsiTheme="majorBidi" w:cstheme="majorBidi"/>
          <w:lang w:val="en-NZ" w:eastAsia="zh-CN"/>
        </w:rPr>
        <w:t xml:space="preserve">that </w:t>
      </w:r>
      <w:r w:rsidR="00CE4824" w:rsidRPr="00B24172">
        <w:rPr>
          <w:rFonts w:asciiTheme="majorBidi" w:hAnsiTheme="majorBidi" w:cstheme="majorBidi"/>
          <w:lang w:val="en-NZ" w:eastAsia="zh-CN"/>
        </w:rPr>
        <w:t>the net benefit</w:t>
      </w:r>
      <w:r w:rsidR="00B15504" w:rsidRPr="00B24172">
        <w:rPr>
          <w:rFonts w:asciiTheme="majorBidi" w:hAnsiTheme="majorBidi" w:cstheme="majorBidi"/>
          <w:lang w:val="en-NZ" w:eastAsia="zh-CN"/>
        </w:rPr>
        <w:t>s</w:t>
      </w:r>
      <w:r w:rsidR="00CE4824" w:rsidRPr="00B24172">
        <w:rPr>
          <w:rFonts w:asciiTheme="majorBidi" w:hAnsiTheme="majorBidi" w:cstheme="majorBidi"/>
          <w:lang w:val="en-NZ" w:eastAsia="zh-CN"/>
        </w:rPr>
        <w:t xml:space="preserve"> for household</w:t>
      </w:r>
      <w:r w:rsidR="000F63EA" w:rsidRPr="00B24172">
        <w:rPr>
          <w:rFonts w:asciiTheme="majorBidi" w:hAnsiTheme="majorBidi" w:cstheme="majorBidi"/>
          <w:lang w:val="en-NZ" w:eastAsia="zh-CN"/>
        </w:rPr>
        <w:t>s</w:t>
      </w:r>
      <w:r w:rsidR="00CE4824" w:rsidRPr="00B24172">
        <w:rPr>
          <w:rFonts w:asciiTheme="majorBidi" w:hAnsiTheme="majorBidi" w:cstheme="majorBidi"/>
          <w:lang w:val="en-NZ" w:eastAsia="zh-CN"/>
        </w:rPr>
        <w:t xml:space="preserve"> were mostly positive </w:t>
      </w:r>
      <w:r w:rsidR="00E869D3" w:rsidRPr="00B24172">
        <w:rPr>
          <w:rFonts w:asciiTheme="majorBidi" w:hAnsiTheme="majorBidi" w:cstheme="majorBidi"/>
          <w:lang w:val="en-NZ" w:eastAsia="zh-CN"/>
        </w:rPr>
        <w:t>for ICS;</w:t>
      </w:r>
      <w:r w:rsidR="004E4ABA" w:rsidRPr="00B24172">
        <w:rPr>
          <w:rFonts w:asciiTheme="majorBidi" w:hAnsiTheme="majorBidi" w:cstheme="majorBidi"/>
          <w:lang w:val="en-NZ" w:eastAsia="zh-CN"/>
        </w:rPr>
        <w:t xml:space="preserve"> however, </w:t>
      </w:r>
      <w:r w:rsidR="00CE4824" w:rsidRPr="00B24172">
        <w:rPr>
          <w:rFonts w:asciiTheme="majorBidi" w:hAnsiTheme="majorBidi" w:cstheme="majorBidi"/>
          <w:lang w:val="en-NZ" w:eastAsia="zh-CN"/>
        </w:rPr>
        <w:t>sometime</w:t>
      </w:r>
      <w:r w:rsidR="000F63EA" w:rsidRPr="00B24172">
        <w:rPr>
          <w:rFonts w:asciiTheme="majorBidi" w:hAnsiTheme="majorBidi" w:cstheme="majorBidi"/>
          <w:lang w:val="en-NZ" w:eastAsia="zh-CN"/>
        </w:rPr>
        <w:t>s they</w:t>
      </w:r>
      <w:r w:rsidR="00CE4824" w:rsidRPr="00B24172">
        <w:rPr>
          <w:rFonts w:asciiTheme="majorBidi" w:hAnsiTheme="majorBidi" w:cstheme="majorBidi"/>
          <w:lang w:val="en-NZ" w:eastAsia="zh-CN"/>
        </w:rPr>
        <w:t xml:space="preserve"> can be negative</w:t>
      </w:r>
      <w:r w:rsidR="00941D9A" w:rsidRPr="00B24172">
        <w:rPr>
          <w:rFonts w:asciiTheme="majorBidi" w:hAnsiTheme="majorBidi" w:cstheme="majorBidi"/>
          <w:lang w:val="en-NZ" w:eastAsia="zh-CN"/>
        </w:rPr>
        <w:t xml:space="preserve"> </w:t>
      </w:r>
      <w:r w:rsidR="00E869D3" w:rsidRPr="00B24172">
        <w:rPr>
          <w:rFonts w:asciiTheme="majorBidi" w:hAnsiTheme="majorBidi" w:cstheme="majorBidi"/>
          <w:lang w:val="en-NZ" w:eastAsia="zh-CN"/>
        </w:rPr>
        <w:t>when</w:t>
      </w:r>
      <w:r w:rsidR="00941D9A" w:rsidRPr="00B24172">
        <w:rPr>
          <w:rFonts w:asciiTheme="majorBidi" w:hAnsiTheme="majorBidi" w:cstheme="majorBidi"/>
          <w:lang w:val="en-NZ" w:eastAsia="zh-CN"/>
        </w:rPr>
        <w:t xml:space="preserve"> health benefits</w:t>
      </w:r>
      <w:r w:rsidR="00E869D3" w:rsidRPr="00B24172">
        <w:rPr>
          <w:rFonts w:asciiTheme="majorBidi" w:hAnsiTheme="majorBidi" w:cstheme="majorBidi"/>
          <w:lang w:val="en-NZ" w:eastAsia="zh-CN"/>
        </w:rPr>
        <w:t xml:space="preserve"> are low</w:t>
      </w:r>
      <w:r w:rsidR="00332AF6" w:rsidRPr="00B24172">
        <w:rPr>
          <w:rFonts w:asciiTheme="majorBidi" w:hAnsiTheme="majorBidi" w:cstheme="majorBidi"/>
          <w:lang w:val="en-NZ" w:eastAsia="zh-CN"/>
        </w:rPr>
        <w:t xml:space="preserve"> because of poorly performing stoves</w:t>
      </w:r>
      <w:r w:rsidR="00CE4824" w:rsidRPr="00B24172">
        <w:rPr>
          <w:rFonts w:asciiTheme="majorBidi" w:hAnsiTheme="majorBidi" w:cstheme="majorBidi"/>
          <w:lang w:val="en-NZ" w:eastAsia="zh-CN"/>
        </w:rPr>
        <w:t>.</w:t>
      </w:r>
      <w:r w:rsidR="00332AF6" w:rsidRPr="00B24172">
        <w:rPr>
          <w:rFonts w:asciiTheme="majorBidi" w:hAnsiTheme="majorBidi" w:cstheme="majorBidi"/>
          <w:lang w:val="en-NZ" w:eastAsia="zh-CN"/>
        </w:rPr>
        <w:t xml:space="preserve"> </w:t>
      </w:r>
      <w:r w:rsidR="00785ED2" w:rsidRPr="00B24172">
        <w:rPr>
          <w:rFonts w:asciiTheme="majorBidi" w:hAnsiTheme="majorBidi" w:cstheme="majorBidi"/>
          <w:lang w:val="en-NZ" w:eastAsia="zh-CN"/>
        </w:rPr>
        <w:t>Nevertheless,</w:t>
      </w:r>
      <w:r w:rsidR="00332AF6" w:rsidRPr="00B24172">
        <w:rPr>
          <w:rFonts w:asciiTheme="majorBidi" w:hAnsiTheme="majorBidi" w:cstheme="majorBidi"/>
          <w:lang w:val="en-NZ" w:eastAsia="zh-CN"/>
        </w:rPr>
        <w:t xml:space="preserve"> the net benefits for the households can be higher when they reap indirect health benefits because of avoiding infectious diseases. For instance, due to the use of ICS the incidence of ARI</w:t>
      </w:r>
      <w:r w:rsidR="00B15504" w:rsidRPr="00B24172">
        <w:rPr>
          <w:rFonts w:asciiTheme="majorBidi" w:hAnsiTheme="majorBidi" w:cstheme="majorBidi"/>
          <w:lang w:val="en-NZ" w:eastAsia="zh-CN"/>
        </w:rPr>
        <w:t xml:space="preserve"> may</w:t>
      </w:r>
      <w:r w:rsidR="00332AF6" w:rsidRPr="00B24172">
        <w:rPr>
          <w:rFonts w:asciiTheme="majorBidi" w:hAnsiTheme="majorBidi" w:cstheme="majorBidi"/>
          <w:lang w:val="en-NZ" w:eastAsia="zh-CN"/>
        </w:rPr>
        <w:t xml:space="preserve"> decrease at</w:t>
      </w:r>
      <w:r w:rsidR="00B15504" w:rsidRPr="00B24172">
        <w:rPr>
          <w:rFonts w:asciiTheme="majorBidi" w:hAnsiTheme="majorBidi" w:cstheme="majorBidi"/>
          <w:lang w:val="en-NZ" w:eastAsia="zh-CN"/>
        </w:rPr>
        <w:t xml:space="preserve"> the</w:t>
      </w:r>
      <w:r w:rsidR="00332AF6" w:rsidRPr="00B24172">
        <w:rPr>
          <w:rFonts w:asciiTheme="majorBidi" w:hAnsiTheme="majorBidi" w:cstheme="majorBidi"/>
          <w:lang w:val="en-NZ" w:eastAsia="zh-CN"/>
        </w:rPr>
        <w:t xml:space="preserve"> community level. </w:t>
      </w:r>
      <w:r w:rsidR="00971CA3" w:rsidRPr="00B24172">
        <w:rPr>
          <w:rFonts w:asciiTheme="majorBidi" w:hAnsiTheme="majorBidi" w:cstheme="majorBidi"/>
          <w:lang w:val="en-NZ" w:eastAsia="zh-CN"/>
        </w:rPr>
        <w:t>Unfortunately</w:t>
      </w:r>
      <w:r w:rsidR="00B15504" w:rsidRPr="00B24172">
        <w:rPr>
          <w:rFonts w:asciiTheme="majorBidi" w:hAnsiTheme="majorBidi" w:cstheme="majorBidi"/>
          <w:lang w:val="en-NZ" w:eastAsia="zh-CN"/>
        </w:rPr>
        <w:t xml:space="preserve">, </w:t>
      </w:r>
      <w:r w:rsidR="00332AF6" w:rsidRPr="00B24172">
        <w:rPr>
          <w:rFonts w:asciiTheme="majorBidi" w:hAnsiTheme="majorBidi" w:cstheme="majorBidi"/>
          <w:lang w:val="en-NZ" w:eastAsia="zh-CN"/>
        </w:rPr>
        <w:t>there is a sever</w:t>
      </w:r>
      <w:r w:rsidR="00B15504" w:rsidRPr="00B24172">
        <w:rPr>
          <w:rFonts w:asciiTheme="majorBidi" w:hAnsiTheme="majorBidi" w:cstheme="majorBidi"/>
          <w:lang w:val="en-NZ" w:eastAsia="zh-CN"/>
        </w:rPr>
        <w:t>e</w:t>
      </w:r>
      <w:r w:rsidR="00332AF6" w:rsidRPr="00B24172">
        <w:rPr>
          <w:rFonts w:asciiTheme="majorBidi" w:hAnsiTheme="majorBidi" w:cstheme="majorBidi"/>
          <w:lang w:val="en-NZ" w:eastAsia="zh-CN"/>
        </w:rPr>
        <w:t xml:space="preserve"> lack of scientific studies that demonstrate </w:t>
      </w:r>
      <w:r w:rsidR="00332AF6" w:rsidRPr="00B24172">
        <w:rPr>
          <w:rFonts w:asciiTheme="majorBidi" w:hAnsiTheme="majorBidi" w:cstheme="majorBidi"/>
          <w:lang w:val="en-NZ" w:eastAsia="zh-CN"/>
        </w:rPr>
        <w:lastRenderedPageBreak/>
        <w:t xml:space="preserve">the indirect health benefits due to the use of ICS. </w:t>
      </w:r>
      <w:r w:rsidR="00A260FD" w:rsidRPr="00B24172">
        <w:rPr>
          <w:rFonts w:asciiTheme="majorBidi" w:hAnsiTheme="majorBidi" w:cstheme="majorBidi"/>
          <w:lang w:val="en-NZ" w:eastAsia="zh-CN"/>
        </w:rPr>
        <w:t xml:space="preserve">Likewise in Orissa </w:t>
      </w:r>
      <w:r w:rsidR="00B15504" w:rsidRPr="00B24172">
        <w:rPr>
          <w:rFonts w:asciiTheme="majorBidi" w:hAnsiTheme="majorBidi" w:cstheme="majorBidi"/>
          <w:lang w:val="en-NZ" w:eastAsia="zh-CN"/>
        </w:rPr>
        <w:t>(</w:t>
      </w:r>
      <w:r w:rsidR="00A260FD" w:rsidRPr="00B24172">
        <w:rPr>
          <w:rFonts w:asciiTheme="majorBidi" w:hAnsiTheme="majorBidi" w:cstheme="majorBidi"/>
          <w:lang w:val="en-NZ" w:eastAsia="zh-CN"/>
        </w:rPr>
        <w:t>India</w:t>
      </w:r>
      <w:r w:rsidR="00B15504" w:rsidRPr="00B24172">
        <w:rPr>
          <w:rFonts w:asciiTheme="majorBidi" w:hAnsiTheme="majorBidi" w:cstheme="majorBidi"/>
          <w:lang w:val="en-NZ" w:eastAsia="zh-CN"/>
        </w:rPr>
        <w:t>)</w:t>
      </w:r>
      <w:r w:rsidR="00A260FD" w:rsidRPr="00B24172">
        <w:rPr>
          <w:rFonts w:asciiTheme="majorBidi" w:hAnsiTheme="majorBidi" w:cstheme="majorBidi"/>
          <w:lang w:val="en-NZ" w:eastAsia="zh-CN"/>
        </w:rPr>
        <w:t xml:space="preserve">, </w:t>
      </w:r>
      <w:r w:rsidR="00A260FD"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{"citationID":"a6fh3k4gvh","properties":{"formattedCitation":"(Hanna et al., 2016)","plainCitation":"(Hanna et al., 2016)","noteIndex":0},"citationItems":[{"id":1,"uris":["http://zotero.org/users/6436139/items/8M2WWKCV"],"uri":["http://zotero.org/users/6436139/items/8M2WWKCV"],"itemData":{"id":1,"type":"article-journal","abstract":"Up in Smoke: The Influence of Household Behavior on the Long-Run Impact of Improved Cooking Stoves by Rema Hanna, Esther Duflo and Michael Greenstone. Published in volume 8, issue 1, pages 80-114 of American Economic Journal: Economic Policy, February 2016, Abstract: Laboratory studies suggest that...","container-title":"American Economic Journal: Economic Policy","DOI":"10.1257/pol.20140008","ISSN":"1945-7731","issue":"1","language":"en","page":"80-114","source":"www.aeaweb.org","title":"Up in Smoke: The Influence of Household Behavior on the Long-Run Impact of Improved Cooking Stoves","title-short":"Up in Smoke","volume":"8","author":[{"family":"Hanna","given":"Rema"},{"family":"Duflo","given":"Esther"},{"family":"Greenstone","given":"Michael"}],"issued":{"date-parts":[["2016",2]]}}}],"schema":"https://github.com/citation-style-language/schema/raw/master/csl-citation.json"} </w:instrText>
      </w:r>
      <w:r w:rsidR="00A260FD" w:rsidRPr="00B24172">
        <w:rPr>
          <w:rFonts w:asciiTheme="majorBidi" w:hAnsiTheme="majorBidi" w:cstheme="majorBidi"/>
          <w:lang w:val="en-NZ" w:eastAsia="zh-CN"/>
        </w:rPr>
        <w:fldChar w:fldCharType="separate"/>
      </w:r>
      <w:r w:rsidR="00A260FD" w:rsidRPr="00B24172">
        <w:t>Hanna et al. (2016)</w:t>
      </w:r>
      <w:r w:rsidR="00A260FD" w:rsidRPr="00B24172">
        <w:rPr>
          <w:rFonts w:asciiTheme="majorBidi" w:hAnsiTheme="majorBidi" w:cstheme="majorBidi"/>
          <w:lang w:val="en-NZ" w:eastAsia="zh-CN"/>
        </w:rPr>
        <w:fldChar w:fldCharType="end"/>
      </w:r>
      <w:r w:rsidR="00A260FD" w:rsidRPr="00B24172">
        <w:rPr>
          <w:rFonts w:asciiTheme="majorBidi" w:hAnsiTheme="majorBidi" w:cstheme="majorBidi"/>
          <w:lang w:val="en-NZ" w:eastAsia="zh-CN"/>
        </w:rPr>
        <w:t xml:space="preserve"> conducted a</w:t>
      </w:r>
      <w:r w:rsidR="009B0D1B" w:rsidRPr="00B24172">
        <w:rPr>
          <w:rFonts w:asciiTheme="majorBidi" w:hAnsiTheme="majorBidi" w:cstheme="majorBidi"/>
          <w:lang w:val="en-NZ" w:eastAsia="zh-CN"/>
        </w:rPr>
        <w:t xml:space="preserve"> large scale experimental study using </w:t>
      </w:r>
      <w:r w:rsidR="00B15504" w:rsidRPr="00B24172">
        <w:rPr>
          <w:rFonts w:asciiTheme="majorBidi" w:hAnsiTheme="majorBidi" w:cstheme="majorBidi"/>
          <w:lang w:val="en-NZ" w:eastAsia="zh-CN"/>
        </w:rPr>
        <w:t xml:space="preserve">a </w:t>
      </w:r>
      <w:r w:rsidR="009B0D1B" w:rsidRPr="00B24172">
        <w:rPr>
          <w:rFonts w:asciiTheme="majorBidi" w:hAnsiTheme="majorBidi" w:cstheme="majorBidi"/>
          <w:lang w:val="en-NZ" w:eastAsia="zh-CN"/>
        </w:rPr>
        <w:t xml:space="preserve">randomized trial to explore the impact of ICS usage on health and environment. </w:t>
      </w:r>
      <w:r w:rsidR="00DD791B" w:rsidRPr="00B24172">
        <w:rPr>
          <w:rFonts w:asciiTheme="majorBidi" w:hAnsiTheme="majorBidi" w:cstheme="majorBidi"/>
          <w:lang w:val="en-NZ" w:eastAsia="zh-CN"/>
        </w:rPr>
        <w:t>T</w:t>
      </w:r>
      <w:r w:rsidR="009B0D1B" w:rsidRPr="00B24172">
        <w:rPr>
          <w:rFonts w:asciiTheme="majorBidi" w:hAnsiTheme="majorBidi" w:cstheme="majorBidi"/>
          <w:lang w:val="en-NZ" w:eastAsia="zh-CN"/>
        </w:rPr>
        <w:t xml:space="preserve">hey found </w:t>
      </w:r>
      <w:r w:rsidR="00B15504" w:rsidRPr="00B24172">
        <w:rPr>
          <w:rFonts w:asciiTheme="majorBidi" w:hAnsiTheme="majorBidi" w:cstheme="majorBidi"/>
          <w:lang w:val="en-NZ" w:eastAsia="zh-CN"/>
        </w:rPr>
        <w:t xml:space="preserve">that </w:t>
      </w:r>
      <w:r w:rsidR="009B0D1B" w:rsidRPr="00B24172">
        <w:rPr>
          <w:rFonts w:asciiTheme="majorBidi" w:hAnsiTheme="majorBidi" w:cstheme="majorBidi"/>
          <w:lang w:val="en-NZ" w:eastAsia="zh-CN"/>
        </w:rPr>
        <w:t>the inhalation</w:t>
      </w:r>
      <w:r w:rsidR="00971CA3" w:rsidRPr="00B24172">
        <w:rPr>
          <w:rFonts w:asciiTheme="majorBidi" w:hAnsiTheme="majorBidi" w:cstheme="majorBidi"/>
          <w:lang w:val="en-NZ" w:eastAsia="zh-CN"/>
        </w:rPr>
        <w:t xml:space="preserve"> of smoke</w:t>
      </w:r>
      <w:r w:rsidR="009B0D1B" w:rsidRPr="00B24172">
        <w:rPr>
          <w:rFonts w:asciiTheme="majorBidi" w:hAnsiTheme="majorBidi" w:cstheme="majorBidi"/>
          <w:lang w:val="en-NZ" w:eastAsia="zh-CN"/>
        </w:rPr>
        <w:t xml:space="preserve"> falls in the first year</w:t>
      </w:r>
      <w:r w:rsidR="00DD791B" w:rsidRPr="00B24172">
        <w:rPr>
          <w:rFonts w:asciiTheme="majorBidi" w:hAnsiTheme="majorBidi" w:cstheme="majorBidi"/>
          <w:lang w:val="en-NZ" w:eastAsia="zh-CN"/>
        </w:rPr>
        <w:t xml:space="preserve"> of adoption, however, by year two</w:t>
      </w:r>
      <w:r w:rsidR="008649A2" w:rsidRPr="00B24172">
        <w:rPr>
          <w:rFonts w:asciiTheme="majorBidi" w:hAnsiTheme="majorBidi" w:cstheme="majorBidi"/>
          <w:lang w:val="en-NZ" w:eastAsia="zh-CN"/>
        </w:rPr>
        <w:t xml:space="preserve"> and </w:t>
      </w:r>
      <w:r w:rsidR="003B6C2E" w:rsidRPr="00B24172">
        <w:rPr>
          <w:rFonts w:asciiTheme="majorBidi" w:hAnsiTheme="majorBidi" w:cstheme="majorBidi"/>
          <w:lang w:val="en-NZ" w:eastAsia="zh-CN"/>
        </w:rPr>
        <w:t>after</w:t>
      </w:r>
      <w:r w:rsidR="00DD791B" w:rsidRPr="00B24172">
        <w:rPr>
          <w:rFonts w:asciiTheme="majorBidi" w:hAnsiTheme="majorBidi" w:cstheme="majorBidi"/>
          <w:lang w:val="en-NZ" w:eastAsia="zh-CN"/>
        </w:rPr>
        <w:t xml:space="preserve"> there were no health and environmental benefits</w:t>
      </w:r>
      <w:r w:rsidR="003B6C2E" w:rsidRPr="00B24172">
        <w:rPr>
          <w:rFonts w:asciiTheme="majorBidi" w:hAnsiTheme="majorBidi" w:cstheme="majorBidi"/>
          <w:lang w:val="en-NZ" w:eastAsia="zh-CN"/>
        </w:rPr>
        <w:t xml:space="preserve"> recorded</w:t>
      </w:r>
      <w:r w:rsidR="00DD791B" w:rsidRPr="00B24172">
        <w:rPr>
          <w:rFonts w:asciiTheme="majorBidi" w:hAnsiTheme="majorBidi" w:cstheme="majorBidi"/>
          <w:lang w:val="en-NZ" w:eastAsia="zh-CN"/>
        </w:rPr>
        <w:t xml:space="preserve">. </w:t>
      </w:r>
      <w:r w:rsidR="009B0D1B" w:rsidRPr="00B24172">
        <w:rPr>
          <w:rFonts w:asciiTheme="majorBidi" w:hAnsiTheme="majorBidi" w:cstheme="majorBidi"/>
          <w:lang w:val="en-NZ" w:eastAsia="zh-CN"/>
        </w:rPr>
        <w:t xml:space="preserve">  </w:t>
      </w:r>
    </w:p>
    <w:p w14:paraId="3C838768" w14:textId="77777777" w:rsidR="0087441B" w:rsidRPr="00B24172" w:rsidRDefault="0087441B" w:rsidP="0087441B"/>
    <w:p w14:paraId="52D2DF52" w14:textId="79DB297B" w:rsidR="00FD30AF" w:rsidRPr="00B24172" w:rsidRDefault="00482642" w:rsidP="00E869D3">
      <w:pPr>
        <w:pStyle w:val="Caption"/>
        <w:keepNext/>
        <w:spacing w:after="0" w:line="288" w:lineRule="auto"/>
        <w:ind w:firstLine="720"/>
        <w:jc w:val="both"/>
        <w:rPr>
          <w:i w:val="0"/>
          <w:iCs w:val="0"/>
          <w:color w:val="auto"/>
          <w:sz w:val="24"/>
          <w:szCs w:val="24"/>
        </w:rPr>
      </w:pPr>
      <w:r w:rsidRPr="00B24172">
        <w:rPr>
          <w:i w:val="0"/>
          <w:iCs w:val="0"/>
          <w:color w:val="auto"/>
          <w:sz w:val="24"/>
          <w:szCs w:val="24"/>
        </w:rPr>
        <w:t>T</w:t>
      </w:r>
      <w:r w:rsidR="003A6AF3" w:rsidRPr="00B24172">
        <w:rPr>
          <w:i w:val="0"/>
          <w:iCs w:val="0"/>
          <w:color w:val="auto"/>
          <w:sz w:val="24"/>
          <w:szCs w:val="24"/>
        </w:rPr>
        <w:t xml:space="preserve">here are only </w:t>
      </w:r>
      <w:r w:rsidR="000F63EA" w:rsidRPr="00B24172">
        <w:rPr>
          <w:i w:val="0"/>
          <w:iCs w:val="0"/>
          <w:color w:val="auto"/>
          <w:sz w:val="24"/>
          <w:szCs w:val="24"/>
        </w:rPr>
        <w:t xml:space="preserve">a </w:t>
      </w:r>
      <w:r w:rsidR="003A6AF3" w:rsidRPr="00B24172">
        <w:rPr>
          <w:i w:val="0"/>
          <w:iCs w:val="0"/>
          <w:color w:val="auto"/>
          <w:sz w:val="24"/>
          <w:szCs w:val="24"/>
        </w:rPr>
        <w:t xml:space="preserve">handful studies </w:t>
      </w:r>
      <w:r w:rsidR="000F63EA" w:rsidRPr="00B24172">
        <w:rPr>
          <w:i w:val="0"/>
          <w:iCs w:val="0"/>
          <w:color w:val="auto"/>
          <w:sz w:val="24"/>
          <w:szCs w:val="24"/>
        </w:rPr>
        <w:t xml:space="preserve">that </w:t>
      </w:r>
      <w:r w:rsidR="003A6AF3" w:rsidRPr="00B24172">
        <w:rPr>
          <w:i w:val="0"/>
          <w:iCs w:val="0"/>
          <w:color w:val="auto"/>
          <w:sz w:val="24"/>
          <w:szCs w:val="24"/>
        </w:rPr>
        <w:t>have evaluated the costs and benefits of interventions at the country level, such as</w:t>
      </w:r>
      <w:r w:rsidR="008B5BEB" w:rsidRPr="00B24172">
        <w:rPr>
          <w:i w:val="0"/>
          <w:iCs w:val="0"/>
          <w:color w:val="auto"/>
          <w:sz w:val="24"/>
          <w:szCs w:val="24"/>
        </w:rPr>
        <w:t xml:space="preserve"> </w:t>
      </w:r>
      <w:r w:rsidR="008B5BEB" w:rsidRPr="00B24172">
        <w:rPr>
          <w:i w:val="0"/>
          <w:iCs w:val="0"/>
          <w:color w:val="auto"/>
          <w:sz w:val="24"/>
          <w:szCs w:val="24"/>
        </w:rPr>
        <w:fldChar w:fldCharType="begin"/>
      </w:r>
      <w:r w:rsidR="00A260FD" w:rsidRPr="00B24172">
        <w:rPr>
          <w:i w:val="0"/>
          <w:iCs w:val="0"/>
          <w:color w:val="auto"/>
          <w:sz w:val="24"/>
          <w:szCs w:val="24"/>
        </w:rPr>
        <w:instrText xml:space="preserve"> ADDIN ZOTERO_ITEM CSL_CITATION {"citationID":"JI6F4CzA","properties":{"formattedCitation":"(Abbas, Ali, Adil, Bashir, &amp; Kamran, 2017)","plainCitation":"(Abbas, Ali, Adil, Bashir, &amp; Kamran, 2017)","dontUpdate":true,"noteIndex":0},"citationItems":[{"id":"yPj1CNji/ciKxSOn6","uris":["http://zotero.org/users/2699952/items/AI73EZAZ"],"uri":["http://zotero.org/users/2699952/items/AI73EZAZ"],"itemData":{"id":1103,"type":"article-journal","title":"Economic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Asif"}],"issued":{"date-parts":[["2017",7,1]]}}}],"schema":"https://github.com/citation-style-language/schema/raw/master/csl-citation.json"} </w:instrText>
      </w:r>
      <w:r w:rsidR="008B5BEB" w:rsidRPr="00B24172">
        <w:rPr>
          <w:i w:val="0"/>
          <w:iCs w:val="0"/>
          <w:color w:val="auto"/>
          <w:sz w:val="24"/>
          <w:szCs w:val="24"/>
        </w:rPr>
        <w:fldChar w:fldCharType="separate"/>
      </w:r>
      <w:r w:rsidR="008B5BEB" w:rsidRPr="00B24172">
        <w:rPr>
          <w:i w:val="0"/>
          <w:iCs w:val="0"/>
          <w:color w:val="auto"/>
          <w:sz w:val="24"/>
          <w:szCs w:val="24"/>
        </w:rPr>
        <w:t>Abbas</w:t>
      </w:r>
      <w:r w:rsidR="009737DD" w:rsidRPr="00B24172">
        <w:rPr>
          <w:color w:val="auto"/>
        </w:rPr>
        <w:t xml:space="preserve"> </w:t>
      </w:r>
      <w:r w:rsidR="009737DD" w:rsidRPr="00B24172">
        <w:rPr>
          <w:color w:val="auto"/>
          <w:sz w:val="24"/>
          <w:szCs w:val="24"/>
        </w:rPr>
        <w:t>et al</w:t>
      </w:r>
      <w:r w:rsidR="009737DD" w:rsidRPr="00B24172">
        <w:rPr>
          <w:i w:val="0"/>
          <w:iCs w:val="0"/>
          <w:color w:val="auto"/>
          <w:sz w:val="24"/>
          <w:szCs w:val="24"/>
        </w:rPr>
        <w:t xml:space="preserve"> </w:t>
      </w:r>
      <w:r w:rsidR="000F63EA" w:rsidRPr="00B24172">
        <w:rPr>
          <w:i w:val="0"/>
          <w:iCs w:val="0"/>
          <w:color w:val="auto"/>
          <w:sz w:val="24"/>
          <w:szCs w:val="24"/>
        </w:rPr>
        <w:t>(</w:t>
      </w:r>
      <w:r w:rsidR="008B5BEB" w:rsidRPr="00B24172">
        <w:rPr>
          <w:i w:val="0"/>
          <w:iCs w:val="0"/>
          <w:color w:val="auto"/>
          <w:sz w:val="24"/>
          <w:szCs w:val="24"/>
        </w:rPr>
        <w:t>2017)</w:t>
      </w:r>
      <w:r w:rsidR="008B5BEB" w:rsidRPr="00B24172">
        <w:rPr>
          <w:i w:val="0"/>
          <w:iCs w:val="0"/>
          <w:color w:val="auto"/>
          <w:sz w:val="24"/>
          <w:szCs w:val="24"/>
        </w:rPr>
        <w:fldChar w:fldCharType="end"/>
      </w:r>
      <w:r w:rsidR="003A6AF3" w:rsidRPr="00B24172">
        <w:rPr>
          <w:i w:val="0"/>
          <w:iCs w:val="0"/>
          <w:color w:val="auto"/>
          <w:sz w:val="24"/>
          <w:szCs w:val="24"/>
        </w:rPr>
        <w:t xml:space="preserve"> in Pakistan, </w:t>
      </w:r>
      <w:r w:rsidR="003A6AF3" w:rsidRPr="00B24172">
        <w:rPr>
          <w:i w:val="0"/>
          <w:iCs w:val="0"/>
          <w:color w:val="auto"/>
          <w:sz w:val="24"/>
          <w:szCs w:val="24"/>
        </w:rPr>
        <w:fldChar w:fldCharType="begin"/>
      </w:r>
      <w:r w:rsidR="00A260FD" w:rsidRPr="00B24172">
        <w:rPr>
          <w:i w:val="0"/>
          <w:iCs w:val="0"/>
          <w:color w:val="auto"/>
          <w:sz w:val="24"/>
          <w:szCs w:val="24"/>
        </w:rPr>
        <w:instrText xml:space="preserve"> ADDIN ZOTERO_ITEM CSL_CITATION {"citationID":"xw6Caq8p","properties":{"formattedCitation":"(Aunan et al., 2013)","plainCitation":"(Aunan et al., 2013)","dontUpdate":true,"noteIndex":0},"citationItems":[{"id":"yPj1CNji/RFxxRSeq","uris":["http://zotero.org/users/2699952/items/2FR8PVP2"],"uri":["http://zotero.org/users/2699952/items/2FR8PVP2"],"itemData":{"id":201,"type":"article-journal","title":"Upgrading to cleaner household stoves and reducing chronic obstructive pulmonary disease among women in rural China — A cost-benefit analysis","container-title":"Energy for Sustainable Development","page":"489-496","volume":"17","issue":"5","source":"ScienceDirect","abstract":"Exposure to fine particles ≤ 2.5 μm in aerodynamic diameter (PM2.5) from incomplete combustion of solid fuels in household stoves is recognized as a major contributor to global ill health. Still there are few attempts to estimate the economic costs and health benefits of interventions to reduce exposure. The objective of this paper is to estimate costs and health benefits to women of possible interventions to replace current biomass stoves in Guizhou Province, southwest China, with cleaner burning stoves. Prevalence of chronic obstructive pulmonary disease (COPD) was measured in women ≥ 30 y living in households using biomass as fuel. In a sub-sample of households indoor PM2.5 concentrations were measured. Reduced exposure from replacing s</w:instrText>
      </w:r>
      <w:r w:rsidR="00A260FD" w:rsidRPr="00B24172">
        <w:rPr>
          <w:i w:val="0"/>
          <w:iCs w:val="0"/>
          <w:color w:val="auto"/>
          <w:sz w:val="24"/>
          <w:szCs w:val="24"/>
          <w:lang w:val="it-IT"/>
        </w:rPr>
        <w:instrText xml:space="preserve">toves in individual homes and at the community level was estimated using information about stoves, concentration levels, and time-activity patterns. Annual avoided new cases of COPD were estimated. The economic value of avoided cases was compared to intervention costs. Probabilistic cost-benefit analysis was performed using Monte-Carlo simulation and the impact of uncertainty in single parameters was explored. The mean reduction in annual average PM2.5 exposure is estimated at 127–294 </w:instrText>
      </w:r>
      <w:r w:rsidR="00A260FD" w:rsidRPr="00B24172">
        <w:rPr>
          <w:i w:val="0"/>
          <w:iCs w:val="0"/>
          <w:color w:val="auto"/>
          <w:sz w:val="24"/>
          <w:szCs w:val="24"/>
        </w:rPr>
        <w:instrText>μ</w:instrText>
      </w:r>
      <w:r w:rsidR="00A260FD" w:rsidRPr="00B24172">
        <w:rPr>
          <w:i w:val="0"/>
          <w:iCs w:val="0"/>
          <w:color w:val="auto"/>
          <w:sz w:val="24"/>
          <w:szCs w:val="24"/>
          <w:lang w:val="it-IT"/>
        </w:rPr>
        <w:instrText xml:space="preserve">g/m3, which corresponds to a 41–77% reduction. Annually 0.6–3.2 new cases of COPD among women may be avoided per 1000 households. The present value net benefit is 1766–22,500 Yuan (Yuan/USD ≈ 0.16) per household and mean benefit/cost-ratios (B/C) are 3.3–14.7. We conclude that policy interventions to increase access to cleaner burning stoves may bring large net benefits to rural women and their families, and to society.","DOI":"10.1016/j.esd.2013.06.002","ISSN":"0973-0826","journalAbbreviation":"Energy for Sustainable Development","author":[{"family":"Aunan","given":"Kristin"},{"family":"Alnes","given":"Line W. H."},{"family":"Berger","given":"Janne"},{"family":"Dong","given":"Zeqin"},{"family":"Ma","given":"Liying"},{"family":"Mestl","given":"Heidi E. S."},{"family":"Vennemo","given":"Haakon"},{"family":"Wang","given":"Shuxiao"},{"family":"Zhang","given":"Wei"}],"issued":{"date-parts":[["2013",10]]}}}],"schema":"https://github.com/citation-style-language/schema/raw/master/csl-citation.json"} </w:instrText>
      </w:r>
      <w:r w:rsidR="003A6AF3" w:rsidRPr="00B24172">
        <w:rPr>
          <w:i w:val="0"/>
          <w:iCs w:val="0"/>
          <w:color w:val="auto"/>
          <w:sz w:val="24"/>
          <w:szCs w:val="24"/>
        </w:rPr>
        <w:fldChar w:fldCharType="separate"/>
      </w:r>
      <w:r w:rsidR="003A6AF3" w:rsidRPr="00B24172">
        <w:rPr>
          <w:i w:val="0"/>
          <w:iCs w:val="0"/>
          <w:color w:val="auto"/>
          <w:sz w:val="24"/>
          <w:szCs w:val="24"/>
          <w:lang w:val="it-IT"/>
        </w:rPr>
        <w:t xml:space="preserve">Aunan </w:t>
      </w:r>
      <w:r w:rsidR="009737DD" w:rsidRPr="00B24172">
        <w:rPr>
          <w:color w:val="auto"/>
          <w:sz w:val="24"/>
          <w:szCs w:val="24"/>
          <w:lang w:val="it-IT"/>
        </w:rPr>
        <w:t>et al</w:t>
      </w:r>
      <w:r w:rsidR="009737DD" w:rsidRPr="00B24172">
        <w:rPr>
          <w:i w:val="0"/>
          <w:iCs w:val="0"/>
          <w:color w:val="auto"/>
          <w:sz w:val="24"/>
          <w:szCs w:val="24"/>
          <w:lang w:val="it-IT"/>
        </w:rPr>
        <w:t xml:space="preserve"> </w:t>
      </w:r>
      <w:r w:rsidR="003A6AF3" w:rsidRPr="00B24172">
        <w:rPr>
          <w:i w:val="0"/>
          <w:iCs w:val="0"/>
          <w:color w:val="auto"/>
          <w:sz w:val="24"/>
          <w:szCs w:val="24"/>
          <w:lang w:val="it-IT"/>
        </w:rPr>
        <w:t>(2013)</w:t>
      </w:r>
      <w:r w:rsidR="003A6AF3" w:rsidRPr="00B24172">
        <w:rPr>
          <w:i w:val="0"/>
          <w:iCs w:val="0"/>
          <w:color w:val="auto"/>
          <w:sz w:val="24"/>
          <w:szCs w:val="24"/>
        </w:rPr>
        <w:fldChar w:fldCharType="end"/>
      </w:r>
      <w:r w:rsidR="003A6AF3" w:rsidRPr="00B24172">
        <w:rPr>
          <w:i w:val="0"/>
          <w:iCs w:val="0"/>
          <w:color w:val="auto"/>
          <w:sz w:val="24"/>
          <w:szCs w:val="24"/>
          <w:lang w:val="it-IT"/>
        </w:rPr>
        <w:t xml:space="preserve"> in China, </w:t>
      </w:r>
      <w:r w:rsidR="003A6AF3" w:rsidRPr="00B24172">
        <w:rPr>
          <w:i w:val="0"/>
          <w:iCs w:val="0"/>
          <w:color w:val="auto"/>
          <w:sz w:val="24"/>
          <w:szCs w:val="24"/>
        </w:rPr>
        <w:fldChar w:fldCharType="begin"/>
      </w:r>
      <w:r w:rsidR="00A260FD" w:rsidRPr="00B24172">
        <w:rPr>
          <w:i w:val="0"/>
          <w:iCs w:val="0"/>
          <w:color w:val="auto"/>
          <w:sz w:val="24"/>
          <w:szCs w:val="24"/>
          <w:lang w:val="it-IT"/>
        </w:rPr>
        <w:instrText xml:space="preserve"> ADDIN ZOTERO_ITEM CSL_CITATION {"citationID":"c8LGJ1Rg","properties":{"formattedCitation":"(Isihak, Akpan, &amp; Adeleye, 2012)","plainCitation":"(Isihak, Akpan, &amp; Adeleye, 2012)","dontUpdate":true,"noteIndex":0},"citationItems":[{"id":"yPj1CNji/CZp2fytc","uris":["http://zotero.org/users/2699952/items/RCZEUGBQ"],"uri":["http://zotero.org/users/2699952/items/RCZEUGBQ"],"itemData":{"id":182,"type":"article-journal","title":"Interventions for mitigating indoor-air pollution in Nigeria: a cost-benefit analysis","container-title":"International Journal of Energy Sector Management","page":"417-429","volume":"6","issue":"3","source":"ProQuest","abstract":"Purpose - The purpose of this paper is to evaluate the costs and benefits of interventions to reduce indoor-air pollution arising from the use of solid biomass fuels for cooking and heating in Nigeria. Design/methodology/approach - The authors use cost-benefit analysis and assess two intervention scenarios: providing access to improved stoves; and providing access to cleaner fuels (liquefied petroleum gas - LPG - burners). Both intervention scenarios are compared with the current situation, i.e. the \"business as usual\" scenario where there is no attempt to reduce the present level of exposure to indoor-air pollution from solid fuel use. Findings - The result shows that the cost-benefit ratio of the stove intervention is 0.388 while that of LPG is 0.371. Practical implications - While providing access to cleaner fuels (LPG) has a larger health impact on the population than improved stoves, the low income level of the participants will favor the stove option because of the lower recurrent cost which is usually borne by the participants. From a public health point of view, there is need for a continued emphasis on the promotion of improved stoves to reduce exposure in households using solid fuels until everyone can have access to cleaner fuels. Furthermore, since choice of cooking technologies is influenced by income level, the intervention policy should be implemented alongside other socio-economic development programmes. Originality/value - The paper bridges the knowledge gap with respect to the indoor-air pollution issue in Nigeria. It offers policy makers an insight into the potential net benefit of intervening to reduce indoor-air pollution arising from the use of solid biomass fuels in Nigeria.","DOI":"http://dx.doi.org.ezproxy.waikato.ac.nz/10.1108/17506221211259655","ISSN":"17506220","shortTitle":"Interventions for mitigating indoor-air pollution in Nigeria","language":"English","author":[{"family":"Isihak","given":"Salisu"},{"family":"Akpan","given":"Uduak"},{"family":"Adeleye","given":"Monsuru"}],"issued":{"date-parts":[["2012"]]}}}],"schema":"https://github.com/citation-style-language/schema/raw/master/csl-citation.json"} </w:instrText>
      </w:r>
      <w:r w:rsidR="003A6AF3" w:rsidRPr="00B24172">
        <w:rPr>
          <w:i w:val="0"/>
          <w:iCs w:val="0"/>
          <w:color w:val="auto"/>
          <w:sz w:val="24"/>
          <w:szCs w:val="24"/>
        </w:rPr>
        <w:fldChar w:fldCharType="separate"/>
      </w:r>
      <w:r w:rsidR="003A6AF3" w:rsidRPr="00B24172">
        <w:rPr>
          <w:i w:val="0"/>
          <w:iCs w:val="0"/>
          <w:color w:val="auto"/>
          <w:sz w:val="24"/>
          <w:szCs w:val="24"/>
          <w:lang w:val="it-IT"/>
        </w:rPr>
        <w:t xml:space="preserve">Isihak, Akpan </w:t>
      </w:r>
      <w:r w:rsidR="008525A5" w:rsidRPr="00B24172">
        <w:rPr>
          <w:i w:val="0"/>
          <w:iCs w:val="0"/>
          <w:color w:val="auto"/>
          <w:sz w:val="24"/>
          <w:szCs w:val="24"/>
          <w:lang w:val="it-IT"/>
        </w:rPr>
        <w:t>and</w:t>
      </w:r>
      <w:r w:rsidR="003A6AF3" w:rsidRPr="00B24172">
        <w:rPr>
          <w:i w:val="0"/>
          <w:iCs w:val="0"/>
          <w:color w:val="auto"/>
          <w:sz w:val="24"/>
          <w:szCs w:val="24"/>
          <w:lang w:val="it-IT"/>
        </w:rPr>
        <w:t xml:space="preserve"> Adeleye (2012)</w:t>
      </w:r>
      <w:r w:rsidR="003A6AF3" w:rsidRPr="00B24172">
        <w:rPr>
          <w:i w:val="0"/>
          <w:iCs w:val="0"/>
          <w:color w:val="auto"/>
          <w:sz w:val="24"/>
          <w:szCs w:val="24"/>
        </w:rPr>
        <w:fldChar w:fldCharType="end"/>
      </w:r>
      <w:r w:rsidR="003A6AF3" w:rsidRPr="00B24172">
        <w:rPr>
          <w:i w:val="0"/>
          <w:iCs w:val="0"/>
          <w:color w:val="auto"/>
          <w:sz w:val="24"/>
          <w:szCs w:val="24"/>
          <w:lang w:val="it-IT"/>
        </w:rPr>
        <w:t xml:space="preserve"> in Nigeria, </w:t>
      </w:r>
      <w:r w:rsidR="003A6AF3" w:rsidRPr="00B24172">
        <w:rPr>
          <w:i w:val="0"/>
          <w:iCs w:val="0"/>
          <w:color w:val="auto"/>
          <w:sz w:val="24"/>
          <w:szCs w:val="24"/>
        </w:rPr>
        <w:fldChar w:fldCharType="begin"/>
      </w:r>
      <w:r w:rsidR="00A260FD" w:rsidRPr="00B24172">
        <w:rPr>
          <w:i w:val="0"/>
          <w:iCs w:val="0"/>
          <w:color w:val="auto"/>
          <w:sz w:val="24"/>
          <w:szCs w:val="24"/>
          <w:lang w:val="it-IT"/>
        </w:rPr>
        <w:instrText xml:space="preserve"> ADDIN ZOTERO_ITEM CSL_CITATION {"citationID":"UuUDi16t","properties":{"formattedCitation":"(Malla, Bruce, Bates, &amp; Rehfuess, 2011)","plainCitation":"(Malla, Bruce, Bates, &amp; Rehfuess, 2011)","dontUpdate":true,"noteIndex":0},"citationItems":[{"id":"yPj1CNji/hp7p6PQY","uris":["http://zotero.org/users/2699952/items/CRU6GQE2"],"uri":["http://zotero.org/users/2699952/items/CRU6GQE2"],"itemData":{"id":24,"type":"article-journal","title":"Applying global cost-benefit analysis methods to indoor air pollution mitigation interventions in Nepal, Kenya and Sudan: Insights and challenges","container-title":"Energy Policy","collection-title":"Clean Cooking Fuels and Technologies in Developing Economies","page":"7518-7529","volume":"39","issue":"12","source":"ScienceDirect","abstract":"Indoor air pollution from burning solid fuels for cooking is a major environmental health problem in developing countries, predominantly affecting children and women. Traditional household energy practices also contribute to substantial time loss and drudgery among households. While effective interventions exist, levels of investment to date have been ve</w:instrText>
      </w:r>
      <w:r w:rsidR="00A260FD" w:rsidRPr="009C1A3D">
        <w:rPr>
          <w:i w:val="0"/>
          <w:iCs w:val="0"/>
          <w:color w:val="auto"/>
          <w:sz w:val="24"/>
          <w:szCs w:val="24"/>
          <w:lang w:val="en-NZ"/>
        </w:rPr>
        <w:instrText xml:space="preserve">ry low, in part due to lack of evidence on economic viability. Between 2004 and 2007, different combinations of interventions – improved stoves, smoke hoods and a switch to liquefied petroleum gas – were implemented in poor communities in Nepal, Sudan and Kenya. The impacts were extensively evaluated and provided </w:instrText>
      </w:r>
      <w:r w:rsidR="00A260FD" w:rsidRPr="00B24172">
        <w:rPr>
          <w:i w:val="0"/>
          <w:iCs w:val="0"/>
          <w:color w:val="auto"/>
          <w:sz w:val="24"/>
          <w:szCs w:val="24"/>
          <w:lang w:val="en-NZ"/>
        </w:rPr>
        <w:instrText xml:space="preserve">the basis for a household-level cost-benefit analysis, which essentially followed the methodology proposed by the World Health Organization. The results suggest that interventions are justified on economic grounds with estimated internal rates of return of 19%, 429% and 62% in Nepal, Kenya and Sudan, respectively. Time savings constituted by far the most important benefit followed by fuel cost savings; direct health improvements were a small component of the overall benefit. This paper describes the methodology applied, discusses the findings and highlights the methodological challenges that arise when a global approach is applied to a local programme.","DOI":"10.1016/j.enpol.2011.06.031","ISSN":"0301-4215","shortTitle":"Applying global cost-benefit analysis methods to indoor air pollution mitigation interventions in Nepal, Kenya and Sudan","journalAbbreviation":"Energy Policy","author":[{"family":"Malla","given":"Min Bikram"},{"family":"Bruce","given":"Nigel"},{"family":"Bates","given":"Elizabeth"},{"family":"Rehfuess","given":"Eva"}],"issued":{"date-parts":[["2011",12]]}}}],"schema":"https://github.com/citation-style-language/schema/raw/master/csl-citation.json"} </w:instrText>
      </w:r>
      <w:r w:rsidR="003A6AF3" w:rsidRPr="00B24172">
        <w:rPr>
          <w:i w:val="0"/>
          <w:iCs w:val="0"/>
          <w:color w:val="auto"/>
          <w:sz w:val="24"/>
          <w:szCs w:val="24"/>
        </w:rPr>
        <w:fldChar w:fldCharType="separate"/>
      </w:r>
      <w:r w:rsidR="003A6AF3" w:rsidRPr="00B24172">
        <w:rPr>
          <w:i w:val="0"/>
          <w:iCs w:val="0"/>
          <w:color w:val="auto"/>
          <w:sz w:val="24"/>
          <w:szCs w:val="24"/>
        </w:rPr>
        <w:t>Malla</w:t>
      </w:r>
      <w:r w:rsidR="009737DD" w:rsidRPr="00B24172">
        <w:rPr>
          <w:color w:val="auto"/>
          <w:sz w:val="24"/>
          <w:szCs w:val="24"/>
        </w:rPr>
        <w:t xml:space="preserve"> et al</w:t>
      </w:r>
      <w:r w:rsidR="003A6AF3" w:rsidRPr="00B24172">
        <w:rPr>
          <w:i w:val="0"/>
          <w:iCs w:val="0"/>
          <w:color w:val="auto"/>
          <w:sz w:val="24"/>
          <w:szCs w:val="24"/>
        </w:rPr>
        <w:t xml:space="preserve"> (2011)</w:t>
      </w:r>
      <w:r w:rsidR="003A6AF3" w:rsidRPr="00B24172">
        <w:rPr>
          <w:i w:val="0"/>
          <w:iCs w:val="0"/>
          <w:color w:val="auto"/>
          <w:sz w:val="24"/>
          <w:szCs w:val="24"/>
        </w:rPr>
        <w:fldChar w:fldCharType="end"/>
      </w:r>
      <w:r w:rsidR="003A6AF3" w:rsidRPr="00B24172">
        <w:rPr>
          <w:i w:val="0"/>
          <w:iCs w:val="0"/>
          <w:color w:val="auto"/>
          <w:sz w:val="24"/>
          <w:szCs w:val="24"/>
        </w:rPr>
        <w:t xml:space="preserve"> in Kenya, Sudan, and Nepal, and </w:t>
      </w:r>
      <w:r w:rsidR="003A6AF3" w:rsidRPr="00B24172">
        <w:rPr>
          <w:i w:val="0"/>
          <w:iCs w:val="0"/>
          <w:color w:val="auto"/>
          <w:sz w:val="24"/>
          <w:szCs w:val="24"/>
        </w:rPr>
        <w:fldChar w:fldCharType="begin"/>
      </w:r>
      <w:r w:rsidR="00A260FD" w:rsidRPr="00B24172">
        <w:rPr>
          <w:i w:val="0"/>
          <w:iCs w:val="0"/>
          <w:color w:val="auto"/>
          <w:sz w:val="24"/>
          <w:szCs w:val="24"/>
        </w:rPr>
        <w:instrText xml:space="preserve"> ADDIN ZOTERO_ITEM CSL_CITATION {"citationID":"K4zv5cQo","properties":{"formattedCitation":"(Garc\\uc0\\u237{}a-Frapolli et al., 2010)","plainCitation":"(García-Frapolli et al., 2010)","dontUpdate":true,"noteIndex":0},"citationItems":[{"id":"yPj1CNji/4D2CX344","uris":["http://zotero.org/users/2699952/items/WGB5NF6L"],"uri":["http://zotero.org/users/2699952/items/WGB5NF6L"],"itemData":{"id":1329,"type":"article-journal","title":"Beyond fuelwood savings: Valuing the economic benefits of introducing improved biomass cookstoves in the Purépecha region of Mexico","container-title":"Ecological Economics","page":"2598-2605","volume":"69","issue":"12","source":"ScienceDirect","abstract":"Half of the world population relies on biomass for cooking, with very significant health as well as climate change impacts. Improved cookstoves have been disseminated as an alternative to reduce these impacts. However, few detailed studies about the economic benefits of improved cookstoves (ICS) interventions, including environmental and health co-benefits, exist to date. In this paper we perform a comprehensive economic evaluation of a dissemination program of ICS in rural Mexico. The resulting cost–benefit analysis (CBA) of the Patsari improved cookstove is presented, utilizing estimation of direct costs and benefits, including fuelwood savings, income generation, health impacts, environmental conservation, and reduction in greenhouse gas emissions. The analysis is based on comprehensive data obtained through monitoring studies carried out in the Study Area from 2003 to the present. Results show that Patsari cookstoves represent a viable economic option for improving living conditions of the poorest inhabitants of rural Mexico, with benefit/cost ratios estimated between 11.4:1 and 9:1. The largest contributors to economic benefits stemmed from fuelwood savings and reductions in health impacts, which constituted 53% and 28% of the overall benefit, respectively.","DOI":"10.1016/j.ecolecon.2010.08.004","ISSN":"0921-8009","shortTitle":"Beyond fuelwood savings","journalAbbreviation":"Ecological Economics","author":[{"family":"García-Frapolli","given":"Eduardo"},{"family":"Schilmann","given":"Astrid"},{"family":"Berrueta","given":"Victor M."},{"family":"Riojas-Rodríguez","given":"Horacio"},{"family":"Edwards","given":"Rufus D."},{"family":"Johnson","given":"Michael"},{"family":"Guevara-Sanginés","given":"Alejandro"},{"family":"Armendariz","given":"Cynthia"},{"family":"Masera","given":"Omar"}],"issued":{"date-parts":[["2010",10,15]]}}}],"schema":"https://github.com/citation-style-language/schema/raw/master/csl-citation.json"} </w:instrText>
      </w:r>
      <w:r w:rsidR="003A6AF3" w:rsidRPr="00B24172">
        <w:rPr>
          <w:i w:val="0"/>
          <w:iCs w:val="0"/>
          <w:color w:val="auto"/>
          <w:sz w:val="24"/>
          <w:szCs w:val="24"/>
        </w:rPr>
        <w:fldChar w:fldCharType="separate"/>
      </w:r>
      <w:r w:rsidR="003A6AF3" w:rsidRPr="00B24172">
        <w:rPr>
          <w:i w:val="0"/>
          <w:iCs w:val="0"/>
          <w:color w:val="auto"/>
          <w:sz w:val="24"/>
          <w:szCs w:val="24"/>
        </w:rPr>
        <w:t xml:space="preserve">García-Frapolli </w:t>
      </w:r>
      <w:r w:rsidR="009737DD" w:rsidRPr="00B24172">
        <w:rPr>
          <w:color w:val="auto"/>
          <w:sz w:val="24"/>
          <w:szCs w:val="24"/>
        </w:rPr>
        <w:t>et al</w:t>
      </w:r>
      <w:r w:rsidR="003A6AF3" w:rsidRPr="00B24172">
        <w:rPr>
          <w:i w:val="0"/>
          <w:iCs w:val="0"/>
          <w:color w:val="auto"/>
          <w:sz w:val="24"/>
          <w:szCs w:val="24"/>
        </w:rPr>
        <w:t xml:space="preserve"> </w:t>
      </w:r>
      <w:r w:rsidRPr="00B24172">
        <w:rPr>
          <w:i w:val="0"/>
          <w:iCs w:val="0"/>
          <w:color w:val="auto"/>
          <w:sz w:val="24"/>
          <w:szCs w:val="24"/>
        </w:rPr>
        <w:t>(</w:t>
      </w:r>
      <w:r w:rsidR="003A6AF3" w:rsidRPr="00B24172">
        <w:rPr>
          <w:i w:val="0"/>
          <w:iCs w:val="0"/>
          <w:color w:val="auto"/>
          <w:sz w:val="24"/>
          <w:szCs w:val="24"/>
        </w:rPr>
        <w:t>2010)</w:t>
      </w:r>
      <w:r w:rsidR="003A6AF3" w:rsidRPr="00B24172">
        <w:rPr>
          <w:i w:val="0"/>
          <w:iCs w:val="0"/>
          <w:color w:val="auto"/>
          <w:sz w:val="24"/>
          <w:szCs w:val="24"/>
        </w:rPr>
        <w:fldChar w:fldCharType="end"/>
      </w:r>
      <w:r w:rsidR="003A6AF3" w:rsidRPr="00B24172">
        <w:rPr>
          <w:i w:val="0"/>
          <w:iCs w:val="0"/>
          <w:color w:val="auto"/>
          <w:sz w:val="24"/>
          <w:szCs w:val="24"/>
        </w:rPr>
        <w:t xml:space="preserve"> in Mexico</w:t>
      </w:r>
      <w:r w:rsidR="0013261C" w:rsidRPr="00B24172">
        <w:rPr>
          <w:i w:val="0"/>
          <w:iCs w:val="0"/>
          <w:color w:val="auto"/>
          <w:sz w:val="24"/>
          <w:szCs w:val="24"/>
        </w:rPr>
        <w:t xml:space="preserve">. Table 1 </w:t>
      </w:r>
      <w:r w:rsidR="00E869D3" w:rsidRPr="00B24172">
        <w:rPr>
          <w:i w:val="0"/>
          <w:iCs w:val="0"/>
          <w:color w:val="auto"/>
          <w:sz w:val="24"/>
          <w:szCs w:val="24"/>
        </w:rPr>
        <w:t xml:space="preserve">briefly </w:t>
      </w:r>
      <w:proofErr w:type="spellStart"/>
      <w:r w:rsidR="0013261C" w:rsidRPr="00B24172">
        <w:rPr>
          <w:i w:val="0"/>
          <w:iCs w:val="0"/>
          <w:color w:val="auto"/>
          <w:sz w:val="24"/>
          <w:szCs w:val="24"/>
        </w:rPr>
        <w:t>summari</w:t>
      </w:r>
      <w:r w:rsidR="000F63EA" w:rsidRPr="00B24172">
        <w:rPr>
          <w:i w:val="0"/>
          <w:iCs w:val="0"/>
          <w:color w:val="auto"/>
          <w:sz w:val="24"/>
          <w:szCs w:val="24"/>
        </w:rPr>
        <w:t>s</w:t>
      </w:r>
      <w:r w:rsidR="0013261C" w:rsidRPr="00B24172">
        <w:rPr>
          <w:i w:val="0"/>
          <w:iCs w:val="0"/>
          <w:color w:val="auto"/>
          <w:sz w:val="24"/>
          <w:szCs w:val="24"/>
        </w:rPr>
        <w:t>es</w:t>
      </w:r>
      <w:proofErr w:type="spellEnd"/>
      <w:r w:rsidR="0013261C" w:rsidRPr="00B24172">
        <w:rPr>
          <w:i w:val="0"/>
          <w:iCs w:val="0"/>
          <w:color w:val="auto"/>
          <w:sz w:val="24"/>
          <w:szCs w:val="24"/>
        </w:rPr>
        <w:t xml:space="preserve"> the results. </w:t>
      </w:r>
      <w:r w:rsidR="00E869D3" w:rsidRPr="00B24172">
        <w:rPr>
          <w:i w:val="0"/>
          <w:iCs w:val="0"/>
          <w:color w:val="auto"/>
          <w:sz w:val="24"/>
          <w:szCs w:val="24"/>
        </w:rPr>
        <w:t>In all of these studies, the BCRs exceed one, demonstrating that all the interventions are net beneficial. The measured BCRs range from 1.55 (LPG in Tanzania) to 21.4 (a combination of ICS, smoke hoods, and LPG in Kenya). However, n</w:t>
      </w:r>
      <w:r w:rsidR="0013261C" w:rsidRPr="00B24172">
        <w:rPr>
          <w:i w:val="0"/>
          <w:iCs w:val="0"/>
          <w:color w:val="auto"/>
          <w:sz w:val="24"/>
          <w:szCs w:val="24"/>
        </w:rPr>
        <w:t>one of the</w:t>
      </w:r>
      <w:r w:rsidR="000F63EA" w:rsidRPr="00B24172">
        <w:rPr>
          <w:i w:val="0"/>
          <w:iCs w:val="0"/>
          <w:color w:val="auto"/>
          <w:sz w:val="24"/>
          <w:szCs w:val="24"/>
        </w:rPr>
        <w:t>se</w:t>
      </w:r>
      <w:r w:rsidR="0013261C" w:rsidRPr="00B24172">
        <w:rPr>
          <w:i w:val="0"/>
          <w:iCs w:val="0"/>
          <w:color w:val="auto"/>
          <w:sz w:val="24"/>
          <w:szCs w:val="24"/>
        </w:rPr>
        <w:t xml:space="preserve"> stud</w:t>
      </w:r>
      <w:r w:rsidR="000F63EA" w:rsidRPr="00B24172">
        <w:rPr>
          <w:i w:val="0"/>
          <w:iCs w:val="0"/>
          <w:color w:val="auto"/>
          <w:sz w:val="24"/>
          <w:szCs w:val="24"/>
        </w:rPr>
        <w:t>ies</w:t>
      </w:r>
      <w:r w:rsidR="0013261C" w:rsidRPr="00B24172">
        <w:rPr>
          <w:i w:val="0"/>
          <w:iCs w:val="0"/>
          <w:color w:val="auto"/>
          <w:sz w:val="24"/>
          <w:szCs w:val="24"/>
        </w:rPr>
        <w:t xml:space="preserve"> ha</w:t>
      </w:r>
      <w:r w:rsidR="008922C7" w:rsidRPr="00B24172">
        <w:rPr>
          <w:i w:val="0"/>
          <w:iCs w:val="0"/>
          <w:color w:val="auto"/>
          <w:sz w:val="24"/>
          <w:szCs w:val="24"/>
        </w:rPr>
        <w:t>s</w:t>
      </w:r>
      <w:r w:rsidR="0013261C" w:rsidRPr="00B24172">
        <w:rPr>
          <w:i w:val="0"/>
          <w:iCs w:val="0"/>
          <w:color w:val="auto"/>
          <w:sz w:val="24"/>
          <w:szCs w:val="24"/>
        </w:rPr>
        <w:t xml:space="preserve"> </w:t>
      </w:r>
      <w:r w:rsidR="00E869D3" w:rsidRPr="00B24172">
        <w:rPr>
          <w:i w:val="0"/>
          <w:iCs w:val="0"/>
          <w:color w:val="auto"/>
          <w:sz w:val="24"/>
          <w:szCs w:val="24"/>
        </w:rPr>
        <w:t>evaluated</w:t>
      </w:r>
      <w:r w:rsidR="0013261C" w:rsidRPr="00B24172">
        <w:rPr>
          <w:i w:val="0"/>
          <w:iCs w:val="0"/>
          <w:color w:val="auto"/>
          <w:sz w:val="24"/>
          <w:szCs w:val="24"/>
        </w:rPr>
        <w:t xml:space="preserve"> more than three interventions</w:t>
      </w:r>
      <w:r w:rsidR="00E869D3" w:rsidRPr="00B24172">
        <w:rPr>
          <w:i w:val="0"/>
          <w:iCs w:val="0"/>
          <w:color w:val="auto"/>
          <w:sz w:val="24"/>
          <w:szCs w:val="24"/>
        </w:rPr>
        <w:t>, and most evaluated just a single intervention</w:t>
      </w:r>
      <w:r w:rsidR="0013261C" w:rsidRPr="00B24172">
        <w:rPr>
          <w:i w:val="0"/>
          <w:iCs w:val="0"/>
          <w:color w:val="auto"/>
          <w:sz w:val="24"/>
          <w:szCs w:val="24"/>
        </w:rPr>
        <w:t xml:space="preserve">. Consequently, some useful interventions such as natural piped gas and electric stoves </w:t>
      </w:r>
      <w:r w:rsidR="000F63EA" w:rsidRPr="00B24172">
        <w:rPr>
          <w:i w:val="0"/>
          <w:iCs w:val="0"/>
          <w:color w:val="auto"/>
          <w:sz w:val="24"/>
          <w:szCs w:val="24"/>
        </w:rPr>
        <w:t xml:space="preserve">remain </w:t>
      </w:r>
      <w:r w:rsidR="00E869D3" w:rsidRPr="00B24172">
        <w:rPr>
          <w:i w:val="0"/>
          <w:iCs w:val="0"/>
          <w:color w:val="auto"/>
          <w:sz w:val="24"/>
          <w:szCs w:val="24"/>
        </w:rPr>
        <w:t xml:space="preserve">relatively </w:t>
      </w:r>
      <w:r w:rsidR="0013261C" w:rsidRPr="00B24172">
        <w:rPr>
          <w:i w:val="0"/>
          <w:iCs w:val="0"/>
          <w:color w:val="auto"/>
          <w:sz w:val="24"/>
          <w:szCs w:val="24"/>
        </w:rPr>
        <w:t>unexplored</w:t>
      </w:r>
      <w:r w:rsidR="00E869D3" w:rsidRPr="00B24172">
        <w:rPr>
          <w:i w:val="0"/>
          <w:iCs w:val="0"/>
          <w:color w:val="auto"/>
          <w:sz w:val="24"/>
          <w:szCs w:val="24"/>
        </w:rPr>
        <w:t>, while others lack a standardized within-country comparison</w:t>
      </w:r>
      <w:r w:rsidR="0013261C" w:rsidRPr="00B24172">
        <w:rPr>
          <w:i w:val="0"/>
          <w:iCs w:val="0"/>
          <w:color w:val="auto"/>
          <w:sz w:val="24"/>
          <w:szCs w:val="24"/>
        </w:rPr>
        <w:t xml:space="preserve">. Our study fills </w:t>
      </w:r>
      <w:r w:rsidR="000F63EA" w:rsidRPr="00B24172">
        <w:rPr>
          <w:i w:val="0"/>
          <w:iCs w:val="0"/>
          <w:color w:val="auto"/>
          <w:sz w:val="24"/>
          <w:szCs w:val="24"/>
        </w:rPr>
        <w:t xml:space="preserve">this </w:t>
      </w:r>
      <w:r w:rsidR="0013261C" w:rsidRPr="00B24172">
        <w:rPr>
          <w:i w:val="0"/>
          <w:iCs w:val="0"/>
          <w:color w:val="auto"/>
          <w:sz w:val="24"/>
          <w:szCs w:val="24"/>
        </w:rPr>
        <w:t xml:space="preserve">significant gap </w:t>
      </w:r>
      <w:r w:rsidR="000F63EA" w:rsidRPr="00B24172">
        <w:rPr>
          <w:i w:val="0"/>
          <w:iCs w:val="0"/>
          <w:color w:val="auto"/>
          <w:sz w:val="24"/>
          <w:szCs w:val="24"/>
        </w:rPr>
        <w:t xml:space="preserve">by </w:t>
      </w:r>
      <w:r w:rsidR="0013261C" w:rsidRPr="00B24172">
        <w:rPr>
          <w:i w:val="0"/>
          <w:iCs w:val="0"/>
          <w:color w:val="auto"/>
          <w:sz w:val="24"/>
          <w:szCs w:val="24"/>
        </w:rPr>
        <w:t>provid</w:t>
      </w:r>
      <w:r w:rsidR="000F63EA" w:rsidRPr="00B24172">
        <w:rPr>
          <w:i w:val="0"/>
          <w:iCs w:val="0"/>
          <w:color w:val="auto"/>
          <w:sz w:val="24"/>
          <w:szCs w:val="24"/>
        </w:rPr>
        <w:t>ing</w:t>
      </w:r>
      <w:r w:rsidR="0013261C" w:rsidRPr="00B24172">
        <w:rPr>
          <w:i w:val="0"/>
          <w:iCs w:val="0"/>
          <w:color w:val="auto"/>
          <w:sz w:val="24"/>
          <w:szCs w:val="24"/>
        </w:rPr>
        <w:t xml:space="preserve"> analysis for f</w:t>
      </w:r>
      <w:r w:rsidR="004E4ABA" w:rsidRPr="00B24172">
        <w:rPr>
          <w:i w:val="0"/>
          <w:iCs w:val="0"/>
          <w:color w:val="auto"/>
          <w:sz w:val="24"/>
          <w:szCs w:val="24"/>
        </w:rPr>
        <w:t xml:space="preserve">ive IAP mitigating technologies, </w:t>
      </w:r>
      <w:r w:rsidR="000F63EA" w:rsidRPr="00B24172">
        <w:rPr>
          <w:i w:val="0"/>
          <w:iCs w:val="0"/>
          <w:color w:val="auto"/>
          <w:sz w:val="24"/>
          <w:szCs w:val="24"/>
        </w:rPr>
        <w:t>including piped</w:t>
      </w:r>
      <w:r w:rsidR="004E4ABA" w:rsidRPr="00B24172">
        <w:rPr>
          <w:i w:val="0"/>
          <w:iCs w:val="0"/>
          <w:color w:val="auto"/>
          <w:sz w:val="24"/>
          <w:szCs w:val="24"/>
        </w:rPr>
        <w:t xml:space="preserve"> natural gas and electric </w:t>
      </w:r>
      <w:r w:rsidRPr="00B24172">
        <w:rPr>
          <w:i w:val="0"/>
          <w:iCs w:val="0"/>
          <w:color w:val="auto"/>
          <w:sz w:val="24"/>
          <w:szCs w:val="24"/>
        </w:rPr>
        <w:t xml:space="preserve">stoves, which </w:t>
      </w:r>
      <w:r w:rsidR="000F63EA" w:rsidRPr="00B24172">
        <w:rPr>
          <w:i w:val="0"/>
          <w:iCs w:val="0"/>
          <w:color w:val="auto"/>
          <w:sz w:val="24"/>
          <w:szCs w:val="24"/>
        </w:rPr>
        <w:t xml:space="preserve">have thus far been largely ignored </w:t>
      </w:r>
      <w:r w:rsidR="004E4ABA" w:rsidRPr="00B24172">
        <w:rPr>
          <w:i w:val="0"/>
          <w:iCs w:val="0"/>
          <w:color w:val="auto"/>
          <w:sz w:val="24"/>
          <w:szCs w:val="24"/>
        </w:rPr>
        <w:t xml:space="preserve">in the literature. However, both </w:t>
      </w:r>
      <w:r w:rsidR="00E869D3" w:rsidRPr="00B24172">
        <w:rPr>
          <w:i w:val="0"/>
          <w:iCs w:val="0"/>
          <w:color w:val="auto"/>
          <w:sz w:val="24"/>
          <w:szCs w:val="24"/>
        </w:rPr>
        <w:t xml:space="preserve">piped natural gas and electric stoves </w:t>
      </w:r>
      <w:r w:rsidR="000F63EA" w:rsidRPr="00B24172">
        <w:rPr>
          <w:i w:val="0"/>
          <w:iCs w:val="0"/>
          <w:color w:val="auto"/>
          <w:sz w:val="24"/>
          <w:szCs w:val="24"/>
        </w:rPr>
        <w:t>are important alternatives for governments to consider</w:t>
      </w:r>
      <w:r w:rsidR="005C098D" w:rsidRPr="00B24172">
        <w:rPr>
          <w:i w:val="0"/>
          <w:iCs w:val="0"/>
          <w:color w:val="auto"/>
          <w:sz w:val="24"/>
          <w:szCs w:val="24"/>
        </w:rPr>
        <w:t>.</w:t>
      </w:r>
    </w:p>
    <w:p w14:paraId="490B195D" w14:textId="77777777" w:rsidR="00120E4B" w:rsidRPr="00B24172" w:rsidRDefault="00120E4B" w:rsidP="00120E4B"/>
    <w:p w14:paraId="2770FC65" w14:textId="2FC50B26" w:rsidR="00120E4B" w:rsidRPr="00B24172" w:rsidRDefault="008922C7" w:rsidP="001C5F85">
      <w:pPr>
        <w:jc w:val="center"/>
        <w:rPr>
          <w:b/>
          <w:iCs/>
          <w:sz w:val="22"/>
          <w:szCs w:val="22"/>
          <w:lang w:val="en-NZ"/>
        </w:rPr>
      </w:pPr>
      <w:r w:rsidRPr="00B24172">
        <w:rPr>
          <w:b/>
          <w:iCs/>
          <w:sz w:val="22"/>
          <w:szCs w:val="22"/>
        </w:rPr>
        <w:t xml:space="preserve">Table </w:t>
      </w:r>
      <w:r w:rsidRPr="00B24172">
        <w:rPr>
          <w:b/>
          <w:iCs/>
          <w:sz w:val="22"/>
          <w:szCs w:val="22"/>
        </w:rPr>
        <w:fldChar w:fldCharType="begin"/>
      </w:r>
      <w:r w:rsidRPr="00B24172">
        <w:rPr>
          <w:b/>
          <w:iCs/>
          <w:sz w:val="22"/>
          <w:szCs w:val="22"/>
        </w:rPr>
        <w:instrText xml:space="preserve"> SEQ Table \* ARABIC </w:instrText>
      </w:r>
      <w:r w:rsidRPr="00B24172">
        <w:rPr>
          <w:b/>
          <w:iCs/>
          <w:sz w:val="22"/>
          <w:szCs w:val="22"/>
        </w:rPr>
        <w:fldChar w:fldCharType="separate"/>
      </w:r>
      <w:r w:rsidR="001C5F85">
        <w:rPr>
          <w:b/>
          <w:iCs/>
          <w:noProof/>
          <w:sz w:val="22"/>
          <w:szCs w:val="22"/>
        </w:rPr>
        <w:t>1</w:t>
      </w:r>
      <w:r w:rsidRPr="00B24172">
        <w:rPr>
          <w:b/>
          <w:iCs/>
          <w:sz w:val="22"/>
          <w:szCs w:val="22"/>
        </w:rPr>
        <w:fldChar w:fldCharType="end"/>
      </w:r>
      <w:r w:rsidR="00850D73" w:rsidRPr="00B24172">
        <w:rPr>
          <w:b/>
          <w:iCs/>
          <w:sz w:val="22"/>
          <w:szCs w:val="22"/>
        </w:rPr>
        <w:t>:</w:t>
      </w:r>
      <w:r w:rsidRPr="00B24172">
        <w:rPr>
          <w:b/>
          <w:iCs/>
          <w:sz w:val="22"/>
          <w:szCs w:val="22"/>
          <w:lang w:val="en-NZ"/>
        </w:rPr>
        <w:t xml:space="preserve"> Summary of </w:t>
      </w:r>
      <w:r w:rsidR="00E869D3" w:rsidRPr="00B24172">
        <w:rPr>
          <w:b/>
          <w:iCs/>
          <w:sz w:val="22"/>
          <w:szCs w:val="22"/>
          <w:lang w:val="en-NZ"/>
        </w:rPr>
        <w:t>Estimated Benefit-Cost Ratios for IAP Interventions</w:t>
      </w:r>
    </w:p>
    <w:p w14:paraId="7BB7AEE0" w14:textId="77777777" w:rsidR="008922C7" w:rsidRPr="00B24172" w:rsidRDefault="008922C7" w:rsidP="009737DD">
      <w:pPr>
        <w:jc w:val="center"/>
        <w:rPr>
          <w:b/>
          <w:sz w:val="12"/>
          <w:szCs w:val="12"/>
        </w:rPr>
      </w:pPr>
    </w:p>
    <w:tbl>
      <w:tblPr>
        <w:tblStyle w:val="TableGrid"/>
        <w:tblW w:w="901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1023"/>
        <w:gridCol w:w="1556"/>
        <w:gridCol w:w="4377"/>
      </w:tblGrid>
      <w:tr w:rsidR="008922C7" w:rsidRPr="00B24172" w14:paraId="644BC2DA" w14:textId="77777777" w:rsidTr="00BE78F3">
        <w:tc>
          <w:tcPr>
            <w:tcW w:w="2070" w:type="dxa"/>
            <w:tcBorders>
              <w:bottom w:val="single" w:sz="4" w:space="0" w:color="auto"/>
            </w:tcBorders>
          </w:tcPr>
          <w:p w14:paraId="59F6A4CB" w14:textId="3B1E7821" w:rsidR="008922C7" w:rsidRPr="00B24172" w:rsidRDefault="008922C7" w:rsidP="009737DD">
            <w:pPr>
              <w:spacing w:before="160" w:after="160"/>
              <w:jc w:val="center"/>
              <w:rPr>
                <w:sz w:val="22"/>
                <w:szCs w:val="22"/>
              </w:rPr>
            </w:pPr>
            <w:r w:rsidRPr="00B24172">
              <w:rPr>
                <w:rFonts w:asciiTheme="majorBidi" w:hAnsiTheme="majorBidi" w:cstheme="majorBidi"/>
                <w:b/>
                <w:bCs/>
                <w:sz w:val="22"/>
                <w:szCs w:val="22"/>
                <w:lang w:val="en-NZ" w:eastAsia="zh-CN"/>
              </w:rPr>
              <w:t>Study</w:t>
            </w:r>
          </w:p>
        </w:tc>
        <w:tc>
          <w:tcPr>
            <w:tcW w:w="907" w:type="dxa"/>
            <w:tcBorders>
              <w:bottom w:val="single" w:sz="4" w:space="0" w:color="auto"/>
            </w:tcBorders>
          </w:tcPr>
          <w:p w14:paraId="70F17C7A" w14:textId="695DCE24" w:rsidR="008922C7" w:rsidRPr="00B24172" w:rsidRDefault="008922C7" w:rsidP="009737DD">
            <w:pPr>
              <w:spacing w:before="160" w:after="160"/>
              <w:jc w:val="center"/>
              <w:rPr>
                <w:sz w:val="22"/>
                <w:szCs w:val="22"/>
              </w:rPr>
            </w:pPr>
            <w:r w:rsidRPr="00B24172">
              <w:rPr>
                <w:rFonts w:asciiTheme="majorBidi" w:hAnsiTheme="majorBidi" w:cstheme="majorBidi"/>
                <w:b/>
                <w:bCs/>
                <w:sz w:val="22"/>
                <w:szCs w:val="22"/>
                <w:lang w:val="en-NZ" w:eastAsia="zh-CN"/>
              </w:rPr>
              <w:t>Country</w:t>
            </w:r>
          </w:p>
        </w:tc>
        <w:tc>
          <w:tcPr>
            <w:tcW w:w="1559" w:type="dxa"/>
            <w:tcBorders>
              <w:bottom w:val="single" w:sz="4" w:space="0" w:color="auto"/>
            </w:tcBorders>
          </w:tcPr>
          <w:p w14:paraId="4779BC53" w14:textId="105494C4" w:rsidR="008922C7" w:rsidRPr="00B24172" w:rsidRDefault="008922C7" w:rsidP="009737DD">
            <w:pPr>
              <w:spacing w:before="160" w:after="160"/>
              <w:jc w:val="center"/>
            </w:pPr>
            <w:r w:rsidRPr="00B24172">
              <w:rPr>
                <w:rFonts w:asciiTheme="majorBidi" w:hAnsiTheme="majorBidi" w:cstheme="majorBidi"/>
                <w:b/>
                <w:bCs/>
                <w:sz w:val="22"/>
                <w:szCs w:val="22"/>
                <w:lang w:val="en-NZ" w:eastAsia="zh-CN"/>
              </w:rPr>
              <w:t>Interventions</w:t>
            </w:r>
          </w:p>
        </w:tc>
        <w:tc>
          <w:tcPr>
            <w:tcW w:w="4480" w:type="dxa"/>
            <w:tcBorders>
              <w:bottom w:val="single" w:sz="4" w:space="0" w:color="auto"/>
            </w:tcBorders>
          </w:tcPr>
          <w:p w14:paraId="38203978" w14:textId="44D2A555" w:rsidR="008922C7" w:rsidRPr="00B24172" w:rsidRDefault="008922C7" w:rsidP="009737DD">
            <w:pPr>
              <w:spacing w:before="160" w:after="160"/>
              <w:jc w:val="center"/>
              <w:rPr>
                <w:sz w:val="22"/>
                <w:szCs w:val="22"/>
              </w:rPr>
            </w:pPr>
            <w:r w:rsidRPr="00B24172">
              <w:rPr>
                <w:rFonts w:asciiTheme="majorBidi" w:hAnsiTheme="majorBidi" w:cstheme="majorBidi"/>
                <w:b/>
                <w:bCs/>
                <w:sz w:val="22"/>
                <w:szCs w:val="22"/>
                <w:lang w:val="en-NZ" w:eastAsia="zh-CN"/>
              </w:rPr>
              <w:t>Results</w:t>
            </w:r>
          </w:p>
        </w:tc>
      </w:tr>
      <w:tr w:rsidR="008922C7" w:rsidRPr="00B24172" w14:paraId="47AAD347" w14:textId="77777777" w:rsidTr="00BE78F3">
        <w:tc>
          <w:tcPr>
            <w:tcW w:w="2070" w:type="dxa"/>
            <w:tcBorders>
              <w:top w:val="single" w:sz="4" w:space="0" w:color="auto"/>
              <w:bottom w:val="nil"/>
            </w:tcBorders>
          </w:tcPr>
          <w:p w14:paraId="7BC2E1F0" w14:textId="42C290F2" w:rsidR="008922C7" w:rsidRPr="00B24172" w:rsidRDefault="008922C7" w:rsidP="00850D73">
            <w:pPr>
              <w:rPr>
                <w:sz w:val="22"/>
                <w:szCs w:val="22"/>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eastAsia="zh-CN"/>
              </w:rPr>
              <w:instrText xml:space="preserve"> ADDIN ZOTERO_ITEM CSL_CITATION {"citationID":"4LBlNV6f","properties":{"formattedCitation":"(Abbas, Ali, Adil, Bashir, &amp; Kamran, 2017)","plainCitation":"(Abbas, Ali, Adil, Bashir, &amp; Kamran, 2017)","dontUpdate":true,"noteIndex":0},"citationItems":[{"id":"yPj1CNji/ciKxSOn6","uris":["http://zotero.org/users/2699952/items/AI73EZAZ"],"uri":["http://zotero.org/users/2699952/items/AI73EZAZ"],"itemData":{"id":1103,"type":"article-journal","title":"Economic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sz w:val="22"/>
                <w:szCs w:val="22"/>
              </w:rPr>
              <w:t xml:space="preserve">Abbas </w:t>
            </w:r>
            <w:r w:rsidRPr="00B24172">
              <w:rPr>
                <w:i/>
                <w:sz w:val="22"/>
                <w:szCs w:val="22"/>
              </w:rPr>
              <w:t xml:space="preserve">et al. </w:t>
            </w:r>
            <w:r w:rsidR="009737DD" w:rsidRPr="00B24172">
              <w:rPr>
                <w:sz w:val="22"/>
                <w:szCs w:val="22"/>
              </w:rPr>
              <w:t>(</w:t>
            </w:r>
            <w:r w:rsidRPr="00B24172">
              <w:rPr>
                <w:sz w:val="22"/>
                <w:szCs w:val="22"/>
              </w:rPr>
              <w:t>2017</w:t>
            </w:r>
            <w:r w:rsidRPr="00B24172">
              <w:rPr>
                <w:rFonts w:asciiTheme="majorBidi" w:hAnsiTheme="majorBidi" w:cstheme="majorBidi"/>
                <w:sz w:val="22"/>
                <w:szCs w:val="22"/>
                <w:lang w:val="en-NZ" w:eastAsia="zh-CN"/>
              </w:rPr>
              <w:fldChar w:fldCharType="end"/>
            </w:r>
            <w:r w:rsidR="009737DD" w:rsidRPr="00B24172">
              <w:rPr>
                <w:rFonts w:asciiTheme="majorBidi" w:hAnsiTheme="majorBidi" w:cstheme="majorBidi"/>
                <w:sz w:val="22"/>
                <w:szCs w:val="22"/>
                <w:lang w:val="en-NZ" w:eastAsia="zh-CN"/>
              </w:rPr>
              <w:t>)</w:t>
            </w:r>
          </w:p>
        </w:tc>
        <w:tc>
          <w:tcPr>
            <w:tcW w:w="907" w:type="dxa"/>
            <w:tcBorders>
              <w:top w:val="single" w:sz="4" w:space="0" w:color="auto"/>
              <w:bottom w:val="nil"/>
            </w:tcBorders>
          </w:tcPr>
          <w:p w14:paraId="10AE3489" w14:textId="4EBA2EC4" w:rsidR="008922C7" w:rsidRPr="00B24172" w:rsidRDefault="008922C7" w:rsidP="009737DD">
            <w:pPr>
              <w:jc w:val="center"/>
              <w:rPr>
                <w:sz w:val="22"/>
                <w:szCs w:val="22"/>
              </w:rPr>
            </w:pPr>
            <w:r w:rsidRPr="00B24172">
              <w:rPr>
                <w:rFonts w:asciiTheme="majorBidi" w:hAnsiTheme="majorBidi" w:cstheme="majorBidi"/>
                <w:sz w:val="22"/>
                <w:szCs w:val="22"/>
                <w:lang w:eastAsia="zh-CN"/>
              </w:rPr>
              <w:t>Pakistan</w:t>
            </w:r>
          </w:p>
        </w:tc>
        <w:tc>
          <w:tcPr>
            <w:tcW w:w="1559" w:type="dxa"/>
            <w:tcBorders>
              <w:top w:val="single" w:sz="4" w:space="0" w:color="auto"/>
              <w:bottom w:val="nil"/>
            </w:tcBorders>
          </w:tcPr>
          <w:p w14:paraId="74C19827" w14:textId="17DBEBD0" w:rsidR="008922C7" w:rsidRPr="00B24172" w:rsidRDefault="008922C7" w:rsidP="009737DD">
            <w:pPr>
              <w:jc w:val="center"/>
            </w:pPr>
            <w:r w:rsidRPr="00B24172">
              <w:rPr>
                <w:rFonts w:asciiTheme="majorBidi" w:hAnsiTheme="majorBidi" w:cstheme="majorBidi"/>
                <w:sz w:val="22"/>
                <w:szCs w:val="22"/>
                <w:lang w:eastAsia="zh-CN"/>
              </w:rPr>
              <w:t>Biogas</w:t>
            </w:r>
          </w:p>
        </w:tc>
        <w:tc>
          <w:tcPr>
            <w:tcW w:w="4480" w:type="dxa"/>
            <w:tcBorders>
              <w:top w:val="single" w:sz="4" w:space="0" w:color="auto"/>
              <w:bottom w:val="nil"/>
            </w:tcBorders>
          </w:tcPr>
          <w:p w14:paraId="39873943" w14:textId="77777777" w:rsidR="008922C7" w:rsidRPr="00B24172" w:rsidRDefault="008922C7" w:rsidP="009737DD">
            <w:pPr>
              <w:rPr>
                <w:rFonts w:asciiTheme="majorBidi" w:hAnsiTheme="majorBidi" w:cstheme="majorBidi"/>
                <w:sz w:val="22"/>
                <w:szCs w:val="22"/>
                <w:vertAlign w:val="superscript"/>
                <w:lang w:eastAsia="zh-CN"/>
              </w:rPr>
            </w:pPr>
            <w:r w:rsidRPr="00B24172">
              <w:rPr>
                <w:rFonts w:asciiTheme="majorBidi" w:hAnsiTheme="majorBidi" w:cstheme="majorBidi"/>
                <w:sz w:val="22"/>
                <w:szCs w:val="22"/>
                <w:lang w:eastAsia="zh-CN"/>
              </w:rPr>
              <w:t>BCR= 1.55 to 2.04 for 10m</w:t>
            </w:r>
            <w:r w:rsidRPr="00B24172">
              <w:rPr>
                <w:rFonts w:asciiTheme="majorBidi" w:hAnsiTheme="majorBidi" w:cstheme="majorBidi"/>
                <w:sz w:val="22"/>
                <w:szCs w:val="22"/>
                <w:vertAlign w:val="superscript"/>
                <w:lang w:eastAsia="zh-CN"/>
              </w:rPr>
              <w:t>3</w:t>
            </w:r>
          </w:p>
          <w:p w14:paraId="698A6A6D" w14:textId="113BADCD" w:rsidR="008922C7" w:rsidRPr="00B24172" w:rsidRDefault="008922C7" w:rsidP="009737DD">
            <w:pPr>
              <w:rPr>
                <w:sz w:val="22"/>
                <w:szCs w:val="22"/>
              </w:rPr>
            </w:pPr>
          </w:p>
        </w:tc>
      </w:tr>
      <w:tr w:rsidR="008922C7" w:rsidRPr="00B24172" w14:paraId="11DDDAD1" w14:textId="77777777" w:rsidTr="00BE78F3">
        <w:tc>
          <w:tcPr>
            <w:tcW w:w="2070" w:type="dxa"/>
            <w:tcBorders>
              <w:top w:val="nil"/>
            </w:tcBorders>
          </w:tcPr>
          <w:p w14:paraId="4AD7F44B" w14:textId="77777777" w:rsidR="00584CCB" w:rsidRPr="00B24172" w:rsidRDefault="00584CCB" w:rsidP="00850D73">
            <w:pPr>
              <w:rPr>
                <w:rFonts w:asciiTheme="majorBidi" w:hAnsiTheme="majorBidi" w:cstheme="majorBidi"/>
                <w:sz w:val="22"/>
                <w:szCs w:val="22"/>
                <w:lang w:eastAsia="zh-CN"/>
              </w:rPr>
            </w:pPr>
          </w:p>
          <w:p w14:paraId="0DEB3745" w14:textId="73FF4984" w:rsidR="00584CCB" w:rsidRPr="00B24172" w:rsidRDefault="008922C7" w:rsidP="00850D73">
            <w:pPr>
              <w:rPr>
                <w:sz w:val="22"/>
                <w:szCs w:val="22"/>
              </w:rPr>
            </w:pPr>
            <w:r w:rsidRPr="00B24172">
              <w:rPr>
                <w:rFonts w:asciiTheme="majorBidi" w:hAnsiTheme="majorBidi" w:cstheme="majorBidi"/>
                <w:sz w:val="22"/>
                <w:szCs w:val="22"/>
                <w:lang w:eastAsia="zh-CN"/>
              </w:rPr>
              <w:fldChar w:fldCharType="begin"/>
            </w:r>
            <w:r w:rsidR="00A260FD" w:rsidRPr="00B24172">
              <w:rPr>
                <w:rFonts w:asciiTheme="majorBidi" w:hAnsiTheme="majorBidi" w:cstheme="majorBidi"/>
                <w:sz w:val="22"/>
                <w:szCs w:val="22"/>
                <w:lang w:eastAsia="zh-CN"/>
              </w:rPr>
              <w:instrText xml:space="preserve"> ADDIN ZOTERO_ITEM CSL_CITATION {"citationID":"tEzhzg3I","properties":{"formattedCitation":"(Rivoal &amp; Haselip, 2017)","plainCitation":"(Rivoal &amp; Haselip, 2017)","dontUpdate":true,"noteIndex":0},"citationItems":[{"id":"yPj1CNji/aOCb6Yg5","uris":["http://zotero.org/users/2699952/items/DTI6QSRD"],"uri":["http://zotero.org/users/2699952/items/DTI6QSRD"],"itemData":{"id":1379,"type":"report","title":"The true cost of using traditional fuels in a humanitarian setting. Case study of the Nyarugusu refugee camp, Kigoma region, Tanzania","genre":"Report","source":"DTU Orbit","abstract":"Over the past two decades, the global number of forcibly displaced people has doubled, reaching 65.6 million in 2017. Reducing energy poverty has been identified as a priority on the international agenda since September 2015, when the UN adopted seventeen Sustainable Development Goals including Goal 7 which seeks to ‘ensure access to affordable, reliable, sustainable and modern energy for all by 2030’. However, recent research sheds light on the magnitude of energy poverty in humanitarian settings. In Sub-Saharan Africa, as much as 85% of the refugee population living in camps lack access to enough energy to cover their basic needs for cooking, heating and lighting. The inefficient use of energy by displaced people emitted 14.3 million tonnes of Carbon Dioxide (tCO2) in 2014, globally. The topic of humanitarian energy entails three aspects: the energy services (e.g. lighting, cooking or heating), the sources (solar, LPG, kerosene) and the products (solar panels, cookstoves, electricity grids) (RSC, 2017) (Gunning, 2014). Within this field, the provision of energy for cooking is a crucial dimension for many reasons. Firstly, because the food distributed by the World Food Program needs to be cooked, access to fuel underpins food security. Secondly, as many as 3.9 million people die every year from respiratory diseases associated with Household Air Pollution from cooking with solid fuels (Smith, 2014), which makes it the second most important environmental health risk factor after childhood malnourishment in Sub-Saharan Africa in terms of years due to ill-heath (DALY) (Lim et al., 2012). This recognition even led to the creation of the UN-funded Global Alliance for Clean Cookstoves (GACC) in 2010. Finally, the encampment policy in Tanzania inevitably constrains firewood collection to small geographical areas, which often generates competition for resources and conflicts with the local communities.","author":[{"family":"Rivoal","given":"Morgane"},{"family":"Haselip","given":"James Arthur"}],"issued":{"date-parts":[["2017"]]}}}],"schema":"https://github.com/citation-style-language/schema/raw/master/csl-citation.json"} </w:instrText>
            </w:r>
            <w:r w:rsidRPr="00B24172">
              <w:rPr>
                <w:rFonts w:asciiTheme="majorBidi" w:hAnsiTheme="majorBidi" w:cstheme="majorBidi"/>
                <w:sz w:val="22"/>
                <w:szCs w:val="22"/>
                <w:lang w:eastAsia="zh-CN"/>
              </w:rPr>
              <w:fldChar w:fldCharType="separate"/>
            </w:r>
            <w:r w:rsidRPr="00B24172">
              <w:rPr>
                <w:sz w:val="22"/>
                <w:szCs w:val="22"/>
              </w:rPr>
              <w:t xml:space="preserve">Rivoal </w:t>
            </w:r>
          </w:p>
          <w:p w14:paraId="60A444D9" w14:textId="370F83E8" w:rsidR="008922C7" w:rsidRPr="00B24172" w:rsidRDefault="009737DD" w:rsidP="00850D73">
            <w:pPr>
              <w:rPr>
                <w:rFonts w:asciiTheme="majorBidi" w:hAnsiTheme="majorBidi" w:cstheme="majorBidi"/>
                <w:sz w:val="22"/>
                <w:szCs w:val="22"/>
                <w:lang w:eastAsia="zh-CN"/>
              </w:rPr>
            </w:pPr>
            <w:r w:rsidRPr="00B24172">
              <w:rPr>
                <w:sz w:val="22"/>
                <w:szCs w:val="22"/>
              </w:rPr>
              <w:t>a</w:t>
            </w:r>
            <w:r w:rsidRPr="00B24172">
              <w:t>nd</w:t>
            </w:r>
            <w:r w:rsidR="00262E0F" w:rsidRPr="00B24172">
              <w:rPr>
                <w:sz w:val="22"/>
                <w:szCs w:val="22"/>
              </w:rPr>
              <w:t xml:space="preserve"> </w:t>
            </w:r>
            <w:r w:rsidR="008922C7" w:rsidRPr="00B24172">
              <w:rPr>
                <w:sz w:val="22"/>
                <w:szCs w:val="22"/>
              </w:rPr>
              <w:t xml:space="preserve">Haselip </w:t>
            </w:r>
            <w:r w:rsidRPr="00B24172">
              <w:rPr>
                <w:sz w:val="22"/>
                <w:szCs w:val="22"/>
              </w:rPr>
              <w:t>(</w:t>
            </w:r>
            <w:r w:rsidR="008922C7" w:rsidRPr="00B24172">
              <w:rPr>
                <w:sz w:val="22"/>
                <w:szCs w:val="22"/>
              </w:rPr>
              <w:t>2017</w:t>
            </w:r>
            <w:r w:rsidR="008922C7" w:rsidRPr="00B24172">
              <w:rPr>
                <w:rFonts w:asciiTheme="majorBidi" w:hAnsiTheme="majorBidi" w:cstheme="majorBidi"/>
                <w:sz w:val="22"/>
                <w:szCs w:val="22"/>
                <w:lang w:eastAsia="zh-CN"/>
              </w:rPr>
              <w:fldChar w:fldCharType="end"/>
            </w:r>
            <w:r w:rsidRPr="00B24172">
              <w:rPr>
                <w:rFonts w:asciiTheme="majorBidi" w:hAnsiTheme="majorBidi" w:cstheme="majorBidi"/>
                <w:sz w:val="22"/>
                <w:szCs w:val="22"/>
                <w:lang w:eastAsia="zh-CN"/>
              </w:rPr>
              <w:t>)</w:t>
            </w:r>
          </w:p>
          <w:p w14:paraId="2992CA64" w14:textId="4608F4CD" w:rsidR="00AF1006" w:rsidRPr="00B24172" w:rsidRDefault="00AF1006" w:rsidP="00850D73">
            <w:pPr>
              <w:rPr>
                <w:sz w:val="22"/>
                <w:szCs w:val="22"/>
              </w:rPr>
            </w:pPr>
          </w:p>
        </w:tc>
        <w:tc>
          <w:tcPr>
            <w:tcW w:w="907" w:type="dxa"/>
            <w:tcBorders>
              <w:top w:val="nil"/>
            </w:tcBorders>
          </w:tcPr>
          <w:p w14:paraId="458E056C" w14:textId="77777777" w:rsidR="00584CCB" w:rsidRPr="00B24172" w:rsidRDefault="00584CCB" w:rsidP="009737DD">
            <w:pPr>
              <w:jc w:val="center"/>
              <w:rPr>
                <w:rFonts w:asciiTheme="majorBidi" w:hAnsiTheme="majorBidi" w:cstheme="majorBidi"/>
                <w:sz w:val="22"/>
                <w:szCs w:val="22"/>
                <w:lang w:eastAsia="zh-CN"/>
              </w:rPr>
            </w:pPr>
          </w:p>
          <w:p w14:paraId="679C73F8" w14:textId="7472D906" w:rsidR="008922C7" w:rsidRPr="00B24172" w:rsidRDefault="008922C7" w:rsidP="009737DD">
            <w:pPr>
              <w:jc w:val="center"/>
              <w:rPr>
                <w:sz w:val="22"/>
                <w:szCs w:val="22"/>
              </w:rPr>
            </w:pPr>
            <w:r w:rsidRPr="00B24172">
              <w:rPr>
                <w:rFonts w:asciiTheme="majorBidi" w:hAnsiTheme="majorBidi" w:cstheme="majorBidi"/>
                <w:sz w:val="22"/>
                <w:szCs w:val="22"/>
                <w:lang w:eastAsia="zh-CN"/>
              </w:rPr>
              <w:t>Tanzania</w:t>
            </w:r>
          </w:p>
        </w:tc>
        <w:tc>
          <w:tcPr>
            <w:tcW w:w="1559" w:type="dxa"/>
            <w:tcBorders>
              <w:top w:val="nil"/>
            </w:tcBorders>
          </w:tcPr>
          <w:p w14:paraId="4A46F335" w14:textId="77777777" w:rsidR="00584CCB" w:rsidRPr="00B24172" w:rsidRDefault="00584CCB" w:rsidP="009737DD">
            <w:pPr>
              <w:jc w:val="center"/>
              <w:rPr>
                <w:rFonts w:asciiTheme="majorBidi" w:hAnsiTheme="majorBidi" w:cstheme="majorBidi"/>
                <w:sz w:val="22"/>
                <w:szCs w:val="22"/>
                <w:lang w:eastAsia="zh-CN"/>
              </w:rPr>
            </w:pPr>
          </w:p>
          <w:p w14:paraId="3BF73862" w14:textId="1EED15EB" w:rsidR="008922C7" w:rsidRPr="00B24172" w:rsidRDefault="008922C7" w:rsidP="009737DD">
            <w:pPr>
              <w:jc w:val="center"/>
            </w:pPr>
            <w:r w:rsidRPr="00B24172">
              <w:rPr>
                <w:rFonts w:asciiTheme="majorBidi" w:hAnsiTheme="majorBidi" w:cstheme="majorBidi"/>
                <w:sz w:val="22"/>
                <w:szCs w:val="22"/>
                <w:lang w:eastAsia="zh-CN"/>
              </w:rPr>
              <w:t>LPG</w:t>
            </w:r>
          </w:p>
        </w:tc>
        <w:tc>
          <w:tcPr>
            <w:tcW w:w="4480" w:type="dxa"/>
            <w:tcBorders>
              <w:top w:val="nil"/>
            </w:tcBorders>
          </w:tcPr>
          <w:p w14:paraId="061AFCE6" w14:textId="77777777" w:rsidR="005C6410" w:rsidRPr="00B24172" w:rsidRDefault="005C6410" w:rsidP="009737DD">
            <w:pPr>
              <w:autoSpaceDE w:val="0"/>
              <w:autoSpaceDN w:val="0"/>
              <w:adjustRightInd w:val="0"/>
              <w:rPr>
                <w:rFonts w:asciiTheme="majorBidi" w:hAnsiTheme="majorBidi" w:cstheme="majorBidi"/>
                <w:sz w:val="22"/>
                <w:szCs w:val="22"/>
                <w:lang w:eastAsia="zh-CN"/>
              </w:rPr>
            </w:pPr>
          </w:p>
          <w:p w14:paraId="69C99A0C" w14:textId="6091CDB8" w:rsidR="008922C7" w:rsidRPr="00B24172" w:rsidRDefault="008922C7" w:rsidP="009737DD">
            <w:pPr>
              <w:autoSpaceDE w:val="0"/>
              <w:autoSpaceDN w:val="0"/>
              <w:adjustRightInd w:val="0"/>
              <w:rPr>
                <w:rFonts w:asciiTheme="majorBidi" w:hAnsiTheme="majorBidi" w:cstheme="majorBidi"/>
                <w:sz w:val="22"/>
                <w:szCs w:val="22"/>
                <w:lang w:eastAsia="zh-CN"/>
              </w:rPr>
            </w:pPr>
            <w:r w:rsidRPr="00B24172">
              <w:rPr>
                <w:rFonts w:asciiTheme="majorBidi" w:hAnsiTheme="majorBidi" w:cstheme="majorBidi"/>
                <w:sz w:val="22"/>
                <w:szCs w:val="22"/>
                <w:lang w:eastAsia="zh-CN"/>
              </w:rPr>
              <w:t>BCR= 1.69 to 1.76 (over 10 years)</w:t>
            </w:r>
          </w:p>
          <w:p w14:paraId="63CB8BDE" w14:textId="77777777" w:rsidR="00584CCB" w:rsidRPr="00B24172" w:rsidRDefault="00584CCB" w:rsidP="009737DD">
            <w:pPr>
              <w:autoSpaceDE w:val="0"/>
              <w:autoSpaceDN w:val="0"/>
              <w:adjustRightInd w:val="0"/>
              <w:rPr>
                <w:rFonts w:asciiTheme="majorBidi" w:hAnsiTheme="majorBidi" w:cstheme="majorBidi"/>
                <w:sz w:val="10"/>
                <w:szCs w:val="10"/>
                <w:lang w:eastAsia="zh-CN"/>
              </w:rPr>
            </w:pPr>
          </w:p>
          <w:p w14:paraId="5C558FB9" w14:textId="36EB5D0C" w:rsidR="008922C7" w:rsidRPr="00B24172" w:rsidRDefault="008922C7" w:rsidP="009737DD">
            <w:pPr>
              <w:rPr>
                <w:rFonts w:asciiTheme="majorBidi" w:hAnsiTheme="majorBidi" w:cstheme="majorBidi"/>
                <w:sz w:val="22"/>
                <w:szCs w:val="22"/>
                <w:lang w:eastAsia="zh-CN"/>
              </w:rPr>
            </w:pPr>
            <w:r w:rsidRPr="00B24172">
              <w:rPr>
                <w:rFonts w:asciiTheme="majorBidi" w:hAnsiTheme="majorBidi" w:cstheme="majorBidi"/>
                <w:sz w:val="22"/>
                <w:szCs w:val="22"/>
                <w:lang w:eastAsia="zh-CN"/>
              </w:rPr>
              <w:t>BCR= 1.55 to 1.6 (over 5 years)</w:t>
            </w:r>
          </w:p>
          <w:p w14:paraId="732727BA" w14:textId="13AC8421" w:rsidR="008922C7" w:rsidRPr="00B24172" w:rsidRDefault="008922C7" w:rsidP="009737DD">
            <w:pPr>
              <w:rPr>
                <w:sz w:val="22"/>
                <w:szCs w:val="22"/>
              </w:rPr>
            </w:pPr>
          </w:p>
        </w:tc>
      </w:tr>
      <w:tr w:rsidR="008922C7" w:rsidRPr="00B24172" w14:paraId="2F1D8D9A" w14:textId="77777777" w:rsidTr="00BE78F3">
        <w:tc>
          <w:tcPr>
            <w:tcW w:w="2070" w:type="dxa"/>
          </w:tcPr>
          <w:p w14:paraId="59665648" w14:textId="05E8B214" w:rsidR="008922C7" w:rsidRPr="00B24172" w:rsidRDefault="008922C7" w:rsidP="00850D73">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val="en-NZ" w:eastAsia="zh-CN"/>
              </w:rPr>
              <w:instrText xml:space="preserve"> ADDIN ZOTERO_ITEM CSL_CITATION {"citationID":"YxEks5DA","properties":{"formattedCitation":"(Aunan et al., 2013)","plainCitation":"(Aunan et al., 2013)","dontUpdate":true,"noteIndex":0},"citationItems":[{"id":"yPj1CNji/RFxxRSeq","uris":["http://zotero.org/users/2699952/items/2FR8PVP2"],"uri":["http://zotero.org/users/2699952/items/2FR8PVP2"],"itemData":{"id":201,"type":"article-journal","title":"Upgrading to cleaner household stoves and reducing chronic obstructive pulmonary disease among women in rural China — A cost-benefit analysis","container-title":"Energy for Sustainable Development","page":"489-496","volume":"17","issue":"5","source":"ScienceDirect","abstract":"Exposure to fine particles ≤ 2.5 μm in aerodynamic diameter (PM2.5) from incomplete combustion of solid fuels in household stoves is recognized as a major contributor to global ill health. Still there are few attempts to estimate the economic costs and health benefits of interventions to reduce exposure. The objective of this paper is to estimate costs and health benefits to women of possible interventions to replace current biomass stoves in Guizhou Province, southwest China, with cleaner burning stoves. Prevalence of chronic obstructive pulmonary disease (COPD) was measured in women ≥ 30 y living in households using biomass as fuel. In a sub-sample of households indoor PM2.5 concentrations were measured. Reduced exposure from replacing stoves in individual homes and at the community level was estimated using information about stoves, concentration levels, and time-activity patterns. Annual avoided new cases of COPD were estimated. The economic value of avoided cases was compared to intervention costs. Probabilistic cost-benefit analysis was performed using Monte-Carlo simulation and the impact of uncertainty in single parameters was explored. The mean reduction in annual average PM2.5 exposure is estimated at 127–294 μg/m3, which corresponds to a 41–77% reduction. Annually 0.6–3.2 new cases of COPD among women may be avoided per 1000 households. The present value net benefit is 1766–22,500 Yuan (Yuan/USD ≈ 0.16) per household and mean benefit/cost-ratios (B/C) are 3.3–14.7. We conclude that policy interventions to increase access to cleaner burning stoves may bring large net benefits to rural women and their families, and to society.","DOI":"10.1016/j.esd.2013.06.002","ISSN":"0973-0826","journalAbbreviation":"Energy for Sustainable Development","author":[{"family":"Aunan","given":"Kristin"},{"family":"Alnes","given":"Line W. H."},{"family":"Berger","given":"Janne"},{"family":"Dong","given":"Zeqin"},{"family":"Ma","given":"Liying"},{"family":"Mestl","given":"Heidi E. S."},{"family":"Vennemo","given":"Haakon"},{"family":"Wang","given":"Shuxiao"},{"family":"Zhang","given":"Wei"}],"issued":{"date-parts":[["2013",10]]}}}],"schema":"https://github.com/citation-style-language/schema/raw/master/csl-citation.json"}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rFonts w:asciiTheme="majorBidi" w:hAnsiTheme="majorBidi" w:cstheme="majorBidi"/>
                <w:sz w:val="22"/>
                <w:szCs w:val="22"/>
                <w:lang w:val="en-NZ" w:eastAsia="zh-CN"/>
              </w:rPr>
              <w:t xml:space="preserve">Aunan </w:t>
            </w:r>
            <w:r w:rsidRPr="00B24172">
              <w:rPr>
                <w:i/>
                <w:sz w:val="22"/>
                <w:szCs w:val="22"/>
              </w:rPr>
              <w:t>et al.</w:t>
            </w:r>
            <w:r w:rsidRPr="00B24172">
              <w:rPr>
                <w:rFonts w:asciiTheme="majorBidi" w:hAnsiTheme="majorBidi" w:cstheme="majorBidi"/>
                <w:sz w:val="22"/>
                <w:szCs w:val="22"/>
                <w:lang w:val="en-NZ" w:eastAsia="zh-CN"/>
              </w:rPr>
              <w:t xml:space="preserve"> </w:t>
            </w:r>
            <w:r w:rsidR="009737DD" w:rsidRPr="00B24172">
              <w:rPr>
                <w:rFonts w:asciiTheme="majorBidi" w:hAnsiTheme="majorBidi" w:cstheme="majorBidi"/>
                <w:sz w:val="22"/>
                <w:szCs w:val="22"/>
                <w:lang w:val="en-NZ" w:eastAsia="zh-CN"/>
              </w:rPr>
              <w:t>(</w:t>
            </w:r>
            <w:r w:rsidRPr="00B24172">
              <w:rPr>
                <w:rFonts w:asciiTheme="majorBidi" w:hAnsiTheme="majorBidi" w:cstheme="majorBidi"/>
                <w:sz w:val="22"/>
                <w:szCs w:val="22"/>
                <w:lang w:val="en-NZ" w:eastAsia="zh-CN"/>
              </w:rPr>
              <w:t>2013</w:t>
            </w:r>
            <w:r w:rsidRPr="00B24172">
              <w:rPr>
                <w:rFonts w:asciiTheme="majorBidi" w:hAnsiTheme="majorBidi" w:cstheme="majorBidi"/>
                <w:sz w:val="22"/>
                <w:szCs w:val="22"/>
                <w:lang w:val="en-NZ" w:eastAsia="zh-CN"/>
              </w:rPr>
              <w:fldChar w:fldCharType="end"/>
            </w:r>
            <w:r w:rsidR="009737DD" w:rsidRPr="00B24172">
              <w:rPr>
                <w:rFonts w:asciiTheme="majorBidi" w:hAnsiTheme="majorBidi" w:cstheme="majorBidi"/>
                <w:sz w:val="22"/>
                <w:szCs w:val="22"/>
                <w:lang w:val="en-NZ" w:eastAsia="zh-CN"/>
              </w:rPr>
              <w:t>)</w:t>
            </w:r>
          </w:p>
          <w:p w14:paraId="4BB34532" w14:textId="615D7535" w:rsidR="00AF1006" w:rsidRPr="00B24172" w:rsidRDefault="00AF1006" w:rsidP="00850D73">
            <w:pPr>
              <w:rPr>
                <w:sz w:val="22"/>
                <w:szCs w:val="22"/>
              </w:rPr>
            </w:pPr>
          </w:p>
        </w:tc>
        <w:tc>
          <w:tcPr>
            <w:tcW w:w="907" w:type="dxa"/>
          </w:tcPr>
          <w:p w14:paraId="12B8AB69" w14:textId="569A2CAA" w:rsidR="008922C7" w:rsidRPr="00B24172" w:rsidRDefault="008922C7" w:rsidP="009737DD">
            <w:pPr>
              <w:jc w:val="center"/>
              <w:rPr>
                <w:sz w:val="22"/>
                <w:szCs w:val="22"/>
              </w:rPr>
            </w:pPr>
            <w:r w:rsidRPr="00B24172">
              <w:rPr>
                <w:rFonts w:asciiTheme="majorBidi" w:hAnsiTheme="majorBidi" w:cstheme="majorBidi"/>
                <w:sz w:val="22"/>
                <w:szCs w:val="22"/>
                <w:lang w:val="en-NZ" w:eastAsia="zh-CN"/>
              </w:rPr>
              <w:t>China</w:t>
            </w:r>
          </w:p>
        </w:tc>
        <w:tc>
          <w:tcPr>
            <w:tcW w:w="1559" w:type="dxa"/>
          </w:tcPr>
          <w:p w14:paraId="6B26E663" w14:textId="6A5136A8" w:rsidR="008922C7" w:rsidRPr="00B24172" w:rsidRDefault="008922C7" w:rsidP="009737DD">
            <w:pPr>
              <w:jc w:val="center"/>
            </w:pPr>
            <w:r w:rsidRPr="00B24172">
              <w:rPr>
                <w:rFonts w:asciiTheme="majorBidi" w:hAnsiTheme="majorBidi" w:cstheme="majorBidi"/>
                <w:sz w:val="22"/>
                <w:szCs w:val="22"/>
                <w:lang w:val="en-NZ" w:eastAsia="zh-CN"/>
              </w:rPr>
              <w:t>ICS</w:t>
            </w:r>
          </w:p>
        </w:tc>
        <w:tc>
          <w:tcPr>
            <w:tcW w:w="4480" w:type="dxa"/>
          </w:tcPr>
          <w:p w14:paraId="5A5E2085" w14:textId="77777777" w:rsidR="008922C7" w:rsidRPr="00B24172" w:rsidRDefault="008922C7" w:rsidP="009737DD">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BCR=3.3 to 14.7</w:t>
            </w:r>
          </w:p>
          <w:p w14:paraId="7575165D" w14:textId="59778CB7" w:rsidR="008922C7" w:rsidRPr="00B24172" w:rsidRDefault="008922C7" w:rsidP="009737DD">
            <w:pPr>
              <w:rPr>
                <w:sz w:val="22"/>
                <w:szCs w:val="22"/>
              </w:rPr>
            </w:pPr>
          </w:p>
        </w:tc>
      </w:tr>
      <w:tr w:rsidR="008922C7" w:rsidRPr="00B24172" w14:paraId="10545E27" w14:textId="77777777" w:rsidTr="00BE78F3">
        <w:tc>
          <w:tcPr>
            <w:tcW w:w="2070" w:type="dxa"/>
          </w:tcPr>
          <w:p w14:paraId="38F740CA" w14:textId="3F5CD344" w:rsidR="008922C7" w:rsidRPr="00B24172" w:rsidRDefault="008922C7" w:rsidP="00850D73">
            <w:pPr>
              <w:rPr>
                <w:sz w:val="22"/>
                <w:szCs w:val="22"/>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val="en-NZ" w:eastAsia="zh-CN"/>
              </w:rPr>
              <w:instrText xml:space="preserve"> ADDIN ZOTERO_ITEM CSL_CITATION {"citationID":"zI9PbH1y","properties":{"formattedCitation":"(Isihak, Akpan, &amp; Adeleye, 2012)","plainCitation":"(Isihak, Akpan, &amp; Adeleye, 2012)","dontUpdate":true,"noteIndex":0},"citationItems":[{"id":"yPj1CNji/CZp2fytc","uris":["http://zotero.org/users/2699952/items/RCZEUGBQ"],"uri":["http://zotero.org/users/2699952/items/RCZEUGBQ"],"itemData":{"id":182,"type":"article-journal","title":"Interventions for mitigating indoor-air pollution in Nigeria: a cost-benefit analysis","container-title":"International Journal of Energy Sector Management","page":"417-429","volume":"6","issue":"3","source":"ProQuest","abstract":"Purpose - The purpose of this paper is to evaluate the costs and benefits of interventions to reduce indoor-air pollution arising from the use of solid biomass fuels for cooking and heating in Nigeria. Design/methodology/approach - The authors use cost-benefit analysis and assess two intervention scenarios: providing access to improved stoves; and providing access to cleaner fuels (liquefied petroleum gas - LPG - burners). Both intervention scenarios are compared with the current situation, i.e. the \"business as usual\" scenario where there is no attempt to reduce the present level of exposure to indoor-air pollution from solid fuel use. Findings - The result shows that the cost-benefit ratio of the stove intervention is 0.388 while that of LPG is 0.371. Practical implications - While providing access to cleaner fuels (LPG) has a larger health impact on the population than improved stoves, the low income level of the participants will favor the stove option because of the lower recurrent cost which is usually borne by the participants. From a public health point of view, there is need for a continued emphasis on the promotion of improved stoves to reduce exposure in households using solid fuels until everyone can have access to cleaner fuels. Furthermore, since choice of cooking technologies is influenced by income level, the intervention policy should be implemented alongside other socio-economic development programmes. Originality/value - The paper bridges the knowledge gap with respect to the indoor-air pollution issue in Nigeria. It offers policy makers an insight into the potential net benefit of intervening to reduce indoor-air pollution arising from the use of solid biomass fuels in Nigeria.","DOI":"http://dx.doi.org.ezproxy.waikato.ac.nz/10.1108/17506221211259655","ISSN":"17506220","shortTitle":"Interventions for mitigating indoor-air pollution in Nigeria","language":"English","author":[{"family":"Isihak","given":"Salisu"},{"family":"Akpan","given":"Uduak"},{"family":"Adeleye","given":"Monsuru"}],"issued":{"date-parts":[["2012"]]}}}],"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sz w:val="22"/>
                <w:szCs w:val="22"/>
              </w:rPr>
              <w:t xml:space="preserve">Isihak, Akpan </w:t>
            </w:r>
          </w:p>
          <w:p w14:paraId="3A082A7C" w14:textId="6A8F7D47" w:rsidR="008922C7" w:rsidRPr="00B24172" w:rsidRDefault="008922C7" w:rsidP="00850D73">
            <w:pPr>
              <w:rPr>
                <w:sz w:val="22"/>
                <w:szCs w:val="22"/>
              </w:rPr>
            </w:pPr>
            <w:r w:rsidRPr="00B24172">
              <w:rPr>
                <w:sz w:val="22"/>
                <w:szCs w:val="22"/>
              </w:rPr>
              <w:t xml:space="preserve">and Adeleye, </w:t>
            </w:r>
            <w:r w:rsidR="009737DD" w:rsidRPr="00B24172">
              <w:rPr>
                <w:sz w:val="22"/>
                <w:szCs w:val="22"/>
              </w:rPr>
              <w:t>(</w:t>
            </w:r>
            <w:r w:rsidRPr="00B24172">
              <w:rPr>
                <w:sz w:val="22"/>
                <w:szCs w:val="22"/>
              </w:rPr>
              <w:t>2012</w:t>
            </w:r>
            <w:r w:rsidRPr="00B24172">
              <w:rPr>
                <w:rFonts w:asciiTheme="majorBidi" w:hAnsiTheme="majorBidi" w:cstheme="majorBidi"/>
                <w:sz w:val="22"/>
                <w:szCs w:val="22"/>
                <w:lang w:val="en-NZ" w:eastAsia="zh-CN"/>
              </w:rPr>
              <w:fldChar w:fldCharType="end"/>
            </w:r>
            <w:r w:rsidR="009737DD" w:rsidRPr="00B24172">
              <w:rPr>
                <w:rFonts w:asciiTheme="majorBidi" w:hAnsiTheme="majorBidi" w:cstheme="majorBidi"/>
                <w:sz w:val="22"/>
                <w:szCs w:val="22"/>
                <w:lang w:val="en-NZ" w:eastAsia="zh-CN"/>
              </w:rPr>
              <w:t>)</w:t>
            </w:r>
          </w:p>
        </w:tc>
        <w:tc>
          <w:tcPr>
            <w:tcW w:w="907" w:type="dxa"/>
          </w:tcPr>
          <w:p w14:paraId="4C0AB19B" w14:textId="73B05224" w:rsidR="008922C7" w:rsidRPr="00B24172" w:rsidRDefault="008922C7" w:rsidP="009737DD">
            <w:pPr>
              <w:jc w:val="center"/>
              <w:rPr>
                <w:sz w:val="22"/>
                <w:szCs w:val="22"/>
              </w:rPr>
            </w:pPr>
            <w:r w:rsidRPr="00B24172">
              <w:rPr>
                <w:rFonts w:asciiTheme="majorBidi" w:hAnsiTheme="majorBidi" w:cstheme="majorBidi"/>
                <w:sz w:val="22"/>
                <w:szCs w:val="22"/>
                <w:lang w:val="en-NZ" w:eastAsia="zh-CN"/>
              </w:rPr>
              <w:t>Nigeria</w:t>
            </w:r>
          </w:p>
        </w:tc>
        <w:tc>
          <w:tcPr>
            <w:tcW w:w="1559" w:type="dxa"/>
          </w:tcPr>
          <w:p w14:paraId="48AAB641" w14:textId="77777777" w:rsidR="008922C7" w:rsidRPr="00B24172" w:rsidRDefault="008922C7" w:rsidP="009737DD">
            <w:pPr>
              <w:autoSpaceDE w:val="0"/>
              <w:autoSpaceDN w:val="0"/>
              <w:adjustRightInd w:val="0"/>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ICS</w:t>
            </w:r>
          </w:p>
          <w:p w14:paraId="049DED60" w14:textId="581EB2AE" w:rsidR="008922C7" w:rsidRPr="00B24172" w:rsidRDefault="008922C7" w:rsidP="009737DD">
            <w:pPr>
              <w:jc w:val="center"/>
            </w:pPr>
            <w:r w:rsidRPr="00B24172">
              <w:rPr>
                <w:rFonts w:asciiTheme="majorBidi" w:hAnsiTheme="majorBidi" w:cstheme="majorBidi"/>
                <w:sz w:val="22"/>
                <w:szCs w:val="22"/>
                <w:lang w:val="en-NZ" w:eastAsia="zh-CN"/>
              </w:rPr>
              <w:t>LPG</w:t>
            </w:r>
          </w:p>
        </w:tc>
        <w:tc>
          <w:tcPr>
            <w:tcW w:w="4480" w:type="dxa"/>
          </w:tcPr>
          <w:p w14:paraId="5956CB52" w14:textId="12C1C0DB" w:rsidR="008922C7" w:rsidRPr="00B24172" w:rsidRDefault="008922C7" w:rsidP="009737DD">
            <w:pPr>
              <w:autoSpaceDE w:val="0"/>
              <w:autoSpaceDN w:val="0"/>
              <w:adjustRightInd w:val="0"/>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ICS: BCR=2.57</w:t>
            </w:r>
          </w:p>
          <w:p w14:paraId="2E10590B" w14:textId="77777777" w:rsidR="00584CCB" w:rsidRPr="00B24172" w:rsidRDefault="00584CCB" w:rsidP="009737DD">
            <w:pPr>
              <w:autoSpaceDE w:val="0"/>
              <w:autoSpaceDN w:val="0"/>
              <w:adjustRightInd w:val="0"/>
              <w:rPr>
                <w:rFonts w:asciiTheme="majorBidi" w:hAnsiTheme="majorBidi" w:cstheme="majorBidi"/>
                <w:sz w:val="10"/>
                <w:szCs w:val="10"/>
                <w:lang w:val="en-NZ" w:eastAsia="zh-CN"/>
              </w:rPr>
            </w:pPr>
          </w:p>
          <w:p w14:paraId="27A81BE2" w14:textId="77777777" w:rsidR="008922C7" w:rsidRPr="00B24172" w:rsidRDefault="008922C7" w:rsidP="009737DD">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LPG: BCR=2.70</w:t>
            </w:r>
          </w:p>
          <w:p w14:paraId="04631A1C" w14:textId="68127890" w:rsidR="008922C7" w:rsidRPr="00B24172" w:rsidRDefault="008922C7" w:rsidP="009737DD">
            <w:pPr>
              <w:rPr>
                <w:sz w:val="22"/>
                <w:szCs w:val="22"/>
              </w:rPr>
            </w:pPr>
          </w:p>
        </w:tc>
      </w:tr>
      <w:tr w:rsidR="008922C7" w:rsidRPr="00B24172" w14:paraId="69E213F0" w14:textId="77777777" w:rsidTr="00BE78F3">
        <w:tc>
          <w:tcPr>
            <w:tcW w:w="2070" w:type="dxa"/>
          </w:tcPr>
          <w:p w14:paraId="09C01A29" w14:textId="77777777" w:rsidR="00584CCB" w:rsidRPr="00B24172" w:rsidRDefault="00584CCB" w:rsidP="00850D73">
            <w:pPr>
              <w:rPr>
                <w:rFonts w:asciiTheme="majorBidi" w:hAnsiTheme="majorBidi" w:cstheme="majorBidi"/>
                <w:sz w:val="22"/>
                <w:szCs w:val="22"/>
                <w:lang w:val="en-NZ" w:eastAsia="zh-CN"/>
              </w:rPr>
            </w:pPr>
          </w:p>
          <w:p w14:paraId="75404278" w14:textId="4E697886" w:rsidR="00584CCB" w:rsidRPr="00B24172" w:rsidRDefault="008922C7" w:rsidP="00850D73">
            <w:pPr>
              <w:rPr>
                <w:rFonts w:asciiTheme="majorBidi" w:hAnsiTheme="majorBidi" w:cstheme="majorBidi"/>
                <w:sz w:val="22"/>
                <w:szCs w:val="22"/>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val="en-NZ" w:eastAsia="zh-CN"/>
              </w:rPr>
              <w:instrText xml:space="preserve"> ADDIN ZOTERO_ITEM CSL_CITATION {"citationID":"8gzDZzZ4","properties":{"formattedCitation":"(Malla, Bruce, Bates, &amp; Rehfuess, 2011)","plainCitation":"(Malla, Bruce, Bates, &amp; Rehfuess, 2011)","dontUpdate":true,"noteIndex":0},"citationItems":[{"id":"yPj1CNji/hp7p6PQY","uris":["http://zotero.org/users/2699952/items/CRU6GQE2"],"uri":["http://zotero.org/users/2699952/items/CRU6GQE2"],"itemData":{"id":24,"type":"article-journal","title":"Applying global cost-benefit analysis methods to indoor air pollution mitigation interventions in Nepal, Kenya and Sudan: Insights and challenges","container-title":"Energy Policy","collection-title":"Clean Cooking Fuels and Technologies in Developing Economies","page":"7518-7529","volume":"39","issue":"12","source":"ScienceDirect","abstract":"Indoor air pollution from burning solid fuels for cooking is a major environmental health problem in developing countries, predominantly affecting children and women. Traditional household energy practices also contribute to substantial time loss and drudgery among households. While effective interventions exist, levels of investment to date have been very low, in part due to lack of evidence on economic viability. Between 2004 and 2007, different combinations of interventions – improved stoves, smoke hoods and a switch to liquefied petroleum gas – were implemented in poor communities in Nepal, Sudan and Kenya. The impacts were extensively evaluated and provided the basis for a household-level cost-benefit analysis, which essentially followed the methodology proposed by the World Health Organization. The results suggest that interventions are justified on economic grounds with estimated internal rates of return of 19%, 429% and 62% in Nepal, Kenya and Sudan, respectively. Time savings constituted by far the most important benefit followed by fuel cost savings; direct health improvements were a small component of the overall benefit. This paper describes the methodology applied, discusses the findings and highlights the methodological challenges that arise when a global approach is applied to a local programme.","DOI":"10.1016/j.enpol.2011.06.031","ISSN":"0301-4215","shortTitle":"Applying global cost-benefit analysis methods to indoor air pollution mitigation interventions in Nepal, Kenya and Sudan","journalAbbreviation":"Energy Policy","author":[{"family":"Malla","given":"Min Bikram"},{"family":"Bruce","given":"Nigel"},{"family":"Bates","given":"Elizabeth"},{"family":"Rehfuess","given":"Eva"}],"issued":{"date-parts":[["2011",12]]}}}],"schema":"https://github.com/citation-style-language/schema/raw/master/csl-citation.json"}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rFonts w:asciiTheme="majorBidi" w:hAnsiTheme="majorBidi" w:cstheme="majorBidi"/>
                <w:sz w:val="22"/>
                <w:szCs w:val="22"/>
              </w:rPr>
              <w:t>Malla, Bruce,</w:t>
            </w:r>
          </w:p>
          <w:p w14:paraId="1E8B4A5E" w14:textId="392255BF" w:rsidR="00584CCB" w:rsidRPr="00B24172" w:rsidRDefault="008922C7" w:rsidP="00850D73">
            <w:pPr>
              <w:rPr>
                <w:rFonts w:asciiTheme="majorBidi" w:hAnsiTheme="majorBidi" w:cstheme="majorBidi"/>
                <w:sz w:val="22"/>
                <w:szCs w:val="22"/>
              </w:rPr>
            </w:pPr>
            <w:r w:rsidRPr="00B24172">
              <w:rPr>
                <w:rFonts w:asciiTheme="majorBidi" w:hAnsiTheme="majorBidi" w:cstheme="majorBidi"/>
                <w:sz w:val="22"/>
                <w:szCs w:val="22"/>
              </w:rPr>
              <w:t>Bates</w:t>
            </w:r>
          </w:p>
          <w:p w14:paraId="75980094" w14:textId="4E0D1726" w:rsidR="00584CCB" w:rsidRPr="00B24172" w:rsidRDefault="008922C7" w:rsidP="00850D73">
            <w:pPr>
              <w:rPr>
                <w:rFonts w:asciiTheme="majorBidi" w:hAnsiTheme="majorBidi" w:cstheme="majorBidi"/>
                <w:sz w:val="22"/>
                <w:szCs w:val="22"/>
              </w:rPr>
            </w:pPr>
            <w:r w:rsidRPr="00B24172">
              <w:rPr>
                <w:rFonts w:asciiTheme="majorBidi" w:hAnsiTheme="majorBidi" w:cstheme="majorBidi"/>
                <w:sz w:val="22"/>
                <w:szCs w:val="22"/>
              </w:rPr>
              <w:t>and</w:t>
            </w:r>
          </w:p>
          <w:p w14:paraId="0E447B89" w14:textId="50DC5098" w:rsidR="008922C7" w:rsidRPr="00B24172" w:rsidRDefault="008922C7" w:rsidP="00850D73">
            <w:pPr>
              <w:rPr>
                <w:sz w:val="22"/>
                <w:szCs w:val="22"/>
              </w:rPr>
            </w:pPr>
            <w:r w:rsidRPr="00B24172">
              <w:rPr>
                <w:rFonts w:asciiTheme="majorBidi" w:hAnsiTheme="majorBidi" w:cstheme="majorBidi"/>
                <w:sz w:val="22"/>
                <w:szCs w:val="22"/>
              </w:rPr>
              <w:t xml:space="preserve">Rehfuess </w:t>
            </w:r>
            <w:r w:rsidR="009737DD" w:rsidRPr="00B24172">
              <w:rPr>
                <w:rFonts w:asciiTheme="majorBidi" w:hAnsiTheme="majorBidi" w:cstheme="majorBidi"/>
                <w:sz w:val="22"/>
                <w:szCs w:val="22"/>
              </w:rPr>
              <w:t>(</w:t>
            </w:r>
            <w:r w:rsidRPr="00B24172">
              <w:rPr>
                <w:rFonts w:asciiTheme="majorBidi" w:hAnsiTheme="majorBidi" w:cstheme="majorBidi"/>
                <w:sz w:val="22"/>
                <w:szCs w:val="22"/>
              </w:rPr>
              <w:t>2011</w:t>
            </w:r>
            <w:r w:rsidRPr="00B24172">
              <w:rPr>
                <w:rFonts w:asciiTheme="majorBidi" w:hAnsiTheme="majorBidi" w:cstheme="majorBidi"/>
                <w:sz w:val="22"/>
                <w:szCs w:val="22"/>
                <w:lang w:val="en-NZ" w:eastAsia="zh-CN"/>
              </w:rPr>
              <w:fldChar w:fldCharType="end"/>
            </w:r>
            <w:r w:rsidR="009737DD" w:rsidRPr="00B24172">
              <w:rPr>
                <w:rFonts w:asciiTheme="majorBidi" w:hAnsiTheme="majorBidi" w:cstheme="majorBidi"/>
                <w:sz w:val="22"/>
                <w:szCs w:val="22"/>
                <w:lang w:val="en-NZ" w:eastAsia="zh-CN"/>
              </w:rPr>
              <w:t>)</w:t>
            </w:r>
          </w:p>
        </w:tc>
        <w:tc>
          <w:tcPr>
            <w:tcW w:w="907" w:type="dxa"/>
          </w:tcPr>
          <w:p w14:paraId="59CF74C1" w14:textId="77777777" w:rsidR="008922C7" w:rsidRPr="00B24172" w:rsidRDefault="008922C7" w:rsidP="009737DD">
            <w:pPr>
              <w:autoSpaceDE w:val="0"/>
              <w:autoSpaceDN w:val="0"/>
              <w:adjustRightInd w:val="0"/>
              <w:jc w:val="center"/>
              <w:rPr>
                <w:rFonts w:asciiTheme="majorBidi" w:hAnsiTheme="majorBidi" w:cstheme="majorBidi"/>
                <w:sz w:val="22"/>
                <w:szCs w:val="22"/>
                <w:lang w:val="en-NZ" w:eastAsia="zh-CN"/>
              </w:rPr>
            </w:pPr>
          </w:p>
          <w:p w14:paraId="4E4C2DDB" w14:textId="1F4FF750" w:rsidR="008922C7" w:rsidRPr="00B24172" w:rsidRDefault="008922C7" w:rsidP="009737DD">
            <w:pPr>
              <w:autoSpaceDE w:val="0"/>
              <w:autoSpaceDN w:val="0"/>
              <w:adjustRightInd w:val="0"/>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Kenya</w:t>
            </w:r>
          </w:p>
          <w:p w14:paraId="5B881149" w14:textId="77777777" w:rsidR="008922C7" w:rsidRPr="00B24172" w:rsidRDefault="008922C7" w:rsidP="009737DD">
            <w:pPr>
              <w:autoSpaceDE w:val="0"/>
              <w:autoSpaceDN w:val="0"/>
              <w:adjustRightInd w:val="0"/>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Sudan</w:t>
            </w:r>
          </w:p>
          <w:p w14:paraId="79350C1D" w14:textId="0E0BF87C" w:rsidR="008922C7" w:rsidRPr="00B24172" w:rsidRDefault="008922C7" w:rsidP="009737DD">
            <w:pPr>
              <w:jc w:val="center"/>
              <w:rPr>
                <w:sz w:val="22"/>
                <w:szCs w:val="22"/>
              </w:rPr>
            </w:pPr>
            <w:r w:rsidRPr="00B24172">
              <w:rPr>
                <w:rFonts w:asciiTheme="majorBidi" w:hAnsiTheme="majorBidi" w:cstheme="majorBidi"/>
                <w:sz w:val="22"/>
                <w:szCs w:val="22"/>
                <w:lang w:val="en-NZ" w:eastAsia="zh-CN"/>
              </w:rPr>
              <w:t>Nepal</w:t>
            </w:r>
          </w:p>
        </w:tc>
        <w:tc>
          <w:tcPr>
            <w:tcW w:w="1559" w:type="dxa"/>
          </w:tcPr>
          <w:p w14:paraId="65DFBEC6" w14:textId="77777777" w:rsidR="008922C7" w:rsidRPr="00B24172" w:rsidRDefault="008922C7" w:rsidP="009737DD">
            <w:pPr>
              <w:jc w:val="center"/>
              <w:rPr>
                <w:rFonts w:asciiTheme="majorBidi" w:hAnsiTheme="majorBidi" w:cstheme="majorBidi"/>
                <w:sz w:val="22"/>
                <w:szCs w:val="22"/>
                <w:lang w:val="en-NZ" w:eastAsia="zh-CN"/>
              </w:rPr>
            </w:pPr>
          </w:p>
          <w:p w14:paraId="3C771AC0" w14:textId="59AC9215" w:rsidR="008922C7" w:rsidRPr="00B24172" w:rsidRDefault="008922C7" w:rsidP="009737DD">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Combination</w:t>
            </w:r>
          </w:p>
          <w:p w14:paraId="721EFBB8" w14:textId="4C6D1E99" w:rsidR="008922C7" w:rsidRPr="00B24172" w:rsidRDefault="008922C7" w:rsidP="009737DD">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of ICS,</w:t>
            </w:r>
          </w:p>
          <w:p w14:paraId="535E1C03" w14:textId="77777777" w:rsidR="008922C7" w:rsidRPr="00B24172" w:rsidRDefault="008922C7" w:rsidP="009737DD">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smoke hoods and LPG</w:t>
            </w:r>
          </w:p>
          <w:p w14:paraId="0504F7AC" w14:textId="79EB4FB7" w:rsidR="005C6410" w:rsidRPr="00B24172" w:rsidRDefault="005C6410" w:rsidP="009737DD">
            <w:pPr>
              <w:jc w:val="center"/>
            </w:pPr>
          </w:p>
        </w:tc>
        <w:tc>
          <w:tcPr>
            <w:tcW w:w="4480" w:type="dxa"/>
          </w:tcPr>
          <w:p w14:paraId="3B3C1B60" w14:textId="77777777" w:rsidR="005C6410" w:rsidRPr="00B24172" w:rsidRDefault="005C6410" w:rsidP="009737DD">
            <w:pPr>
              <w:autoSpaceDE w:val="0"/>
              <w:autoSpaceDN w:val="0"/>
              <w:adjustRightInd w:val="0"/>
              <w:rPr>
                <w:rFonts w:asciiTheme="majorBidi" w:hAnsiTheme="majorBidi" w:cstheme="majorBidi"/>
                <w:sz w:val="22"/>
                <w:szCs w:val="22"/>
                <w:lang w:val="en-NZ" w:eastAsia="zh-CN"/>
              </w:rPr>
            </w:pPr>
          </w:p>
          <w:p w14:paraId="5B9436A2" w14:textId="07B5FB36" w:rsidR="008922C7" w:rsidRPr="00B24172" w:rsidRDefault="008922C7" w:rsidP="009737DD">
            <w:pPr>
              <w:autoSpaceDE w:val="0"/>
              <w:autoSpaceDN w:val="0"/>
              <w:adjustRightInd w:val="0"/>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Kenya: BCR=21.4, NPV=977 USD</w:t>
            </w:r>
          </w:p>
          <w:p w14:paraId="35B9D6C0" w14:textId="77777777" w:rsidR="00584CCB" w:rsidRPr="00B24172" w:rsidRDefault="00584CCB" w:rsidP="009737DD">
            <w:pPr>
              <w:autoSpaceDE w:val="0"/>
              <w:autoSpaceDN w:val="0"/>
              <w:adjustRightInd w:val="0"/>
              <w:rPr>
                <w:rFonts w:asciiTheme="majorBidi" w:hAnsiTheme="majorBidi" w:cstheme="majorBidi"/>
                <w:sz w:val="10"/>
                <w:szCs w:val="10"/>
                <w:lang w:val="en-NZ" w:eastAsia="zh-CN"/>
              </w:rPr>
            </w:pPr>
          </w:p>
          <w:p w14:paraId="6000D937" w14:textId="09046BE5" w:rsidR="008922C7" w:rsidRPr="00B24172" w:rsidRDefault="008922C7" w:rsidP="009737DD">
            <w:pPr>
              <w:autoSpaceDE w:val="0"/>
              <w:autoSpaceDN w:val="0"/>
              <w:adjustRightInd w:val="0"/>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Sudan: BCR=2.5, NPV=226.7 USD</w:t>
            </w:r>
          </w:p>
          <w:p w14:paraId="2EC3E992" w14:textId="77777777" w:rsidR="00584CCB" w:rsidRPr="00B24172" w:rsidRDefault="00584CCB" w:rsidP="009737DD">
            <w:pPr>
              <w:autoSpaceDE w:val="0"/>
              <w:autoSpaceDN w:val="0"/>
              <w:adjustRightInd w:val="0"/>
              <w:rPr>
                <w:rFonts w:asciiTheme="majorBidi" w:hAnsiTheme="majorBidi" w:cstheme="majorBidi"/>
                <w:sz w:val="10"/>
                <w:szCs w:val="10"/>
                <w:lang w:val="en-NZ" w:eastAsia="zh-CN"/>
              </w:rPr>
            </w:pPr>
          </w:p>
          <w:p w14:paraId="4B2920C9" w14:textId="01E7A6D6" w:rsidR="008922C7" w:rsidRPr="00B24172" w:rsidRDefault="008922C7" w:rsidP="009737DD">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Nepal: BCR=1.4, NPV=29.6 USD</w:t>
            </w:r>
          </w:p>
          <w:p w14:paraId="768FD2B8" w14:textId="77427255" w:rsidR="008922C7" w:rsidRPr="00B24172" w:rsidRDefault="008922C7" w:rsidP="009737DD">
            <w:pPr>
              <w:rPr>
                <w:sz w:val="22"/>
                <w:szCs w:val="22"/>
              </w:rPr>
            </w:pPr>
          </w:p>
        </w:tc>
      </w:tr>
      <w:tr w:rsidR="008922C7" w:rsidRPr="00B24172" w14:paraId="13789347" w14:textId="77777777" w:rsidTr="00BE78F3">
        <w:tc>
          <w:tcPr>
            <w:tcW w:w="2070" w:type="dxa"/>
          </w:tcPr>
          <w:p w14:paraId="12F7E0AD" w14:textId="28369104" w:rsidR="008922C7" w:rsidRPr="00B24172" w:rsidRDefault="008922C7" w:rsidP="00850D73">
            <w:pPr>
              <w:rPr>
                <w:sz w:val="22"/>
                <w:szCs w:val="22"/>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val="en-NZ" w:eastAsia="zh-CN"/>
              </w:rPr>
              <w:instrText xml:space="preserve"> ADDIN ZOTERO_ITEM CSL_CITATION {"citationID":"V5KYOjb8","properties":{"formattedCitation":"(Garc\\uc0\\u237{}a-Frapolli et al., 2010)","plainCitation":"(García-Frapolli et al., 2010)","dontUpdate":true,"noteIndex":0},"citationItems":[{"id":"yPj1CNji/4D2CX344","uris":["http://zotero.org/users/2699952/items/WGB5NF6L"],"uri":["http://zotero.org/users/2699952/items/WGB5NF6L"],"itemData":{"id":1329,"type":"article-journal","title":"Beyond fuelwood savings: Valuing the economic benefits of introducing improved biomass cookstoves in the Purépecha region of Mexico","container-title":"Ecological Economics","page":"2598-2605","volume":"69","issue":"12","source":"ScienceDirect","abstract":"Half of the world population relies on biomass for cooking, with very significant health as well as climate change impacts. Improved cookstoves have been disseminated as an alternative to reduce these impacts. However, few detailed studies about the economic benefits of improved cookstoves (ICS) interventions, including environmental and health co-benefits, exist to date. In this paper we perform a comprehensive economic evaluation of a dissemination program of ICS in rural Mexico. The resulting cost–benefit analysis (CBA) of the Patsari improved cookstove is presented, utilizing estimation of direct costs and benefits, including fuelwood savings, income generation, health impacts, environmental conservation, and reduction in greenhouse gas emissions. The analysis is based on comprehensive data obtained through monitoring studies carried out in the Study Area from 2003 to the present. Results show that Patsari cookstoves represent a viable economic option for improving living conditions of the poorest inhabitants of rural Mexico, with benefit/cost ratios estimated between 11.4:1 and 9:1. The largest contributors to economic benefits stemmed from fuelwood savings and reductions in health impacts, which constituted 53% and 28% of the overall benefit, respectively.","DOI":"10.1016/j.ecolecon.2010.08.004","ISSN":"0921-8009","shortTitle":"Beyond fuelwood savings","journalAbbreviation":"Ecological Economics","author":[{"family":"García-Frapolli","given":"Eduardo"},{"family":"Schilmann","given":"Astrid"},{"family":"Berrueta","given":"Victor M."},{"family":"Riojas-Rodríguez","given":"Horacio"},{"family":"Edwards","given":"Rufus D."},{"family":"Johnson","given":"Michael"},{"family":"Guevara-Sanginés","given":"Alejandro"},{"family":"Armendariz","given":"Cynthia"},{"family":"Masera","given":"Omar"}],"issued":{"date-parts":[["2010",10,15]]}}}],"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sz w:val="22"/>
                <w:szCs w:val="22"/>
              </w:rPr>
              <w:t xml:space="preserve">García-Frapolli </w:t>
            </w:r>
          </w:p>
          <w:p w14:paraId="6D86B8A8" w14:textId="4B338811" w:rsidR="008922C7" w:rsidRPr="00B24172" w:rsidRDefault="008922C7" w:rsidP="00850D73">
            <w:pPr>
              <w:rPr>
                <w:sz w:val="22"/>
                <w:szCs w:val="22"/>
              </w:rPr>
            </w:pPr>
            <w:r w:rsidRPr="00B24172">
              <w:rPr>
                <w:i/>
                <w:sz w:val="22"/>
                <w:szCs w:val="22"/>
              </w:rPr>
              <w:t>et al.</w:t>
            </w:r>
            <w:r w:rsidRPr="00B24172">
              <w:rPr>
                <w:sz w:val="22"/>
                <w:szCs w:val="22"/>
              </w:rPr>
              <w:t xml:space="preserve"> 2010</w:t>
            </w:r>
            <w:r w:rsidRPr="00B24172">
              <w:rPr>
                <w:rFonts w:asciiTheme="majorBidi" w:hAnsiTheme="majorBidi" w:cstheme="majorBidi"/>
                <w:sz w:val="22"/>
                <w:szCs w:val="22"/>
                <w:lang w:val="en-NZ" w:eastAsia="zh-CN"/>
              </w:rPr>
              <w:fldChar w:fldCharType="end"/>
            </w:r>
          </w:p>
        </w:tc>
        <w:tc>
          <w:tcPr>
            <w:tcW w:w="907" w:type="dxa"/>
          </w:tcPr>
          <w:p w14:paraId="4A0E9F2B" w14:textId="7C487427" w:rsidR="008922C7" w:rsidRPr="00B24172" w:rsidRDefault="008922C7" w:rsidP="009737DD">
            <w:pPr>
              <w:jc w:val="center"/>
              <w:rPr>
                <w:sz w:val="22"/>
                <w:szCs w:val="22"/>
              </w:rPr>
            </w:pPr>
            <w:r w:rsidRPr="00B24172">
              <w:rPr>
                <w:rFonts w:asciiTheme="majorBidi" w:hAnsiTheme="majorBidi" w:cstheme="majorBidi"/>
                <w:sz w:val="22"/>
                <w:szCs w:val="22"/>
                <w:lang w:val="en-NZ" w:eastAsia="zh-CN"/>
              </w:rPr>
              <w:t>Mexico</w:t>
            </w:r>
          </w:p>
        </w:tc>
        <w:tc>
          <w:tcPr>
            <w:tcW w:w="1559" w:type="dxa"/>
          </w:tcPr>
          <w:p w14:paraId="11FDF792" w14:textId="67465AFF" w:rsidR="008922C7" w:rsidRPr="00B24172" w:rsidRDefault="008922C7" w:rsidP="009737DD">
            <w:pPr>
              <w:jc w:val="center"/>
            </w:pPr>
            <w:r w:rsidRPr="00B24172">
              <w:rPr>
                <w:rFonts w:asciiTheme="majorBidi" w:hAnsiTheme="majorBidi" w:cstheme="majorBidi"/>
                <w:sz w:val="22"/>
                <w:szCs w:val="22"/>
                <w:lang w:val="en-NZ" w:eastAsia="zh-CN"/>
              </w:rPr>
              <w:t>ICS</w:t>
            </w:r>
          </w:p>
        </w:tc>
        <w:tc>
          <w:tcPr>
            <w:tcW w:w="4480" w:type="dxa"/>
          </w:tcPr>
          <w:p w14:paraId="208A731B" w14:textId="6C8D4DF7" w:rsidR="00584CCB" w:rsidRPr="00B24172" w:rsidRDefault="008922C7" w:rsidP="009737DD">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 xml:space="preserve">BCR= 9 to 11.4 (estimated for 7 </w:t>
            </w:r>
            <w:r w:rsidR="00AF1006" w:rsidRPr="00B24172">
              <w:rPr>
                <w:rFonts w:asciiTheme="majorBidi" w:hAnsiTheme="majorBidi" w:cstheme="majorBidi"/>
                <w:sz w:val="22"/>
                <w:szCs w:val="22"/>
                <w:lang w:val="en-NZ" w:eastAsia="zh-CN"/>
              </w:rPr>
              <w:t xml:space="preserve">and 14 </w:t>
            </w:r>
            <w:r w:rsidRPr="00B24172">
              <w:rPr>
                <w:rFonts w:asciiTheme="majorBidi" w:hAnsiTheme="majorBidi" w:cstheme="majorBidi"/>
                <w:sz w:val="22"/>
                <w:szCs w:val="22"/>
                <w:lang w:val="en-NZ" w:eastAsia="zh-CN"/>
              </w:rPr>
              <w:t>years</w:t>
            </w:r>
            <w:r w:rsidR="00AF1006" w:rsidRPr="00B24172">
              <w:rPr>
                <w:rFonts w:asciiTheme="majorBidi" w:hAnsiTheme="majorBidi" w:cstheme="majorBidi"/>
                <w:sz w:val="22"/>
                <w:szCs w:val="22"/>
                <w:lang w:val="en-NZ" w:eastAsia="zh-CN"/>
              </w:rPr>
              <w:t>)</w:t>
            </w:r>
            <w:r w:rsidRPr="00B24172">
              <w:rPr>
                <w:rFonts w:asciiTheme="majorBidi" w:hAnsiTheme="majorBidi" w:cstheme="majorBidi"/>
                <w:sz w:val="22"/>
                <w:szCs w:val="22"/>
                <w:lang w:val="en-NZ" w:eastAsia="zh-CN"/>
              </w:rPr>
              <w:t xml:space="preserve"> </w:t>
            </w:r>
          </w:p>
          <w:p w14:paraId="1D91DE6B" w14:textId="03F4F4D8" w:rsidR="008922C7" w:rsidRPr="00B24172" w:rsidRDefault="008922C7" w:rsidP="009737DD">
            <w:pPr>
              <w:rPr>
                <w:rFonts w:asciiTheme="majorBidi" w:hAnsiTheme="majorBidi" w:cstheme="majorBidi"/>
                <w:sz w:val="22"/>
                <w:szCs w:val="22"/>
                <w:lang w:val="en-NZ" w:eastAsia="zh-CN"/>
              </w:rPr>
            </w:pPr>
          </w:p>
          <w:p w14:paraId="729F3B00" w14:textId="03DBAD3E" w:rsidR="008922C7" w:rsidRPr="00B24172" w:rsidRDefault="008922C7" w:rsidP="009737DD">
            <w:pPr>
              <w:rPr>
                <w:sz w:val="22"/>
                <w:szCs w:val="22"/>
              </w:rPr>
            </w:pPr>
          </w:p>
        </w:tc>
      </w:tr>
      <w:tr w:rsidR="008922C7" w:rsidRPr="00B24172" w14:paraId="11B3481F" w14:textId="77777777" w:rsidTr="00BE78F3">
        <w:tc>
          <w:tcPr>
            <w:tcW w:w="2070" w:type="dxa"/>
          </w:tcPr>
          <w:p w14:paraId="49E19B4B" w14:textId="0FA96B52" w:rsidR="008922C7" w:rsidRPr="00B24172" w:rsidRDefault="008922C7" w:rsidP="00850D73">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fldChar w:fldCharType="begin"/>
            </w:r>
            <w:r w:rsidR="00A260FD" w:rsidRPr="00B24172">
              <w:rPr>
                <w:rFonts w:asciiTheme="majorBidi" w:hAnsiTheme="majorBidi" w:cstheme="majorBidi"/>
                <w:sz w:val="22"/>
                <w:szCs w:val="22"/>
                <w:lang w:val="en-NZ" w:eastAsia="zh-CN"/>
              </w:rPr>
              <w:instrText xml:space="preserve"> ADDIN ZOTERO_ITEM CSL_CITATION {"citationID":"13YICkcN","properties":{"formattedCitation":"(Limmeechokchai &amp; Chawana, 2007)","plainCitation":"(Limmeechokchai &amp; Chawana, 2007)","dontUpdate":true,"noteIndex":0},"citationItems":[{"id":"yPj1CNji/LJgAdpgX","uris":["http://zotero.org/users/2699952/items/EYBLCGMA"],"uri":["http://zotero.org/users/2699952/items/EYBLCGMA"],"itemData":{"id":1376,"type":"article-journal","title":"Sustainable energy development strategies in the rural Thailand: The case of the improved cooking stove and the small biogas digester","container-title":"Renewable and Sustainable Energy Reviews","page":"818-837","volume":"11","issue":"5","source":"ScienceDirect","abstract":"This paper presents the strategies to overcome barriers to the adoption of improved cooking stove (ICS) and small biogas digester (SBD) technologies in Thailand. Firstly, to obtain the appropriate strategies to implement the ICS and the SBD, a pattern of energy consumption in the residential sector is investigated. Then the potential of reduction of energy consumption and corresponding emissions by the ICS and the SBD is assessed. The identification and ranking of barriers to the adoption of the ICS and the SBD technologies are also investigated. In this study the Long-range Energy Alternatives Planning System (LEAP) model is used to assess the energy consumption and the corresponding emissions reduction. Then, the Analytic Hierarchy Process (AHP) model is used to identify and rank the barriers. Results from the LEAP model show that the cumulative total energy consumption and corresponding emissions reductions during the period 2002–2030 by the ICS are 27,887.7 ktoe and 10,041.0 thousand tonnes of CO2 equivalent, respectively. An average emissions reduction cost per tonne of CO2 equivalent per year is US$ 0.95 for a fuel wood cooking stove and US$ 0.35 for a charcoal cooking stove. Regarding the SBD, the cumulative total liquefied petroleum gas (LPG) consumption reduction and CO2 mitigation are 5780.9ktoe and 1548.8 thousand tonnes of CO2 equivalent during the period 2002–2030, respectively. Results from AHP analysis of ranking of barriers show that the three most important barriers in the adoption of the ICS are (i) high investment cost, (ii) lack of information, and (iii) lack of financial sources. For the SBD, the three most important barriers are (i) high investment cost, (ii) lack of financial sources, and (iii) lack of experts and skilled manpower. The sustainable energy triangle strategy (SETS) is implemented to overcome barriers in the adoption of the ICS. Results show that the traditional cooking stoves are successfully replaced (more than 20% per year). Regarding the SBD, the biogas pool project (BPP) is implemented to resolve the over supply of biogas. Results also show that the BPP is a proper strategy.","DOI":"10.1016/j.rser.2005.06.002","ISSN":"1364-0321","shortTitle":"Sustainable energy development strategies in the rural Thailand","journalAbbreviation":"Renewable and Sustainable Energy Reviews","author":[{"family":"Limmeechokchai","given":"Bundit"},{"family":"Chawana","given":"Saichit"}],"issued":{"date-parts":[["2007",6,1]]}}}],"schema":"https://github.com/citation-style-language/schema/raw/master/csl-citation.json"} </w:instrText>
            </w:r>
            <w:r w:rsidRPr="00B24172">
              <w:rPr>
                <w:rFonts w:asciiTheme="majorBidi" w:hAnsiTheme="majorBidi" w:cstheme="majorBidi"/>
                <w:sz w:val="22"/>
                <w:szCs w:val="22"/>
                <w:lang w:val="en-NZ" w:eastAsia="zh-CN"/>
              </w:rPr>
              <w:fldChar w:fldCharType="separate"/>
            </w:r>
            <w:r w:rsidRPr="00B24172">
              <w:rPr>
                <w:sz w:val="22"/>
                <w:szCs w:val="22"/>
              </w:rPr>
              <w:t xml:space="preserve">Limmeechokchai </w:t>
            </w:r>
            <w:r w:rsidR="00262E0F" w:rsidRPr="00B24172">
              <w:rPr>
                <w:sz w:val="22"/>
                <w:szCs w:val="22"/>
              </w:rPr>
              <w:t xml:space="preserve">and </w:t>
            </w:r>
            <w:r w:rsidRPr="00B24172">
              <w:rPr>
                <w:sz w:val="22"/>
                <w:szCs w:val="22"/>
              </w:rPr>
              <w:t>Chawana 2007</w:t>
            </w:r>
            <w:r w:rsidRPr="00B24172">
              <w:rPr>
                <w:rFonts w:asciiTheme="majorBidi" w:hAnsiTheme="majorBidi" w:cstheme="majorBidi"/>
                <w:sz w:val="22"/>
                <w:szCs w:val="22"/>
                <w:lang w:val="en-NZ" w:eastAsia="zh-CN"/>
              </w:rPr>
              <w:fldChar w:fldCharType="end"/>
            </w:r>
          </w:p>
          <w:p w14:paraId="5FE1994D" w14:textId="1571CD67" w:rsidR="00262E0F" w:rsidRPr="00B24172" w:rsidRDefault="00262E0F" w:rsidP="00850D73">
            <w:pPr>
              <w:rPr>
                <w:sz w:val="22"/>
                <w:szCs w:val="22"/>
              </w:rPr>
            </w:pPr>
          </w:p>
        </w:tc>
        <w:tc>
          <w:tcPr>
            <w:tcW w:w="907" w:type="dxa"/>
          </w:tcPr>
          <w:p w14:paraId="6090C87F" w14:textId="029CE479" w:rsidR="008922C7" w:rsidRPr="00B24172" w:rsidRDefault="008922C7" w:rsidP="009737DD">
            <w:pPr>
              <w:jc w:val="center"/>
              <w:rPr>
                <w:sz w:val="22"/>
                <w:szCs w:val="22"/>
              </w:rPr>
            </w:pPr>
            <w:r w:rsidRPr="00B24172">
              <w:rPr>
                <w:rFonts w:asciiTheme="majorBidi" w:hAnsiTheme="majorBidi" w:cstheme="majorBidi"/>
                <w:sz w:val="22"/>
                <w:szCs w:val="22"/>
                <w:lang w:val="en-NZ" w:eastAsia="zh-CN"/>
              </w:rPr>
              <w:t>Thailand</w:t>
            </w:r>
          </w:p>
        </w:tc>
        <w:tc>
          <w:tcPr>
            <w:tcW w:w="1559" w:type="dxa"/>
          </w:tcPr>
          <w:p w14:paraId="7FF77D4E" w14:textId="111DCF5E" w:rsidR="008922C7" w:rsidRPr="00B24172" w:rsidRDefault="008922C7" w:rsidP="009737DD">
            <w:pPr>
              <w:jc w:val="center"/>
            </w:pPr>
            <w:r w:rsidRPr="00B24172">
              <w:rPr>
                <w:rFonts w:asciiTheme="majorBidi" w:hAnsiTheme="majorBidi" w:cstheme="majorBidi"/>
                <w:sz w:val="22"/>
                <w:szCs w:val="22"/>
                <w:lang w:val="en-NZ" w:eastAsia="zh-CN"/>
              </w:rPr>
              <w:t>Biogas</w:t>
            </w:r>
          </w:p>
        </w:tc>
        <w:tc>
          <w:tcPr>
            <w:tcW w:w="4480" w:type="dxa"/>
          </w:tcPr>
          <w:p w14:paraId="01BCFB2C" w14:textId="77777777" w:rsidR="00584CCB" w:rsidRPr="00B24172" w:rsidRDefault="008922C7" w:rsidP="009737DD">
            <w:pPr>
              <w:rPr>
                <w:rFonts w:asciiTheme="majorBidi" w:hAnsiTheme="majorBidi" w:cstheme="majorBidi"/>
                <w:sz w:val="22"/>
                <w:szCs w:val="22"/>
                <w:lang w:eastAsia="zh-CN"/>
              </w:rPr>
            </w:pPr>
            <w:r w:rsidRPr="00B24172">
              <w:rPr>
                <w:rFonts w:asciiTheme="majorBidi" w:hAnsiTheme="majorBidi" w:cstheme="majorBidi"/>
                <w:sz w:val="22"/>
                <w:szCs w:val="22"/>
                <w:lang w:eastAsia="zh-CN"/>
              </w:rPr>
              <w:t xml:space="preserve">BCR= 1.58 to 1.67 </w:t>
            </w:r>
          </w:p>
          <w:p w14:paraId="474C4F0D" w14:textId="7A6EA500" w:rsidR="008922C7" w:rsidRPr="00B24172" w:rsidRDefault="008922C7" w:rsidP="009737DD">
            <w:pPr>
              <w:rPr>
                <w:rFonts w:asciiTheme="majorBidi" w:hAnsiTheme="majorBidi" w:cstheme="majorBidi"/>
                <w:sz w:val="22"/>
                <w:szCs w:val="22"/>
                <w:lang w:eastAsia="zh-CN"/>
              </w:rPr>
            </w:pPr>
            <w:r w:rsidRPr="00B24172">
              <w:rPr>
                <w:rFonts w:asciiTheme="majorBidi" w:hAnsiTheme="majorBidi" w:cstheme="majorBidi"/>
                <w:sz w:val="22"/>
                <w:szCs w:val="22"/>
                <w:lang w:eastAsia="zh-CN"/>
              </w:rPr>
              <w:t xml:space="preserve">NPV= 852 to 5271 USD at 12% </w:t>
            </w:r>
          </w:p>
          <w:p w14:paraId="6F5F0FD7" w14:textId="000E7FDF" w:rsidR="008922C7" w:rsidRPr="00B24172" w:rsidRDefault="008922C7" w:rsidP="009737DD">
            <w:pPr>
              <w:rPr>
                <w:sz w:val="22"/>
                <w:szCs w:val="22"/>
              </w:rPr>
            </w:pPr>
          </w:p>
        </w:tc>
      </w:tr>
    </w:tbl>
    <w:p w14:paraId="192EE59F" w14:textId="61B145DF" w:rsidR="00120E4B" w:rsidRPr="00B24172" w:rsidRDefault="00E869D3" w:rsidP="009737DD">
      <w:pPr>
        <w:rPr>
          <w:sz w:val="22"/>
          <w:szCs w:val="22"/>
        </w:rPr>
        <w:sectPr w:rsidR="00120E4B" w:rsidRPr="00B24172" w:rsidSect="00047837">
          <w:footerReference w:type="default" r:id="rId8"/>
          <w:pgSz w:w="11906" w:h="16838" w:code="9"/>
          <w:pgMar w:top="1440" w:right="1440" w:bottom="1440" w:left="1440" w:header="709" w:footer="709" w:gutter="0"/>
          <w:cols w:space="708"/>
          <w:titlePg/>
          <w:docGrid w:linePitch="360"/>
        </w:sectPr>
      </w:pPr>
      <w:r w:rsidRPr="00B24172">
        <w:rPr>
          <w:sz w:val="22"/>
          <w:szCs w:val="22"/>
        </w:rPr>
        <w:t>Notes: BCR = Benefit-Cost Ratio; NPV  = Net Present Value</w:t>
      </w:r>
    </w:p>
    <w:p w14:paraId="1460388A" w14:textId="5A041669" w:rsidR="00367EDB" w:rsidRPr="00B24172" w:rsidRDefault="009737DD" w:rsidP="00BF2AB8">
      <w:pPr>
        <w:pStyle w:val="Heading1"/>
        <w:numPr>
          <w:ilvl w:val="0"/>
          <w:numId w:val="20"/>
        </w:numPr>
        <w:spacing w:before="0" w:after="0" w:line="288" w:lineRule="auto"/>
        <w:rPr>
          <w:sz w:val="24"/>
          <w:szCs w:val="28"/>
          <w:lang w:val="en-NZ"/>
        </w:rPr>
      </w:pPr>
      <w:bookmarkStart w:id="3" w:name="_Toc443491024"/>
      <w:r w:rsidRPr="00B24172">
        <w:rPr>
          <w:sz w:val="24"/>
          <w:szCs w:val="28"/>
          <w:lang w:val="en-NZ"/>
        </w:rPr>
        <w:lastRenderedPageBreak/>
        <w:t>Data</w:t>
      </w:r>
    </w:p>
    <w:p w14:paraId="7DFE4D36" w14:textId="77777777" w:rsidR="00584CCB" w:rsidRPr="00B24172" w:rsidRDefault="00584CCB" w:rsidP="00BF2AB8">
      <w:pPr>
        <w:spacing w:line="288" w:lineRule="auto"/>
        <w:jc w:val="both"/>
        <w:rPr>
          <w:sz w:val="12"/>
          <w:szCs w:val="12"/>
          <w:lang w:val="en-NZ"/>
        </w:rPr>
      </w:pPr>
    </w:p>
    <w:p w14:paraId="30A966B6" w14:textId="437616BE" w:rsidR="00584CCB" w:rsidRPr="00B24172" w:rsidRDefault="00E869D3" w:rsidP="00E869D3">
      <w:pPr>
        <w:spacing w:line="288" w:lineRule="auto"/>
        <w:jc w:val="both"/>
        <w:rPr>
          <w:lang w:val="en-NZ"/>
        </w:rPr>
      </w:pPr>
      <w:r w:rsidRPr="00B24172">
        <w:rPr>
          <w:lang w:val="en-NZ"/>
        </w:rPr>
        <w:t>Estimating the benefit-cost ratio for IAP interventions requires estimates of both benefits and costs. We draw from v</w:t>
      </w:r>
      <w:r w:rsidR="00367EDB" w:rsidRPr="00B24172">
        <w:rPr>
          <w:lang w:val="en-NZ"/>
        </w:rPr>
        <w:t xml:space="preserve">arious data sources </w:t>
      </w:r>
      <w:r w:rsidRPr="00B24172">
        <w:rPr>
          <w:lang w:val="en-NZ"/>
        </w:rPr>
        <w:t>to make those estimates</w:t>
      </w:r>
      <w:r w:rsidR="00BA3553" w:rsidRPr="00B24172">
        <w:rPr>
          <w:lang w:val="en-NZ"/>
        </w:rPr>
        <w:t>. The</w:t>
      </w:r>
      <w:r w:rsidR="00367EDB" w:rsidRPr="00B24172">
        <w:rPr>
          <w:lang w:val="en-NZ"/>
        </w:rPr>
        <w:t xml:space="preserve"> Pakistan Social Living Measurement Survey (PSLM, 2014) was used to estimate the total consumption of solid fuels, prices of the fuels, and households</w:t>
      </w:r>
      <w:r w:rsidR="00734648" w:rsidRPr="00B24172">
        <w:rPr>
          <w:lang w:val="en-NZ"/>
        </w:rPr>
        <w:t>’</w:t>
      </w:r>
      <w:r w:rsidR="00367EDB" w:rsidRPr="00B24172">
        <w:rPr>
          <w:lang w:val="en-NZ"/>
        </w:rPr>
        <w:t xml:space="preserve"> dependence on clean and </w:t>
      </w:r>
      <w:r w:rsidR="00BA3553" w:rsidRPr="00B24172">
        <w:rPr>
          <w:lang w:val="en-NZ"/>
        </w:rPr>
        <w:t xml:space="preserve">solid </w:t>
      </w:r>
      <w:r w:rsidR="00367EDB" w:rsidRPr="00B24172">
        <w:rPr>
          <w:lang w:val="en-NZ"/>
        </w:rPr>
        <w:t>fuels</w:t>
      </w:r>
      <w:r w:rsidRPr="00B24172">
        <w:rPr>
          <w:lang w:val="en-NZ"/>
        </w:rPr>
        <w:t xml:space="preserve"> (see also Irfan et al., 2017b)</w:t>
      </w:r>
      <w:r w:rsidR="00367EDB" w:rsidRPr="00B24172">
        <w:rPr>
          <w:lang w:val="en-NZ"/>
        </w:rPr>
        <w:t xml:space="preserve">. </w:t>
      </w:r>
      <w:r w:rsidR="00BA76B5" w:rsidRPr="00B24172">
        <w:rPr>
          <w:lang w:val="en-NZ"/>
        </w:rPr>
        <w:t xml:space="preserve">To collect information about </w:t>
      </w:r>
      <w:r w:rsidR="00367EDB" w:rsidRPr="00B24172">
        <w:rPr>
          <w:lang w:val="en-NZ"/>
        </w:rPr>
        <w:t>the cost</w:t>
      </w:r>
      <w:r w:rsidRPr="00B24172">
        <w:rPr>
          <w:lang w:val="en-NZ"/>
        </w:rPr>
        <w:t>s</w:t>
      </w:r>
      <w:r w:rsidR="00367EDB" w:rsidRPr="00B24172">
        <w:rPr>
          <w:lang w:val="en-NZ"/>
        </w:rPr>
        <w:t xml:space="preserve"> and benefits </w:t>
      </w:r>
      <w:r w:rsidR="00734648" w:rsidRPr="00B24172">
        <w:rPr>
          <w:lang w:val="en-NZ"/>
        </w:rPr>
        <w:t xml:space="preserve">of the interventions, </w:t>
      </w:r>
      <w:r w:rsidR="00367EDB" w:rsidRPr="00B24172">
        <w:rPr>
          <w:lang w:val="en-NZ"/>
        </w:rPr>
        <w:t xml:space="preserve">we </w:t>
      </w:r>
      <w:r w:rsidRPr="00B24172">
        <w:rPr>
          <w:lang w:val="en-NZ"/>
        </w:rPr>
        <w:t>used data from</w:t>
      </w:r>
      <w:r w:rsidR="00367EDB" w:rsidRPr="00B24172">
        <w:rPr>
          <w:lang w:val="en-NZ"/>
        </w:rPr>
        <w:t xml:space="preserve"> </w:t>
      </w:r>
      <w:r w:rsidR="00BA3553" w:rsidRPr="00B24172">
        <w:rPr>
          <w:lang w:val="en-NZ"/>
        </w:rPr>
        <w:t xml:space="preserve">the </w:t>
      </w:r>
      <w:r w:rsidR="00367EDB" w:rsidRPr="00B24172">
        <w:rPr>
          <w:lang w:val="en-NZ"/>
        </w:rPr>
        <w:t>Rural Support Program Network (RSPN)</w:t>
      </w:r>
      <w:r w:rsidR="00BA3553" w:rsidRPr="00B24172">
        <w:rPr>
          <w:lang w:val="en-NZ"/>
        </w:rPr>
        <w:t>,</w:t>
      </w:r>
      <w:r w:rsidR="00367EDB" w:rsidRPr="00B24172">
        <w:rPr>
          <w:lang w:val="en-NZ"/>
        </w:rPr>
        <w:t xml:space="preserve"> Bio Energy Technology Application Pakistan (</w:t>
      </w:r>
      <w:proofErr w:type="spellStart"/>
      <w:r w:rsidR="00367EDB" w:rsidRPr="00B24172">
        <w:rPr>
          <w:lang w:val="en-NZ"/>
        </w:rPr>
        <w:t>BETAPak</w:t>
      </w:r>
      <w:proofErr w:type="spellEnd"/>
      <w:r w:rsidR="00367EDB" w:rsidRPr="00B24172">
        <w:rPr>
          <w:lang w:val="en-NZ"/>
        </w:rPr>
        <w:t xml:space="preserve">), </w:t>
      </w:r>
      <w:r w:rsidR="00BA76B5" w:rsidRPr="00B24172">
        <w:rPr>
          <w:lang w:val="en-NZ"/>
        </w:rPr>
        <w:t xml:space="preserve">and </w:t>
      </w:r>
      <w:r w:rsidR="00367EDB" w:rsidRPr="00B24172">
        <w:rPr>
          <w:lang w:val="en-NZ"/>
        </w:rPr>
        <w:t xml:space="preserve">Pakistan Council of Renewable Energy Technologies (PCRET). </w:t>
      </w:r>
      <w:r w:rsidR="00BA3553" w:rsidRPr="00B24172">
        <w:rPr>
          <w:lang w:val="en-NZ"/>
        </w:rPr>
        <w:t>Mortality</w:t>
      </w:r>
      <w:r w:rsidR="00BA76B5" w:rsidRPr="00B24172">
        <w:rPr>
          <w:lang w:val="en-NZ"/>
        </w:rPr>
        <w:t xml:space="preserve"> and </w:t>
      </w:r>
      <w:r w:rsidR="00BA3553" w:rsidRPr="00B24172">
        <w:rPr>
          <w:lang w:val="en-NZ"/>
        </w:rPr>
        <w:t xml:space="preserve">morbidity data </w:t>
      </w:r>
      <w:r w:rsidR="00BA76B5" w:rsidRPr="00B24172">
        <w:rPr>
          <w:lang w:val="en-NZ"/>
        </w:rPr>
        <w:t xml:space="preserve">were </w:t>
      </w:r>
      <w:r w:rsidR="00734648" w:rsidRPr="00B24172">
        <w:rPr>
          <w:lang w:val="en-NZ"/>
        </w:rPr>
        <w:t xml:space="preserve">obtained </w:t>
      </w:r>
      <w:r w:rsidR="00BA76B5" w:rsidRPr="00B24172">
        <w:rPr>
          <w:lang w:val="en-NZ"/>
        </w:rPr>
        <w:t xml:space="preserve">from the World Health Organization. </w:t>
      </w:r>
    </w:p>
    <w:p w14:paraId="4AF055B9" w14:textId="77777777" w:rsidR="00584CCB" w:rsidRPr="00B24172" w:rsidRDefault="00584CCB" w:rsidP="00BF2AB8">
      <w:pPr>
        <w:spacing w:line="288" w:lineRule="auto"/>
        <w:jc w:val="both"/>
        <w:rPr>
          <w:lang w:val="en-NZ"/>
        </w:rPr>
      </w:pPr>
    </w:p>
    <w:p w14:paraId="4A65AF91" w14:textId="1A5CC81D" w:rsidR="00367EDB" w:rsidRPr="00B24172" w:rsidRDefault="00BA76B5" w:rsidP="00E869D3">
      <w:pPr>
        <w:spacing w:line="288" w:lineRule="auto"/>
        <w:ind w:firstLine="360"/>
        <w:jc w:val="both"/>
        <w:rPr>
          <w:lang w:val="en-NZ"/>
        </w:rPr>
      </w:pPr>
      <w:r w:rsidRPr="00B24172">
        <w:rPr>
          <w:lang w:val="en-NZ"/>
        </w:rPr>
        <w:t xml:space="preserve">Demographic variables such as region, age, </w:t>
      </w:r>
      <w:r w:rsidR="00BA3553" w:rsidRPr="00B24172">
        <w:rPr>
          <w:lang w:val="en-NZ"/>
        </w:rPr>
        <w:t xml:space="preserve">and </w:t>
      </w:r>
      <w:r w:rsidRPr="00B24172">
        <w:rPr>
          <w:lang w:val="en-NZ"/>
        </w:rPr>
        <w:t xml:space="preserve">working age were </w:t>
      </w:r>
      <w:r w:rsidR="00734648" w:rsidRPr="00B24172">
        <w:rPr>
          <w:lang w:val="en-NZ"/>
        </w:rPr>
        <w:t xml:space="preserve">obtained </w:t>
      </w:r>
      <w:r w:rsidRPr="00B24172">
        <w:rPr>
          <w:lang w:val="en-NZ"/>
        </w:rPr>
        <w:t xml:space="preserve">from Pakistan </w:t>
      </w:r>
      <w:r w:rsidR="00BA3553" w:rsidRPr="00B24172">
        <w:rPr>
          <w:lang w:val="en-NZ"/>
        </w:rPr>
        <w:t>B</w:t>
      </w:r>
      <w:r w:rsidRPr="00B24172">
        <w:rPr>
          <w:lang w:val="en-NZ"/>
        </w:rPr>
        <w:t xml:space="preserve">ureau of </w:t>
      </w:r>
      <w:r w:rsidR="00BA3553" w:rsidRPr="00B24172">
        <w:rPr>
          <w:lang w:val="en-NZ"/>
        </w:rPr>
        <w:t>S</w:t>
      </w:r>
      <w:r w:rsidRPr="00B24172">
        <w:rPr>
          <w:lang w:val="en-NZ"/>
        </w:rPr>
        <w:t xml:space="preserve">tatistics. </w:t>
      </w:r>
      <w:r w:rsidR="00E869D3" w:rsidRPr="00B24172">
        <w:rPr>
          <w:lang w:val="en-NZ"/>
        </w:rPr>
        <w:t xml:space="preserve">The total population of children was obtained from the United Nation’s Population Division. </w:t>
      </w:r>
      <w:r w:rsidRPr="00B24172">
        <w:rPr>
          <w:lang w:val="en-NZ"/>
        </w:rPr>
        <w:t>Per-capita income, total population, and average household</w:t>
      </w:r>
      <w:r w:rsidR="00734648" w:rsidRPr="00B24172">
        <w:rPr>
          <w:lang w:val="en-NZ"/>
        </w:rPr>
        <w:t xml:space="preserve"> size</w:t>
      </w:r>
      <w:r w:rsidRPr="00B24172">
        <w:rPr>
          <w:lang w:val="en-NZ"/>
        </w:rPr>
        <w:t xml:space="preserve"> were </w:t>
      </w:r>
      <w:r w:rsidR="00E869D3" w:rsidRPr="00B24172">
        <w:rPr>
          <w:lang w:val="en-NZ"/>
        </w:rPr>
        <w:t xml:space="preserve">obtained </w:t>
      </w:r>
      <w:r w:rsidRPr="00B24172">
        <w:rPr>
          <w:lang w:val="en-NZ"/>
        </w:rPr>
        <w:t xml:space="preserve">from </w:t>
      </w:r>
      <w:r w:rsidR="00BA3553" w:rsidRPr="00B24172">
        <w:rPr>
          <w:lang w:val="en-NZ"/>
        </w:rPr>
        <w:t xml:space="preserve">the </w:t>
      </w:r>
      <w:r w:rsidRPr="00B24172">
        <w:rPr>
          <w:lang w:val="en-NZ"/>
        </w:rPr>
        <w:t xml:space="preserve">World Bank. </w:t>
      </w:r>
      <w:r w:rsidR="00BA3553" w:rsidRPr="00B24172">
        <w:rPr>
          <w:lang w:val="en-NZ"/>
        </w:rPr>
        <w:t>E</w:t>
      </w:r>
      <w:r w:rsidRPr="00B24172">
        <w:rPr>
          <w:lang w:val="en-NZ"/>
        </w:rPr>
        <w:t xml:space="preserve">lectricity prices and natural gas connection charges were </w:t>
      </w:r>
      <w:r w:rsidR="00734648" w:rsidRPr="00B24172">
        <w:rPr>
          <w:lang w:val="en-NZ"/>
        </w:rPr>
        <w:t xml:space="preserve">obtained </w:t>
      </w:r>
      <w:r w:rsidRPr="00B24172">
        <w:rPr>
          <w:lang w:val="en-NZ"/>
        </w:rPr>
        <w:t xml:space="preserve">from </w:t>
      </w:r>
      <w:r w:rsidR="00734648" w:rsidRPr="00B24172">
        <w:rPr>
          <w:lang w:val="en-NZ"/>
        </w:rPr>
        <w:t xml:space="preserve">the </w:t>
      </w:r>
      <w:r w:rsidRPr="00B24172">
        <w:rPr>
          <w:lang w:val="en-NZ"/>
        </w:rPr>
        <w:t>Ministry of Water and Supply</w:t>
      </w:r>
      <w:r w:rsidR="00734648" w:rsidRPr="00B24172">
        <w:rPr>
          <w:lang w:val="en-NZ"/>
        </w:rPr>
        <w:t>,</w:t>
      </w:r>
      <w:r w:rsidRPr="00B24172">
        <w:rPr>
          <w:lang w:val="en-NZ"/>
        </w:rPr>
        <w:t xml:space="preserve"> and Sui Northern Gas Pipelines </w:t>
      </w:r>
      <w:r w:rsidR="00734648" w:rsidRPr="00B24172">
        <w:rPr>
          <w:lang w:val="en-NZ"/>
        </w:rPr>
        <w:t>L</w:t>
      </w:r>
      <w:r w:rsidRPr="00B24172">
        <w:rPr>
          <w:lang w:val="en-NZ"/>
        </w:rPr>
        <w:t>imited (SNGPL)</w:t>
      </w:r>
      <w:r w:rsidR="00734648" w:rsidRPr="00B24172">
        <w:rPr>
          <w:lang w:val="en-NZ"/>
        </w:rPr>
        <w:t>,</w:t>
      </w:r>
      <w:r w:rsidRPr="00B24172">
        <w:rPr>
          <w:lang w:val="en-NZ"/>
        </w:rPr>
        <w:t xml:space="preserve"> respectively. </w:t>
      </w:r>
      <w:r w:rsidR="00734648" w:rsidRPr="00B24172">
        <w:rPr>
          <w:lang w:val="en-NZ"/>
        </w:rPr>
        <w:t>Finally</w:t>
      </w:r>
      <w:r w:rsidRPr="00B24172">
        <w:rPr>
          <w:lang w:val="en-NZ"/>
        </w:rPr>
        <w:t xml:space="preserve">, </w:t>
      </w:r>
      <w:r w:rsidR="00BA3553" w:rsidRPr="00B24172">
        <w:rPr>
          <w:lang w:val="en-NZ"/>
        </w:rPr>
        <w:t xml:space="preserve">the </w:t>
      </w:r>
      <w:r w:rsidRPr="00B24172">
        <w:rPr>
          <w:lang w:val="en-NZ"/>
        </w:rPr>
        <w:t xml:space="preserve">number of days spent </w:t>
      </w:r>
      <w:r w:rsidR="00BA3553" w:rsidRPr="00B24172">
        <w:rPr>
          <w:lang w:val="en-NZ"/>
        </w:rPr>
        <w:t xml:space="preserve">in </w:t>
      </w:r>
      <w:r w:rsidRPr="00B24172">
        <w:rPr>
          <w:lang w:val="en-NZ"/>
        </w:rPr>
        <w:t xml:space="preserve">bed because of illness, fuel collection time, time spent on economic activity, </w:t>
      </w:r>
      <w:r w:rsidR="00734648" w:rsidRPr="00B24172">
        <w:rPr>
          <w:lang w:val="en-NZ"/>
        </w:rPr>
        <w:t xml:space="preserve">the </w:t>
      </w:r>
      <w:r w:rsidR="00BA3553" w:rsidRPr="00B24172">
        <w:rPr>
          <w:lang w:val="en-NZ"/>
        </w:rPr>
        <w:t>o</w:t>
      </w:r>
      <w:r w:rsidRPr="00B24172">
        <w:rPr>
          <w:lang w:val="en-NZ"/>
        </w:rPr>
        <w:t xml:space="preserve">perating cost of biogas plants, LPG, natural gas, electricity, </w:t>
      </w:r>
      <w:r w:rsidR="00734648" w:rsidRPr="00B24172">
        <w:rPr>
          <w:lang w:val="en-NZ"/>
        </w:rPr>
        <w:t xml:space="preserve">the </w:t>
      </w:r>
      <w:r w:rsidRPr="00B24172">
        <w:rPr>
          <w:lang w:val="en-NZ"/>
        </w:rPr>
        <w:t>fixed cost</w:t>
      </w:r>
      <w:r w:rsidR="00734648" w:rsidRPr="00B24172">
        <w:rPr>
          <w:lang w:val="en-NZ"/>
        </w:rPr>
        <w:t>s</w:t>
      </w:r>
      <w:r w:rsidRPr="00B24172">
        <w:rPr>
          <w:lang w:val="en-NZ"/>
        </w:rPr>
        <w:t xml:space="preserve"> of LPG, natural gas, and electric </w:t>
      </w:r>
      <w:r w:rsidR="00482642" w:rsidRPr="00B24172">
        <w:rPr>
          <w:lang w:val="en-NZ"/>
        </w:rPr>
        <w:t>stoves</w:t>
      </w:r>
      <w:r w:rsidR="00E869D3" w:rsidRPr="00B24172">
        <w:rPr>
          <w:lang w:val="en-NZ"/>
        </w:rPr>
        <w:t>,</w:t>
      </w:r>
      <w:r w:rsidRPr="00B24172">
        <w:rPr>
          <w:lang w:val="en-NZ"/>
        </w:rPr>
        <w:t xml:space="preserve"> and environmental related variables were constructed with the help of </w:t>
      </w:r>
      <w:r w:rsidR="00367EDB" w:rsidRPr="00B24172">
        <w:rPr>
          <w:lang w:val="en-NZ"/>
        </w:rPr>
        <w:t>published research studies</w:t>
      </w:r>
      <w:r w:rsidRPr="00B24172">
        <w:rPr>
          <w:lang w:val="en-NZ"/>
        </w:rPr>
        <w:t>. Further detail</w:t>
      </w:r>
      <w:r w:rsidR="00734648" w:rsidRPr="00B24172">
        <w:rPr>
          <w:lang w:val="en-NZ"/>
        </w:rPr>
        <w:t>s</w:t>
      </w:r>
      <w:r w:rsidRPr="00B24172">
        <w:rPr>
          <w:lang w:val="en-NZ"/>
        </w:rPr>
        <w:t xml:space="preserve"> can be </w:t>
      </w:r>
      <w:r w:rsidR="00BA3553" w:rsidRPr="00B24172">
        <w:rPr>
          <w:lang w:val="en-NZ"/>
        </w:rPr>
        <w:t xml:space="preserve">found </w:t>
      </w:r>
      <w:r w:rsidRPr="00B24172">
        <w:rPr>
          <w:lang w:val="en-NZ"/>
        </w:rPr>
        <w:t xml:space="preserve">in in </w:t>
      </w:r>
      <w:r w:rsidR="00BA3553" w:rsidRPr="00B24172">
        <w:rPr>
          <w:lang w:val="en-NZ"/>
        </w:rPr>
        <w:t>T</w:t>
      </w:r>
      <w:r w:rsidRPr="00B24172">
        <w:rPr>
          <w:lang w:val="en-NZ"/>
        </w:rPr>
        <w:t>able A1</w:t>
      </w:r>
      <w:r w:rsidR="00BA3553" w:rsidRPr="00B24172">
        <w:rPr>
          <w:lang w:val="en-NZ"/>
        </w:rPr>
        <w:t xml:space="preserve"> in the Appendix</w:t>
      </w:r>
      <w:r w:rsidRPr="00B24172">
        <w:rPr>
          <w:lang w:val="en-NZ"/>
        </w:rPr>
        <w:t>.</w:t>
      </w:r>
      <w:r w:rsidR="00367EDB" w:rsidRPr="00B24172">
        <w:rPr>
          <w:lang w:val="en-NZ"/>
        </w:rPr>
        <w:t xml:space="preserve"> </w:t>
      </w:r>
    </w:p>
    <w:p w14:paraId="5B6F5372" w14:textId="77777777" w:rsidR="00DF4C6C" w:rsidRPr="00B24172" w:rsidRDefault="00DF4C6C" w:rsidP="00BF2AB8">
      <w:pPr>
        <w:spacing w:line="288" w:lineRule="auto"/>
        <w:jc w:val="both"/>
        <w:rPr>
          <w:lang w:val="en-NZ"/>
        </w:rPr>
      </w:pPr>
    </w:p>
    <w:p w14:paraId="3A0D38AD" w14:textId="51B35390" w:rsidR="00367EDB" w:rsidRPr="00B24172" w:rsidRDefault="009737DD" w:rsidP="00BF2AB8">
      <w:pPr>
        <w:pStyle w:val="Heading1"/>
        <w:numPr>
          <w:ilvl w:val="0"/>
          <w:numId w:val="20"/>
        </w:numPr>
        <w:spacing w:before="0" w:after="0" w:line="288" w:lineRule="auto"/>
        <w:rPr>
          <w:sz w:val="24"/>
          <w:szCs w:val="28"/>
        </w:rPr>
      </w:pPr>
      <w:r w:rsidRPr="00B24172">
        <w:rPr>
          <w:sz w:val="24"/>
          <w:szCs w:val="28"/>
        </w:rPr>
        <w:t>Methods</w:t>
      </w:r>
    </w:p>
    <w:p w14:paraId="2D00D9D4" w14:textId="77777777" w:rsidR="00584CCB" w:rsidRPr="00B24172" w:rsidRDefault="00584CCB" w:rsidP="00BF2AB8">
      <w:pPr>
        <w:spacing w:line="288" w:lineRule="auto"/>
        <w:jc w:val="both"/>
        <w:rPr>
          <w:sz w:val="12"/>
          <w:szCs w:val="12"/>
        </w:rPr>
      </w:pPr>
    </w:p>
    <w:p w14:paraId="2504D8E2" w14:textId="76EDB47D" w:rsidR="00FE0430" w:rsidRPr="00B24172" w:rsidRDefault="00367EDB" w:rsidP="00B15504">
      <w:pPr>
        <w:spacing w:line="288" w:lineRule="auto"/>
        <w:jc w:val="both"/>
      </w:pPr>
      <w:r w:rsidRPr="00B24172">
        <w:t>For monetizing the cost and benefits</w:t>
      </w:r>
      <w:r w:rsidR="00734648" w:rsidRPr="00B24172">
        <w:t>,</w:t>
      </w:r>
      <w:r w:rsidRPr="00B24172">
        <w:t xml:space="preserve"> this study follows the guidelines of the World Health Organization  </w:t>
      </w:r>
      <w:r w:rsidRPr="00B24172">
        <w:fldChar w:fldCharType="begin"/>
      </w:r>
      <w:r w:rsidR="00A260FD" w:rsidRPr="00B24172">
        <w:instrText xml:space="preserve"> ADDIN ZOTERO_ITEM CSL_CITATION {"citationID":"CK9mCoAy","properties":{"formattedCitation":"(Hutton &amp; Rehfuess, 2006)","plainCitation":"(Hutton &amp; Rehfuess, 2006)","noteIndex":0},"citationItems":[{"id":"yPj1CNji/0Dvam2bo","uris":["http://zotero.org/users/2699952/items/M4PVS3VN"],"uri":["http://zotero.org/users/2699952/items/M4PVS3VN"],"itemData":{"id":1093,"type":"book","title":"Guidelines for conducting cost-benefit analysis of household energy and health interventions","publisher":"WHO","publisher-place":"Geneva","source":"Open WorldCat","event-place":"Geneva","ISBN":"978-92-4-159481-3","note":"OCLC: 604061622","language":"English","author":[{"family":"Hutton","given":"Guy"},{"family":"Rehfuess","given":"Eva"}],"issued":{"date-parts":[["2006"]]}}}],"schema":"https://github.com/citation-style-language/schema/raw/master/csl-citation.json"} </w:instrText>
      </w:r>
      <w:r w:rsidRPr="00B24172">
        <w:fldChar w:fldCharType="separate"/>
      </w:r>
      <w:r w:rsidR="00A260FD" w:rsidRPr="00B24172">
        <w:t>(Hutton &amp; Rehfuess, 2006)</w:t>
      </w:r>
      <w:r w:rsidRPr="00B24172">
        <w:fldChar w:fldCharType="end"/>
      </w:r>
      <w:r w:rsidRPr="00B24172">
        <w:t>. All benefits and cost</w:t>
      </w:r>
      <w:r w:rsidR="004E1E2C" w:rsidRPr="00B24172">
        <w:t>s</w:t>
      </w:r>
      <w:r w:rsidRPr="00B24172">
        <w:t xml:space="preserve"> are presented on an annual basis in </w:t>
      </w:r>
      <w:r w:rsidR="00734648" w:rsidRPr="00B24172">
        <w:t>m</w:t>
      </w:r>
      <w:r w:rsidR="00B524AA" w:rsidRPr="00B24172">
        <w:t>illions</w:t>
      </w:r>
      <w:r w:rsidR="00734648" w:rsidRPr="00B24172">
        <w:t xml:space="preserve"> of</w:t>
      </w:r>
      <w:r w:rsidR="00B524AA" w:rsidRPr="00B24172">
        <w:t xml:space="preserve"> </w:t>
      </w:r>
      <w:r w:rsidRPr="00B24172">
        <w:t>Rupees (Pakistani currency) and US dollars for the year 2014</w:t>
      </w:r>
      <w:r w:rsidR="00321504" w:rsidRPr="00B24172">
        <w:t xml:space="preserve"> (for the sake of simplicity and</w:t>
      </w:r>
      <w:r w:rsidR="00FE0430" w:rsidRPr="00B24172">
        <w:t xml:space="preserve"> </w:t>
      </w:r>
      <w:r w:rsidR="00B15504" w:rsidRPr="00B24172">
        <w:t xml:space="preserve">data </w:t>
      </w:r>
      <w:r w:rsidR="00FE0430" w:rsidRPr="00B24172">
        <w:t>availability</w:t>
      </w:r>
      <w:r w:rsidR="00321504" w:rsidRPr="00B24172">
        <w:t>)</w:t>
      </w:r>
      <w:r w:rsidR="00734648" w:rsidRPr="00B24172">
        <w:t>,</w:t>
      </w:r>
      <w:r w:rsidRPr="00B24172">
        <w:t xml:space="preserve"> and </w:t>
      </w:r>
      <w:r w:rsidR="00DD7869" w:rsidRPr="00B24172">
        <w:t>benefit-cost</w:t>
      </w:r>
      <w:r w:rsidRPr="00B24172">
        <w:t xml:space="preserve"> ratios </w:t>
      </w:r>
      <w:r w:rsidR="00734648" w:rsidRPr="00B24172">
        <w:t>(BCRs)</w:t>
      </w:r>
      <w:r w:rsidR="00FF3CB3" w:rsidRPr="00B24172">
        <w:t xml:space="preserve"> </w:t>
      </w:r>
      <w:r w:rsidR="00734648" w:rsidRPr="00B24172">
        <w:t xml:space="preserve">were </w:t>
      </w:r>
      <w:r w:rsidRPr="00B24172">
        <w:t xml:space="preserve">calculated by dividing </w:t>
      </w:r>
      <w:r w:rsidR="00DD7869" w:rsidRPr="00B24172">
        <w:t xml:space="preserve">net </w:t>
      </w:r>
      <w:r w:rsidR="007A72C4" w:rsidRPr="00B24172">
        <w:t>discounted</w:t>
      </w:r>
      <w:r w:rsidRPr="00B24172">
        <w:t xml:space="preserve"> </w:t>
      </w:r>
      <w:r w:rsidR="00DD7869" w:rsidRPr="00B24172">
        <w:t>benefits</w:t>
      </w:r>
      <w:r w:rsidRPr="00B24172">
        <w:t xml:space="preserve"> by </w:t>
      </w:r>
      <w:r w:rsidR="00DD7869" w:rsidRPr="00B24172">
        <w:t xml:space="preserve">net </w:t>
      </w:r>
      <w:r w:rsidR="007A72C4" w:rsidRPr="00B24172">
        <w:t>discounted</w:t>
      </w:r>
      <w:r w:rsidRPr="00B24172">
        <w:t xml:space="preserve"> </w:t>
      </w:r>
      <w:r w:rsidR="00DD7869" w:rsidRPr="00B24172">
        <w:t>costs</w:t>
      </w:r>
      <w:r w:rsidR="00482642" w:rsidRPr="00B24172">
        <w:t xml:space="preserve"> at</w:t>
      </w:r>
      <w:r w:rsidR="00734648" w:rsidRPr="00B24172">
        <w:t xml:space="preserve"> the</w:t>
      </w:r>
      <w:r w:rsidR="00482642" w:rsidRPr="00B24172">
        <w:t xml:space="preserve"> single household level</w:t>
      </w:r>
      <w:r w:rsidRPr="00B24172">
        <w:t>. This analysis assumes 201</w:t>
      </w:r>
      <w:r w:rsidR="00FE0430" w:rsidRPr="00B24172">
        <w:t>4</w:t>
      </w:r>
      <w:r w:rsidRPr="00B24172">
        <w:t xml:space="preserve"> as </w:t>
      </w:r>
      <w:r w:rsidR="00734648" w:rsidRPr="00B24172">
        <w:t>the</w:t>
      </w:r>
      <w:r w:rsidRPr="00B24172">
        <w:t xml:space="preserve"> first year of the intervention and forecasted an intervention period of 10 years </w:t>
      </w:r>
      <w:r w:rsidR="004E1E2C" w:rsidRPr="00B24172">
        <w:t xml:space="preserve">through to </w:t>
      </w:r>
      <w:r w:rsidRPr="00B24172">
        <w:t>the end of 202</w:t>
      </w:r>
      <w:r w:rsidR="00FE0430" w:rsidRPr="00B24172">
        <w:t>4</w:t>
      </w:r>
      <w:r w:rsidR="00B524AA" w:rsidRPr="00B24172">
        <w:t xml:space="preserve">. </w:t>
      </w:r>
      <w:r w:rsidR="00734648" w:rsidRPr="00B24172">
        <w:t>The choice of starting year of 201</w:t>
      </w:r>
      <w:r w:rsidR="00FE0430" w:rsidRPr="00B24172">
        <w:t>4</w:t>
      </w:r>
      <w:r w:rsidR="00734648" w:rsidRPr="00B24172">
        <w:t xml:space="preserve"> was b</w:t>
      </w:r>
      <w:r w:rsidR="00B524AA" w:rsidRPr="00B24172">
        <w:t xml:space="preserve">ecause </w:t>
      </w:r>
      <w:r w:rsidR="00734648" w:rsidRPr="00B24172">
        <w:t>the household</w:t>
      </w:r>
      <w:r w:rsidR="00B524AA" w:rsidRPr="00B24172">
        <w:t xml:space="preserve"> microdata </w:t>
      </w:r>
      <w:r w:rsidR="00734648" w:rsidRPr="00B24172">
        <w:t>that was</w:t>
      </w:r>
      <w:r w:rsidR="00B524AA" w:rsidRPr="00B24172">
        <w:t xml:space="preserve"> used to construct various variables</w:t>
      </w:r>
      <w:r w:rsidR="00734648" w:rsidRPr="00B24172">
        <w:t xml:space="preserve"> was from 2014</w:t>
      </w:r>
      <w:r w:rsidRPr="00B24172">
        <w:t xml:space="preserve">. </w:t>
      </w:r>
      <w:r w:rsidR="005D5895" w:rsidRPr="00B24172">
        <w:t xml:space="preserve">However, we don’t anticipate large shifts in the BCRs would result from choosing an alternative starting year in the future. </w:t>
      </w:r>
      <w:r w:rsidR="00FE0430" w:rsidRPr="00B24172">
        <w:t xml:space="preserve">To get the BCRs we divided ten years </w:t>
      </w:r>
      <w:r w:rsidR="00B15504" w:rsidRPr="00B24172">
        <w:t xml:space="preserve">of </w:t>
      </w:r>
      <w:r w:rsidR="00FE0430" w:rsidRPr="00B24172">
        <w:t>discounted benefits by ten years of discounted cost</w:t>
      </w:r>
      <w:r w:rsidR="00B15504" w:rsidRPr="00B24172">
        <w:t>s</w:t>
      </w:r>
      <w:r w:rsidR="00FE0430" w:rsidRPr="00B24172">
        <w:t xml:space="preserve"> using </w:t>
      </w:r>
      <w:r w:rsidR="00B15504" w:rsidRPr="00B24172">
        <w:t>E</w:t>
      </w:r>
      <w:r w:rsidR="00FE0430" w:rsidRPr="00B24172">
        <w:t xml:space="preserve">quation </w:t>
      </w:r>
      <w:r w:rsidR="00B15504" w:rsidRPr="00B24172">
        <w:t>(</w:t>
      </w:r>
      <w:r w:rsidR="00FE0430" w:rsidRPr="00B24172">
        <w:t>1</w:t>
      </w:r>
      <w:r w:rsidR="00B15504" w:rsidRPr="00B24172">
        <w:t>):</w:t>
      </w:r>
    </w:p>
    <w:p w14:paraId="460128E6" w14:textId="77777777" w:rsidR="00FE0430" w:rsidRPr="00B24172" w:rsidRDefault="00FE0430" w:rsidP="00FE0430">
      <w:pPr>
        <w:autoSpaceDE w:val="0"/>
        <w:autoSpaceDN w:val="0"/>
        <w:adjustRightInd w:val="0"/>
        <w:spacing w:line="288" w:lineRule="auto"/>
        <w:jc w:val="both"/>
        <w:rPr>
          <w:lang w:val="en-NZ" w:eastAsia="zh-CN"/>
        </w:rPr>
      </w:pPr>
    </w:p>
    <w:p w14:paraId="358ACE61" w14:textId="669D9C12" w:rsidR="00FE0430" w:rsidRPr="00B24172" w:rsidRDefault="00FE0430" w:rsidP="001051ED">
      <w:pPr>
        <w:autoSpaceDE w:val="0"/>
        <w:autoSpaceDN w:val="0"/>
        <w:adjustRightInd w:val="0"/>
        <w:spacing w:line="288" w:lineRule="auto"/>
        <w:jc w:val="center"/>
        <w:rPr>
          <w:lang w:val="en-NZ" w:eastAsia="zh-CN"/>
        </w:rPr>
      </w:pPr>
      <m:oMath>
        <m:r>
          <w:rPr>
            <w:rFonts w:ascii="Cambria Math" w:hAnsi="Cambria Math"/>
            <w:lang w:val="en-NZ" w:eastAsia="zh-CN"/>
          </w:rPr>
          <m:t>BCR=</m:t>
        </m:r>
        <m:f>
          <m:fPr>
            <m:type m:val="skw"/>
            <m:ctrlPr>
              <w:rPr>
                <w:rFonts w:ascii="Cambria Math" w:hAnsi="Cambria Math"/>
                <w:i/>
                <w:lang w:val="en-NZ" w:eastAsia="zh-CN"/>
              </w:rPr>
            </m:ctrlPr>
          </m:fPr>
          <m:num>
            <m:nary>
              <m:naryPr>
                <m:chr m:val="∑"/>
                <m:limLoc m:val="undOvr"/>
                <m:ctrlPr>
                  <w:rPr>
                    <w:rFonts w:ascii="Cambria Math" w:hAnsi="Cambria Math"/>
                    <w:i/>
                    <w:lang w:val="en-NZ" w:eastAsia="zh-CN"/>
                  </w:rPr>
                </m:ctrlPr>
              </m:naryPr>
              <m:sub>
                <m:r>
                  <w:rPr>
                    <w:rFonts w:ascii="Cambria Math" w:hAnsi="Cambria Math"/>
                    <w:lang w:val="en-NZ" w:eastAsia="zh-CN"/>
                  </w:rPr>
                  <m:t>t=1</m:t>
                </m:r>
              </m:sub>
              <m:sup>
                <m:r>
                  <w:rPr>
                    <w:rFonts w:ascii="Cambria Math" w:hAnsi="Cambria Math"/>
                    <w:lang w:val="en-NZ" w:eastAsia="zh-CN"/>
                  </w:rPr>
                  <m:t>n</m:t>
                </m:r>
              </m:sup>
              <m:e>
                <m:f>
                  <m:fPr>
                    <m:ctrlPr>
                      <w:rPr>
                        <w:rFonts w:ascii="Cambria Math" w:hAnsi="Cambria Math"/>
                        <w:i/>
                        <w:lang w:val="en-NZ" w:eastAsia="zh-CN"/>
                      </w:rPr>
                    </m:ctrlPr>
                  </m:fPr>
                  <m:num>
                    <m:sSub>
                      <m:sSubPr>
                        <m:ctrlPr>
                          <w:rPr>
                            <w:rFonts w:ascii="Cambria Math" w:hAnsi="Cambria Math"/>
                            <w:i/>
                            <w:lang w:val="en-NZ" w:eastAsia="zh-CN"/>
                          </w:rPr>
                        </m:ctrlPr>
                      </m:sSubPr>
                      <m:e>
                        <m:r>
                          <w:rPr>
                            <w:rFonts w:ascii="Cambria Math" w:hAnsi="Cambria Math"/>
                            <w:lang w:val="en-NZ" w:eastAsia="zh-CN"/>
                          </w:rPr>
                          <m:t>B</m:t>
                        </m:r>
                      </m:e>
                      <m:sub>
                        <m:r>
                          <w:rPr>
                            <w:rFonts w:ascii="Cambria Math" w:hAnsi="Cambria Math"/>
                            <w:lang w:val="en-NZ" w:eastAsia="zh-CN"/>
                          </w:rPr>
                          <m:t>n</m:t>
                        </m:r>
                      </m:sub>
                    </m:sSub>
                  </m:num>
                  <m:den>
                    <m:sSup>
                      <m:sSupPr>
                        <m:ctrlPr>
                          <w:rPr>
                            <w:rFonts w:ascii="Cambria Math" w:hAnsi="Cambria Math"/>
                            <w:i/>
                            <w:lang w:val="en-NZ" w:eastAsia="zh-CN"/>
                          </w:rPr>
                        </m:ctrlPr>
                      </m:sSupPr>
                      <m:e>
                        <m:r>
                          <w:rPr>
                            <w:rFonts w:ascii="Cambria Math" w:hAnsi="Cambria Math"/>
                            <w:lang w:val="en-NZ" w:eastAsia="zh-CN"/>
                          </w:rPr>
                          <m:t>(1+i)</m:t>
                        </m:r>
                      </m:e>
                      <m:sup>
                        <m:r>
                          <w:rPr>
                            <w:rFonts w:ascii="Cambria Math" w:hAnsi="Cambria Math"/>
                            <w:lang w:val="en-NZ" w:eastAsia="zh-CN"/>
                          </w:rPr>
                          <m:t>n</m:t>
                        </m:r>
                      </m:sup>
                    </m:sSup>
                  </m:den>
                </m:f>
              </m:e>
            </m:nary>
          </m:num>
          <m:den>
            <m:nary>
              <m:naryPr>
                <m:chr m:val="∑"/>
                <m:limLoc m:val="undOvr"/>
                <m:ctrlPr>
                  <w:rPr>
                    <w:rFonts w:ascii="Cambria Math" w:hAnsi="Cambria Math"/>
                    <w:i/>
                    <w:lang w:val="en-NZ" w:eastAsia="zh-CN"/>
                  </w:rPr>
                </m:ctrlPr>
              </m:naryPr>
              <m:sub>
                <m:r>
                  <w:rPr>
                    <w:rFonts w:ascii="Cambria Math" w:hAnsi="Cambria Math"/>
                    <w:lang w:val="en-NZ" w:eastAsia="zh-CN"/>
                  </w:rPr>
                  <m:t>t=1</m:t>
                </m:r>
              </m:sub>
              <m:sup>
                <m:r>
                  <w:rPr>
                    <w:rFonts w:ascii="Cambria Math" w:hAnsi="Cambria Math"/>
                    <w:lang w:val="en-NZ" w:eastAsia="zh-CN"/>
                  </w:rPr>
                  <m:t>n</m:t>
                </m:r>
              </m:sup>
              <m:e>
                <m:f>
                  <m:fPr>
                    <m:ctrlPr>
                      <w:rPr>
                        <w:rFonts w:ascii="Cambria Math" w:hAnsi="Cambria Math"/>
                        <w:i/>
                        <w:lang w:val="en-NZ" w:eastAsia="zh-CN"/>
                      </w:rPr>
                    </m:ctrlPr>
                  </m:fPr>
                  <m:num>
                    <m:sSub>
                      <m:sSubPr>
                        <m:ctrlPr>
                          <w:rPr>
                            <w:rFonts w:ascii="Cambria Math" w:hAnsi="Cambria Math"/>
                            <w:i/>
                            <w:lang w:val="en-NZ" w:eastAsia="zh-CN"/>
                          </w:rPr>
                        </m:ctrlPr>
                      </m:sSubPr>
                      <m:e>
                        <m:r>
                          <w:rPr>
                            <w:rFonts w:ascii="Cambria Math" w:hAnsi="Cambria Math"/>
                            <w:lang w:val="en-NZ" w:eastAsia="zh-CN"/>
                          </w:rPr>
                          <m:t>C</m:t>
                        </m:r>
                      </m:e>
                      <m:sub>
                        <m:r>
                          <w:rPr>
                            <w:rFonts w:ascii="Cambria Math" w:hAnsi="Cambria Math"/>
                            <w:lang w:val="en-NZ" w:eastAsia="zh-CN"/>
                          </w:rPr>
                          <m:t>n</m:t>
                        </m:r>
                      </m:sub>
                    </m:sSub>
                  </m:num>
                  <m:den>
                    <m:sSup>
                      <m:sSupPr>
                        <m:ctrlPr>
                          <w:rPr>
                            <w:rFonts w:ascii="Cambria Math" w:hAnsi="Cambria Math"/>
                            <w:i/>
                            <w:lang w:val="en-NZ" w:eastAsia="zh-CN"/>
                          </w:rPr>
                        </m:ctrlPr>
                      </m:sSupPr>
                      <m:e>
                        <m:r>
                          <w:rPr>
                            <w:rFonts w:ascii="Cambria Math" w:hAnsi="Cambria Math"/>
                            <w:lang w:val="en-NZ" w:eastAsia="zh-CN"/>
                          </w:rPr>
                          <m:t>(1+i)</m:t>
                        </m:r>
                      </m:e>
                      <m:sup>
                        <m:r>
                          <w:rPr>
                            <w:rFonts w:ascii="Cambria Math" w:hAnsi="Cambria Math"/>
                            <w:lang w:val="en-NZ" w:eastAsia="zh-CN"/>
                          </w:rPr>
                          <m:t>n</m:t>
                        </m:r>
                      </m:sup>
                    </m:sSup>
                  </m:den>
                </m:f>
              </m:e>
            </m:nary>
          </m:den>
        </m:f>
      </m:oMath>
      <w:r w:rsidR="001051ED" w:rsidRPr="00B24172">
        <w:rPr>
          <w:lang w:val="en-NZ" w:eastAsia="zh-CN"/>
        </w:rPr>
        <w:t xml:space="preserve">                        (1)</w:t>
      </w:r>
    </w:p>
    <w:p w14:paraId="612754C4" w14:textId="26467E77" w:rsidR="00FE0430" w:rsidRPr="00B24172" w:rsidRDefault="00B15504" w:rsidP="00B15504">
      <w:pPr>
        <w:autoSpaceDE w:val="0"/>
        <w:autoSpaceDN w:val="0"/>
        <w:adjustRightInd w:val="0"/>
        <w:spacing w:line="288" w:lineRule="auto"/>
        <w:jc w:val="both"/>
        <w:rPr>
          <w:lang w:val="en-NZ" w:eastAsia="zh-CN"/>
        </w:rPr>
      </w:pPr>
      <w:r w:rsidRPr="00B24172">
        <w:rPr>
          <w:lang w:val="en-NZ" w:eastAsia="zh-CN"/>
        </w:rPr>
        <w:t xml:space="preserve">where </w:t>
      </w:r>
      <w:r w:rsidR="00FE0430" w:rsidRPr="00B24172">
        <w:rPr>
          <w:lang w:val="en-NZ" w:eastAsia="zh-CN"/>
        </w:rPr>
        <w:t xml:space="preserve">B </w:t>
      </w:r>
      <w:r w:rsidRPr="00B24172">
        <w:rPr>
          <w:lang w:val="en-NZ" w:eastAsia="zh-CN"/>
        </w:rPr>
        <w:t>is the</w:t>
      </w:r>
      <w:r w:rsidR="00FE0430" w:rsidRPr="00B24172">
        <w:rPr>
          <w:lang w:val="en-NZ" w:eastAsia="zh-CN"/>
        </w:rPr>
        <w:t xml:space="preserve"> </w:t>
      </w:r>
      <w:r w:rsidRPr="00B24172">
        <w:rPr>
          <w:lang w:val="en-NZ" w:eastAsia="zh-CN"/>
        </w:rPr>
        <w:t>total b</w:t>
      </w:r>
      <w:r w:rsidR="00FE0430" w:rsidRPr="00B24172">
        <w:rPr>
          <w:lang w:val="en-NZ" w:eastAsia="zh-CN"/>
        </w:rPr>
        <w:t>enefit</w:t>
      </w:r>
      <w:r w:rsidRPr="00B24172">
        <w:rPr>
          <w:lang w:val="en-NZ" w:eastAsia="zh-CN"/>
        </w:rPr>
        <w:t>s</w:t>
      </w:r>
      <w:r w:rsidR="00FE0430" w:rsidRPr="00B24172">
        <w:rPr>
          <w:lang w:val="en-NZ" w:eastAsia="zh-CN"/>
        </w:rPr>
        <w:t xml:space="preserve"> in each year</w:t>
      </w:r>
      <w:r w:rsidRPr="00B24172">
        <w:rPr>
          <w:lang w:val="en-NZ" w:eastAsia="zh-CN"/>
        </w:rPr>
        <w:t xml:space="preserve">, </w:t>
      </w:r>
      <w:r w:rsidR="00FE0430" w:rsidRPr="00B24172">
        <w:rPr>
          <w:lang w:val="en-NZ" w:eastAsia="zh-CN"/>
        </w:rPr>
        <w:t xml:space="preserve">C </w:t>
      </w:r>
      <w:r w:rsidRPr="00B24172">
        <w:rPr>
          <w:lang w:val="en-NZ" w:eastAsia="zh-CN"/>
        </w:rPr>
        <w:t>is the total</w:t>
      </w:r>
      <w:r w:rsidR="00FE0430" w:rsidRPr="00B24172">
        <w:rPr>
          <w:lang w:val="en-NZ" w:eastAsia="zh-CN"/>
        </w:rPr>
        <w:t xml:space="preserve"> </w:t>
      </w:r>
      <w:r w:rsidRPr="00B24172">
        <w:rPr>
          <w:lang w:val="en-NZ" w:eastAsia="zh-CN"/>
        </w:rPr>
        <w:t>c</w:t>
      </w:r>
      <w:r w:rsidR="00FE0430" w:rsidRPr="00B24172">
        <w:rPr>
          <w:lang w:val="en-NZ" w:eastAsia="zh-CN"/>
        </w:rPr>
        <w:t>ost</w:t>
      </w:r>
      <w:r w:rsidRPr="00B24172">
        <w:rPr>
          <w:lang w:val="en-NZ" w:eastAsia="zh-CN"/>
        </w:rPr>
        <w:t>s</w:t>
      </w:r>
      <w:r w:rsidR="00FE0430" w:rsidRPr="00B24172">
        <w:rPr>
          <w:lang w:val="en-NZ" w:eastAsia="zh-CN"/>
        </w:rPr>
        <w:t xml:space="preserve"> in each </w:t>
      </w:r>
      <w:proofErr w:type="spellStart"/>
      <w:proofErr w:type="gramStart"/>
      <w:r w:rsidR="00FE0430" w:rsidRPr="00B24172">
        <w:rPr>
          <w:lang w:val="en-NZ" w:eastAsia="zh-CN"/>
        </w:rPr>
        <w:t>year</w:t>
      </w:r>
      <w:r w:rsidRPr="00B24172">
        <w:rPr>
          <w:lang w:val="en-NZ" w:eastAsia="zh-CN"/>
        </w:rPr>
        <w:t>,</w:t>
      </w:r>
      <w:r w:rsidR="00FE0430" w:rsidRPr="00B24172">
        <w:rPr>
          <w:lang w:val="en-NZ" w:eastAsia="zh-CN"/>
        </w:rPr>
        <w:t>i</w:t>
      </w:r>
      <w:proofErr w:type="spellEnd"/>
      <w:proofErr w:type="gramEnd"/>
      <w:r w:rsidR="00FE0430" w:rsidRPr="00B24172">
        <w:rPr>
          <w:lang w:val="en-NZ" w:eastAsia="zh-CN"/>
        </w:rPr>
        <w:t xml:space="preserve"> </w:t>
      </w:r>
      <w:r w:rsidRPr="00B24172">
        <w:rPr>
          <w:lang w:val="en-NZ" w:eastAsia="zh-CN"/>
        </w:rPr>
        <w:t>is the</w:t>
      </w:r>
      <w:r w:rsidR="00FE0430" w:rsidRPr="00B24172">
        <w:rPr>
          <w:lang w:val="en-NZ" w:eastAsia="zh-CN"/>
        </w:rPr>
        <w:t xml:space="preserve"> </w:t>
      </w:r>
      <w:r w:rsidRPr="00B24172">
        <w:rPr>
          <w:lang w:val="en-NZ" w:eastAsia="zh-CN"/>
        </w:rPr>
        <w:t>d</w:t>
      </w:r>
      <w:r w:rsidR="00FE0430" w:rsidRPr="00B24172">
        <w:rPr>
          <w:lang w:val="en-NZ" w:eastAsia="zh-CN"/>
        </w:rPr>
        <w:t>iscount rate</w:t>
      </w:r>
      <w:r w:rsidRPr="00B24172">
        <w:rPr>
          <w:lang w:val="en-NZ" w:eastAsia="zh-CN"/>
        </w:rPr>
        <w:t>, and</w:t>
      </w:r>
    </w:p>
    <w:p w14:paraId="294792D9" w14:textId="1BCD9963" w:rsidR="00B15504" w:rsidRPr="00B24172" w:rsidRDefault="00FE0430" w:rsidP="00B15504">
      <w:pPr>
        <w:autoSpaceDE w:val="0"/>
        <w:autoSpaceDN w:val="0"/>
        <w:adjustRightInd w:val="0"/>
        <w:spacing w:line="288" w:lineRule="auto"/>
        <w:jc w:val="both"/>
        <w:rPr>
          <w:lang w:val="en-NZ" w:eastAsia="zh-CN"/>
        </w:rPr>
      </w:pPr>
      <w:r w:rsidRPr="00B24172">
        <w:rPr>
          <w:lang w:val="en-NZ" w:eastAsia="zh-CN"/>
        </w:rPr>
        <w:t xml:space="preserve">n </w:t>
      </w:r>
      <w:r w:rsidR="00B15504" w:rsidRPr="00B24172">
        <w:rPr>
          <w:lang w:val="en-NZ" w:eastAsia="zh-CN"/>
        </w:rPr>
        <w:t>is the</w:t>
      </w:r>
      <w:r w:rsidRPr="00B24172">
        <w:rPr>
          <w:lang w:val="en-NZ" w:eastAsia="zh-CN"/>
        </w:rPr>
        <w:t xml:space="preserve"> </w:t>
      </w:r>
      <w:r w:rsidR="00B15504" w:rsidRPr="00B24172">
        <w:rPr>
          <w:lang w:val="en-NZ" w:eastAsia="zh-CN"/>
        </w:rPr>
        <w:t>n</w:t>
      </w:r>
      <w:r w:rsidRPr="00B24172">
        <w:rPr>
          <w:lang w:val="en-NZ" w:eastAsia="zh-CN"/>
        </w:rPr>
        <w:t>umber of years.</w:t>
      </w:r>
      <w:r w:rsidR="00B15504" w:rsidRPr="00B24172">
        <w:rPr>
          <w:lang w:val="en-NZ" w:eastAsia="zh-CN"/>
        </w:rPr>
        <w:t xml:space="preserve"> </w:t>
      </w:r>
      <w:r w:rsidR="00B15504" w:rsidRPr="00B24172">
        <w:t>In addition to BCRs, we estimated the NPV using Equation (2):</w:t>
      </w:r>
    </w:p>
    <w:p w14:paraId="6AA3B287" w14:textId="7BBB3F65" w:rsidR="00FE0430" w:rsidRPr="00B24172" w:rsidRDefault="00FE0430" w:rsidP="005D5895">
      <w:pPr>
        <w:spacing w:line="288" w:lineRule="auto"/>
        <w:jc w:val="both"/>
      </w:pPr>
    </w:p>
    <w:p w14:paraId="0585CAC2" w14:textId="4ACDB988" w:rsidR="00715789" w:rsidRPr="00B24172" w:rsidRDefault="00715789" w:rsidP="00715789">
      <w:pPr>
        <w:autoSpaceDE w:val="0"/>
        <w:autoSpaceDN w:val="0"/>
        <w:adjustRightInd w:val="0"/>
        <w:spacing w:line="288" w:lineRule="auto"/>
        <w:jc w:val="center"/>
        <w:rPr>
          <w:lang w:val="en-NZ" w:eastAsia="zh-CN"/>
        </w:rPr>
      </w:pPr>
      <m:oMath>
        <m:r>
          <w:rPr>
            <w:rFonts w:ascii="Cambria Math" w:hAnsi="Cambria Math"/>
            <w:lang w:val="en-NZ" w:eastAsia="zh-CN"/>
          </w:rPr>
          <w:lastRenderedPageBreak/>
          <m:t xml:space="preserve">NPV= </m:t>
        </m:r>
        <m:nary>
          <m:naryPr>
            <m:chr m:val="∑"/>
            <m:limLoc m:val="undOvr"/>
            <m:ctrlPr>
              <w:rPr>
                <w:rFonts w:ascii="Cambria Math" w:hAnsi="Cambria Math"/>
                <w:i/>
                <w:lang w:val="en-NZ" w:eastAsia="zh-CN"/>
              </w:rPr>
            </m:ctrlPr>
          </m:naryPr>
          <m:sub>
            <m:r>
              <w:rPr>
                <w:rFonts w:ascii="Cambria Math" w:hAnsi="Cambria Math"/>
                <w:lang w:val="en-NZ" w:eastAsia="zh-CN"/>
              </w:rPr>
              <m:t>t=1</m:t>
            </m:r>
          </m:sub>
          <m:sup>
            <m:r>
              <w:rPr>
                <w:rFonts w:ascii="Cambria Math" w:hAnsi="Cambria Math"/>
                <w:lang w:val="en-NZ" w:eastAsia="zh-CN"/>
              </w:rPr>
              <m:t>n</m:t>
            </m:r>
          </m:sup>
          <m:e>
            <m:f>
              <m:fPr>
                <m:ctrlPr>
                  <w:rPr>
                    <w:rFonts w:ascii="Cambria Math" w:hAnsi="Cambria Math"/>
                    <w:i/>
                    <w:lang w:val="en-NZ" w:eastAsia="zh-CN"/>
                  </w:rPr>
                </m:ctrlPr>
              </m:fPr>
              <m:num>
                <m:sSub>
                  <m:sSubPr>
                    <m:ctrlPr>
                      <w:rPr>
                        <w:rFonts w:ascii="Cambria Math" w:hAnsi="Cambria Math"/>
                        <w:i/>
                        <w:lang w:val="en-NZ" w:eastAsia="zh-CN"/>
                      </w:rPr>
                    </m:ctrlPr>
                  </m:sSubPr>
                  <m:e>
                    <m:r>
                      <w:rPr>
                        <w:rFonts w:ascii="Cambria Math" w:hAnsi="Cambria Math"/>
                        <w:lang w:val="en-NZ" w:eastAsia="zh-CN"/>
                      </w:rPr>
                      <m:t>NB</m:t>
                    </m:r>
                  </m:e>
                  <m:sub>
                    <m:r>
                      <w:rPr>
                        <w:rFonts w:ascii="Cambria Math" w:hAnsi="Cambria Math"/>
                        <w:lang w:val="en-NZ" w:eastAsia="zh-CN"/>
                      </w:rPr>
                      <m:t>n</m:t>
                    </m:r>
                  </m:sub>
                </m:sSub>
              </m:num>
              <m:den>
                <m:sSup>
                  <m:sSupPr>
                    <m:ctrlPr>
                      <w:rPr>
                        <w:rFonts w:ascii="Cambria Math" w:hAnsi="Cambria Math"/>
                        <w:i/>
                        <w:lang w:val="en-NZ" w:eastAsia="zh-CN"/>
                      </w:rPr>
                    </m:ctrlPr>
                  </m:sSupPr>
                  <m:e>
                    <m:r>
                      <w:rPr>
                        <w:rFonts w:ascii="Cambria Math" w:hAnsi="Cambria Math"/>
                        <w:lang w:val="en-NZ" w:eastAsia="zh-CN"/>
                      </w:rPr>
                      <m:t>(1+i)</m:t>
                    </m:r>
                  </m:e>
                  <m:sup>
                    <m:r>
                      <w:rPr>
                        <w:rFonts w:ascii="Cambria Math" w:hAnsi="Cambria Math"/>
                        <w:lang w:val="en-NZ" w:eastAsia="zh-CN"/>
                      </w:rPr>
                      <m:t>n</m:t>
                    </m:r>
                  </m:sup>
                </m:sSup>
              </m:den>
            </m:f>
            <m:r>
              <w:rPr>
                <w:rFonts w:ascii="Cambria Math" w:hAnsi="Cambria Math"/>
                <w:lang w:val="en-NZ" w:eastAsia="zh-CN"/>
              </w:rPr>
              <m:t>-</m:t>
            </m:r>
            <m:sSub>
              <m:sSubPr>
                <m:ctrlPr>
                  <w:rPr>
                    <w:rFonts w:ascii="Cambria Math" w:hAnsi="Cambria Math"/>
                    <w:i/>
                    <w:lang w:val="en-NZ" w:eastAsia="zh-CN"/>
                  </w:rPr>
                </m:ctrlPr>
              </m:sSubPr>
              <m:e>
                <m:r>
                  <w:rPr>
                    <w:rFonts w:ascii="Cambria Math" w:hAnsi="Cambria Math"/>
                    <w:lang w:val="en-NZ" w:eastAsia="zh-CN"/>
                  </w:rPr>
                  <m:t>C</m:t>
                </m:r>
              </m:e>
              <m:sub>
                <m:r>
                  <w:rPr>
                    <w:rFonts w:ascii="Cambria Math" w:hAnsi="Cambria Math"/>
                    <w:lang w:val="en-NZ" w:eastAsia="zh-CN"/>
                  </w:rPr>
                  <m:t>0</m:t>
                </m:r>
              </m:sub>
            </m:sSub>
          </m:e>
        </m:nary>
      </m:oMath>
      <w:r w:rsidRPr="00B24172">
        <w:rPr>
          <w:lang w:val="en-NZ" w:eastAsia="zh-CN"/>
        </w:rPr>
        <w:t xml:space="preserve">                        (2)</w:t>
      </w:r>
    </w:p>
    <w:p w14:paraId="7F48079E" w14:textId="7DB1ADA5" w:rsidR="00715789" w:rsidRPr="00B24172" w:rsidRDefault="00B15504" w:rsidP="00B15504">
      <w:pPr>
        <w:autoSpaceDE w:val="0"/>
        <w:autoSpaceDN w:val="0"/>
        <w:adjustRightInd w:val="0"/>
        <w:spacing w:line="288" w:lineRule="auto"/>
        <w:jc w:val="both"/>
        <w:rPr>
          <w:lang w:val="en-NZ" w:eastAsia="zh-CN"/>
        </w:rPr>
      </w:pPr>
      <w:r w:rsidRPr="00B24172">
        <w:rPr>
          <w:lang w:val="en-NZ" w:eastAsia="zh-CN"/>
        </w:rPr>
        <w:t xml:space="preserve">where </w:t>
      </w:r>
      <w:r w:rsidR="00715789" w:rsidRPr="00B24172">
        <w:rPr>
          <w:lang w:val="en-NZ" w:eastAsia="zh-CN"/>
        </w:rPr>
        <w:t xml:space="preserve">NB </w:t>
      </w:r>
      <w:r w:rsidRPr="00B24172">
        <w:rPr>
          <w:lang w:val="en-NZ" w:eastAsia="zh-CN"/>
        </w:rPr>
        <w:t>is</w:t>
      </w:r>
      <w:r w:rsidR="00715789" w:rsidRPr="00B24172">
        <w:rPr>
          <w:lang w:val="en-NZ" w:eastAsia="zh-CN"/>
        </w:rPr>
        <w:t xml:space="preserve"> </w:t>
      </w:r>
      <w:r w:rsidRPr="00B24172">
        <w:rPr>
          <w:lang w:val="en-NZ" w:eastAsia="zh-CN"/>
        </w:rPr>
        <w:t>the n</w:t>
      </w:r>
      <w:r w:rsidR="00715789" w:rsidRPr="00B24172">
        <w:rPr>
          <w:lang w:val="en-NZ" w:eastAsia="zh-CN"/>
        </w:rPr>
        <w:t>et benefit in each year</w:t>
      </w:r>
      <w:r w:rsidRPr="00B24172">
        <w:rPr>
          <w:lang w:val="en-NZ" w:eastAsia="zh-CN"/>
        </w:rPr>
        <w:t xml:space="preserve"> (so NB = B – C), and </w:t>
      </w:r>
      <w:r w:rsidR="00715789" w:rsidRPr="00B24172">
        <w:rPr>
          <w:lang w:val="en-NZ" w:eastAsia="zh-CN"/>
        </w:rPr>
        <w:t>C</w:t>
      </w:r>
      <w:r w:rsidR="00715789" w:rsidRPr="00B24172">
        <w:rPr>
          <w:vertAlign w:val="subscript"/>
          <w:lang w:val="en-NZ" w:eastAsia="zh-CN"/>
        </w:rPr>
        <w:t>0</w:t>
      </w:r>
      <w:r w:rsidR="00715789" w:rsidRPr="00B24172">
        <w:rPr>
          <w:lang w:val="en-NZ" w:eastAsia="zh-CN"/>
        </w:rPr>
        <w:t xml:space="preserve"> </w:t>
      </w:r>
      <w:r w:rsidRPr="00B24172">
        <w:rPr>
          <w:lang w:val="en-NZ" w:eastAsia="zh-CN"/>
        </w:rPr>
        <w:t>is the</w:t>
      </w:r>
      <w:r w:rsidR="00715789" w:rsidRPr="00B24172">
        <w:rPr>
          <w:lang w:val="en-NZ" w:eastAsia="zh-CN"/>
        </w:rPr>
        <w:t xml:space="preserve"> </w:t>
      </w:r>
      <w:r w:rsidRPr="00B24172">
        <w:rPr>
          <w:lang w:val="en-NZ" w:eastAsia="zh-CN"/>
        </w:rPr>
        <w:t>i</w:t>
      </w:r>
      <w:r w:rsidR="00715789" w:rsidRPr="00B24172">
        <w:rPr>
          <w:lang w:val="en-NZ" w:eastAsia="zh-CN"/>
        </w:rPr>
        <w:t>nitial</w:t>
      </w:r>
      <w:r w:rsidR="004A459E" w:rsidRPr="00B24172">
        <w:rPr>
          <w:lang w:val="en-NZ" w:eastAsia="zh-CN"/>
        </w:rPr>
        <w:t xml:space="preserve"> investment</w:t>
      </w:r>
      <w:r w:rsidR="00715789" w:rsidRPr="00B24172">
        <w:rPr>
          <w:lang w:val="en-NZ" w:eastAsia="zh-CN"/>
        </w:rPr>
        <w:t xml:space="preserve"> cost</w:t>
      </w:r>
      <w:r w:rsidRPr="00B24172">
        <w:rPr>
          <w:lang w:val="en-NZ" w:eastAsia="zh-CN"/>
        </w:rPr>
        <w:t>.</w:t>
      </w:r>
    </w:p>
    <w:p w14:paraId="410290D4" w14:textId="77777777" w:rsidR="00715789" w:rsidRPr="00B24172" w:rsidRDefault="00715789" w:rsidP="005D5895">
      <w:pPr>
        <w:spacing w:line="288" w:lineRule="auto"/>
        <w:jc w:val="both"/>
      </w:pPr>
    </w:p>
    <w:p w14:paraId="28DC8FE8" w14:textId="60EB5953" w:rsidR="004E1E2C" w:rsidRPr="00B24172" w:rsidRDefault="00367EDB" w:rsidP="00B15504">
      <w:pPr>
        <w:spacing w:line="288" w:lineRule="auto"/>
        <w:ind w:firstLine="720"/>
        <w:jc w:val="both"/>
      </w:pPr>
      <w:r w:rsidRPr="00B24172">
        <w:t>All the benefits and cost</w:t>
      </w:r>
      <w:r w:rsidR="004E1E2C" w:rsidRPr="00B24172">
        <w:t>s</w:t>
      </w:r>
      <w:r w:rsidRPr="00B24172">
        <w:t xml:space="preserve"> occurring after 2014 </w:t>
      </w:r>
      <w:r w:rsidR="00734648" w:rsidRPr="00B24172">
        <w:t xml:space="preserve">were </w:t>
      </w:r>
      <w:r w:rsidRPr="00B24172">
        <w:t>discounted to 2014 value</w:t>
      </w:r>
      <w:r w:rsidR="004E1E2C" w:rsidRPr="00B24172">
        <w:t>s</w:t>
      </w:r>
      <w:r w:rsidRPr="00B24172">
        <w:t xml:space="preserve"> using</w:t>
      </w:r>
      <w:r w:rsidR="004E1E2C" w:rsidRPr="00B24172">
        <w:t xml:space="preserve"> </w:t>
      </w:r>
      <w:r w:rsidRPr="00B24172">
        <w:t>discount rate</w:t>
      </w:r>
      <w:r w:rsidR="00734648" w:rsidRPr="00B24172">
        <w:t>s</w:t>
      </w:r>
      <w:r w:rsidRPr="00B24172">
        <w:t xml:space="preserve"> of </w:t>
      </w:r>
      <w:r w:rsidR="00DD7869" w:rsidRPr="00B24172">
        <w:t xml:space="preserve">3%, </w:t>
      </w:r>
      <w:r w:rsidR="001A63E7" w:rsidRPr="00B24172">
        <w:t>7.</w:t>
      </w:r>
      <w:r w:rsidR="00DD7869" w:rsidRPr="00B24172">
        <w:t xml:space="preserve">5%, </w:t>
      </w:r>
      <w:r w:rsidR="00B524AA" w:rsidRPr="00B24172">
        <w:t>and</w:t>
      </w:r>
      <w:r w:rsidR="004E1E2C" w:rsidRPr="00B24172">
        <w:t xml:space="preserve"> </w:t>
      </w:r>
      <w:r w:rsidR="00DD7869" w:rsidRPr="00B24172">
        <w:t>1</w:t>
      </w:r>
      <w:r w:rsidR="001A63E7" w:rsidRPr="00B24172">
        <w:t>2</w:t>
      </w:r>
      <w:r w:rsidR="00DD7869" w:rsidRPr="00B24172">
        <w:t xml:space="preserve">%. </w:t>
      </w:r>
      <w:r w:rsidR="004E1E2C" w:rsidRPr="00B24172">
        <w:t>The use of three different discount rates allow</w:t>
      </w:r>
      <w:r w:rsidR="00B15504" w:rsidRPr="00B24172">
        <w:t>s</w:t>
      </w:r>
      <w:r w:rsidR="004E1E2C" w:rsidRPr="00B24172">
        <w:t xml:space="preserve"> us to test the sensitivity of the results to the choice of discount rate</w:t>
      </w:r>
      <w:r w:rsidR="005D5895" w:rsidRPr="00B24172">
        <w:t xml:space="preserve"> – 3% is a commonly applied ‘social discount rate’</w:t>
      </w:r>
      <w:r w:rsidR="00031228" w:rsidRPr="00B24172">
        <w:t xml:space="preserve"> in developed countries (e.g. EPA, 2000), but higher discount rates are more appropriate in developing countries</w:t>
      </w:r>
      <w:r w:rsidR="0007486A" w:rsidRPr="00B24172">
        <w:t xml:space="preserve">, e.g. 12% </w:t>
      </w:r>
      <w:r w:rsidR="00B15504" w:rsidRPr="00B24172">
        <w:t xml:space="preserve">has previously been used </w:t>
      </w:r>
      <w:r w:rsidR="0007486A" w:rsidRPr="00B24172">
        <w:t>in Pakistan</w:t>
      </w:r>
      <w:r w:rsidR="00031228" w:rsidRPr="00B24172">
        <w:t xml:space="preserve"> (</w:t>
      </w:r>
      <w:r w:rsidR="009A2520" w:rsidRPr="00B24172">
        <w:rPr>
          <w:lang w:val="en-NZ"/>
        </w:rPr>
        <w:t>Abbas</w:t>
      </w:r>
      <w:r w:rsidR="009A2520" w:rsidRPr="00B24172">
        <w:rPr>
          <w:i/>
        </w:rPr>
        <w:t xml:space="preserve"> et al.</w:t>
      </w:r>
      <w:r w:rsidR="009A2520" w:rsidRPr="00B24172">
        <w:rPr>
          <w:lang w:val="en-NZ"/>
        </w:rPr>
        <w:t xml:space="preserve"> 2017; </w:t>
      </w:r>
      <w:r w:rsidR="00031228" w:rsidRPr="00B24172">
        <w:t>Zhuang et al., 2007)</w:t>
      </w:r>
      <w:r w:rsidR="004E1E2C" w:rsidRPr="00B24172">
        <w:t>.</w:t>
      </w:r>
      <w:r w:rsidR="00B524AA" w:rsidRPr="00B24172">
        <w:t xml:space="preserve"> </w:t>
      </w:r>
      <w:r w:rsidR="00031228" w:rsidRPr="00B24172">
        <w:t>Higher social discount rates necessarily reduce the present value of net benefits greater than the present value of net costs, which tend to occur closer to the present time. Thus, the BCRs estimated using higher social discount rates will be more conservative.</w:t>
      </w:r>
    </w:p>
    <w:p w14:paraId="529A79AF" w14:textId="77777777" w:rsidR="00DF4C6C" w:rsidRPr="00B24172" w:rsidRDefault="00DF4C6C" w:rsidP="00BF2AB8">
      <w:pPr>
        <w:spacing w:line="288" w:lineRule="auto"/>
        <w:jc w:val="both"/>
      </w:pPr>
    </w:p>
    <w:p w14:paraId="64C1E273" w14:textId="6FA998E8" w:rsidR="004E1E2C" w:rsidRPr="00B24172" w:rsidRDefault="007D4107" w:rsidP="00031228">
      <w:pPr>
        <w:spacing w:line="288" w:lineRule="auto"/>
        <w:ind w:firstLine="720"/>
        <w:jc w:val="both"/>
      </w:pPr>
      <w:r w:rsidRPr="00B24172">
        <w:t xml:space="preserve">As noted earlier, </w:t>
      </w:r>
      <w:r w:rsidR="00031228" w:rsidRPr="00B24172">
        <w:t xml:space="preserve">five interventions were included in this study, across </w:t>
      </w:r>
      <w:r w:rsidRPr="00B24172">
        <w:t>t</w:t>
      </w:r>
      <w:r w:rsidR="00367EDB" w:rsidRPr="00B24172">
        <w:t>wo main interventi</w:t>
      </w:r>
      <w:r w:rsidR="00DD7869" w:rsidRPr="00B24172">
        <w:t>on</w:t>
      </w:r>
      <w:r w:rsidR="004E1E2C" w:rsidRPr="00B24172">
        <w:t xml:space="preserve"> type</w:t>
      </w:r>
      <w:r w:rsidR="00DD7869" w:rsidRPr="00B24172">
        <w:t>s</w:t>
      </w:r>
      <w:r w:rsidR="004E1E2C" w:rsidRPr="00B24172">
        <w:t>:</w:t>
      </w:r>
      <w:r w:rsidR="00DD7869" w:rsidRPr="00B24172">
        <w:t xml:space="preserve"> </w:t>
      </w:r>
      <w:r w:rsidR="004E1E2C" w:rsidRPr="00B24172">
        <w:t>(</w:t>
      </w:r>
      <w:r w:rsidR="00367EDB" w:rsidRPr="00B24172">
        <w:t xml:space="preserve">1) changing </w:t>
      </w:r>
      <w:r w:rsidR="004E1E2C" w:rsidRPr="00B24172">
        <w:t xml:space="preserve">from </w:t>
      </w:r>
      <w:r w:rsidR="00367EDB" w:rsidRPr="00B24172">
        <w:t>solid fuel</w:t>
      </w:r>
      <w:r w:rsidR="004E1E2C" w:rsidRPr="00B24172">
        <w:t xml:space="preserve"> use</w:t>
      </w:r>
      <w:r w:rsidR="00367EDB" w:rsidRPr="00B24172">
        <w:t xml:space="preserve"> to clean</w:t>
      </w:r>
      <w:r w:rsidR="004E1E2C" w:rsidRPr="00B24172">
        <w:t>er</w:t>
      </w:r>
      <w:r w:rsidR="00367EDB" w:rsidRPr="00B24172">
        <w:t xml:space="preserve"> fuels</w:t>
      </w:r>
      <w:r w:rsidR="00B524AA" w:rsidRPr="00B24172">
        <w:t xml:space="preserve"> (biogas</w:t>
      </w:r>
      <w:r w:rsidR="00031228" w:rsidRPr="00B24172">
        <w:t>;</w:t>
      </w:r>
      <w:r w:rsidR="00B524AA" w:rsidRPr="00B24172">
        <w:t xml:space="preserve"> LPG</w:t>
      </w:r>
      <w:r w:rsidR="00031228" w:rsidRPr="00B24172">
        <w:t>; or</w:t>
      </w:r>
      <w:r w:rsidR="00B524AA" w:rsidRPr="00B24172">
        <w:t xml:space="preserve"> </w:t>
      </w:r>
      <w:r w:rsidR="00031228" w:rsidRPr="00B24172">
        <w:t xml:space="preserve">piped </w:t>
      </w:r>
      <w:r w:rsidR="004E1E2C" w:rsidRPr="00B24172">
        <w:t>natural gas);</w:t>
      </w:r>
      <w:r w:rsidR="00367EDB" w:rsidRPr="00B24172">
        <w:t xml:space="preserve"> and </w:t>
      </w:r>
      <w:r w:rsidR="004E1E2C" w:rsidRPr="00B24172">
        <w:t>(</w:t>
      </w:r>
      <w:r w:rsidR="00367EDB" w:rsidRPr="00B24172">
        <w:t xml:space="preserve">2) </w:t>
      </w:r>
      <w:r w:rsidR="00031228" w:rsidRPr="00B24172">
        <w:t>changing stove types (to</w:t>
      </w:r>
      <w:r w:rsidR="00367EDB" w:rsidRPr="00B24172">
        <w:t xml:space="preserve"> </w:t>
      </w:r>
      <w:r w:rsidR="00B97B7E" w:rsidRPr="00B24172">
        <w:t>ICS</w:t>
      </w:r>
      <w:r w:rsidR="00031228" w:rsidRPr="00B24172">
        <w:t>;</w:t>
      </w:r>
      <w:r w:rsidR="00367EDB" w:rsidRPr="00B24172">
        <w:t xml:space="preserve"> or </w:t>
      </w:r>
      <w:r w:rsidRPr="00B24172">
        <w:t xml:space="preserve">electric </w:t>
      </w:r>
      <w:r w:rsidR="00DD7869" w:rsidRPr="00B24172">
        <w:t>stoves</w:t>
      </w:r>
      <w:r w:rsidR="00031228" w:rsidRPr="00B24172">
        <w:t>)</w:t>
      </w:r>
      <w:r w:rsidR="00DD7869" w:rsidRPr="00B24172">
        <w:t xml:space="preserve">. </w:t>
      </w:r>
      <w:r w:rsidR="0014387D" w:rsidRPr="00B24172">
        <w:t xml:space="preserve">In first </w:t>
      </w:r>
      <w:r w:rsidRPr="00B24172">
        <w:t xml:space="preserve">type of </w:t>
      </w:r>
      <w:r w:rsidR="0014387D" w:rsidRPr="00B24172">
        <w:t>intervention,</w:t>
      </w:r>
      <w:r w:rsidR="00EB1449" w:rsidRPr="00B24172">
        <w:t xml:space="preserve"> the same </w:t>
      </w:r>
      <w:r w:rsidR="00D94F9D" w:rsidRPr="00B24172">
        <w:rPr>
          <w:i/>
        </w:rPr>
        <w:t>type</w:t>
      </w:r>
      <w:r w:rsidR="00D94F9D" w:rsidRPr="00B24172">
        <w:t xml:space="preserve"> of </w:t>
      </w:r>
      <w:r w:rsidR="00EB1449" w:rsidRPr="00B24172">
        <w:t>stove</w:t>
      </w:r>
      <w:r w:rsidR="0014387D" w:rsidRPr="00B24172">
        <w:t xml:space="preserve"> </w:t>
      </w:r>
      <w:r w:rsidR="00031228" w:rsidRPr="00B24172">
        <w:t xml:space="preserve">is suitable </w:t>
      </w:r>
      <w:r w:rsidR="00EB1449" w:rsidRPr="00B24172">
        <w:t>for</w:t>
      </w:r>
      <w:r w:rsidR="0014387D" w:rsidRPr="00B24172">
        <w:t xml:space="preserve"> </w:t>
      </w:r>
      <w:r w:rsidR="00500048" w:rsidRPr="00B24172">
        <w:t>each</w:t>
      </w:r>
      <w:r w:rsidR="00031228" w:rsidRPr="00B24172">
        <w:t xml:space="preserve"> option (</w:t>
      </w:r>
      <w:r w:rsidR="0014387D" w:rsidRPr="00B24172">
        <w:t xml:space="preserve">biogas, LPG, </w:t>
      </w:r>
      <w:r w:rsidR="00031228" w:rsidRPr="00B24172">
        <w:t>or</w:t>
      </w:r>
      <w:r w:rsidR="0014387D" w:rsidRPr="00B24172">
        <w:t xml:space="preserve"> piped natural gas</w:t>
      </w:r>
      <w:r w:rsidR="00031228" w:rsidRPr="00B24172">
        <w:t>)</w:t>
      </w:r>
      <w:r w:rsidRPr="00B24172">
        <w:t>,</w:t>
      </w:r>
      <w:r w:rsidR="0014387D" w:rsidRPr="00B24172">
        <w:t xml:space="preserve"> because </w:t>
      </w:r>
      <w:r w:rsidR="00031228" w:rsidRPr="00B24172">
        <w:t>the stoves</w:t>
      </w:r>
      <w:r w:rsidR="0014387D" w:rsidRPr="00B24172">
        <w:t xml:space="preserve"> </w:t>
      </w:r>
      <w:r w:rsidRPr="00B24172">
        <w:t xml:space="preserve">use </w:t>
      </w:r>
      <w:r w:rsidR="0014387D" w:rsidRPr="00B24172">
        <w:t>methane</w:t>
      </w:r>
      <w:r w:rsidRPr="00B24172">
        <w:t xml:space="preserve"> as a fuel source</w:t>
      </w:r>
      <w:r w:rsidR="0014387D" w:rsidRPr="00B24172">
        <w:t xml:space="preserve">. However, </w:t>
      </w:r>
      <w:r w:rsidR="00941D9A" w:rsidRPr="00B24172">
        <w:t>e</w:t>
      </w:r>
      <w:r w:rsidR="0014387D" w:rsidRPr="00B24172">
        <w:t>lectric stove</w:t>
      </w:r>
      <w:r w:rsidRPr="00B24172">
        <w:t>s require</w:t>
      </w:r>
      <w:r w:rsidR="00941D9A" w:rsidRPr="00B24172">
        <w:t xml:space="preserve"> electricity for functioning.</w:t>
      </w:r>
      <w:r w:rsidR="0095381F" w:rsidRPr="00B24172">
        <w:t xml:space="preserve"> </w:t>
      </w:r>
      <w:r w:rsidRPr="00B24172">
        <w:t>They also do not emit harmful gases or create meaningful IAP. A</w:t>
      </w:r>
      <w:r w:rsidR="00616B87" w:rsidRPr="00B24172">
        <w:t xml:space="preserve">dopting </w:t>
      </w:r>
      <w:r w:rsidRPr="00B24172">
        <w:t xml:space="preserve">an </w:t>
      </w:r>
      <w:r w:rsidR="00B97B7E" w:rsidRPr="00B24172">
        <w:t>ICS</w:t>
      </w:r>
      <w:r w:rsidR="00616B87" w:rsidRPr="00B24172">
        <w:t xml:space="preserve"> </w:t>
      </w:r>
      <w:r w:rsidRPr="00B24172">
        <w:t>reduces</w:t>
      </w:r>
      <w:r w:rsidR="00031228" w:rsidRPr="00B24172">
        <w:t xml:space="preserve"> but does not eliminate</w:t>
      </w:r>
      <w:r w:rsidRPr="00B24172">
        <w:t xml:space="preserve"> the use of solid</w:t>
      </w:r>
      <w:r w:rsidR="00616B87" w:rsidRPr="00B24172">
        <w:t xml:space="preserve"> fuels</w:t>
      </w:r>
      <w:r w:rsidRPr="00B24172">
        <w:t xml:space="preserve">, </w:t>
      </w:r>
      <w:r w:rsidR="00031228" w:rsidRPr="00B24172">
        <w:t>but</w:t>
      </w:r>
      <w:r w:rsidRPr="00B24172">
        <w:t xml:space="preserve"> reduces IAP</w:t>
      </w:r>
      <w:r w:rsidR="00616B87" w:rsidRPr="00B24172">
        <w:t xml:space="preserve"> because of</w:t>
      </w:r>
      <w:r w:rsidR="00031228" w:rsidRPr="00B24172">
        <w:t xml:space="preserve"> the resultant use of</w:t>
      </w:r>
      <w:r w:rsidR="00616B87" w:rsidRPr="00B24172">
        <w:t xml:space="preserve"> </w:t>
      </w:r>
      <w:r w:rsidR="00031228" w:rsidRPr="00B24172">
        <w:t>taller</w:t>
      </w:r>
      <w:r w:rsidR="00616B87" w:rsidRPr="00B24172">
        <w:t xml:space="preserve"> chimneys or better ventilation.</w:t>
      </w:r>
    </w:p>
    <w:p w14:paraId="737973C5" w14:textId="77777777" w:rsidR="00DF4C6C" w:rsidRPr="00B24172" w:rsidRDefault="00DF4C6C" w:rsidP="00BF2AB8">
      <w:pPr>
        <w:spacing w:line="288" w:lineRule="auto"/>
        <w:ind w:firstLine="720"/>
        <w:jc w:val="both"/>
      </w:pPr>
    </w:p>
    <w:p w14:paraId="54CDC07A" w14:textId="69C626E2" w:rsidR="00367EDB" w:rsidRPr="00B24172" w:rsidRDefault="00031228" w:rsidP="00F8366B">
      <w:pPr>
        <w:spacing w:line="288" w:lineRule="auto"/>
        <w:ind w:firstLine="720"/>
        <w:jc w:val="both"/>
      </w:pPr>
      <w:r w:rsidRPr="00B24172">
        <w:t xml:space="preserve">We assumed that there are two types of households: (1) those who currently use clean fuels for cooking and heating purposes; and (2) others who are not. This simplification means that we only need to consider the costs and benefits of adoption for those households that would actually be affected by the interventions. That is, the costs and benefits were evaluated only for those households that depended on solid fuels at the start of the period. </w:t>
      </w:r>
      <w:r w:rsidR="00367EDB" w:rsidRPr="00B24172">
        <w:t>Initially, we estimated the cost</w:t>
      </w:r>
      <w:r w:rsidR="004E1E2C" w:rsidRPr="00B24172">
        <w:t>s</w:t>
      </w:r>
      <w:r w:rsidR="00367EDB" w:rsidRPr="00B24172">
        <w:t xml:space="preserve"> </w:t>
      </w:r>
      <w:r w:rsidR="004E1E2C" w:rsidRPr="00B24172">
        <w:t xml:space="preserve">for </w:t>
      </w:r>
      <w:r w:rsidR="00367EDB" w:rsidRPr="00B24172">
        <w:t xml:space="preserve">an individual household and then </w:t>
      </w:r>
      <w:r w:rsidR="004E1E2C" w:rsidRPr="00B24172">
        <w:t xml:space="preserve">extrapolated the cost to </w:t>
      </w:r>
      <w:r w:rsidR="00DD7869" w:rsidRPr="00B24172">
        <w:t>the</w:t>
      </w:r>
      <w:r w:rsidR="004E1E2C" w:rsidRPr="00B24172">
        <w:t xml:space="preserve"> whole</w:t>
      </w:r>
      <w:r w:rsidR="00DD7869" w:rsidRPr="00B24172">
        <w:t xml:space="preserve"> population who depend</w:t>
      </w:r>
      <w:r w:rsidR="004E1E2C" w:rsidRPr="00B24172">
        <w:t>ed</w:t>
      </w:r>
      <w:r w:rsidR="00DD7869" w:rsidRPr="00B24172">
        <w:t xml:space="preserve"> upon solid fuels</w:t>
      </w:r>
      <w:r w:rsidR="004E1E2C" w:rsidRPr="00B24172">
        <w:t xml:space="preserve"> in 2014</w:t>
      </w:r>
      <w:r w:rsidR="00DD7869" w:rsidRPr="00B24172">
        <w:t>.</w:t>
      </w:r>
      <w:r w:rsidR="00367EDB" w:rsidRPr="00B24172">
        <w:t xml:space="preserve"> About 55% of Pakistani households do not use piped natural gas or LPG</w:t>
      </w:r>
      <w:r w:rsidRPr="00B24172">
        <w:t>,</w:t>
      </w:r>
      <w:r w:rsidR="00367EDB" w:rsidRPr="00B24172">
        <w:t xml:space="preserve"> and most of </w:t>
      </w:r>
      <w:r w:rsidRPr="00B24172">
        <w:t>those households</w:t>
      </w:r>
      <w:r w:rsidR="00367EDB" w:rsidRPr="00B24172">
        <w:t xml:space="preserve"> are </w:t>
      </w:r>
      <w:r w:rsidRPr="00B24172">
        <w:t>in</w:t>
      </w:r>
      <w:r w:rsidR="00367EDB" w:rsidRPr="00B24172">
        <w:t xml:space="preserve"> rural areas (PSLM, 2014)</w:t>
      </w:r>
      <w:r w:rsidR="003E7C5D" w:rsidRPr="00B24172">
        <w:t>.</w:t>
      </w:r>
      <w:r w:rsidR="00367EDB" w:rsidRPr="00B24172">
        <w:t xml:space="preserve"> Considering </w:t>
      </w:r>
      <w:r w:rsidR="003E7C5D" w:rsidRPr="00B24172">
        <w:t xml:space="preserve">the </w:t>
      </w:r>
      <w:r w:rsidR="00367EDB" w:rsidRPr="00B24172">
        <w:t xml:space="preserve">total population in 2014 and taking </w:t>
      </w:r>
      <w:r w:rsidR="003E7C5D" w:rsidRPr="00B24172">
        <w:t xml:space="preserve">an average of </w:t>
      </w:r>
      <w:r w:rsidR="00367EDB" w:rsidRPr="00B24172">
        <w:t xml:space="preserve">6.7 </w:t>
      </w:r>
      <w:r w:rsidRPr="00B24172">
        <w:t xml:space="preserve">household </w:t>
      </w:r>
      <w:r w:rsidR="00367EDB" w:rsidRPr="00B24172">
        <w:t>members</w:t>
      </w:r>
      <w:r w:rsidR="002B69F6" w:rsidRPr="00B24172">
        <w:rPr>
          <w:rStyle w:val="FootnoteReference"/>
        </w:rPr>
        <w:footnoteReference w:id="7"/>
      </w:r>
      <w:r w:rsidR="00367EDB" w:rsidRPr="00B24172">
        <w:t xml:space="preserve"> per household, 15.22 million households out of 27.68 million households </w:t>
      </w:r>
      <w:r w:rsidR="00A230E0" w:rsidRPr="00B24172">
        <w:t>depend</w:t>
      </w:r>
      <w:r w:rsidRPr="00B24172">
        <w:t>ed</w:t>
      </w:r>
      <w:r w:rsidR="00A230E0" w:rsidRPr="00B24172">
        <w:t xml:space="preserve"> on</w:t>
      </w:r>
      <w:r w:rsidR="00367EDB" w:rsidRPr="00B24172">
        <w:t xml:space="preserve"> solid fuels </w:t>
      </w:r>
      <w:r w:rsidRPr="00B24172">
        <w:t>and used</w:t>
      </w:r>
      <w:r w:rsidR="00A230E0" w:rsidRPr="00B24172">
        <w:t xml:space="preserve"> traditional or inefficient stoves for cooking and heating</w:t>
      </w:r>
      <w:r w:rsidR="00367EDB" w:rsidRPr="00B24172">
        <w:t>.</w:t>
      </w:r>
      <w:r w:rsidR="003E7C5D" w:rsidRPr="00B24172">
        <w:t xml:space="preserve"> </w:t>
      </w:r>
      <w:r w:rsidR="00616B87" w:rsidRPr="00B24172">
        <w:t xml:space="preserve">We </w:t>
      </w:r>
      <w:r w:rsidR="00DD7869" w:rsidRPr="00B24172">
        <w:t xml:space="preserve">estimated </w:t>
      </w:r>
      <w:r w:rsidR="00616B87" w:rsidRPr="00B24172">
        <w:t xml:space="preserve">the benefits </w:t>
      </w:r>
      <w:r w:rsidR="00697962" w:rsidRPr="00B24172">
        <w:t xml:space="preserve">by assuming </w:t>
      </w:r>
      <w:r w:rsidR="00697962" w:rsidRPr="00B24172">
        <w:rPr>
          <w:i/>
          <w:iCs/>
        </w:rPr>
        <w:t>all</w:t>
      </w:r>
      <w:r w:rsidR="00697962" w:rsidRPr="00B24172">
        <w:t xml:space="preserve"> </w:t>
      </w:r>
      <w:r w:rsidR="00DD7869" w:rsidRPr="00B24172">
        <w:t>households</w:t>
      </w:r>
      <w:r w:rsidR="00697962" w:rsidRPr="00B24172">
        <w:t xml:space="preserve"> </w:t>
      </w:r>
      <w:r w:rsidRPr="00B24172">
        <w:t>that</w:t>
      </w:r>
      <w:r w:rsidR="00697962" w:rsidRPr="00B24172">
        <w:t xml:space="preserve"> depend upon solid fuels</w:t>
      </w:r>
      <w:r w:rsidR="00616B87" w:rsidRPr="00B24172">
        <w:t xml:space="preserve"> (15.22 million</w:t>
      </w:r>
      <w:r w:rsidR="006170B3" w:rsidRPr="00B24172">
        <w:t xml:space="preserve"> households</w:t>
      </w:r>
      <w:r w:rsidR="00616B87" w:rsidRPr="00B24172">
        <w:t>)</w:t>
      </w:r>
      <w:r w:rsidR="00DD7869" w:rsidRPr="00B24172">
        <w:t xml:space="preserve"> adopt</w:t>
      </w:r>
      <w:r w:rsidR="003E7C5D" w:rsidRPr="00B24172">
        <w:t>ed</w:t>
      </w:r>
      <w:r w:rsidR="00DD7869" w:rsidRPr="00B24172">
        <w:t xml:space="preserve"> the </w:t>
      </w:r>
      <w:r w:rsidRPr="00B24172">
        <w:t>intervention</w:t>
      </w:r>
      <w:r w:rsidR="00697962" w:rsidRPr="00B24172">
        <w:t>.</w:t>
      </w:r>
      <w:r w:rsidR="00BE78F3" w:rsidRPr="00B24172">
        <w:t xml:space="preserve"> Discounted</w:t>
      </w:r>
      <w:r w:rsidR="00697962" w:rsidRPr="00B24172">
        <w:t xml:space="preserve"> </w:t>
      </w:r>
      <w:r w:rsidR="00BE78F3" w:rsidRPr="00B24172">
        <w:t>c</w:t>
      </w:r>
      <w:r w:rsidR="00697962" w:rsidRPr="00B24172">
        <w:t xml:space="preserve">osts and benefits </w:t>
      </w:r>
      <w:r w:rsidR="003E7C5D" w:rsidRPr="00B24172">
        <w:t xml:space="preserve">were </w:t>
      </w:r>
      <w:r w:rsidRPr="00B24172">
        <w:t>estimated</w:t>
      </w:r>
      <w:r w:rsidR="00697962" w:rsidRPr="00B24172">
        <w:t xml:space="preserve"> </w:t>
      </w:r>
      <w:r w:rsidRPr="00B24172">
        <w:t xml:space="preserve">as noted in the following two </w:t>
      </w:r>
      <w:r w:rsidR="003E7C5D" w:rsidRPr="00B24172">
        <w:t>sections</w:t>
      </w:r>
      <w:r w:rsidR="00F8366B" w:rsidRPr="00B24172">
        <w:t>, for a period of ten years</w:t>
      </w:r>
      <w:r w:rsidR="00BE78F3" w:rsidRPr="00B24172">
        <w:t xml:space="preserve"> except ICS</w:t>
      </w:r>
      <w:r w:rsidR="00880336" w:rsidRPr="00B24172">
        <w:t xml:space="preserve"> (ICS has 3 years of life)</w:t>
      </w:r>
      <w:r w:rsidR="00697962" w:rsidRPr="00B24172">
        <w:t>.</w:t>
      </w:r>
      <w:r w:rsidR="00BE78F3" w:rsidRPr="00B24172">
        <w:t xml:space="preserve"> </w:t>
      </w:r>
    </w:p>
    <w:p w14:paraId="7AE9092D" w14:textId="38A9BA06" w:rsidR="001B0300" w:rsidRPr="00B24172" w:rsidRDefault="001B0300" w:rsidP="00031228">
      <w:pPr>
        <w:spacing w:line="288" w:lineRule="auto"/>
        <w:ind w:firstLine="720"/>
        <w:jc w:val="both"/>
      </w:pPr>
    </w:p>
    <w:p w14:paraId="44491612" w14:textId="335CFC02" w:rsidR="001B0300" w:rsidRPr="00B24172" w:rsidRDefault="001B0300" w:rsidP="001B0300">
      <w:pPr>
        <w:spacing w:line="288" w:lineRule="auto"/>
        <w:ind w:firstLine="720"/>
        <w:jc w:val="both"/>
      </w:pPr>
      <w:r w:rsidRPr="00B24172">
        <w:t>Considerable uncertainty is anticipated in the results, because of the lack of generalizable data and the number of necessary assumptions employed in the model. We performed sensitivity analysis to tackle this uncertainty. Specifically,</w:t>
      </w:r>
      <w:r w:rsidR="009F0D5A" w:rsidRPr="00B24172">
        <w:t xml:space="preserve"> following </w:t>
      </w:r>
      <w:r w:rsidR="009F0D5A" w:rsidRPr="00B24172">
        <w:fldChar w:fldCharType="begin"/>
      </w:r>
      <w:r w:rsidR="009F0D5A" w:rsidRPr="00B24172">
        <w:instrText xml:space="preserve"> ADDIN ZOTERO_ITEM CSL_CITATION {"citationID":"iDv9616c","properties":{"formattedCitation":"(Isihak et al., 2012)","plainCitation":"(Isihak et al., 2012)","noteIndex":0},"citationItems":[{"id":"yPj1CNji/CZp2fytc","uris":["http://zotero.org/users/2699952/items/RCZEUGBQ"],"uri":["http://zotero.org/users/2699952/items/RCZEUGBQ"],"itemData":{"id":182,"type":"article-journal","title":"Interventions for mitigating indoor-air pollution in Nigeria: a cost-benefit analysis","container-title":"International Journal of Energy Sector Management","page":"417-429","volume":"6","issue":"3","source":"ProQuest","abstract":"Purpose - The purpose of this paper is to evaluate the costs and benefits of interventions to reduce indoor-air pollution arising from the use of solid biomass fuels for cooking and heating in Nigeria. Design/methodology/approach - The authors use cost-benefit analysis and assess two intervention scenarios: providing access to improved stoves; and providing access to cleaner fuels (liquefied petroleum gas - LPG - burners). Both intervention scenarios are compared with the current situation, i.e. the \"business as usual\" scenario where there is no attempt to reduce the present level of exposure to indoor-air pollution from solid fuel use. Findings - The result shows that the cost-benefit ratio of the stove intervention is 0.388 while that of LPG is 0.371. Practical implications - While providing access to cleaner fuels (LPG) has a larger health impact on the population than improved stoves, the low income level of the participants will favor the stove option because of the lower recurrent cost which is usually borne by the participants. From a public health point of view, there is need for a continued emphasis on the promotion of improved stoves to reduce exposure in households using solid fuels until everyone can have access to cleaner fuels. Furthermore, since choice of cooking technologies is influenced by income level, the intervention policy should be implemented alongside other socio-economic development programmes. Originality/value - The paper bridges the knowledge gap with respect to the indoor-air pollution issue in Nigeria. It offers policy makers an insight into the potential net benefit of intervening to reduce indoor-air pollution arising from the use of solid biomass fuels in Nigeria.","DOI":"http://dx.doi.org.ezproxy.waikato.ac.nz/10.1108/17506221211259655","ISSN":"17506220","shortTitle":"Interventions for mitigating indoor-air pollution in Nigeria","language":"English","author":[{"family":"Isihak","given":"Salisu"},{"family":"Akpan","given":"Uduak"},{"family":"Adeleye","given":"Monsuru"}],"issued":{"date-parts":[["2012"]]}}}],"schema":"https://github.com/citation-style-language/schema/raw/master/csl-citation.json"} </w:instrText>
      </w:r>
      <w:r w:rsidR="009F0D5A" w:rsidRPr="00B24172">
        <w:fldChar w:fldCharType="separate"/>
      </w:r>
      <w:r w:rsidR="009F0D5A" w:rsidRPr="00B24172">
        <w:t xml:space="preserve">Isihak et al. </w:t>
      </w:r>
      <w:r w:rsidR="00500048" w:rsidRPr="00B24172">
        <w:lastRenderedPageBreak/>
        <w:t>(</w:t>
      </w:r>
      <w:r w:rsidR="009F0D5A" w:rsidRPr="00B24172">
        <w:t>2012)</w:t>
      </w:r>
      <w:r w:rsidR="009F0D5A" w:rsidRPr="00B24172">
        <w:fldChar w:fldCharType="end"/>
      </w:r>
      <w:r w:rsidRPr="00B24172">
        <w:t xml:space="preserve"> we estimated the BCR and other measures for additional scenarios. In two optimistic scenarios, we increased total benefits (by 5 and 10 percent) from the base case benefits and reduced the total costs from the base case costs (by 5 and 10 percent). In two pessimistic scenarios, we reduced the total benefits (by 5 and 10 percent) from the base case and increased the costs (by 5 and 10 percent) compared to the base case costs.</w:t>
      </w:r>
    </w:p>
    <w:p w14:paraId="62525132" w14:textId="77777777" w:rsidR="001B0300" w:rsidRPr="00B24172" w:rsidRDefault="001B0300" w:rsidP="00031228">
      <w:pPr>
        <w:spacing w:line="288" w:lineRule="auto"/>
        <w:ind w:firstLine="720"/>
        <w:jc w:val="both"/>
      </w:pPr>
    </w:p>
    <w:p w14:paraId="6AA592FF" w14:textId="77777777" w:rsidR="00DF4C6C" w:rsidRPr="00B24172" w:rsidRDefault="00DF4C6C" w:rsidP="00BF2AB8">
      <w:pPr>
        <w:spacing w:line="288" w:lineRule="auto"/>
        <w:ind w:firstLine="720"/>
        <w:jc w:val="both"/>
      </w:pPr>
    </w:p>
    <w:p w14:paraId="745DDF9C" w14:textId="41E72A7C" w:rsidR="00367EDB" w:rsidRPr="00B24172" w:rsidRDefault="009737DD" w:rsidP="00BF2AB8">
      <w:pPr>
        <w:pStyle w:val="Heading1"/>
        <w:numPr>
          <w:ilvl w:val="0"/>
          <w:numId w:val="20"/>
        </w:numPr>
        <w:spacing w:before="0" w:after="0" w:line="288" w:lineRule="auto"/>
        <w:rPr>
          <w:sz w:val="24"/>
          <w:szCs w:val="28"/>
        </w:rPr>
      </w:pPr>
      <w:r w:rsidRPr="00B24172">
        <w:rPr>
          <w:sz w:val="24"/>
          <w:szCs w:val="28"/>
        </w:rPr>
        <w:t>Costs</w:t>
      </w:r>
    </w:p>
    <w:p w14:paraId="754C4606" w14:textId="77777777" w:rsidR="00584CCB" w:rsidRPr="00B24172" w:rsidRDefault="00584CCB" w:rsidP="00BF2AB8">
      <w:pPr>
        <w:spacing w:line="288" w:lineRule="auto"/>
        <w:jc w:val="both"/>
        <w:rPr>
          <w:sz w:val="12"/>
          <w:szCs w:val="12"/>
        </w:rPr>
      </w:pPr>
    </w:p>
    <w:p w14:paraId="505854F6" w14:textId="08797782" w:rsidR="00367EDB" w:rsidRPr="00B24172" w:rsidRDefault="00F07609" w:rsidP="00F07609">
      <w:pPr>
        <w:spacing w:line="288" w:lineRule="auto"/>
        <w:jc w:val="both"/>
      </w:pPr>
      <w:r w:rsidRPr="00B24172">
        <w:t>The costs of each intervention were estimated as one-off fixed costs (installation, stove costs, etc.) occurring at the start of the period, and annual operating costs. Specific</w:t>
      </w:r>
      <w:r w:rsidR="00A230E0" w:rsidRPr="00B24172">
        <w:t xml:space="preserve"> details </w:t>
      </w:r>
      <w:r w:rsidRPr="00B24172">
        <w:t>for each intervention are detailed</w:t>
      </w:r>
      <w:r w:rsidR="00A230E0" w:rsidRPr="00B24172">
        <w:t xml:space="preserve"> below. </w:t>
      </w:r>
    </w:p>
    <w:p w14:paraId="7DC067D5" w14:textId="77777777" w:rsidR="00DF4C6C" w:rsidRPr="00B24172" w:rsidRDefault="00DF4C6C" w:rsidP="00BF2AB8">
      <w:pPr>
        <w:spacing w:line="288" w:lineRule="auto"/>
        <w:jc w:val="both"/>
      </w:pPr>
    </w:p>
    <w:p w14:paraId="67C053C8" w14:textId="23AD1C46" w:rsidR="00934DAB" w:rsidRPr="00B24172" w:rsidRDefault="00317C90" w:rsidP="00BF2AB8">
      <w:pPr>
        <w:pStyle w:val="Heading2"/>
        <w:spacing w:before="0" w:after="0" w:line="288" w:lineRule="auto"/>
      </w:pPr>
      <w:r w:rsidRPr="00B24172">
        <w:t xml:space="preserve">5.1 </w:t>
      </w:r>
      <w:r w:rsidR="00B96DB8" w:rsidRPr="00B24172">
        <w:t xml:space="preserve">Costs of </w:t>
      </w:r>
      <w:r w:rsidR="00934DAB" w:rsidRPr="00B24172">
        <w:t xml:space="preserve">Biogas </w:t>
      </w:r>
      <w:r w:rsidR="009737DD" w:rsidRPr="00B24172">
        <w:t>D</w:t>
      </w:r>
      <w:r w:rsidR="00934DAB" w:rsidRPr="00B24172">
        <w:t>igesters</w:t>
      </w:r>
    </w:p>
    <w:p w14:paraId="52781D2F" w14:textId="040674D5" w:rsidR="00031228" w:rsidRPr="00B24172" w:rsidRDefault="00F07609" w:rsidP="00D2604F">
      <w:pPr>
        <w:spacing w:line="288" w:lineRule="auto"/>
        <w:jc w:val="both"/>
        <w:rPr>
          <w:lang w:val="en-NZ"/>
        </w:rPr>
      </w:pPr>
      <w:r w:rsidRPr="00B24172">
        <w:t>This intervention requires the installation of</w:t>
      </w:r>
      <w:r w:rsidR="00367EDB" w:rsidRPr="00B24172">
        <w:t xml:space="preserve"> </w:t>
      </w:r>
      <w:r w:rsidR="00A53022" w:rsidRPr="00B24172">
        <w:t xml:space="preserve">a </w:t>
      </w:r>
      <w:r w:rsidR="00367EDB" w:rsidRPr="00B24172">
        <w:t>biogas digester</w:t>
      </w:r>
      <w:r w:rsidRPr="00B24172">
        <w:t>, as well as a new methane stove</w:t>
      </w:r>
      <w:r w:rsidR="00A53022" w:rsidRPr="00B24172">
        <w:t>.</w:t>
      </w:r>
      <w:r w:rsidR="00367EDB" w:rsidRPr="00B24172">
        <w:t xml:space="preserve"> </w:t>
      </w:r>
      <w:r w:rsidRPr="00B24172">
        <w:t>First, t</w:t>
      </w:r>
      <w:r w:rsidR="00367EDB" w:rsidRPr="00B24172">
        <w:t>here are different sizes of biogas plants</w:t>
      </w:r>
      <w:r w:rsidR="00A53022" w:rsidRPr="00B24172">
        <w:t xml:space="preserve"> available</w:t>
      </w:r>
      <w:r w:rsidR="00367EDB" w:rsidRPr="00B24172">
        <w:t xml:space="preserve"> in Pakistan</w:t>
      </w:r>
      <w:r w:rsidR="00A53022" w:rsidRPr="00B24172">
        <w:t>, ranging from 4 to</w:t>
      </w:r>
      <w:r w:rsidR="00367EDB" w:rsidRPr="00B24172">
        <w:t xml:space="preserve"> 25 cubic meters. </w:t>
      </w:r>
      <w:r w:rsidR="00031228" w:rsidRPr="00B24172">
        <w:t>The median and most commonly installed size of biogas plant</w:t>
      </w:r>
      <w:r w:rsidR="00367EDB" w:rsidRPr="00B24172">
        <w:t xml:space="preserve"> </w:t>
      </w:r>
      <w:r w:rsidR="00031228" w:rsidRPr="00B24172">
        <w:t xml:space="preserve">is </w:t>
      </w:r>
      <w:r w:rsidR="00367EDB" w:rsidRPr="00B24172">
        <w:t>10 m</w:t>
      </w:r>
      <w:r w:rsidR="00367EDB" w:rsidRPr="00B24172">
        <w:rPr>
          <w:vertAlign w:val="superscript"/>
        </w:rPr>
        <w:t>3</w:t>
      </w:r>
      <w:r w:rsidR="00A53022" w:rsidRPr="00B24172">
        <w:t>,</w:t>
      </w:r>
      <w:r w:rsidR="00367EDB" w:rsidRPr="00B24172">
        <w:t xml:space="preserve"> </w:t>
      </w:r>
      <w:r w:rsidR="00031228" w:rsidRPr="00B24172">
        <w:t>and this size of plant is</w:t>
      </w:r>
      <w:r w:rsidR="00A53022" w:rsidRPr="00B24172">
        <w:t xml:space="preserve"> sufficient to fulfil </w:t>
      </w:r>
      <w:r w:rsidR="00367EDB" w:rsidRPr="00B24172">
        <w:t xml:space="preserve">the energy demand </w:t>
      </w:r>
      <w:r w:rsidR="00A53022" w:rsidRPr="00B24172">
        <w:t xml:space="preserve">for </w:t>
      </w:r>
      <w:r w:rsidR="00367EDB" w:rsidRPr="00B24172">
        <w:t xml:space="preserve">an average family (6-8 members) </w:t>
      </w:r>
      <w:r w:rsidR="00367EDB" w:rsidRPr="00B24172">
        <w:fldChar w:fldCharType="begin"/>
      </w:r>
      <w:r w:rsidR="00A260FD" w:rsidRPr="00B24172">
        <w:instrText xml:space="preserve"> ADDIN ZOTERO_ITEM CSL_CITATION {"citationID":"Tp24g3H6","properties":{"formattedCitation":"(Abbas, Ali, Adil, Bashir, &amp; Kamran, 2017)","plainCitation":"(Abbas, Ali, Adil, Bashir, &amp; Kamran, 2017)","dontUpdate":true,"noteIndex":0},"citationItems":[{"id":"yPj1CNji/ciKxSOn6","uris":["http://zotero.org/users/2699952/items/AI73EZAZ"],"uri":["http://zotero.org/users/2699952/items/AI73EZAZ"],"itemData":{"id":1103,"type":"article-journal","title":"Economic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Asif"}],"issued":{"date-parts":[["2017",7,1]]}}}],"schema":"https://github.com/citation-style-language/schema/raw/master/csl-citation.json"} </w:instrText>
      </w:r>
      <w:r w:rsidR="00367EDB" w:rsidRPr="00B24172">
        <w:fldChar w:fldCharType="separate"/>
      </w:r>
      <w:r w:rsidR="00367EDB" w:rsidRPr="00B24172">
        <w:rPr>
          <w:lang w:val="en-NZ"/>
        </w:rPr>
        <w:t>(Abbas</w:t>
      </w:r>
      <w:r w:rsidR="00ED7A65" w:rsidRPr="00B24172">
        <w:rPr>
          <w:i/>
        </w:rPr>
        <w:t xml:space="preserve"> et al.</w:t>
      </w:r>
      <w:r w:rsidR="00367EDB" w:rsidRPr="00B24172">
        <w:rPr>
          <w:lang w:val="en-NZ"/>
        </w:rPr>
        <w:t>2017)</w:t>
      </w:r>
      <w:r w:rsidR="00367EDB" w:rsidRPr="00B24172">
        <w:fldChar w:fldCharType="end"/>
      </w:r>
      <w:r w:rsidR="00367EDB" w:rsidRPr="00B24172">
        <w:rPr>
          <w:lang w:val="en-NZ"/>
        </w:rPr>
        <w:t xml:space="preserve">. </w:t>
      </w:r>
      <w:r w:rsidR="00AF25AF" w:rsidRPr="00B24172">
        <w:rPr>
          <w:lang w:val="en-NZ"/>
        </w:rPr>
        <w:t xml:space="preserve">We </w:t>
      </w:r>
      <w:r w:rsidR="00031228" w:rsidRPr="00B24172">
        <w:rPr>
          <w:lang w:val="en-NZ"/>
        </w:rPr>
        <w:t>used the cost for a fixed dome digester,</w:t>
      </w:r>
      <w:r w:rsidR="00AF25AF" w:rsidRPr="00B24172">
        <w:rPr>
          <w:lang w:val="en-NZ"/>
        </w:rPr>
        <w:t xml:space="preserve"> rather than </w:t>
      </w:r>
      <w:r w:rsidR="00031228" w:rsidRPr="00B24172">
        <w:rPr>
          <w:lang w:val="en-NZ"/>
        </w:rPr>
        <w:t xml:space="preserve">a </w:t>
      </w:r>
      <w:r w:rsidR="00AF25AF" w:rsidRPr="00B24172">
        <w:rPr>
          <w:lang w:val="en-NZ"/>
        </w:rPr>
        <w:t xml:space="preserve">floating drum </w:t>
      </w:r>
      <w:r w:rsidR="00031228" w:rsidRPr="00B24172">
        <w:rPr>
          <w:lang w:val="en-NZ"/>
        </w:rPr>
        <w:t>or</w:t>
      </w:r>
      <w:r w:rsidR="00AF25AF" w:rsidRPr="00B24172">
        <w:rPr>
          <w:lang w:val="en-NZ"/>
        </w:rPr>
        <w:t xml:space="preserve"> flexible bag plant</w:t>
      </w:r>
      <w:r w:rsidR="00031228" w:rsidRPr="00B24172">
        <w:rPr>
          <w:lang w:val="en-NZ"/>
        </w:rPr>
        <w:t>,</w:t>
      </w:r>
      <w:r w:rsidR="00AF25AF" w:rsidRPr="00B24172">
        <w:rPr>
          <w:lang w:val="en-NZ"/>
        </w:rPr>
        <w:t xml:space="preserve"> because of the greater popularity, longevity, and production of gas.</w:t>
      </w:r>
      <w:r w:rsidR="00367EDB" w:rsidRPr="00B24172">
        <w:rPr>
          <w:lang w:val="en-NZ"/>
        </w:rPr>
        <w:t xml:space="preserve"> To install a </w:t>
      </w:r>
      <w:r w:rsidR="00F53540" w:rsidRPr="00B24172">
        <w:rPr>
          <w:lang w:val="en-NZ"/>
        </w:rPr>
        <w:t>fixed do</w:t>
      </w:r>
      <w:r w:rsidR="00367EDB" w:rsidRPr="00B24172">
        <w:rPr>
          <w:lang w:val="en-NZ"/>
        </w:rPr>
        <w:t>m</w:t>
      </w:r>
      <w:r w:rsidR="00F53540" w:rsidRPr="00B24172">
        <w:rPr>
          <w:lang w:val="en-NZ"/>
        </w:rPr>
        <w:t>e</w:t>
      </w:r>
      <w:r w:rsidR="00367EDB" w:rsidRPr="00B24172">
        <w:rPr>
          <w:lang w:val="en-NZ"/>
        </w:rPr>
        <w:t xml:space="preserve"> biogas plant</w:t>
      </w:r>
      <w:r w:rsidR="00A53022" w:rsidRPr="00B24172">
        <w:rPr>
          <w:lang w:val="en-NZ"/>
        </w:rPr>
        <w:t>,</w:t>
      </w:r>
      <w:r w:rsidR="00367EDB" w:rsidRPr="00B24172">
        <w:rPr>
          <w:lang w:val="en-NZ"/>
        </w:rPr>
        <w:t xml:space="preserve"> </w:t>
      </w:r>
      <w:r w:rsidR="00A53022" w:rsidRPr="00B24172">
        <w:rPr>
          <w:lang w:val="en-NZ"/>
        </w:rPr>
        <w:t xml:space="preserve">sufficient land is </w:t>
      </w:r>
      <w:r w:rsidR="00AF25AF" w:rsidRPr="00B24172">
        <w:rPr>
          <w:lang w:val="en-NZ"/>
        </w:rPr>
        <w:t xml:space="preserve">first </w:t>
      </w:r>
      <w:r w:rsidR="00A53022" w:rsidRPr="00B24172">
        <w:rPr>
          <w:lang w:val="en-NZ"/>
        </w:rPr>
        <w:t>required, preferably</w:t>
      </w:r>
      <w:r w:rsidR="00367EDB" w:rsidRPr="00B24172">
        <w:rPr>
          <w:lang w:val="en-NZ"/>
        </w:rPr>
        <w:t xml:space="preserve"> in the </w:t>
      </w:r>
      <w:r w:rsidR="00031228" w:rsidRPr="00B24172">
        <w:rPr>
          <w:lang w:val="en-NZ"/>
        </w:rPr>
        <w:t xml:space="preserve">area </w:t>
      </w:r>
      <w:r w:rsidR="00367EDB" w:rsidRPr="00B24172">
        <w:rPr>
          <w:lang w:val="en-NZ"/>
        </w:rPr>
        <w:t>surrounding the kitch</w:t>
      </w:r>
      <w:r w:rsidR="00F53540" w:rsidRPr="00B24172">
        <w:rPr>
          <w:lang w:val="en-NZ"/>
        </w:rPr>
        <w:t xml:space="preserve">en. </w:t>
      </w:r>
      <w:r w:rsidR="00367EDB" w:rsidRPr="00B24172">
        <w:rPr>
          <w:lang w:val="en-NZ"/>
        </w:rPr>
        <w:t xml:space="preserve">The value of the land </w:t>
      </w:r>
      <w:r w:rsidR="00A53022" w:rsidRPr="00B24172">
        <w:rPr>
          <w:lang w:val="en-NZ"/>
        </w:rPr>
        <w:t>was not included</w:t>
      </w:r>
      <w:r w:rsidR="00367EDB" w:rsidRPr="00B24172">
        <w:rPr>
          <w:lang w:val="en-NZ"/>
        </w:rPr>
        <w:t xml:space="preserve"> in our cost estimation because</w:t>
      </w:r>
      <w:r w:rsidR="00A53022" w:rsidRPr="00B24172">
        <w:rPr>
          <w:lang w:val="en-NZ"/>
        </w:rPr>
        <w:t>:</w:t>
      </w:r>
      <w:r w:rsidR="00367EDB" w:rsidRPr="00B24172">
        <w:rPr>
          <w:lang w:val="en-NZ"/>
        </w:rPr>
        <w:t xml:space="preserve"> </w:t>
      </w:r>
      <w:r w:rsidR="00A53022" w:rsidRPr="00B24172">
        <w:rPr>
          <w:lang w:val="en-NZ"/>
        </w:rPr>
        <w:t>(1</w:t>
      </w:r>
      <w:r w:rsidR="00367EDB" w:rsidRPr="00B24172">
        <w:rPr>
          <w:lang w:val="en-NZ"/>
        </w:rPr>
        <w:t>) households usually do not need to purchase the land for installing the biogas plant</w:t>
      </w:r>
      <w:r w:rsidR="00A53022" w:rsidRPr="00B24172">
        <w:rPr>
          <w:lang w:val="en-NZ"/>
        </w:rPr>
        <w:t>;</w:t>
      </w:r>
      <w:r w:rsidR="00367EDB" w:rsidRPr="00B24172">
        <w:rPr>
          <w:lang w:val="en-NZ"/>
        </w:rPr>
        <w:t xml:space="preserve"> and </w:t>
      </w:r>
      <w:r w:rsidR="00A53022" w:rsidRPr="00B24172">
        <w:rPr>
          <w:lang w:val="en-NZ"/>
        </w:rPr>
        <w:t>(2</w:t>
      </w:r>
      <w:r w:rsidR="00367EDB" w:rsidRPr="00B24172">
        <w:rPr>
          <w:lang w:val="en-NZ"/>
        </w:rPr>
        <w:t>) after installation</w:t>
      </w:r>
      <w:r w:rsidR="00A53022" w:rsidRPr="00B24172">
        <w:rPr>
          <w:lang w:val="en-NZ"/>
        </w:rPr>
        <w:t>,</w:t>
      </w:r>
      <w:r w:rsidR="00367EDB" w:rsidRPr="00B24172">
        <w:rPr>
          <w:lang w:val="en-NZ"/>
        </w:rPr>
        <w:t xml:space="preserve"> </w:t>
      </w:r>
      <w:r w:rsidR="00A53022" w:rsidRPr="00B24172">
        <w:rPr>
          <w:lang w:val="en-NZ"/>
        </w:rPr>
        <w:t xml:space="preserve">the </w:t>
      </w:r>
      <w:r w:rsidR="00367EDB" w:rsidRPr="00B24172">
        <w:rPr>
          <w:lang w:val="en-NZ"/>
        </w:rPr>
        <w:t xml:space="preserve">land can </w:t>
      </w:r>
      <w:r w:rsidR="00A53022" w:rsidRPr="00B24172">
        <w:rPr>
          <w:lang w:val="en-NZ"/>
        </w:rPr>
        <w:t xml:space="preserve">also </w:t>
      </w:r>
      <w:r w:rsidR="00367EDB" w:rsidRPr="00B24172">
        <w:rPr>
          <w:lang w:val="en-NZ"/>
        </w:rPr>
        <w:t>be used for other purposes</w:t>
      </w:r>
      <w:r w:rsidR="00031228" w:rsidRPr="00B24172">
        <w:rPr>
          <w:lang w:val="en-NZ"/>
        </w:rPr>
        <w:t>,</w:t>
      </w:r>
      <w:r w:rsidR="00367EDB" w:rsidRPr="00B24172">
        <w:rPr>
          <w:lang w:val="en-NZ"/>
        </w:rPr>
        <w:t xml:space="preserve"> because biogas plant</w:t>
      </w:r>
      <w:r w:rsidR="00A53022" w:rsidRPr="00B24172">
        <w:rPr>
          <w:lang w:val="en-NZ"/>
        </w:rPr>
        <w:t>s</w:t>
      </w:r>
      <w:r w:rsidR="00367EDB" w:rsidRPr="00B24172">
        <w:rPr>
          <w:lang w:val="en-NZ"/>
        </w:rPr>
        <w:t xml:space="preserve"> usually do not </w:t>
      </w:r>
      <w:r w:rsidR="00A53022" w:rsidRPr="00B24172">
        <w:rPr>
          <w:lang w:val="en-NZ"/>
        </w:rPr>
        <w:t xml:space="preserve">produce a foul </w:t>
      </w:r>
      <w:r w:rsidR="00367EDB" w:rsidRPr="00B24172">
        <w:rPr>
          <w:lang w:val="en-NZ"/>
        </w:rPr>
        <w:t xml:space="preserve">odour. </w:t>
      </w:r>
      <w:r w:rsidR="00031228" w:rsidRPr="00B24172">
        <w:rPr>
          <w:lang w:val="en-NZ"/>
        </w:rPr>
        <w:t>I</w:t>
      </w:r>
      <w:r w:rsidR="00500048" w:rsidRPr="00B24172">
        <w:rPr>
          <w:lang w:val="en-NZ"/>
        </w:rPr>
        <w:t>n</w:t>
      </w:r>
      <w:r w:rsidR="00031228" w:rsidRPr="00B24172">
        <w:rPr>
          <w:lang w:val="en-NZ"/>
        </w:rPr>
        <w:t xml:space="preserve"> other words, there is no incremental cost associated with land for the biogas plant.</w:t>
      </w:r>
      <w:r w:rsidRPr="00B24172">
        <w:rPr>
          <w:lang w:val="en-NZ"/>
        </w:rPr>
        <w:t xml:space="preserve"> </w:t>
      </w:r>
      <w:r w:rsidR="00367EDB" w:rsidRPr="00B24172">
        <w:rPr>
          <w:lang w:val="en-NZ"/>
        </w:rPr>
        <w:t>It usually take</w:t>
      </w:r>
      <w:r w:rsidR="00A53022" w:rsidRPr="00B24172">
        <w:rPr>
          <w:lang w:val="en-NZ"/>
        </w:rPr>
        <w:t>s</w:t>
      </w:r>
      <w:r w:rsidR="00367EDB" w:rsidRPr="00B24172">
        <w:rPr>
          <w:lang w:val="en-NZ"/>
        </w:rPr>
        <w:t xml:space="preserve"> </w:t>
      </w:r>
      <w:r w:rsidR="00A53022" w:rsidRPr="00B24172">
        <w:rPr>
          <w:lang w:val="en-NZ"/>
        </w:rPr>
        <w:t xml:space="preserve">three </w:t>
      </w:r>
      <w:r w:rsidR="00367EDB" w:rsidRPr="00B24172">
        <w:rPr>
          <w:lang w:val="en-NZ"/>
        </w:rPr>
        <w:t xml:space="preserve">to </w:t>
      </w:r>
      <w:r w:rsidR="00A53022" w:rsidRPr="00B24172">
        <w:rPr>
          <w:lang w:val="en-NZ"/>
        </w:rPr>
        <w:t>seven</w:t>
      </w:r>
      <w:r w:rsidR="00367EDB" w:rsidRPr="00B24172">
        <w:rPr>
          <w:lang w:val="en-NZ"/>
        </w:rPr>
        <w:t xml:space="preserve"> days </w:t>
      </w:r>
      <w:r w:rsidR="00A53022" w:rsidRPr="00B24172">
        <w:rPr>
          <w:lang w:val="en-NZ"/>
        </w:rPr>
        <w:t xml:space="preserve">to </w:t>
      </w:r>
      <w:r w:rsidR="00367EDB" w:rsidRPr="00B24172">
        <w:rPr>
          <w:lang w:val="en-NZ"/>
        </w:rPr>
        <w:t xml:space="preserve">construct </w:t>
      </w:r>
      <w:r w:rsidR="00A53022" w:rsidRPr="00B24172">
        <w:rPr>
          <w:lang w:val="en-NZ"/>
        </w:rPr>
        <w:t xml:space="preserve">a </w:t>
      </w:r>
      <w:r w:rsidR="00367EDB" w:rsidRPr="00B24172">
        <w:rPr>
          <w:lang w:val="en-NZ"/>
        </w:rPr>
        <w:t>biogas plant</w:t>
      </w:r>
      <w:r w:rsidR="00A53022" w:rsidRPr="00B24172">
        <w:rPr>
          <w:lang w:val="en-NZ"/>
        </w:rPr>
        <w:t>,</w:t>
      </w:r>
      <w:r w:rsidR="00367EDB" w:rsidRPr="00B24172">
        <w:rPr>
          <w:lang w:val="en-NZ"/>
        </w:rPr>
        <w:t xml:space="preserve"> and then another week to dry </w:t>
      </w:r>
      <w:r w:rsidR="00031228" w:rsidRPr="00B24172">
        <w:rPr>
          <w:lang w:val="en-NZ"/>
        </w:rPr>
        <w:t>it out ready for use</w:t>
      </w:r>
      <w:r w:rsidR="00367EDB" w:rsidRPr="00B24172">
        <w:rPr>
          <w:lang w:val="en-NZ"/>
        </w:rPr>
        <w:t>. The cost of mason</w:t>
      </w:r>
      <w:r w:rsidR="00A53022" w:rsidRPr="00B24172">
        <w:rPr>
          <w:lang w:val="en-NZ"/>
        </w:rPr>
        <w:t>ry</w:t>
      </w:r>
      <w:r w:rsidR="00367EDB" w:rsidRPr="00B24172">
        <w:rPr>
          <w:lang w:val="en-NZ"/>
        </w:rPr>
        <w:t>, labour, material</w:t>
      </w:r>
      <w:r w:rsidR="00A53022" w:rsidRPr="00B24172">
        <w:rPr>
          <w:lang w:val="en-NZ"/>
        </w:rPr>
        <w:t>s</w:t>
      </w:r>
      <w:r w:rsidR="00367EDB" w:rsidRPr="00B24172">
        <w:rPr>
          <w:lang w:val="en-NZ"/>
        </w:rPr>
        <w:t xml:space="preserve"> (sand, bricks, cement</w:t>
      </w:r>
      <w:r w:rsidR="0031614E" w:rsidRPr="00B24172">
        <w:rPr>
          <w:lang w:val="en-NZ"/>
        </w:rPr>
        <w:t>, pipe</w:t>
      </w:r>
      <w:r w:rsidR="00D94F9D" w:rsidRPr="00B24172">
        <w:rPr>
          <w:lang w:val="en-NZ"/>
        </w:rPr>
        <w:t>,</w:t>
      </w:r>
      <w:r w:rsidR="00367EDB" w:rsidRPr="00B24172">
        <w:rPr>
          <w:lang w:val="en-NZ"/>
        </w:rPr>
        <w:t xml:space="preserve"> etc</w:t>
      </w:r>
      <w:r w:rsidR="00D94F9D" w:rsidRPr="00B24172">
        <w:rPr>
          <w:lang w:val="en-NZ"/>
        </w:rPr>
        <w:t>.</w:t>
      </w:r>
      <w:r w:rsidR="00367EDB" w:rsidRPr="00B24172">
        <w:rPr>
          <w:lang w:val="en-NZ"/>
        </w:rPr>
        <w:t>),</w:t>
      </w:r>
      <w:r w:rsidR="00C81AF0" w:rsidRPr="00B24172">
        <w:rPr>
          <w:lang w:val="en-NZ"/>
        </w:rPr>
        <w:t xml:space="preserve"> and</w:t>
      </w:r>
      <w:r w:rsidR="00367EDB" w:rsidRPr="00B24172">
        <w:rPr>
          <w:lang w:val="en-NZ"/>
        </w:rPr>
        <w:t xml:space="preserve"> pipe</w:t>
      </w:r>
      <w:r w:rsidR="00C81AF0" w:rsidRPr="00B24172">
        <w:rPr>
          <w:lang w:val="en-NZ"/>
        </w:rPr>
        <w:t>s</w:t>
      </w:r>
      <w:r w:rsidR="00367EDB" w:rsidRPr="00B24172">
        <w:rPr>
          <w:lang w:val="en-NZ"/>
        </w:rPr>
        <w:t xml:space="preserve">, is </w:t>
      </w:r>
      <w:r w:rsidR="00A53022" w:rsidRPr="00B24172">
        <w:rPr>
          <w:lang w:val="en-NZ"/>
        </w:rPr>
        <w:t xml:space="preserve">a </w:t>
      </w:r>
      <w:r w:rsidR="00367EDB" w:rsidRPr="00B24172">
        <w:rPr>
          <w:lang w:val="en-NZ"/>
        </w:rPr>
        <w:t xml:space="preserve">fixed cost </w:t>
      </w:r>
      <w:r w:rsidR="00A53022" w:rsidRPr="00B24172">
        <w:rPr>
          <w:lang w:val="en-NZ"/>
        </w:rPr>
        <w:t>of</w:t>
      </w:r>
      <w:r w:rsidR="00367EDB" w:rsidRPr="00B24172">
        <w:rPr>
          <w:lang w:val="en-NZ"/>
        </w:rPr>
        <w:t xml:space="preserve"> around PKR </w:t>
      </w:r>
      <w:r w:rsidR="009556E7" w:rsidRPr="00B24172">
        <w:rPr>
          <w:lang w:val="en-NZ"/>
        </w:rPr>
        <w:t>5</w:t>
      </w:r>
      <w:r w:rsidR="009A2520" w:rsidRPr="00B24172">
        <w:rPr>
          <w:lang w:val="en-NZ"/>
        </w:rPr>
        <w:t>0,282 (adjusted)</w:t>
      </w:r>
      <w:r w:rsidR="00367EDB" w:rsidRPr="00B24172">
        <w:rPr>
          <w:lang w:val="en-NZ"/>
        </w:rPr>
        <w:t xml:space="preserve"> (USD </w:t>
      </w:r>
      <w:r w:rsidR="009556E7" w:rsidRPr="00B24172">
        <w:rPr>
          <w:lang w:val="en-NZ"/>
        </w:rPr>
        <w:t>5</w:t>
      </w:r>
      <w:r w:rsidR="009A2520" w:rsidRPr="00B24172">
        <w:rPr>
          <w:lang w:val="en-NZ"/>
        </w:rPr>
        <w:t>02</w:t>
      </w:r>
      <w:r w:rsidR="00367EDB" w:rsidRPr="00B24172">
        <w:rPr>
          <w:lang w:val="en-NZ"/>
        </w:rPr>
        <w:t>)</w:t>
      </w:r>
      <w:r w:rsidR="009556E7" w:rsidRPr="00B24172">
        <w:rPr>
          <w:lang w:val="en-NZ"/>
        </w:rPr>
        <w:t xml:space="preserve"> </w:t>
      </w:r>
      <w:r w:rsidR="009556E7" w:rsidRPr="00B24172">
        <w:fldChar w:fldCharType="begin"/>
      </w:r>
      <w:r w:rsidR="00A260FD" w:rsidRPr="00B24172">
        <w:instrText xml:space="preserve"> ADDIN ZOTERO_ITEM CSL_CITATION {"citationID":"f1n3ApfN","properties":{"formattedCitation":"(Abbas, Ali, Adil, Bashir, &amp; Kamran, 2017)","plainCitation":"(Abbas, Ali, Adil, Bashir, &amp; Kamran, 2017)","dontUpdate":true,"noteIndex":0},"citationItems":[{"id":"yPj1CNji/ciKxSOn6","uris":["http://zotero.org/users/2699952/items/AI73EZAZ"],"uri":["http://zotero.org/users/2699952/items/AI73EZAZ"],"itemData":{"id":1103,"type":"article-journal","title":"Economic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Asif"}],"issued":{"date-parts":[["2017",7,1]]}}}],"schema":"https://github.com/citation-style-language/schema/raw/master/csl-citation.json"} </w:instrText>
      </w:r>
      <w:r w:rsidR="009556E7" w:rsidRPr="00B24172">
        <w:fldChar w:fldCharType="separate"/>
      </w:r>
      <w:r w:rsidR="009556E7" w:rsidRPr="00B24172">
        <w:rPr>
          <w:lang w:val="en-NZ"/>
        </w:rPr>
        <w:t>(Abbas</w:t>
      </w:r>
      <w:r w:rsidR="00ED7A65" w:rsidRPr="00B24172">
        <w:rPr>
          <w:i/>
        </w:rPr>
        <w:t xml:space="preserve"> et al.</w:t>
      </w:r>
      <w:r w:rsidR="009556E7" w:rsidRPr="00B24172">
        <w:rPr>
          <w:lang w:val="en-NZ"/>
        </w:rPr>
        <w:t xml:space="preserve"> 2017)</w:t>
      </w:r>
      <w:r w:rsidR="009556E7" w:rsidRPr="00B24172">
        <w:fldChar w:fldCharType="end"/>
      </w:r>
      <w:r w:rsidR="00F255C1" w:rsidRPr="00B24172">
        <w:rPr>
          <w:lang w:val="en-NZ"/>
        </w:rPr>
        <w:t>.</w:t>
      </w:r>
      <w:r w:rsidR="00367EDB" w:rsidRPr="00B24172">
        <w:rPr>
          <w:lang w:val="en-NZ"/>
        </w:rPr>
        <w:t xml:space="preserve"> </w:t>
      </w:r>
      <w:r w:rsidR="00D2604F" w:rsidRPr="00B24172">
        <w:rPr>
          <w:lang w:val="en-NZ"/>
        </w:rPr>
        <w:t xml:space="preserve">In addition, </w:t>
      </w:r>
      <w:r w:rsidR="00367EDB" w:rsidRPr="00B24172">
        <w:rPr>
          <w:lang w:val="en-NZ"/>
        </w:rPr>
        <w:t>stove</w:t>
      </w:r>
      <w:r w:rsidR="00A53022" w:rsidRPr="00B24172">
        <w:rPr>
          <w:lang w:val="en-NZ"/>
        </w:rPr>
        <w:t xml:space="preserve"> suitable</w:t>
      </w:r>
      <w:r w:rsidR="00367EDB" w:rsidRPr="00B24172">
        <w:rPr>
          <w:lang w:val="en-NZ"/>
        </w:rPr>
        <w:t xml:space="preserve"> for </w:t>
      </w:r>
      <w:r w:rsidR="00A53022" w:rsidRPr="00B24172">
        <w:rPr>
          <w:lang w:val="en-NZ"/>
        </w:rPr>
        <w:t xml:space="preserve">using </w:t>
      </w:r>
      <w:r w:rsidR="00367EDB" w:rsidRPr="00B24172">
        <w:rPr>
          <w:lang w:val="en-NZ"/>
        </w:rPr>
        <w:t>biogas</w:t>
      </w:r>
      <w:r w:rsidR="001378FC" w:rsidRPr="00B24172">
        <w:rPr>
          <w:lang w:val="en-NZ"/>
        </w:rPr>
        <w:t xml:space="preserve">, LPG, or </w:t>
      </w:r>
      <w:r w:rsidR="00D2604F" w:rsidRPr="00B24172">
        <w:rPr>
          <w:lang w:val="en-NZ"/>
        </w:rPr>
        <w:t>natural piped gas</w:t>
      </w:r>
      <w:r w:rsidR="00A35E17" w:rsidRPr="00B24172">
        <w:rPr>
          <w:lang w:val="en-NZ"/>
        </w:rPr>
        <w:t xml:space="preserve"> instead of simple burner</w:t>
      </w:r>
      <w:r w:rsidR="00A53022" w:rsidRPr="00B24172">
        <w:rPr>
          <w:lang w:val="en-NZ"/>
        </w:rPr>
        <w:t>.</w:t>
      </w:r>
      <w:r w:rsidR="00367EDB" w:rsidRPr="00B24172">
        <w:rPr>
          <w:lang w:val="en-NZ"/>
        </w:rPr>
        <w:t xml:space="preserve"> </w:t>
      </w:r>
      <w:r w:rsidR="00A53022" w:rsidRPr="00B24172">
        <w:rPr>
          <w:lang w:val="en-NZ"/>
        </w:rPr>
        <w:t xml:space="preserve">This </w:t>
      </w:r>
      <w:r w:rsidR="008771FC" w:rsidRPr="00B24172">
        <w:rPr>
          <w:lang w:val="en-NZ"/>
        </w:rPr>
        <w:t>cost</w:t>
      </w:r>
      <w:r w:rsidR="00A53022" w:rsidRPr="00B24172">
        <w:rPr>
          <w:lang w:val="en-NZ"/>
        </w:rPr>
        <w:t>s</w:t>
      </w:r>
      <w:r w:rsidR="008771FC" w:rsidRPr="00B24172">
        <w:rPr>
          <w:lang w:val="en-NZ"/>
        </w:rPr>
        <w:t xml:space="preserve"> around</w:t>
      </w:r>
      <w:r w:rsidR="005208EA" w:rsidRPr="00B24172">
        <w:rPr>
          <w:lang w:val="en-NZ"/>
        </w:rPr>
        <w:t xml:space="preserve"> </w:t>
      </w:r>
      <w:r w:rsidR="008771FC" w:rsidRPr="00B24172">
        <w:rPr>
          <w:lang w:val="en-NZ"/>
        </w:rPr>
        <w:t xml:space="preserve">USD </w:t>
      </w:r>
      <w:r w:rsidR="009D05F4" w:rsidRPr="00B24172">
        <w:rPr>
          <w:lang w:val="en-NZ"/>
        </w:rPr>
        <w:t>6</w:t>
      </w:r>
      <w:r w:rsidR="00367EDB" w:rsidRPr="00B24172">
        <w:rPr>
          <w:lang w:val="en-NZ"/>
        </w:rPr>
        <w:t>0</w:t>
      </w:r>
      <w:r w:rsidR="00A230E0" w:rsidRPr="00B24172">
        <w:rPr>
          <w:lang w:val="en-NZ"/>
        </w:rPr>
        <w:t xml:space="preserve"> </w:t>
      </w:r>
      <w:r w:rsidR="00AB3594" w:rsidRPr="00B24172">
        <w:rPr>
          <w:lang w:val="en-NZ"/>
        </w:rPr>
        <w:t xml:space="preserve">and </w:t>
      </w:r>
      <w:r w:rsidR="00A53022" w:rsidRPr="00B24172">
        <w:rPr>
          <w:lang w:val="en-NZ"/>
        </w:rPr>
        <w:t xml:space="preserve">has </w:t>
      </w:r>
      <w:r w:rsidR="00AB3594" w:rsidRPr="00B24172">
        <w:rPr>
          <w:lang w:val="en-NZ"/>
        </w:rPr>
        <w:t>an expected life of 10</w:t>
      </w:r>
      <w:r w:rsidR="00367EDB" w:rsidRPr="00B24172">
        <w:rPr>
          <w:lang w:val="en-NZ"/>
        </w:rPr>
        <w:t xml:space="preserve"> years</w:t>
      </w:r>
      <w:r w:rsidR="00C31FA2" w:rsidRPr="00B24172">
        <w:rPr>
          <w:lang w:val="en-NZ"/>
        </w:rPr>
        <w:t xml:space="preserve"> </w:t>
      </w:r>
      <w:r w:rsidR="00C05007" w:rsidRPr="00B24172">
        <w:rPr>
          <w:lang w:val="en-NZ"/>
        </w:rPr>
        <w:t xml:space="preserve">(Hutton et al., 2006) </w:t>
      </w:r>
      <w:r w:rsidR="00C67901" w:rsidRPr="00B24172">
        <w:rPr>
          <w:rFonts w:asciiTheme="majorBidi" w:hAnsiTheme="majorBidi" w:cstheme="majorBidi"/>
          <w:lang w:val="en-NZ" w:eastAsia="zh-CN"/>
        </w:rPr>
        <w:t xml:space="preserve">(we used </w:t>
      </w:r>
      <w:r w:rsidR="00A53022" w:rsidRPr="00B24172">
        <w:rPr>
          <w:rFonts w:asciiTheme="majorBidi" w:hAnsiTheme="majorBidi" w:cstheme="majorBidi"/>
          <w:lang w:val="en-NZ" w:eastAsia="zh-CN"/>
        </w:rPr>
        <w:t xml:space="preserve">the </w:t>
      </w:r>
      <w:r w:rsidR="00C67901" w:rsidRPr="00B24172">
        <w:rPr>
          <w:rFonts w:asciiTheme="majorBidi" w:hAnsiTheme="majorBidi" w:cstheme="majorBidi"/>
          <w:lang w:val="en-NZ" w:eastAsia="zh-CN"/>
        </w:rPr>
        <w:t xml:space="preserve">inflation adjusted price </w:t>
      </w:r>
      <w:r w:rsidR="00A53022" w:rsidRPr="00B24172">
        <w:rPr>
          <w:rFonts w:asciiTheme="majorBidi" w:hAnsiTheme="majorBidi" w:cstheme="majorBidi"/>
          <w:lang w:val="en-NZ" w:eastAsia="zh-CN"/>
        </w:rPr>
        <w:t xml:space="preserve">of </w:t>
      </w:r>
      <w:r w:rsidR="00C67901" w:rsidRPr="00B24172">
        <w:rPr>
          <w:rFonts w:asciiTheme="majorBidi" w:hAnsiTheme="majorBidi" w:cstheme="majorBidi"/>
          <w:lang w:val="en-NZ" w:eastAsia="zh-CN"/>
        </w:rPr>
        <w:t xml:space="preserve">PKR </w:t>
      </w:r>
      <w:r w:rsidR="00D2604F" w:rsidRPr="00B24172">
        <w:rPr>
          <w:rFonts w:asciiTheme="majorBidi" w:hAnsiTheme="majorBidi" w:cstheme="majorBidi"/>
          <w:lang w:val="en-NZ" w:eastAsia="zh-CN"/>
        </w:rPr>
        <w:t>7</w:t>
      </w:r>
      <w:r w:rsidR="00A22E3D" w:rsidRPr="00B24172">
        <w:rPr>
          <w:rFonts w:asciiTheme="majorBidi" w:hAnsiTheme="majorBidi" w:cstheme="majorBidi"/>
          <w:lang w:val="en-NZ" w:eastAsia="zh-CN"/>
        </w:rPr>
        <w:t>,</w:t>
      </w:r>
      <w:r w:rsidR="00D2604F" w:rsidRPr="00B24172">
        <w:rPr>
          <w:rFonts w:asciiTheme="majorBidi" w:hAnsiTheme="majorBidi" w:cstheme="majorBidi"/>
          <w:lang w:val="en-NZ" w:eastAsia="zh-CN"/>
        </w:rPr>
        <w:t>201</w:t>
      </w:r>
      <w:r w:rsidR="005208EA" w:rsidRPr="00B24172">
        <w:rPr>
          <w:rFonts w:asciiTheme="majorBidi" w:hAnsiTheme="majorBidi" w:cstheme="majorBidi"/>
          <w:lang w:val="en-NZ" w:eastAsia="zh-CN"/>
        </w:rPr>
        <w:t xml:space="preserve"> (USD 72)</w:t>
      </w:r>
      <w:r w:rsidR="00367EDB" w:rsidRPr="00B24172">
        <w:rPr>
          <w:lang w:val="en-NZ"/>
        </w:rPr>
        <w:t xml:space="preserve">. </w:t>
      </w:r>
    </w:p>
    <w:p w14:paraId="0E050B86" w14:textId="77777777" w:rsidR="00031228" w:rsidRPr="00B24172" w:rsidRDefault="00031228" w:rsidP="00031228">
      <w:pPr>
        <w:spacing w:line="288" w:lineRule="auto"/>
        <w:ind w:firstLine="720"/>
        <w:jc w:val="both"/>
        <w:rPr>
          <w:lang w:val="en-NZ"/>
        </w:rPr>
      </w:pPr>
    </w:p>
    <w:p w14:paraId="12ED8265" w14:textId="60614C52" w:rsidR="00F077B5" w:rsidRPr="00B24172" w:rsidRDefault="00031228" w:rsidP="00031228">
      <w:pPr>
        <w:spacing w:line="288" w:lineRule="auto"/>
        <w:ind w:firstLine="720"/>
        <w:jc w:val="both"/>
        <w:rPr>
          <w:lang w:val="en-NZ"/>
        </w:rPr>
      </w:pPr>
      <w:r w:rsidRPr="00B24172">
        <w:rPr>
          <w:lang w:val="en-NZ"/>
        </w:rPr>
        <w:t>In terms of operating costs, a</w:t>
      </w:r>
      <w:r w:rsidR="00367EDB" w:rsidRPr="00B24172">
        <w:rPr>
          <w:lang w:val="en-NZ"/>
        </w:rPr>
        <w:t xml:space="preserve"> 10m</w:t>
      </w:r>
      <w:r w:rsidR="00367EDB" w:rsidRPr="00B24172">
        <w:rPr>
          <w:vertAlign w:val="superscript"/>
          <w:lang w:val="en-NZ"/>
        </w:rPr>
        <w:t>3</w:t>
      </w:r>
      <w:r w:rsidR="00367EDB" w:rsidRPr="00B24172">
        <w:rPr>
          <w:lang w:val="en-NZ"/>
        </w:rPr>
        <w:t xml:space="preserve"> </w:t>
      </w:r>
      <w:r w:rsidR="00D94F9D" w:rsidRPr="00B24172">
        <w:rPr>
          <w:lang w:val="en-NZ"/>
        </w:rPr>
        <w:t xml:space="preserve">biogas </w:t>
      </w:r>
      <w:r w:rsidR="00A567EF" w:rsidRPr="00B24172">
        <w:rPr>
          <w:lang w:val="en-NZ"/>
        </w:rPr>
        <w:t xml:space="preserve">digester </w:t>
      </w:r>
      <w:r w:rsidR="00367EDB" w:rsidRPr="00B24172">
        <w:rPr>
          <w:lang w:val="en-NZ"/>
        </w:rPr>
        <w:t xml:space="preserve">needs around 10kg </w:t>
      </w:r>
      <w:r w:rsidR="00A567EF" w:rsidRPr="00B24172">
        <w:rPr>
          <w:lang w:val="en-NZ"/>
        </w:rPr>
        <w:t xml:space="preserve">of </w:t>
      </w:r>
      <w:r w:rsidR="00367EDB" w:rsidRPr="00B24172">
        <w:rPr>
          <w:lang w:val="en-NZ"/>
        </w:rPr>
        <w:t xml:space="preserve"> wet dung</w:t>
      </w:r>
      <w:r w:rsidR="005208EA" w:rsidRPr="00B24172">
        <w:rPr>
          <w:lang w:val="en-NZ"/>
        </w:rPr>
        <w:t xml:space="preserve"> in a day</w:t>
      </w:r>
      <w:r w:rsidR="00367EDB" w:rsidRPr="00B24172">
        <w:rPr>
          <w:lang w:val="en-NZ"/>
        </w:rPr>
        <w:t xml:space="preserve"> mixed with </w:t>
      </w:r>
      <w:r w:rsidR="00A567EF" w:rsidRPr="00B24172">
        <w:rPr>
          <w:lang w:val="en-NZ"/>
        </w:rPr>
        <w:t xml:space="preserve">an </w:t>
      </w:r>
      <w:r w:rsidR="00367EDB" w:rsidRPr="00B24172">
        <w:rPr>
          <w:lang w:val="en-NZ"/>
        </w:rPr>
        <w:t>equal amount of water</w:t>
      </w:r>
      <w:r w:rsidRPr="00B24172">
        <w:rPr>
          <w:lang w:val="en-NZ"/>
        </w:rPr>
        <w:t>, in order</w:t>
      </w:r>
      <w:r w:rsidR="00367EDB" w:rsidRPr="00B24172">
        <w:rPr>
          <w:lang w:val="en-NZ"/>
        </w:rPr>
        <w:t xml:space="preserve"> to produce</w:t>
      </w:r>
      <w:r w:rsidR="00A567EF" w:rsidRPr="00B24172">
        <w:rPr>
          <w:lang w:val="en-NZ"/>
        </w:rPr>
        <w:t xml:space="preserve"> enough</w:t>
      </w:r>
      <w:r w:rsidR="00367EDB" w:rsidRPr="00B24172">
        <w:rPr>
          <w:lang w:val="en-NZ"/>
        </w:rPr>
        <w:t xml:space="preserve"> gas for an average family </w:t>
      </w:r>
      <w:r w:rsidR="00367EDB" w:rsidRPr="00B24172">
        <w:rPr>
          <w:lang w:val="en-NZ"/>
        </w:rPr>
        <w:fldChar w:fldCharType="begin"/>
      </w:r>
      <w:r w:rsidR="00A260FD" w:rsidRPr="00B24172">
        <w:rPr>
          <w:lang w:val="en-NZ"/>
        </w:rPr>
        <w:instrText xml:space="preserve"> ADDIN ZOTERO_ITEM CSL_CITATION {"citationID":"hXQGhGJv","properties":{"formattedCitation":"(Bhat et al., 2001)","plainCitation":"(Bhat et al., 2001)","noteIndex":0},"citationItems":[{"id":"yPj1CNji/8PPuCPWi","uris":["http://zotero.org/users/2699952/items/S2JFNK6M"],"uri":["http://zotero.org/users/2699952/items/S2JFNK6M"],"itemData":{"id":1117,"type":"article-journal","title":"Biogas plant dissemination: success story of Sirsi, India","container-title":"Energy for Sustainable Development","page":"39-46","volume":"5","issue":"1","source":"ScienceDirect","abstract":"Dissemination of alternative energy technologies such as biogas in various parts of the world has rarely led to a success rate of 90%. This study in Sirsi block, Karnataka, south India, revealed that 43% of rural households (HH) had dung resources to operate biogas plants and 65% of them had already built biogas plants. 100% of the plants built were functioning satisfactorily and 85% of HH with biogas plants met all their cooking energy needs with biogas, improving the quality of life of women. The presence of multiple agencies in the dissemination network, participation of entrepreneurs competing to assist households in all aspects of biogas plant construction, commissioning, procuring subsidy, guaranteed performance and free servicing contributed to the high rate of success (of 100% of biogas plants being functional). Most biogas plants built had excess plant capacity, with cost implications. An observed shift in the design choice from mild steel floating drum design to fibre reinforced plastic-based floating drum design and then to a less expensive fixed dome model shows that rural households respond quickly to technological developments. The paper discusses the roles of various factors and their implications for future dissemination programmes.","DOI":"10.1016/S0973-0826(09)60019-3","ISSN":"0973-0826","shortTitle":"Biogas plant dissemination","journalAbbreviation":"Energy for Sustainable Development","author":[{"family":"Bhat","given":"P. R."},{"family":"Chanakya","given":"H. N."},{"family":"Ravindranath","given":"N. H."}],"issued":{"date-parts":[["2001",3,1]]}}}],"schema":"https://github.com/citation-style-language/schema/raw/master/csl-citation.json"} </w:instrText>
      </w:r>
      <w:r w:rsidR="00367EDB" w:rsidRPr="00B24172">
        <w:rPr>
          <w:lang w:val="en-NZ"/>
        </w:rPr>
        <w:fldChar w:fldCharType="separate"/>
      </w:r>
      <w:r w:rsidR="00A260FD" w:rsidRPr="00B24172">
        <w:t>(Bhat et al., 2001)</w:t>
      </w:r>
      <w:r w:rsidR="00367EDB" w:rsidRPr="00B24172">
        <w:rPr>
          <w:lang w:val="en-NZ"/>
        </w:rPr>
        <w:fldChar w:fldCharType="end"/>
      </w:r>
      <w:r w:rsidR="00367EDB" w:rsidRPr="00B24172">
        <w:rPr>
          <w:lang w:val="en-NZ"/>
        </w:rPr>
        <w:t xml:space="preserve">. </w:t>
      </w:r>
      <w:r w:rsidR="00C91DC8" w:rsidRPr="00B24172">
        <w:rPr>
          <w:lang w:val="en-NZ"/>
        </w:rPr>
        <w:t xml:space="preserve">We did not include the expenditures on dung because usually biogas adopters have </w:t>
      </w:r>
      <w:r w:rsidR="00D94F9D" w:rsidRPr="00B24172">
        <w:rPr>
          <w:lang w:val="en-NZ"/>
        </w:rPr>
        <w:t>access to freely available animal dung</w:t>
      </w:r>
      <w:r w:rsidR="00525046" w:rsidRPr="00B24172">
        <w:rPr>
          <w:lang w:val="en-NZ"/>
        </w:rPr>
        <w:t xml:space="preserve"> </w:t>
      </w:r>
      <w:r w:rsidR="00525046" w:rsidRPr="00B24172">
        <w:rPr>
          <w:lang w:val="en-NZ"/>
        </w:rPr>
        <w:fldChar w:fldCharType="begin"/>
      </w:r>
      <w:r w:rsidR="00A260FD" w:rsidRPr="00B24172">
        <w:rPr>
          <w:lang w:val="en-NZ"/>
        </w:rPr>
        <w:instrText xml:space="preserve"> ADDIN ZOTERO_ITEM CSL_CITATION {"citationID":"bdxnKdL9","properties":{"formattedCitation":"(Irfan et al., 2018)","plainCitation":"(Irfan et al., 2018)","noteIndex":0},"citationItems":[{"id":"yPj1CNji/xNCa1p5v","uris":["http://zotero.org/users/2699952/items/73KUF9FR"],"uri":["http://zotero.org/users/2699952/items/73KUF9FR"],"itemData":{"id":1247,"type":"article-journal","title":"Household energy elasticities and policy implications for Pakistan","container-title":"Energy Policy","page":"633-642","volume":"113","source":"ScienceDirect","abstract":"This study estimates fuel expenditure and price elasticities of household fuels in Pakistan. The burning of biomass is harmful to health and the environment and may cause preventable morbidity and mortality. It is important to investigate how households' fuel choices are linked to prices, so that governments can consider appropriate steps to enhance the consumption of clean fuels. Using three pooled cross-sectional surveys from Pakistan and applying the Linear Approximate Almost Ideal Demand System (LA-AIDS) model, we found that all fuel types except natural gas were price inelastic at the national level and for urban households. In rural areas, natural gas and LPG were found to be more price elastic compared to urban areas. Simple policy simulations based on our results suggest that in order to reduce indoor air pollution by encouraging the adoption of clean fuels (LPG and piped natural gas), governments should subsidies clean fuels rather than imposing taxes on solid fuels. Moreover, in the case of Pakistan a subsidy for LPG should be preferred over a subsidy for piped natural gas, as it produces a more cost-effective reduction in solid fuel use.","DOI":"10.1016/j.enpol.2017.11.041","ISSN":"0301-4215","journalAbbreviation":"Energy Policy","author":[{"family":"Irfan","given":"Muhammad"},{"family":"Cameron","given":"Michael P."},{"family":"Hassan","given":"Gazi"}],"issued":{"date-parts":[["2018",2,1]]}}}],"schema":"https://github.com/citation-style-language/schema/raw/master/csl-citation.json"} </w:instrText>
      </w:r>
      <w:r w:rsidR="00525046" w:rsidRPr="00B24172">
        <w:rPr>
          <w:lang w:val="en-NZ"/>
        </w:rPr>
        <w:fldChar w:fldCharType="separate"/>
      </w:r>
      <w:r w:rsidR="00A260FD" w:rsidRPr="00B24172">
        <w:t>(Irfan et al., 2018)</w:t>
      </w:r>
      <w:r w:rsidR="00525046" w:rsidRPr="00B24172">
        <w:rPr>
          <w:lang w:val="en-NZ"/>
        </w:rPr>
        <w:fldChar w:fldCharType="end"/>
      </w:r>
      <w:r w:rsidR="00C91DC8" w:rsidRPr="00B24172">
        <w:rPr>
          <w:lang w:val="en-NZ"/>
        </w:rPr>
        <w:t>.</w:t>
      </w:r>
      <w:r w:rsidR="00367EDB" w:rsidRPr="00B24172">
        <w:rPr>
          <w:lang w:val="en-NZ"/>
        </w:rPr>
        <w:t xml:space="preserve"> </w:t>
      </w:r>
      <w:r w:rsidR="00C91DC8" w:rsidRPr="00B24172">
        <w:rPr>
          <w:lang w:val="en-NZ"/>
        </w:rPr>
        <w:t>However, l</w:t>
      </w:r>
      <w:r w:rsidR="00367EDB" w:rsidRPr="00B24172">
        <w:rPr>
          <w:lang w:val="en-NZ"/>
        </w:rPr>
        <w:t>abour hours are</w:t>
      </w:r>
      <w:r w:rsidR="00A567EF" w:rsidRPr="00B24172">
        <w:rPr>
          <w:lang w:val="en-NZ"/>
        </w:rPr>
        <w:t xml:space="preserve"> </w:t>
      </w:r>
      <w:r w:rsidR="00367EDB" w:rsidRPr="00B24172">
        <w:rPr>
          <w:lang w:val="en-NZ"/>
        </w:rPr>
        <w:t>required to feed the plant and to collect the slurry (waste after using dung)</w:t>
      </w:r>
      <w:r w:rsidR="00A567EF" w:rsidRPr="00B24172">
        <w:rPr>
          <w:lang w:val="en-NZ"/>
        </w:rPr>
        <w:t>.</w:t>
      </w:r>
      <w:r w:rsidR="00051386" w:rsidRPr="00B24172">
        <w:rPr>
          <w:lang w:val="en-NZ"/>
        </w:rPr>
        <w:t xml:space="preserve"> </w:t>
      </w:r>
      <w:r w:rsidR="00265228" w:rsidRPr="00B24172">
        <w:rPr>
          <w:lang w:val="en-NZ"/>
        </w:rPr>
        <w:t xml:space="preserve">We </w:t>
      </w:r>
      <w:r w:rsidR="00D94F9D" w:rsidRPr="00B24172">
        <w:rPr>
          <w:lang w:val="en-NZ"/>
        </w:rPr>
        <w:t>assume</w:t>
      </w:r>
      <w:r w:rsidR="00265228" w:rsidRPr="00B24172">
        <w:rPr>
          <w:lang w:val="en-NZ"/>
        </w:rPr>
        <w:t xml:space="preserve"> 45</w:t>
      </w:r>
      <w:r w:rsidR="0002059F" w:rsidRPr="00B24172">
        <w:rPr>
          <w:lang w:val="en-NZ"/>
        </w:rPr>
        <w:t xml:space="preserve"> minutes </w:t>
      </w:r>
      <w:r w:rsidRPr="00B24172">
        <w:rPr>
          <w:lang w:val="en-NZ"/>
        </w:rPr>
        <w:t>per</w:t>
      </w:r>
      <w:r w:rsidR="0002059F" w:rsidRPr="00B24172">
        <w:rPr>
          <w:lang w:val="en-NZ"/>
        </w:rPr>
        <w:t xml:space="preserve"> day</w:t>
      </w:r>
      <w:r w:rsidR="00265228" w:rsidRPr="00B24172">
        <w:rPr>
          <w:lang w:val="en-NZ"/>
        </w:rPr>
        <w:t xml:space="preserve"> </w:t>
      </w:r>
      <w:r w:rsidRPr="00B24172">
        <w:rPr>
          <w:lang w:val="en-NZ"/>
        </w:rPr>
        <w:t>for</w:t>
      </w:r>
      <w:r w:rsidR="00265228" w:rsidRPr="00B24172">
        <w:rPr>
          <w:lang w:val="en-NZ"/>
        </w:rPr>
        <w:t xml:space="preserve"> these chores</w:t>
      </w:r>
      <w:r w:rsidR="0002059F" w:rsidRPr="00B24172">
        <w:rPr>
          <w:lang w:val="en-NZ"/>
        </w:rPr>
        <w:t xml:space="preserve">. Using the hedonic wage method </w:t>
      </w:r>
      <w:r w:rsidR="0002059F" w:rsidRPr="00B24172">
        <w:rPr>
          <w:lang w:val="en-NZ"/>
        </w:rPr>
        <w:fldChar w:fldCharType="begin"/>
      </w:r>
      <w:r w:rsidR="00A260FD" w:rsidRPr="00B24172">
        <w:rPr>
          <w:lang w:val="en-NZ"/>
        </w:rPr>
        <w:instrText xml:space="preserve"> ADDIN ZOTERO_ITEM CSL_CITATION {"citationID":"C0NR1jlB","properties":{"formattedCitation":"(Environment, 2013)","plainCitation":"(Environment, 2013)","dontUpdate":true,"noteIndex":0},"citationItems":[{"id":"yPj1CNji/Oyrs9RvU","uris":["http://zotero.org/users/2699952/items/M8D6IGRP"],"uri":["http://zotero.org/users/2699952/items/M8D6IGRP"],"itemData":{"id":206,"type":"webpage","title":"A Methodology for Cost-Benefit Analysis of Ambient Air Pollution Health Impacts","genre":"Text","abstract":"Executive summary","URL":"https://www.environment.gov.au/protection/publications/methodology-cost-benefit-analysis-ambient-air-pollution-health-impacts","language":"en","author":[{"family":"Environment","given":"Department","dropping-particle":"of the"}],"issued":{"date-parts":[["2013",7,4]]},"accessed":{"date-parts":[["2015",12,3]]}}}],"schema":"https://github.com/citation-style-language/schema/raw/master/csl-citation.json"} </w:instrText>
      </w:r>
      <w:r w:rsidR="0002059F" w:rsidRPr="00B24172">
        <w:rPr>
          <w:lang w:val="en-NZ"/>
        </w:rPr>
        <w:fldChar w:fldCharType="separate"/>
      </w:r>
      <w:r w:rsidR="0002059F" w:rsidRPr="00B24172">
        <w:t>(Department of the Environment, 2013)</w:t>
      </w:r>
      <w:r w:rsidR="0002059F" w:rsidRPr="00B24172">
        <w:rPr>
          <w:lang w:val="en-NZ"/>
        </w:rPr>
        <w:fldChar w:fldCharType="end"/>
      </w:r>
      <w:r w:rsidR="0002059F" w:rsidRPr="00B24172">
        <w:rPr>
          <w:lang w:val="en-NZ"/>
        </w:rPr>
        <w:t>, and the Pakistan minimum wage of</w:t>
      </w:r>
      <w:r w:rsidR="0002059F" w:rsidRPr="00B24172">
        <w:t xml:space="preserve"> PKR 500 per eight-hou</w:t>
      </w:r>
      <w:r w:rsidR="00A35E17" w:rsidRPr="00B24172">
        <w:t>r day</w:t>
      </w:r>
      <w:r w:rsidR="0002059F" w:rsidRPr="00B24172">
        <w:t xml:space="preserve">, this </w:t>
      </w:r>
      <w:proofErr w:type="spellStart"/>
      <w:r w:rsidR="0002059F" w:rsidRPr="00B24172">
        <w:t>labour</w:t>
      </w:r>
      <w:proofErr w:type="spellEnd"/>
      <w:r w:rsidR="0002059F" w:rsidRPr="00B24172">
        <w:t xml:space="preserve"> cost would be PKR </w:t>
      </w:r>
      <w:r w:rsidR="00A35E17" w:rsidRPr="00B24172">
        <w:t>46</w:t>
      </w:r>
      <w:r w:rsidR="0002059F" w:rsidRPr="00B24172">
        <w:t>.</w:t>
      </w:r>
      <w:r w:rsidR="00A35E17" w:rsidRPr="00B24172">
        <w:t>8</w:t>
      </w:r>
      <w:r w:rsidR="0002059F" w:rsidRPr="00B24172">
        <w:t>.</w:t>
      </w:r>
      <w:r w:rsidR="0002059F" w:rsidRPr="00B24172">
        <w:rPr>
          <w:rStyle w:val="FootnoteReference"/>
        </w:rPr>
        <w:footnoteReference w:id="8"/>
      </w:r>
      <w:r w:rsidR="0002059F" w:rsidRPr="00B24172">
        <w:rPr>
          <w:lang w:val="en-NZ"/>
        </w:rPr>
        <w:t xml:space="preserve"> Hence, </w:t>
      </w:r>
      <w:r w:rsidR="00D94F9D" w:rsidRPr="00B24172">
        <w:rPr>
          <w:lang w:val="en-NZ"/>
        </w:rPr>
        <w:t xml:space="preserve">the </w:t>
      </w:r>
      <w:r w:rsidR="0002059F" w:rsidRPr="00B24172">
        <w:rPr>
          <w:lang w:val="en-NZ"/>
        </w:rPr>
        <w:t>annual</w:t>
      </w:r>
      <w:r w:rsidRPr="00B24172">
        <w:rPr>
          <w:lang w:val="en-NZ"/>
        </w:rPr>
        <w:t xml:space="preserve"> labour</w:t>
      </w:r>
      <w:r w:rsidR="0002059F" w:rsidRPr="00B24172">
        <w:rPr>
          <w:lang w:val="en-NZ"/>
        </w:rPr>
        <w:t xml:space="preserve"> cost </w:t>
      </w:r>
      <w:r w:rsidRPr="00B24172">
        <w:rPr>
          <w:lang w:val="en-NZ"/>
        </w:rPr>
        <w:t>per</w:t>
      </w:r>
      <w:r w:rsidR="00A35E17" w:rsidRPr="00B24172">
        <w:rPr>
          <w:lang w:val="en-NZ"/>
        </w:rPr>
        <w:t xml:space="preserve"> household is</w:t>
      </w:r>
      <w:r w:rsidR="0002059F" w:rsidRPr="00B24172">
        <w:rPr>
          <w:lang w:val="en-NZ"/>
        </w:rPr>
        <w:t xml:space="preserve"> PKR </w:t>
      </w:r>
      <w:r w:rsidR="00A35E17" w:rsidRPr="00B24172">
        <w:rPr>
          <w:lang w:val="en-NZ"/>
        </w:rPr>
        <w:t>17,082</w:t>
      </w:r>
      <w:r w:rsidR="0002059F" w:rsidRPr="00B24172">
        <w:rPr>
          <w:lang w:val="en-NZ"/>
        </w:rPr>
        <w:t xml:space="preserve"> </w:t>
      </w:r>
      <w:r w:rsidR="0002059F" w:rsidRPr="00B24172">
        <w:rPr>
          <w:lang w:val="en-NZ"/>
        </w:rPr>
        <w:lastRenderedPageBreak/>
        <w:t>(USD 1</w:t>
      </w:r>
      <w:r w:rsidR="00A35E17" w:rsidRPr="00B24172">
        <w:rPr>
          <w:lang w:val="en-NZ"/>
        </w:rPr>
        <w:t xml:space="preserve">70). </w:t>
      </w:r>
      <w:r w:rsidRPr="00B24172">
        <w:t xml:space="preserve">The stove also has a maintenance cost of PKR </w:t>
      </w:r>
      <w:r w:rsidR="00D41D15" w:rsidRPr="00B24172">
        <w:t>332</w:t>
      </w:r>
      <w:r w:rsidRPr="00B24172">
        <w:t xml:space="preserve"> (adjusted)</w:t>
      </w:r>
      <w:r w:rsidR="005208EA" w:rsidRPr="00B24172">
        <w:t xml:space="preserve"> (USD 3.3)</w:t>
      </w:r>
      <w:r w:rsidRPr="00B24172">
        <w:t xml:space="preserve"> per year per household</w:t>
      </w:r>
      <w:r w:rsidR="00347101" w:rsidRPr="00B24172">
        <w:t xml:space="preserve"> </w:t>
      </w:r>
      <w:r w:rsidR="00CE2E8C" w:rsidRPr="00B24172">
        <w:t>(</w:t>
      </w:r>
      <w:proofErr w:type="spellStart"/>
      <w:r w:rsidR="00CE2E8C" w:rsidRPr="00B24172">
        <w:t>Jeuland</w:t>
      </w:r>
      <w:proofErr w:type="spellEnd"/>
      <w:r w:rsidR="00CE2E8C" w:rsidRPr="00B24172">
        <w:t xml:space="preserve"> and Soo, 2016).</w:t>
      </w:r>
      <w:r w:rsidR="009A2520" w:rsidRPr="00B24172">
        <w:t xml:space="preserve"> </w:t>
      </w:r>
    </w:p>
    <w:p w14:paraId="79D31450" w14:textId="77777777" w:rsidR="00DF4C6C" w:rsidRPr="00B24172" w:rsidRDefault="00DF4C6C" w:rsidP="00BF2AB8">
      <w:pPr>
        <w:spacing w:line="288" w:lineRule="auto"/>
        <w:ind w:firstLine="720"/>
        <w:jc w:val="both"/>
        <w:rPr>
          <w:lang w:val="en-NZ"/>
        </w:rPr>
      </w:pPr>
    </w:p>
    <w:p w14:paraId="0DA58E25" w14:textId="6AF282AE" w:rsidR="00367EDB" w:rsidRPr="00B24172" w:rsidRDefault="00317C90" w:rsidP="00B96DB8">
      <w:pPr>
        <w:pStyle w:val="Heading2"/>
        <w:spacing w:before="0" w:after="0" w:line="288" w:lineRule="auto"/>
        <w:rPr>
          <w:lang w:val="en-NZ"/>
        </w:rPr>
      </w:pPr>
      <w:r w:rsidRPr="00B24172">
        <w:rPr>
          <w:lang w:val="en-NZ"/>
        </w:rPr>
        <w:t xml:space="preserve">5.2 </w:t>
      </w:r>
      <w:r w:rsidR="00262E0F" w:rsidRPr="00B24172">
        <w:rPr>
          <w:lang w:val="en-NZ"/>
        </w:rPr>
        <w:t xml:space="preserve"> </w:t>
      </w:r>
      <w:r w:rsidR="00B96DB8" w:rsidRPr="00B24172">
        <w:rPr>
          <w:lang w:val="en-NZ"/>
        </w:rPr>
        <w:t xml:space="preserve">Costs of </w:t>
      </w:r>
      <w:r w:rsidR="00367EDB" w:rsidRPr="00B24172">
        <w:rPr>
          <w:lang w:val="en-NZ"/>
        </w:rPr>
        <w:t>LPG</w:t>
      </w:r>
    </w:p>
    <w:p w14:paraId="4CB2808A" w14:textId="77777777" w:rsidR="00584CCB" w:rsidRPr="00B24172" w:rsidRDefault="00584CCB" w:rsidP="00BF2AB8">
      <w:pPr>
        <w:spacing w:line="288" w:lineRule="auto"/>
        <w:jc w:val="both"/>
        <w:rPr>
          <w:sz w:val="12"/>
          <w:szCs w:val="12"/>
          <w:lang w:val="en-NZ"/>
        </w:rPr>
      </w:pPr>
    </w:p>
    <w:p w14:paraId="00350285" w14:textId="72E7CD37" w:rsidR="00F527C2" w:rsidRPr="00B24172" w:rsidRDefault="00F527C2" w:rsidP="005208EA">
      <w:pPr>
        <w:spacing w:line="288" w:lineRule="auto"/>
        <w:jc w:val="both"/>
        <w:rPr>
          <w:rFonts w:asciiTheme="majorBidi" w:hAnsiTheme="majorBidi" w:cstheme="majorBidi"/>
          <w:lang w:val="en-NZ" w:eastAsia="zh-CN"/>
        </w:rPr>
      </w:pPr>
      <w:r w:rsidRPr="00B24172">
        <w:rPr>
          <w:lang w:val="en-NZ"/>
        </w:rPr>
        <w:t xml:space="preserve">This intervention requires a methane stove (as noted in the previous subsection), with a cost of </w:t>
      </w:r>
      <w:r w:rsidR="00DC6DF5" w:rsidRPr="00B24172">
        <w:rPr>
          <w:lang w:val="en-NZ"/>
        </w:rPr>
        <w:t xml:space="preserve">PKR </w:t>
      </w:r>
      <w:r w:rsidR="00A22E3D" w:rsidRPr="00B24172">
        <w:rPr>
          <w:lang w:val="en-NZ"/>
        </w:rPr>
        <w:t>7,201</w:t>
      </w:r>
      <w:r w:rsidR="005208EA" w:rsidRPr="00B24172">
        <w:rPr>
          <w:lang w:val="en-NZ"/>
        </w:rPr>
        <w:t xml:space="preserve"> (USD 72)</w:t>
      </w:r>
      <w:r w:rsidR="00DC6DF5" w:rsidRPr="00B24172">
        <w:rPr>
          <w:lang w:val="en-NZ"/>
        </w:rPr>
        <w:t xml:space="preserve">. </w:t>
      </w:r>
      <w:r w:rsidRPr="00B24172">
        <w:rPr>
          <w:lang w:val="en-NZ"/>
        </w:rPr>
        <w:t xml:space="preserve">It also requires a domestic LPG cylinder. </w:t>
      </w:r>
      <w:r w:rsidR="00DC6DF5" w:rsidRPr="00B24172">
        <w:rPr>
          <w:lang w:val="en-NZ"/>
        </w:rPr>
        <w:t xml:space="preserve">The average cylinder costs around PKR </w:t>
      </w:r>
      <w:r w:rsidR="00A22E3D" w:rsidRPr="00B24172">
        <w:rPr>
          <w:lang w:val="en-NZ"/>
        </w:rPr>
        <w:t>6,001</w:t>
      </w:r>
      <w:r w:rsidR="00DC6DF5" w:rsidRPr="00B24172">
        <w:rPr>
          <w:lang w:val="en-NZ"/>
        </w:rPr>
        <w:t xml:space="preserve"> (price adjusted) with 10 years of life expectancy </w:t>
      </w:r>
      <w:r w:rsidR="00A22E3D" w:rsidRPr="00B24172">
        <w:rPr>
          <w:lang w:val="en-NZ"/>
        </w:rPr>
        <w:t>(Hutton et al., 2006).</w:t>
      </w:r>
      <w:r w:rsidR="005208EA" w:rsidRPr="00B24172">
        <w:rPr>
          <w:rFonts w:asciiTheme="majorBidi" w:hAnsiTheme="majorBidi" w:cstheme="majorBidi"/>
          <w:lang w:val="en-NZ" w:eastAsia="zh-CN"/>
        </w:rPr>
        <w:t xml:space="preserve"> </w:t>
      </w:r>
      <w:r w:rsidRPr="00B24172">
        <w:rPr>
          <w:rFonts w:asciiTheme="majorBidi" w:hAnsiTheme="majorBidi" w:cstheme="majorBidi"/>
          <w:lang w:val="en-NZ" w:eastAsia="zh-CN"/>
        </w:rPr>
        <w:t>In terms of operating costs, t</w:t>
      </w:r>
      <w:r w:rsidR="007F0037" w:rsidRPr="00B24172">
        <w:rPr>
          <w:lang w:val="en-NZ"/>
        </w:rPr>
        <w:t xml:space="preserve">he average consumption of LPG and unit value price </w:t>
      </w:r>
      <w:r w:rsidR="002E6897" w:rsidRPr="00B24172">
        <w:rPr>
          <w:lang w:val="en-NZ"/>
        </w:rPr>
        <w:t xml:space="preserve">were </w:t>
      </w:r>
      <w:r w:rsidR="007F0037" w:rsidRPr="00B24172">
        <w:rPr>
          <w:lang w:val="en-NZ"/>
        </w:rPr>
        <w:t>taken from</w:t>
      </w:r>
      <w:r w:rsidR="002E6897" w:rsidRPr="00B24172">
        <w:rPr>
          <w:lang w:val="en-NZ"/>
        </w:rPr>
        <w:t xml:space="preserve"> the</w:t>
      </w:r>
      <w:r w:rsidR="007F0037" w:rsidRPr="00B24172">
        <w:rPr>
          <w:lang w:val="en-NZ"/>
        </w:rPr>
        <w:t xml:space="preserve"> Pakistan Social and Living Measurement Survey 2014. The </w:t>
      </w:r>
      <w:r w:rsidR="00816CDB" w:rsidRPr="00B24172">
        <w:rPr>
          <w:lang w:val="en-NZ"/>
        </w:rPr>
        <w:t xml:space="preserve">monthly </w:t>
      </w:r>
      <w:r w:rsidR="007C2169" w:rsidRPr="00B24172">
        <w:rPr>
          <w:lang w:val="en-NZ"/>
        </w:rPr>
        <w:t>mean c</w:t>
      </w:r>
      <w:r w:rsidR="00F43BC5" w:rsidRPr="00B24172">
        <w:rPr>
          <w:lang w:val="en-NZ"/>
        </w:rPr>
        <w:t>onsumption of LPG is around 6</w:t>
      </w:r>
      <w:r w:rsidR="0025418A" w:rsidRPr="00B24172">
        <w:rPr>
          <w:lang w:val="en-NZ"/>
        </w:rPr>
        <w:t>.35</w:t>
      </w:r>
      <w:r w:rsidR="007C2169" w:rsidRPr="00B24172">
        <w:rPr>
          <w:lang w:val="en-NZ"/>
        </w:rPr>
        <w:t>kg</w:t>
      </w:r>
      <w:r w:rsidR="0025418A" w:rsidRPr="00B24172">
        <w:rPr>
          <w:lang w:val="en-NZ"/>
        </w:rPr>
        <w:t xml:space="preserve"> </w:t>
      </w:r>
      <w:r w:rsidR="00816CDB" w:rsidRPr="00B24172">
        <w:rPr>
          <w:lang w:val="en-NZ"/>
        </w:rPr>
        <w:t>and t</w:t>
      </w:r>
      <w:r w:rsidR="007F0037" w:rsidRPr="00B24172">
        <w:rPr>
          <w:lang w:val="en-NZ"/>
        </w:rPr>
        <w:t xml:space="preserve">he average price of the LPG is </w:t>
      </w:r>
      <w:r w:rsidR="004C0A4E" w:rsidRPr="00B24172">
        <w:rPr>
          <w:lang w:val="en-NZ"/>
        </w:rPr>
        <w:t>PKR</w:t>
      </w:r>
      <w:r w:rsidR="00816CDB" w:rsidRPr="00B24172">
        <w:rPr>
          <w:lang w:val="en-NZ"/>
        </w:rPr>
        <w:t xml:space="preserve"> 138.5</w:t>
      </w:r>
      <w:r w:rsidR="007F0037" w:rsidRPr="00B24172">
        <w:rPr>
          <w:lang w:val="en-NZ"/>
        </w:rPr>
        <w:t>/kg</w:t>
      </w:r>
      <w:r w:rsidR="002E6897" w:rsidRPr="00B24172">
        <w:rPr>
          <w:lang w:val="en-NZ"/>
        </w:rPr>
        <w:t>, meaning an</w:t>
      </w:r>
      <w:r w:rsidR="007F0037" w:rsidRPr="00B24172">
        <w:rPr>
          <w:lang w:val="en-NZ"/>
        </w:rPr>
        <w:t xml:space="preserve"> annual cost </w:t>
      </w:r>
      <w:r w:rsidR="002E6897" w:rsidRPr="00B24172">
        <w:rPr>
          <w:lang w:val="en-NZ"/>
        </w:rPr>
        <w:t>of</w:t>
      </w:r>
      <w:r w:rsidR="007F0037" w:rsidRPr="00B24172">
        <w:rPr>
          <w:lang w:val="en-NZ"/>
        </w:rPr>
        <w:t xml:space="preserve"> </w:t>
      </w:r>
      <w:r w:rsidR="004C0A4E" w:rsidRPr="00B24172">
        <w:rPr>
          <w:lang w:val="en-NZ"/>
        </w:rPr>
        <w:t>PKR</w:t>
      </w:r>
      <w:r w:rsidR="007F0037" w:rsidRPr="00B24172">
        <w:rPr>
          <w:lang w:val="en-NZ"/>
        </w:rPr>
        <w:t xml:space="preserve"> </w:t>
      </w:r>
      <w:r w:rsidR="0025418A" w:rsidRPr="00B24172">
        <w:rPr>
          <w:lang w:val="en-NZ"/>
        </w:rPr>
        <w:t>10,</w:t>
      </w:r>
      <w:r w:rsidR="00816CDB" w:rsidRPr="00B24172">
        <w:rPr>
          <w:lang w:val="en-NZ"/>
        </w:rPr>
        <w:t>553</w:t>
      </w:r>
      <w:r w:rsidR="005208EA" w:rsidRPr="00B24172">
        <w:rPr>
          <w:lang w:val="en-NZ"/>
        </w:rPr>
        <w:t xml:space="preserve"> (USD 105)</w:t>
      </w:r>
      <w:r w:rsidR="00816CDB" w:rsidRPr="00B24172">
        <w:rPr>
          <w:lang w:val="en-NZ"/>
        </w:rPr>
        <w:t xml:space="preserve"> (weighted consumption, PSLM-2014)</w:t>
      </w:r>
      <w:r w:rsidR="005446E5" w:rsidRPr="00B24172">
        <w:rPr>
          <w:lang w:val="en-NZ"/>
        </w:rPr>
        <w:t>.</w:t>
      </w:r>
      <w:r w:rsidR="00837E4B" w:rsidRPr="00B24172">
        <w:rPr>
          <w:lang w:val="en-NZ"/>
        </w:rPr>
        <w:t xml:space="preserve"> </w:t>
      </w:r>
      <w:r w:rsidR="0002059F" w:rsidRPr="00B24172">
        <w:rPr>
          <w:lang w:val="en-NZ"/>
        </w:rPr>
        <w:t xml:space="preserve">The stove </w:t>
      </w:r>
      <w:r w:rsidRPr="00B24172">
        <w:rPr>
          <w:lang w:val="en-NZ"/>
        </w:rPr>
        <w:t xml:space="preserve">also incurs a </w:t>
      </w:r>
      <w:r w:rsidR="0002059F" w:rsidRPr="00B24172">
        <w:rPr>
          <w:lang w:val="en-NZ"/>
        </w:rPr>
        <w:t xml:space="preserve">maintenance cost </w:t>
      </w:r>
      <w:r w:rsidR="00DC6DF5" w:rsidRPr="00B24172">
        <w:rPr>
          <w:lang w:val="en-NZ"/>
        </w:rPr>
        <w:t xml:space="preserve">of </w:t>
      </w:r>
      <w:r w:rsidR="0002059F" w:rsidRPr="00B24172">
        <w:rPr>
          <w:lang w:val="en-NZ"/>
        </w:rPr>
        <w:t>PKR 3</w:t>
      </w:r>
      <w:r w:rsidR="001C0A06" w:rsidRPr="00B24172">
        <w:rPr>
          <w:lang w:val="en-NZ"/>
        </w:rPr>
        <w:t>32</w:t>
      </w:r>
      <w:r w:rsidR="005208EA" w:rsidRPr="00B24172">
        <w:rPr>
          <w:lang w:val="en-NZ"/>
        </w:rPr>
        <w:t xml:space="preserve"> (USD 3.3)</w:t>
      </w:r>
      <w:r w:rsidR="0002059F" w:rsidRPr="00B24172">
        <w:rPr>
          <w:lang w:val="en-NZ"/>
        </w:rPr>
        <w:t xml:space="preserve"> per year per household </w:t>
      </w:r>
      <w:r w:rsidRPr="00B24172">
        <w:rPr>
          <w:lang w:val="en-NZ"/>
        </w:rPr>
        <w:t>(as noted in the previous subsection)</w:t>
      </w:r>
      <w:r w:rsidR="0002059F" w:rsidRPr="00B24172">
        <w:rPr>
          <w:lang w:val="en-NZ"/>
        </w:rPr>
        <w:t>.</w:t>
      </w:r>
    </w:p>
    <w:p w14:paraId="0E3DE1CD" w14:textId="77777777" w:rsidR="00DF4C6C" w:rsidRPr="00B24172" w:rsidRDefault="00DF4C6C" w:rsidP="00BF2AB8">
      <w:pPr>
        <w:spacing w:line="288" w:lineRule="auto"/>
        <w:jc w:val="both"/>
        <w:rPr>
          <w:lang w:val="en-NZ"/>
        </w:rPr>
      </w:pPr>
    </w:p>
    <w:p w14:paraId="728FF287" w14:textId="1FE93522" w:rsidR="00EC366B" w:rsidRPr="00B24172" w:rsidRDefault="00F36A0A" w:rsidP="00B96DB8">
      <w:pPr>
        <w:pStyle w:val="Heading2"/>
        <w:spacing w:before="0" w:after="0" w:line="288" w:lineRule="auto"/>
        <w:rPr>
          <w:lang w:val="en-NZ"/>
        </w:rPr>
      </w:pPr>
      <w:r w:rsidRPr="00B24172">
        <w:rPr>
          <w:lang w:val="en-NZ"/>
        </w:rPr>
        <w:t>5.</w:t>
      </w:r>
      <w:r w:rsidR="00F527C2" w:rsidRPr="00B24172">
        <w:rPr>
          <w:lang w:val="en-NZ"/>
        </w:rPr>
        <w:t>3</w:t>
      </w:r>
      <w:r w:rsidRPr="00B24172">
        <w:rPr>
          <w:lang w:val="en-NZ"/>
        </w:rPr>
        <w:t xml:space="preserve"> </w:t>
      </w:r>
      <w:r w:rsidR="00B2006C" w:rsidRPr="00B24172">
        <w:rPr>
          <w:lang w:val="en-NZ"/>
        </w:rPr>
        <w:t xml:space="preserve"> </w:t>
      </w:r>
      <w:r w:rsidR="00B96DB8" w:rsidRPr="00B24172">
        <w:rPr>
          <w:lang w:val="en-NZ"/>
        </w:rPr>
        <w:t xml:space="preserve">Costs of </w:t>
      </w:r>
      <w:r w:rsidRPr="00B24172">
        <w:rPr>
          <w:lang w:val="en-NZ"/>
        </w:rPr>
        <w:t>Natural</w:t>
      </w:r>
      <w:r w:rsidR="00EC366B" w:rsidRPr="00B24172">
        <w:rPr>
          <w:lang w:val="en-NZ"/>
        </w:rPr>
        <w:t xml:space="preserve"> </w:t>
      </w:r>
      <w:r w:rsidR="00B96DB8" w:rsidRPr="00B24172">
        <w:rPr>
          <w:lang w:val="en-NZ"/>
        </w:rPr>
        <w:t>G</w:t>
      </w:r>
      <w:r w:rsidR="00EC366B" w:rsidRPr="00B24172">
        <w:rPr>
          <w:lang w:val="en-NZ"/>
        </w:rPr>
        <w:t>as</w:t>
      </w:r>
    </w:p>
    <w:p w14:paraId="712D6BD5" w14:textId="77777777" w:rsidR="00584CCB" w:rsidRPr="00B24172" w:rsidRDefault="00584CCB" w:rsidP="00BF2AB8">
      <w:pPr>
        <w:spacing w:line="288" w:lineRule="auto"/>
        <w:jc w:val="both"/>
        <w:rPr>
          <w:sz w:val="12"/>
          <w:szCs w:val="12"/>
          <w:lang w:val="en-NZ"/>
        </w:rPr>
      </w:pPr>
    </w:p>
    <w:p w14:paraId="28EC1345" w14:textId="6C2078E8" w:rsidR="00F527C2" w:rsidRPr="00B24172" w:rsidRDefault="00F527C2" w:rsidP="005208EA">
      <w:pPr>
        <w:spacing w:line="288" w:lineRule="auto"/>
        <w:jc w:val="both"/>
        <w:rPr>
          <w:lang w:val="en-NZ"/>
        </w:rPr>
      </w:pPr>
      <w:r w:rsidRPr="00B24172">
        <w:rPr>
          <w:lang w:val="en-NZ"/>
        </w:rPr>
        <w:t>This intervention requires a methane stove</w:t>
      </w:r>
      <w:r w:rsidR="005208EA" w:rsidRPr="00B24172">
        <w:rPr>
          <w:lang w:val="en-NZ"/>
        </w:rPr>
        <w:t xml:space="preserve"> as well</w:t>
      </w:r>
      <w:r w:rsidRPr="00B24172">
        <w:rPr>
          <w:lang w:val="en-NZ"/>
        </w:rPr>
        <w:t xml:space="preserve"> (as noted in Subsection 5.1), with a cost of PKR </w:t>
      </w:r>
      <w:r w:rsidR="001C0A06" w:rsidRPr="00B24172">
        <w:rPr>
          <w:lang w:val="en-NZ"/>
        </w:rPr>
        <w:t>7,201</w:t>
      </w:r>
      <w:r w:rsidR="005208EA" w:rsidRPr="00B24172">
        <w:rPr>
          <w:lang w:val="en-NZ"/>
        </w:rPr>
        <w:t xml:space="preserve"> (USD 72)</w:t>
      </w:r>
      <w:r w:rsidRPr="00B24172">
        <w:rPr>
          <w:lang w:val="en-NZ"/>
        </w:rPr>
        <w:t>. It also requires piped gas connection, which involves connection charges of PKR 6000,</w:t>
      </w:r>
      <w:r w:rsidRPr="00B24172">
        <w:rPr>
          <w:rStyle w:val="FootnoteReference"/>
          <w:lang w:val="en-NZ"/>
        </w:rPr>
        <w:footnoteReference w:id="9"/>
      </w:r>
      <w:r w:rsidRPr="00B24172">
        <w:rPr>
          <w:lang w:val="en-NZ"/>
        </w:rPr>
        <w:t xml:space="preserve">  as well as PKR 8,844 for two days of labour for a gasfitter</w:t>
      </w:r>
      <w:r w:rsidRPr="00B24172">
        <w:rPr>
          <w:rStyle w:val="FootnoteReference"/>
          <w:lang w:val="en-NZ"/>
        </w:rPr>
        <w:footnoteReference w:id="10"/>
      </w:r>
      <w:r w:rsidRPr="00B24172">
        <w:rPr>
          <w:lang w:val="en-NZ"/>
        </w:rPr>
        <w:t xml:space="preserve"> and the cost of pipes. </w:t>
      </w:r>
      <w:r w:rsidR="00C355E3" w:rsidRPr="00B24172">
        <w:rPr>
          <w:lang w:val="en-NZ"/>
        </w:rPr>
        <w:t>On average</w:t>
      </w:r>
      <w:r w:rsidR="00DC6DF5" w:rsidRPr="00B24172">
        <w:rPr>
          <w:lang w:val="en-NZ"/>
        </w:rPr>
        <w:t>,</w:t>
      </w:r>
      <w:r w:rsidR="00C355E3" w:rsidRPr="00B24172">
        <w:rPr>
          <w:lang w:val="en-NZ"/>
        </w:rPr>
        <w:t xml:space="preserve"> 1.8 </w:t>
      </w:r>
      <w:r w:rsidR="00EB76D1" w:rsidRPr="00B24172">
        <w:rPr>
          <w:lang w:val="en-NZ"/>
        </w:rPr>
        <w:t>Million Metric British Thermal Units (MMBTU)</w:t>
      </w:r>
      <w:r w:rsidR="00C67901" w:rsidRPr="00B24172">
        <w:rPr>
          <w:lang w:val="en-NZ"/>
        </w:rPr>
        <w:t xml:space="preserve"> (</w:t>
      </w:r>
      <w:r w:rsidR="0025418A" w:rsidRPr="00B24172">
        <w:rPr>
          <w:lang w:val="en-NZ"/>
        </w:rPr>
        <w:t>weighted consumption, PSLM-2014</w:t>
      </w:r>
      <w:r w:rsidR="00C67901" w:rsidRPr="00B24172">
        <w:rPr>
          <w:lang w:val="en-NZ"/>
        </w:rPr>
        <w:t>)</w:t>
      </w:r>
      <w:r w:rsidRPr="00B24172">
        <w:rPr>
          <w:lang w:val="en-NZ"/>
        </w:rPr>
        <w:t xml:space="preserve"> of piped natural gas</w:t>
      </w:r>
      <w:r w:rsidR="00EB76D1" w:rsidRPr="00B24172">
        <w:rPr>
          <w:lang w:val="en-NZ"/>
        </w:rPr>
        <w:t xml:space="preserve"> are consumed by </w:t>
      </w:r>
      <w:r w:rsidR="00DC6DF5" w:rsidRPr="00B24172">
        <w:rPr>
          <w:lang w:val="en-NZ"/>
        </w:rPr>
        <w:t>each</w:t>
      </w:r>
      <w:r w:rsidRPr="00B24172">
        <w:rPr>
          <w:lang w:val="en-NZ"/>
        </w:rPr>
        <w:t xml:space="preserve"> connected</w:t>
      </w:r>
      <w:r w:rsidR="00EB76D1" w:rsidRPr="00B24172">
        <w:rPr>
          <w:lang w:val="en-NZ"/>
        </w:rPr>
        <w:t xml:space="preserve"> household month</w:t>
      </w:r>
      <w:r w:rsidR="00DC6DF5" w:rsidRPr="00B24172">
        <w:rPr>
          <w:lang w:val="en-NZ"/>
        </w:rPr>
        <w:t>ly</w:t>
      </w:r>
      <w:r w:rsidRPr="00B24172">
        <w:rPr>
          <w:lang w:val="en-NZ"/>
        </w:rPr>
        <w:t>,</w:t>
      </w:r>
      <w:r w:rsidR="00EB76D1" w:rsidRPr="00B24172">
        <w:rPr>
          <w:lang w:val="en-NZ"/>
        </w:rPr>
        <w:t xml:space="preserve"> and the average price of piped natural gas for the year 2014 was PKR 442</w:t>
      </w:r>
      <w:r w:rsidR="00EB76D1" w:rsidRPr="00B24172">
        <w:rPr>
          <w:rStyle w:val="FootnoteReference"/>
          <w:lang w:val="en-NZ"/>
        </w:rPr>
        <w:footnoteReference w:id="11"/>
      </w:r>
      <w:r w:rsidRPr="00B24172">
        <w:rPr>
          <w:lang w:val="en-NZ"/>
        </w:rPr>
        <w:t>,</w:t>
      </w:r>
      <w:r w:rsidR="00CB69D8" w:rsidRPr="00B24172">
        <w:rPr>
          <w:lang w:val="en-NZ"/>
        </w:rPr>
        <w:t xml:space="preserve"> and </w:t>
      </w:r>
      <w:r w:rsidRPr="00B24172">
        <w:rPr>
          <w:lang w:val="en-NZ"/>
        </w:rPr>
        <w:t xml:space="preserve">the </w:t>
      </w:r>
      <w:r w:rsidR="00CB69D8" w:rsidRPr="00B24172">
        <w:rPr>
          <w:lang w:val="en-NZ"/>
        </w:rPr>
        <w:t>annual maintenance cost was PKR 3</w:t>
      </w:r>
      <w:r w:rsidR="00D339CF" w:rsidRPr="00B24172">
        <w:rPr>
          <w:lang w:val="en-NZ"/>
        </w:rPr>
        <w:t>32</w:t>
      </w:r>
      <w:r w:rsidR="00CB69D8" w:rsidRPr="00B24172">
        <w:rPr>
          <w:lang w:val="en-NZ"/>
        </w:rPr>
        <w:t>.</w:t>
      </w:r>
      <w:r w:rsidR="00EB76D1" w:rsidRPr="00B24172">
        <w:rPr>
          <w:lang w:val="en-NZ"/>
        </w:rPr>
        <w:t xml:space="preserve"> In </w:t>
      </w:r>
      <w:r w:rsidR="00DC6DF5" w:rsidRPr="00B24172">
        <w:rPr>
          <w:lang w:val="en-NZ"/>
        </w:rPr>
        <w:t>total</w:t>
      </w:r>
      <w:r w:rsidR="0031614E" w:rsidRPr="00B24172">
        <w:rPr>
          <w:lang w:val="en-NZ"/>
        </w:rPr>
        <w:t>,</w:t>
      </w:r>
      <w:r w:rsidR="00EB76D1" w:rsidRPr="00B24172">
        <w:rPr>
          <w:lang w:val="en-NZ"/>
        </w:rPr>
        <w:t xml:space="preserve"> </w:t>
      </w:r>
      <w:r w:rsidR="00DC6DF5" w:rsidRPr="00B24172">
        <w:rPr>
          <w:lang w:val="en-NZ"/>
        </w:rPr>
        <w:t xml:space="preserve">the </w:t>
      </w:r>
      <w:r w:rsidR="00EB76D1" w:rsidRPr="00B24172">
        <w:rPr>
          <w:lang w:val="en-NZ"/>
        </w:rPr>
        <w:t xml:space="preserve">operating cost </w:t>
      </w:r>
      <w:r w:rsidR="00DC6DF5" w:rsidRPr="00B24172">
        <w:rPr>
          <w:lang w:val="en-NZ"/>
        </w:rPr>
        <w:t xml:space="preserve">for </w:t>
      </w:r>
      <w:r w:rsidR="00EB76D1" w:rsidRPr="00B24172">
        <w:rPr>
          <w:lang w:val="en-NZ"/>
        </w:rPr>
        <w:t xml:space="preserve">a household </w:t>
      </w:r>
      <w:r w:rsidR="005208EA" w:rsidRPr="00B24172">
        <w:rPr>
          <w:lang w:val="en-NZ"/>
        </w:rPr>
        <w:t>a</w:t>
      </w:r>
      <w:r w:rsidR="00DC6DF5" w:rsidRPr="00B24172">
        <w:rPr>
          <w:lang w:val="en-NZ"/>
        </w:rPr>
        <w:t xml:space="preserve"> </w:t>
      </w:r>
      <w:r w:rsidR="00EB76D1" w:rsidRPr="00B24172">
        <w:rPr>
          <w:lang w:val="en-NZ"/>
        </w:rPr>
        <w:t xml:space="preserve">year is </w:t>
      </w:r>
      <w:r w:rsidR="00E91590" w:rsidRPr="00B24172">
        <w:rPr>
          <w:lang w:val="en-NZ"/>
        </w:rPr>
        <w:t xml:space="preserve">PKR </w:t>
      </w:r>
      <w:r w:rsidR="00EB76D1" w:rsidRPr="00B24172">
        <w:rPr>
          <w:lang w:val="en-NZ"/>
        </w:rPr>
        <w:t>9</w:t>
      </w:r>
      <w:r w:rsidR="001A5A99" w:rsidRPr="00B24172">
        <w:rPr>
          <w:lang w:val="en-NZ"/>
        </w:rPr>
        <w:t>,</w:t>
      </w:r>
      <w:r w:rsidR="00CB69D8" w:rsidRPr="00B24172">
        <w:rPr>
          <w:lang w:val="en-NZ"/>
        </w:rPr>
        <w:t>921</w:t>
      </w:r>
      <w:r w:rsidR="005208EA" w:rsidRPr="00B24172">
        <w:rPr>
          <w:lang w:val="en-NZ"/>
        </w:rPr>
        <w:t xml:space="preserve"> (USD 99)</w:t>
      </w:r>
      <w:r w:rsidR="00293AE8" w:rsidRPr="00B24172">
        <w:rPr>
          <w:lang w:val="en-NZ"/>
        </w:rPr>
        <w:t>.</w:t>
      </w:r>
      <w:r w:rsidR="00EB76D1" w:rsidRPr="00B24172">
        <w:rPr>
          <w:lang w:val="en-NZ"/>
        </w:rPr>
        <w:t xml:space="preserve"> </w:t>
      </w:r>
    </w:p>
    <w:p w14:paraId="0EBD9A1D" w14:textId="77777777" w:rsidR="00F527C2" w:rsidRPr="00B24172" w:rsidRDefault="00F527C2" w:rsidP="00BF2AB8">
      <w:pPr>
        <w:spacing w:line="288" w:lineRule="auto"/>
        <w:jc w:val="both"/>
        <w:rPr>
          <w:lang w:val="en-NZ"/>
        </w:rPr>
      </w:pPr>
    </w:p>
    <w:p w14:paraId="2BC7B191" w14:textId="6BF69135" w:rsidR="008C1730" w:rsidRPr="00B24172" w:rsidRDefault="00F36A0A" w:rsidP="00B96DB8">
      <w:pPr>
        <w:pStyle w:val="Heading2"/>
        <w:spacing w:before="0" w:after="0" w:line="288" w:lineRule="auto"/>
        <w:rPr>
          <w:lang w:val="en-NZ"/>
        </w:rPr>
      </w:pPr>
      <w:r w:rsidRPr="00B24172">
        <w:rPr>
          <w:lang w:val="en-NZ"/>
        </w:rPr>
        <w:t>5.</w:t>
      </w:r>
      <w:r w:rsidR="00F527C2" w:rsidRPr="00B24172">
        <w:rPr>
          <w:lang w:val="en-NZ"/>
        </w:rPr>
        <w:t>4</w:t>
      </w:r>
      <w:r w:rsidRPr="00B24172">
        <w:rPr>
          <w:lang w:val="en-NZ"/>
        </w:rPr>
        <w:t xml:space="preserve"> </w:t>
      </w:r>
      <w:r w:rsidR="00B2006C" w:rsidRPr="00B24172">
        <w:rPr>
          <w:lang w:val="en-NZ"/>
        </w:rPr>
        <w:t xml:space="preserve"> </w:t>
      </w:r>
      <w:r w:rsidR="00B96DB8" w:rsidRPr="00B24172">
        <w:rPr>
          <w:lang w:val="en-NZ"/>
        </w:rPr>
        <w:t xml:space="preserve">Costs of </w:t>
      </w:r>
      <w:r w:rsidR="008C1730" w:rsidRPr="00B24172">
        <w:rPr>
          <w:lang w:val="en-NZ"/>
        </w:rPr>
        <w:t xml:space="preserve">Electric </w:t>
      </w:r>
      <w:r w:rsidR="00262E0F" w:rsidRPr="00B24172">
        <w:rPr>
          <w:lang w:val="en-NZ"/>
        </w:rPr>
        <w:t>S</w:t>
      </w:r>
      <w:r w:rsidR="008C1730" w:rsidRPr="00B24172">
        <w:rPr>
          <w:lang w:val="en-NZ"/>
        </w:rPr>
        <w:t>tove</w:t>
      </w:r>
      <w:r w:rsidR="00B96DB8" w:rsidRPr="00B24172">
        <w:rPr>
          <w:lang w:val="en-NZ"/>
        </w:rPr>
        <w:t>s</w:t>
      </w:r>
    </w:p>
    <w:p w14:paraId="43C9C80F" w14:textId="77777777" w:rsidR="00584CCB" w:rsidRPr="00B24172" w:rsidRDefault="00584CCB" w:rsidP="00BF2AB8">
      <w:pPr>
        <w:spacing w:line="288" w:lineRule="auto"/>
        <w:jc w:val="both"/>
        <w:rPr>
          <w:sz w:val="12"/>
          <w:szCs w:val="12"/>
          <w:lang w:val="en-NZ"/>
        </w:rPr>
      </w:pPr>
    </w:p>
    <w:p w14:paraId="324AEBDA" w14:textId="5B3B5650" w:rsidR="005A0EF8" w:rsidRPr="00B24172" w:rsidRDefault="005A0EF8" w:rsidP="005878FF">
      <w:pPr>
        <w:spacing w:line="288" w:lineRule="auto"/>
        <w:jc w:val="both"/>
        <w:rPr>
          <w:lang w:val="en-NZ"/>
        </w:rPr>
      </w:pPr>
      <w:r w:rsidRPr="00B24172">
        <w:rPr>
          <w:lang w:val="en-NZ"/>
        </w:rPr>
        <w:t>The cost of a medium-sized modern electric stove was around PKR 3</w:t>
      </w:r>
      <w:r w:rsidR="00080319" w:rsidRPr="00B24172">
        <w:rPr>
          <w:lang w:val="en-NZ"/>
        </w:rPr>
        <w:t>5</w:t>
      </w:r>
      <w:r w:rsidRPr="00B24172">
        <w:rPr>
          <w:lang w:val="en-NZ"/>
        </w:rPr>
        <w:t>,</w:t>
      </w:r>
      <w:r w:rsidR="005878FF" w:rsidRPr="00B24172">
        <w:rPr>
          <w:lang w:val="en-NZ"/>
        </w:rPr>
        <w:t>245</w:t>
      </w:r>
      <w:r w:rsidRPr="00B24172">
        <w:rPr>
          <w:lang w:val="en-NZ"/>
        </w:rPr>
        <w:t xml:space="preserve"> (adjusted)</w:t>
      </w:r>
      <w:r w:rsidR="005208EA" w:rsidRPr="00B24172">
        <w:rPr>
          <w:lang w:val="en-NZ"/>
        </w:rPr>
        <w:t xml:space="preserve"> (USD 352)</w:t>
      </w:r>
      <w:r w:rsidRPr="00B24172">
        <w:rPr>
          <w:lang w:val="en-NZ"/>
        </w:rPr>
        <w:t xml:space="preserve"> </w:t>
      </w:r>
      <w:r w:rsidRPr="00B24172">
        <w:rPr>
          <w:lang w:val="en-NZ"/>
        </w:rPr>
        <w:fldChar w:fldCharType="begin"/>
      </w:r>
      <w:r w:rsidR="00A260FD" w:rsidRPr="00B24172">
        <w:rPr>
          <w:lang w:val="en-NZ"/>
        </w:rPr>
        <w:instrText xml:space="preserve"> ADDIN ZOTERO_ITEM CSL_CITATION {"citationID":"2mgTtMx0","properties":{"formattedCitation":"(Jeuland &amp; Pattanayak, 2012)","plainCitation":"(Jeuland &amp; Pattanayak, 2012)","dontUpdate":true,"noteIndex":0},"citationItems":[{"id":"yPj1CNji/ViYRazKr","uris":["http://zotero.org/users/2699952/items/PCW63CBX"],"uri":["http://zotero.org/users/2699952/items/PCW63CBX"],"itemData":{"id":207,"type":"article-journal","title":"Benefits and Costs of Improved Cookstoves: Assessing the Implications of Variability in Health, Forest and Climate Impacts","container-title":"PLoS ONE","page":"e30338","volume":"7","issue":"2","source":"PLoS Journals","abstract":"Current attention to improved cook stoves (ICS) focuses on the “triple benefits” they provide, in improved health and time savings for households, in preservation of forests and associated ecosystem services, and in reducing emissions that contribute to global climate change. Despite the purported economic benefits of such technologies, however, progress in achieving large-scale adoption and use has been remarkably slow. This paper uses Monte Carlo simulation analysis to evaluate the claim that households will always reap positive and large benefits from the use of such technologies. Our analysis allows for better understanding of the variability in economic costs and benefits of ICS use in developing countries, which depend on unknown combinations of numerous uncertain parameters. The model results suggest that the private net benefits of ICS will sometimes be negative, and in many instances highly so. Moreover, carbon financing and social subsidies may help enhance incentives to adopt, but will not always be appropriate. The costs and benefits of these technologies are most affected by their relative fuel costs, time and fuel use efficiencies, the incidence and cost-of-illness of acute respiratory illness, and the cost of household cooking time. Combining these results with the fact that households often find these technologies to be inconvenient or culturally inappropriate leads us to understand why uptake has been disappointing. Given the current attention to the scale up of ICS, this analysis is timely and important for highlighting some of the challenges for global efforts to promote ICS.","DOI":"10.1371/journal.pone.0030338","shortTitle":"Benefits and Costs of Improved Cookstoves","journalAbbreviation":"PLoS ONE","author":[{"family":"Jeuland","given":"Marc A."},{"family":"Pattanayak","given":"Subhrendu K."}],"issued":{"date-parts":[["2012",2,13]]}}}],"schema":"https://github.com/citation-style-language/schema/raw/master/csl-citation.json"} </w:instrText>
      </w:r>
      <w:r w:rsidRPr="00B24172">
        <w:rPr>
          <w:lang w:val="en-NZ"/>
        </w:rPr>
        <w:fldChar w:fldCharType="separate"/>
      </w:r>
      <w:r w:rsidRPr="00B24172">
        <w:t>(Jeuland and Pattanayak, 2012)</w:t>
      </w:r>
      <w:r w:rsidRPr="00B24172">
        <w:rPr>
          <w:lang w:val="en-NZ"/>
        </w:rPr>
        <w:fldChar w:fldCharType="end"/>
      </w:r>
      <w:r w:rsidRPr="00B24172">
        <w:rPr>
          <w:lang w:val="en-NZ"/>
        </w:rPr>
        <w:t>, and the life of an electric stove is usually around 10 years. Most households (almost 87 percent (PSLM-2014)) already have an electricity connection that is used for lighting. Therefore, we ignored the electricity connection cost in our analysis. In terms of operating costs, a</w:t>
      </w:r>
      <w:r w:rsidR="00017446" w:rsidRPr="00B24172">
        <w:rPr>
          <w:lang w:val="en-NZ"/>
        </w:rPr>
        <w:t xml:space="preserve"> medium </w:t>
      </w:r>
      <w:r w:rsidR="008C1730" w:rsidRPr="00B24172">
        <w:rPr>
          <w:lang w:val="en-NZ"/>
        </w:rPr>
        <w:t>size modern electric stove uses around 1500 watts per hour</w:t>
      </w:r>
      <w:r w:rsidR="00541986" w:rsidRPr="00B24172">
        <w:rPr>
          <w:lang w:val="en-NZ"/>
        </w:rPr>
        <w:t>.</w:t>
      </w:r>
      <w:r w:rsidR="008C1730" w:rsidRPr="00B24172">
        <w:rPr>
          <w:rStyle w:val="FootnoteReference"/>
          <w:lang w:val="en-NZ"/>
        </w:rPr>
        <w:footnoteReference w:id="12"/>
      </w:r>
      <w:r w:rsidR="008C1730" w:rsidRPr="00B24172">
        <w:rPr>
          <w:lang w:val="en-NZ"/>
        </w:rPr>
        <w:t xml:space="preserve"> A household usually cook</w:t>
      </w:r>
      <w:r w:rsidR="00541986" w:rsidRPr="00B24172">
        <w:rPr>
          <w:lang w:val="en-NZ"/>
        </w:rPr>
        <w:t>s</w:t>
      </w:r>
      <w:r w:rsidR="008C1730" w:rsidRPr="00B24172">
        <w:rPr>
          <w:lang w:val="en-NZ"/>
        </w:rPr>
        <w:t xml:space="preserve"> </w:t>
      </w:r>
      <w:r w:rsidR="00541986" w:rsidRPr="00B24172">
        <w:rPr>
          <w:lang w:val="en-NZ"/>
        </w:rPr>
        <w:t>three</w:t>
      </w:r>
      <w:r w:rsidR="008C1730" w:rsidRPr="00B24172">
        <w:rPr>
          <w:lang w:val="en-NZ"/>
        </w:rPr>
        <w:t xml:space="preserve"> times a day and spend</w:t>
      </w:r>
      <w:r w:rsidR="00541986" w:rsidRPr="00B24172">
        <w:rPr>
          <w:lang w:val="en-NZ"/>
        </w:rPr>
        <w:t>s</w:t>
      </w:r>
      <w:r w:rsidR="008C1730" w:rsidRPr="00B24172">
        <w:rPr>
          <w:lang w:val="en-NZ"/>
        </w:rPr>
        <w:t xml:space="preserve"> 2-3 hours in </w:t>
      </w:r>
      <w:r w:rsidR="00541986" w:rsidRPr="00B24172">
        <w:rPr>
          <w:lang w:val="en-NZ"/>
        </w:rPr>
        <w:t xml:space="preserve">the </w:t>
      </w:r>
      <w:r w:rsidR="008C1730" w:rsidRPr="00B24172">
        <w:rPr>
          <w:lang w:val="en-NZ"/>
        </w:rPr>
        <w:t xml:space="preserve">kitchen for cooking </w:t>
      </w:r>
      <w:r w:rsidR="008C1730" w:rsidRPr="00B24172">
        <w:rPr>
          <w:lang w:val="en-NZ"/>
        </w:rPr>
        <w:fldChar w:fldCharType="begin"/>
      </w:r>
      <w:r w:rsidR="00A260FD" w:rsidRPr="00B24172">
        <w:rPr>
          <w:lang w:val="en-NZ"/>
        </w:rPr>
        <w:instrText xml:space="preserve"> ADDIN ZOTERO_ITEM CSL_CITATION {"citationID":"xPWEsD2h","properties":{"formattedCitation":"(I. Colbeck et al., 2010)","plainCitation":"(I. Colbeck et al., 2010)","noteIndex":0},"citationItems":[{"id":"yPj1CNji/Tcn6hvET","uris":["http://zotero.org/users/2699952/items/48DPGUPP"],"uri":["http://zotero.org/users/2699952/items/48DPGUPP"],"itemData":{"id":1230,"type":"article-journal","title":"Characteristics of indoor/outdoor particulate pollution in urban and rural residential environment of Pakistan","container-title":"Indoor Air","page":"40-51","volume":"20","issue":"1","source":"Wiley Online Library","abstract":"Particulate pollution has emerged as a serious environmental health concern in Pakistan. The use of biomass fuels in traditional stoves produces high levels of indoor air pollutants. In Pakistan, 94% of rural and 58% of urban households depend on biomass fuel. This study investigates variations in indoor/outdoor concentrations of particulate matter during various activities for three different micro-environments in Pakistan. At a rural site, the average indoor/outdoor ratios for PM10, PM2.5, and PM1, in kitchens using biomass fuels were 3.80, 4.36, and 4.11, respectively. A large variation was recorded in the mass concentration of particulate matter during cooking with concentrations in the range 4000–8555 μg/m3. In a living room at a rural site, the average indoor/outdoor ratios for PM10, PM2.5, and PM1 were 1.74, 2.49, and 3.01, respectively. At the urban site, the average indoor/outdoor ratios for the same size fractions were 1.71, 2.88, and 3.47, respectively. Cooking, cleaning and smoking were identified as principal contributors to the high indoor levels of particulate matter. This study showed considerably high concentrations of particulate matter, particularly in kitchens using biomass fuels, as compared to living areas. Thus women and children face the greatest exposure due to the amount of time they spend in the kitchen. Practical Implications In the developing world, particulate air pollution, both indoor and outdoor, is a substantial health hazard to the public. The very high concentrations of particulate matter in both rural and urban sites, particularly in kitchens using biomass fuels emphasize the severity of this issue in Pakistan. Women and children are extensively at risk due to amount of time spent in kitchens. This state of affairs calls for a large-scale intervention to reduce the exposure to indoor air pollution.","DOI":"10.1111/j.1600-0668.2009.00624.x","ISSN":"1600-0668","language":"en","author":[{"family":"Colbeck","given":"I."},{"family":"Nasir","given":"Z. A."},{"family":"Ali","given":"Z."}],"issued":{"date-parts":[["2010",2,1]]}}}],"schema":"https://github.com/citation-style-language/schema/raw/master/csl-citation.json"} </w:instrText>
      </w:r>
      <w:r w:rsidR="008C1730" w:rsidRPr="00B24172">
        <w:rPr>
          <w:lang w:val="en-NZ"/>
        </w:rPr>
        <w:fldChar w:fldCharType="separate"/>
      </w:r>
      <w:r w:rsidR="00A260FD" w:rsidRPr="00B24172">
        <w:t>(I. Colbeck et al., 2010)</w:t>
      </w:r>
      <w:r w:rsidR="008C1730" w:rsidRPr="00B24172">
        <w:rPr>
          <w:lang w:val="en-NZ"/>
        </w:rPr>
        <w:fldChar w:fldCharType="end"/>
      </w:r>
      <w:r w:rsidR="008C1730" w:rsidRPr="00B24172">
        <w:rPr>
          <w:lang w:val="en-NZ"/>
        </w:rPr>
        <w:t>.</w:t>
      </w:r>
      <w:r w:rsidR="008472F2" w:rsidRPr="00B24172">
        <w:rPr>
          <w:lang w:val="en-NZ"/>
        </w:rPr>
        <w:t xml:space="preserve"> The price of per unit of electricity varies with the variation in total consumption, with higher consumption leading to </w:t>
      </w:r>
      <w:r w:rsidRPr="00B24172">
        <w:rPr>
          <w:lang w:val="en-NZ"/>
        </w:rPr>
        <w:t xml:space="preserve">a </w:t>
      </w:r>
      <w:r w:rsidR="008472F2" w:rsidRPr="00B24172">
        <w:rPr>
          <w:lang w:val="en-NZ"/>
        </w:rPr>
        <w:t xml:space="preserve">higher price per unit. We took the average electricity price of PKR 10.50/kwh, which is </w:t>
      </w:r>
      <w:r w:rsidRPr="00B24172">
        <w:rPr>
          <w:lang w:val="en-NZ"/>
        </w:rPr>
        <w:t>the amount paid by</w:t>
      </w:r>
      <w:r w:rsidR="008472F2" w:rsidRPr="00B24172">
        <w:rPr>
          <w:lang w:val="en-NZ"/>
        </w:rPr>
        <w:t xml:space="preserve"> middle and lower </w:t>
      </w:r>
      <w:r w:rsidR="00C67062" w:rsidRPr="00B24172">
        <w:rPr>
          <w:lang w:val="en-NZ"/>
        </w:rPr>
        <w:lastRenderedPageBreak/>
        <w:t>middle-class</w:t>
      </w:r>
      <w:r w:rsidR="008472F2" w:rsidRPr="00B24172">
        <w:rPr>
          <w:lang w:val="en-NZ"/>
        </w:rPr>
        <w:t xml:space="preserve"> households</w:t>
      </w:r>
      <w:r w:rsidRPr="00B24172">
        <w:rPr>
          <w:lang w:val="en-NZ"/>
        </w:rPr>
        <w:t xml:space="preserve"> in Pakistan</w:t>
      </w:r>
      <w:r w:rsidR="008472F2" w:rsidRPr="00B24172">
        <w:rPr>
          <w:lang w:val="en-NZ"/>
        </w:rPr>
        <w:t xml:space="preserve"> (</w:t>
      </w:r>
      <w:r w:rsidRPr="00B24172">
        <w:rPr>
          <w:lang w:val="en-NZ"/>
        </w:rPr>
        <w:t xml:space="preserve">using </w:t>
      </w:r>
      <w:r w:rsidR="008472F2" w:rsidRPr="00B24172">
        <w:rPr>
          <w:lang w:val="en-NZ"/>
        </w:rPr>
        <w:t xml:space="preserve">101-300 </w:t>
      </w:r>
      <w:r w:rsidR="00C67062" w:rsidRPr="00B24172">
        <w:rPr>
          <w:lang w:val="en-NZ"/>
        </w:rPr>
        <w:t>kwh per month</w:t>
      </w:r>
      <w:r w:rsidR="008472F2" w:rsidRPr="00B24172">
        <w:rPr>
          <w:lang w:val="en-NZ"/>
        </w:rPr>
        <w:t>).</w:t>
      </w:r>
      <w:r w:rsidR="008472F2" w:rsidRPr="00B24172">
        <w:rPr>
          <w:rStyle w:val="FootnoteReference"/>
          <w:lang w:val="en-NZ"/>
        </w:rPr>
        <w:footnoteReference w:id="13"/>
      </w:r>
      <w:r w:rsidR="008472F2" w:rsidRPr="00B24172">
        <w:rPr>
          <w:lang w:val="en-NZ"/>
        </w:rPr>
        <w:t xml:space="preserve"> </w:t>
      </w:r>
      <w:r w:rsidRPr="00B24172">
        <w:rPr>
          <w:lang w:val="en-NZ"/>
        </w:rPr>
        <w:t>T</w:t>
      </w:r>
      <w:r w:rsidR="008472F2" w:rsidRPr="00B24172">
        <w:rPr>
          <w:lang w:val="en-NZ"/>
        </w:rPr>
        <w:t xml:space="preserve">he operating cost of </w:t>
      </w:r>
      <w:r w:rsidRPr="00B24172">
        <w:rPr>
          <w:lang w:val="en-NZ"/>
        </w:rPr>
        <w:t>an</w:t>
      </w:r>
      <w:r w:rsidR="008472F2" w:rsidRPr="00B24172">
        <w:rPr>
          <w:lang w:val="en-NZ"/>
        </w:rPr>
        <w:t xml:space="preserve"> electric </w:t>
      </w:r>
      <w:r w:rsidR="00AD62E3" w:rsidRPr="00B24172">
        <w:rPr>
          <w:lang w:val="en-NZ"/>
        </w:rPr>
        <w:t>stove</w:t>
      </w:r>
      <w:r w:rsidRPr="00B24172">
        <w:rPr>
          <w:lang w:val="en-NZ"/>
        </w:rPr>
        <w:t xml:space="preserve"> </w:t>
      </w:r>
      <w:r w:rsidR="00AD62E3" w:rsidRPr="00B24172">
        <w:rPr>
          <w:lang w:val="en-NZ"/>
        </w:rPr>
        <w:t xml:space="preserve">is </w:t>
      </w:r>
      <w:r w:rsidRPr="00B24172">
        <w:rPr>
          <w:lang w:val="en-NZ"/>
        </w:rPr>
        <w:t xml:space="preserve">therefore </w:t>
      </w:r>
      <w:r w:rsidR="00AD62E3" w:rsidRPr="00B24172">
        <w:rPr>
          <w:lang w:val="en-NZ"/>
        </w:rPr>
        <w:t>PKR 14</w:t>
      </w:r>
      <w:r w:rsidRPr="00B24172">
        <w:rPr>
          <w:lang w:val="en-NZ"/>
        </w:rPr>
        <w:t>,</w:t>
      </w:r>
      <w:r w:rsidR="00AD62E3" w:rsidRPr="00B24172">
        <w:rPr>
          <w:lang w:val="en-NZ"/>
        </w:rPr>
        <w:t>372</w:t>
      </w:r>
      <w:r w:rsidR="005208EA" w:rsidRPr="00B24172">
        <w:rPr>
          <w:lang w:val="en-NZ"/>
        </w:rPr>
        <w:t xml:space="preserve"> (USD 143)</w:t>
      </w:r>
      <w:r w:rsidR="00DC6DF5" w:rsidRPr="00B24172">
        <w:rPr>
          <w:lang w:val="en-NZ"/>
        </w:rPr>
        <w:t xml:space="preserve"> per year</w:t>
      </w:r>
      <w:r w:rsidR="00AD62E3" w:rsidRPr="00B24172">
        <w:rPr>
          <w:lang w:val="en-NZ"/>
        </w:rPr>
        <w:t>. In addition, the</w:t>
      </w:r>
      <w:r w:rsidRPr="00B24172">
        <w:rPr>
          <w:lang w:val="en-NZ"/>
        </w:rPr>
        <w:t>re is an annual</w:t>
      </w:r>
      <w:r w:rsidR="00AD62E3" w:rsidRPr="00B24172">
        <w:rPr>
          <w:lang w:val="en-NZ"/>
        </w:rPr>
        <w:t xml:space="preserve"> maintenance cost </w:t>
      </w:r>
      <w:r w:rsidR="00DC6DF5" w:rsidRPr="00B24172">
        <w:rPr>
          <w:lang w:val="en-NZ"/>
        </w:rPr>
        <w:t xml:space="preserve">of PKR </w:t>
      </w:r>
      <w:r w:rsidR="00AD62E3" w:rsidRPr="00B24172">
        <w:rPr>
          <w:lang w:val="en-NZ"/>
        </w:rPr>
        <w:t>3</w:t>
      </w:r>
      <w:r w:rsidR="005878FF" w:rsidRPr="00B24172">
        <w:rPr>
          <w:lang w:val="en-NZ"/>
        </w:rPr>
        <w:t>32</w:t>
      </w:r>
      <w:r w:rsidR="005208EA" w:rsidRPr="00B24172">
        <w:rPr>
          <w:lang w:val="en-NZ"/>
        </w:rPr>
        <w:t xml:space="preserve"> (USD 3.3)</w:t>
      </w:r>
      <w:r w:rsidR="00E815BE" w:rsidRPr="00B24172">
        <w:rPr>
          <w:lang w:val="en-NZ"/>
        </w:rPr>
        <w:t xml:space="preserve"> as well</w:t>
      </w:r>
      <w:r w:rsidR="008472F2" w:rsidRPr="00B24172">
        <w:rPr>
          <w:lang w:val="en-NZ"/>
        </w:rPr>
        <w:t>.</w:t>
      </w:r>
    </w:p>
    <w:p w14:paraId="56B45F2D" w14:textId="77777777" w:rsidR="005A0EF8" w:rsidRPr="00B24172" w:rsidRDefault="005A0EF8" w:rsidP="005A0EF8">
      <w:pPr>
        <w:spacing w:line="288" w:lineRule="auto"/>
        <w:ind w:firstLine="720"/>
        <w:jc w:val="both"/>
        <w:rPr>
          <w:lang w:val="en-NZ"/>
        </w:rPr>
      </w:pPr>
    </w:p>
    <w:p w14:paraId="294BA09F" w14:textId="467F9B4D" w:rsidR="00200D8E" w:rsidRPr="00B24172" w:rsidRDefault="00200D8E" w:rsidP="00F527C2">
      <w:pPr>
        <w:pStyle w:val="Heading2"/>
        <w:spacing w:before="0" w:after="0" w:line="288" w:lineRule="auto"/>
      </w:pPr>
      <w:r w:rsidRPr="00B24172">
        <w:t>5.</w:t>
      </w:r>
      <w:r w:rsidR="00F527C2" w:rsidRPr="00B24172">
        <w:t>5</w:t>
      </w:r>
      <w:r w:rsidRPr="00B24172">
        <w:t xml:space="preserve"> Cost</w:t>
      </w:r>
      <w:r w:rsidR="00B96DB8" w:rsidRPr="00B24172">
        <w:t>s</w:t>
      </w:r>
      <w:r w:rsidRPr="00B24172">
        <w:t xml:space="preserve"> of </w:t>
      </w:r>
      <w:r w:rsidR="00262E0F" w:rsidRPr="00B24172">
        <w:t>I</w:t>
      </w:r>
      <w:r w:rsidRPr="00B24172">
        <w:t xml:space="preserve">mproved </w:t>
      </w:r>
      <w:r w:rsidR="00262E0F" w:rsidRPr="00B24172">
        <w:t>C</w:t>
      </w:r>
      <w:r w:rsidRPr="00B24172">
        <w:t>ook</w:t>
      </w:r>
      <w:r w:rsidR="00B2006C" w:rsidRPr="00B24172">
        <w:t>ing</w:t>
      </w:r>
      <w:r w:rsidRPr="00B24172">
        <w:t xml:space="preserve"> </w:t>
      </w:r>
      <w:r w:rsidR="00262E0F" w:rsidRPr="00B24172">
        <w:t>S</w:t>
      </w:r>
      <w:r w:rsidRPr="00B24172">
        <w:t>toves</w:t>
      </w:r>
    </w:p>
    <w:p w14:paraId="1A0219DD" w14:textId="77777777" w:rsidR="00262E0F" w:rsidRPr="00B24172" w:rsidRDefault="00262E0F" w:rsidP="00BF2AB8">
      <w:pPr>
        <w:spacing w:line="288" w:lineRule="auto"/>
        <w:jc w:val="both"/>
        <w:rPr>
          <w:sz w:val="12"/>
          <w:szCs w:val="12"/>
          <w:lang w:val="en-NZ"/>
        </w:rPr>
      </w:pPr>
    </w:p>
    <w:p w14:paraId="24678113" w14:textId="64A918A2" w:rsidR="00753B69" w:rsidRPr="00B24172" w:rsidRDefault="00B73DA6" w:rsidP="00753B69">
      <w:pPr>
        <w:spacing w:line="288" w:lineRule="auto"/>
        <w:jc w:val="both"/>
        <w:rPr>
          <w:lang w:val="en-NZ"/>
        </w:rPr>
      </w:pPr>
      <w:r w:rsidRPr="00B24172">
        <w:rPr>
          <w:lang w:val="en-NZ"/>
        </w:rPr>
        <w:t xml:space="preserve">As a fixed cost the price of the ICS is PKR 1000 to 3000 </w:t>
      </w:r>
      <w:r w:rsidRPr="00B24172">
        <w:rPr>
          <w:lang w:val="en-NZ"/>
        </w:rPr>
        <w:fldChar w:fldCharType="begin"/>
      </w:r>
      <w:r w:rsidR="00A260FD" w:rsidRPr="00B24172">
        <w:rPr>
          <w:lang w:val="en-NZ"/>
        </w:rPr>
        <w:instrText xml:space="preserve"> ADDIN ZOTERO_ITEM CSL_CITATION {"citationID":"RfA16seE","properties":{"formattedCitation":"(Jan et al., 2017)","plainCitation":"(Jan et al., 2017)","noteIndex":0},"citationItems":[{"id":"yPj1CNji/OrRKd648","uris":["http://zotero.org/users/2699952/items/3J352QX8"],"uri":["http://zotero.org/users/2699952/items/3J352QX8"],"itemData":{"id":1121,"type":"article-journal","title":"Adoption of improved cookstoves in Pakistan: A logit analysis","container-title":"Biomass and Bioenergy","page":"55-62","volume":"103","source":"ScienceDirect","abstract":"About three billion people worldwide use solid fuels for cooking and space heating. This fueling practice contributes to global forest depletion and disease prevalence. To abate the environmental and health threats caused by the inefficient burning of biomass fuels, large-scale initiatives were undertaken globally for the dissemination of fuel-saving and energy-efficient stoves, known as improved cookstoves (ICS). This paper examines the adoption of ICS in northwest Pakistan by using a logit analysis. The results show that the education of the respondent, number of working household members, and total income of the household had significant effects on the adoption of ICS. Conversely, the age of the respondent and possession of land did not exhibit any significant influence on adoption. The overall model was significant with p &lt; 0.001 which reveals that the selected socioeconomic variables have a statistically significant relationship with the adoption of ICS. The paper concludes that the efforts to improve health and environmental conditions may be more successful if ICS programs take the socioeconomic, contextual, and market related factors into account.","DOI":"10.1016/j.biombioe.2017.05.014","ISSN":"0961-9534","shortTitle":"Adoption of improved cookstoves in Pakistan","journalAbbreviation":"Biomass and Bioenergy","author":[{"family":"Jan","given":"Inayatullah"},{"family":"Ullah","given":"Sabir"},{"family":"Akram","given":"Waqar"},{"family":"Khan","given":"Noor P."},{"family":"Asim","given":"Syed M."},{"family":"Mahmood","given":"Zafar"},{"family":"Ahmad","given":"Muhammad N."},{"family":"Ahmad","given":"Shaikh S."}],"issued":{"date-parts":[["2017",8,1]]}}}],"schema":"https://github.com/citation-style-language/schema/raw/master/csl-citation.json"} </w:instrText>
      </w:r>
      <w:r w:rsidRPr="00B24172">
        <w:rPr>
          <w:lang w:val="en-NZ"/>
        </w:rPr>
        <w:fldChar w:fldCharType="separate"/>
      </w:r>
      <w:r w:rsidR="00A260FD" w:rsidRPr="00B24172">
        <w:t>(Jan et al., 2017)</w:t>
      </w:r>
      <w:r w:rsidRPr="00B24172">
        <w:rPr>
          <w:lang w:val="en-NZ"/>
        </w:rPr>
        <w:fldChar w:fldCharType="end"/>
      </w:r>
      <w:r w:rsidRPr="00B24172">
        <w:rPr>
          <w:lang w:val="en-NZ"/>
        </w:rPr>
        <w:t xml:space="preserve"> and has a life expectancy of three years </w:t>
      </w:r>
      <w:r w:rsidRPr="00B24172">
        <w:rPr>
          <w:lang w:val="en-NZ"/>
        </w:rPr>
        <w:fldChar w:fldCharType="begin"/>
      </w:r>
      <w:r w:rsidR="00A260FD" w:rsidRPr="00B24172">
        <w:rPr>
          <w:lang w:val="en-NZ"/>
        </w:rPr>
        <w:instrText xml:space="preserve"> ADDIN ZOTERO_ITEM CSL_CITATION {"citationID":"xr66PuhZ","properties":{"formattedCitation":"(Hutton et al., 2007)","plainCitation":"(Hutton et al., 2007)","noteIndex":0},"citationItems":[{"id":"yPj1CNji/eYwjIPdP","uris":["http://zotero.org/users/2699952/items/ESNF2DMZ"],"uri":["http://zotero.org/users/2699952/items/ESNF2DMZ"],"itemData":{"id":25,"type":"article-journal","title":"Evaluation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Pr="00B24172">
        <w:rPr>
          <w:lang w:val="en-NZ"/>
        </w:rPr>
        <w:fldChar w:fldCharType="separate"/>
      </w:r>
      <w:r w:rsidR="00A260FD" w:rsidRPr="00B24172">
        <w:t>(Hutton et al., 2007)</w:t>
      </w:r>
      <w:r w:rsidRPr="00B24172">
        <w:rPr>
          <w:lang w:val="en-NZ"/>
        </w:rPr>
        <w:fldChar w:fldCharType="end"/>
      </w:r>
      <w:r w:rsidRPr="00B24172">
        <w:rPr>
          <w:lang w:val="en-NZ"/>
        </w:rPr>
        <w:t xml:space="preserve">. We took the midpoint price PKR </w:t>
      </w:r>
      <w:r w:rsidR="005878FF" w:rsidRPr="00B24172">
        <w:rPr>
          <w:lang w:val="en-NZ"/>
        </w:rPr>
        <w:t>1</w:t>
      </w:r>
      <w:r w:rsidR="00A643B0" w:rsidRPr="00B24172">
        <w:rPr>
          <w:lang w:val="en-NZ"/>
        </w:rPr>
        <w:t>,</w:t>
      </w:r>
      <w:r w:rsidR="005878FF" w:rsidRPr="00B24172">
        <w:rPr>
          <w:lang w:val="en-NZ"/>
        </w:rPr>
        <w:t>729</w:t>
      </w:r>
      <w:r w:rsidR="00E815BE" w:rsidRPr="00B24172">
        <w:rPr>
          <w:lang w:val="en-NZ"/>
        </w:rPr>
        <w:t xml:space="preserve"> (USD 17)</w:t>
      </w:r>
      <w:r w:rsidR="00753B69" w:rsidRPr="00B24172">
        <w:rPr>
          <w:lang w:val="en-NZ"/>
        </w:rPr>
        <w:t xml:space="preserve"> (adjusted for 2014) </w:t>
      </w:r>
      <w:r w:rsidRPr="00B24172">
        <w:rPr>
          <w:lang w:val="en-NZ"/>
        </w:rPr>
        <w:t>as a total fixed cost.</w:t>
      </w:r>
      <w:r w:rsidR="00A643B0" w:rsidRPr="00B24172">
        <w:rPr>
          <w:lang w:val="en-NZ"/>
        </w:rPr>
        <w:t xml:space="preserve"> </w:t>
      </w:r>
      <w:r w:rsidRPr="00B24172">
        <w:rPr>
          <w:lang w:val="en-NZ"/>
        </w:rPr>
        <w:t>In terms of operating costs, a</w:t>
      </w:r>
      <w:r w:rsidR="00200D8E" w:rsidRPr="00B24172">
        <w:rPr>
          <w:lang w:val="en-NZ"/>
        </w:rPr>
        <w:t xml:space="preserve"> household </w:t>
      </w:r>
      <w:r w:rsidRPr="00B24172">
        <w:rPr>
          <w:lang w:val="en-NZ"/>
        </w:rPr>
        <w:t xml:space="preserve">currently </w:t>
      </w:r>
      <w:r w:rsidR="00200D8E" w:rsidRPr="00B24172">
        <w:rPr>
          <w:lang w:val="en-NZ"/>
        </w:rPr>
        <w:t xml:space="preserve">spends around PKR 3012 annually on solid fuel consumption (details are in </w:t>
      </w:r>
      <w:r w:rsidRPr="00B24172">
        <w:rPr>
          <w:lang w:val="en-NZ"/>
        </w:rPr>
        <w:t>Section 6.1</w:t>
      </w:r>
      <w:r w:rsidR="00200D8E" w:rsidRPr="00B24172">
        <w:rPr>
          <w:lang w:val="en-NZ"/>
        </w:rPr>
        <w:t xml:space="preserve">, below). An ICS can save up to 35 percent of fuel use </w:t>
      </w:r>
      <w:r w:rsidR="00200D8E" w:rsidRPr="00B24172">
        <w:rPr>
          <w:lang w:val="en-NZ"/>
        </w:rPr>
        <w:fldChar w:fldCharType="begin"/>
      </w:r>
      <w:r w:rsidR="00A260FD" w:rsidRPr="00B24172">
        <w:rPr>
          <w:lang w:val="en-NZ"/>
        </w:rPr>
        <w:instrText xml:space="preserve"> ADDIN ZOTERO_ITEM CSL_CITATION {"citationID":"7Zca4aRu","properties":{"formattedCitation":"(Vahlne &amp; Ahlgren, 2014)","plainCitation":"(Vahlne &amp; Ahlgren, 2014)","noteIndex":0},"citationItems":[{"id":"yPj1CNji/9hxoSL4T","uris":["http://zotero.org/users/2699952/items/WL7KHRXE"],"uri":["http://zotero.org/users/2699952/items/WL7KHRXE"],"itemData":{"id":1218,"type":"article-journal","title":"Policy implications for improved cook stove programs—A case study of the importance of village fuel use variations","container-title":"Energy Policy","page":"484-495","volume":"66","source":"ScienceDirect","abstract":"Despite the long history of cook stove programs, very few have been successful, often only in areas where biomass is purchased or there is a biomass shortage. Several studies have described how rural households generally rely on several different fuels; which fuels are used may depend on various household characteristics such as location and income. This article explores possible consequences of variations in fuel usage for improved cook stove programs and how this may vary between different areas. Reductions of CO2 equivalent emissions and monetary savings are calculated for hypothetical cook stove deployment using data from a rural energy survey in the Vĩnh Phúc province of northern Vietnam. The results indicate that the areas may respond differently to the various stove options, both in terms of economy and emission reductions. Furthermore, there are large differences in emission reduction calculations when only Kyoto-gases are included and when non-Kyoto greenhouse agents are added. Assumptions regarding household behavior and stove efficiencies have large impacts on the results, indicating a need for further research on how improved cook stoves may influence households’ fuel choices.","DOI":"10.1016/j.enpol.2013.11.042","ISSN":"0301-4215","journalAbbreviation":"Energy Policy","author":[{"family":"Vahlne","given":"Niklas"},{"family":"Ahlgren","given":"Erik O."}],"issued":{"date-parts":[["2014",3,1]]}}}],"schema":"https://github.com/citation-style-language/schema/raw/master/csl-citation.json"} </w:instrText>
      </w:r>
      <w:r w:rsidR="00200D8E" w:rsidRPr="00B24172">
        <w:rPr>
          <w:lang w:val="en-NZ"/>
        </w:rPr>
        <w:fldChar w:fldCharType="separate"/>
      </w:r>
      <w:r w:rsidR="00A260FD" w:rsidRPr="00B24172">
        <w:t>(Vahlne &amp; Ahlgren, 2014)</w:t>
      </w:r>
      <w:r w:rsidR="00200D8E" w:rsidRPr="00B24172">
        <w:rPr>
          <w:lang w:val="en-NZ"/>
        </w:rPr>
        <w:fldChar w:fldCharType="end"/>
      </w:r>
      <w:r w:rsidR="00200D8E" w:rsidRPr="00B24172">
        <w:rPr>
          <w:lang w:val="en-NZ"/>
        </w:rPr>
        <w:t xml:space="preserve">. Therefore, </w:t>
      </w:r>
      <w:r w:rsidRPr="00B24172">
        <w:rPr>
          <w:lang w:val="en-NZ"/>
        </w:rPr>
        <w:t>the</w:t>
      </w:r>
      <w:r w:rsidR="00200D8E" w:rsidRPr="00B24172">
        <w:rPr>
          <w:lang w:val="en-NZ"/>
        </w:rPr>
        <w:t xml:space="preserve"> fuel cost </w:t>
      </w:r>
      <w:r w:rsidRPr="00B24172">
        <w:rPr>
          <w:lang w:val="en-NZ"/>
        </w:rPr>
        <w:t>for the ICS is 65 percent of normal fuel</w:t>
      </w:r>
      <w:r w:rsidR="00200D8E" w:rsidRPr="00B24172">
        <w:rPr>
          <w:lang w:val="en-NZ"/>
        </w:rPr>
        <w:t xml:space="preserve"> cost, </w:t>
      </w:r>
      <w:r w:rsidRPr="00B24172">
        <w:rPr>
          <w:lang w:val="en-NZ"/>
        </w:rPr>
        <w:t>or</w:t>
      </w:r>
      <w:r w:rsidR="00200D8E" w:rsidRPr="00B24172">
        <w:rPr>
          <w:lang w:val="en-NZ"/>
        </w:rPr>
        <w:t xml:space="preserve"> PKR 1958</w:t>
      </w:r>
      <w:r w:rsidR="00E815BE" w:rsidRPr="00B24172">
        <w:rPr>
          <w:lang w:val="en-NZ"/>
        </w:rPr>
        <w:t xml:space="preserve"> (USD 1 9.5)</w:t>
      </w:r>
      <w:r w:rsidR="00753B69" w:rsidRPr="00B24172">
        <w:rPr>
          <w:lang w:val="en-NZ"/>
        </w:rPr>
        <w:t xml:space="preserve"> per year</w:t>
      </w:r>
      <w:r w:rsidR="00200D8E" w:rsidRPr="00B24172">
        <w:rPr>
          <w:lang w:val="en-NZ"/>
        </w:rPr>
        <w:t xml:space="preserve">. </w:t>
      </w:r>
    </w:p>
    <w:p w14:paraId="016B8D7A" w14:textId="77777777" w:rsidR="00753B69" w:rsidRPr="00B24172" w:rsidRDefault="00753B69" w:rsidP="00753B69">
      <w:pPr>
        <w:spacing w:line="288" w:lineRule="auto"/>
        <w:jc w:val="both"/>
        <w:rPr>
          <w:lang w:val="en-NZ"/>
        </w:rPr>
      </w:pPr>
    </w:p>
    <w:p w14:paraId="3B205AA7" w14:textId="121BB659" w:rsidR="00856481" w:rsidRPr="00B24172" w:rsidRDefault="00200D8E" w:rsidP="00856481">
      <w:pPr>
        <w:spacing w:line="288" w:lineRule="auto"/>
        <w:ind w:firstLine="720"/>
        <w:jc w:val="both"/>
        <w:rPr>
          <w:lang w:val="en-NZ"/>
        </w:rPr>
      </w:pPr>
      <w:r w:rsidRPr="00B24172">
        <w:rPr>
          <w:lang w:val="en-NZ"/>
        </w:rPr>
        <w:t xml:space="preserve">Similarly, each household spends </w:t>
      </w:r>
      <w:r w:rsidR="00B73DA6" w:rsidRPr="00B24172">
        <w:rPr>
          <w:lang w:val="en-NZ"/>
        </w:rPr>
        <w:t xml:space="preserve">between </w:t>
      </w:r>
      <w:r w:rsidR="00753B69" w:rsidRPr="00B24172">
        <w:rPr>
          <w:lang w:val="en-NZ"/>
        </w:rPr>
        <w:t>30 minutes to</w:t>
      </w:r>
      <w:r w:rsidR="00B73DA6" w:rsidRPr="00B24172">
        <w:rPr>
          <w:lang w:val="en-NZ"/>
        </w:rPr>
        <w:t xml:space="preserve"> </w:t>
      </w:r>
      <w:r w:rsidR="00753B69" w:rsidRPr="00B24172">
        <w:rPr>
          <w:lang w:val="en-NZ"/>
        </w:rPr>
        <w:t>4</w:t>
      </w:r>
      <w:r w:rsidRPr="00B24172">
        <w:rPr>
          <w:lang w:val="en-NZ"/>
        </w:rPr>
        <w:t xml:space="preserve"> hours</w:t>
      </w:r>
      <w:r w:rsidR="00B73DA6" w:rsidRPr="00B24172">
        <w:rPr>
          <w:lang w:val="en-NZ"/>
        </w:rPr>
        <w:t xml:space="preserve"> on average</w:t>
      </w:r>
      <w:r w:rsidR="00753B69" w:rsidRPr="00B24172">
        <w:rPr>
          <w:lang w:val="en-NZ"/>
        </w:rPr>
        <w:t xml:space="preserve"> per day</w:t>
      </w:r>
      <w:r w:rsidRPr="00B24172">
        <w:rPr>
          <w:lang w:val="en-NZ"/>
        </w:rPr>
        <w:t xml:space="preserve"> for biomass collection in developing countries </w:t>
      </w:r>
      <w:r w:rsidRPr="00B24172">
        <w:rPr>
          <w:lang w:val="en-NZ"/>
        </w:rPr>
        <w:fldChar w:fldCharType="begin"/>
      </w:r>
      <w:r w:rsidR="00A260FD" w:rsidRPr="00B24172">
        <w:rPr>
          <w:lang w:val="en-NZ"/>
        </w:rPr>
        <w:instrText xml:space="preserve"> ADDIN ZOTERO_ITEM CSL_CITATION {"citationID":"CX4uWf9G","properties":{"formattedCitation":"(Hutton et al., 2007)","plainCitation":"(Hutton et al., 2007)","noteIndex":0},"citationItems":[{"id":"yPj1CNji/eYwjIPdP","uris":["http://zotero.org/users/2699952/items/ESNF2DMZ"],"uri":["http://zotero.org/users/2699952/items/ESNF2DMZ"],"itemData":{"id":25,"type":"article-journal","title":"Evaluation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Pr="00B24172">
        <w:rPr>
          <w:lang w:val="en-NZ"/>
        </w:rPr>
        <w:fldChar w:fldCharType="separate"/>
      </w:r>
      <w:r w:rsidR="00A260FD" w:rsidRPr="00B24172">
        <w:t>(Hutton et al., 2007)</w:t>
      </w:r>
      <w:r w:rsidRPr="00B24172">
        <w:rPr>
          <w:lang w:val="en-NZ"/>
        </w:rPr>
        <w:fldChar w:fldCharType="end"/>
      </w:r>
      <w:r w:rsidRPr="00B24172">
        <w:t xml:space="preserve">. We took the </w:t>
      </w:r>
      <w:r w:rsidR="00B73DA6" w:rsidRPr="00B24172">
        <w:t>median</w:t>
      </w:r>
      <w:r w:rsidRPr="00B24172">
        <w:t xml:space="preserve"> time</w:t>
      </w:r>
      <w:r w:rsidR="00B73DA6" w:rsidRPr="00B24172">
        <w:t xml:space="preserve"> of</w:t>
      </w:r>
      <w:r w:rsidRPr="00B24172">
        <w:t xml:space="preserve"> 2</w:t>
      </w:r>
      <w:r w:rsidR="00753B69" w:rsidRPr="00B24172">
        <w:t xml:space="preserve"> hours and 25 minutes </w:t>
      </w:r>
      <w:r w:rsidRPr="00B24172">
        <w:t xml:space="preserve">per day per household for biomass collection. </w:t>
      </w:r>
      <w:r w:rsidR="00856481" w:rsidRPr="00B24172">
        <w:t xml:space="preserve">In this way using the minimum wage, a household bears PKR 42,375 (USD 423) as a </w:t>
      </w:r>
      <w:proofErr w:type="spellStart"/>
      <w:r w:rsidR="00856481" w:rsidRPr="00B24172">
        <w:t>labour</w:t>
      </w:r>
      <w:proofErr w:type="spellEnd"/>
      <w:r w:rsidR="00856481" w:rsidRPr="00B24172">
        <w:t xml:space="preserve"> cost annually.</w:t>
      </w:r>
      <w:r w:rsidR="00856481" w:rsidRPr="00B24172">
        <w:rPr>
          <w:lang w:val="en-NZ"/>
        </w:rPr>
        <w:t>, and total operating cost is PKR 44,333 (USD 443)</w:t>
      </w:r>
      <w:r w:rsidR="00D339CF" w:rsidRPr="00B24172">
        <w:rPr>
          <w:lang w:val="en-NZ"/>
        </w:rPr>
        <w:t xml:space="preserve"> annually</w:t>
      </w:r>
      <w:r w:rsidR="00856481" w:rsidRPr="00B24172">
        <w:rPr>
          <w:lang w:val="en-NZ"/>
        </w:rPr>
        <w:t>.</w:t>
      </w:r>
      <w:r w:rsidR="00D339CF" w:rsidRPr="00B24172">
        <w:rPr>
          <w:lang w:val="en-NZ"/>
        </w:rPr>
        <w:t xml:space="preserve"> Later on</w:t>
      </w:r>
      <w:r w:rsidR="00A90CE1" w:rsidRPr="00B24172">
        <w:rPr>
          <w:lang w:val="en-NZ"/>
        </w:rPr>
        <w:t>,</w:t>
      </w:r>
      <w:r w:rsidR="00D339CF" w:rsidRPr="00B24172">
        <w:rPr>
          <w:lang w:val="en-NZ"/>
        </w:rPr>
        <w:t xml:space="preserve"> we discounted the operating cost for 3 years</w:t>
      </w:r>
      <w:r w:rsidR="00923D37" w:rsidRPr="00B24172">
        <w:rPr>
          <w:lang w:val="en-NZ"/>
        </w:rPr>
        <w:t>, the</w:t>
      </w:r>
      <w:r w:rsidR="00A90CE1" w:rsidRPr="00B24172">
        <w:rPr>
          <w:lang w:val="en-NZ"/>
        </w:rPr>
        <w:t xml:space="preserve"> summary of the</w:t>
      </w:r>
      <w:r w:rsidR="00923D37" w:rsidRPr="00B24172">
        <w:rPr>
          <w:lang w:val="en-NZ"/>
        </w:rPr>
        <w:t xml:space="preserve"> cost</w:t>
      </w:r>
      <w:r w:rsidR="00D339CF" w:rsidRPr="00B24172">
        <w:rPr>
          <w:lang w:val="en-NZ"/>
        </w:rPr>
        <w:t xml:space="preserve"> can be seen in table 2.</w:t>
      </w:r>
      <w:r w:rsidR="00856481" w:rsidRPr="00B24172">
        <w:rPr>
          <w:lang w:val="en-NZ"/>
        </w:rPr>
        <w:t xml:space="preserve"> </w:t>
      </w:r>
    </w:p>
    <w:p w14:paraId="1615537A" w14:textId="77777777" w:rsidR="00856481" w:rsidRPr="00B24172" w:rsidRDefault="00856481" w:rsidP="00753B69">
      <w:pPr>
        <w:spacing w:line="288" w:lineRule="auto"/>
        <w:jc w:val="both"/>
      </w:pPr>
    </w:p>
    <w:p w14:paraId="79822B34" w14:textId="5BE8C004" w:rsidR="00E3625F" w:rsidRPr="00B24172" w:rsidRDefault="00E3625F" w:rsidP="00E3625F">
      <w:pPr>
        <w:pStyle w:val="Heading2"/>
        <w:spacing w:before="0" w:after="0" w:line="288" w:lineRule="auto"/>
      </w:pPr>
      <w:r w:rsidRPr="00B24172">
        <w:t>5.5 Summary of Costs</w:t>
      </w:r>
    </w:p>
    <w:p w14:paraId="5ADC1C5A" w14:textId="42CBD641" w:rsidR="00E3625F" w:rsidRPr="00B24172" w:rsidRDefault="00E3625F" w:rsidP="00BF2AB8">
      <w:pPr>
        <w:spacing w:line="288" w:lineRule="auto"/>
        <w:jc w:val="both"/>
        <w:rPr>
          <w:lang w:val="en-NZ"/>
        </w:rPr>
      </w:pPr>
    </w:p>
    <w:p w14:paraId="20E74F3C" w14:textId="48608E1F" w:rsidR="00E3625F" w:rsidRPr="00B24172" w:rsidRDefault="00464100" w:rsidP="00B15504">
      <w:pPr>
        <w:spacing w:line="288" w:lineRule="auto"/>
        <w:jc w:val="both"/>
        <w:rPr>
          <w:lang w:val="en-NZ"/>
        </w:rPr>
      </w:pPr>
      <w:r w:rsidRPr="00B24172">
        <w:rPr>
          <w:lang w:val="en-NZ"/>
        </w:rPr>
        <w:t xml:space="preserve">Table 2 presents the summary of the costs </w:t>
      </w:r>
      <w:r w:rsidR="00B15504" w:rsidRPr="00B24172">
        <w:rPr>
          <w:lang w:val="en-NZ"/>
        </w:rPr>
        <w:t xml:space="preserve">that </w:t>
      </w:r>
      <w:r w:rsidRPr="00B24172">
        <w:rPr>
          <w:lang w:val="en-NZ"/>
        </w:rPr>
        <w:t>a household bears annually and t</w:t>
      </w:r>
      <w:r w:rsidR="00B20313" w:rsidRPr="00B24172">
        <w:rPr>
          <w:lang w:val="en-NZ"/>
        </w:rPr>
        <w:t xml:space="preserve">en years </w:t>
      </w:r>
      <w:r w:rsidR="00B15504" w:rsidRPr="00B24172">
        <w:rPr>
          <w:lang w:val="en-NZ"/>
        </w:rPr>
        <w:t xml:space="preserve">of </w:t>
      </w:r>
      <w:r w:rsidR="00B20313" w:rsidRPr="00B24172">
        <w:rPr>
          <w:lang w:val="en-NZ"/>
        </w:rPr>
        <w:t xml:space="preserve">discounted </w:t>
      </w:r>
      <w:r w:rsidR="00B15504" w:rsidRPr="00B24172">
        <w:rPr>
          <w:lang w:val="en-NZ"/>
        </w:rPr>
        <w:t xml:space="preserve">operating </w:t>
      </w:r>
      <w:r w:rsidR="00E3625F" w:rsidRPr="00B24172">
        <w:rPr>
          <w:lang w:val="en-NZ"/>
        </w:rPr>
        <w:t>costs</w:t>
      </w:r>
      <w:r w:rsidR="003866BE" w:rsidRPr="00B24172">
        <w:rPr>
          <w:lang w:val="en-NZ"/>
        </w:rPr>
        <w:t xml:space="preserve"> </w:t>
      </w:r>
      <w:r w:rsidR="00B15504" w:rsidRPr="00B24172">
        <w:rPr>
          <w:lang w:val="en-NZ"/>
        </w:rPr>
        <w:t>that</w:t>
      </w:r>
      <w:r w:rsidR="003866BE" w:rsidRPr="00B24172">
        <w:rPr>
          <w:lang w:val="en-NZ"/>
        </w:rPr>
        <w:t xml:space="preserve"> </w:t>
      </w:r>
      <w:r w:rsidR="00B15504" w:rsidRPr="00B24172">
        <w:rPr>
          <w:lang w:val="en-NZ"/>
        </w:rPr>
        <w:t>w</w:t>
      </w:r>
      <w:r w:rsidR="003866BE" w:rsidRPr="00B24172">
        <w:rPr>
          <w:lang w:val="en-NZ"/>
        </w:rPr>
        <w:t>ould be incurred by those households</w:t>
      </w:r>
      <w:r w:rsidR="00E3625F" w:rsidRPr="00B24172">
        <w:rPr>
          <w:lang w:val="en-NZ"/>
        </w:rPr>
        <w:t>.</w:t>
      </w:r>
      <w:r w:rsidR="003866BE" w:rsidRPr="00B24172">
        <w:rPr>
          <w:lang w:val="en-NZ"/>
        </w:rPr>
        <w:t xml:space="preserve"> </w:t>
      </w:r>
      <w:r w:rsidRPr="00B24172">
        <w:rPr>
          <w:lang w:val="en-NZ"/>
        </w:rPr>
        <w:t>Table</w:t>
      </w:r>
      <w:r w:rsidR="003866BE" w:rsidRPr="00B24172">
        <w:rPr>
          <w:lang w:val="en-NZ"/>
        </w:rPr>
        <w:t xml:space="preserve"> shows </w:t>
      </w:r>
      <w:r w:rsidR="00B15504" w:rsidRPr="00B24172">
        <w:rPr>
          <w:lang w:val="en-NZ"/>
        </w:rPr>
        <w:t xml:space="preserve">the </w:t>
      </w:r>
      <w:r w:rsidR="00B20313" w:rsidRPr="00B24172">
        <w:rPr>
          <w:lang w:val="en-NZ"/>
        </w:rPr>
        <w:t>Biogas digester</w:t>
      </w:r>
      <w:r w:rsidR="003866BE" w:rsidRPr="00B24172">
        <w:rPr>
          <w:lang w:val="en-NZ"/>
        </w:rPr>
        <w:t xml:space="preserve"> is the costliest intervention and LPG has the least cost</w:t>
      </w:r>
      <w:r w:rsidR="00B15504" w:rsidRPr="00B24172">
        <w:rPr>
          <w:lang w:val="en-NZ"/>
        </w:rPr>
        <w:t>,</w:t>
      </w:r>
      <w:r w:rsidR="003866BE" w:rsidRPr="00B24172">
        <w:rPr>
          <w:lang w:val="en-NZ"/>
        </w:rPr>
        <w:t xml:space="preserve"> followed by </w:t>
      </w:r>
      <w:r w:rsidR="00B15504" w:rsidRPr="00B24172">
        <w:rPr>
          <w:lang w:val="en-NZ"/>
        </w:rPr>
        <w:t>n</w:t>
      </w:r>
      <w:r w:rsidR="003866BE" w:rsidRPr="00B24172">
        <w:rPr>
          <w:lang w:val="en-NZ"/>
        </w:rPr>
        <w:t>atural gas.</w:t>
      </w:r>
      <w:r w:rsidR="00B20313" w:rsidRPr="00B24172">
        <w:rPr>
          <w:lang w:val="en-NZ"/>
        </w:rPr>
        <w:t xml:space="preserve">ICS has </w:t>
      </w:r>
      <w:r w:rsidR="00B15504" w:rsidRPr="00B24172">
        <w:rPr>
          <w:lang w:val="en-NZ"/>
        </w:rPr>
        <w:t xml:space="preserve">a </w:t>
      </w:r>
      <w:r w:rsidR="00B20313" w:rsidRPr="00B24172">
        <w:rPr>
          <w:lang w:val="en-NZ"/>
        </w:rPr>
        <w:t xml:space="preserve">reasonably low cost </w:t>
      </w:r>
      <w:r w:rsidR="00B15504" w:rsidRPr="00B24172">
        <w:rPr>
          <w:lang w:val="en-NZ"/>
        </w:rPr>
        <w:t xml:space="preserve">but </w:t>
      </w:r>
      <w:r w:rsidR="006A34A3" w:rsidRPr="00B24172">
        <w:rPr>
          <w:lang w:val="en-NZ"/>
        </w:rPr>
        <w:t>i</w:t>
      </w:r>
      <w:r w:rsidR="00B20313" w:rsidRPr="00B24172">
        <w:rPr>
          <w:lang w:val="en-NZ"/>
        </w:rPr>
        <w:t>t</w:t>
      </w:r>
      <w:r w:rsidR="00E815BE" w:rsidRPr="00B24172">
        <w:rPr>
          <w:lang w:val="en-NZ"/>
        </w:rPr>
        <w:t>s</w:t>
      </w:r>
      <w:r w:rsidR="00B15504" w:rsidRPr="00B24172">
        <w:rPr>
          <w:lang w:val="en-NZ"/>
        </w:rPr>
        <w:t xml:space="preserve"> estimated useful life is only three years, as noted in the previous section</w:t>
      </w:r>
      <w:r w:rsidR="00E815BE" w:rsidRPr="00B24172">
        <w:rPr>
          <w:lang w:val="en-NZ"/>
        </w:rPr>
        <w:t>.</w:t>
      </w:r>
    </w:p>
    <w:p w14:paraId="4B11A8DA" w14:textId="77777777" w:rsidR="001101B6" w:rsidRPr="00B24172" w:rsidRDefault="001101B6" w:rsidP="00B20313">
      <w:pPr>
        <w:pStyle w:val="Caption"/>
        <w:keepNext/>
        <w:rPr>
          <w:i w:val="0"/>
          <w:color w:val="auto"/>
          <w:sz w:val="24"/>
        </w:rPr>
      </w:pPr>
    </w:p>
    <w:p w14:paraId="6CC285F7" w14:textId="77777777" w:rsidR="001101B6" w:rsidRPr="00B24172" w:rsidRDefault="001101B6" w:rsidP="00B20313">
      <w:pPr>
        <w:pStyle w:val="Caption"/>
        <w:keepNext/>
        <w:rPr>
          <w:i w:val="0"/>
          <w:color w:val="auto"/>
          <w:sz w:val="24"/>
        </w:rPr>
      </w:pPr>
    </w:p>
    <w:p w14:paraId="195635CA" w14:textId="35692668" w:rsidR="00B20313" w:rsidRPr="00B24172" w:rsidRDefault="00B20313" w:rsidP="00B20313">
      <w:pPr>
        <w:pStyle w:val="Caption"/>
        <w:keepNext/>
        <w:rPr>
          <w:i w:val="0"/>
          <w:color w:val="auto"/>
          <w:sz w:val="24"/>
        </w:rPr>
      </w:pPr>
    </w:p>
    <w:p w14:paraId="1DF34172" w14:textId="77777777" w:rsidR="001101B6" w:rsidRPr="00B24172" w:rsidRDefault="001101B6" w:rsidP="001101B6"/>
    <w:p w14:paraId="129C35AD" w14:textId="2C8F26DA" w:rsidR="001101B6" w:rsidRPr="00B24172" w:rsidRDefault="001101B6" w:rsidP="001101B6">
      <w:pPr>
        <w:pStyle w:val="Caption"/>
        <w:keepNext/>
        <w:rPr>
          <w:i w:val="0"/>
          <w:color w:val="auto"/>
          <w:sz w:val="24"/>
        </w:rPr>
      </w:pPr>
      <w:r w:rsidRPr="00B24172">
        <w:rPr>
          <w:i w:val="0"/>
          <w:color w:val="auto"/>
          <w:sz w:val="24"/>
        </w:rPr>
        <w:lastRenderedPageBreak/>
        <w:t xml:space="preserve">Table </w:t>
      </w:r>
      <w:r w:rsidRPr="00B24172">
        <w:rPr>
          <w:i w:val="0"/>
          <w:color w:val="auto"/>
          <w:sz w:val="24"/>
        </w:rPr>
        <w:fldChar w:fldCharType="begin"/>
      </w:r>
      <w:r w:rsidRPr="00B24172">
        <w:rPr>
          <w:i w:val="0"/>
          <w:color w:val="auto"/>
          <w:sz w:val="24"/>
        </w:rPr>
        <w:instrText xml:space="preserve"> SEQ Table \* ARABIC </w:instrText>
      </w:r>
      <w:r w:rsidRPr="00B24172">
        <w:rPr>
          <w:i w:val="0"/>
          <w:color w:val="auto"/>
          <w:sz w:val="24"/>
        </w:rPr>
        <w:fldChar w:fldCharType="separate"/>
      </w:r>
      <w:r w:rsidR="001C5F85">
        <w:rPr>
          <w:i w:val="0"/>
          <w:noProof/>
          <w:color w:val="auto"/>
          <w:sz w:val="24"/>
        </w:rPr>
        <w:t>2</w:t>
      </w:r>
      <w:r w:rsidRPr="00B24172">
        <w:rPr>
          <w:i w:val="0"/>
          <w:color w:val="auto"/>
          <w:sz w:val="24"/>
        </w:rPr>
        <w:fldChar w:fldCharType="end"/>
      </w:r>
      <w:r w:rsidRPr="00B24172">
        <w:rPr>
          <w:i w:val="0"/>
          <w:color w:val="auto"/>
          <w:sz w:val="24"/>
        </w:rPr>
        <w:t>: Summary of</w:t>
      </w:r>
      <w:r w:rsidR="00D93C2E" w:rsidRPr="00B24172">
        <w:rPr>
          <w:i w:val="0"/>
          <w:color w:val="auto"/>
          <w:sz w:val="24"/>
        </w:rPr>
        <w:t xml:space="preserve"> the</w:t>
      </w:r>
      <w:r w:rsidRPr="00B24172">
        <w:rPr>
          <w:i w:val="0"/>
          <w:color w:val="auto"/>
          <w:sz w:val="24"/>
        </w:rPr>
        <w:t xml:space="preserve"> cost</w:t>
      </w:r>
      <w:r w:rsidR="00D93C2E" w:rsidRPr="00B24172">
        <w:rPr>
          <w:i w:val="0"/>
          <w:color w:val="auto"/>
          <w:sz w:val="24"/>
        </w:rPr>
        <w:t>s</w:t>
      </w:r>
      <w:r w:rsidRPr="00B24172">
        <w:rPr>
          <w:i w:val="0"/>
          <w:color w:val="auto"/>
          <w:sz w:val="24"/>
        </w:rPr>
        <w:t xml:space="preserve"> for all interventions</w:t>
      </w:r>
    </w:p>
    <w:tbl>
      <w:tblPr>
        <w:tblpPr w:leftFromText="180" w:rightFromText="180" w:vertAnchor="page" w:tblpY="2065"/>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530"/>
        <w:gridCol w:w="1440"/>
        <w:gridCol w:w="1350"/>
        <w:gridCol w:w="1260"/>
      </w:tblGrid>
      <w:tr w:rsidR="00FB2E0C" w:rsidRPr="00B24172" w14:paraId="5057F43A" w14:textId="77777777" w:rsidTr="00FB2E0C">
        <w:trPr>
          <w:trHeight w:val="137"/>
        </w:trPr>
        <w:tc>
          <w:tcPr>
            <w:tcW w:w="3505" w:type="dxa"/>
            <w:shd w:val="clear" w:color="auto" w:fill="auto"/>
            <w:noWrap/>
            <w:vAlign w:val="center"/>
            <w:hideMark/>
          </w:tcPr>
          <w:p w14:paraId="5EB075E1" w14:textId="77777777" w:rsidR="001A6B16" w:rsidRPr="00B24172" w:rsidRDefault="001A6B16" w:rsidP="001101B6">
            <w:pPr>
              <w:jc w:val="center"/>
              <w:rPr>
                <w:lang w:val="en-NZ" w:eastAsia="en-NZ"/>
              </w:rPr>
            </w:pPr>
            <w:r w:rsidRPr="00B24172">
              <w:rPr>
                <w:lang w:val="en-NZ" w:eastAsia="en-NZ"/>
              </w:rPr>
              <w:t>Interventions</w:t>
            </w:r>
          </w:p>
        </w:tc>
        <w:tc>
          <w:tcPr>
            <w:tcW w:w="1530" w:type="dxa"/>
          </w:tcPr>
          <w:p w14:paraId="5B61DCB8" w14:textId="44394F99" w:rsidR="001A6B16" w:rsidRPr="00B24172" w:rsidRDefault="00E74A37" w:rsidP="001101B6">
            <w:pPr>
              <w:jc w:val="center"/>
              <w:rPr>
                <w:lang w:val="en-NZ" w:eastAsia="en-NZ"/>
              </w:rPr>
            </w:pPr>
            <w:r w:rsidRPr="00B24172">
              <w:rPr>
                <w:lang w:val="en-NZ" w:eastAsia="en-NZ"/>
              </w:rPr>
              <w:t>For a HH (PKR)</w:t>
            </w:r>
          </w:p>
        </w:tc>
        <w:tc>
          <w:tcPr>
            <w:tcW w:w="4050" w:type="dxa"/>
            <w:gridSpan w:val="3"/>
            <w:shd w:val="clear" w:color="auto" w:fill="auto"/>
            <w:noWrap/>
            <w:vAlign w:val="center"/>
            <w:hideMark/>
          </w:tcPr>
          <w:p w14:paraId="32A71EDE" w14:textId="00F09A6D" w:rsidR="001A6B16" w:rsidRPr="00B24172" w:rsidRDefault="00EE1957" w:rsidP="001101B6">
            <w:pPr>
              <w:jc w:val="center"/>
              <w:rPr>
                <w:lang w:val="en-NZ" w:eastAsia="en-NZ"/>
              </w:rPr>
            </w:pPr>
            <w:r w:rsidRPr="00B24172">
              <w:rPr>
                <w:lang w:val="en-NZ" w:eastAsia="en-NZ"/>
              </w:rPr>
              <w:t>10 years</w:t>
            </w:r>
            <w:r w:rsidR="00B15504" w:rsidRPr="00B24172">
              <w:rPr>
                <w:lang w:val="en-NZ" w:eastAsia="en-NZ"/>
              </w:rPr>
              <w:t>’</w:t>
            </w:r>
            <w:r w:rsidRPr="00B24172">
              <w:rPr>
                <w:lang w:val="en-NZ" w:eastAsia="en-NZ"/>
              </w:rPr>
              <w:t xml:space="preserve"> discounted </w:t>
            </w:r>
            <w:r w:rsidR="00E74A37" w:rsidRPr="00B24172">
              <w:rPr>
                <w:lang w:val="en-NZ" w:eastAsia="en-NZ"/>
              </w:rPr>
              <w:t>cost</w:t>
            </w:r>
            <w:r w:rsidRPr="00B24172">
              <w:rPr>
                <w:lang w:val="en-NZ" w:eastAsia="en-NZ"/>
              </w:rPr>
              <w:t xml:space="preserve"> for the entire country (million PKR) Approx.</w:t>
            </w:r>
          </w:p>
        </w:tc>
      </w:tr>
      <w:tr w:rsidR="00FB2E0C" w:rsidRPr="00B24172" w14:paraId="387DDC96" w14:textId="77777777" w:rsidTr="00FB2E0C">
        <w:trPr>
          <w:trHeight w:val="109"/>
        </w:trPr>
        <w:tc>
          <w:tcPr>
            <w:tcW w:w="3505" w:type="dxa"/>
            <w:shd w:val="clear" w:color="auto" w:fill="auto"/>
            <w:noWrap/>
            <w:vAlign w:val="bottom"/>
            <w:hideMark/>
          </w:tcPr>
          <w:p w14:paraId="2470E6AE" w14:textId="77777777" w:rsidR="00E74A37" w:rsidRPr="00B24172" w:rsidRDefault="00E74A37" w:rsidP="00E74A37">
            <w:pPr>
              <w:rPr>
                <w:b/>
                <w:lang w:val="en-NZ" w:eastAsia="en-NZ"/>
              </w:rPr>
            </w:pPr>
            <w:r w:rsidRPr="00B24172">
              <w:rPr>
                <w:b/>
                <w:lang w:val="en-NZ" w:eastAsia="en-NZ"/>
              </w:rPr>
              <w:t>Biogas</w:t>
            </w:r>
          </w:p>
        </w:tc>
        <w:tc>
          <w:tcPr>
            <w:tcW w:w="1530" w:type="dxa"/>
          </w:tcPr>
          <w:p w14:paraId="11DE74B3" w14:textId="77777777" w:rsidR="00E74A37" w:rsidRPr="00B24172" w:rsidRDefault="00E74A37" w:rsidP="00E74A37">
            <w:pPr>
              <w:jc w:val="center"/>
              <w:rPr>
                <w:lang w:val="en-NZ" w:eastAsia="en-NZ"/>
              </w:rPr>
            </w:pPr>
          </w:p>
        </w:tc>
        <w:tc>
          <w:tcPr>
            <w:tcW w:w="1440" w:type="dxa"/>
            <w:shd w:val="clear" w:color="auto" w:fill="auto"/>
            <w:noWrap/>
            <w:vAlign w:val="bottom"/>
            <w:hideMark/>
          </w:tcPr>
          <w:p w14:paraId="1A4E5E21" w14:textId="74B087B9" w:rsidR="00E74A37" w:rsidRPr="00B24172" w:rsidRDefault="00E74A37" w:rsidP="00E74A37">
            <w:pPr>
              <w:jc w:val="center"/>
              <w:rPr>
                <w:lang w:val="en-NZ" w:eastAsia="en-NZ"/>
              </w:rPr>
            </w:pPr>
            <w:r w:rsidRPr="00B24172">
              <w:rPr>
                <w:lang w:val="en-NZ" w:eastAsia="en-NZ"/>
              </w:rPr>
              <w:t xml:space="preserve">DR 3% </w:t>
            </w:r>
          </w:p>
        </w:tc>
        <w:tc>
          <w:tcPr>
            <w:tcW w:w="1350" w:type="dxa"/>
            <w:shd w:val="clear" w:color="auto" w:fill="auto"/>
            <w:noWrap/>
            <w:vAlign w:val="bottom"/>
            <w:hideMark/>
          </w:tcPr>
          <w:p w14:paraId="4B7DE550" w14:textId="25F2CD3A" w:rsidR="00E74A37" w:rsidRPr="00B24172" w:rsidRDefault="00E74A37" w:rsidP="00E74A37">
            <w:pPr>
              <w:jc w:val="center"/>
              <w:rPr>
                <w:lang w:val="en-NZ" w:eastAsia="en-NZ"/>
              </w:rPr>
            </w:pPr>
            <w:r w:rsidRPr="00B24172">
              <w:rPr>
                <w:lang w:val="en-NZ" w:eastAsia="en-NZ"/>
              </w:rPr>
              <w:t>DR 7.5%</w:t>
            </w:r>
          </w:p>
        </w:tc>
        <w:tc>
          <w:tcPr>
            <w:tcW w:w="1260" w:type="dxa"/>
            <w:shd w:val="clear" w:color="auto" w:fill="auto"/>
            <w:noWrap/>
            <w:vAlign w:val="bottom"/>
            <w:hideMark/>
          </w:tcPr>
          <w:p w14:paraId="37D31949" w14:textId="7D4DFC88" w:rsidR="00E74A37" w:rsidRPr="00B24172" w:rsidRDefault="00E74A37" w:rsidP="00E74A37">
            <w:pPr>
              <w:jc w:val="center"/>
              <w:rPr>
                <w:lang w:val="en-NZ" w:eastAsia="en-NZ"/>
              </w:rPr>
            </w:pPr>
            <w:r w:rsidRPr="00B24172">
              <w:rPr>
                <w:lang w:val="en-NZ" w:eastAsia="en-NZ"/>
              </w:rPr>
              <w:t>DR 12%</w:t>
            </w:r>
          </w:p>
        </w:tc>
      </w:tr>
      <w:tr w:rsidR="00FB2E0C" w:rsidRPr="00B24172" w14:paraId="4FABA1A3" w14:textId="77777777" w:rsidTr="00FB2E0C">
        <w:trPr>
          <w:trHeight w:val="109"/>
        </w:trPr>
        <w:tc>
          <w:tcPr>
            <w:tcW w:w="3505" w:type="dxa"/>
            <w:shd w:val="clear" w:color="auto" w:fill="auto"/>
            <w:noWrap/>
            <w:vAlign w:val="bottom"/>
          </w:tcPr>
          <w:p w14:paraId="4F8442E1" w14:textId="7DDF51A2" w:rsidR="00E74A37" w:rsidRPr="00B24172" w:rsidRDefault="00E74A37" w:rsidP="00E74A37">
            <w:pPr>
              <w:rPr>
                <w:lang w:val="en-NZ" w:eastAsia="en-NZ"/>
              </w:rPr>
            </w:pPr>
            <w:r w:rsidRPr="00B24172">
              <w:rPr>
                <w:lang w:val="en-NZ" w:eastAsia="en-NZ"/>
              </w:rPr>
              <w:t xml:space="preserve">      Installation (FC)</w:t>
            </w:r>
          </w:p>
        </w:tc>
        <w:tc>
          <w:tcPr>
            <w:tcW w:w="1530" w:type="dxa"/>
          </w:tcPr>
          <w:p w14:paraId="2608E466" w14:textId="517133F1" w:rsidR="00E74A37" w:rsidRPr="00B24172" w:rsidRDefault="00E74A37" w:rsidP="00E74A37">
            <w:pPr>
              <w:jc w:val="center"/>
              <w:rPr>
                <w:lang w:val="en-NZ" w:eastAsia="en-NZ"/>
              </w:rPr>
            </w:pPr>
            <w:r w:rsidRPr="00B24172">
              <w:rPr>
                <w:lang w:val="en-NZ" w:eastAsia="en-NZ"/>
              </w:rPr>
              <w:t>50,282</w:t>
            </w:r>
          </w:p>
        </w:tc>
        <w:tc>
          <w:tcPr>
            <w:tcW w:w="1440" w:type="dxa"/>
            <w:vMerge w:val="restart"/>
            <w:shd w:val="clear" w:color="auto" w:fill="auto"/>
            <w:noWrap/>
            <w:vAlign w:val="center"/>
          </w:tcPr>
          <w:p w14:paraId="3DE196D0" w14:textId="77777777" w:rsidR="00E74A37" w:rsidRPr="00B24172" w:rsidRDefault="00E74A37" w:rsidP="00E74A37">
            <w:pPr>
              <w:jc w:val="center"/>
              <w:rPr>
                <w:lang w:val="en-NZ" w:eastAsia="en-NZ"/>
              </w:rPr>
            </w:pPr>
            <w:r w:rsidRPr="00B24172">
              <w:t xml:space="preserve">         3,203,571 </w:t>
            </w:r>
          </w:p>
          <w:p w14:paraId="20068A28" w14:textId="30939AA2" w:rsidR="00E74A37" w:rsidRPr="00B24172" w:rsidRDefault="00E74A37" w:rsidP="00E74A37">
            <w:pPr>
              <w:jc w:val="center"/>
              <w:rPr>
                <w:lang w:val="en-NZ" w:eastAsia="en-NZ"/>
              </w:rPr>
            </w:pPr>
          </w:p>
        </w:tc>
        <w:tc>
          <w:tcPr>
            <w:tcW w:w="1350" w:type="dxa"/>
            <w:vMerge w:val="restart"/>
            <w:shd w:val="clear" w:color="auto" w:fill="auto"/>
            <w:noWrap/>
            <w:vAlign w:val="center"/>
          </w:tcPr>
          <w:p w14:paraId="75A30B5A" w14:textId="77777777" w:rsidR="00E74A37" w:rsidRPr="00B24172" w:rsidRDefault="00E74A37" w:rsidP="00E74A37">
            <w:pPr>
              <w:jc w:val="center"/>
              <w:rPr>
                <w:lang w:val="en-NZ" w:eastAsia="en-NZ"/>
              </w:rPr>
            </w:pPr>
            <w:r w:rsidRPr="00B24172">
              <w:t xml:space="preserve">         2,830,599 </w:t>
            </w:r>
          </w:p>
          <w:p w14:paraId="35EEE0E5" w14:textId="1263868D" w:rsidR="00E74A37" w:rsidRPr="00B24172" w:rsidRDefault="00E74A37" w:rsidP="00E74A37">
            <w:pPr>
              <w:jc w:val="center"/>
              <w:rPr>
                <w:lang w:val="en-NZ" w:eastAsia="en-NZ"/>
              </w:rPr>
            </w:pPr>
          </w:p>
        </w:tc>
        <w:tc>
          <w:tcPr>
            <w:tcW w:w="1260" w:type="dxa"/>
            <w:vMerge w:val="restart"/>
            <w:shd w:val="clear" w:color="auto" w:fill="auto"/>
            <w:noWrap/>
            <w:vAlign w:val="center"/>
          </w:tcPr>
          <w:p w14:paraId="0D1A65CC" w14:textId="77777777" w:rsidR="00E74A37" w:rsidRPr="00B24172" w:rsidRDefault="00E74A37" w:rsidP="00E74A37">
            <w:pPr>
              <w:jc w:val="center"/>
              <w:rPr>
                <w:lang w:val="en-NZ" w:eastAsia="en-NZ"/>
              </w:rPr>
            </w:pPr>
            <w:r w:rsidRPr="00B24172">
              <w:t xml:space="preserve">         2,552,137 </w:t>
            </w:r>
          </w:p>
          <w:p w14:paraId="28368C28" w14:textId="4FC5396E" w:rsidR="00E74A37" w:rsidRPr="00B24172" w:rsidRDefault="00E74A37" w:rsidP="00E74A37">
            <w:pPr>
              <w:jc w:val="center"/>
              <w:rPr>
                <w:lang w:val="en-NZ" w:eastAsia="en-NZ"/>
              </w:rPr>
            </w:pPr>
          </w:p>
        </w:tc>
      </w:tr>
      <w:tr w:rsidR="00FB2E0C" w:rsidRPr="00B24172" w14:paraId="3B7C5E6B" w14:textId="77777777" w:rsidTr="00FB2E0C">
        <w:trPr>
          <w:trHeight w:val="109"/>
        </w:trPr>
        <w:tc>
          <w:tcPr>
            <w:tcW w:w="3505" w:type="dxa"/>
            <w:shd w:val="clear" w:color="auto" w:fill="auto"/>
            <w:noWrap/>
            <w:vAlign w:val="bottom"/>
          </w:tcPr>
          <w:p w14:paraId="0664D285" w14:textId="10454AAC" w:rsidR="00E74A37" w:rsidRPr="00B24172" w:rsidRDefault="00E74A37" w:rsidP="00E74A37">
            <w:pPr>
              <w:rPr>
                <w:lang w:val="en-NZ" w:eastAsia="en-NZ"/>
              </w:rPr>
            </w:pPr>
            <w:r w:rsidRPr="00B24172">
              <w:rPr>
                <w:lang w:val="en-NZ" w:eastAsia="en-NZ"/>
              </w:rPr>
              <w:t xml:space="preserve">      Stove (FC)</w:t>
            </w:r>
          </w:p>
        </w:tc>
        <w:tc>
          <w:tcPr>
            <w:tcW w:w="1530" w:type="dxa"/>
          </w:tcPr>
          <w:p w14:paraId="282D5E9C" w14:textId="56BF5A04" w:rsidR="00E74A37" w:rsidRPr="00B24172" w:rsidRDefault="00E74A37" w:rsidP="00E74A37">
            <w:pPr>
              <w:jc w:val="center"/>
              <w:rPr>
                <w:lang w:val="en-NZ" w:eastAsia="en-NZ"/>
              </w:rPr>
            </w:pPr>
            <w:r w:rsidRPr="00B24172">
              <w:rPr>
                <w:lang w:val="en-NZ" w:eastAsia="en-NZ"/>
              </w:rPr>
              <w:t>7,201</w:t>
            </w:r>
          </w:p>
        </w:tc>
        <w:tc>
          <w:tcPr>
            <w:tcW w:w="1440" w:type="dxa"/>
            <w:vMerge/>
            <w:shd w:val="clear" w:color="auto" w:fill="auto"/>
            <w:noWrap/>
            <w:vAlign w:val="center"/>
          </w:tcPr>
          <w:p w14:paraId="64ECE5CC" w14:textId="3E2EE5A9" w:rsidR="00E74A37" w:rsidRPr="00B24172" w:rsidRDefault="00E74A37" w:rsidP="00E74A37">
            <w:pPr>
              <w:jc w:val="center"/>
              <w:rPr>
                <w:lang w:val="en-NZ" w:eastAsia="en-NZ"/>
              </w:rPr>
            </w:pPr>
          </w:p>
        </w:tc>
        <w:tc>
          <w:tcPr>
            <w:tcW w:w="1350" w:type="dxa"/>
            <w:vMerge/>
            <w:shd w:val="clear" w:color="auto" w:fill="auto"/>
            <w:noWrap/>
            <w:vAlign w:val="center"/>
          </w:tcPr>
          <w:p w14:paraId="6F38A6C3" w14:textId="002FDCF5" w:rsidR="00E74A37" w:rsidRPr="00B24172" w:rsidRDefault="00E74A37" w:rsidP="00E74A37">
            <w:pPr>
              <w:jc w:val="center"/>
              <w:rPr>
                <w:lang w:val="en-NZ" w:eastAsia="en-NZ"/>
              </w:rPr>
            </w:pPr>
          </w:p>
        </w:tc>
        <w:tc>
          <w:tcPr>
            <w:tcW w:w="1260" w:type="dxa"/>
            <w:vMerge/>
            <w:shd w:val="clear" w:color="auto" w:fill="auto"/>
            <w:noWrap/>
            <w:vAlign w:val="center"/>
          </w:tcPr>
          <w:p w14:paraId="6B627701" w14:textId="63E26B00" w:rsidR="00E74A37" w:rsidRPr="00B24172" w:rsidRDefault="00E74A37" w:rsidP="00E74A37">
            <w:pPr>
              <w:jc w:val="center"/>
              <w:rPr>
                <w:lang w:val="en-NZ" w:eastAsia="en-NZ"/>
              </w:rPr>
            </w:pPr>
          </w:p>
        </w:tc>
      </w:tr>
      <w:tr w:rsidR="00FB2E0C" w:rsidRPr="00B24172" w14:paraId="0E90A18B" w14:textId="77777777" w:rsidTr="00FB2E0C">
        <w:trPr>
          <w:trHeight w:val="109"/>
        </w:trPr>
        <w:tc>
          <w:tcPr>
            <w:tcW w:w="3505" w:type="dxa"/>
            <w:shd w:val="clear" w:color="auto" w:fill="auto"/>
            <w:noWrap/>
            <w:vAlign w:val="bottom"/>
          </w:tcPr>
          <w:p w14:paraId="2D3F0EDB" w14:textId="0625DA74" w:rsidR="00E74A37" w:rsidRPr="00B24172" w:rsidRDefault="00E74A37" w:rsidP="00E74A37">
            <w:pPr>
              <w:rPr>
                <w:lang w:val="en-NZ" w:eastAsia="en-NZ"/>
              </w:rPr>
            </w:pPr>
            <w:r w:rsidRPr="00B24172">
              <w:rPr>
                <w:lang w:val="en-NZ" w:eastAsia="en-NZ"/>
              </w:rPr>
              <w:t xml:space="preserve">      Labour cost (VC)</w:t>
            </w:r>
          </w:p>
        </w:tc>
        <w:tc>
          <w:tcPr>
            <w:tcW w:w="1530" w:type="dxa"/>
          </w:tcPr>
          <w:p w14:paraId="0229E771" w14:textId="0B55CF39" w:rsidR="00E74A37" w:rsidRPr="00B24172" w:rsidRDefault="00E74A37" w:rsidP="00E74A37">
            <w:pPr>
              <w:jc w:val="center"/>
              <w:rPr>
                <w:lang w:val="en-NZ" w:eastAsia="en-NZ"/>
              </w:rPr>
            </w:pPr>
            <w:r w:rsidRPr="00B24172">
              <w:rPr>
                <w:lang w:val="en-NZ" w:eastAsia="en-NZ"/>
              </w:rPr>
              <w:t>17,082</w:t>
            </w:r>
          </w:p>
        </w:tc>
        <w:tc>
          <w:tcPr>
            <w:tcW w:w="1440" w:type="dxa"/>
            <w:vMerge/>
            <w:shd w:val="clear" w:color="auto" w:fill="auto"/>
            <w:noWrap/>
            <w:vAlign w:val="center"/>
          </w:tcPr>
          <w:p w14:paraId="6729B52F" w14:textId="6F9354D2" w:rsidR="00E74A37" w:rsidRPr="00B24172" w:rsidRDefault="00E74A37" w:rsidP="00E74A37">
            <w:pPr>
              <w:jc w:val="center"/>
              <w:rPr>
                <w:lang w:val="en-NZ" w:eastAsia="en-NZ"/>
              </w:rPr>
            </w:pPr>
          </w:p>
        </w:tc>
        <w:tc>
          <w:tcPr>
            <w:tcW w:w="1350" w:type="dxa"/>
            <w:vMerge/>
            <w:shd w:val="clear" w:color="auto" w:fill="auto"/>
            <w:noWrap/>
            <w:vAlign w:val="center"/>
          </w:tcPr>
          <w:p w14:paraId="4618ACCE" w14:textId="26061E67" w:rsidR="00E74A37" w:rsidRPr="00B24172" w:rsidRDefault="00E74A37" w:rsidP="00E74A37">
            <w:pPr>
              <w:jc w:val="center"/>
              <w:rPr>
                <w:lang w:val="en-NZ" w:eastAsia="en-NZ"/>
              </w:rPr>
            </w:pPr>
          </w:p>
        </w:tc>
        <w:tc>
          <w:tcPr>
            <w:tcW w:w="1260" w:type="dxa"/>
            <w:vMerge/>
            <w:shd w:val="clear" w:color="auto" w:fill="auto"/>
            <w:noWrap/>
            <w:vAlign w:val="center"/>
          </w:tcPr>
          <w:p w14:paraId="3BAA47C8" w14:textId="4267DFEB" w:rsidR="00E74A37" w:rsidRPr="00B24172" w:rsidRDefault="00E74A37" w:rsidP="00E74A37">
            <w:pPr>
              <w:jc w:val="center"/>
              <w:rPr>
                <w:lang w:val="en-NZ" w:eastAsia="en-NZ"/>
              </w:rPr>
            </w:pPr>
          </w:p>
        </w:tc>
      </w:tr>
      <w:tr w:rsidR="00FB2E0C" w:rsidRPr="00B24172" w14:paraId="1DCB2487" w14:textId="77777777" w:rsidTr="00FB2E0C">
        <w:trPr>
          <w:trHeight w:val="109"/>
        </w:trPr>
        <w:tc>
          <w:tcPr>
            <w:tcW w:w="3505" w:type="dxa"/>
            <w:shd w:val="clear" w:color="auto" w:fill="auto"/>
            <w:noWrap/>
            <w:vAlign w:val="bottom"/>
          </w:tcPr>
          <w:p w14:paraId="5D921BD3" w14:textId="11DBD3A7" w:rsidR="00E74A37" w:rsidRPr="00B24172" w:rsidRDefault="00E74A37" w:rsidP="00E74A37">
            <w:pPr>
              <w:rPr>
                <w:lang w:val="en-NZ" w:eastAsia="en-NZ"/>
              </w:rPr>
            </w:pPr>
            <w:r w:rsidRPr="00B24172">
              <w:rPr>
                <w:lang w:val="en-NZ" w:eastAsia="en-NZ"/>
              </w:rPr>
              <w:t xml:space="preserve">      Maintenance (VC)</w:t>
            </w:r>
          </w:p>
        </w:tc>
        <w:tc>
          <w:tcPr>
            <w:tcW w:w="1530" w:type="dxa"/>
          </w:tcPr>
          <w:p w14:paraId="54F25645" w14:textId="608938D3" w:rsidR="00E74A37" w:rsidRPr="00B24172" w:rsidRDefault="00E74A37" w:rsidP="00E74A37">
            <w:pPr>
              <w:jc w:val="center"/>
              <w:rPr>
                <w:lang w:val="en-NZ" w:eastAsia="en-NZ"/>
              </w:rPr>
            </w:pPr>
            <w:r w:rsidRPr="00B24172">
              <w:rPr>
                <w:lang w:val="en-NZ" w:eastAsia="en-NZ"/>
              </w:rPr>
              <w:t>332</w:t>
            </w:r>
          </w:p>
        </w:tc>
        <w:tc>
          <w:tcPr>
            <w:tcW w:w="1440" w:type="dxa"/>
            <w:vMerge/>
            <w:shd w:val="clear" w:color="auto" w:fill="auto"/>
            <w:noWrap/>
            <w:vAlign w:val="center"/>
          </w:tcPr>
          <w:p w14:paraId="49424EAF" w14:textId="1CA083F0" w:rsidR="00E74A37" w:rsidRPr="00B24172" w:rsidRDefault="00E74A37" w:rsidP="00E74A37">
            <w:pPr>
              <w:jc w:val="center"/>
              <w:rPr>
                <w:lang w:val="en-NZ" w:eastAsia="en-NZ"/>
              </w:rPr>
            </w:pPr>
          </w:p>
        </w:tc>
        <w:tc>
          <w:tcPr>
            <w:tcW w:w="1350" w:type="dxa"/>
            <w:vMerge/>
            <w:shd w:val="clear" w:color="auto" w:fill="auto"/>
            <w:noWrap/>
            <w:vAlign w:val="center"/>
          </w:tcPr>
          <w:p w14:paraId="0FD17209" w14:textId="549EF2F7" w:rsidR="00E74A37" w:rsidRPr="00B24172" w:rsidRDefault="00E74A37" w:rsidP="00E74A37">
            <w:pPr>
              <w:jc w:val="center"/>
              <w:rPr>
                <w:lang w:val="en-NZ" w:eastAsia="en-NZ"/>
              </w:rPr>
            </w:pPr>
          </w:p>
        </w:tc>
        <w:tc>
          <w:tcPr>
            <w:tcW w:w="1260" w:type="dxa"/>
            <w:vMerge/>
            <w:shd w:val="clear" w:color="auto" w:fill="auto"/>
            <w:noWrap/>
            <w:vAlign w:val="center"/>
          </w:tcPr>
          <w:p w14:paraId="71106A4E" w14:textId="45226C3B" w:rsidR="00E74A37" w:rsidRPr="00B24172" w:rsidRDefault="00E74A37" w:rsidP="00E74A37">
            <w:pPr>
              <w:jc w:val="center"/>
              <w:rPr>
                <w:lang w:val="en-NZ" w:eastAsia="en-NZ"/>
              </w:rPr>
            </w:pPr>
          </w:p>
        </w:tc>
      </w:tr>
      <w:tr w:rsidR="00FB2E0C" w:rsidRPr="00B24172" w14:paraId="65C814CF" w14:textId="77777777" w:rsidTr="00FB2E0C">
        <w:trPr>
          <w:trHeight w:val="109"/>
        </w:trPr>
        <w:tc>
          <w:tcPr>
            <w:tcW w:w="3505" w:type="dxa"/>
            <w:shd w:val="clear" w:color="auto" w:fill="auto"/>
            <w:noWrap/>
            <w:vAlign w:val="bottom"/>
          </w:tcPr>
          <w:p w14:paraId="6765A80E" w14:textId="7E7D4B8A" w:rsidR="00E74A37" w:rsidRPr="00B24172" w:rsidRDefault="00E74A37" w:rsidP="00E74A37">
            <w:pPr>
              <w:rPr>
                <w:b/>
                <w:lang w:val="en-NZ" w:eastAsia="en-NZ"/>
              </w:rPr>
            </w:pPr>
            <w:r w:rsidRPr="00B24172">
              <w:rPr>
                <w:b/>
                <w:lang w:val="en-NZ" w:eastAsia="en-NZ"/>
              </w:rPr>
              <w:t>LPG</w:t>
            </w:r>
          </w:p>
        </w:tc>
        <w:tc>
          <w:tcPr>
            <w:tcW w:w="1530" w:type="dxa"/>
          </w:tcPr>
          <w:p w14:paraId="2B70D595" w14:textId="77777777" w:rsidR="00E74A37" w:rsidRPr="00B24172" w:rsidRDefault="00E74A37" w:rsidP="00E74A37">
            <w:pPr>
              <w:jc w:val="center"/>
              <w:rPr>
                <w:lang w:val="en-NZ" w:eastAsia="en-NZ"/>
              </w:rPr>
            </w:pPr>
          </w:p>
        </w:tc>
        <w:tc>
          <w:tcPr>
            <w:tcW w:w="1440" w:type="dxa"/>
            <w:shd w:val="clear" w:color="auto" w:fill="auto"/>
            <w:noWrap/>
            <w:vAlign w:val="center"/>
          </w:tcPr>
          <w:p w14:paraId="41ED0AA9" w14:textId="7D07558C" w:rsidR="00E74A37" w:rsidRPr="00B24172" w:rsidRDefault="00E74A37" w:rsidP="00E74A37">
            <w:pPr>
              <w:jc w:val="center"/>
            </w:pPr>
          </w:p>
        </w:tc>
        <w:tc>
          <w:tcPr>
            <w:tcW w:w="1350" w:type="dxa"/>
            <w:shd w:val="clear" w:color="auto" w:fill="auto"/>
            <w:noWrap/>
            <w:vAlign w:val="center"/>
          </w:tcPr>
          <w:p w14:paraId="3DBECC9D" w14:textId="67486DA9" w:rsidR="00E74A37" w:rsidRPr="00B24172" w:rsidRDefault="00E74A37" w:rsidP="00E74A37">
            <w:pPr>
              <w:jc w:val="center"/>
            </w:pPr>
          </w:p>
        </w:tc>
        <w:tc>
          <w:tcPr>
            <w:tcW w:w="1260" w:type="dxa"/>
            <w:shd w:val="clear" w:color="auto" w:fill="auto"/>
            <w:noWrap/>
            <w:vAlign w:val="center"/>
          </w:tcPr>
          <w:p w14:paraId="5BBC66FE" w14:textId="4D24E4DB" w:rsidR="00E74A37" w:rsidRPr="00B24172" w:rsidRDefault="00E74A37" w:rsidP="00E74A37">
            <w:pPr>
              <w:jc w:val="center"/>
            </w:pPr>
          </w:p>
        </w:tc>
      </w:tr>
      <w:tr w:rsidR="00FB2E0C" w:rsidRPr="00B24172" w14:paraId="75E99CEA" w14:textId="77777777" w:rsidTr="00FB2E0C">
        <w:trPr>
          <w:trHeight w:val="109"/>
        </w:trPr>
        <w:tc>
          <w:tcPr>
            <w:tcW w:w="3505" w:type="dxa"/>
            <w:shd w:val="clear" w:color="auto" w:fill="auto"/>
            <w:noWrap/>
            <w:vAlign w:val="bottom"/>
          </w:tcPr>
          <w:p w14:paraId="43660D05" w14:textId="609BCBD6" w:rsidR="00E74A37" w:rsidRPr="00B24172" w:rsidRDefault="00E74A37" w:rsidP="00E74A37">
            <w:pPr>
              <w:rPr>
                <w:lang w:val="en-NZ" w:eastAsia="en-NZ"/>
              </w:rPr>
            </w:pPr>
            <w:r w:rsidRPr="00B24172">
              <w:rPr>
                <w:lang w:val="en-NZ" w:eastAsia="en-NZ"/>
              </w:rPr>
              <w:t xml:space="preserve">      Cylinder (FC)</w:t>
            </w:r>
          </w:p>
        </w:tc>
        <w:tc>
          <w:tcPr>
            <w:tcW w:w="1530" w:type="dxa"/>
          </w:tcPr>
          <w:p w14:paraId="0015B916" w14:textId="260F2342" w:rsidR="00E74A37" w:rsidRPr="00B24172" w:rsidRDefault="00E74A37" w:rsidP="00E74A37">
            <w:pPr>
              <w:jc w:val="center"/>
            </w:pPr>
            <w:r w:rsidRPr="00B24172">
              <w:t>6,001</w:t>
            </w:r>
          </w:p>
        </w:tc>
        <w:tc>
          <w:tcPr>
            <w:tcW w:w="1440" w:type="dxa"/>
            <w:vMerge w:val="restart"/>
            <w:shd w:val="clear" w:color="auto" w:fill="auto"/>
            <w:noWrap/>
            <w:vAlign w:val="center"/>
          </w:tcPr>
          <w:p w14:paraId="499FCADA" w14:textId="77777777" w:rsidR="00E74A37" w:rsidRPr="00B24172" w:rsidRDefault="00E74A37" w:rsidP="00E74A37">
            <w:pPr>
              <w:jc w:val="center"/>
              <w:rPr>
                <w:lang w:val="en-NZ" w:eastAsia="en-NZ"/>
              </w:rPr>
            </w:pPr>
            <w:r w:rsidRPr="00B24172">
              <w:t xml:space="preserve">         1,656,526 </w:t>
            </w:r>
          </w:p>
          <w:p w14:paraId="3D0E4E3C" w14:textId="71C38F56" w:rsidR="00E74A37" w:rsidRPr="00B24172" w:rsidRDefault="00E74A37" w:rsidP="00E74A37">
            <w:pPr>
              <w:jc w:val="center"/>
            </w:pPr>
          </w:p>
        </w:tc>
        <w:tc>
          <w:tcPr>
            <w:tcW w:w="1350" w:type="dxa"/>
            <w:vMerge w:val="restart"/>
            <w:shd w:val="clear" w:color="auto" w:fill="auto"/>
            <w:noWrap/>
            <w:vAlign w:val="center"/>
          </w:tcPr>
          <w:p w14:paraId="75A32458" w14:textId="77777777" w:rsidR="00E74A37" w:rsidRPr="00B24172" w:rsidRDefault="00E74A37" w:rsidP="00E74A37">
            <w:pPr>
              <w:jc w:val="center"/>
              <w:rPr>
                <w:lang w:val="en-NZ" w:eastAsia="en-NZ"/>
              </w:rPr>
            </w:pPr>
            <w:r w:rsidRPr="00B24172">
              <w:t xml:space="preserve">         1,423,392 </w:t>
            </w:r>
          </w:p>
          <w:p w14:paraId="68DC3055" w14:textId="0F2D92A9" w:rsidR="00E74A37" w:rsidRPr="00B24172" w:rsidRDefault="00E74A37" w:rsidP="00E74A37">
            <w:pPr>
              <w:jc w:val="center"/>
            </w:pPr>
          </w:p>
        </w:tc>
        <w:tc>
          <w:tcPr>
            <w:tcW w:w="1260" w:type="dxa"/>
            <w:vMerge w:val="restart"/>
            <w:shd w:val="clear" w:color="auto" w:fill="auto"/>
            <w:noWrap/>
            <w:vAlign w:val="center"/>
          </w:tcPr>
          <w:p w14:paraId="6EE9C0C0" w14:textId="77777777" w:rsidR="00E74A37" w:rsidRPr="00B24172" w:rsidRDefault="00E74A37" w:rsidP="00E74A37">
            <w:pPr>
              <w:jc w:val="center"/>
              <w:rPr>
                <w:lang w:val="en-NZ" w:eastAsia="en-NZ"/>
              </w:rPr>
            </w:pPr>
            <w:r w:rsidRPr="00B24172">
              <w:t xml:space="preserve">         1,249,334 </w:t>
            </w:r>
          </w:p>
          <w:p w14:paraId="6237133B" w14:textId="5C3913CA" w:rsidR="00E74A37" w:rsidRPr="00B24172" w:rsidRDefault="00E74A37" w:rsidP="00E74A37">
            <w:pPr>
              <w:jc w:val="center"/>
            </w:pPr>
          </w:p>
        </w:tc>
      </w:tr>
      <w:tr w:rsidR="00FB2E0C" w:rsidRPr="00B24172" w14:paraId="7854C454" w14:textId="77777777" w:rsidTr="00FB2E0C">
        <w:trPr>
          <w:trHeight w:val="109"/>
        </w:trPr>
        <w:tc>
          <w:tcPr>
            <w:tcW w:w="3505" w:type="dxa"/>
            <w:shd w:val="clear" w:color="auto" w:fill="auto"/>
            <w:noWrap/>
            <w:vAlign w:val="bottom"/>
          </w:tcPr>
          <w:p w14:paraId="60C98A02" w14:textId="2E90975E" w:rsidR="00E74A37" w:rsidRPr="00B24172" w:rsidRDefault="00E74A37" w:rsidP="00E74A37">
            <w:pPr>
              <w:rPr>
                <w:lang w:val="en-NZ" w:eastAsia="en-NZ"/>
              </w:rPr>
            </w:pPr>
            <w:r w:rsidRPr="00B24172">
              <w:rPr>
                <w:lang w:val="en-NZ" w:eastAsia="en-NZ"/>
              </w:rPr>
              <w:t xml:space="preserve">      Stove (FC)</w:t>
            </w:r>
          </w:p>
        </w:tc>
        <w:tc>
          <w:tcPr>
            <w:tcW w:w="1530" w:type="dxa"/>
          </w:tcPr>
          <w:p w14:paraId="6F6088CD" w14:textId="368882DA" w:rsidR="00E74A37" w:rsidRPr="00B24172" w:rsidRDefault="00E74A37" w:rsidP="00E74A37">
            <w:pPr>
              <w:jc w:val="center"/>
            </w:pPr>
            <w:r w:rsidRPr="00B24172">
              <w:t>7,201</w:t>
            </w:r>
          </w:p>
        </w:tc>
        <w:tc>
          <w:tcPr>
            <w:tcW w:w="1440" w:type="dxa"/>
            <w:vMerge/>
            <w:shd w:val="clear" w:color="auto" w:fill="auto"/>
            <w:noWrap/>
            <w:vAlign w:val="center"/>
          </w:tcPr>
          <w:p w14:paraId="2EC050A9" w14:textId="5C6A26D4" w:rsidR="00E74A37" w:rsidRPr="00B24172" w:rsidRDefault="00E74A37" w:rsidP="00E74A37">
            <w:pPr>
              <w:jc w:val="center"/>
            </w:pPr>
          </w:p>
        </w:tc>
        <w:tc>
          <w:tcPr>
            <w:tcW w:w="1350" w:type="dxa"/>
            <w:vMerge/>
            <w:shd w:val="clear" w:color="auto" w:fill="auto"/>
            <w:noWrap/>
            <w:vAlign w:val="center"/>
          </w:tcPr>
          <w:p w14:paraId="22E32662" w14:textId="0CB7FC05" w:rsidR="00E74A37" w:rsidRPr="00B24172" w:rsidRDefault="00E74A37" w:rsidP="00E74A37">
            <w:pPr>
              <w:jc w:val="center"/>
            </w:pPr>
          </w:p>
        </w:tc>
        <w:tc>
          <w:tcPr>
            <w:tcW w:w="1260" w:type="dxa"/>
            <w:vMerge/>
            <w:shd w:val="clear" w:color="auto" w:fill="auto"/>
            <w:noWrap/>
            <w:vAlign w:val="center"/>
          </w:tcPr>
          <w:p w14:paraId="7F443FE9" w14:textId="1C127FA7" w:rsidR="00E74A37" w:rsidRPr="00B24172" w:rsidRDefault="00E74A37" w:rsidP="00E74A37">
            <w:pPr>
              <w:jc w:val="center"/>
            </w:pPr>
          </w:p>
        </w:tc>
      </w:tr>
      <w:tr w:rsidR="00FB2E0C" w:rsidRPr="00B24172" w14:paraId="56D7EC2E" w14:textId="77777777" w:rsidTr="00FB2E0C">
        <w:trPr>
          <w:trHeight w:val="109"/>
        </w:trPr>
        <w:tc>
          <w:tcPr>
            <w:tcW w:w="3505" w:type="dxa"/>
            <w:shd w:val="clear" w:color="auto" w:fill="auto"/>
            <w:noWrap/>
            <w:vAlign w:val="bottom"/>
          </w:tcPr>
          <w:p w14:paraId="261901FC" w14:textId="7EEE6AEC" w:rsidR="00E74A37" w:rsidRPr="00B24172" w:rsidRDefault="00E74A37" w:rsidP="00E74A37">
            <w:pPr>
              <w:rPr>
                <w:lang w:val="en-NZ" w:eastAsia="en-NZ"/>
              </w:rPr>
            </w:pPr>
            <w:r w:rsidRPr="00B24172">
              <w:rPr>
                <w:lang w:val="en-NZ" w:eastAsia="en-NZ"/>
              </w:rPr>
              <w:t xml:space="preserve">      Fuel cost (VC)</w:t>
            </w:r>
          </w:p>
        </w:tc>
        <w:tc>
          <w:tcPr>
            <w:tcW w:w="1530" w:type="dxa"/>
          </w:tcPr>
          <w:p w14:paraId="25F02594" w14:textId="3BED792B" w:rsidR="00E74A37" w:rsidRPr="00B24172" w:rsidRDefault="00E74A37" w:rsidP="00E74A37">
            <w:pPr>
              <w:jc w:val="center"/>
            </w:pPr>
            <w:r w:rsidRPr="00B24172">
              <w:t>10,553</w:t>
            </w:r>
          </w:p>
        </w:tc>
        <w:tc>
          <w:tcPr>
            <w:tcW w:w="1440" w:type="dxa"/>
            <w:vMerge/>
            <w:shd w:val="clear" w:color="auto" w:fill="auto"/>
            <w:noWrap/>
            <w:vAlign w:val="center"/>
          </w:tcPr>
          <w:p w14:paraId="286DF631" w14:textId="656D1CA0" w:rsidR="00E74A37" w:rsidRPr="00B24172" w:rsidRDefault="00E74A37" w:rsidP="00E74A37">
            <w:pPr>
              <w:jc w:val="center"/>
            </w:pPr>
          </w:p>
        </w:tc>
        <w:tc>
          <w:tcPr>
            <w:tcW w:w="1350" w:type="dxa"/>
            <w:vMerge/>
            <w:shd w:val="clear" w:color="auto" w:fill="auto"/>
            <w:noWrap/>
            <w:vAlign w:val="center"/>
          </w:tcPr>
          <w:p w14:paraId="1D8A80E2" w14:textId="566458EE" w:rsidR="00E74A37" w:rsidRPr="00B24172" w:rsidRDefault="00E74A37" w:rsidP="00E74A37">
            <w:pPr>
              <w:jc w:val="center"/>
            </w:pPr>
          </w:p>
        </w:tc>
        <w:tc>
          <w:tcPr>
            <w:tcW w:w="1260" w:type="dxa"/>
            <w:vMerge/>
            <w:shd w:val="clear" w:color="auto" w:fill="auto"/>
            <w:noWrap/>
            <w:vAlign w:val="center"/>
          </w:tcPr>
          <w:p w14:paraId="657F11BA" w14:textId="0AD988DE" w:rsidR="00E74A37" w:rsidRPr="00B24172" w:rsidRDefault="00E74A37" w:rsidP="00E74A37">
            <w:pPr>
              <w:jc w:val="center"/>
            </w:pPr>
          </w:p>
        </w:tc>
      </w:tr>
      <w:tr w:rsidR="00FB2E0C" w:rsidRPr="00B24172" w14:paraId="25BA8E6D" w14:textId="77777777" w:rsidTr="00FB2E0C">
        <w:trPr>
          <w:trHeight w:val="109"/>
        </w:trPr>
        <w:tc>
          <w:tcPr>
            <w:tcW w:w="3505" w:type="dxa"/>
            <w:shd w:val="clear" w:color="auto" w:fill="auto"/>
            <w:noWrap/>
            <w:vAlign w:val="bottom"/>
          </w:tcPr>
          <w:p w14:paraId="5B918002" w14:textId="1B88EC74" w:rsidR="00E74A37" w:rsidRPr="00B24172" w:rsidRDefault="00E74A37" w:rsidP="00E74A37">
            <w:pPr>
              <w:rPr>
                <w:lang w:val="en-NZ" w:eastAsia="en-NZ"/>
              </w:rPr>
            </w:pPr>
            <w:r w:rsidRPr="00B24172">
              <w:rPr>
                <w:lang w:val="en-NZ" w:eastAsia="en-NZ"/>
              </w:rPr>
              <w:t xml:space="preserve">      Maintenance (VC)</w:t>
            </w:r>
          </w:p>
        </w:tc>
        <w:tc>
          <w:tcPr>
            <w:tcW w:w="1530" w:type="dxa"/>
          </w:tcPr>
          <w:p w14:paraId="599A85EB" w14:textId="11CECE78" w:rsidR="00E74A37" w:rsidRPr="00B24172" w:rsidRDefault="00E74A37" w:rsidP="00E74A37">
            <w:pPr>
              <w:jc w:val="center"/>
            </w:pPr>
            <w:r w:rsidRPr="00B24172">
              <w:t>332</w:t>
            </w:r>
          </w:p>
        </w:tc>
        <w:tc>
          <w:tcPr>
            <w:tcW w:w="1440" w:type="dxa"/>
            <w:vMerge/>
            <w:shd w:val="clear" w:color="auto" w:fill="auto"/>
            <w:noWrap/>
            <w:vAlign w:val="center"/>
          </w:tcPr>
          <w:p w14:paraId="77E8A464" w14:textId="08DE777C" w:rsidR="00E74A37" w:rsidRPr="00B24172" w:rsidRDefault="00E74A37" w:rsidP="00E74A37">
            <w:pPr>
              <w:jc w:val="center"/>
            </w:pPr>
          </w:p>
        </w:tc>
        <w:tc>
          <w:tcPr>
            <w:tcW w:w="1350" w:type="dxa"/>
            <w:vMerge/>
            <w:shd w:val="clear" w:color="auto" w:fill="auto"/>
            <w:noWrap/>
            <w:vAlign w:val="center"/>
          </w:tcPr>
          <w:p w14:paraId="32F77E19" w14:textId="22A2E567" w:rsidR="00E74A37" w:rsidRPr="00B24172" w:rsidRDefault="00E74A37" w:rsidP="00E74A37">
            <w:pPr>
              <w:jc w:val="center"/>
            </w:pPr>
          </w:p>
        </w:tc>
        <w:tc>
          <w:tcPr>
            <w:tcW w:w="1260" w:type="dxa"/>
            <w:vMerge/>
            <w:shd w:val="clear" w:color="auto" w:fill="auto"/>
            <w:noWrap/>
            <w:vAlign w:val="center"/>
          </w:tcPr>
          <w:p w14:paraId="5BAD62F7" w14:textId="6EFE08C2" w:rsidR="00E74A37" w:rsidRPr="00B24172" w:rsidRDefault="00E74A37" w:rsidP="00E74A37">
            <w:pPr>
              <w:jc w:val="center"/>
            </w:pPr>
          </w:p>
        </w:tc>
      </w:tr>
      <w:tr w:rsidR="00FB2E0C" w:rsidRPr="00B24172" w14:paraId="07C54A35" w14:textId="77777777" w:rsidTr="00FB2E0C">
        <w:trPr>
          <w:trHeight w:val="109"/>
        </w:trPr>
        <w:tc>
          <w:tcPr>
            <w:tcW w:w="3505" w:type="dxa"/>
            <w:shd w:val="clear" w:color="auto" w:fill="auto"/>
            <w:noWrap/>
            <w:vAlign w:val="bottom"/>
          </w:tcPr>
          <w:p w14:paraId="5596D1C8" w14:textId="47A60EAF" w:rsidR="00E74A37" w:rsidRPr="00B24172" w:rsidRDefault="00E74A37" w:rsidP="00E74A37">
            <w:pPr>
              <w:rPr>
                <w:b/>
                <w:lang w:val="en-NZ" w:eastAsia="en-NZ"/>
              </w:rPr>
            </w:pPr>
            <w:r w:rsidRPr="00B24172">
              <w:rPr>
                <w:b/>
                <w:lang w:val="en-NZ" w:eastAsia="en-NZ"/>
              </w:rPr>
              <w:t>Natural Gas</w:t>
            </w:r>
          </w:p>
        </w:tc>
        <w:tc>
          <w:tcPr>
            <w:tcW w:w="1530" w:type="dxa"/>
          </w:tcPr>
          <w:p w14:paraId="4B06FB96" w14:textId="77777777" w:rsidR="00E74A37" w:rsidRPr="00B24172" w:rsidRDefault="00E74A37" w:rsidP="00E74A37">
            <w:pPr>
              <w:jc w:val="center"/>
              <w:rPr>
                <w:lang w:val="en-NZ" w:eastAsia="en-NZ"/>
              </w:rPr>
            </w:pPr>
          </w:p>
        </w:tc>
        <w:tc>
          <w:tcPr>
            <w:tcW w:w="1440" w:type="dxa"/>
            <w:shd w:val="clear" w:color="auto" w:fill="auto"/>
            <w:noWrap/>
            <w:vAlign w:val="center"/>
          </w:tcPr>
          <w:p w14:paraId="15FAC2DF" w14:textId="333CC927" w:rsidR="00E74A37" w:rsidRPr="00B24172" w:rsidRDefault="00E74A37" w:rsidP="00E74A37">
            <w:pPr>
              <w:jc w:val="center"/>
            </w:pPr>
          </w:p>
        </w:tc>
        <w:tc>
          <w:tcPr>
            <w:tcW w:w="1350" w:type="dxa"/>
            <w:shd w:val="clear" w:color="auto" w:fill="auto"/>
            <w:noWrap/>
            <w:vAlign w:val="center"/>
          </w:tcPr>
          <w:p w14:paraId="501296FD" w14:textId="3F3168EF" w:rsidR="00E74A37" w:rsidRPr="00B24172" w:rsidRDefault="00E74A37" w:rsidP="00E74A37">
            <w:pPr>
              <w:jc w:val="center"/>
            </w:pPr>
          </w:p>
        </w:tc>
        <w:tc>
          <w:tcPr>
            <w:tcW w:w="1260" w:type="dxa"/>
            <w:shd w:val="clear" w:color="auto" w:fill="auto"/>
            <w:noWrap/>
            <w:vAlign w:val="center"/>
          </w:tcPr>
          <w:p w14:paraId="743747AA" w14:textId="6C7BCCB3" w:rsidR="00E74A37" w:rsidRPr="00B24172" w:rsidRDefault="00E74A37" w:rsidP="00E74A37">
            <w:pPr>
              <w:jc w:val="center"/>
            </w:pPr>
          </w:p>
        </w:tc>
      </w:tr>
      <w:tr w:rsidR="00FB2E0C" w:rsidRPr="00B24172" w14:paraId="3E5222C7" w14:textId="77777777" w:rsidTr="00FB2E0C">
        <w:trPr>
          <w:trHeight w:val="109"/>
        </w:trPr>
        <w:tc>
          <w:tcPr>
            <w:tcW w:w="3505" w:type="dxa"/>
            <w:shd w:val="clear" w:color="auto" w:fill="auto"/>
            <w:noWrap/>
            <w:vAlign w:val="bottom"/>
          </w:tcPr>
          <w:p w14:paraId="156F7771" w14:textId="1037D16B" w:rsidR="00E74A37" w:rsidRPr="00B24172" w:rsidRDefault="00E74A37" w:rsidP="00E74A37">
            <w:pPr>
              <w:rPr>
                <w:lang w:val="en-NZ" w:eastAsia="en-NZ"/>
              </w:rPr>
            </w:pPr>
            <w:r w:rsidRPr="00B24172">
              <w:rPr>
                <w:lang w:val="en-NZ" w:eastAsia="en-NZ"/>
              </w:rPr>
              <w:t xml:space="preserve">      Connection (FC)</w:t>
            </w:r>
          </w:p>
        </w:tc>
        <w:tc>
          <w:tcPr>
            <w:tcW w:w="1530" w:type="dxa"/>
          </w:tcPr>
          <w:p w14:paraId="0A3F84E8" w14:textId="6D9D18D6" w:rsidR="00E74A37" w:rsidRPr="00B24172" w:rsidRDefault="00E74A37" w:rsidP="00E74A37">
            <w:pPr>
              <w:jc w:val="center"/>
            </w:pPr>
            <w:r w:rsidRPr="00B24172">
              <w:t>6,000</w:t>
            </w:r>
          </w:p>
        </w:tc>
        <w:tc>
          <w:tcPr>
            <w:tcW w:w="1440" w:type="dxa"/>
            <w:vMerge w:val="restart"/>
            <w:shd w:val="clear" w:color="auto" w:fill="auto"/>
            <w:noWrap/>
            <w:vAlign w:val="center"/>
          </w:tcPr>
          <w:p w14:paraId="68F3E79E" w14:textId="77777777" w:rsidR="00E74A37" w:rsidRPr="00B24172" w:rsidRDefault="00E74A37" w:rsidP="00E74A37">
            <w:pPr>
              <w:jc w:val="center"/>
              <w:rPr>
                <w:lang w:val="en-NZ" w:eastAsia="en-NZ"/>
              </w:rPr>
            </w:pPr>
            <w:r w:rsidRPr="00B24172">
              <w:t xml:space="preserve">         1,656,590 </w:t>
            </w:r>
          </w:p>
          <w:p w14:paraId="7045DBE0" w14:textId="765EDD8F" w:rsidR="00E74A37" w:rsidRPr="00B24172" w:rsidRDefault="00E74A37" w:rsidP="00E74A37">
            <w:pPr>
              <w:jc w:val="center"/>
            </w:pPr>
          </w:p>
        </w:tc>
        <w:tc>
          <w:tcPr>
            <w:tcW w:w="1350" w:type="dxa"/>
            <w:vMerge w:val="restart"/>
            <w:shd w:val="clear" w:color="auto" w:fill="auto"/>
            <w:noWrap/>
            <w:vAlign w:val="center"/>
          </w:tcPr>
          <w:p w14:paraId="08C979A1" w14:textId="77777777" w:rsidR="00E74A37" w:rsidRPr="00B24172" w:rsidRDefault="00E74A37" w:rsidP="00E74A37">
            <w:pPr>
              <w:jc w:val="center"/>
              <w:rPr>
                <w:lang w:val="en-NZ" w:eastAsia="en-NZ"/>
              </w:rPr>
            </w:pPr>
            <w:r w:rsidRPr="00B24172">
              <w:t xml:space="preserve">         1,445,002 </w:t>
            </w:r>
          </w:p>
          <w:p w14:paraId="4311188F" w14:textId="62602327" w:rsidR="00E74A37" w:rsidRPr="00B24172" w:rsidRDefault="00E74A37" w:rsidP="00E74A37">
            <w:pPr>
              <w:jc w:val="center"/>
            </w:pPr>
          </w:p>
        </w:tc>
        <w:tc>
          <w:tcPr>
            <w:tcW w:w="1260" w:type="dxa"/>
            <w:vMerge w:val="restart"/>
            <w:shd w:val="clear" w:color="auto" w:fill="auto"/>
            <w:noWrap/>
            <w:vAlign w:val="center"/>
          </w:tcPr>
          <w:p w14:paraId="077B13AD" w14:textId="77777777" w:rsidR="00E74A37" w:rsidRPr="00B24172" w:rsidRDefault="00E74A37" w:rsidP="00E74A37">
            <w:pPr>
              <w:jc w:val="center"/>
              <w:rPr>
                <w:lang w:val="en-NZ" w:eastAsia="en-NZ"/>
              </w:rPr>
            </w:pPr>
            <w:r w:rsidRPr="00B24172">
              <w:t xml:space="preserve">         1,287,030 </w:t>
            </w:r>
          </w:p>
          <w:p w14:paraId="01E80D48" w14:textId="14B91CA1" w:rsidR="00E74A37" w:rsidRPr="00B24172" w:rsidRDefault="00E74A37" w:rsidP="00E74A37">
            <w:pPr>
              <w:jc w:val="center"/>
            </w:pPr>
          </w:p>
        </w:tc>
      </w:tr>
      <w:tr w:rsidR="00FB2E0C" w:rsidRPr="00B24172" w14:paraId="2A1F965E" w14:textId="77777777" w:rsidTr="00FB2E0C">
        <w:trPr>
          <w:trHeight w:val="109"/>
        </w:trPr>
        <w:tc>
          <w:tcPr>
            <w:tcW w:w="3505" w:type="dxa"/>
            <w:shd w:val="clear" w:color="auto" w:fill="auto"/>
            <w:noWrap/>
            <w:vAlign w:val="bottom"/>
          </w:tcPr>
          <w:p w14:paraId="24A2D6EB" w14:textId="4256E69F" w:rsidR="00E74A37" w:rsidRPr="00B24172" w:rsidRDefault="00E74A37" w:rsidP="00E74A37">
            <w:pPr>
              <w:rPr>
                <w:lang w:val="en-NZ" w:eastAsia="en-NZ"/>
              </w:rPr>
            </w:pPr>
            <w:r w:rsidRPr="00B24172">
              <w:rPr>
                <w:lang w:val="en-NZ" w:eastAsia="en-NZ"/>
              </w:rPr>
              <w:t xml:space="preserve">      Stove (FC)</w:t>
            </w:r>
          </w:p>
        </w:tc>
        <w:tc>
          <w:tcPr>
            <w:tcW w:w="1530" w:type="dxa"/>
          </w:tcPr>
          <w:p w14:paraId="75FCC545" w14:textId="14926495" w:rsidR="00E74A37" w:rsidRPr="00B24172" w:rsidRDefault="00E74A37" w:rsidP="00E74A37">
            <w:pPr>
              <w:jc w:val="center"/>
            </w:pPr>
            <w:r w:rsidRPr="00B24172">
              <w:t>7,201</w:t>
            </w:r>
          </w:p>
        </w:tc>
        <w:tc>
          <w:tcPr>
            <w:tcW w:w="1440" w:type="dxa"/>
            <w:vMerge/>
            <w:shd w:val="clear" w:color="auto" w:fill="auto"/>
            <w:noWrap/>
            <w:vAlign w:val="center"/>
          </w:tcPr>
          <w:p w14:paraId="161BB716" w14:textId="41DA7D11" w:rsidR="00E74A37" w:rsidRPr="00B24172" w:rsidRDefault="00E74A37" w:rsidP="00E74A37">
            <w:pPr>
              <w:jc w:val="center"/>
            </w:pPr>
          </w:p>
        </w:tc>
        <w:tc>
          <w:tcPr>
            <w:tcW w:w="1350" w:type="dxa"/>
            <w:vMerge/>
            <w:shd w:val="clear" w:color="auto" w:fill="auto"/>
            <w:noWrap/>
            <w:vAlign w:val="center"/>
          </w:tcPr>
          <w:p w14:paraId="404B85EF" w14:textId="63DFE558" w:rsidR="00E74A37" w:rsidRPr="00B24172" w:rsidRDefault="00E74A37" w:rsidP="00E74A37">
            <w:pPr>
              <w:jc w:val="center"/>
            </w:pPr>
          </w:p>
        </w:tc>
        <w:tc>
          <w:tcPr>
            <w:tcW w:w="1260" w:type="dxa"/>
            <w:vMerge/>
            <w:shd w:val="clear" w:color="auto" w:fill="auto"/>
            <w:noWrap/>
            <w:vAlign w:val="center"/>
          </w:tcPr>
          <w:p w14:paraId="2C5DEB7B" w14:textId="2A824D65" w:rsidR="00E74A37" w:rsidRPr="00B24172" w:rsidRDefault="00E74A37" w:rsidP="00E74A37">
            <w:pPr>
              <w:jc w:val="center"/>
            </w:pPr>
          </w:p>
        </w:tc>
      </w:tr>
      <w:tr w:rsidR="00FB2E0C" w:rsidRPr="00B24172" w14:paraId="1E7A7A5F" w14:textId="77777777" w:rsidTr="00FB2E0C">
        <w:trPr>
          <w:trHeight w:val="109"/>
        </w:trPr>
        <w:tc>
          <w:tcPr>
            <w:tcW w:w="3505" w:type="dxa"/>
            <w:shd w:val="clear" w:color="auto" w:fill="auto"/>
            <w:noWrap/>
            <w:vAlign w:val="bottom"/>
          </w:tcPr>
          <w:p w14:paraId="4329B834" w14:textId="7DAD9185" w:rsidR="00E74A37" w:rsidRPr="00B24172" w:rsidRDefault="00E74A37" w:rsidP="00E74A37">
            <w:pPr>
              <w:rPr>
                <w:lang w:val="en-NZ" w:eastAsia="en-NZ"/>
              </w:rPr>
            </w:pPr>
            <w:r w:rsidRPr="00B24172">
              <w:rPr>
                <w:lang w:val="en-NZ" w:eastAsia="en-NZ"/>
              </w:rPr>
              <w:t xml:space="preserve">      Labour cost (FC)</w:t>
            </w:r>
          </w:p>
        </w:tc>
        <w:tc>
          <w:tcPr>
            <w:tcW w:w="1530" w:type="dxa"/>
          </w:tcPr>
          <w:p w14:paraId="2663453B" w14:textId="3427763B" w:rsidR="00E74A37" w:rsidRPr="00B24172" w:rsidRDefault="00E74A37" w:rsidP="00E74A37">
            <w:pPr>
              <w:jc w:val="center"/>
            </w:pPr>
            <w:r w:rsidRPr="00B24172">
              <w:t>8,844</w:t>
            </w:r>
          </w:p>
        </w:tc>
        <w:tc>
          <w:tcPr>
            <w:tcW w:w="1440" w:type="dxa"/>
            <w:vMerge/>
            <w:shd w:val="clear" w:color="auto" w:fill="auto"/>
            <w:noWrap/>
            <w:vAlign w:val="center"/>
          </w:tcPr>
          <w:p w14:paraId="328C8546" w14:textId="7D28EEEF" w:rsidR="00E74A37" w:rsidRPr="00B24172" w:rsidRDefault="00E74A37" w:rsidP="00E74A37">
            <w:pPr>
              <w:jc w:val="center"/>
            </w:pPr>
          </w:p>
        </w:tc>
        <w:tc>
          <w:tcPr>
            <w:tcW w:w="1350" w:type="dxa"/>
            <w:vMerge/>
            <w:shd w:val="clear" w:color="auto" w:fill="auto"/>
            <w:noWrap/>
            <w:vAlign w:val="center"/>
          </w:tcPr>
          <w:p w14:paraId="53E194DD" w14:textId="633FC306" w:rsidR="00E74A37" w:rsidRPr="00B24172" w:rsidRDefault="00E74A37" w:rsidP="00E74A37">
            <w:pPr>
              <w:jc w:val="center"/>
            </w:pPr>
          </w:p>
        </w:tc>
        <w:tc>
          <w:tcPr>
            <w:tcW w:w="1260" w:type="dxa"/>
            <w:vMerge/>
            <w:shd w:val="clear" w:color="auto" w:fill="auto"/>
            <w:noWrap/>
            <w:vAlign w:val="center"/>
          </w:tcPr>
          <w:p w14:paraId="1018B23D" w14:textId="38139B76" w:rsidR="00E74A37" w:rsidRPr="00B24172" w:rsidRDefault="00E74A37" w:rsidP="00E74A37">
            <w:pPr>
              <w:jc w:val="center"/>
            </w:pPr>
          </w:p>
        </w:tc>
      </w:tr>
      <w:tr w:rsidR="00FB2E0C" w:rsidRPr="00B24172" w14:paraId="4DE0EF26" w14:textId="77777777" w:rsidTr="00FB2E0C">
        <w:trPr>
          <w:trHeight w:val="109"/>
        </w:trPr>
        <w:tc>
          <w:tcPr>
            <w:tcW w:w="3505" w:type="dxa"/>
            <w:shd w:val="clear" w:color="auto" w:fill="auto"/>
            <w:noWrap/>
            <w:vAlign w:val="bottom"/>
          </w:tcPr>
          <w:p w14:paraId="1D0452FC" w14:textId="4A281AAF" w:rsidR="00E74A37" w:rsidRPr="00B24172" w:rsidRDefault="00E74A37" w:rsidP="00E74A37">
            <w:pPr>
              <w:rPr>
                <w:lang w:val="en-NZ" w:eastAsia="en-NZ"/>
              </w:rPr>
            </w:pPr>
            <w:r w:rsidRPr="00B24172">
              <w:rPr>
                <w:lang w:val="en-NZ" w:eastAsia="en-NZ"/>
              </w:rPr>
              <w:t xml:space="preserve">      Gas charges (VC)</w:t>
            </w:r>
          </w:p>
        </w:tc>
        <w:tc>
          <w:tcPr>
            <w:tcW w:w="1530" w:type="dxa"/>
          </w:tcPr>
          <w:p w14:paraId="0FD96EDE" w14:textId="56FA5F29" w:rsidR="00E74A37" w:rsidRPr="00B24172" w:rsidRDefault="00E74A37" w:rsidP="00E74A37">
            <w:pPr>
              <w:jc w:val="center"/>
            </w:pPr>
            <w:r w:rsidRPr="00B24172">
              <w:t>9,547</w:t>
            </w:r>
          </w:p>
        </w:tc>
        <w:tc>
          <w:tcPr>
            <w:tcW w:w="1440" w:type="dxa"/>
            <w:vMerge/>
            <w:shd w:val="clear" w:color="auto" w:fill="auto"/>
            <w:noWrap/>
            <w:vAlign w:val="center"/>
          </w:tcPr>
          <w:p w14:paraId="49F0522E" w14:textId="4963AC65" w:rsidR="00E74A37" w:rsidRPr="00B24172" w:rsidRDefault="00E74A37" w:rsidP="00E74A37">
            <w:pPr>
              <w:jc w:val="center"/>
            </w:pPr>
          </w:p>
        </w:tc>
        <w:tc>
          <w:tcPr>
            <w:tcW w:w="1350" w:type="dxa"/>
            <w:vMerge/>
            <w:shd w:val="clear" w:color="auto" w:fill="auto"/>
            <w:noWrap/>
            <w:vAlign w:val="center"/>
          </w:tcPr>
          <w:p w14:paraId="238D973D" w14:textId="7AF50A9F" w:rsidR="00E74A37" w:rsidRPr="00B24172" w:rsidRDefault="00E74A37" w:rsidP="00E74A37">
            <w:pPr>
              <w:jc w:val="center"/>
            </w:pPr>
          </w:p>
        </w:tc>
        <w:tc>
          <w:tcPr>
            <w:tcW w:w="1260" w:type="dxa"/>
            <w:vMerge/>
            <w:shd w:val="clear" w:color="auto" w:fill="auto"/>
            <w:noWrap/>
            <w:vAlign w:val="center"/>
          </w:tcPr>
          <w:p w14:paraId="09EFC18D" w14:textId="5EDA622C" w:rsidR="00E74A37" w:rsidRPr="00B24172" w:rsidRDefault="00E74A37" w:rsidP="00E74A37">
            <w:pPr>
              <w:jc w:val="center"/>
            </w:pPr>
          </w:p>
        </w:tc>
      </w:tr>
      <w:tr w:rsidR="00FB2E0C" w:rsidRPr="00B24172" w14:paraId="473C197C" w14:textId="77777777" w:rsidTr="00FB2E0C">
        <w:trPr>
          <w:trHeight w:val="109"/>
        </w:trPr>
        <w:tc>
          <w:tcPr>
            <w:tcW w:w="3505" w:type="dxa"/>
            <w:shd w:val="clear" w:color="auto" w:fill="auto"/>
            <w:noWrap/>
            <w:vAlign w:val="bottom"/>
          </w:tcPr>
          <w:p w14:paraId="740F349A" w14:textId="180800B6" w:rsidR="00E74A37" w:rsidRPr="00B24172" w:rsidRDefault="00E74A37" w:rsidP="00E74A37">
            <w:pPr>
              <w:rPr>
                <w:lang w:val="en-NZ" w:eastAsia="en-NZ"/>
              </w:rPr>
            </w:pPr>
            <w:r w:rsidRPr="00B24172">
              <w:rPr>
                <w:lang w:val="en-NZ" w:eastAsia="en-NZ"/>
              </w:rPr>
              <w:t xml:space="preserve">      Maintenance (VC)</w:t>
            </w:r>
          </w:p>
        </w:tc>
        <w:tc>
          <w:tcPr>
            <w:tcW w:w="1530" w:type="dxa"/>
          </w:tcPr>
          <w:p w14:paraId="0661E7D1" w14:textId="3673FB37" w:rsidR="00E74A37" w:rsidRPr="00B24172" w:rsidRDefault="00E74A37" w:rsidP="00E74A37">
            <w:pPr>
              <w:jc w:val="center"/>
            </w:pPr>
            <w:r w:rsidRPr="00B24172">
              <w:t>332</w:t>
            </w:r>
          </w:p>
        </w:tc>
        <w:tc>
          <w:tcPr>
            <w:tcW w:w="1440" w:type="dxa"/>
            <w:vMerge/>
            <w:shd w:val="clear" w:color="auto" w:fill="auto"/>
            <w:noWrap/>
            <w:vAlign w:val="center"/>
          </w:tcPr>
          <w:p w14:paraId="7506F7BE" w14:textId="77777777" w:rsidR="00E74A37" w:rsidRPr="00B24172" w:rsidRDefault="00E74A37" w:rsidP="00E74A37">
            <w:pPr>
              <w:jc w:val="center"/>
            </w:pPr>
          </w:p>
        </w:tc>
        <w:tc>
          <w:tcPr>
            <w:tcW w:w="1350" w:type="dxa"/>
            <w:vMerge/>
            <w:shd w:val="clear" w:color="auto" w:fill="auto"/>
            <w:noWrap/>
            <w:vAlign w:val="center"/>
          </w:tcPr>
          <w:p w14:paraId="275B246B" w14:textId="77777777" w:rsidR="00E74A37" w:rsidRPr="00B24172" w:rsidRDefault="00E74A37" w:rsidP="00E74A37">
            <w:pPr>
              <w:jc w:val="center"/>
            </w:pPr>
          </w:p>
        </w:tc>
        <w:tc>
          <w:tcPr>
            <w:tcW w:w="1260" w:type="dxa"/>
            <w:vMerge/>
            <w:shd w:val="clear" w:color="auto" w:fill="auto"/>
            <w:noWrap/>
            <w:vAlign w:val="center"/>
          </w:tcPr>
          <w:p w14:paraId="6E90E207" w14:textId="77777777" w:rsidR="00E74A37" w:rsidRPr="00B24172" w:rsidRDefault="00E74A37" w:rsidP="00E74A37">
            <w:pPr>
              <w:jc w:val="center"/>
            </w:pPr>
          </w:p>
        </w:tc>
      </w:tr>
      <w:tr w:rsidR="00FB2E0C" w:rsidRPr="00B24172" w14:paraId="053678EB" w14:textId="77777777" w:rsidTr="00FB2E0C">
        <w:trPr>
          <w:trHeight w:val="109"/>
        </w:trPr>
        <w:tc>
          <w:tcPr>
            <w:tcW w:w="3505" w:type="dxa"/>
            <w:shd w:val="clear" w:color="auto" w:fill="auto"/>
            <w:noWrap/>
            <w:vAlign w:val="bottom"/>
          </w:tcPr>
          <w:p w14:paraId="453048E7" w14:textId="6F362620" w:rsidR="00E74A37" w:rsidRPr="00B24172" w:rsidRDefault="00E74A37" w:rsidP="00E74A37">
            <w:pPr>
              <w:rPr>
                <w:b/>
                <w:lang w:val="en-NZ" w:eastAsia="en-NZ"/>
              </w:rPr>
            </w:pPr>
            <w:r w:rsidRPr="00B24172">
              <w:rPr>
                <w:b/>
                <w:lang w:val="en-NZ" w:eastAsia="en-NZ"/>
              </w:rPr>
              <w:t>Electric Stove</w:t>
            </w:r>
          </w:p>
        </w:tc>
        <w:tc>
          <w:tcPr>
            <w:tcW w:w="1530" w:type="dxa"/>
          </w:tcPr>
          <w:p w14:paraId="598D3BC2" w14:textId="77777777" w:rsidR="00E74A37" w:rsidRPr="00B24172" w:rsidRDefault="00E74A37" w:rsidP="00E74A37">
            <w:pPr>
              <w:jc w:val="center"/>
              <w:rPr>
                <w:lang w:val="en-NZ" w:eastAsia="en-NZ"/>
              </w:rPr>
            </w:pPr>
          </w:p>
        </w:tc>
        <w:tc>
          <w:tcPr>
            <w:tcW w:w="1440" w:type="dxa"/>
            <w:shd w:val="clear" w:color="auto" w:fill="auto"/>
            <w:noWrap/>
            <w:vAlign w:val="center"/>
          </w:tcPr>
          <w:p w14:paraId="68698D79" w14:textId="7A81C83F" w:rsidR="00E74A37" w:rsidRPr="00B24172" w:rsidRDefault="00E74A37" w:rsidP="00E74A37">
            <w:pPr>
              <w:jc w:val="center"/>
            </w:pPr>
          </w:p>
        </w:tc>
        <w:tc>
          <w:tcPr>
            <w:tcW w:w="1350" w:type="dxa"/>
            <w:shd w:val="clear" w:color="auto" w:fill="auto"/>
            <w:noWrap/>
            <w:vAlign w:val="center"/>
          </w:tcPr>
          <w:p w14:paraId="346546B4" w14:textId="1A52EE04" w:rsidR="00E74A37" w:rsidRPr="00B24172" w:rsidRDefault="00E74A37" w:rsidP="00E74A37">
            <w:pPr>
              <w:jc w:val="center"/>
            </w:pPr>
          </w:p>
        </w:tc>
        <w:tc>
          <w:tcPr>
            <w:tcW w:w="1260" w:type="dxa"/>
            <w:shd w:val="clear" w:color="auto" w:fill="auto"/>
            <w:noWrap/>
            <w:vAlign w:val="center"/>
          </w:tcPr>
          <w:p w14:paraId="2C5648E0" w14:textId="05A4B225" w:rsidR="00E74A37" w:rsidRPr="00B24172" w:rsidRDefault="00E74A37" w:rsidP="00E74A37">
            <w:pPr>
              <w:jc w:val="center"/>
            </w:pPr>
          </w:p>
        </w:tc>
      </w:tr>
      <w:tr w:rsidR="00FB2E0C" w:rsidRPr="00B24172" w14:paraId="44C00525" w14:textId="77777777" w:rsidTr="00FB2E0C">
        <w:trPr>
          <w:trHeight w:val="109"/>
        </w:trPr>
        <w:tc>
          <w:tcPr>
            <w:tcW w:w="3505" w:type="dxa"/>
            <w:shd w:val="clear" w:color="auto" w:fill="auto"/>
            <w:noWrap/>
            <w:vAlign w:val="bottom"/>
          </w:tcPr>
          <w:p w14:paraId="072DC6B6" w14:textId="0343A4F8" w:rsidR="00E74A37" w:rsidRPr="00B24172" w:rsidRDefault="00E74A37" w:rsidP="00E74A37">
            <w:pPr>
              <w:rPr>
                <w:lang w:val="en-NZ" w:eastAsia="en-NZ"/>
              </w:rPr>
            </w:pPr>
            <w:r w:rsidRPr="00B24172">
              <w:rPr>
                <w:lang w:val="en-NZ" w:eastAsia="en-NZ"/>
              </w:rPr>
              <w:t xml:space="preserve">     Stove (FC)</w:t>
            </w:r>
          </w:p>
        </w:tc>
        <w:tc>
          <w:tcPr>
            <w:tcW w:w="1530" w:type="dxa"/>
          </w:tcPr>
          <w:p w14:paraId="4E51E721" w14:textId="19AD2A15" w:rsidR="00E74A37" w:rsidRPr="00B24172" w:rsidRDefault="00E74A37" w:rsidP="00E74A37">
            <w:pPr>
              <w:jc w:val="center"/>
            </w:pPr>
            <w:r w:rsidRPr="00B24172">
              <w:t>35,245</w:t>
            </w:r>
          </w:p>
        </w:tc>
        <w:tc>
          <w:tcPr>
            <w:tcW w:w="1440" w:type="dxa"/>
            <w:vMerge w:val="restart"/>
            <w:shd w:val="clear" w:color="auto" w:fill="auto"/>
            <w:noWrap/>
            <w:vAlign w:val="center"/>
          </w:tcPr>
          <w:p w14:paraId="29C0C9C9" w14:textId="77777777" w:rsidR="00E74A37" w:rsidRPr="00B24172" w:rsidRDefault="00E74A37" w:rsidP="00E74A37">
            <w:pPr>
              <w:jc w:val="center"/>
              <w:rPr>
                <w:lang w:val="en-NZ" w:eastAsia="en-NZ"/>
              </w:rPr>
            </w:pPr>
            <w:r w:rsidRPr="00B24172">
              <w:t xml:space="preserve">         2,502,715 </w:t>
            </w:r>
          </w:p>
          <w:p w14:paraId="022CEC3E" w14:textId="3066B8F3" w:rsidR="00E74A37" w:rsidRPr="00B24172" w:rsidRDefault="00E74A37" w:rsidP="00E74A37">
            <w:pPr>
              <w:jc w:val="center"/>
            </w:pPr>
          </w:p>
        </w:tc>
        <w:tc>
          <w:tcPr>
            <w:tcW w:w="1350" w:type="dxa"/>
            <w:vMerge w:val="restart"/>
            <w:shd w:val="clear" w:color="auto" w:fill="auto"/>
            <w:noWrap/>
            <w:vAlign w:val="center"/>
          </w:tcPr>
          <w:p w14:paraId="63BAC9D4" w14:textId="77777777" w:rsidR="00E74A37" w:rsidRPr="00B24172" w:rsidRDefault="00E74A37" w:rsidP="00E74A37">
            <w:pPr>
              <w:jc w:val="center"/>
              <w:rPr>
                <w:lang w:val="en-NZ" w:eastAsia="en-NZ"/>
              </w:rPr>
            </w:pPr>
            <w:r w:rsidRPr="00B24172">
              <w:t xml:space="preserve">         2,187,786 </w:t>
            </w:r>
          </w:p>
          <w:p w14:paraId="106FBBE0" w14:textId="1D316D21" w:rsidR="00E74A37" w:rsidRPr="00B24172" w:rsidRDefault="00E74A37" w:rsidP="00E74A37">
            <w:pPr>
              <w:jc w:val="center"/>
            </w:pPr>
          </w:p>
        </w:tc>
        <w:tc>
          <w:tcPr>
            <w:tcW w:w="1260" w:type="dxa"/>
            <w:vMerge w:val="restart"/>
            <w:shd w:val="clear" w:color="auto" w:fill="auto"/>
            <w:noWrap/>
            <w:vAlign w:val="center"/>
          </w:tcPr>
          <w:p w14:paraId="74BD5714" w14:textId="77777777" w:rsidR="00E74A37" w:rsidRPr="00B24172" w:rsidRDefault="00E74A37" w:rsidP="00E74A37">
            <w:pPr>
              <w:jc w:val="center"/>
              <w:rPr>
                <w:lang w:val="en-NZ" w:eastAsia="en-NZ"/>
              </w:rPr>
            </w:pPr>
            <w:r w:rsidRPr="00B24172">
              <w:t xml:space="preserve">         1,952,659 </w:t>
            </w:r>
          </w:p>
          <w:p w14:paraId="29874071" w14:textId="1C8C03B7" w:rsidR="00E74A37" w:rsidRPr="00B24172" w:rsidRDefault="00E74A37" w:rsidP="00E74A37">
            <w:pPr>
              <w:jc w:val="center"/>
            </w:pPr>
          </w:p>
        </w:tc>
      </w:tr>
      <w:tr w:rsidR="00FB2E0C" w:rsidRPr="00B24172" w14:paraId="15081C3D" w14:textId="77777777" w:rsidTr="00FB2E0C">
        <w:trPr>
          <w:trHeight w:val="109"/>
        </w:trPr>
        <w:tc>
          <w:tcPr>
            <w:tcW w:w="3505" w:type="dxa"/>
            <w:shd w:val="clear" w:color="auto" w:fill="auto"/>
            <w:noWrap/>
            <w:vAlign w:val="bottom"/>
          </w:tcPr>
          <w:p w14:paraId="330ACCB3" w14:textId="00A58148" w:rsidR="00E74A37" w:rsidRPr="00B24172" w:rsidRDefault="00E74A37" w:rsidP="00E74A37">
            <w:pPr>
              <w:rPr>
                <w:lang w:val="en-NZ" w:eastAsia="en-NZ"/>
              </w:rPr>
            </w:pPr>
            <w:r w:rsidRPr="00B24172">
              <w:rPr>
                <w:lang w:val="en-NZ" w:eastAsia="en-NZ"/>
              </w:rPr>
              <w:t xml:space="preserve">     Electricity charges</w:t>
            </w:r>
          </w:p>
          <w:p w14:paraId="54AA8EC3" w14:textId="603DC7B9" w:rsidR="00E74A37" w:rsidRPr="00B24172" w:rsidRDefault="00E74A37" w:rsidP="00E74A37">
            <w:pPr>
              <w:rPr>
                <w:lang w:val="en-NZ" w:eastAsia="en-NZ"/>
              </w:rPr>
            </w:pPr>
            <w:r w:rsidRPr="00B24172">
              <w:rPr>
                <w:lang w:val="en-NZ" w:eastAsia="en-NZ"/>
              </w:rPr>
              <w:t xml:space="preserve">     (VC)</w:t>
            </w:r>
          </w:p>
        </w:tc>
        <w:tc>
          <w:tcPr>
            <w:tcW w:w="1530" w:type="dxa"/>
          </w:tcPr>
          <w:p w14:paraId="6331799A" w14:textId="33DCD8A0" w:rsidR="00E74A37" w:rsidRPr="00B24172" w:rsidRDefault="00E74A37" w:rsidP="00E74A37">
            <w:pPr>
              <w:jc w:val="center"/>
            </w:pPr>
            <w:r w:rsidRPr="00B24172">
              <w:t>14,372</w:t>
            </w:r>
          </w:p>
        </w:tc>
        <w:tc>
          <w:tcPr>
            <w:tcW w:w="1440" w:type="dxa"/>
            <w:vMerge/>
            <w:shd w:val="clear" w:color="auto" w:fill="auto"/>
            <w:noWrap/>
            <w:vAlign w:val="center"/>
          </w:tcPr>
          <w:p w14:paraId="2E339ECA" w14:textId="371CB3FB" w:rsidR="00E74A37" w:rsidRPr="00B24172" w:rsidRDefault="00E74A37" w:rsidP="00E74A37">
            <w:pPr>
              <w:jc w:val="center"/>
            </w:pPr>
          </w:p>
        </w:tc>
        <w:tc>
          <w:tcPr>
            <w:tcW w:w="1350" w:type="dxa"/>
            <w:vMerge/>
            <w:shd w:val="clear" w:color="auto" w:fill="auto"/>
            <w:noWrap/>
            <w:vAlign w:val="center"/>
          </w:tcPr>
          <w:p w14:paraId="0D5F7DF5" w14:textId="42026D9E" w:rsidR="00E74A37" w:rsidRPr="00B24172" w:rsidRDefault="00E74A37" w:rsidP="00E74A37">
            <w:pPr>
              <w:jc w:val="center"/>
            </w:pPr>
          </w:p>
        </w:tc>
        <w:tc>
          <w:tcPr>
            <w:tcW w:w="1260" w:type="dxa"/>
            <w:vMerge/>
            <w:shd w:val="clear" w:color="auto" w:fill="auto"/>
            <w:noWrap/>
            <w:vAlign w:val="center"/>
          </w:tcPr>
          <w:p w14:paraId="236FD9ED" w14:textId="117EA166" w:rsidR="00E74A37" w:rsidRPr="00B24172" w:rsidRDefault="00E74A37" w:rsidP="00E74A37">
            <w:pPr>
              <w:jc w:val="center"/>
            </w:pPr>
          </w:p>
        </w:tc>
      </w:tr>
      <w:tr w:rsidR="00FB2E0C" w:rsidRPr="00B24172" w14:paraId="37F4BEBB" w14:textId="77777777" w:rsidTr="00FB2E0C">
        <w:trPr>
          <w:trHeight w:val="109"/>
        </w:trPr>
        <w:tc>
          <w:tcPr>
            <w:tcW w:w="3505" w:type="dxa"/>
            <w:shd w:val="clear" w:color="auto" w:fill="auto"/>
            <w:noWrap/>
            <w:vAlign w:val="bottom"/>
          </w:tcPr>
          <w:p w14:paraId="15FF007A" w14:textId="41952A76" w:rsidR="00E74A37" w:rsidRPr="00B24172" w:rsidRDefault="00E74A37" w:rsidP="00E74A37">
            <w:pPr>
              <w:rPr>
                <w:lang w:val="en-NZ" w:eastAsia="en-NZ"/>
              </w:rPr>
            </w:pPr>
            <w:r w:rsidRPr="00B24172">
              <w:rPr>
                <w:lang w:val="en-NZ" w:eastAsia="en-NZ"/>
              </w:rPr>
              <w:t xml:space="preserve">      Maintenance (VC)</w:t>
            </w:r>
          </w:p>
        </w:tc>
        <w:tc>
          <w:tcPr>
            <w:tcW w:w="1530" w:type="dxa"/>
          </w:tcPr>
          <w:p w14:paraId="7BFA8608" w14:textId="635417E1" w:rsidR="00E74A37" w:rsidRPr="00B24172" w:rsidRDefault="00E74A37" w:rsidP="00E74A37">
            <w:pPr>
              <w:jc w:val="center"/>
            </w:pPr>
            <w:r w:rsidRPr="00B24172">
              <w:t>332</w:t>
            </w:r>
          </w:p>
        </w:tc>
        <w:tc>
          <w:tcPr>
            <w:tcW w:w="1440" w:type="dxa"/>
            <w:vMerge/>
            <w:shd w:val="clear" w:color="auto" w:fill="auto"/>
            <w:noWrap/>
            <w:vAlign w:val="center"/>
          </w:tcPr>
          <w:p w14:paraId="72C1F307" w14:textId="7C12E57A" w:rsidR="00E74A37" w:rsidRPr="00B24172" w:rsidRDefault="00E74A37" w:rsidP="00E74A37">
            <w:pPr>
              <w:jc w:val="center"/>
            </w:pPr>
          </w:p>
        </w:tc>
        <w:tc>
          <w:tcPr>
            <w:tcW w:w="1350" w:type="dxa"/>
            <w:vMerge/>
            <w:shd w:val="clear" w:color="auto" w:fill="auto"/>
            <w:noWrap/>
            <w:vAlign w:val="center"/>
          </w:tcPr>
          <w:p w14:paraId="159541EA" w14:textId="1A5F3ACD" w:rsidR="00E74A37" w:rsidRPr="00B24172" w:rsidRDefault="00E74A37" w:rsidP="00E74A37">
            <w:pPr>
              <w:jc w:val="center"/>
            </w:pPr>
          </w:p>
        </w:tc>
        <w:tc>
          <w:tcPr>
            <w:tcW w:w="1260" w:type="dxa"/>
            <w:vMerge/>
            <w:shd w:val="clear" w:color="auto" w:fill="auto"/>
            <w:noWrap/>
            <w:vAlign w:val="center"/>
          </w:tcPr>
          <w:p w14:paraId="1A0E76EA" w14:textId="0DDE0B2B" w:rsidR="00E74A37" w:rsidRPr="00B24172" w:rsidRDefault="00E74A37" w:rsidP="00E74A37">
            <w:pPr>
              <w:jc w:val="center"/>
            </w:pPr>
          </w:p>
        </w:tc>
      </w:tr>
      <w:tr w:rsidR="00FB2E0C" w:rsidRPr="00B24172" w14:paraId="5C1CA3B4" w14:textId="77777777" w:rsidTr="00FB2E0C">
        <w:trPr>
          <w:trHeight w:val="109"/>
        </w:trPr>
        <w:tc>
          <w:tcPr>
            <w:tcW w:w="3505" w:type="dxa"/>
            <w:shd w:val="clear" w:color="auto" w:fill="auto"/>
            <w:noWrap/>
            <w:vAlign w:val="bottom"/>
          </w:tcPr>
          <w:p w14:paraId="757BF0F8" w14:textId="38EA9160" w:rsidR="00E74A37" w:rsidRPr="00B24172" w:rsidRDefault="00E74A37" w:rsidP="00E74A37">
            <w:pPr>
              <w:rPr>
                <w:b/>
                <w:lang w:val="en-NZ" w:eastAsia="en-NZ"/>
              </w:rPr>
            </w:pPr>
            <w:r w:rsidRPr="00B24172">
              <w:rPr>
                <w:b/>
                <w:lang w:val="en-NZ" w:eastAsia="en-NZ"/>
              </w:rPr>
              <w:t>ICS (discounted for 3 Years)</w:t>
            </w:r>
          </w:p>
        </w:tc>
        <w:tc>
          <w:tcPr>
            <w:tcW w:w="1530" w:type="dxa"/>
          </w:tcPr>
          <w:p w14:paraId="6A41F803" w14:textId="77777777" w:rsidR="00E74A37" w:rsidRPr="00B24172" w:rsidRDefault="00E74A37" w:rsidP="00E74A37">
            <w:pPr>
              <w:jc w:val="center"/>
            </w:pPr>
          </w:p>
        </w:tc>
        <w:tc>
          <w:tcPr>
            <w:tcW w:w="1440" w:type="dxa"/>
            <w:shd w:val="clear" w:color="auto" w:fill="auto"/>
            <w:noWrap/>
            <w:vAlign w:val="center"/>
          </w:tcPr>
          <w:p w14:paraId="2ED85859" w14:textId="326270E0" w:rsidR="00E74A37" w:rsidRPr="00B24172" w:rsidRDefault="00E74A37" w:rsidP="00E74A37">
            <w:pPr>
              <w:jc w:val="center"/>
            </w:pPr>
          </w:p>
        </w:tc>
        <w:tc>
          <w:tcPr>
            <w:tcW w:w="1350" w:type="dxa"/>
            <w:shd w:val="clear" w:color="auto" w:fill="auto"/>
            <w:noWrap/>
            <w:vAlign w:val="center"/>
          </w:tcPr>
          <w:p w14:paraId="3CC22AB8" w14:textId="731CC946" w:rsidR="00E74A37" w:rsidRPr="00B24172" w:rsidRDefault="00E74A37" w:rsidP="00E74A37">
            <w:pPr>
              <w:jc w:val="center"/>
            </w:pPr>
          </w:p>
        </w:tc>
        <w:tc>
          <w:tcPr>
            <w:tcW w:w="1260" w:type="dxa"/>
            <w:shd w:val="clear" w:color="auto" w:fill="auto"/>
            <w:noWrap/>
            <w:vAlign w:val="center"/>
          </w:tcPr>
          <w:p w14:paraId="7FEDAD41" w14:textId="356B5EB3" w:rsidR="00E74A37" w:rsidRPr="00B24172" w:rsidRDefault="00E74A37" w:rsidP="00E74A37">
            <w:pPr>
              <w:jc w:val="center"/>
            </w:pPr>
          </w:p>
        </w:tc>
      </w:tr>
      <w:tr w:rsidR="00FB2E0C" w:rsidRPr="00B24172" w14:paraId="3ACB9B34" w14:textId="77777777" w:rsidTr="00FB2E0C">
        <w:trPr>
          <w:trHeight w:val="109"/>
        </w:trPr>
        <w:tc>
          <w:tcPr>
            <w:tcW w:w="3505" w:type="dxa"/>
            <w:shd w:val="clear" w:color="auto" w:fill="auto"/>
            <w:noWrap/>
            <w:vAlign w:val="bottom"/>
          </w:tcPr>
          <w:p w14:paraId="60FBBBA4" w14:textId="73DA78B8" w:rsidR="00E74A37" w:rsidRPr="00B24172" w:rsidRDefault="00E74A37" w:rsidP="00E74A37">
            <w:pPr>
              <w:rPr>
                <w:lang w:val="en-NZ" w:eastAsia="en-NZ"/>
              </w:rPr>
            </w:pPr>
            <w:r w:rsidRPr="00B24172">
              <w:rPr>
                <w:lang w:val="en-NZ" w:eastAsia="en-NZ"/>
              </w:rPr>
              <w:t xml:space="preserve">     Stove (FC)</w:t>
            </w:r>
          </w:p>
        </w:tc>
        <w:tc>
          <w:tcPr>
            <w:tcW w:w="1530" w:type="dxa"/>
          </w:tcPr>
          <w:p w14:paraId="169A7D50" w14:textId="3A6F2EAB" w:rsidR="00E74A37" w:rsidRPr="00B24172" w:rsidRDefault="00E74A37" w:rsidP="00E74A37">
            <w:pPr>
              <w:jc w:val="center"/>
            </w:pPr>
            <w:r w:rsidRPr="00B24172">
              <w:t>1,729</w:t>
            </w:r>
          </w:p>
        </w:tc>
        <w:tc>
          <w:tcPr>
            <w:tcW w:w="1440" w:type="dxa"/>
            <w:vMerge w:val="restart"/>
            <w:shd w:val="clear" w:color="auto" w:fill="auto"/>
            <w:noWrap/>
            <w:vAlign w:val="center"/>
          </w:tcPr>
          <w:p w14:paraId="03B8E193" w14:textId="77777777" w:rsidR="00E74A37" w:rsidRPr="00B24172" w:rsidRDefault="00E74A37" w:rsidP="00E74A37">
            <w:pPr>
              <w:jc w:val="center"/>
              <w:rPr>
                <w:lang w:val="en-NZ" w:eastAsia="en-NZ"/>
              </w:rPr>
            </w:pPr>
            <w:r w:rsidRPr="00B24172">
              <w:t xml:space="preserve">         1,992,174 </w:t>
            </w:r>
          </w:p>
          <w:p w14:paraId="345A5A05" w14:textId="6FD221CF" w:rsidR="00E74A37" w:rsidRPr="00B24172" w:rsidRDefault="00E74A37" w:rsidP="00E74A37">
            <w:pPr>
              <w:jc w:val="center"/>
            </w:pPr>
          </w:p>
        </w:tc>
        <w:tc>
          <w:tcPr>
            <w:tcW w:w="1350" w:type="dxa"/>
            <w:vMerge w:val="restart"/>
            <w:shd w:val="clear" w:color="auto" w:fill="auto"/>
            <w:noWrap/>
            <w:vAlign w:val="center"/>
          </w:tcPr>
          <w:p w14:paraId="7ACEC8C5" w14:textId="77777777" w:rsidR="00E74A37" w:rsidRPr="00B24172" w:rsidRDefault="00E74A37" w:rsidP="00E74A37">
            <w:pPr>
              <w:jc w:val="center"/>
              <w:rPr>
                <w:lang w:val="en-NZ" w:eastAsia="en-NZ"/>
              </w:rPr>
            </w:pPr>
            <w:r w:rsidRPr="00B24172">
              <w:t xml:space="preserve">         1,912,618 </w:t>
            </w:r>
          </w:p>
          <w:p w14:paraId="093C4AAF" w14:textId="0C345C4A" w:rsidR="00E74A37" w:rsidRPr="00B24172" w:rsidRDefault="00E74A37" w:rsidP="00E74A37">
            <w:pPr>
              <w:jc w:val="center"/>
            </w:pPr>
          </w:p>
        </w:tc>
        <w:tc>
          <w:tcPr>
            <w:tcW w:w="1260" w:type="dxa"/>
            <w:vMerge w:val="restart"/>
            <w:shd w:val="clear" w:color="auto" w:fill="auto"/>
            <w:noWrap/>
            <w:vAlign w:val="center"/>
          </w:tcPr>
          <w:p w14:paraId="1FB6BFA5" w14:textId="77777777" w:rsidR="00E74A37" w:rsidRPr="00B24172" w:rsidRDefault="00E74A37" w:rsidP="00E74A37">
            <w:pPr>
              <w:jc w:val="center"/>
              <w:rPr>
                <w:lang w:val="en-NZ" w:eastAsia="en-NZ"/>
              </w:rPr>
            </w:pPr>
            <w:r w:rsidRPr="00B24172">
              <w:t xml:space="preserve">         1,841,423 </w:t>
            </w:r>
          </w:p>
          <w:p w14:paraId="6909DF62" w14:textId="427731F0" w:rsidR="00E74A37" w:rsidRPr="00B24172" w:rsidRDefault="00E74A37" w:rsidP="00E74A37">
            <w:pPr>
              <w:jc w:val="center"/>
            </w:pPr>
          </w:p>
        </w:tc>
      </w:tr>
      <w:tr w:rsidR="00FB2E0C" w:rsidRPr="00B24172" w14:paraId="60F0A9B5" w14:textId="77777777" w:rsidTr="00FB2E0C">
        <w:trPr>
          <w:trHeight w:val="109"/>
        </w:trPr>
        <w:tc>
          <w:tcPr>
            <w:tcW w:w="3505" w:type="dxa"/>
            <w:shd w:val="clear" w:color="auto" w:fill="auto"/>
            <w:noWrap/>
            <w:vAlign w:val="bottom"/>
          </w:tcPr>
          <w:p w14:paraId="236F7230" w14:textId="1DCF4183" w:rsidR="00E74A37" w:rsidRPr="00B24172" w:rsidRDefault="00E74A37" w:rsidP="00E74A37">
            <w:pPr>
              <w:rPr>
                <w:lang w:val="en-NZ" w:eastAsia="en-NZ"/>
              </w:rPr>
            </w:pPr>
            <w:r w:rsidRPr="00B24172">
              <w:rPr>
                <w:lang w:val="en-NZ" w:eastAsia="en-NZ"/>
              </w:rPr>
              <w:t xml:space="preserve">     Fuel cost (VC)</w:t>
            </w:r>
          </w:p>
        </w:tc>
        <w:tc>
          <w:tcPr>
            <w:tcW w:w="1530" w:type="dxa"/>
          </w:tcPr>
          <w:p w14:paraId="2C8123CF" w14:textId="76E35C1F" w:rsidR="00E74A37" w:rsidRPr="00B24172" w:rsidRDefault="00E74A37" w:rsidP="00E74A37">
            <w:pPr>
              <w:jc w:val="center"/>
            </w:pPr>
            <w:r w:rsidRPr="00B24172">
              <w:t>1,958</w:t>
            </w:r>
          </w:p>
        </w:tc>
        <w:tc>
          <w:tcPr>
            <w:tcW w:w="1440" w:type="dxa"/>
            <w:vMerge/>
            <w:shd w:val="clear" w:color="auto" w:fill="auto"/>
            <w:noWrap/>
            <w:vAlign w:val="center"/>
          </w:tcPr>
          <w:p w14:paraId="057C6DCA" w14:textId="3FC610D9" w:rsidR="00E74A37" w:rsidRPr="00B24172" w:rsidRDefault="00E74A37" w:rsidP="00E74A37">
            <w:pPr>
              <w:jc w:val="center"/>
            </w:pPr>
          </w:p>
        </w:tc>
        <w:tc>
          <w:tcPr>
            <w:tcW w:w="1350" w:type="dxa"/>
            <w:vMerge/>
            <w:shd w:val="clear" w:color="auto" w:fill="auto"/>
            <w:noWrap/>
            <w:vAlign w:val="center"/>
          </w:tcPr>
          <w:p w14:paraId="118C8367" w14:textId="09C58D9E" w:rsidR="00E74A37" w:rsidRPr="00B24172" w:rsidRDefault="00E74A37" w:rsidP="00E74A37">
            <w:pPr>
              <w:jc w:val="center"/>
            </w:pPr>
          </w:p>
        </w:tc>
        <w:tc>
          <w:tcPr>
            <w:tcW w:w="1260" w:type="dxa"/>
            <w:vMerge/>
            <w:shd w:val="clear" w:color="auto" w:fill="auto"/>
            <w:noWrap/>
            <w:vAlign w:val="center"/>
          </w:tcPr>
          <w:p w14:paraId="5699AF8D" w14:textId="688D24B1" w:rsidR="00E74A37" w:rsidRPr="00B24172" w:rsidRDefault="00E74A37" w:rsidP="00E74A37">
            <w:pPr>
              <w:jc w:val="center"/>
            </w:pPr>
          </w:p>
        </w:tc>
      </w:tr>
      <w:tr w:rsidR="00FB2E0C" w:rsidRPr="00B24172" w14:paraId="3E6EEDEA" w14:textId="77777777" w:rsidTr="00FB2E0C">
        <w:trPr>
          <w:trHeight w:val="109"/>
        </w:trPr>
        <w:tc>
          <w:tcPr>
            <w:tcW w:w="3505" w:type="dxa"/>
            <w:shd w:val="clear" w:color="auto" w:fill="auto"/>
            <w:noWrap/>
            <w:vAlign w:val="bottom"/>
          </w:tcPr>
          <w:p w14:paraId="3EA9AA4B" w14:textId="0FA2CE8C" w:rsidR="00E74A37" w:rsidRPr="00B24172" w:rsidRDefault="00E74A37" w:rsidP="00E74A37">
            <w:pPr>
              <w:rPr>
                <w:lang w:val="en-NZ" w:eastAsia="en-NZ"/>
              </w:rPr>
            </w:pPr>
            <w:r w:rsidRPr="00B24172">
              <w:rPr>
                <w:lang w:val="en-NZ" w:eastAsia="en-NZ"/>
              </w:rPr>
              <w:t xml:space="preserve">     Labour (VC)</w:t>
            </w:r>
          </w:p>
        </w:tc>
        <w:tc>
          <w:tcPr>
            <w:tcW w:w="1530" w:type="dxa"/>
          </w:tcPr>
          <w:p w14:paraId="5F2933C6" w14:textId="767A4449" w:rsidR="00E74A37" w:rsidRPr="00B24172" w:rsidRDefault="00E74A37" w:rsidP="00E74A37">
            <w:pPr>
              <w:jc w:val="center"/>
            </w:pPr>
            <w:r w:rsidRPr="00B24172">
              <w:t>42,375</w:t>
            </w:r>
          </w:p>
        </w:tc>
        <w:tc>
          <w:tcPr>
            <w:tcW w:w="1440" w:type="dxa"/>
            <w:vMerge/>
            <w:shd w:val="clear" w:color="auto" w:fill="auto"/>
            <w:noWrap/>
            <w:vAlign w:val="center"/>
          </w:tcPr>
          <w:p w14:paraId="0DF6E0CE" w14:textId="714780E8" w:rsidR="00E74A37" w:rsidRPr="00B24172" w:rsidRDefault="00E74A37" w:rsidP="00E74A37">
            <w:pPr>
              <w:jc w:val="center"/>
            </w:pPr>
          </w:p>
        </w:tc>
        <w:tc>
          <w:tcPr>
            <w:tcW w:w="1350" w:type="dxa"/>
            <w:vMerge/>
            <w:shd w:val="clear" w:color="auto" w:fill="auto"/>
            <w:noWrap/>
            <w:vAlign w:val="center"/>
          </w:tcPr>
          <w:p w14:paraId="531B0558" w14:textId="5063856B" w:rsidR="00E74A37" w:rsidRPr="00B24172" w:rsidRDefault="00E74A37" w:rsidP="00E74A37">
            <w:pPr>
              <w:jc w:val="center"/>
            </w:pPr>
          </w:p>
        </w:tc>
        <w:tc>
          <w:tcPr>
            <w:tcW w:w="1260" w:type="dxa"/>
            <w:vMerge/>
            <w:shd w:val="clear" w:color="auto" w:fill="auto"/>
            <w:noWrap/>
            <w:vAlign w:val="center"/>
          </w:tcPr>
          <w:p w14:paraId="4EA8D7E3" w14:textId="14CB2552" w:rsidR="00E74A37" w:rsidRPr="00B24172" w:rsidRDefault="00E74A37" w:rsidP="00E74A37">
            <w:pPr>
              <w:jc w:val="center"/>
            </w:pPr>
          </w:p>
        </w:tc>
      </w:tr>
    </w:tbl>
    <w:p w14:paraId="06F40467" w14:textId="32B3EFE2" w:rsidR="00D93C2E" w:rsidRPr="00B24172" w:rsidRDefault="00F25D48" w:rsidP="009169AA">
      <w:pPr>
        <w:spacing w:line="288" w:lineRule="auto"/>
        <w:jc w:val="both"/>
        <w:rPr>
          <w:sz w:val="20"/>
          <w:lang w:val="en-NZ"/>
        </w:rPr>
      </w:pPr>
      <w:r w:rsidRPr="00B24172">
        <w:rPr>
          <w:sz w:val="20"/>
          <w:lang w:val="en-NZ"/>
        </w:rPr>
        <w:t xml:space="preserve">Notes: </w:t>
      </w:r>
      <w:r w:rsidR="00BA3BB3" w:rsidRPr="00B24172">
        <w:rPr>
          <w:sz w:val="20"/>
          <w:lang w:val="en-NZ"/>
        </w:rPr>
        <w:t xml:space="preserve">HH= Households, </w:t>
      </w:r>
      <w:r w:rsidRPr="00B24172">
        <w:rPr>
          <w:sz w:val="20"/>
          <w:lang w:val="en-NZ"/>
        </w:rPr>
        <w:t>FC = Fixed Cost, VC= Variable</w:t>
      </w:r>
      <w:r w:rsidR="00E74A37" w:rsidRPr="00B24172">
        <w:rPr>
          <w:sz w:val="20"/>
          <w:lang w:val="en-NZ"/>
        </w:rPr>
        <w:t xml:space="preserve"> Cost, and DR=Discount Rate</w:t>
      </w:r>
      <w:r w:rsidRPr="00B24172">
        <w:rPr>
          <w:sz w:val="20"/>
          <w:lang w:val="en-NZ"/>
        </w:rPr>
        <w:t>. Fuel cost, Labour</w:t>
      </w:r>
      <w:r w:rsidR="001101B6" w:rsidRPr="00B24172">
        <w:rPr>
          <w:sz w:val="20"/>
          <w:lang w:val="en-NZ"/>
        </w:rPr>
        <w:t xml:space="preserve"> cost</w:t>
      </w:r>
      <w:r w:rsidRPr="00B24172">
        <w:rPr>
          <w:sz w:val="20"/>
          <w:lang w:val="en-NZ"/>
        </w:rPr>
        <w:t xml:space="preserve">, gas charges, electricity </w:t>
      </w:r>
      <w:r w:rsidR="00976E56" w:rsidRPr="00B24172">
        <w:rPr>
          <w:sz w:val="20"/>
          <w:lang w:val="en-NZ"/>
        </w:rPr>
        <w:t>charges, and</w:t>
      </w:r>
      <w:r w:rsidRPr="00B24172">
        <w:rPr>
          <w:sz w:val="20"/>
          <w:lang w:val="en-NZ"/>
        </w:rPr>
        <w:t xml:space="preserve"> maintenance charges are on annual bas</w:t>
      </w:r>
      <w:r w:rsidR="00B15504" w:rsidRPr="00B24172">
        <w:rPr>
          <w:sz w:val="20"/>
          <w:lang w:val="en-NZ"/>
        </w:rPr>
        <w:t>is and estimated</w:t>
      </w:r>
      <w:r w:rsidRPr="00B24172">
        <w:rPr>
          <w:sz w:val="20"/>
          <w:lang w:val="en-NZ"/>
        </w:rPr>
        <w:t xml:space="preserve"> for a </w:t>
      </w:r>
      <w:r w:rsidR="00976E56" w:rsidRPr="00B24172">
        <w:rPr>
          <w:sz w:val="20"/>
          <w:lang w:val="en-NZ"/>
        </w:rPr>
        <w:t>single household</w:t>
      </w:r>
      <w:r w:rsidRPr="00B24172">
        <w:rPr>
          <w:sz w:val="20"/>
          <w:lang w:val="en-NZ"/>
        </w:rPr>
        <w:t xml:space="preserve">. The discounted cost is multiplied </w:t>
      </w:r>
      <w:r w:rsidR="00B15504" w:rsidRPr="00B24172">
        <w:rPr>
          <w:sz w:val="20"/>
          <w:lang w:val="en-NZ"/>
        </w:rPr>
        <w:t xml:space="preserve">by </w:t>
      </w:r>
      <w:r w:rsidR="00976E56" w:rsidRPr="00B24172">
        <w:rPr>
          <w:sz w:val="20"/>
          <w:lang w:val="en-NZ"/>
        </w:rPr>
        <w:t>the number of</w:t>
      </w:r>
      <w:r w:rsidRPr="00B24172">
        <w:rPr>
          <w:sz w:val="20"/>
          <w:lang w:val="en-NZ"/>
        </w:rPr>
        <w:t xml:space="preserve"> </w:t>
      </w:r>
      <w:r w:rsidR="001101B6" w:rsidRPr="00B24172">
        <w:rPr>
          <w:sz w:val="20"/>
          <w:lang w:val="en-NZ"/>
        </w:rPr>
        <w:t xml:space="preserve">Households </w:t>
      </w:r>
      <w:r w:rsidR="009169AA" w:rsidRPr="00B24172">
        <w:rPr>
          <w:sz w:val="20"/>
          <w:lang w:val="en-NZ"/>
        </w:rPr>
        <w:t xml:space="preserve">that </w:t>
      </w:r>
      <w:r w:rsidR="001101B6" w:rsidRPr="00B24172">
        <w:rPr>
          <w:sz w:val="20"/>
          <w:lang w:val="en-NZ"/>
        </w:rPr>
        <w:t xml:space="preserve">depend on </w:t>
      </w:r>
      <w:r w:rsidRPr="00B24172">
        <w:rPr>
          <w:sz w:val="20"/>
          <w:lang w:val="en-NZ"/>
        </w:rPr>
        <w:t xml:space="preserve">solid </w:t>
      </w:r>
      <w:r w:rsidR="00976E56" w:rsidRPr="00B24172">
        <w:rPr>
          <w:sz w:val="20"/>
          <w:lang w:val="en-NZ"/>
        </w:rPr>
        <w:t>fuels</w:t>
      </w:r>
      <w:r w:rsidRPr="00B24172">
        <w:rPr>
          <w:sz w:val="20"/>
          <w:lang w:val="en-NZ"/>
        </w:rPr>
        <w:t xml:space="preserve"> </w:t>
      </w:r>
      <w:r w:rsidR="00976E56" w:rsidRPr="00B24172">
        <w:rPr>
          <w:sz w:val="20"/>
          <w:lang w:val="en-NZ"/>
        </w:rPr>
        <w:t xml:space="preserve">to estimate the </w:t>
      </w:r>
      <w:r w:rsidR="00B15504" w:rsidRPr="00B24172">
        <w:rPr>
          <w:sz w:val="20"/>
          <w:lang w:val="en-NZ"/>
        </w:rPr>
        <w:t xml:space="preserve">total </w:t>
      </w:r>
      <w:r w:rsidR="00976E56" w:rsidRPr="00B24172">
        <w:rPr>
          <w:sz w:val="20"/>
          <w:lang w:val="en-NZ"/>
        </w:rPr>
        <w:t xml:space="preserve">cost </w:t>
      </w:r>
      <w:r w:rsidR="00B15504" w:rsidRPr="00B24172">
        <w:rPr>
          <w:sz w:val="20"/>
          <w:lang w:val="en-NZ"/>
        </w:rPr>
        <w:t>for all of Pakistan</w:t>
      </w:r>
      <w:r w:rsidRPr="00B24172">
        <w:rPr>
          <w:sz w:val="20"/>
          <w:lang w:val="en-NZ"/>
        </w:rPr>
        <w:t>.</w:t>
      </w:r>
      <w:r w:rsidR="00041E5C" w:rsidRPr="00B24172">
        <w:rPr>
          <w:sz w:val="20"/>
          <w:lang w:val="en-NZ"/>
        </w:rPr>
        <w:t xml:space="preserve"> </w:t>
      </w:r>
      <w:r w:rsidR="00E74A37" w:rsidRPr="00B24172">
        <w:rPr>
          <w:sz w:val="20"/>
          <w:lang w:val="en-NZ"/>
        </w:rPr>
        <w:t>1 USD=</w:t>
      </w:r>
      <w:r w:rsidR="00D93C2E" w:rsidRPr="00B24172">
        <w:rPr>
          <w:sz w:val="20"/>
          <w:lang w:val="en-NZ"/>
        </w:rPr>
        <w:t>100 PKR (2014)</w:t>
      </w:r>
      <w:r w:rsidR="006A34A3" w:rsidRPr="00B24172">
        <w:rPr>
          <w:sz w:val="20"/>
          <w:lang w:val="en-NZ"/>
        </w:rPr>
        <w:t xml:space="preserve">. </w:t>
      </w:r>
      <w:r w:rsidR="00B15504" w:rsidRPr="00B24172">
        <w:rPr>
          <w:sz w:val="20"/>
          <w:lang w:val="en-NZ"/>
        </w:rPr>
        <w:t xml:space="preserve">Source: </w:t>
      </w:r>
      <w:r w:rsidR="006A34A3" w:rsidRPr="00B24172">
        <w:rPr>
          <w:sz w:val="20"/>
          <w:lang w:val="en-NZ"/>
        </w:rPr>
        <w:t>Authors’ calculations</w:t>
      </w:r>
      <w:r w:rsidR="00B15504" w:rsidRPr="00B24172">
        <w:rPr>
          <w:sz w:val="20"/>
          <w:lang w:val="en-NZ"/>
        </w:rPr>
        <w:t>.</w:t>
      </w:r>
    </w:p>
    <w:p w14:paraId="66DFEF02" w14:textId="37E10B53" w:rsidR="006D5957" w:rsidRPr="00B24172" w:rsidRDefault="006D5957" w:rsidP="00BF2AB8">
      <w:pPr>
        <w:spacing w:line="288" w:lineRule="auto"/>
        <w:jc w:val="both"/>
        <w:rPr>
          <w:lang w:val="en-NZ"/>
        </w:rPr>
      </w:pPr>
    </w:p>
    <w:p w14:paraId="4F7C42B2" w14:textId="6D1794CE" w:rsidR="006D5957" w:rsidRPr="00B24172" w:rsidRDefault="006D5957" w:rsidP="00BF2AB8">
      <w:pPr>
        <w:spacing w:line="288" w:lineRule="auto"/>
        <w:jc w:val="both"/>
        <w:rPr>
          <w:lang w:val="en-NZ"/>
        </w:rPr>
      </w:pPr>
    </w:p>
    <w:p w14:paraId="71F79AF6" w14:textId="3204D59C" w:rsidR="00697D88" w:rsidRPr="00B24172" w:rsidRDefault="00654BE7" w:rsidP="00BF2AB8">
      <w:pPr>
        <w:pStyle w:val="Heading1"/>
        <w:numPr>
          <w:ilvl w:val="0"/>
          <w:numId w:val="20"/>
        </w:numPr>
        <w:spacing w:before="0" w:after="0" w:line="288" w:lineRule="auto"/>
        <w:rPr>
          <w:sz w:val="24"/>
          <w:szCs w:val="28"/>
          <w:lang w:val="en-NZ"/>
        </w:rPr>
      </w:pPr>
      <w:r w:rsidRPr="00B24172">
        <w:rPr>
          <w:sz w:val="24"/>
          <w:szCs w:val="28"/>
          <w:lang w:val="en-NZ"/>
        </w:rPr>
        <w:t>Benefits</w:t>
      </w:r>
    </w:p>
    <w:p w14:paraId="4886B743" w14:textId="77777777" w:rsidR="00584CCB" w:rsidRPr="00B24172" w:rsidRDefault="00584CCB" w:rsidP="00BF2AB8">
      <w:pPr>
        <w:spacing w:line="288" w:lineRule="auto"/>
        <w:jc w:val="both"/>
        <w:rPr>
          <w:sz w:val="12"/>
          <w:szCs w:val="12"/>
          <w:lang w:val="en-NZ"/>
        </w:rPr>
      </w:pPr>
    </w:p>
    <w:p w14:paraId="4300D63D" w14:textId="53369AA9" w:rsidR="00000339" w:rsidRPr="00B24172" w:rsidRDefault="00000339" w:rsidP="00C3761A">
      <w:pPr>
        <w:spacing w:line="288" w:lineRule="auto"/>
        <w:jc w:val="both"/>
        <w:rPr>
          <w:lang w:val="en-NZ"/>
        </w:rPr>
      </w:pPr>
      <w:r w:rsidRPr="00B24172">
        <w:rPr>
          <w:lang w:val="en-NZ"/>
        </w:rPr>
        <w:t>The benefits</w:t>
      </w:r>
      <w:r w:rsidR="00C3761A" w:rsidRPr="00B24172">
        <w:rPr>
          <w:lang w:val="en-NZ"/>
        </w:rPr>
        <w:t xml:space="preserve"> of the interventions</w:t>
      </w:r>
      <w:r w:rsidRPr="00B24172">
        <w:rPr>
          <w:lang w:val="en-NZ"/>
        </w:rPr>
        <w:t xml:space="preserve"> include</w:t>
      </w:r>
      <w:r w:rsidR="00AF4FB2" w:rsidRPr="00B24172">
        <w:rPr>
          <w:lang w:val="en-NZ"/>
        </w:rPr>
        <w:t xml:space="preserve"> fuel saving, </w:t>
      </w:r>
      <w:r w:rsidRPr="00B24172">
        <w:rPr>
          <w:lang w:val="en-NZ"/>
        </w:rPr>
        <w:t xml:space="preserve">the cost averted due to illness associated with </w:t>
      </w:r>
      <w:r w:rsidR="00962D3F" w:rsidRPr="00B24172">
        <w:rPr>
          <w:lang w:val="en-NZ"/>
        </w:rPr>
        <w:t>IAP</w:t>
      </w:r>
      <w:r w:rsidRPr="00B24172">
        <w:rPr>
          <w:lang w:val="en-NZ"/>
        </w:rPr>
        <w:t>, productivity gains, time saving, and environmental impact</w:t>
      </w:r>
      <w:r w:rsidR="00B56BD2" w:rsidRPr="00B24172">
        <w:rPr>
          <w:lang w:val="en-NZ"/>
        </w:rPr>
        <w:t>s</w:t>
      </w:r>
      <w:r w:rsidRPr="00B24172">
        <w:rPr>
          <w:lang w:val="en-NZ"/>
        </w:rPr>
        <w:t xml:space="preserve">. </w:t>
      </w:r>
      <w:r w:rsidR="00B56BD2" w:rsidRPr="00B24172">
        <w:rPr>
          <w:lang w:val="en-NZ"/>
        </w:rPr>
        <w:t>S</w:t>
      </w:r>
      <w:r w:rsidRPr="00B24172">
        <w:rPr>
          <w:lang w:val="en-NZ"/>
        </w:rPr>
        <w:t xml:space="preserve">ome </w:t>
      </w:r>
      <w:r w:rsidR="00C3761A" w:rsidRPr="00B24172">
        <w:rPr>
          <w:lang w:val="en-NZ"/>
        </w:rPr>
        <w:t>health impacts</w:t>
      </w:r>
      <w:r w:rsidRPr="00B24172">
        <w:rPr>
          <w:lang w:val="en-NZ"/>
        </w:rPr>
        <w:t xml:space="preserve"> </w:t>
      </w:r>
      <w:r w:rsidR="00B56BD2" w:rsidRPr="00B24172">
        <w:rPr>
          <w:lang w:val="en-NZ"/>
        </w:rPr>
        <w:t xml:space="preserve">that </w:t>
      </w:r>
      <w:r w:rsidR="00C3761A" w:rsidRPr="00B24172">
        <w:rPr>
          <w:lang w:val="en-NZ"/>
        </w:rPr>
        <w:t>are associated with</w:t>
      </w:r>
      <w:r w:rsidRPr="00B24172">
        <w:rPr>
          <w:lang w:val="en-NZ"/>
        </w:rPr>
        <w:t xml:space="preserve"> </w:t>
      </w:r>
      <w:r w:rsidR="00962D3F" w:rsidRPr="00B24172">
        <w:rPr>
          <w:lang w:val="en-NZ"/>
        </w:rPr>
        <w:t>IAP</w:t>
      </w:r>
      <w:r w:rsidR="00B56BD2" w:rsidRPr="00B24172">
        <w:rPr>
          <w:lang w:val="en-NZ"/>
        </w:rPr>
        <w:t>,</w:t>
      </w:r>
      <w:r w:rsidR="00C3761A" w:rsidRPr="00B24172">
        <w:rPr>
          <w:lang w:val="en-NZ"/>
        </w:rPr>
        <w:t xml:space="preserve"> but are difficult to measure,</w:t>
      </w:r>
      <w:r w:rsidRPr="00B24172">
        <w:rPr>
          <w:lang w:val="en-NZ"/>
        </w:rPr>
        <w:t xml:space="preserve"> such as mental stress or</w:t>
      </w:r>
      <w:r w:rsidR="005403BA" w:rsidRPr="00B24172">
        <w:rPr>
          <w:lang w:val="en-NZ"/>
        </w:rPr>
        <w:t xml:space="preserve"> psychological</w:t>
      </w:r>
      <w:r w:rsidRPr="00B24172">
        <w:rPr>
          <w:lang w:val="en-NZ"/>
        </w:rPr>
        <w:t xml:space="preserve"> pressure</w:t>
      </w:r>
      <w:r w:rsidR="00B56BD2" w:rsidRPr="00B24172">
        <w:rPr>
          <w:lang w:val="en-NZ"/>
        </w:rPr>
        <w:t>,</w:t>
      </w:r>
      <w:r w:rsidRPr="00B24172">
        <w:rPr>
          <w:lang w:val="en-NZ"/>
        </w:rPr>
        <w:t xml:space="preserve"> are not included in the analysis. Similarly, the environmental benefits at </w:t>
      </w:r>
      <w:r w:rsidR="00317C90" w:rsidRPr="00B24172">
        <w:rPr>
          <w:lang w:val="en-NZ"/>
        </w:rPr>
        <w:t xml:space="preserve">local and </w:t>
      </w:r>
      <w:r w:rsidRPr="00B24172">
        <w:rPr>
          <w:lang w:val="en-NZ"/>
        </w:rPr>
        <w:t xml:space="preserve">global level are not estimated because </w:t>
      </w:r>
      <w:r w:rsidR="00C3761A" w:rsidRPr="00B24172">
        <w:rPr>
          <w:lang w:val="en-NZ"/>
        </w:rPr>
        <w:t>they are</w:t>
      </w:r>
      <w:r w:rsidRPr="00B24172">
        <w:rPr>
          <w:lang w:val="en-NZ"/>
        </w:rPr>
        <w:t xml:space="preserve"> out</w:t>
      </w:r>
      <w:r w:rsidR="00B56BD2" w:rsidRPr="00B24172">
        <w:rPr>
          <w:lang w:val="en-NZ"/>
        </w:rPr>
        <w:t>side</w:t>
      </w:r>
      <w:r w:rsidRPr="00B24172">
        <w:rPr>
          <w:lang w:val="en-NZ"/>
        </w:rPr>
        <w:t xml:space="preserve"> the scope of </w:t>
      </w:r>
      <w:r w:rsidR="00C3761A" w:rsidRPr="00B24172">
        <w:rPr>
          <w:lang w:val="en-NZ"/>
        </w:rPr>
        <w:t>this</w:t>
      </w:r>
      <w:r w:rsidRPr="00B24172">
        <w:rPr>
          <w:lang w:val="en-NZ"/>
        </w:rPr>
        <w:t xml:space="preserve"> study</w:t>
      </w:r>
      <w:r w:rsidR="00B73DA6" w:rsidRPr="00B24172">
        <w:rPr>
          <w:lang w:val="en-NZ"/>
        </w:rPr>
        <w:t>, as are changes in household consumption (other than through the direct costs of health care) or income effects on the pattern of consumption</w:t>
      </w:r>
      <w:r w:rsidRPr="00B24172">
        <w:rPr>
          <w:lang w:val="en-NZ"/>
        </w:rPr>
        <w:t>.</w:t>
      </w:r>
      <w:r w:rsidR="00C3761A" w:rsidRPr="00B24172">
        <w:rPr>
          <w:lang w:val="en-NZ"/>
        </w:rPr>
        <w:t xml:space="preserve"> As the benefits are generally similar across the five interventions, we summarise the benefits by type in the subsections below, rather than by intervention.</w:t>
      </w:r>
    </w:p>
    <w:p w14:paraId="1F64CB7D" w14:textId="77777777" w:rsidR="00A11D4A" w:rsidRPr="00B24172" w:rsidRDefault="00A11D4A" w:rsidP="00BF2AB8">
      <w:pPr>
        <w:spacing w:line="288" w:lineRule="auto"/>
        <w:jc w:val="both"/>
        <w:rPr>
          <w:lang w:val="en-NZ"/>
        </w:rPr>
      </w:pPr>
    </w:p>
    <w:p w14:paraId="4A0769C8" w14:textId="75892A4A" w:rsidR="00AF4FB2" w:rsidRPr="00B24172" w:rsidRDefault="00AF4FB2" w:rsidP="001A63E7">
      <w:pPr>
        <w:pStyle w:val="Heading2"/>
        <w:numPr>
          <w:ilvl w:val="1"/>
          <w:numId w:val="20"/>
        </w:numPr>
        <w:spacing w:before="0" w:after="0" w:line="288" w:lineRule="auto"/>
      </w:pPr>
      <w:r w:rsidRPr="00B24172">
        <w:lastRenderedPageBreak/>
        <w:t xml:space="preserve">Fuel </w:t>
      </w:r>
      <w:r w:rsidR="00262E0F" w:rsidRPr="00B24172">
        <w:t>S</w:t>
      </w:r>
      <w:r w:rsidRPr="00B24172">
        <w:t>aving</w:t>
      </w:r>
      <w:r w:rsidR="001B0300" w:rsidRPr="00B24172">
        <w:t>s</w:t>
      </w:r>
    </w:p>
    <w:p w14:paraId="6F850DF5" w14:textId="77777777" w:rsidR="001A63E7" w:rsidRPr="00B24172" w:rsidRDefault="001A63E7" w:rsidP="001A63E7">
      <w:pPr>
        <w:spacing w:line="288" w:lineRule="auto"/>
        <w:jc w:val="both"/>
        <w:rPr>
          <w:lang w:val="en-NZ"/>
        </w:rPr>
      </w:pPr>
    </w:p>
    <w:p w14:paraId="6A3BE3BC" w14:textId="092F1D55" w:rsidR="001A63E7" w:rsidRPr="00B24172" w:rsidRDefault="001A63E7" w:rsidP="001A63E7">
      <w:pPr>
        <w:spacing w:line="288" w:lineRule="auto"/>
        <w:jc w:val="both"/>
        <w:rPr>
          <w:lang w:val="en-NZ"/>
        </w:rPr>
      </w:pPr>
      <w:r w:rsidRPr="00B24172">
        <w:rPr>
          <w:lang w:val="en-NZ"/>
        </w:rPr>
        <w:t xml:space="preserve">The average consumption and prices of the biomass fuels such as firewood, agricultural residues, and animal dung were estimated from PSLM-2014 data. The average price of firewood is PKR 9/kg and average monthly consumption was 54kg per household. Similarly, crop residues and animal dung have prices of PKR 5.31/kg and PKR 4/kg respectively. Average monthly consumption of crop residues and animal dung were 29.57kg and 27.54kg per household respectively. Hence, the annual expenditure a household saves from avoiding the use of biomass fuels was PKR 5832 for firewood, PKR 1884 for crop residues, and PKR 1322 for animal dung. The expenditures on animal dung and crop residues can vary significantly, because households may collect these two fuels themselves and therefore not pay. We took the average of major biomass fuels’, which is PKR 3012 (USD 30.12), because usually households use a mixture of these fuels. Thus, a household that adopts cleaner fuels such as LPG, piped natural gas, biogas, and electricity can save PKR 3012 annually. This is the benefit for a household switching to biogas, LPG, natural gas, or electric stoves, where biomass fuels would no longer be required. In contrast, households that adopt ICS will keep consuming biomass. However, due to better efficiency they will save 35 percent of the total biomass cost </w:t>
      </w:r>
      <w:r w:rsidRPr="00B24172">
        <w:rPr>
          <w:lang w:val="en-NZ"/>
        </w:rPr>
        <w:fldChar w:fldCharType="begin"/>
      </w:r>
      <w:r w:rsidRPr="00B24172">
        <w:rPr>
          <w:lang w:val="en-NZ"/>
        </w:rPr>
        <w:instrText xml:space="preserve"> ADDIN ZOTERO_ITEM CSL_CITATION {"citationID":"u57NCj9n","properties":{"formattedCitation":"(Vahlne &amp; Ahlgren, 2014)","plainCitation":"(Vahlne &amp; Ahlgren, 2014)","noteIndex":0},"citationItems":[{"id":"yPj1CNji/9hxoSL4T","uris":["http://zotero.org/users/2699952/items/WL7KHRXE"],"uri":["http://zotero.org/users/2699952/items/WL7KHRXE"],"itemData":{"id":1218,"type":"article-journal","title":"Policy implications for improved cook stove programs—A case study of the importance of village fuel use variations","container-title":"Energy Policy","page":"484-495","volume":"66","source":"ScienceDirect","abstract":"Despite the long history of cook stove programs, very few have been successful, often only in areas where biomass is purchased or there is a biomass shortage. Several studies have described how rural households generally rely on several different fuels; which fuels are used may depend on various household characteristics such as location and income. This article explores possible consequences of variations in fuel usage for improved cook stove programs and how this may vary between different areas. Reductions of CO2 equivalent emissions and monetary savings are calculated for hypothetical cook stove deployment using data from a rural energy survey in the Vĩnh Phúc province of northern Vietnam. The results indicate that the areas may respond differently to the various stove options, both in terms of economy and emission reductions. Furthermore, there are large differences in emission reduction calculations when only Kyoto-gases are included and when non-Kyoto greenhouse agents are added. Assumptions regarding household behavior and stove efficiencies have large impacts on the results, indicating a need for further research on how improved cook stoves may influence households’ fuel choices.","DOI":"10.1016/j.enpol.2013.11.042","ISSN":"0301-4215","journalAbbreviation":"Energy Policy","author":[{"family":"Vahlne","given":"Niklas"},{"family":"Ahlgren","given":"Erik O."}],"issued":{"date-parts":[["2014",3,1]]}}}],"schema":"https://github.com/citation-style-language/schema/raw/master/csl-citation.json"} </w:instrText>
      </w:r>
      <w:r w:rsidRPr="00B24172">
        <w:rPr>
          <w:lang w:val="en-NZ"/>
        </w:rPr>
        <w:fldChar w:fldCharType="separate"/>
      </w:r>
      <w:r w:rsidRPr="00B24172">
        <w:t>(Vahlne &amp; Ahlgren, 2014)</w:t>
      </w:r>
      <w:r w:rsidRPr="00B24172">
        <w:rPr>
          <w:lang w:val="en-NZ"/>
        </w:rPr>
        <w:fldChar w:fldCharType="end"/>
      </w:r>
      <w:r w:rsidRPr="00B24172">
        <w:rPr>
          <w:lang w:val="en-NZ"/>
        </w:rPr>
        <w:t xml:space="preserve">, which is equal to PKR 1054 (10.5 USD).  </w:t>
      </w:r>
    </w:p>
    <w:p w14:paraId="2A2861C7" w14:textId="77777777" w:rsidR="001A63E7" w:rsidRPr="00B24172" w:rsidRDefault="001A63E7" w:rsidP="001A63E7"/>
    <w:p w14:paraId="3FC5FAF0" w14:textId="16FFBAA6" w:rsidR="001A63E7" w:rsidRPr="00B24172" w:rsidRDefault="001A63E7" w:rsidP="001A63E7">
      <w:pPr>
        <w:pStyle w:val="ListParagraph"/>
        <w:numPr>
          <w:ilvl w:val="1"/>
          <w:numId w:val="20"/>
        </w:numPr>
        <w:rPr>
          <w:b/>
          <w:bCs/>
        </w:rPr>
      </w:pPr>
      <w:r w:rsidRPr="00B24172">
        <w:rPr>
          <w:b/>
          <w:bCs/>
        </w:rPr>
        <w:t>Fertilize</w:t>
      </w:r>
      <w:r w:rsidR="009169AA" w:rsidRPr="00B24172">
        <w:rPr>
          <w:b/>
          <w:bCs/>
        </w:rPr>
        <w:t>r</w:t>
      </w:r>
      <w:r w:rsidRPr="00B24172">
        <w:rPr>
          <w:b/>
          <w:bCs/>
        </w:rPr>
        <w:t xml:space="preserve"> Savings</w:t>
      </w:r>
    </w:p>
    <w:p w14:paraId="4822F920" w14:textId="77777777" w:rsidR="00584CCB" w:rsidRPr="00B24172" w:rsidRDefault="00584CCB" w:rsidP="00584CCB">
      <w:pPr>
        <w:rPr>
          <w:sz w:val="12"/>
          <w:szCs w:val="12"/>
        </w:rPr>
      </w:pPr>
    </w:p>
    <w:p w14:paraId="2D03B829" w14:textId="1143A4F3" w:rsidR="000C612D" w:rsidRPr="00B24172" w:rsidRDefault="000C612D" w:rsidP="009169AA">
      <w:pPr>
        <w:spacing w:line="288" w:lineRule="auto"/>
        <w:jc w:val="both"/>
        <w:rPr>
          <w:lang w:val="en-NZ"/>
        </w:rPr>
      </w:pPr>
      <w:r w:rsidRPr="00B24172">
        <w:rPr>
          <w:lang w:val="en-NZ"/>
        </w:rPr>
        <w:t xml:space="preserve">Biogas digesters have an additional benefit </w:t>
      </w:r>
      <w:r w:rsidR="009169AA" w:rsidRPr="00B24172">
        <w:rPr>
          <w:lang w:val="en-NZ"/>
        </w:rPr>
        <w:t xml:space="preserve">compared with </w:t>
      </w:r>
      <w:r w:rsidRPr="00B24172">
        <w:rPr>
          <w:lang w:val="en-NZ"/>
        </w:rPr>
        <w:t>all other interventions, which is the use of slurry (</w:t>
      </w:r>
      <w:r w:rsidR="009169AA" w:rsidRPr="00B24172">
        <w:rPr>
          <w:lang w:val="en-NZ"/>
        </w:rPr>
        <w:t xml:space="preserve">a </w:t>
      </w:r>
      <w:r w:rsidR="001A63E7" w:rsidRPr="00B24172">
        <w:rPr>
          <w:lang w:val="en-NZ"/>
        </w:rPr>
        <w:t>semi-liquid mixture, typically of fine particles of manure or dung)</w:t>
      </w:r>
      <w:r w:rsidRPr="00B24172">
        <w:rPr>
          <w:lang w:val="en-NZ"/>
        </w:rPr>
        <w:t xml:space="preserve"> as a fertilizer. The slurry can be used as an organic fertilizer for crops </w:t>
      </w:r>
      <w:r w:rsidRPr="00B24172">
        <w:rPr>
          <w:lang w:val="en-NZ"/>
        </w:rPr>
        <w:fldChar w:fldCharType="begin"/>
      </w:r>
      <w:r w:rsidRPr="00B24172">
        <w:rPr>
          <w:lang w:val="en-NZ"/>
        </w:rPr>
        <w:instrText xml:space="preserve"> ADDIN ZOTERO_ITEM CSL_CITATION {"citationID":"mDY8fWr0","properties":{"formattedCitation":"(Abbas et al., 2017; Gwavuya, Abele, Barfuss, Zeller, &amp; M\\uc0\\u252{}ller, 2012)","plainCitation":"(Abbas et al., 2017; Gwavuya, Abele, Barfuss, Zeller, &amp; Müller, 2012)","dontUpdate":true,"noteIndex":0},"citationItems":[{"id":"yPj1CNji/ciKxSOn6","uris":["http://zotero.org/users/2699952/items/AI73EZAZ"],"uri":["http://zotero.org/users/2699952/items/AI73EZAZ"],"itemData":{"id":1103,"type":"article-journal","title":"Economic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Asif"}],"issued":{"date-parts":[["2017",7,1]]}}},{"id":"yPj1CNji/gjqCFcjk","uris":["http://zotero.org/users/2699952/items/I4T95VF9"],"uri":["http://zotero.org/users/2699952/items/I4T95VF9"],"itemData":{"id":1358,"type":"article-journal","title":"Household energy economics in rural Ethiopia: A cost-benefit analysis of biogas energy","container-title":"Renewable Energy","page":"202-209","volume":"48","source":"ScienceDirect","abstract":"Limited success in promoting improved energy sources, such as biogas, in rural areas of developing countries has been partly blamed on insufficient understanding of household energy use patterns. In this study, we assess the costs of energy generation from major energy sources (firewood and dung) in rural Ethiopia, as well as the economic potential of biogas as an alternative in addressing both energy and food security challenges. Results show that households in rural areas largely collect their own fuel, with female household members being mainly responsible for the chore. By investing in biogas plants, households could save time and energy, and have a supply of slurry that can be used as fertilizer in agricultural production. A cost-benefit analysis of biogas plants yields positive net present values for households collecting their own energy sources. Even higher net present values are obtained for households purchasing all of their energy needs; these households stand to gain significantly from the financial benefits of energy cost savings with biogas technology. Results are highly dependent on slurry being effectively used as a source of fertilizer and on the price of the replaced energy source. Thus the promotion of slurry use as fertilizer must be an integral part of a successful biogas programme. Another important issue is that at present, biogas plants are highly subsidized and thus the above conditions hold under the assumptions of subsidies. When analysed without subsidies, indicators are still positive, yet amortisation periods are significantly longer and close to the depreciation point, so that investment risks increase.","DOI":"10.1016/j.renene.2012.04.042","ISSN":"0960-1481","shortTitle":"Household energy economics in rural Ethiopia","journalAbbreviation":"Renewable Energy","author":[{"family":"Gwavuya","given":"S. G."},{"family":"Abele","given":"S."},{"family":"Barfuss","given":"I."},{"family":"Zeller","given":"M."},{"family":"Müller","given":"J."}],"issued":{"date-parts":[["2012",12,1]]}}}],"schema":"https://github.com/citation-style-language/schema/raw/master/csl-citation.json"} </w:instrText>
      </w:r>
      <w:r w:rsidRPr="00B24172">
        <w:rPr>
          <w:lang w:val="en-NZ"/>
        </w:rPr>
        <w:fldChar w:fldCharType="separate"/>
      </w:r>
      <w:r w:rsidRPr="00B24172">
        <w:t xml:space="preserve">(Abbas </w:t>
      </w:r>
      <w:r w:rsidRPr="00B24172">
        <w:rPr>
          <w:i/>
        </w:rPr>
        <w:t xml:space="preserve">et al. </w:t>
      </w:r>
      <w:r w:rsidRPr="00B24172">
        <w:t xml:space="preserve">2017; Gwavuya, </w:t>
      </w:r>
      <w:r w:rsidRPr="00B24172">
        <w:rPr>
          <w:i/>
        </w:rPr>
        <w:t>et al.</w:t>
      </w:r>
      <w:r w:rsidRPr="00B24172">
        <w:t xml:space="preserve"> 2012)</w:t>
      </w:r>
      <w:r w:rsidRPr="00B24172">
        <w:rPr>
          <w:lang w:val="en-NZ"/>
        </w:rPr>
        <w:fldChar w:fldCharType="end"/>
      </w:r>
      <w:r w:rsidRPr="00B24172">
        <w:t>, and can save the household around PKR 600</w:t>
      </w:r>
      <w:r w:rsidR="00CA39F7" w:rsidRPr="00B24172">
        <w:t xml:space="preserve"> (non-adjusted)</w:t>
      </w:r>
      <w:r w:rsidRPr="00B24172">
        <w:t xml:space="preserve"> in fertilizer costs per month</w:t>
      </w:r>
      <w:r w:rsidR="009169AA" w:rsidRPr="00B24172">
        <w:t>;</w:t>
      </w:r>
      <w:r w:rsidR="00CA39F7" w:rsidRPr="00B24172">
        <w:t xml:space="preserve"> thus,</w:t>
      </w:r>
      <w:r w:rsidRPr="00B24172">
        <w:t xml:space="preserve"> annually it saves PKR </w:t>
      </w:r>
      <w:r w:rsidR="00CA39F7" w:rsidRPr="00B24172">
        <w:t>9,835 (USD 98) (</w:t>
      </w:r>
      <w:r w:rsidR="009169AA" w:rsidRPr="00B24172">
        <w:t>a</w:t>
      </w:r>
      <w:r w:rsidR="00CA39F7" w:rsidRPr="00B24172">
        <w:t>djusted)</w:t>
      </w:r>
      <w:r w:rsidRPr="00B24172">
        <w:t xml:space="preserve"> </w:t>
      </w:r>
      <w:r w:rsidR="00CA39F7" w:rsidRPr="00B24172">
        <w:fldChar w:fldCharType="begin"/>
      </w:r>
      <w:r w:rsidR="00CA39F7" w:rsidRPr="00B24172">
        <w:instrText xml:space="preserve"> ADDIN ZOTERO_ITEM CSL_CITATION {"citationID":"KTrJeVzC","properties":{"formattedCitation":"(Amjid, Bilal, Nazir, &amp; Hussain, 2011)","plainCitation":"(Amjid, Bilal, Nazir, &amp; Hussain, 2011)","dontUpdate":true,"noteIndex":0},"citationItems":[{"id":"yPj1CNji/LcT2cI5I","uris":["http://zotero.org/users/2699952/items/6JP3NKRT"],"uri":["http://zotero.org/users/2699952/items/6JP3NKRT"],"itemData":{"id":1370,"type":"article-journal","title":"Biogas, renewable energy resource for Pakistan","container-title":"Renewable and Sustainable Energy Reviews","page":"2833-2837","volume":"15","issue":"6","source":"ScienceDirect","abstract":"Developing countries are in critical energy crisis. Pakistan spends almost 7 billion US$ on import of fossil fuels annually to congregate its energy needs. The renewable and sustainable energy resources are best substitute to the conventional fuels and energy sources. Pakistan takes the opportunity to have almost 159 million animals producing almost 652millionkg of manure daily from cattle and buffalo only; that can be used to generate 16.3millionm3 biogas per day and 21milliontons of bio fertilizer per year. That compensate approximately 20% of nitrogen and 66% of phosphorus required in the crop fields. Apart from this sugarcane industry has got the potential to generate 3000MW energy. Domestic biogas plants were started in Pakistan in 1959 and at present there is significant number of such working units. Biogas Support Program (BSP) was started in 2000 by Pakistani government. So far it has achieved the target of installing 1200 biogas units, whereas another 10,000units are expected to be set up in coming 05years that will harvest almost 27% of country's biogas potential. A biogas unit of 10m3 size is anticipated to save almost 92,062 PKR per year on account of conventional fuels spent otherwise. Women's opportunity cost, with introduction of biogas units reportedly increased; subsequently impacting positively on household income. Biogas energy generation systems are in demand and their number is increasing steadily. They are low-cost and can be run with very small budget. Biogas energy corridor can work as a good substitute for nearly 70% of country's population residing in rural areas. Installation of plants to bottle the biogas can be additional opportunity. The need of a national policy is imperative to bring this technology at farmer's doorstep.","DOI":"10.1016/j.rser.2011.02.041","ISSN":"1364-0321","journalAbbreviation":"Renewable and Sustainable Energy Reviews","author":[{"family":"Amjid","given":"Syed S."},{"family":"Bilal","given":"Muhammad Q."},{"family":"Nazir","given":"Muhammad S."},{"family":"Hussain","given":"Altaf"}],"issued":{"date-parts":[["2011",8,1]]}}}],"schema":"https://github.com/citation-style-language/schema/raw/master/csl-citation.json"} </w:instrText>
      </w:r>
      <w:r w:rsidR="00CA39F7" w:rsidRPr="00B24172">
        <w:fldChar w:fldCharType="separate"/>
      </w:r>
      <w:r w:rsidR="00CA39F7" w:rsidRPr="00B24172">
        <w:t>(Amjid</w:t>
      </w:r>
      <w:r w:rsidR="00CA39F7" w:rsidRPr="00B24172">
        <w:rPr>
          <w:i/>
        </w:rPr>
        <w:t xml:space="preserve"> et al.</w:t>
      </w:r>
      <w:r w:rsidR="00CA39F7" w:rsidRPr="00B24172">
        <w:t xml:space="preserve"> 2011)</w:t>
      </w:r>
      <w:r w:rsidR="00CA39F7" w:rsidRPr="00B24172">
        <w:fldChar w:fldCharType="end"/>
      </w:r>
    </w:p>
    <w:p w14:paraId="2C3B6DA1" w14:textId="77777777" w:rsidR="000C612D" w:rsidRPr="00B24172" w:rsidRDefault="000C612D" w:rsidP="00C67062">
      <w:pPr>
        <w:spacing w:line="288" w:lineRule="auto"/>
        <w:jc w:val="both"/>
        <w:rPr>
          <w:lang w:val="en-NZ"/>
        </w:rPr>
      </w:pPr>
    </w:p>
    <w:p w14:paraId="2577490F" w14:textId="77777777" w:rsidR="00A11D4A" w:rsidRPr="00B24172" w:rsidRDefault="00A11D4A" w:rsidP="00BF2AB8">
      <w:pPr>
        <w:spacing w:line="288" w:lineRule="auto"/>
        <w:jc w:val="both"/>
        <w:rPr>
          <w:lang w:val="en-NZ"/>
        </w:rPr>
      </w:pPr>
    </w:p>
    <w:p w14:paraId="1227BA34" w14:textId="3B933A02" w:rsidR="00CB4D36" w:rsidRPr="00B24172" w:rsidRDefault="001E22B9" w:rsidP="00BF2AB8">
      <w:pPr>
        <w:spacing w:line="288" w:lineRule="auto"/>
        <w:jc w:val="both"/>
        <w:rPr>
          <w:b/>
          <w:bCs/>
          <w:lang w:val="en-NZ"/>
        </w:rPr>
      </w:pPr>
      <w:r w:rsidRPr="00B24172">
        <w:rPr>
          <w:b/>
          <w:bCs/>
          <w:lang w:val="en-NZ"/>
        </w:rPr>
        <w:t>6.</w:t>
      </w:r>
      <w:r w:rsidR="001A63E7" w:rsidRPr="00B24172">
        <w:rPr>
          <w:b/>
          <w:bCs/>
          <w:lang w:val="en-NZ"/>
        </w:rPr>
        <w:t>3</w:t>
      </w:r>
      <w:r w:rsidRPr="00B24172">
        <w:rPr>
          <w:b/>
          <w:bCs/>
          <w:lang w:val="en-NZ"/>
        </w:rPr>
        <w:t xml:space="preserve"> </w:t>
      </w:r>
      <w:r w:rsidR="001F7A1A" w:rsidRPr="00B24172">
        <w:rPr>
          <w:b/>
          <w:bCs/>
          <w:lang w:val="en-NZ"/>
        </w:rPr>
        <w:t xml:space="preserve">Health </w:t>
      </w:r>
      <w:r w:rsidR="00262E0F" w:rsidRPr="00B24172">
        <w:rPr>
          <w:b/>
          <w:bCs/>
          <w:lang w:val="en-NZ"/>
        </w:rPr>
        <w:t>I</w:t>
      </w:r>
      <w:r w:rsidR="001F7A1A" w:rsidRPr="00B24172">
        <w:rPr>
          <w:b/>
          <w:bCs/>
          <w:lang w:val="en-NZ"/>
        </w:rPr>
        <w:t>mpacts</w:t>
      </w:r>
    </w:p>
    <w:p w14:paraId="4A02A7E7" w14:textId="77777777" w:rsidR="00584CCB" w:rsidRPr="00B24172" w:rsidRDefault="00584CCB" w:rsidP="00BF2AB8">
      <w:pPr>
        <w:spacing w:line="288" w:lineRule="auto"/>
        <w:jc w:val="both"/>
        <w:rPr>
          <w:b/>
          <w:bCs/>
          <w:sz w:val="12"/>
          <w:szCs w:val="12"/>
          <w:lang w:val="en-NZ"/>
        </w:rPr>
      </w:pPr>
    </w:p>
    <w:p w14:paraId="191F20C7" w14:textId="2295D1BA" w:rsidR="000B6003" w:rsidRPr="00B24172" w:rsidRDefault="001E22B9" w:rsidP="00BF2AB8">
      <w:pPr>
        <w:spacing w:line="288" w:lineRule="auto"/>
        <w:jc w:val="both"/>
        <w:rPr>
          <w:b/>
          <w:bCs/>
          <w:lang w:val="en-NZ"/>
        </w:rPr>
      </w:pPr>
      <w:r w:rsidRPr="00B24172">
        <w:rPr>
          <w:b/>
          <w:bCs/>
          <w:lang w:val="en-NZ"/>
        </w:rPr>
        <w:t>6.</w:t>
      </w:r>
      <w:r w:rsidR="001A63E7" w:rsidRPr="00B24172">
        <w:rPr>
          <w:b/>
          <w:bCs/>
          <w:lang w:val="en-NZ"/>
        </w:rPr>
        <w:t>3</w:t>
      </w:r>
      <w:r w:rsidRPr="00B24172">
        <w:rPr>
          <w:b/>
          <w:bCs/>
          <w:lang w:val="en-NZ"/>
        </w:rPr>
        <w:t>.1</w:t>
      </w:r>
      <w:r w:rsidR="001E4362" w:rsidRPr="00B24172">
        <w:rPr>
          <w:b/>
          <w:bCs/>
          <w:lang w:val="en-NZ"/>
        </w:rPr>
        <w:t>.</w:t>
      </w:r>
      <w:r w:rsidRPr="00B24172">
        <w:rPr>
          <w:b/>
          <w:bCs/>
          <w:lang w:val="en-NZ"/>
        </w:rPr>
        <w:t xml:space="preserve"> </w:t>
      </w:r>
      <w:r w:rsidR="00C3761A" w:rsidRPr="00B24172">
        <w:rPr>
          <w:b/>
          <w:bCs/>
          <w:lang w:val="en-NZ"/>
        </w:rPr>
        <w:t>Impact on Mortality and M</w:t>
      </w:r>
      <w:r w:rsidR="000B6003" w:rsidRPr="00B24172">
        <w:rPr>
          <w:b/>
          <w:bCs/>
          <w:lang w:val="en-NZ"/>
        </w:rPr>
        <w:t>orbidity</w:t>
      </w:r>
    </w:p>
    <w:p w14:paraId="12880DD3" w14:textId="77777777" w:rsidR="00262E0F" w:rsidRPr="00B24172" w:rsidRDefault="00262E0F" w:rsidP="00BF2AB8">
      <w:pPr>
        <w:spacing w:line="288" w:lineRule="auto"/>
        <w:jc w:val="both"/>
        <w:rPr>
          <w:sz w:val="12"/>
          <w:szCs w:val="12"/>
        </w:rPr>
      </w:pPr>
    </w:p>
    <w:p w14:paraId="319481F9" w14:textId="6B1BB2F3" w:rsidR="0017520A" w:rsidRPr="00B24172" w:rsidRDefault="006D38AD" w:rsidP="009169AA">
      <w:pPr>
        <w:spacing w:line="288" w:lineRule="auto"/>
        <w:jc w:val="both"/>
      </w:pPr>
      <w:r w:rsidRPr="00B24172">
        <w:t xml:space="preserve">We assume that universal adoption of any of the interventions would </w:t>
      </w:r>
      <w:r w:rsidR="00FD30AF" w:rsidRPr="00B24172">
        <w:t xml:space="preserve">almost </w:t>
      </w:r>
      <w:r w:rsidRPr="00B24172">
        <w:t>eliminate IAP-related mortality and morbidity</w:t>
      </w:r>
      <w:r w:rsidR="00A62C9B" w:rsidRPr="00B24172">
        <w:t xml:space="preserve"> for a household</w:t>
      </w:r>
      <w:r w:rsidRPr="00B24172">
        <w:t>.</w:t>
      </w:r>
      <w:r w:rsidR="00627176" w:rsidRPr="00B24172">
        <w:t xml:space="preserve"> According to the Pakistan Strategic Country Environmental Assessment by the World Bank, IAP accounts for 28,000 deaths per year in Pakistan. Around 1,376,000 </w:t>
      </w:r>
      <w:r w:rsidR="00627176" w:rsidRPr="00B24172">
        <w:rPr>
          <w:lang w:val="en-NZ"/>
        </w:rPr>
        <w:t>disability adjusted life years</w:t>
      </w:r>
      <w:r w:rsidR="00627176" w:rsidRPr="00B24172">
        <w:t xml:space="preserve"> (DALYs) are lost each year due to IAP, of which 82% is from mortality and 18% from morbidity </w:t>
      </w:r>
      <w:r w:rsidR="00627176" w:rsidRPr="00B24172">
        <w:fldChar w:fldCharType="begin"/>
      </w:r>
      <w:r w:rsidR="00627176" w:rsidRPr="00B24172">
        <w:instrText xml:space="preserve"> ADDIN ZOTERO_ITEM CSL_CITATION {"citationID":"YgjQMVZL","properties":{"formattedCitation":"(Ian Colbeck et al., 2010)","plainCitation":"(Ian Colbeck et al., 2010)","noteIndex":0},"citationItems":[{"id":"yPj1CNji/Vf4Ys2pc","uris":["http://zotero.org/users/2699952/items/V2D6R3UX"],"uri":["http://zotero.org/users/2699952/items/V2D6R3UX"],"itemData":{"id":188,"type":"article-journal","title":"The state of indoor air quality in Pakistan—a review","container-title":"Environmental Science and Pollution Research","page":"1187-1196","volume":"17","issue":"6","source":"link.springer.com","abstract":"Background and purpose In Pakistan, almost 70% of the population lives in rural areas. Ninety-four percent of households in rural areas and 58% in urban areas depend on biomass fuels (wood, dung, and agricultural waste). These solid fuels have poor combustion efficiency. Due to incomplete combustion of the biomass fuels, the resulting smoke contains a range of health-deteriorating substances that, at varying concentrations, can pose a serious threat to human health. Indoor air pollution accounts for 28,000 deaths a year and 40 million cases of acute respiratory illness. It places a significant economic burden on Pakistan with an annual cost of 1% of GDP. Despite the mounting evidence of an association between indoor air pollution and ill health, policy makers have paid little attention to it. This review analyzes the existing information on levels of indoor air pollution in Pakistan and suggests suitable intervention methods. Methods This review is focused on studies of indoor air pollution, due to biomass fuels, in Pakistan published in both scientific journals and by the Government and international organizations. In addition, the importance of environmental tobacco smoke as an indoor pollutant is highlighted. Results Unlike many other developing countries, there are no long-term studies on the levels of indoor air pollution. The limited studies that have been undertaken indicate that indoor air pollution should be a public health concern. High levels of particulate matter and carbon monoxide have been reported, and generally, women and children are subject to the maximum exposure. There have been a few interventions, with improved stoves, in some areas since 1990. However, the effectiveness of these interventions has not been fully evaluated. Conclusion Indoor air pollution has a significant impact on the health of the population in Pakistan. The use of biomass fuel as an energy source is the biggest contributor to poor indoor air quality followed by smoking. In order to arrest the increasing levels of indoor pollution, there is a dire need to recognize it as a major health hazard and formulate a national policy to combat it. An integrated effort, with involvement of all stakeholders, could yield promising results. A countrywide public awareness campaign, on the association of indoor air pollution with ill health, followed by practical intervention would be an appropriate approach. Due to the current socioeconomic conditions in the country, development and adoption of improved cooking stoves for the population at large would be the most suitable choice. However, the potential of biogas as a fuel should be explored further, and modern fuels (natural gas and LPG) need to be accessible and economical. Smoking in closed public spaces should be banned, and knowledge of the effect of smoking on indoor air quality needs to be quantified.","DOI":"10.1007/s11356-010-0293-3","ISSN":"0944-1344, 1614-7499","journalAbbreviation":"Environ Sci Pollut Res","language":"en","author":[{"family":"Colbeck","given":"Ian"},{"family":"Nasir","given":"Zaheer Ahmad"},{"family":"Ali","given":"Zulfiqar"}],"issued":{"date-parts":[["2010",2,17]]}}}],"schema":"https://github.com/citation-style-language/schema/raw/master/csl-citation.json"} </w:instrText>
      </w:r>
      <w:r w:rsidR="00627176" w:rsidRPr="00B24172">
        <w:fldChar w:fldCharType="separate"/>
      </w:r>
      <w:r w:rsidR="00627176" w:rsidRPr="00B24172">
        <w:t>(Colbeck et al., 2010)</w:t>
      </w:r>
      <w:r w:rsidR="00627176" w:rsidRPr="00B24172">
        <w:fldChar w:fldCharType="end"/>
      </w:r>
      <w:r w:rsidR="00627176" w:rsidRPr="00B24172">
        <w:t xml:space="preserve">. </w:t>
      </w:r>
      <w:r w:rsidR="00FD30AF" w:rsidRPr="00B24172">
        <w:t>In developed countries</w:t>
      </w:r>
      <w:r w:rsidR="00C724AB" w:rsidRPr="00B24172">
        <w:t>,</w:t>
      </w:r>
      <w:r w:rsidR="00FD30AF" w:rsidRPr="00B24172">
        <w:t xml:space="preserve"> </w:t>
      </w:r>
      <w:r w:rsidR="00C724AB" w:rsidRPr="00B24172">
        <w:t>about one</w:t>
      </w:r>
      <w:r w:rsidR="00E775CC" w:rsidRPr="00B24172">
        <w:t xml:space="preserve"> and </w:t>
      </w:r>
      <w:r w:rsidR="009169AA" w:rsidRPr="00B24172">
        <w:t xml:space="preserve">a </w:t>
      </w:r>
      <w:r w:rsidR="00E775CC" w:rsidRPr="00B24172">
        <w:t>half</w:t>
      </w:r>
      <w:r w:rsidR="00C724AB" w:rsidRPr="00B24172">
        <w:t xml:space="preserve"> percent of </w:t>
      </w:r>
      <w:r w:rsidR="00FD30AF" w:rsidRPr="00B24172">
        <w:t>infant and child mortalit</w:t>
      </w:r>
      <w:r w:rsidR="00C724AB" w:rsidRPr="00B24172">
        <w:t>y</w:t>
      </w:r>
      <w:r w:rsidR="00FD30AF" w:rsidRPr="00B24172">
        <w:t xml:space="preserve"> </w:t>
      </w:r>
      <w:r w:rsidR="00C724AB" w:rsidRPr="00B24172">
        <w:t xml:space="preserve">is associated with IAP </w:t>
      </w:r>
      <w:r w:rsidR="006B76A8" w:rsidRPr="00B24172">
        <w:rPr>
          <w:lang w:val="en-NZ"/>
        </w:rPr>
        <w:fldChar w:fldCharType="begin"/>
      </w:r>
      <w:r w:rsidR="00A260FD" w:rsidRPr="00B24172">
        <w:rPr>
          <w:lang w:val="en-NZ"/>
        </w:rPr>
        <w:instrText xml:space="preserve"> ADDIN ZOTERO_ITEM CSL_CITATION {"citationID":"uc0EXBxH","properties":{"formattedCitation":"(Irfan et al., 2018)","plainCitation":"(Irfan et al., 2018)","noteIndex":0},"citationItems":[{"id":"yPj1CNji/xNCa1p5v","uris":["http://zotero.org/users/2699952/items/73KUF9FR"],"uri":["http://zotero.org/users/2699952/items/73KUF9FR"],"itemData":{"id":1247,"type":"article-journal","title":"Household energy elasticities and policy implications for Pakistan","container-title":"Energy Policy","page":"633-642","volume":"113","source":"ScienceDirect","abstract":"This study estimates fuel expenditure and price elasticities of household fuels in Pakistan. The burning of biomass is harmful to health and the environment and may cause preventable morbidity and mortality. It is important to investigate how households' fuel choices are linked to prices, so that governments can consider appropriate steps to enhance the consumption of clean fuels. Using three pooled cross-sectional surveys from Pakistan and applying the Linear Approximate Almost Ideal Demand System (LA-AIDS) model, we found that all fuel types except natural gas were price inelastic at the national level and for urban households. In rural areas, natural gas and LPG were found to be more price elastic compared to urban areas. Simple policy simulations based on our results suggest that in order to reduce indoor air pollution by encouraging the adoption of clean fuels (LPG and piped natural gas), governments should subsidies clean fuels rather than imposing taxes on solid fuels. Moreover, in the case of Pakistan a subsidy for LPG should be preferred over a subsidy for piped natural gas, as it produces a more cost-effective reduction in solid fuel use.","DOI":"10.1016/j.enpol.2017.11.041","ISSN":"0301-4215","journalAbbreviation":"Energy Policy","author":[{"family":"Irfan","given":"Muhammad"},{"family":"Cameron","given":"Michael P."},{"family":"Hassan","given":"Gazi"}],"issued":{"date-parts":[["2018",2,1]]}}}],"schema":"https://github.com/citation-style-language/schema/raw/master/csl-citation.json"} </w:instrText>
      </w:r>
      <w:r w:rsidR="006B76A8" w:rsidRPr="00B24172">
        <w:rPr>
          <w:lang w:val="en-NZ"/>
        </w:rPr>
        <w:fldChar w:fldCharType="separate"/>
      </w:r>
      <w:r w:rsidR="00A260FD" w:rsidRPr="00B24172">
        <w:t>(Irfan et al., 2018)</w:t>
      </w:r>
      <w:r w:rsidR="006B76A8" w:rsidRPr="00B24172">
        <w:rPr>
          <w:lang w:val="en-NZ"/>
        </w:rPr>
        <w:fldChar w:fldCharType="end"/>
      </w:r>
      <w:r w:rsidR="00FD30AF" w:rsidRPr="00B24172">
        <w:t xml:space="preserve">. </w:t>
      </w:r>
      <w:r w:rsidR="00F47FEE" w:rsidRPr="00B24172">
        <w:t>Therefore, we assumed 9</w:t>
      </w:r>
      <w:r w:rsidR="00E775CC" w:rsidRPr="00B24172">
        <w:t>8.5</w:t>
      </w:r>
      <w:r w:rsidR="00F47FEE" w:rsidRPr="00B24172">
        <w:t>% of mortalit</w:t>
      </w:r>
      <w:r w:rsidR="00C724AB" w:rsidRPr="00B24172">
        <w:t>y</w:t>
      </w:r>
      <w:r w:rsidR="00C722B6" w:rsidRPr="00B24172">
        <w:t xml:space="preserve"> (27,580 out of 28,000)</w:t>
      </w:r>
      <w:r w:rsidR="00F47FEE" w:rsidRPr="00B24172">
        <w:t xml:space="preserve"> and morbidit</w:t>
      </w:r>
      <w:r w:rsidR="00C724AB" w:rsidRPr="00B24172">
        <w:t>y</w:t>
      </w:r>
      <w:r w:rsidR="00C722B6" w:rsidRPr="00B24172">
        <w:t xml:space="preserve"> (1,355,360 out of 1,376,000</w:t>
      </w:r>
      <w:r w:rsidR="00627176" w:rsidRPr="00B24172">
        <w:t>)</w:t>
      </w:r>
      <w:r w:rsidR="00F47FEE" w:rsidRPr="00B24172">
        <w:t xml:space="preserve"> can be averted by shifting </w:t>
      </w:r>
      <w:r w:rsidR="009169AA" w:rsidRPr="00B24172">
        <w:t xml:space="preserve">entirely </w:t>
      </w:r>
      <w:r w:rsidR="00C724AB" w:rsidRPr="00B24172">
        <w:t xml:space="preserve">from </w:t>
      </w:r>
      <w:r w:rsidR="00F47FEE" w:rsidRPr="00B24172">
        <w:t xml:space="preserve">solid fuels to clean fuels. </w:t>
      </w:r>
    </w:p>
    <w:p w14:paraId="1F811270" w14:textId="77777777" w:rsidR="00A11D4A" w:rsidRPr="00B24172" w:rsidRDefault="00A11D4A" w:rsidP="00BF2AB8">
      <w:pPr>
        <w:spacing w:line="288" w:lineRule="auto"/>
        <w:jc w:val="both"/>
      </w:pPr>
    </w:p>
    <w:p w14:paraId="5A5E4FD3" w14:textId="5107512D" w:rsidR="00D039CF" w:rsidRPr="00B24172" w:rsidRDefault="00F80C9F" w:rsidP="00A62C9B">
      <w:pPr>
        <w:spacing w:line="288" w:lineRule="auto"/>
        <w:ind w:firstLine="720"/>
        <w:jc w:val="both"/>
      </w:pPr>
      <w:r w:rsidRPr="00B24172">
        <w:t>To estimate the value of statistical life</w:t>
      </w:r>
      <w:r w:rsidR="0099244E" w:rsidRPr="00B24172">
        <w:t xml:space="preserve"> (VSL)</w:t>
      </w:r>
      <w:r w:rsidRPr="00B24172">
        <w:t xml:space="preserve"> various models </w:t>
      </w:r>
      <w:r w:rsidR="006D38AD" w:rsidRPr="00B24172">
        <w:t xml:space="preserve">have been </w:t>
      </w:r>
      <w:r w:rsidR="00674B7E" w:rsidRPr="00B24172">
        <w:t>used</w:t>
      </w:r>
      <w:r w:rsidR="00121852" w:rsidRPr="00B24172">
        <w:t xml:space="preserve"> in past</w:t>
      </w:r>
      <w:r w:rsidR="006D38AD" w:rsidRPr="00B24172">
        <w:t>.</w:t>
      </w:r>
      <w:r w:rsidR="00674B7E" w:rsidRPr="00B24172">
        <w:t xml:space="preserve"> </w:t>
      </w:r>
      <w:r w:rsidR="006D38AD" w:rsidRPr="00B24172">
        <w:t>F</w:t>
      </w:r>
      <w:r w:rsidR="00674B7E" w:rsidRPr="00B24172">
        <w:t>or example</w:t>
      </w:r>
      <w:r w:rsidR="00262E0F" w:rsidRPr="00B24172">
        <w:t>,</w:t>
      </w:r>
      <w:r w:rsidRPr="00B24172">
        <w:t xml:space="preserve"> </w:t>
      </w:r>
      <w:r w:rsidR="00674B7E" w:rsidRPr="00B24172">
        <w:fldChar w:fldCharType="begin"/>
      </w:r>
      <w:r w:rsidR="00A260FD" w:rsidRPr="00B24172">
        <w:instrText xml:space="preserve"> ADDIN ZOTERO_ITEM CSL_CITATION {"citationID":"bain2YBI","properties":{"formattedCitation":"(Thaler &amp; Rosen, 1976)","plainCitation":"(Thaler &amp; Rosen, 1976)","dontUpdate":true,"noteIndex":0},"citationItems":[{"id":"yPj1CNji/lOlvss9i","uris":["http://zotero.org/users/2699952/items/I9FHGALA"],"uri":["http://zotero.org/users/2699952/items/I9FHGALA"],"itemData":{"id":1352,"type":"article-journal","title":"The Value of Saving a Life: Evidence from the Labor Market","container-title":"Household Production and Consumption","page":"265-302","source":"www.nber.org","shortTitle":"The Value of Saving a Life","author":[{"family":"Thaler","given":"Richard"},{"family":"Rosen","given":"Sherwin"}],"issued":{"date-parts":[["1976",1,1]]}}}],"schema":"https://github.com/citation-style-language/schema/raw/master/csl-citation.json"} </w:instrText>
      </w:r>
      <w:r w:rsidR="00674B7E" w:rsidRPr="00B24172">
        <w:fldChar w:fldCharType="separate"/>
      </w:r>
      <w:r w:rsidR="00674B7E" w:rsidRPr="00B24172">
        <w:t xml:space="preserve">Thaler </w:t>
      </w:r>
      <w:r w:rsidR="008525A5" w:rsidRPr="00B24172">
        <w:t>and</w:t>
      </w:r>
      <w:r w:rsidR="00674B7E" w:rsidRPr="00B24172">
        <w:t xml:space="preserve"> Rosen, (1976)</w:t>
      </w:r>
      <w:r w:rsidR="00674B7E" w:rsidRPr="00B24172">
        <w:fldChar w:fldCharType="end"/>
      </w:r>
      <w:r w:rsidR="00674B7E" w:rsidRPr="00B24172">
        <w:t xml:space="preserve"> used </w:t>
      </w:r>
      <w:r w:rsidR="006D38AD" w:rsidRPr="00B24172">
        <w:t>a h</w:t>
      </w:r>
      <w:r w:rsidR="00121852" w:rsidRPr="00B24172">
        <w:t xml:space="preserve">edonic (quality adjusted) wage model, </w:t>
      </w:r>
      <w:r w:rsidR="00121852" w:rsidRPr="00B24172">
        <w:lastRenderedPageBreak/>
        <w:fldChar w:fldCharType="begin"/>
      </w:r>
      <w:r w:rsidR="00A260FD" w:rsidRPr="00B24172">
        <w:instrText xml:space="preserve"> ADDIN ZOTERO_ITEM CSL_CITATION {"citationID":"2hyxjSmz","properties":{"formattedCitation":"(Cameron et al., 2010)","plainCitation":"(Cameron et al., 2010)","dontUpdate":true,"noteIndex":0},"citationItems":[{"id":"yPj1CNji/WavcO3nZ","uris":["http://zotero.org/users/2699952/items/PGHF9ZGN"],"uri":["http://zotero.org/users/2699952/items/PGHF9ZGN"],"itemData":{"id":1345,"type":"article-journal","title":"The value of statistical life and cost–benefit evaluations of landmine clearance in Cambodia","container-title":"Environment and Development Economics","page":"395-416","volume":"15","issue":"4","source":"Cambridge Core","abstract":"Development agencies spend approximately US$ 400 million per year on landmine clearance. Yet many cost–benefit evaluations suggest that landmine clearance is socially wasteful because costs appear to far outweigh social benefits. This paper presents new estimates of the benefits of clearing landmines based on a contingent valuation survey in two provinces in rural Cambodia where we asked respondents questions that elicit their trade-offs between money and the risk of death from landmine accidents. The estimated Value of a Statistical Life (VSL) is US$ 0.4 million. In contrast, most previous studies of landmine clearance use foregone income or average GDP per capita, which has a lifetime value of only US$ 2,000 in Cambodia. Humanitarian landmine clearance emerges as a more attractive rural development policy when appropriate estimates of the VSL are used.","DOI":"10.1017/S1355770X10000069","ISSN":"1469-4395, 1355-770X","language":"en","author":[{"family":"Cameron","given":"Michael"},{"family":"Gibson","given":"John"},{"family":"Helmers","given":"Kent"},{"family":"Lim","given":"Steven"},{"family":"Tressler","given":"John"},{"family":"Vaddanak","given":"Kien"}],"issued":{"date-parts":[["2010",8]]}}}],"schema":"https://github.com/citation-style-language/schema/raw/master/csl-citation.json"} </w:instrText>
      </w:r>
      <w:r w:rsidR="00121852" w:rsidRPr="00B24172">
        <w:fldChar w:fldCharType="separate"/>
      </w:r>
      <w:r w:rsidR="00121852" w:rsidRPr="00B24172">
        <w:t xml:space="preserve">Cameron et al. </w:t>
      </w:r>
      <w:r w:rsidR="006D38AD" w:rsidRPr="00B24172">
        <w:t>(</w:t>
      </w:r>
      <w:r w:rsidR="00121852" w:rsidRPr="00B24172">
        <w:t>2010)</w:t>
      </w:r>
      <w:r w:rsidR="00121852" w:rsidRPr="00B24172">
        <w:fldChar w:fldCharType="end"/>
      </w:r>
      <w:r w:rsidR="00121852" w:rsidRPr="00B24172">
        <w:t xml:space="preserve"> used contingent valuation methods, and </w:t>
      </w:r>
      <w:r w:rsidR="00121852" w:rsidRPr="00B24172">
        <w:rPr>
          <w:lang w:val="en-NZ"/>
        </w:rPr>
        <w:fldChar w:fldCharType="begin"/>
      </w:r>
      <w:r w:rsidR="00A260FD" w:rsidRPr="00B24172">
        <w:rPr>
          <w:lang w:val="en-NZ"/>
        </w:rPr>
        <w:instrText xml:space="preserve"> ADDIN ZOTERO_ITEM CSL_CITATION {"citationID":"ba7IsB4y","properties":{"formattedCitation":"(Hutton et al., 2007)","plainCitation":"(Hutton et al., 2007)","dontUpdate":true,"noteIndex":0},"citationItems":[{"id":"yPj1CNji/eYwjIPdP","uris":["http://zotero.org/users/2699952/items/ESNF2DMZ"],"uri":["http://zotero.org/users/2699952/items/ESNF2DMZ"],"itemData":{"id":25,"type":"article-journal","title":"Evaluation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00121852" w:rsidRPr="00B24172">
        <w:rPr>
          <w:lang w:val="en-NZ"/>
        </w:rPr>
        <w:fldChar w:fldCharType="separate"/>
      </w:r>
      <w:r w:rsidR="00121852" w:rsidRPr="00B24172">
        <w:t xml:space="preserve">Hutton </w:t>
      </w:r>
      <w:r w:rsidR="00121852" w:rsidRPr="00B24172">
        <w:rPr>
          <w:i/>
        </w:rPr>
        <w:t>et al.</w:t>
      </w:r>
      <w:r w:rsidR="00121852" w:rsidRPr="00B24172">
        <w:t xml:space="preserve"> </w:t>
      </w:r>
      <w:r w:rsidR="006D38AD" w:rsidRPr="00B24172">
        <w:t>(</w:t>
      </w:r>
      <w:r w:rsidR="00121852" w:rsidRPr="00B24172">
        <w:t>2007)</w:t>
      </w:r>
      <w:r w:rsidR="00121852" w:rsidRPr="00B24172">
        <w:rPr>
          <w:lang w:val="en-NZ"/>
        </w:rPr>
        <w:fldChar w:fldCharType="end"/>
      </w:r>
      <w:r w:rsidR="00121852" w:rsidRPr="00B24172">
        <w:rPr>
          <w:lang w:val="en-NZ"/>
        </w:rPr>
        <w:t xml:space="preserve"> used </w:t>
      </w:r>
      <w:r w:rsidR="006D38AD" w:rsidRPr="00B24172">
        <w:rPr>
          <w:lang w:val="en-NZ"/>
        </w:rPr>
        <w:t xml:space="preserve">a </w:t>
      </w:r>
      <w:r w:rsidR="00121852" w:rsidRPr="00B24172">
        <w:rPr>
          <w:lang w:val="en-NZ"/>
        </w:rPr>
        <w:t>human capital approach.</w:t>
      </w:r>
      <w:r w:rsidR="00393B7A" w:rsidRPr="00B24172">
        <w:rPr>
          <w:lang w:val="en-NZ"/>
        </w:rPr>
        <w:t xml:space="preserve"> </w:t>
      </w:r>
      <w:r w:rsidR="006D38AD" w:rsidRPr="00B24172">
        <w:t>R</w:t>
      </w:r>
      <w:r w:rsidR="00D039CF" w:rsidRPr="00B24172">
        <w:t xml:space="preserve">ecently, </w:t>
      </w:r>
      <w:r w:rsidR="00D039CF" w:rsidRPr="00B24172">
        <w:fldChar w:fldCharType="begin"/>
      </w:r>
      <w:r w:rsidR="00A260FD" w:rsidRPr="00B24172">
        <w:instrText xml:space="preserve"> ADDIN ZOTERO_ITEM CSL_CITATION {"citationID":"5qYW4lDf","properties":{"formattedCitation":"(Viscusi &amp; Masterman, 2017)","plainCitation":"(Viscusi &amp; Masterman, 2017)","dontUpdate":true,"noteIndex":0},"citationItems":[{"id":"yPj1CNji/xsBKjvns","uris":["http://zotero.org/users/2699952/items/PLJ4A5LK"],"uri":["http://zotero.org/users/2699952/items/PLJ4A5LK"],"itemData":{"id":1367,"type":"article-journal","title":"Income Elasticities and Global Values of a Statistical Life","container-title":"Journal of Benefit-Cost Analysis","page":"226-250","volume":"8","issue":"2","source":"Cambridge Core","abstract":"Countries throughout the world use estimates of the value of a statistical life (VSL) to monetize fatality risks in benefit-cost analyses. However, the vast majority of countries lack reliable revealed preference or stated preference estimates of the VSL. This article proposes that the best way to calculate a population-average VSL for countries with insufficient or unreliable data is to transfer a base VSL from the United States calculated using labor market estimates from Census of Fatal Occupational Injuries data, coupled with adjustments for differences in income between the United States and the country of interest. This approach requires estimation of two critical inputs: a base U.S. VSL and the income elasticity of the VSL. Drawing upon previous meta-analyses that include adjustments for publication selection biases, we adopt a base VSL of $9.6 million. We utilize a sample of 953 VSL estimates from 68 labor market studies of the VSL covering fourteen lower-middle income to high income nations. We estimate the income elasticity of the VSL within the United States to be from 0.5 to 0.7 and to be just above 1.0 for non-U.S. countries. Quantile regression reveals that much of the disparity in income elasticities is attributable to income differences between the United States and other countries, as the income elasticity increases for lower income populations. Using income classifications from the World Bank, we calculate average VSLs in lower income, lower-middle income, upper-middle income, and upper income countries to be $107,000, $420,000, $1.2 million, and $6.4 million, respectively. We also present VSL estimates for all 189 countries for which World Bank income data are available, yielding a VSL range from $45,000 to $18.3 million.","DOI":"10.1017/bca.2017.12","ISSN":"2194-5888, 2152-2812","language":"en","author":[{"family":"Viscusi","given":"W. Kip"},{"family":"Masterman","given":"Clayton J."}],"issued":{"date-parts":[["2017"]],"season":"ed"}}}],"schema":"https://github.com/citation-style-language/schema/raw/master/csl-citation.json"} </w:instrText>
      </w:r>
      <w:r w:rsidR="00D039CF" w:rsidRPr="00B24172">
        <w:fldChar w:fldCharType="separate"/>
      </w:r>
      <w:r w:rsidR="00D039CF" w:rsidRPr="00B24172">
        <w:t>Viscusi and Masterman (2017)</w:t>
      </w:r>
      <w:r w:rsidR="00D039CF" w:rsidRPr="00B24172">
        <w:fldChar w:fldCharType="end"/>
      </w:r>
      <w:r w:rsidR="00121852" w:rsidRPr="00B24172">
        <w:t xml:space="preserve"> </w:t>
      </w:r>
      <w:r w:rsidR="00D039CF" w:rsidRPr="00B24172">
        <w:t xml:space="preserve">estimated the VSL for Pakistan by </w:t>
      </w:r>
      <w:r w:rsidR="006D38AD" w:rsidRPr="00B24172">
        <w:t xml:space="preserve">extrapolating from international </w:t>
      </w:r>
      <w:r w:rsidR="00A62C9B" w:rsidRPr="00B24172">
        <w:t>studies</w:t>
      </w:r>
      <w:r w:rsidR="006D38AD" w:rsidRPr="00B24172">
        <w:t xml:space="preserve"> and assuming an </w:t>
      </w:r>
      <w:r w:rsidR="00D039CF" w:rsidRPr="00B24172">
        <w:t>income elasticity</w:t>
      </w:r>
      <w:r w:rsidR="006D38AD" w:rsidRPr="00B24172">
        <w:t xml:space="preserve"> of VSL</w:t>
      </w:r>
      <w:r w:rsidR="00D039CF" w:rsidRPr="00B24172">
        <w:t xml:space="preserve"> equal to </w:t>
      </w:r>
      <w:r w:rsidR="00965C7D" w:rsidRPr="00B24172">
        <w:t>one</w:t>
      </w:r>
      <w:r w:rsidR="00D039CF" w:rsidRPr="00B24172">
        <w:t>. We converted the estimated VSL (0.248 million USD) into local currency</w:t>
      </w:r>
      <w:r w:rsidR="00DA1622" w:rsidRPr="00B24172">
        <w:t xml:space="preserve"> and adjust it for </w:t>
      </w:r>
      <w:r w:rsidR="002147D4" w:rsidRPr="00B24172">
        <w:t>inflation</w:t>
      </w:r>
      <w:r w:rsidR="00D039CF" w:rsidRPr="00B24172">
        <w:t xml:space="preserve"> (PKR 2</w:t>
      </w:r>
      <w:r w:rsidR="002147D4" w:rsidRPr="00B24172">
        <w:t>1.45</w:t>
      </w:r>
      <w:r w:rsidR="00D039CF" w:rsidRPr="00B24172">
        <w:t xml:space="preserve"> </w:t>
      </w:r>
      <w:r w:rsidR="00965C7D" w:rsidRPr="00B24172">
        <w:t>million</w:t>
      </w:r>
      <w:r w:rsidR="00D039CF" w:rsidRPr="00B24172">
        <w:t xml:space="preserve">). </w:t>
      </w:r>
      <w:r w:rsidR="00965C7D" w:rsidRPr="00B24172">
        <w:t>Therefore, Pakistan can reap</w:t>
      </w:r>
      <w:r w:rsidR="00856416" w:rsidRPr="00B24172">
        <w:t xml:space="preserve"> total benefits equal to PKR </w:t>
      </w:r>
      <w:r w:rsidR="002147D4" w:rsidRPr="00B24172">
        <w:t>591</w:t>
      </w:r>
      <w:r w:rsidR="00856416" w:rsidRPr="00B24172">
        <w:t xml:space="preserve"> billion (</w:t>
      </w:r>
      <w:r w:rsidR="002147D4" w:rsidRPr="00B24172">
        <w:t>5.9</w:t>
      </w:r>
      <w:r w:rsidR="00E72212" w:rsidRPr="00B24172">
        <w:t xml:space="preserve"> billion </w:t>
      </w:r>
      <w:r w:rsidR="00965C7D" w:rsidRPr="00B24172">
        <w:t xml:space="preserve">USD) by averting </w:t>
      </w:r>
      <w:r w:rsidR="006D38AD" w:rsidRPr="00B24172">
        <w:t xml:space="preserve">mortality </w:t>
      </w:r>
      <w:r w:rsidR="00965C7D" w:rsidRPr="00B24172">
        <w:t>due to IAP</w:t>
      </w:r>
      <w:r w:rsidR="00E72212" w:rsidRPr="00B24172">
        <w:t>.</w:t>
      </w:r>
    </w:p>
    <w:p w14:paraId="4B08BCF6" w14:textId="77777777" w:rsidR="00A11D4A" w:rsidRPr="00B24172" w:rsidRDefault="00A11D4A" w:rsidP="00BF2AB8">
      <w:pPr>
        <w:spacing w:line="288" w:lineRule="auto"/>
        <w:ind w:firstLine="720"/>
        <w:jc w:val="both"/>
      </w:pPr>
    </w:p>
    <w:p w14:paraId="66DA3037" w14:textId="2DAF5DF3" w:rsidR="00A62C9B" w:rsidRPr="00B24172" w:rsidRDefault="00DA29AD" w:rsidP="009169AA">
      <w:pPr>
        <w:spacing w:line="288" w:lineRule="auto"/>
        <w:ind w:firstLine="720"/>
        <w:jc w:val="both"/>
        <w:rPr>
          <w:lang w:val="en-NZ"/>
        </w:rPr>
      </w:pPr>
      <w:r w:rsidRPr="00B24172">
        <w:rPr>
          <w:lang w:val="en-NZ"/>
        </w:rPr>
        <w:t xml:space="preserve">The second important </w:t>
      </w:r>
      <w:r w:rsidR="006D38AD" w:rsidRPr="00B24172">
        <w:rPr>
          <w:lang w:val="en-NZ"/>
        </w:rPr>
        <w:t>health</w:t>
      </w:r>
      <w:r w:rsidRPr="00B24172">
        <w:rPr>
          <w:lang w:val="en-NZ"/>
        </w:rPr>
        <w:t xml:space="preserve"> benefits </w:t>
      </w:r>
      <w:r w:rsidR="006D38AD" w:rsidRPr="00B24172">
        <w:rPr>
          <w:lang w:val="en-NZ"/>
        </w:rPr>
        <w:t xml:space="preserve">arise from </w:t>
      </w:r>
      <w:r w:rsidRPr="00B24172">
        <w:rPr>
          <w:lang w:val="en-NZ"/>
        </w:rPr>
        <w:t xml:space="preserve">saving DALYs. </w:t>
      </w:r>
      <w:r w:rsidR="00A62C9B" w:rsidRPr="00B24172">
        <w:rPr>
          <w:lang w:val="en-NZ"/>
        </w:rPr>
        <w:t>As noted above,</w:t>
      </w:r>
      <w:r w:rsidR="0099244E" w:rsidRPr="00B24172">
        <w:rPr>
          <w:lang w:val="en-NZ"/>
        </w:rPr>
        <w:t xml:space="preserve"> </w:t>
      </w:r>
      <w:r w:rsidR="00F4777F" w:rsidRPr="00B24172">
        <w:rPr>
          <w:lang w:val="en-NZ"/>
        </w:rPr>
        <w:t>18 percent of</w:t>
      </w:r>
      <w:r w:rsidR="006D38AD" w:rsidRPr="00B24172">
        <w:rPr>
          <w:lang w:val="en-NZ"/>
        </w:rPr>
        <w:t xml:space="preserve"> </w:t>
      </w:r>
      <w:r w:rsidR="00A62C9B" w:rsidRPr="00B24172">
        <w:rPr>
          <w:lang w:val="en-NZ"/>
        </w:rPr>
        <w:t xml:space="preserve">total </w:t>
      </w:r>
      <w:r w:rsidR="00F4777F" w:rsidRPr="00B24172">
        <w:rPr>
          <w:lang w:val="en-NZ"/>
        </w:rPr>
        <w:t xml:space="preserve">DALYs </w:t>
      </w:r>
      <w:r w:rsidR="00A62C9B" w:rsidRPr="00B24172">
        <w:rPr>
          <w:lang w:val="en-NZ"/>
        </w:rPr>
        <w:t xml:space="preserve">lost is due to morbidity, which is </w:t>
      </w:r>
      <w:r w:rsidR="00F4777F" w:rsidRPr="00B24172">
        <w:rPr>
          <w:lang w:val="en-NZ"/>
        </w:rPr>
        <w:t>24</w:t>
      </w:r>
      <w:r w:rsidR="002C6749" w:rsidRPr="00B24172">
        <w:rPr>
          <w:lang w:val="en-NZ"/>
        </w:rPr>
        <w:t>3,964</w:t>
      </w:r>
      <w:r w:rsidR="00F4777F" w:rsidRPr="00B24172">
        <w:rPr>
          <w:lang w:val="en-NZ"/>
        </w:rPr>
        <w:t xml:space="preserve"> DALYs.</w:t>
      </w:r>
      <w:r w:rsidR="0099244E" w:rsidRPr="00B24172">
        <w:rPr>
          <w:lang w:val="en-NZ"/>
        </w:rPr>
        <w:t xml:space="preserve"> </w:t>
      </w:r>
      <w:r w:rsidR="00A62C9B" w:rsidRPr="00B24172">
        <w:rPr>
          <w:lang w:val="en-NZ"/>
        </w:rPr>
        <w:t>We value DALYs u</w:t>
      </w:r>
      <w:r w:rsidR="0099244E" w:rsidRPr="00B24172">
        <w:rPr>
          <w:lang w:val="en-NZ"/>
        </w:rPr>
        <w:t xml:space="preserve">sing </w:t>
      </w:r>
      <w:r w:rsidR="006D38AD" w:rsidRPr="00B24172">
        <w:rPr>
          <w:lang w:val="en-NZ"/>
        </w:rPr>
        <w:t xml:space="preserve">the </w:t>
      </w:r>
      <w:r w:rsidR="0099244E" w:rsidRPr="00B24172">
        <w:rPr>
          <w:lang w:val="en-NZ"/>
        </w:rPr>
        <w:t>human capital approach</w:t>
      </w:r>
      <w:r w:rsidR="00A62C9B" w:rsidRPr="00B24172">
        <w:rPr>
          <w:lang w:val="en-NZ"/>
        </w:rPr>
        <w:t>, based on the assumption that one DALY is valued at the</w:t>
      </w:r>
      <w:r w:rsidR="0099244E" w:rsidRPr="00B24172">
        <w:rPr>
          <w:lang w:val="en-NZ"/>
        </w:rPr>
        <w:t xml:space="preserve"> average gross national income</w:t>
      </w:r>
      <w:r w:rsidR="00CB3EF6" w:rsidRPr="00B24172">
        <w:rPr>
          <w:lang w:val="en-NZ"/>
        </w:rPr>
        <w:t xml:space="preserve"> (GNI)</w:t>
      </w:r>
      <w:r w:rsidR="0099244E" w:rsidRPr="00B24172">
        <w:rPr>
          <w:lang w:val="en-NZ"/>
        </w:rPr>
        <w:t xml:space="preserve"> </w:t>
      </w:r>
      <w:r w:rsidR="00A62C9B" w:rsidRPr="00B24172">
        <w:rPr>
          <w:lang w:val="en-NZ"/>
        </w:rPr>
        <w:t>of</w:t>
      </w:r>
      <w:r w:rsidR="0099244E" w:rsidRPr="00B24172">
        <w:rPr>
          <w:lang w:val="en-NZ"/>
        </w:rPr>
        <w:t xml:space="preserve"> Pakistan for 2014, </w:t>
      </w:r>
      <w:r w:rsidR="00A62C9B" w:rsidRPr="00B24172">
        <w:rPr>
          <w:lang w:val="en-NZ"/>
        </w:rPr>
        <w:t>which is</w:t>
      </w:r>
      <w:r w:rsidR="0099244E" w:rsidRPr="00B24172">
        <w:rPr>
          <w:lang w:val="en-NZ"/>
        </w:rPr>
        <w:t xml:space="preserve"> </w:t>
      </w:r>
      <w:r w:rsidR="00C67062" w:rsidRPr="00B24172">
        <w:rPr>
          <w:lang w:val="en-NZ"/>
        </w:rPr>
        <w:t xml:space="preserve">PKR </w:t>
      </w:r>
      <w:r w:rsidR="002839BE" w:rsidRPr="00B24172">
        <w:rPr>
          <w:lang w:val="en-NZ"/>
        </w:rPr>
        <w:t>132,000 (World Bank, 2014)</w:t>
      </w:r>
      <w:r w:rsidR="002839BE" w:rsidRPr="00B24172">
        <w:rPr>
          <w:rStyle w:val="FootnoteReference"/>
          <w:lang w:val="en-NZ"/>
        </w:rPr>
        <w:footnoteReference w:id="14"/>
      </w:r>
      <w:r w:rsidR="00C722B6" w:rsidRPr="00B24172">
        <w:rPr>
          <w:lang w:val="en-NZ"/>
        </w:rPr>
        <w:t>. Hence in total</w:t>
      </w:r>
      <w:r w:rsidR="009169AA" w:rsidRPr="00B24172">
        <w:rPr>
          <w:lang w:val="en-NZ"/>
        </w:rPr>
        <w:t>,</w:t>
      </w:r>
      <w:r w:rsidR="00C722B6" w:rsidRPr="00B24172">
        <w:rPr>
          <w:lang w:val="en-NZ"/>
        </w:rPr>
        <w:t xml:space="preserve"> PKR </w:t>
      </w:r>
      <w:r w:rsidR="00F70B96" w:rsidRPr="00B24172">
        <w:rPr>
          <w:lang w:val="en-NZ"/>
        </w:rPr>
        <w:t>32</w:t>
      </w:r>
      <w:r w:rsidR="00C722B6" w:rsidRPr="00B24172">
        <w:rPr>
          <w:lang w:val="en-NZ"/>
        </w:rPr>
        <w:t xml:space="preserve"> billion can be reaped</w:t>
      </w:r>
      <w:r w:rsidR="009169AA" w:rsidRPr="00B24172">
        <w:rPr>
          <w:lang w:val="en-NZ"/>
        </w:rPr>
        <w:t xml:space="preserve"> as benefits</w:t>
      </w:r>
      <w:r w:rsidR="00C722B6" w:rsidRPr="00B24172">
        <w:rPr>
          <w:lang w:val="en-NZ"/>
        </w:rPr>
        <w:t xml:space="preserve"> by reducing IAP</w:t>
      </w:r>
      <w:r w:rsidR="00CA39F7" w:rsidRPr="00B24172">
        <w:rPr>
          <w:lang w:val="en-NZ"/>
        </w:rPr>
        <w:t xml:space="preserve"> annually</w:t>
      </w:r>
      <w:r w:rsidR="00C722B6" w:rsidRPr="00B24172">
        <w:rPr>
          <w:lang w:val="en-NZ"/>
        </w:rPr>
        <w:t>.</w:t>
      </w:r>
      <w:r w:rsidR="00627176" w:rsidRPr="00B24172">
        <w:rPr>
          <w:lang w:val="en-NZ"/>
        </w:rPr>
        <w:t xml:space="preserve"> Finally, the total benefits</w:t>
      </w:r>
      <w:r w:rsidR="00F47A65" w:rsidRPr="00B24172">
        <w:rPr>
          <w:lang w:val="en-NZ"/>
        </w:rPr>
        <w:t xml:space="preserve"> </w:t>
      </w:r>
      <w:r w:rsidR="009169AA" w:rsidRPr="00B24172">
        <w:rPr>
          <w:lang w:val="en-NZ"/>
        </w:rPr>
        <w:t xml:space="preserve">that </w:t>
      </w:r>
      <w:r w:rsidR="00F47A65" w:rsidRPr="00B24172">
        <w:rPr>
          <w:lang w:val="en-NZ"/>
        </w:rPr>
        <w:t>Pakistan can gain</w:t>
      </w:r>
      <w:r w:rsidR="009169AA" w:rsidRPr="00B24172">
        <w:rPr>
          <w:lang w:val="en-NZ"/>
        </w:rPr>
        <w:t xml:space="preserve"> is</w:t>
      </w:r>
      <w:r w:rsidR="00AF7960" w:rsidRPr="00B24172">
        <w:rPr>
          <w:lang w:val="en-NZ"/>
        </w:rPr>
        <w:t xml:space="preserve"> PKR </w:t>
      </w:r>
      <w:r w:rsidR="00F70B96" w:rsidRPr="00B24172">
        <w:rPr>
          <w:lang w:val="en-NZ"/>
        </w:rPr>
        <w:t>623</w:t>
      </w:r>
      <w:r w:rsidR="00AF7960" w:rsidRPr="00B24172">
        <w:rPr>
          <w:lang w:val="en-NZ"/>
        </w:rPr>
        <w:t xml:space="preserve"> billion (</w:t>
      </w:r>
      <w:r w:rsidR="00F70B96" w:rsidRPr="00B24172">
        <w:rPr>
          <w:lang w:val="en-NZ"/>
        </w:rPr>
        <w:t>6</w:t>
      </w:r>
      <w:r w:rsidR="00A83553" w:rsidRPr="00B24172">
        <w:rPr>
          <w:lang w:val="en-NZ"/>
        </w:rPr>
        <w:t>.</w:t>
      </w:r>
      <w:r w:rsidR="00F70B96" w:rsidRPr="00B24172">
        <w:rPr>
          <w:lang w:val="en-NZ"/>
        </w:rPr>
        <w:t>23</w:t>
      </w:r>
      <w:r w:rsidR="000F556D" w:rsidRPr="00B24172">
        <w:rPr>
          <w:lang w:val="en-NZ"/>
        </w:rPr>
        <w:t xml:space="preserve"> </w:t>
      </w:r>
      <w:r w:rsidR="00A83553" w:rsidRPr="00B24172">
        <w:rPr>
          <w:lang w:val="en-NZ"/>
        </w:rPr>
        <w:t>billion</w:t>
      </w:r>
      <w:r w:rsidR="000F556D" w:rsidRPr="00B24172">
        <w:rPr>
          <w:lang w:val="en-NZ"/>
        </w:rPr>
        <w:t xml:space="preserve"> </w:t>
      </w:r>
      <w:r w:rsidR="00AF7960" w:rsidRPr="00B24172">
        <w:rPr>
          <w:lang w:val="en-NZ"/>
        </w:rPr>
        <w:t>USD) from reduced mortality and morbidity</w:t>
      </w:r>
      <w:r w:rsidR="00CA39F7" w:rsidRPr="00B24172">
        <w:rPr>
          <w:lang w:val="en-NZ"/>
        </w:rPr>
        <w:t xml:space="preserve"> annually</w:t>
      </w:r>
      <w:r w:rsidR="00AF7960" w:rsidRPr="00B24172">
        <w:rPr>
          <w:lang w:val="en-NZ"/>
        </w:rPr>
        <w:t xml:space="preserve">. </w:t>
      </w:r>
    </w:p>
    <w:p w14:paraId="002F0053" w14:textId="77777777" w:rsidR="00A11D4A" w:rsidRPr="00B24172" w:rsidRDefault="00A11D4A" w:rsidP="00F47A65">
      <w:pPr>
        <w:spacing w:line="288" w:lineRule="auto"/>
        <w:jc w:val="both"/>
        <w:rPr>
          <w:lang w:val="en-NZ"/>
        </w:rPr>
      </w:pPr>
    </w:p>
    <w:p w14:paraId="505499D7" w14:textId="3388BBA2" w:rsidR="00971B27" w:rsidRPr="00B24172" w:rsidRDefault="001E22B9" w:rsidP="00BF2AB8">
      <w:pPr>
        <w:pStyle w:val="Heading2"/>
        <w:spacing w:before="0" w:after="0" w:line="288" w:lineRule="auto"/>
        <w:rPr>
          <w:lang w:val="en-NZ"/>
        </w:rPr>
      </w:pPr>
      <w:r w:rsidRPr="00B24172">
        <w:rPr>
          <w:lang w:val="en-NZ"/>
        </w:rPr>
        <w:t>6.</w:t>
      </w:r>
      <w:r w:rsidR="001A63E7" w:rsidRPr="00B24172">
        <w:rPr>
          <w:lang w:val="en-NZ"/>
        </w:rPr>
        <w:t>3</w:t>
      </w:r>
      <w:r w:rsidRPr="00B24172">
        <w:rPr>
          <w:lang w:val="en-NZ"/>
        </w:rPr>
        <w:t xml:space="preserve">.2 </w:t>
      </w:r>
      <w:r w:rsidR="000140E1" w:rsidRPr="00B24172">
        <w:rPr>
          <w:lang w:val="en-NZ"/>
        </w:rPr>
        <w:t xml:space="preserve">Health </w:t>
      </w:r>
      <w:r w:rsidR="00262E0F" w:rsidRPr="00B24172">
        <w:rPr>
          <w:lang w:val="en-NZ"/>
        </w:rPr>
        <w:t>C</w:t>
      </w:r>
      <w:r w:rsidR="000140E1" w:rsidRPr="00B24172">
        <w:rPr>
          <w:lang w:val="en-NZ"/>
        </w:rPr>
        <w:t>are</w:t>
      </w:r>
      <w:r w:rsidR="00262E0F" w:rsidRPr="00B24172">
        <w:rPr>
          <w:lang w:val="en-NZ"/>
        </w:rPr>
        <w:t xml:space="preserve"> C</w:t>
      </w:r>
      <w:r w:rsidR="000140E1" w:rsidRPr="00B24172">
        <w:rPr>
          <w:lang w:val="en-NZ"/>
        </w:rPr>
        <w:t xml:space="preserve">ost </w:t>
      </w:r>
      <w:r w:rsidR="00262E0F" w:rsidRPr="00B24172">
        <w:rPr>
          <w:lang w:val="en-NZ"/>
        </w:rPr>
        <w:t>S</w:t>
      </w:r>
      <w:r w:rsidR="000140E1" w:rsidRPr="00B24172">
        <w:rPr>
          <w:lang w:val="en-NZ"/>
        </w:rPr>
        <w:t>aving</w:t>
      </w:r>
      <w:r w:rsidR="00DD14E9" w:rsidRPr="00B24172">
        <w:rPr>
          <w:lang w:val="en-NZ"/>
        </w:rPr>
        <w:t>s</w:t>
      </w:r>
      <w:r w:rsidR="000140E1" w:rsidRPr="00B24172">
        <w:rPr>
          <w:lang w:val="en-NZ"/>
        </w:rPr>
        <w:t xml:space="preserve"> </w:t>
      </w:r>
    </w:p>
    <w:p w14:paraId="34076BDE" w14:textId="77777777" w:rsidR="00584CCB" w:rsidRPr="00B24172" w:rsidRDefault="00584CCB" w:rsidP="00BF2AB8">
      <w:pPr>
        <w:spacing w:line="288" w:lineRule="auto"/>
        <w:jc w:val="both"/>
        <w:rPr>
          <w:sz w:val="12"/>
          <w:szCs w:val="12"/>
          <w:lang w:val="en-NZ"/>
        </w:rPr>
      </w:pPr>
    </w:p>
    <w:p w14:paraId="589EBB40" w14:textId="404A1EE2" w:rsidR="00FC7D65" w:rsidRPr="00B24172" w:rsidRDefault="00BB6DE3" w:rsidP="004F3A7C">
      <w:pPr>
        <w:spacing w:line="288" w:lineRule="auto"/>
        <w:jc w:val="both"/>
        <w:rPr>
          <w:lang w:val="en-NZ"/>
        </w:rPr>
      </w:pPr>
      <w:r w:rsidRPr="00B24172">
        <w:rPr>
          <w:lang w:val="en-NZ"/>
        </w:rPr>
        <w:t>We assume</w:t>
      </w:r>
      <w:r w:rsidR="00DD14E9" w:rsidRPr="00B24172">
        <w:rPr>
          <w:lang w:val="en-NZ"/>
        </w:rPr>
        <w:t xml:space="preserve"> that</w:t>
      </w:r>
      <w:r w:rsidRPr="00B24172">
        <w:rPr>
          <w:lang w:val="en-NZ"/>
        </w:rPr>
        <w:t xml:space="preserve"> the people of Pakistan who </w:t>
      </w:r>
      <w:r w:rsidR="00F57A9A" w:rsidRPr="00B24172">
        <w:rPr>
          <w:lang w:val="en-NZ"/>
        </w:rPr>
        <w:t xml:space="preserve">get </w:t>
      </w:r>
      <w:r w:rsidRPr="00B24172">
        <w:rPr>
          <w:lang w:val="en-NZ"/>
        </w:rPr>
        <w:t>ill due to respiratory illness</w:t>
      </w:r>
      <w:r w:rsidR="00372396" w:rsidRPr="00B24172">
        <w:rPr>
          <w:lang w:val="en-NZ"/>
        </w:rPr>
        <w:t xml:space="preserve"> </w:t>
      </w:r>
      <w:r w:rsidRPr="00B24172">
        <w:rPr>
          <w:lang w:val="en-NZ"/>
        </w:rPr>
        <w:t>were taking medicine and visiting doctors</w:t>
      </w:r>
      <w:r w:rsidR="004F3A7C" w:rsidRPr="00B24172">
        <w:rPr>
          <w:lang w:val="en-NZ"/>
        </w:rPr>
        <w:t xml:space="preserve"> during the time</w:t>
      </w:r>
      <w:r w:rsidR="00F57A9A" w:rsidRPr="00B24172">
        <w:rPr>
          <w:lang w:val="en-NZ"/>
        </w:rPr>
        <w:t xml:space="preserve"> before their deaths</w:t>
      </w:r>
      <w:r w:rsidRPr="00B24172">
        <w:rPr>
          <w:lang w:val="en-NZ"/>
        </w:rPr>
        <w:t xml:space="preserve">. </w:t>
      </w:r>
      <w:r w:rsidR="00DD14E9" w:rsidRPr="00B24172">
        <w:rPr>
          <w:lang w:val="en-NZ"/>
        </w:rPr>
        <w:t>We make the simplifying assumption that one DALY</w:t>
      </w:r>
      <w:r w:rsidR="004F3A7C" w:rsidRPr="00B24172">
        <w:rPr>
          <w:lang w:val="en-NZ"/>
        </w:rPr>
        <w:t xml:space="preserve"> lost</w:t>
      </w:r>
      <w:r w:rsidR="00DD14E9" w:rsidRPr="00B24172">
        <w:rPr>
          <w:lang w:val="en-NZ"/>
        </w:rPr>
        <w:t xml:space="preserve"> equates to one year of illness.</w:t>
      </w:r>
      <w:r w:rsidR="00DD14E9" w:rsidRPr="00B24172">
        <w:rPr>
          <w:rStyle w:val="FootnoteReference"/>
          <w:lang w:val="en-NZ"/>
        </w:rPr>
        <w:footnoteReference w:id="15"/>
      </w:r>
      <w:r w:rsidR="00DD14E9" w:rsidRPr="00B24172">
        <w:rPr>
          <w:lang w:val="en-NZ"/>
        </w:rPr>
        <w:t xml:space="preserve"> </w:t>
      </w:r>
      <w:r w:rsidRPr="00B24172">
        <w:rPr>
          <w:lang w:val="en-NZ"/>
        </w:rPr>
        <w:t>As mentioned above</w:t>
      </w:r>
      <w:r w:rsidR="00DD14E9" w:rsidRPr="00B24172">
        <w:rPr>
          <w:lang w:val="en-NZ"/>
        </w:rPr>
        <w:t>,</w:t>
      </w:r>
      <w:r w:rsidRPr="00B24172">
        <w:rPr>
          <w:lang w:val="en-NZ"/>
        </w:rPr>
        <w:t xml:space="preserve"> </w:t>
      </w:r>
      <w:r w:rsidR="004F3A7C" w:rsidRPr="00B24172">
        <w:t xml:space="preserve">1,355,360 DALYs are lost </w:t>
      </w:r>
      <w:r w:rsidR="00DD14E9" w:rsidRPr="00B24172">
        <w:rPr>
          <w:lang w:val="en-NZ"/>
        </w:rPr>
        <w:t xml:space="preserve">due to IAP </w:t>
      </w:r>
      <w:r w:rsidR="004F3A7C" w:rsidRPr="00B24172">
        <w:rPr>
          <w:lang w:val="en-NZ"/>
        </w:rPr>
        <w:t>in Pakistan each year</w:t>
      </w:r>
      <w:r w:rsidRPr="00B24172">
        <w:rPr>
          <w:lang w:val="en-NZ"/>
        </w:rPr>
        <w:t>.</w:t>
      </w:r>
      <w:r w:rsidR="00160F6B" w:rsidRPr="00B24172">
        <w:rPr>
          <w:lang w:val="en-NZ"/>
        </w:rPr>
        <w:t xml:space="preserve"> </w:t>
      </w:r>
      <w:r w:rsidR="004F3A7C" w:rsidRPr="00B24172">
        <w:rPr>
          <w:lang w:val="en-NZ"/>
        </w:rPr>
        <w:t xml:space="preserve">The average length of stay in hospital for patients depends upon the level of severity </w:t>
      </w:r>
      <w:r w:rsidR="004F3A7C" w:rsidRPr="00B24172">
        <w:rPr>
          <w:lang w:val="en-NZ"/>
        </w:rPr>
        <w:fldChar w:fldCharType="begin"/>
      </w:r>
      <w:r w:rsidR="00A260FD" w:rsidRPr="00B24172">
        <w:rPr>
          <w:lang w:val="en-NZ"/>
        </w:rPr>
        <w:instrText xml:space="preserve"> ADDIN ZOTERO_ITEM CSL_CITATION {"citationID":"JkuYSQf5","properties":{"formattedCitation":"(Hutton, Rehfuess, &amp; OMS, 2006)","plainCitation":"(Hutton, Rehfuess, &amp; OMS, 2006)","dontUpdate":true,"noteIndex":0},"citationItems":[{"id":"yPj1CNji/hCdvFjoG","uris":["http://zotero.org/users/2699952/items/JCKRIS8N"],"uri":["http://zotero.org/users/2699952/items/JCKRIS8N"],"itemData":{"id":198,"type":"webpage","title":"Guidelines for conducting cost-benefit analysis of household energy and health interventions","URL":"http://bases.bireme.br/cgi-bin/wxislind.exe/iah/online/?IsisScript=iah/iah.xis&amp;src=google&amp;base=REPIDISCA&amp;lang=p&amp;nextAction=lnk&amp;exprSearch=174340&amp;indexSearch=ID","language":"en","author":[{"family":"Hutton","given":"Guy"},{"family":"Rehfuess","given":"Eva"},{"family":"OMS","given":""}],"issued":{"date-parts":[["2006"]]},"accessed":{"date-parts":[["2015",12,1]]}}}],"schema":"https://github.com/citation-style-language/schema/raw/master/csl-citation.json"} </w:instrText>
      </w:r>
      <w:r w:rsidR="004F3A7C" w:rsidRPr="00B24172">
        <w:rPr>
          <w:lang w:val="en-NZ"/>
        </w:rPr>
        <w:fldChar w:fldCharType="separate"/>
      </w:r>
      <w:r w:rsidR="004F3A7C" w:rsidRPr="00B24172">
        <w:t>(Hutton et al., 2007)</w:t>
      </w:r>
      <w:r w:rsidR="004F3A7C" w:rsidRPr="00B24172">
        <w:rPr>
          <w:lang w:val="en-NZ"/>
        </w:rPr>
        <w:fldChar w:fldCharType="end"/>
      </w:r>
      <w:r w:rsidR="004F3A7C" w:rsidRPr="00B24172">
        <w:rPr>
          <w:lang w:val="en-NZ"/>
        </w:rPr>
        <w:t>. We assume that</w:t>
      </w:r>
      <w:r w:rsidR="00160F6B" w:rsidRPr="00B24172">
        <w:rPr>
          <w:lang w:val="en-NZ"/>
        </w:rPr>
        <w:t xml:space="preserve"> 86 percent</w:t>
      </w:r>
      <w:r w:rsidR="00415F6F" w:rsidRPr="00B24172">
        <w:rPr>
          <w:lang w:val="en-NZ"/>
        </w:rPr>
        <w:t xml:space="preserve"> </w:t>
      </w:r>
      <w:r w:rsidR="004F3A7C" w:rsidRPr="00B24172">
        <w:rPr>
          <w:lang w:val="en-NZ"/>
        </w:rPr>
        <w:t xml:space="preserve">of these (1,165,609) are </w:t>
      </w:r>
      <w:r w:rsidR="00160F6B" w:rsidRPr="00B24172">
        <w:rPr>
          <w:lang w:val="en-NZ"/>
        </w:rPr>
        <w:t>moderate cases</w:t>
      </w:r>
      <w:r w:rsidR="00391EFC" w:rsidRPr="00B24172">
        <w:rPr>
          <w:lang w:val="en-NZ"/>
        </w:rPr>
        <w:t>,</w:t>
      </w:r>
      <w:r w:rsidR="00160F6B" w:rsidRPr="00B24172">
        <w:rPr>
          <w:lang w:val="en-NZ"/>
        </w:rPr>
        <w:t xml:space="preserve"> 12 percent</w:t>
      </w:r>
      <w:r w:rsidR="00415F6F" w:rsidRPr="00B24172">
        <w:rPr>
          <w:lang w:val="en-NZ"/>
        </w:rPr>
        <w:t xml:space="preserve"> (</w:t>
      </w:r>
      <w:r w:rsidR="00535674" w:rsidRPr="00B24172">
        <w:rPr>
          <w:lang w:val="en-NZ"/>
        </w:rPr>
        <w:t>16</w:t>
      </w:r>
      <w:r w:rsidR="002C6749" w:rsidRPr="00B24172">
        <w:rPr>
          <w:lang w:val="en-NZ"/>
        </w:rPr>
        <w:t>2</w:t>
      </w:r>
      <w:r w:rsidR="00535674" w:rsidRPr="00B24172">
        <w:rPr>
          <w:lang w:val="en-NZ"/>
        </w:rPr>
        <w:t>,</w:t>
      </w:r>
      <w:r w:rsidR="002C6749" w:rsidRPr="00B24172">
        <w:rPr>
          <w:lang w:val="en-NZ"/>
        </w:rPr>
        <w:t>643</w:t>
      </w:r>
      <w:r w:rsidR="00415F6F" w:rsidRPr="00B24172">
        <w:rPr>
          <w:lang w:val="en-NZ"/>
        </w:rPr>
        <w:t>)</w:t>
      </w:r>
      <w:r w:rsidR="002B6A6C" w:rsidRPr="00B24172">
        <w:rPr>
          <w:lang w:val="en-NZ"/>
        </w:rPr>
        <w:t xml:space="preserve"> are severe</w:t>
      </w:r>
      <w:r w:rsidR="00160F6B" w:rsidRPr="00B24172">
        <w:rPr>
          <w:lang w:val="en-NZ"/>
        </w:rPr>
        <w:t xml:space="preserve"> cases</w:t>
      </w:r>
      <w:r w:rsidR="004F3A7C" w:rsidRPr="00B24172">
        <w:rPr>
          <w:lang w:val="en-NZ"/>
        </w:rPr>
        <w:t>,</w:t>
      </w:r>
      <w:r w:rsidR="00160F6B" w:rsidRPr="00B24172">
        <w:rPr>
          <w:lang w:val="en-NZ"/>
        </w:rPr>
        <w:t xml:space="preserve"> and 2 percent</w:t>
      </w:r>
      <w:r w:rsidR="00415F6F" w:rsidRPr="00B24172">
        <w:rPr>
          <w:lang w:val="en-NZ"/>
        </w:rPr>
        <w:t xml:space="preserve"> (</w:t>
      </w:r>
      <w:r w:rsidR="00535674" w:rsidRPr="00B24172">
        <w:rPr>
          <w:lang w:val="en-NZ"/>
        </w:rPr>
        <w:t>2</w:t>
      </w:r>
      <w:r w:rsidR="002C6749" w:rsidRPr="00B24172">
        <w:rPr>
          <w:lang w:val="en-NZ"/>
        </w:rPr>
        <w:t>7,107</w:t>
      </w:r>
      <w:r w:rsidR="00415F6F" w:rsidRPr="00B24172">
        <w:rPr>
          <w:lang w:val="en-NZ"/>
        </w:rPr>
        <w:t>)</w:t>
      </w:r>
      <w:r w:rsidR="004F3A7C" w:rsidRPr="00B24172">
        <w:rPr>
          <w:lang w:val="en-NZ"/>
        </w:rPr>
        <w:t xml:space="preserve"> are</w:t>
      </w:r>
      <w:r w:rsidR="00160F6B" w:rsidRPr="00B24172">
        <w:rPr>
          <w:lang w:val="en-NZ"/>
        </w:rPr>
        <w:t xml:space="preserve"> very </w:t>
      </w:r>
      <w:r w:rsidR="00415F6F" w:rsidRPr="00B24172">
        <w:rPr>
          <w:lang w:val="en-NZ"/>
        </w:rPr>
        <w:t>severe</w:t>
      </w:r>
      <w:r w:rsidR="00160F6B" w:rsidRPr="00B24172">
        <w:rPr>
          <w:lang w:val="en-NZ"/>
        </w:rPr>
        <w:t xml:space="preserve"> cases. </w:t>
      </w:r>
      <w:r w:rsidR="00FC7D65" w:rsidRPr="00B24172">
        <w:rPr>
          <w:lang w:val="en-NZ"/>
        </w:rPr>
        <w:t xml:space="preserve">We </w:t>
      </w:r>
      <w:r w:rsidR="004F3A7C" w:rsidRPr="00B24172">
        <w:rPr>
          <w:lang w:val="en-NZ"/>
        </w:rPr>
        <w:t xml:space="preserve">further </w:t>
      </w:r>
      <w:r w:rsidR="00FC7D65" w:rsidRPr="00B24172">
        <w:rPr>
          <w:lang w:val="en-NZ"/>
        </w:rPr>
        <w:t>assume</w:t>
      </w:r>
      <w:r w:rsidR="004F3A7C" w:rsidRPr="00B24172">
        <w:rPr>
          <w:lang w:val="en-NZ"/>
        </w:rPr>
        <w:t xml:space="preserve"> that</w:t>
      </w:r>
      <w:r w:rsidR="00FC7D65" w:rsidRPr="00B24172">
        <w:rPr>
          <w:lang w:val="en-NZ"/>
        </w:rPr>
        <w:t xml:space="preserve"> moderate cases </w:t>
      </w:r>
      <w:r w:rsidR="00535674" w:rsidRPr="00B24172">
        <w:rPr>
          <w:lang w:val="en-NZ"/>
        </w:rPr>
        <w:t>are not</w:t>
      </w:r>
      <w:r w:rsidR="00FC7D65" w:rsidRPr="00B24172">
        <w:rPr>
          <w:lang w:val="en-NZ"/>
        </w:rPr>
        <w:t xml:space="preserve"> admitted </w:t>
      </w:r>
      <w:r w:rsidR="00F57A9A" w:rsidRPr="00B24172">
        <w:rPr>
          <w:lang w:val="en-NZ"/>
        </w:rPr>
        <w:t>to</w:t>
      </w:r>
      <w:r w:rsidR="00FC7D65" w:rsidRPr="00B24172">
        <w:rPr>
          <w:lang w:val="en-NZ"/>
        </w:rPr>
        <w:t xml:space="preserve"> hospital</w:t>
      </w:r>
      <w:r w:rsidR="00DD14E9" w:rsidRPr="00B24172">
        <w:rPr>
          <w:lang w:val="en-NZ"/>
        </w:rPr>
        <w:t>,</w:t>
      </w:r>
      <w:r w:rsidR="00FC7D65" w:rsidRPr="00B24172">
        <w:rPr>
          <w:lang w:val="en-NZ"/>
        </w:rPr>
        <w:t xml:space="preserve"> but visit hospital</w:t>
      </w:r>
      <w:r w:rsidR="00535674" w:rsidRPr="00B24172">
        <w:rPr>
          <w:lang w:val="en-NZ"/>
        </w:rPr>
        <w:t xml:space="preserve"> twice each year</w:t>
      </w:r>
      <w:r w:rsidR="00FC7D65" w:rsidRPr="00B24172">
        <w:rPr>
          <w:lang w:val="en-NZ"/>
        </w:rPr>
        <w:t>, sever</w:t>
      </w:r>
      <w:r w:rsidR="00F57A9A" w:rsidRPr="00B24172">
        <w:rPr>
          <w:lang w:val="en-NZ"/>
        </w:rPr>
        <w:t>e</w:t>
      </w:r>
      <w:r w:rsidR="00FC7D65" w:rsidRPr="00B24172">
        <w:rPr>
          <w:lang w:val="en-NZ"/>
        </w:rPr>
        <w:t xml:space="preserve"> cases </w:t>
      </w:r>
      <w:r w:rsidR="00535674" w:rsidRPr="00B24172">
        <w:rPr>
          <w:lang w:val="en-NZ"/>
        </w:rPr>
        <w:t>are</w:t>
      </w:r>
      <w:r w:rsidR="00FC7D65" w:rsidRPr="00B24172">
        <w:rPr>
          <w:lang w:val="en-NZ"/>
        </w:rPr>
        <w:t xml:space="preserve"> admitted </w:t>
      </w:r>
      <w:r w:rsidR="00F57A9A" w:rsidRPr="00B24172">
        <w:rPr>
          <w:lang w:val="en-NZ"/>
        </w:rPr>
        <w:t xml:space="preserve">to </w:t>
      </w:r>
      <w:r w:rsidR="00FC7D65" w:rsidRPr="00B24172">
        <w:rPr>
          <w:lang w:val="en-NZ"/>
        </w:rPr>
        <w:t xml:space="preserve">hospital for </w:t>
      </w:r>
      <w:r w:rsidR="009B4D1B" w:rsidRPr="00B24172">
        <w:rPr>
          <w:lang w:val="en-NZ"/>
        </w:rPr>
        <w:t>3</w:t>
      </w:r>
      <w:r w:rsidR="00FC7D65" w:rsidRPr="00B24172">
        <w:rPr>
          <w:lang w:val="en-NZ"/>
        </w:rPr>
        <w:t xml:space="preserve"> days</w:t>
      </w:r>
      <w:r w:rsidR="00DD14E9" w:rsidRPr="00B24172">
        <w:rPr>
          <w:lang w:val="en-NZ"/>
        </w:rPr>
        <w:t>,</w:t>
      </w:r>
      <w:r w:rsidR="00FC7D65" w:rsidRPr="00B24172">
        <w:rPr>
          <w:lang w:val="en-NZ"/>
        </w:rPr>
        <w:t xml:space="preserve"> and very severe cases </w:t>
      </w:r>
      <w:r w:rsidR="00535674" w:rsidRPr="00B24172">
        <w:rPr>
          <w:lang w:val="en-NZ"/>
        </w:rPr>
        <w:t>are</w:t>
      </w:r>
      <w:r w:rsidR="00FC7D65" w:rsidRPr="00B24172">
        <w:rPr>
          <w:lang w:val="en-NZ"/>
        </w:rPr>
        <w:t xml:space="preserve"> admitted </w:t>
      </w:r>
      <w:r w:rsidR="00F57A9A" w:rsidRPr="00B24172">
        <w:rPr>
          <w:lang w:val="en-NZ"/>
        </w:rPr>
        <w:t xml:space="preserve">to </w:t>
      </w:r>
      <w:r w:rsidR="00FC7D65" w:rsidRPr="00B24172">
        <w:rPr>
          <w:lang w:val="en-NZ"/>
        </w:rPr>
        <w:t xml:space="preserve">hospital for </w:t>
      </w:r>
      <w:r w:rsidR="002B6A6C" w:rsidRPr="00B24172">
        <w:rPr>
          <w:lang w:val="en-NZ"/>
        </w:rPr>
        <w:t>5</w:t>
      </w:r>
      <w:r w:rsidR="00FC7D65" w:rsidRPr="00B24172">
        <w:rPr>
          <w:lang w:val="en-NZ"/>
        </w:rPr>
        <w:t xml:space="preserve"> days</w:t>
      </w:r>
      <w:r w:rsidR="00535674" w:rsidRPr="00B24172">
        <w:rPr>
          <w:lang w:val="en-NZ"/>
        </w:rPr>
        <w:t xml:space="preserve"> in each year</w:t>
      </w:r>
      <w:r w:rsidR="002B6A6C" w:rsidRPr="00B24172">
        <w:rPr>
          <w:lang w:val="en-NZ"/>
        </w:rPr>
        <w:t xml:space="preserve"> (Hutton et al., 2006)</w:t>
      </w:r>
      <w:r w:rsidR="00FC7D65" w:rsidRPr="00B24172">
        <w:rPr>
          <w:lang w:val="en-NZ"/>
        </w:rPr>
        <w:t xml:space="preserve">. </w:t>
      </w:r>
    </w:p>
    <w:p w14:paraId="04C1BBCA" w14:textId="77777777" w:rsidR="00A11D4A" w:rsidRPr="00B24172" w:rsidRDefault="00A11D4A" w:rsidP="00BF2AB8">
      <w:pPr>
        <w:spacing w:line="288" w:lineRule="auto"/>
        <w:jc w:val="both"/>
        <w:rPr>
          <w:lang w:val="en-NZ"/>
        </w:rPr>
      </w:pPr>
    </w:p>
    <w:p w14:paraId="10D0E421" w14:textId="61FE51BE" w:rsidR="004F3A7C" w:rsidRPr="00B24172" w:rsidRDefault="00C75426" w:rsidP="004F3A7C">
      <w:pPr>
        <w:spacing w:line="288" w:lineRule="auto"/>
        <w:ind w:firstLine="720"/>
        <w:jc w:val="both"/>
        <w:rPr>
          <w:lang w:val="en-NZ"/>
        </w:rPr>
      </w:pPr>
      <w:r w:rsidRPr="00B24172">
        <w:rPr>
          <w:lang w:val="en-NZ"/>
        </w:rPr>
        <w:t xml:space="preserve">The cost </w:t>
      </w:r>
      <w:r w:rsidR="00160F6B" w:rsidRPr="00B24172">
        <w:rPr>
          <w:lang w:val="en-NZ"/>
        </w:rPr>
        <w:t>of a hospital</w:t>
      </w:r>
      <w:r w:rsidR="004F3A7C" w:rsidRPr="00B24172">
        <w:rPr>
          <w:lang w:val="en-NZ"/>
        </w:rPr>
        <w:t xml:space="preserve"> admission is estimated at</w:t>
      </w:r>
      <w:r w:rsidR="00160F6B" w:rsidRPr="00B24172">
        <w:rPr>
          <w:lang w:val="en-NZ"/>
        </w:rPr>
        <w:t xml:space="preserve"> PKR 1071</w:t>
      </w:r>
      <w:r w:rsidR="004F3A7C" w:rsidRPr="00B24172">
        <w:rPr>
          <w:lang w:val="en-NZ"/>
        </w:rPr>
        <w:t xml:space="preserve"> per day</w:t>
      </w:r>
      <w:r w:rsidR="00F57A9A" w:rsidRPr="00B24172">
        <w:rPr>
          <w:lang w:val="en-NZ"/>
        </w:rPr>
        <w:t>.</w:t>
      </w:r>
      <w:r w:rsidR="00160F6B" w:rsidRPr="00B24172">
        <w:rPr>
          <w:lang w:val="en-NZ"/>
        </w:rPr>
        <w:t xml:space="preserve"> </w:t>
      </w:r>
      <w:r w:rsidR="00F57A9A" w:rsidRPr="00B24172">
        <w:rPr>
          <w:lang w:val="en-NZ"/>
        </w:rPr>
        <w:t>This</w:t>
      </w:r>
      <w:r w:rsidR="00160F6B" w:rsidRPr="00B24172">
        <w:rPr>
          <w:lang w:val="en-NZ"/>
        </w:rPr>
        <w:t xml:space="preserve"> includes medicine, radiology, labour, transport, </w:t>
      </w:r>
      <w:r w:rsidR="00415F6F" w:rsidRPr="00B24172">
        <w:rPr>
          <w:lang w:val="en-NZ"/>
        </w:rPr>
        <w:t xml:space="preserve">patient’s </w:t>
      </w:r>
      <w:r w:rsidR="00160F6B" w:rsidRPr="00B24172">
        <w:rPr>
          <w:lang w:val="en-NZ"/>
        </w:rPr>
        <w:t>attendees, food, and hospital fee</w:t>
      </w:r>
      <w:r w:rsidR="00C749AC" w:rsidRPr="00B24172">
        <w:rPr>
          <w:lang w:val="en-NZ"/>
        </w:rPr>
        <w:t xml:space="preserve"> </w:t>
      </w:r>
      <w:r w:rsidR="00C749AC" w:rsidRPr="00B24172">
        <w:rPr>
          <w:lang w:val="en-NZ"/>
        </w:rPr>
        <w:fldChar w:fldCharType="begin"/>
      </w:r>
      <w:r w:rsidR="00C749AC" w:rsidRPr="00B24172">
        <w:rPr>
          <w:lang w:val="en-NZ"/>
        </w:rPr>
        <w:instrText xml:space="preserve"> ADDIN ZOTERO_ITEM CSL_CITATION {"citationID":"5K20nXEc","properties":{"formattedCitation":"(Sagheer, Kielmann, Mumtaz, &amp; Shahab, 2000)","plainCitation":"(Sagheer, Kielmann, Mumtaz, &amp; Shahab, 2000)","dontUpdate":true,"noteIndex":0},"citationItems":[{"id":"yPj1CNji/x3aBcMuM","uris":["http://zotero.org/users/2699952/items/3TE5MFJX"],"uri":["http://zotero.org/users/2699952/items/3TE5MFJX"],"itemData":{"id":1197,"type":"article-journal","title":"Cost of establishing and maintaining a bed in a tertiary care hospital in Pakistan","container-title":"Leadership in Health Services","page":"1-6","volume":"13","issue":"2","source":"emeraldinsight.com (Atypon)","DOI":"10.1108/13660750010326848","ISSN":"1366-0756","journalAbbreviation":"Leadership in Health Services","author":[{"family":"Sagheer","given":"Unaiza"},{"family":"Kielmann","given":"Amfried A."},{"family":"Mumtaz","given":"Zubia"},{"family":"Shahab","given":"Saqib"}],"issued":{"date-parts":[["2000",6,1]]}}}],"schema":"https://github.com/citation-style-language/schema/raw/master/csl-citation.json"} </w:instrText>
      </w:r>
      <w:r w:rsidR="00C749AC" w:rsidRPr="00B24172">
        <w:rPr>
          <w:lang w:val="en-NZ"/>
        </w:rPr>
        <w:fldChar w:fldCharType="separate"/>
      </w:r>
      <w:r w:rsidR="00C749AC" w:rsidRPr="00B24172">
        <w:t>(Sagheer, et al., 2000)</w:t>
      </w:r>
      <w:r w:rsidR="00C749AC" w:rsidRPr="00B24172">
        <w:rPr>
          <w:lang w:val="en-NZ"/>
        </w:rPr>
        <w:fldChar w:fldCharType="end"/>
      </w:r>
      <w:r w:rsidR="00F57A9A" w:rsidRPr="00B24172">
        <w:rPr>
          <w:lang w:val="en-NZ"/>
        </w:rPr>
        <w:t>.</w:t>
      </w:r>
      <w:r w:rsidR="00160F6B" w:rsidRPr="00B24172">
        <w:rPr>
          <w:lang w:val="en-NZ"/>
        </w:rPr>
        <w:t xml:space="preserve"> </w:t>
      </w:r>
      <w:r w:rsidR="00F57A9A" w:rsidRPr="00B24172">
        <w:rPr>
          <w:lang w:val="en-NZ"/>
        </w:rPr>
        <w:t xml:space="preserve">The </w:t>
      </w:r>
      <w:r w:rsidR="00160F6B" w:rsidRPr="00B24172">
        <w:rPr>
          <w:lang w:val="en-NZ"/>
        </w:rPr>
        <w:t>cost of visiting hospital</w:t>
      </w:r>
      <w:r w:rsidR="00DD14E9" w:rsidRPr="00B24172">
        <w:rPr>
          <w:lang w:val="en-NZ"/>
        </w:rPr>
        <w:t xml:space="preserve"> (but not being admitted)</w:t>
      </w:r>
      <w:r w:rsidR="00160F6B" w:rsidRPr="00B24172">
        <w:rPr>
          <w:lang w:val="en-NZ"/>
        </w:rPr>
        <w:t xml:space="preserve"> </w:t>
      </w:r>
      <w:r w:rsidR="004F3A7C" w:rsidRPr="00B24172">
        <w:rPr>
          <w:lang w:val="en-NZ"/>
        </w:rPr>
        <w:t>is estimated at</w:t>
      </w:r>
      <w:r w:rsidR="00160F6B" w:rsidRPr="00B24172">
        <w:rPr>
          <w:lang w:val="en-NZ"/>
        </w:rPr>
        <w:t xml:space="preserve"> PKR 423</w:t>
      </w:r>
      <w:r w:rsidR="00DD14E9" w:rsidRPr="00B24172">
        <w:rPr>
          <w:lang w:val="en-NZ"/>
        </w:rPr>
        <w:t>,</w:t>
      </w:r>
      <w:r w:rsidR="00160F6B" w:rsidRPr="00B24172">
        <w:rPr>
          <w:lang w:val="en-NZ"/>
        </w:rPr>
        <w:t xml:space="preserve"> </w:t>
      </w:r>
      <w:r w:rsidR="00F57A9A" w:rsidRPr="00B24172">
        <w:rPr>
          <w:lang w:val="en-NZ"/>
        </w:rPr>
        <w:t>including</w:t>
      </w:r>
      <w:r w:rsidR="00160F6B" w:rsidRPr="00B24172">
        <w:rPr>
          <w:lang w:val="en-NZ"/>
        </w:rPr>
        <w:t xml:space="preserve"> the cost of medicine, transport, and hospital fee </w:t>
      </w:r>
      <w:r w:rsidR="00160F6B" w:rsidRPr="00B24172">
        <w:rPr>
          <w:lang w:val="en-NZ"/>
        </w:rPr>
        <w:fldChar w:fldCharType="begin"/>
      </w:r>
      <w:r w:rsidR="00A260FD" w:rsidRPr="00B24172">
        <w:rPr>
          <w:lang w:val="en-NZ"/>
        </w:rPr>
        <w:instrText xml:space="preserve"> ADDIN ZOTERO_ITEM CSL_CITATION {"citationID":"5K20nXEc","properties":{"formattedCitation":"(Sagheer, Kielmann, Mumtaz, &amp; Shahab, 2000)","plainCitation":"(Sagheer, Kielmann, Mumtaz, &amp; Shahab, 2000)","dontUpdate":true,"noteIndex":0},"citationItems":[{"id":"yPj1CNji/x3aBcMuM","uris":["http://zotero.org/users/2699952/items/3TE5MFJX"],"uri":["http://zotero.org/users/2699952/items/3TE5MFJX"],"itemData":{"id":1197,"type":"article-journal","title":"Cost of establishing and maintaining a bed in a tertiary care hospital in Pakistan","container-title":"Leadership in Health Services","page":"1-6","volume":"13","issue":"2","source":"emeraldinsight.com (Atypon)","DOI":"10.1108/13660750010326848","ISSN":"1366-0756","journalAbbreviation":"Leadership in Health Services","author":[{"family":"Sagheer","given":"Unaiza"},{"family":"Kielmann","given":"Amfried A."},{"family":"Mumtaz","given":"Zubia"},{"family":"Shahab","given":"Saqib"}],"issued":{"date-parts":[["2000",6,1]]}}}],"schema":"https://github.com/citation-style-language/schema/raw/master/csl-citation.json"} </w:instrText>
      </w:r>
      <w:r w:rsidR="00160F6B" w:rsidRPr="00B24172">
        <w:rPr>
          <w:lang w:val="en-NZ"/>
        </w:rPr>
        <w:fldChar w:fldCharType="separate"/>
      </w:r>
      <w:r w:rsidR="00160F6B" w:rsidRPr="00B24172">
        <w:t>(Sagheer,</w:t>
      </w:r>
      <w:r w:rsidR="00111C29" w:rsidRPr="00B24172">
        <w:t xml:space="preserve"> et al.,</w:t>
      </w:r>
      <w:r w:rsidR="00160F6B" w:rsidRPr="00B24172">
        <w:t xml:space="preserve"> 2000)</w:t>
      </w:r>
      <w:r w:rsidR="00160F6B" w:rsidRPr="00B24172">
        <w:rPr>
          <w:lang w:val="en-NZ"/>
        </w:rPr>
        <w:fldChar w:fldCharType="end"/>
      </w:r>
      <w:r w:rsidR="00160F6B" w:rsidRPr="00B24172">
        <w:rPr>
          <w:lang w:val="en-NZ"/>
        </w:rPr>
        <w:t>.</w:t>
      </w:r>
      <w:r w:rsidR="00111C29" w:rsidRPr="00B24172">
        <w:rPr>
          <w:lang w:val="en-NZ"/>
        </w:rPr>
        <w:t xml:space="preserve"> </w:t>
      </w:r>
      <w:r w:rsidR="00AF786A" w:rsidRPr="00B24172">
        <w:rPr>
          <w:lang w:val="en-NZ"/>
        </w:rPr>
        <w:t>We used these cost</w:t>
      </w:r>
      <w:r w:rsidR="00F57A9A" w:rsidRPr="00B24172">
        <w:rPr>
          <w:lang w:val="en-NZ"/>
        </w:rPr>
        <w:t>s</w:t>
      </w:r>
      <w:r w:rsidR="00AF786A" w:rsidRPr="00B24172">
        <w:rPr>
          <w:lang w:val="en-NZ"/>
        </w:rPr>
        <w:t xml:space="preserve"> after inflation adjustment (</w:t>
      </w:r>
      <w:r w:rsidR="00DD14E9" w:rsidRPr="00B24172">
        <w:rPr>
          <w:lang w:val="en-NZ"/>
        </w:rPr>
        <w:t xml:space="preserve">PKR </w:t>
      </w:r>
      <w:r w:rsidR="00AF786A" w:rsidRPr="00B24172">
        <w:rPr>
          <w:lang w:val="en-NZ"/>
        </w:rPr>
        <w:t>24</w:t>
      </w:r>
      <w:r w:rsidR="00E922F7" w:rsidRPr="00B24172">
        <w:rPr>
          <w:lang w:val="en-NZ"/>
        </w:rPr>
        <w:t>65</w:t>
      </w:r>
      <w:r w:rsidR="00DD14E9" w:rsidRPr="00B24172">
        <w:rPr>
          <w:lang w:val="en-NZ"/>
        </w:rPr>
        <w:t xml:space="preserve"> per day for admissions</w:t>
      </w:r>
      <w:r w:rsidR="00AF786A" w:rsidRPr="00B24172">
        <w:rPr>
          <w:lang w:val="en-NZ"/>
        </w:rPr>
        <w:t xml:space="preserve"> and </w:t>
      </w:r>
      <w:r w:rsidR="00DD14E9" w:rsidRPr="00B24172">
        <w:rPr>
          <w:lang w:val="en-NZ"/>
        </w:rPr>
        <w:t xml:space="preserve">PKR </w:t>
      </w:r>
      <w:r w:rsidR="00AF786A" w:rsidRPr="00B24172">
        <w:rPr>
          <w:lang w:val="en-NZ"/>
        </w:rPr>
        <w:t>9</w:t>
      </w:r>
      <w:r w:rsidR="00E922F7" w:rsidRPr="00B24172">
        <w:rPr>
          <w:lang w:val="en-NZ"/>
        </w:rPr>
        <w:t>74</w:t>
      </w:r>
      <w:r w:rsidR="00AF786A" w:rsidRPr="00B24172">
        <w:rPr>
          <w:lang w:val="en-NZ"/>
        </w:rPr>
        <w:t xml:space="preserve"> </w:t>
      </w:r>
      <w:r w:rsidR="00DD14E9" w:rsidRPr="00B24172">
        <w:rPr>
          <w:lang w:val="en-NZ"/>
        </w:rPr>
        <w:t>for visiting hospital</w:t>
      </w:r>
      <w:r w:rsidR="004F3A7C" w:rsidRPr="00B24172">
        <w:rPr>
          <w:lang w:val="en-NZ"/>
        </w:rPr>
        <w:t>).</w:t>
      </w:r>
    </w:p>
    <w:p w14:paraId="180A4C93" w14:textId="77777777" w:rsidR="004F3A7C" w:rsidRPr="00B24172" w:rsidRDefault="004F3A7C" w:rsidP="004F3A7C">
      <w:pPr>
        <w:spacing w:line="288" w:lineRule="auto"/>
        <w:ind w:firstLine="720"/>
        <w:jc w:val="both"/>
        <w:rPr>
          <w:lang w:val="en-NZ"/>
        </w:rPr>
      </w:pPr>
    </w:p>
    <w:p w14:paraId="5C82608A" w14:textId="2D15D95E" w:rsidR="00BB6DE3" w:rsidRPr="00B24172" w:rsidRDefault="004F3A7C" w:rsidP="009169AA">
      <w:pPr>
        <w:spacing w:line="288" w:lineRule="auto"/>
        <w:ind w:firstLine="720"/>
        <w:jc w:val="both"/>
        <w:rPr>
          <w:lang w:val="en-NZ"/>
        </w:rPr>
      </w:pPr>
      <w:r w:rsidRPr="00B24172">
        <w:rPr>
          <w:lang w:val="en-NZ"/>
        </w:rPr>
        <w:t>In total, m</w:t>
      </w:r>
      <w:r w:rsidR="006A5EAB" w:rsidRPr="00B24172">
        <w:rPr>
          <w:lang w:val="en-NZ"/>
        </w:rPr>
        <w:t>oderate cases cost</w:t>
      </w:r>
      <w:r w:rsidR="00883C71" w:rsidRPr="00B24172">
        <w:rPr>
          <w:lang w:val="en-NZ"/>
        </w:rPr>
        <w:t xml:space="preserve"> </w:t>
      </w:r>
      <w:r w:rsidR="00761230" w:rsidRPr="00B24172">
        <w:rPr>
          <w:lang w:val="en-NZ"/>
        </w:rPr>
        <w:t xml:space="preserve">PKR </w:t>
      </w:r>
      <w:r w:rsidR="00111C29" w:rsidRPr="00B24172">
        <w:rPr>
          <w:lang w:val="en-NZ"/>
        </w:rPr>
        <w:t>2</w:t>
      </w:r>
      <w:r w:rsidR="009D200D" w:rsidRPr="00B24172">
        <w:rPr>
          <w:lang w:val="en-NZ"/>
        </w:rPr>
        <w:t>.</w:t>
      </w:r>
      <w:r w:rsidR="002C6749" w:rsidRPr="00B24172">
        <w:rPr>
          <w:lang w:val="en-NZ"/>
        </w:rPr>
        <w:t>22</w:t>
      </w:r>
      <w:r w:rsidR="009D200D" w:rsidRPr="00B24172">
        <w:rPr>
          <w:lang w:val="en-NZ"/>
        </w:rPr>
        <w:t xml:space="preserve"> billion</w:t>
      </w:r>
      <w:r w:rsidR="00DD14E9" w:rsidRPr="00B24172">
        <w:rPr>
          <w:lang w:val="en-NZ"/>
        </w:rPr>
        <w:t xml:space="preserve"> per year,</w:t>
      </w:r>
      <w:r w:rsidR="009D200D" w:rsidRPr="00B24172">
        <w:rPr>
          <w:lang w:val="en-NZ"/>
        </w:rPr>
        <w:t xml:space="preserve"> </w:t>
      </w:r>
      <w:r w:rsidR="0079469B" w:rsidRPr="00B24172">
        <w:rPr>
          <w:lang w:val="en-NZ"/>
        </w:rPr>
        <w:t>whereas severe and very severe cases cost PKR</w:t>
      </w:r>
      <w:r w:rsidR="00761230" w:rsidRPr="00B24172">
        <w:rPr>
          <w:lang w:val="en-NZ"/>
        </w:rPr>
        <w:t xml:space="preserve"> </w:t>
      </w:r>
      <w:r w:rsidR="00A2481A" w:rsidRPr="00B24172">
        <w:rPr>
          <w:lang w:val="en-NZ"/>
        </w:rPr>
        <w:t>1.20 and PKR 334 million respectively.</w:t>
      </w:r>
      <w:r w:rsidR="002F2FB3" w:rsidRPr="00B24172">
        <w:rPr>
          <w:lang w:val="en-NZ"/>
        </w:rPr>
        <w:t xml:space="preserve"> So, in total </w:t>
      </w:r>
      <w:r w:rsidR="00F57A9A" w:rsidRPr="00B24172">
        <w:rPr>
          <w:lang w:val="en-NZ"/>
        </w:rPr>
        <w:t xml:space="preserve">the </w:t>
      </w:r>
      <w:r w:rsidR="002F2FB3" w:rsidRPr="00B24172">
        <w:rPr>
          <w:lang w:val="en-NZ"/>
        </w:rPr>
        <w:t xml:space="preserve">health care </w:t>
      </w:r>
      <w:r w:rsidR="00DD14E9" w:rsidRPr="00B24172">
        <w:rPr>
          <w:lang w:val="en-NZ"/>
        </w:rPr>
        <w:t xml:space="preserve">cost savings </w:t>
      </w:r>
      <w:r w:rsidR="00BB0235" w:rsidRPr="00B24172">
        <w:rPr>
          <w:lang w:val="en-NZ"/>
        </w:rPr>
        <w:t xml:space="preserve">by </w:t>
      </w:r>
      <w:r w:rsidR="00DD14E9" w:rsidRPr="00B24172">
        <w:rPr>
          <w:lang w:val="en-NZ"/>
        </w:rPr>
        <w:t xml:space="preserve">eliminating </w:t>
      </w:r>
      <w:r w:rsidR="00962D3F" w:rsidRPr="00B24172">
        <w:rPr>
          <w:lang w:val="en-NZ"/>
        </w:rPr>
        <w:t>IAP</w:t>
      </w:r>
      <w:r w:rsidR="002F2FB3" w:rsidRPr="00B24172">
        <w:rPr>
          <w:lang w:val="en-NZ"/>
        </w:rPr>
        <w:t xml:space="preserve"> </w:t>
      </w:r>
      <w:r w:rsidR="00DD14E9" w:rsidRPr="00B24172">
        <w:rPr>
          <w:lang w:val="en-NZ"/>
        </w:rPr>
        <w:t>are</w:t>
      </w:r>
      <w:r w:rsidR="00BB0235" w:rsidRPr="00B24172">
        <w:rPr>
          <w:lang w:val="en-NZ"/>
        </w:rPr>
        <w:t xml:space="preserve"> PKR</w:t>
      </w:r>
      <w:r w:rsidR="002F2FB3" w:rsidRPr="00B24172">
        <w:rPr>
          <w:lang w:val="en-NZ"/>
        </w:rPr>
        <w:t xml:space="preserve"> </w:t>
      </w:r>
      <w:r w:rsidR="00A2481A" w:rsidRPr="00B24172">
        <w:rPr>
          <w:lang w:val="en-NZ"/>
        </w:rPr>
        <w:t>3</w:t>
      </w:r>
      <w:r w:rsidR="009D200D" w:rsidRPr="00B24172">
        <w:rPr>
          <w:lang w:val="en-NZ"/>
        </w:rPr>
        <w:t>.</w:t>
      </w:r>
      <w:r w:rsidR="00A2481A" w:rsidRPr="00B24172">
        <w:rPr>
          <w:lang w:val="en-NZ"/>
        </w:rPr>
        <w:t>81</w:t>
      </w:r>
      <w:r w:rsidR="009D200D" w:rsidRPr="00B24172">
        <w:rPr>
          <w:lang w:val="en-NZ"/>
        </w:rPr>
        <w:t xml:space="preserve"> billion</w:t>
      </w:r>
      <w:r w:rsidR="00BB0235" w:rsidRPr="00B24172">
        <w:rPr>
          <w:lang w:val="en-NZ"/>
        </w:rPr>
        <w:t xml:space="preserve"> </w:t>
      </w:r>
      <w:r w:rsidR="002F2FB3" w:rsidRPr="00B24172">
        <w:rPr>
          <w:lang w:val="en-NZ"/>
        </w:rPr>
        <w:t>(</w:t>
      </w:r>
      <w:r w:rsidR="00A2481A" w:rsidRPr="00B24172">
        <w:rPr>
          <w:lang w:val="en-NZ"/>
        </w:rPr>
        <w:t>38</w:t>
      </w:r>
      <w:r w:rsidR="009D200D" w:rsidRPr="00B24172">
        <w:rPr>
          <w:lang w:val="en-NZ"/>
        </w:rPr>
        <w:t xml:space="preserve"> m</w:t>
      </w:r>
      <w:r w:rsidR="002F2FB3" w:rsidRPr="00B24172">
        <w:rPr>
          <w:lang w:val="en-NZ"/>
        </w:rPr>
        <w:t>illion USD).</w:t>
      </w:r>
      <w:r w:rsidRPr="00B24172">
        <w:rPr>
          <w:lang w:val="en-NZ"/>
        </w:rPr>
        <w:t xml:space="preserve"> These benefits also occur equally </w:t>
      </w:r>
      <w:r w:rsidRPr="00B24172">
        <w:rPr>
          <w:lang w:val="en-NZ"/>
        </w:rPr>
        <w:lastRenderedPageBreak/>
        <w:t>for all of the interventions we are evaluating</w:t>
      </w:r>
      <w:r w:rsidR="004D7120" w:rsidRPr="00B24172">
        <w:rPr>
          <w:lang w:val="en-NZ"/>
        </w:rPr>
        <w:t xml:space="preserve"> except ICS adoption</w:t>
      </w:r>
      <w:r w:rsidR="00F972B9" w:rsidRPr="00B24172">
        <w:rPr>
          <w:lang w:val="en-NZ"/>
        </w:rPr>
        <w:t>, because</w:t>
      </w:r>
      <w:r w:rsidR="00D93C2E" w:rsidRPr="00B24172">
        <w:rPr>
          <w:lang w:val="en-NZ"/>
        </w:rPr>
        <w:t xml:space="preserve"> the</w:t>
      </w:r>
      <w:r w:rsidR="00F972B9" w:rsidRPr="00B24172">
        <w:rPr>
          <w:lang w:val="en-NZ"/>
        </w:rPr>
        <w:t xml:space="preserve"> households</w:t>
      </w:r>
      <w:r w:rsidR="00D93C2E" w:rsidRPr="00B24172">
        <w:rPr>
          <w:lang w:val="en-NZ"/>
        </w:rPr>
        <w:t xml:space="preserve"> </w:t>
      </w:r>
      <w:r w:rsidR="009169AA" w:rsidRPr="00B24172">
        <w:rPr>
          <w:lang w:val="en-NZ"/>
        </w:rPr>
        <w:t xml:space="preserve">that </w:t>
      </w:r>
      <w:r w:rsidR="00D93C2E" w:rsidRPr="00B24172">
        <w:rPr>
          <w:lang w:val="en-NZ"/>
        </w:rPr>
        <w:t>use ICS</w:t>
      </w:r>
      <w:r w:rsidR="00F972B9" w:rsidRPr="00B24172">
        <w:rPr>
          <w:lang w:val="en-NZ"/>
        </w:rPr>
        <w:t xml:space="preserve"> do not stop using solid fuels, </w:t>
      </w:r>
      <w:r w:rsidR="009169AA" w:rsidRPr="00B24172">
        <w:rPr>
          <w:lang w:val="en-NZ"/>
        </w:rPr>
        <w:t>and so</w:t>
      </w:r>
      <w:r w:rsidR="00F972B9" w:rsidRPr="00B24172">
        <w:rPr>
          <w:lang w:val="en-NZ"/>
        </w:rPr>
        <w:t xml:space="preserve"> might not eliminate IAP.</w:t>
      </w:r>
    </w:p>
    <w:p w14:paraId="21CD7FB8" w14:textId="77777777" w:rsidR="00A11D4A" w:rsidRPr="00B24172" w:rsidRDefault="00A11D4A" w:rsidP="00BF2AB8">
      <w:pPr>
        <w:spacing w:line="288" w:lineRule="auto"/>
        <w:ind w:firstLine="720"/>
        <w:jc w:val="both"/>
        <w:rPr>
          <w:lang w:val="en-NZ"/>
        </w:rPr>
      </w:pPr>
    </w:p>
    <w:p w14:paraId="10BE6341" w14:textId="646F71C5" w:rsidR="00592B27" w:rsidRPr="00B24172" w:rsidRDefault="001E22B9" w:rsidP="00BF2AB8">
      <w:pPr>
        <w:pStyle w:val="Heading2"/>
        <w:spacing w:before="0" w:after="0" w:line="288" w:lineRule="auto"/>
        <w:rPr>
          <w:lang w:val="en-NZ"/>
        </w:rPr>
      </w:pPr>
      <w:r w:rsidRPr="00B24172">
        <w:rPr>
          <w:lang w:val="en-NZ"/>
        </w:rPr>
        <w:t>6.</w:t>
      </w:r>
      <w:r w:rsidR="001A63E7" w:rsidRPr="00B24172">
        <w:rPr>
          <w:lang w:val="en-NZ"/>
        </w:rPr>
        <w:t>4</w:t>
      </w:r>
      <w:r w:rsidRPr="00B24172">
        <w:rPr>
          <w:lang w:val="en-NZ"/>
        </w:rPr>
        <w:t xml:space="preserve"> </w:t>
      </w:r>
      <w:r w:rsidR="000B6003" w:rsidRPr="00B24172">
        <w:rPr>
          <w:lang w:val="en-NZ"/>
        </w:rPr>
        <w:t xml:space="preserve">Productivity </w:t>
      </w:r>
      <w:r w:rsidR="001B33C1" w:rsidRPr="00B24172">
        <w:rPr>
          <w:lang w:val="en-NZ"/>
        </w:rPr>
        <w:t>G</w:t>
      </w:r>
      <w:r w:rsidR="000B6003" w:rsidRPr="00B24172">
        <w:rPr>
          <w:lang w:val="en-NZ"/>
        </w:rPr>
        <w:t>ains</w:t>
      </w:r>
    </w:p>
    <w:p w14:paraId="323E5569" w14:textId="77777777" w:rsidR="00262E0F" w:rsidRPr="00B24172" w:rsidRDefault="00262E0F" w:rsidP="00BF2AB8">
      <w:pPr>
        <w:spacing w:line="288" w:lineRule="auto"/>
        <w:jc w:val="both"/>
        <w:rPr>
          <w:sz w:val="14"/>
          <w:szCs w:val="14"/>
          <w:lang w:val="en-NZ"/>
        </w:rPr>
      </w:pPr>
    </w:p>
    <w:p w14:paraId="72F27546" w14:textId="223D3FEB" w:rsidR="002175A5" w:rsidRPr="00B24172" w:rsidRDefault="002175A5" w:rsidP="00B73DA6">
      <w:pPr>
        <w:spacing w:line="288" w:lineRule="auto"/>
        <w:jc w:val="both"/>
        <w:rPr>
          <w:lang w:val="en-NZ"/>
        </w:rPr>
      </w:pPr>
      <w:r w:rsidRPr="00B24172">
        <w:rPr>
          <w:lang w:val="en-NZ"/>
        </w:rPr>
        <w:t xml:space="preserve">We used </w:t>
      </w:r>
      <w:r w:rsidR="00F57A9A" w:rsidRPr="00B24172">
        <w:rPr>
          <w:lang w:val="en-NZ"/>
        </w:rPr>
        <w:t xml:space="preserve">the </w:t>
      </w:r>
      <w:r w:rsidR="00F729DB" w:rsidRPr="00B24172">
        <w:rPr>
          <w:lang w:val="en-NZ"/>
        </w:rPr>
        <w:t>human capital</w:t>
      </w:r>
      <w:r w:rsidRPr="00B24172">
        <w:rPr>
          <w:lang w:val="en-NZ"/>
        </w:rPr>
        <w:t xml:space="preserve"> approach</w:t>
      </w:r>
      <w:r w:rsidR="00F729DB" w:rsidRPr="00B24172">
        <w:rPr>
          <w:lang w:val="en-NZ"/>
        </w:rPr>
        <w:t xml:space="preserve"> and took per capita GNI </w:t>
      </w:r>
      <w:r w:rsidRPr="00B24172">
        <w:rPr>
          <w:lang w:val="en-NZ"/>
        </w:rPr>
        <w:t>to estima</w:t>
      </w:r>
      <w:r w:rsidR="00F729DB" w:rsidRPr="00B24172">
        <w:rPr>
          <w:lang w:val="en-NZ"/>
        </w:rPr>
        <w:t>te the illness-free value</w:t>
      </w:r>
      <w:r w:rsidR="00F57A9A" w:rsidRPr="00B24172">
        <w:rPr>
          <w:lang w:val="en-NZ"/>
        </w:rPr>
        <w:t xml:space="preserve"> of productivity gains</w:t>
      </w:r>
      <w:r w:rsidR="002B69F6" w:rsidRPr="00B24172">
        <w:rPr>
          <w:lang w:val="en-NZ"/>
        </w:rPr>
        <w:t>.</w:t>
      </w:r>
      <w:r w:rsidR="009F38D6" w:rsidRPr="00B24172">
        <w:rPr>
          <w:lang w:val="en-NZ"/>
        </w:rPr>
        <w:t xml:space="preserve"> We took the same years lost (1,3</w:t>
      </w:r>
      <w:r w:rsidR="002C6749" w:rsidRPr="00B24172">
        <w:rPr>
          <w:lang w:val="en-NZ"/>
        </w:rPr>
        <w:t>55</w:t>
      </w:r>
      <w:r w:rsidR="009F38D6" w:rsidRPr="00B24172">
        <w:rPr>
          <w:lang w:val="en-NZ"/>
        </w:rPr>
        <w:t>,</w:t>
      </w:r>
      <w:r w:rsidR="002C6749" w:rsidRPr="00B24172">
        <w:rPr>
          <w:lang w:val="en-NZ"/>
        </w:rPr>
        <w:t>360</w:t>
      </w:r>
      <w:r w:rsidR="009F38D6" w:rsidRPr="00B24172">
        <w:rPr>
          <w:lang w:val="en-NZ"/>
        </w:rPr>
        <w:t>)</w:t>
      </w:r>
      <w:r w:rsidR="00C23043" w:rsidRPr="00B24172">
        <w:rPr>
          <w:lang w:val="en-NZ"/>
        </w:rPr>
        <w:t xml:space="preserve"> due to IAP</w:t>
      </w:r>
      <w:r w:rsidR="005C525B" w:rsidRPr="00B24172">
        <w:rPr>
          <w:lang w:val="en-NZ"/>
        </w:rPr>
        <w:t xml:space="preserve"> from the previous </w:t>
      </w:r>
      <w:r w:rsidR="00B73DA6" w:rsidRPr="00B24172">
        <w:rPr>
          <w:lang w:val="en-NZ"/>
        </w:rPr>
        <w:t>sub</w:t>
      </w:r>
      <w:r w:rsidR="005C525B" w:rsidRPr="00B24172">
        <w:rPr>
          <w:lang w:val="en-NZ"/>
        </w:rPr>
        <w:t>section,</w:t>
      </w:r>
      <w:r w:rsidR="009F38D6" w:rsidRPr="00B24172">
        <w:rPr>
          <w:lang w:val="en-NZ"/>
        </w:rPr>
        <w:t xml:space="preserve"> and </w:t>
      </w:r>
      <w:r w:rsidR="00C23043" w:rsidRPr="00B24172">
        <w:rPr>
          <w:lang w:val="en-NZ"/>
        </w:rPr>
        <w:t>made similar assumption</w:t>
      </w:r>
      <w:r w:rsidR="005C525B" w:rsidRPr="00B24172">
        <w:rPr>
          <w:lang w:val="en-NZ"/>
        </w:rPr>
        <w:t>s</w:t>
      </w:r>
      <w:r w:rsidR="00C23043" w:rsidRPr="00B24172">
        <w:rPr>
          <w:lang w:val="en-NZ"/>
        </w:rPr>
        <w:t xml:space="preserve">. </w:t>
      </w:r>
      <w:r w:rsidR="00193663" w:rsidRPr="00B24172">
        <w:rPr>
          <w:lang w:val="en-NZ"/>
        </w:rPr>
        <w:t xml:space="preserve">For example, </w:t>
      </w:r>
      <w:r w:rsidR="00C23043" w:rsidRPr="00B24172">
        <w:rPr>
          <w:lang w:val="en-NZ"/>
        </w:rPr>
        <w:t>out of total lost years</w:t>
      </w:r>
      <w:r w:rsidR="005C525B" w:rsidRPr="00B24172">
        <w:rPr>
          <w:lang w:val="en-NZ"/>
        </w:rPr>
        <w:t>,</w:t>
      </w:r>
      <w:r w:rsidR="009F38D6" w:rsidRPr="00B24172">
        <w:rPr>
          <w:lang w:val="en-NZ"/>
        </w:rPr>
        <w:t xml:space="preserve"> 86 percent</w:t>
      </w:r>
      <w:r w:rsidR="00C23043" w:rsidRPr="00B24172">
        <w:rPr>
          <w:lang w:val="en-NZ"/>
        </w:rPr>
        <w:t xml:space="preserve"> </w:t>
      </w:r>
      <w:r w:rsidR="005C525B" w:rsidRPr="00B24172">
        <w:rPr>
          <w:lang w:val="en-NZ"/>
        </w:rPr>
        <w:t xml:space="preserve">are </w:t>
      </w:r>
      <w:r w:rsidR="00C23043" w:rsidRPr="00B24172">
        <w:rPr>
          <w:lang w:val="en-NZ"/>
        </w:rPr>
        <w:t xml:space="preserve">moderate cases who do not work for two days, 12 percent </w:t>
      </w:r>
      <w:r w:rsidR="005C525B" w:rsidRPr="00B24172">
        <w:rPr>
          <w:lang w:val="en-NZ"/>
        </w:rPr>
        <w:t xml:space="preserve">are </w:t>
      </w:r>
      <w:r w:rsidR="00C23043" w:rsidRPr="00B24172">
        <w:rPr>
          <w:lang w:val="en-NZ"/>
        </w:rPr>
        <w:t xml:space="preserve">severe cases who do not work for </w:t>
      </w:r>
      <w:r w:rsidR="00A2481A" w:rsidRPr="00B24172">
        <w:rPr>
          <w:lang w:val="en-NZ"/>
        </w:rPr>
        <w:t>3</w:t>
      </w:r>
      <w:r w:rsidR="00C23043" w:rsidRPr="00B24172">
        <w:rPr>
          <w:lang w:val="en-NZ"/>
        </w:rPr>
        <w:t xml:space="preserve"> days and 2 percent </w:t>
      </w:r>
      <w:r w:rsidR="005C525B" w:rsidRPr="00B24172">
        <w:rPr>
          <w:lang w:val="en-NZ"/>
        </w:rPr>
        <w:t xml:space="preserve">are </w:t>
      </w:r>
      <w:r w:rsidR="00C23043" w:rsidRPr="00B24172">
        <w:rPr>
          <w:lang w:val="en-NZ"/>
        </w:rPr>
        <w:t xml:space="preserve">very severe cases who do not work for </w:t>
      </w:r>
      <w:r w:rsidR="00A2481A" w:rsidRPr="00B24172">
        <w:rPr>
          <w:lang w:val="en-NZ"/>
        </w:rPr>
        <w:t>5</w:t>
      </w:r>
      <w:r w:rsidR="00C23043" w:rsidRPr="00B24172">
        <w:rPr>
          <w:lang w:val="en-NZ"/>
        </w:rPr>
        <w:t xml:space="preserve"> days in each year. </w:t>
      </w:r>
      <w:r w:rsidR="005C525B" w:rsidRPr="00B24172">
        <w:rPr>
          <w:lang w:val="en-NZ"/>
        </w:rPr>
        <w:t>In total this results in</w:t>
      </w:r>
      <w:r w:rsidR="002E2956" w:rsidRPr="00B24172">
        <w:rPr>
          <w:lang w:val="en-NZ"/>
        </w:rPr>
        <w:t xml:space="preserve"> </w:t>
      </w:r>
      <w:r w:rsidR="00A2481A" w:rsidRPr="00B24172">
        <w:rPr>
          <w:lang w:val="en-NZ"/>
        </w:rPr>
        <w:t>2,954,685</w:t>
      </w:r>
      <w:r w:rsidR="00C23043" w:rsidRPr="00B24172">
        <w:rPr>
          <w:lang w:val="en-NZ"/>
        </w:rPr>
        <w:t xml:space="preserve"> </w:t>
      </w:r>
      <w:r w:rsidR="00B73DA6" w:rsidRPr="00B24172">
        <w:rPr>
          <w:lang w:val="en-NZ"/>
        </w:rPr>
        <w:t>lost</w:t>
      </w:r>
      <w:r w:rsidR="00C23043" w:rsidRPr="00B24172">
        <w:rPr>
          <w:lang w:val="en-NZ"/>
        </w:rPr>
        <w:t xml:space="preserve"> days</w:t>
      </w:r>
      <w:r w:rsidR="00B73DA6" w:rsidRPr="00B24172">
        <w:rPr>
          <w:lang w:val="en-NZ"/>
        </w:rPr>
        <w:t xml:space="preserve"> of productivity</w:t>
      </w:r>
      <w:r w:rsidR="002E2956" w:rsidRPr="00B24172">
        <w:rPr>
          <w:lang w:val="en-NZ"/>
        </w:rPr>
        <w:t>.</w:t>
      </w:r>
      <w:r w:rsidR="00C23043" w:rsidRPr="00B24172">
        <w:rPr>
          <w:lang w:val="en-NZ"/>
        </w:rPr>
        <w:t xml:space="preserve"> </w:t>
      </w:r>
      <w:r w:rsidR="005C525B" w:rsidRPr="00B24172">
        <w:rPr>
          <w:lang w:val="en-NZ"/>
        </w:rPr>
        <w:t>T</w:t>
      </w:r>
      <w:r w:rsidR="002E2956" w:rsidRPr="00B24172">
        <w:rPr>
          <w:lang w:val="en-NZ"/>
        </w:rPr>
        <w:t xml:space="preserve">he total </w:t>
      </w:r>
      <w:r w:rsidR="005C525B" w:rsidRPr="00B24172">
        <w:rPr>
          <w:lang w:val="en-NZ"/>
        </w:rPr>
        <w:t xml:space="preserve">value of this lost </w:t>
      </w:r>
      <w:r w:rsidR="002E2956" w:rsidRPr="00B24172">
        <w:rPr>
          <w:lang w:val="en-NZ"/>
        </w:rPr>
        <w:t xml:space="preserve">productivity </w:t>
      </w:r>
      <w:r w:rsidR="003B4718" w:rsidRPr="00B24172">
        <w:rPr>
          <w:lang w:val="en-NZ"/>
        </w:rPr>
        <w:t xml:space="preserve">is equal to PKR </w:t>
      </w:r>
      <w:r w:rsidR="00F70B96" w:rsidRPr="00B24172">
        <w:rPr>
          <w:lang w:val="en-NZ"/>
        </w:rPr>
        <w:t>1</w:t>
      </w:r>
      <w:r w:rsidR="003B4718" w:rsidRPr="00B24172">
        <w:rPr>
          <w:lang w:val="en-NZ"/>
        </w:rPr>
        <w:t>.</w:t>
      </w:r>
      <w:r w:rsidR="00F70B96" w:rsidRPr="00B24172">
        <w:rPr>
          <w:lang w:val="en-NZ"/>
        </w:rPr>
        <w:t>0</w:t>
      </w:r>
      <w:r w:rsidR="00A2481A" w:rsidRPr="00B24172">
        <w:rPr>
          <w:lang w:val="en-NZ"/>
        </w:rPr>
        <w:t>8</w:t>
      </w:r>
      <w:r w:rsidR="003B4718" w:rsidRPr="00B24172">
        <w:rPr>
          <w:lang w:val="en-NZ"/>
        </w:rPr>
        <w:t xml:space="preserve"> billion (</w:t>
      </w:r>
      <w:r w:rsidR="00A2481A" w:rsidRPr="00B24172">
        <w:rPr>
          <w:lang w:val="en-NZ"/>
        </w:rPr>
        <w:t>1</w:t>
      </w:r>
      <w:r w:rsidR="009066D5" w:rsidRPr="00B24172">
        <w:rPr>
          <w:lang w:val="en-NZ"/>
        </w:rPr>
        <w:t>0</w:t>
      </w:r>
      <w:r w:rsidR="00A2481A" w:rsidRPr="00B24172">
        <w:rPr>
          <w:lang w:val="en-NZ"/>
        </w:rPr>
        <w:t>.8</w:t>
      </w:r>
      <w:r w:rsidR="003B4718" w:rsidRPr="00B24172">
        <w:rPr>
          <w:lang w:val="en-NZ"/>
        </w:rPr>
        <w:t xml:space="preserve"> million USD)</w:t>
      </w:r>
      <w:r w:rsidR="002E2956" w:rsidRPr="00B24172">
        <w:rPr>
          <w:lang w:val="en-NZ"/>
        </w:rPr>
        <w:t xml:space="preserve">. </w:t>
      </w:r>
      <w:r w:rsidR="00B73DA6" w:rsidRPr="00B24172">
        <w:rPr>
          <w:lang w:val="en-NZ"/>
        </w:rPr>
        <w:t>These benefits also occur equally for all five of the interventions we are evaluating</w:t>
      </w:r>
      <w:r w:rsidR="00CA39F7" w:rsidRPr="00B24172">
        <w:rPr>
          <w:lang w:val="en-NZ"/>
        </w:rPr>
        <w:t xml:space="preserve"> except ICS</w:t>
      </w:r>
      <w:r w:rsidR="00B73DA6" w:rsidRPr="00B24172">
        <w:rPr>
          <w:lang w:val="en-NZ"/>
        </w:rPr>
        <w:t>.</w:t>
      </w:r>
    </w:p>
    <w:p w14:paraId="7C90D14B" w14:textId="77777777" w:rsidR="00584CCB" w:rsidRPr="00B24172" w:rsidRDefault="00584CCB" w:rsidP="00BF2AB8">
      <w:pPr>
        <w:spacing w:line="288" w:lineRule="auto"/>
        <w:jc w:val="both"/>
        <w:rPr>
          <w:sz w:val="26"/>
          <w:szCs w:val="26"/>
          <w:lang w:val="en-NZ"/>
        </w:rPr>
      </w:pPr>
    </w:p>
    <w:p w14:paraId="5A89F544" w14:textId="35C3D53A" w:rsidR="000B6003" w:rsidRPr="00B24172" w:rsidRDefault="001E22B9" w:rsidP="00BF2AB8">
      <w:pPr>
        <w:pStyle w:val="Heading2"/>
        <w:spacing w:before="0" w:after="0" w:line="288" w:lineRule="auto"/>
        <w:rPr>
          <w:lang w:val="en-NZ"/>
        </w:rPr>
      </w:pPr>
      <w:r w:rsidRPr="00B24172">
        <w:rPr>
          <w:lang w:val="en-NZ"/>
        </w:rPr>
        <w:t>6.</w:t>
      </w:r>
      <w:r w:rsidR="001A63E7" w:rsidRPr="00B24172">
        <w:rPr>
          <w:lang w:val="en-NZ"/>
        </w:rPr>
        <w:t>5</w:t>
      </w:r>
      <w:r w:rsidRPr="00B24172">
        <w:rPr>
          <w:lang w:val="en-NZ"/>
        </w:rPr>
        <w:t xml:space="preserve"> </w:t>
      </w:r>
      <w:r w:rsidR="000B6003" w:rsidRPr="00B24172">
        <w:rPr>
          <w:lang w:val="en-NZ"/>
        </w:rPr>
        <w:t xml:space="preserve">Time </w:t>
      </w:r>
      <w:r w:rsidR="00ED7A65" w:rsidRPr="00B24172">
        <w:rPr>
          <w:lang w:val="en-NZ"/>
        </w:rPr>
        <w:t>S</w:t>
      </w:r>
      <w:r w:rsidR="000B6003" w:rsidRPr="00B24172">
        <w:rPr>
          <w:lang w:val="en-NZ"/>
        </w:rPr>
        <w:t>aving</w:t>
      </w:r>
      <w:r w:rsidR="001B0300" w:rsidRPr="00B24172">
        <w:rPr>
          <w:lang w:val="en-NZ"/>
        </w:rPr>
        <w:t>s</w:t>
      </w:r>
    </w:p>
    <w:p w14:paraId="330F6EB2" w14:textId="77777777" w:rsidR="00584CCB" w:rsidRPr="00B24172" w:rsidRDefault="00584CCB" w:rsidP="00584CCB">
      <w:pPr>
        <w:rPr>
          <w:sz w:val="12"/>
          <w:szCs w:val="12"/>
          <w:lang w:val="en-NZ"/>
        </w:rPr>
      </w:pPr>
    </w:p>
    <w:p w14:paraId="6165ED0C" w14:textId="59A50E2C" w:rsidR="00584CCB" w:rsidRPr="00B24172" w:rsidRDefault="00353C50" w:rsidP="00B73DA6">
      <w:pPr>
        <w:spacing w:line="288" w:lineRule="auto"/>
        <w:jc w:val="both"/>
        <w:rPr>
          <w:lang w:val="en-NZ"/>
        </w:rPr>
      </w:pPr>
      <w:r w:rsidRPr="00B24172">
        <w:rPr>
          <w:lang w:val="en-NZ"/>
        </w:rPr>
        <w:t xml:space="preserve">We </w:t>
      </w:r>
      <w:r w:rsidR="00193663" w:rsidRPr="00B24172">
        <w:rPr>
          <w:lang w:val="en-NZ"/>
        </w:rPr>
        <w:t>estimated the two type</w:t>
      </w:r>
      <w:r w:rsidR="00B4628A" w:rsidRPr="00B24172">
        <w:rPr>
          <w:lang w:val="en-NZ"/>
        </w:rPr>
        <w:t>s</w:t>
      </w:r>
      <w:r w:rsidR="00193663" w:rsidRPr="00B24172">
        <w:rPr>
          <w:lang w:val="en-NZ"/>
        </w:rPr>
        <w:t xml:space="preserve"> </w:t>
      </w:r>
      <w:r w:rsidR="00743152" w:rsidRPr="00B24172">
        <w:rPr>
          <w:lang w:val="en-NZ"/>
        </w:rPr>
        <w:t xml:space="preserve">of </w:t>
      </w:r>
      <w:r w:rsidR="00193663" w:rsidRPr="00B24172">
        <w:rPr>
          <w:lang w:val="en-NZ"/>
        </w:rPr>
        <w:t>net</w:t>
      </w:r>
      <w:r w:rsidRPr="00B24172">
        <w:rPr>
          <w:lang w:val="en-NZ"/>
        </w:rPr>
        <w:t xml:space="preserve"> time saving</w:t>
      </w:r>
      <w:r w:rsidR="00B4628A" w:rsidRPr="00B24172">
        <w:rPr>
          <w:lang w:val="en-NZ"/>
        </w:rPr>
        <w:t>s</w:t>
      </w:r>
      <w:r w:rsidRPr="00B24172">
        <w:rPr>
          <w:lang w:val="en-NZ"/>
        </w:rPr>
        <w:t xml:space="preserve"> in our </w:t>
      </w:r>
      <w:r w:rsidR="00743152" w:rsidRPr="00B24172">
        <w:rPr>
          <w:lang w:val="en-NZ"/>
        </w:rPr>
        <w:t>analysis</w:t>
      </w:r>
      <w:r w:rsidR="00B4628A" w:rsidRPr="00B24172">
        <w:rPr>
          <w:lang w:val="en-NZ"/>
        </w:rPr>
        <w:t>.</w:t>
      </w:r>
      <w:r w:rsidR="00743152" w:rsidRPr="00B24172">
        <w:rPr>
          <w:lang w:val="en-NZ"/>
        </w:rPr>
        <w:t xml:space="preserve"> </w:t>
      </w:r>
      <w:r w:rsidR="00B4628A" w:rsidRPr="00B24172">
        <w:rPr>
          <w:lang w:val="en-NZ"/>
        </w:rPr>
        <w:t>F</w:t>
      </w:r>
      <w:r w:rsidR="00743152" w:rsidRPr="00B24172">
        <w:rPr>
          <w:lang w:val="en-NZ"/>
        </w:rPr>
        <w:t>irst</w:t>
      </w:r>
      <w:r w:rsidR="00B4628A" w:rsidRPr="00B24172">
        <w:rPr>
          <w:lang w:val="en-NZ"/>
        </w:rPr>
        <w:t>, we estimated</w:t>
      </w:r>
      <w:r w:rsidR="00743152" w:rsidRPr="00B24172">
        <w:rPr>
          <w:lang w:val="en-NZ"/>
        </w:rPr>
        <w:t xml:space="preserve"> the time saved if household</w:t>
      </w:r>
      <w:r w:rsidR="00B4628A" w:rsidRPr="00B24172">
        <w:rPr>
          <w:lang w:val="en-NZ"/>
        </w:rPr>
        <w:t>s</w:t>
      </w:r>
      <w:r w:rsidR="00743152" w:rsidRPr="00B24172">
        <w:rPr>
          <w:lang w:val="en-NZ"/>
        </w:rPr>
        <w:t xml:space="preserve"> do not </w:t>
      </w:r>
      <w:r w:rsidR="00B4628A" w:rsidRPr="00B24172">
        <w:rPr>
          <w:lang w:val="en-NZ"/>
        </w:rPr>
        <w:t xml:space="preserve">need to </w:t>
      </w:r>
      <w:r w:rsidR="00743152" w:rsidRPr="00B24172">
        <w:rPr>
          <w:lang w:val="en-NZ"/>
        </w:rPr>
        <w:t xml:space="preserve">collect </w:t>
      </w:r>
      <w:r w:rsidRPr="00B24172">
        <w:rPr>
          <w:lang w:val="en-NZ"/>
        </w:rPr>
        <w:t>biomass fuels</w:t>
      </w:r>
      <w:r w:rsidR="00B4628A" w:rsidRPr="00B24172">
        <w:rPr>
          <w:lang w:val="en-NZ"/>
        </w:rPr>
        <w:t>,</w:t>
      </w:r>
      <w:r w:rsidRPr="00B24172">
        <w:rPr>
          <w:lang w:val="en-NZ"/>
        </w:rPr>
        <w:t xml:space="preserve"> and second</w:t>
      </w:r>
      <w:r w:rsidR="00B4628A" w:rsidRPr="00B24172">
        <w:rPr>
          <w:lang w:val="en-NZ"/>
        </w:rPr>
        <w:t>,</w:t>
      </w:r>
      <w:r w:rsidRPr="00B24172">
        <w:rPr>
          <w:lang w:val="en-NZ"/>
        </w:rPr>
        <w:t xml:space="preserve"> </w:t>
      </w:r>
      <w:r w:rsidR="00B73DA6" w:rsidRPr="00B24172">
        <w:rPr>
          <w:lang w:val="en-NZ"/>
        </w:rPr>
        <w:t xml:space="preserve">we estimated the </w:t>
      </w:r>
      <w:r w:rsidRPr="00B24172">
        <w:rPr>
          <w:lang w:val="en-NZ"/>
        </w:rPr>
        <w:t>time saved on cooking</w:t>
      </w:r>
      <w:r w:rsidR="00743152" w:rsidRPr="00B24172">
        <w:rPr>
          <w:lang w:val="en-NZ"/>
        </w:rPr>
        <w:t xml:space="preserve"> because of </w:t>
      </w:r>
      <w:r w:rsidR="00B73DA6" w:rsidRPr="00B24172">
        <w:rPr>
          <w:lang w:val="en-NZ"/>
        </w:rPr>
        <w:t xml:space="preserve">the use of </w:t>
      </w:r>
      <w:r w:rsidR="00B4628A" w:rsidRPr="00B24172">
        <w:rPr>
          <w:lang w:val="en-NZ"/>
        </w:rPr>
        <w:t xml:space="preserve">more </w:t>
      </w:r>
      <w:r w:rsidR="00743152" w:rsidRPr="00B24172">
        <w:rPr>
          <w:lang w:val="en-NZ"/>
        </w:rPr>
        <w:t xml:space="preserve">efficient </w:t>
      </w:r>
      <w:r w:rsidR="00B4628A" w:rsidRPr="00B24172">
        <w:rPr>
          <w:lang w:val="en-NZ"/>
        </w:rPr>
        <w:t>stoves</w:t>
      </w:r>
      <w:r w:rsidRPr="00B24172">
        <w:rPr>
          <w:lang w:val="en-NZ"/>
        </w:rPr>
        <w:t xml:space="preserve">. We used per capita GNI to </w:t>
      </w:r>
      <w:r w:rsidR="00B73DA6" w:rsidRPr="00B24172">
        <w:rPr>
          <w:lang w:val="en-NZ"/>
        </w:rPr>
        <w:t>estimate the value of</w:t>
      </w:r>
      <w:r w:rsidRPr="00B24172">
        <w:rPr>
          <w:lang w:val="en-NZ"/>
        </w:rPr>
        <w:t xml:space="preserve"> </w:t>
      </w:r>
      <w:r w:rsidR="00B73DA6" w:rsidRPr="00B24172">
        <w:rPr>
          <w:lang w:val="en-NZ"/>
        </w:rPr>
        <w:t>the</w:t>
      </w:r>
      <w:r w:rsidRPr="00B24172">
        <w:rPr>
          <w:lang w:val="en-NZ"/>
        </w:rPr>
        <w:t xml:space="preserve"> total time </w:t>
      </w:r>
      <w:r w:rsidR="00B73DA6" w:rsidRPr="00B24172">
        <w:rPr>
          <w:lang w:val="en-NZ"/>
        </w:rPr>
        <w:t>savings</w:t>
      </w:r>
      <w:r w:rsidR="00B614FF" w:rsidRPr="00B24172">
        <w:rPr>
          <w:lang w:val="en-NZ"/>
        </w:rPr>
        <w:t xml:space="preserve"> </w:t>
      </w:r>
      <w:r w:rsidR="00B4628A" w:rsidRPr="00B24172">
        <w:rPr>
          <w:lang w:val="en-NZ"/>
        </w:rPr>
        <w:t>(</w:t>
      </w:r>
      <w:r w:rsidR="00B614FF" w:rsidRPr="00B24172">
        <w:rPr>
          <w:lang w:val="en-NZ"/>
        </w:rPr>
        <w:fldChar w:fldCharType="begin"/>
      </w:r>
      <w:r w:rsidR="00A260FD" w:rsidRPr="00B24172">
        <w:rPr>
          <w:lang w:val="en-NZ"/>
        </w:rPr>
        <w:instrText xml:space="preserve"> ADDIN ZOTERO_ITEM CSL_CITATION {"citationID":"PMCWRjMy","properties":{"formattedCitation":"(Hutton et al., 2007)","plainCitation":"(Hutton et al., 2007)","dontUpdate":true,"noteIndex":0},"citationItems":[{"id":"yPj1CNji/eYwjIPdP","uris":["http://zotero.org/users/2699952/items/ESNF2DMZ"],"uri":["http://zotero.org/users/2699952/items/ESNF2DMZ"],"itemData":{"id":25,"type":"article-journal","title":"Evaluation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00B614FF" w:rsidRPr="00B24172">
        <w:rPr>
          <w:lang w:val="en-NZ"/>
        </w:rPr>
        <w:fldChar w:fldCharType="separate"/>
      </w:r>
      <w:r w:rsidR="00B614FF" w:rsidRPr="00B24172">
        <w:t>Hutton et al., 2007)</w:t>
      </w:r>
      <w:r w:rsidR="00B614FF" w:rsidRPr="00B24172">
        <w:rPr>
          <w:lang w:val="en-NZ"/>
        </w:rPr>
        <w:fldChar w:fldCharType="end"/>
      </w:r>
      <w:r w:rsidR="00B614FF" w:rsidRPr="00B24172">
        <w:rPr>
          <w:lang w:val="en-NZ"/>
        </w:rPr>
        <w:t>.</w:t>
      </w:r>
      <w:r w:rsidRPr="00B24172">
        <w:rPr>
          <w:lang w:val="en-NZ"/>
        </w:rPr>
        <w:t xml:space="preserve"> </w:t>
      </w:r>
      <w:r w:rsidR="00FF521D" w:rsidRPr="00B24172">
        <w:rPr>
          <w:lang w:val="en-NZ"/>
        </w:rPr>
        <w:t xml:space="preserve">The amount of time saved </w:t>
      </w:r>
      <w:r w:rsidR="00B73DA6" w:rsidRPr="00B24172">
        <w:rPr>
          <w:lang w:val="en-NZ"/>
        </w:rPr>
        <w:t xml:space="preserve">differs between the </w:t>
      </w:r>
      <w:r w:rsidR="00FF521D" w:rsidRPr="00B24172">
        <w:rPr>
          <w:lang w:val="en-NZ"/>
        </w:rPr>
        <w:t>different interventions</w:t>
      </w:r>
      <w:r w:rsidR="00B73DA6" w:rsidRPr="00B24172">
        <w:rPr>
          <w:lang w:val="en-NZ"/>
        </w:rPr>
        <w:t>, depending on the amount of time savings they are associated with</w:t>
      </w:r>
      <w:r w:rsidR="00193663" w:rsidRPr="00B24172">
        <w:rPr>
          <w:lang w:val="en-NZ"/>
        </w:rPr>
        <w:t>.</w:t>
      </w:r>
    </w:p>
    <w:p w14:paraId="281C186D" w14:textId="77777777" w:rsidR="00584CCB" w:rsidRPr="00B24172" w:rsidRDefault="00584CCB" w:rsidP="00BF2AB8">
      <w:pPr>
        <w:spacing w:line="288" w:lineRule="auto"/>
        <w:jc w:val="both"/>
        <w:rPr>
          <w:sz w:val="26"/>
          <w:szCs w:val="26"/>
          <w:lang w:val="en-NZ"/>
        </w:rPr>
      </w:pPr>
    </w:p>
    <w:p w14:paraId="79930ED6" w14:textId="41830413" w:rsidR="000809B4" w:rsidRPr="00B24172" w:rsidRDefault="00743152" w:rsidP="00477190">
      <w:pPr>
        <w:spacing w:line="288" w:lineRule="auto"/>
        <w:ind w:firstLine="720"/>
        <w:jc w:val="both"/>
        <w:rPr>
          <w:lang w:val="en-NZ"/>
        </w:rPr>
      </w:pPr>
      <w:r w:rsidRPr="00B24172">
        <w:rPr>
          <w:lang w:val="en-NZ"/>
        </w:rPr>
        <w:t xml:space="preserve">As stated </w:t>
      </w:r>
      <w:r w:rsidR="00B4628A" w:rsidRPr="00B24172">
        <w:rPr>
          <w:lang w:val="en-NZ"/>
        </w:rPr>
        <w:t xml:space="preserve">earlier, </w:t>
      </w:r>
      <w:r w:rsidRPr="00B24172">
        <w:rPr>
          <w:lang w:val="en-NZ"/>
        </w:rPr>
        <w:t>a</w:t>
      </w:r>
      <w:r w:rsidR="00B4628A" w:rsidRPr="00B24172">
        <w:rPr>
          <w:lang w:val="en-NZ"/>
        </w:rPr>
        <w:t>n average</w:t>
      </w:r>
      <w:r w:rsidRPr="00B24172">
        <w:rPr>
          <w:lang w:val="en-NZ"/>
        </w:rPr>
        <w:t xml:space="preserve"> household spends around </w:t>
      </w:r>
      <w:r w:rsidRPr="00B24172">
        <w:t>2</w:t>
      </w:r>
      <w:r w:rsidR="00271123" w:rsidRPr="00B24172">
        <w:t xml:space="preserve"> </w:t>
      </w:r>
      <w:r w:rsidR="00F972B9" w:rsidRPr="00B24172">
        <w:t>hours and 25 minutes</w:t>
      </w:r>
      <w:r w:rsidRPr="00B24172">
        <w:t xml:space="preserve"> per day for biomass collection.</w:t>
      </w:r>
      <w:r w:rsidR="00AC6888" w:rsidRPr="00B24172">
        <w:rPr>
          <w:lang w:val="en-NZ"/>
        </w:rPr>
        <w:t xml:space="preserve"> In </w:t>
      </w:r>
      <w:r w:rsidR="00B4628A" w:rsidRPr="00B24172">
        <w:rPr>
          <w:lang w:val="en-NZ"/>
        </w:rPr>
        <w:t xml:space="preserve">the </w:t>
      </w:r>
      <w:r w:rsidR="00AC6888" w:rsidRPr="00B24172">
        <w:rPr>
          <w:lang w:val="en-NZ"/>
        </w:rPr>
        <w:t>case of biogas plant</w:t>
      </w:r>
      <w:r w:rsidR="00B4628A" w:rsidRPr="00B24172">
        <w:rPr>
          <w:lang w:val="en-NZ"/>
        </w:rPr>
        <w:t>s,</w:t>
      </w:r>
      <w:r w:rsidR="00AC6888" w:rsidRPr="00B24172">
        <w:rPr>
          <w:lang w:val="en-NZ"/>
        </w:rPr>
        <w:t xml:space="preserve"> a household </w:t>
      </w:r>
      <w:r w:rsidR="00B4628A" w:rsidRPr="00B24172">
        <w:rPr>
          <w:lang w:val="en-NZ"/>
        </w:rPr>
        <w:t xml:space="preserve">will need to </w:t>
      </w:r>
      <w:r w:rsidR="00AC6888" w:rsidRPr="00B24172">
        <w:rPr>
          <w:lang w:val="en-NZ"/>
        </w:rPr>
        <w:t xml:space="preserve">spend almost </w:t>
      </w:r>
      <w:r w:rsidR="00DD5F57" w:rsidRPr="00B24172">
        <w:rPr>
          <w:lang w:val="en-NZ"/>
        </w:rPr>
        <w:t>45</w:t>
      </w:r>
      <w:r w:rsidR="00AC6888" w:rsidRPr="00B24172">
        <w:rPr>
          <w:lang w:val="en-NZ"/>
        </w:rPr>
        <w:t xml:space="preserve"> minutes per day feeding the biogas plant</w:t>
      </w:r>
      <w:r w:rsidR="00B4628A" w:rsidRPr="00B24172">
        <w:rPr>
          <w:lang w:val="en-NZ"/>
        </w:rPr>
        <w:t>.</w:t>
      </w:r>
      <w:r w:rsidR="00AC6888" w:rsidRPr="00B24172">
        <w:rPr>
          <w:lang w:val="en-NZ"/>
        </w:rPr>
        <w:t xml:space="preserve"> </w:t>
      </w:r>
      <w:r w:rsidR="00B4628A" w:rsidRPr="00B24172">
        <w:rPr>
          <w:lang w:val="en-NZ"/>
        </w:rPr>
        <w:t>B</w:t>
      </w:r>
      <w:r w:rsidR="00AC6888" w:rsidRPr="00B24172">
        <w:rPr>
          <w:lang w:val="en-NZ"/>
        </w:rPr>
        <w:t xml:space="preserve">y subtracting this time from </w:t>
      </w:r>
      <w:r w:rsidR="009169AA" w:rsidRPr="00B24172">
        <w:rPr>
          <w:lang w:val="en-NZ"/>
        </w:rPr>
        <w:t xml:space="preserve">the </w:t>
      </w:r>
      <w:r w:rsidR="00AC6888" w:rsidRPr="00B24172">
        <w:rPr>
          <w:lang w:val="en-NZ"/>
        </w:rPr>
        <w:t xml:space="preserve">biomass collection </w:t>
      </w:r>
      <w:r w:rsidR="00A84BE3" w:rsidRPr="00B24172">
        <w:rPr>
          <w:lang w:val="en-NZ"/>
        </w:rPr>
        <w:t>time,</w:t>
      </w:r>
      <w:r w:rsidR="00AC6888" w:rsidRPr="00B24172">
        <w:rPr>
          <w:lang w:val="en-NZ"/>
        </w:rPr>
        <w:t xml:space="preserve"> a household </w:t>
      </w:r>
      <w:r w:rsidR="00B4628A" w:rsidRPr="00B24172">
        <w:rPr>
          <w:lang w:val="en-NZ"/>
        </w:rPr>
        <w:t xml:space="preserve">that </w:t>
      </w:r>
      <w:r w:rsidR="00AC6888" w:rsidRPr="00B24172">
        <w:rPr>
          <w:lang w:val="en-NZ"/>
        </w:rPr>
        <w:t>install</w:t>
      </w:r>
      <w:r w:rsidR="00B4628A" w:rsidRPr="00B24172">
        <w:rPr>
          <w:lang w:val="en-NZ"/>
        </w:rPr>
        <w:t>s a</w:t>
      </w:r>
      <w:r w:rsidR="00AC6888" w:rsidRPr="00B24172">
        <w:rPr>
          <w:lang w:val="en-NZ"/>
        </w:rPr>
        <w:t xml:space="preserve"> biogas plant can </w:t>
      </w:r>
      <w:r w:rsidR="00271123" w:rsidRPr="00B24172">
        <w:rPr>
          <w:lang w:val="en-NZ"/>
        </w:rPr>
        <w:t>get net time benefits</w:t>
      </w:r>
      <w:r w:rsidR="00AC6888" w:rsidRPr="00B24172">
        <w:rPr>
          <w:lang w:val="en-NZ"/>
        </w:rPr>
        <w:t xml:space="preserve"> </w:t>
      </w:r>
      <w:r w:rsidR="009169AA" w:rsidRPr="00B24172">
        <w:rPr>
          <w:lang w:val="en-NZ"/>
        </w:rPr>
        <w:t xml:space="preserve">of </w:t>
      </w:r>
      <w:r w:rsidR="00AC6888" w:rsidRPr="00B24172">
        <w:rPr>
          <w:lang w:val="en-NZ"/>
        </w:rPr>
        <w:t>around 1</w:t>
      </w:r>
      <w:r w:rsidR="00271123" w:rsidRPr="00B24172">
        <w:rPr>
          <w:lang w:val="en-NZ"/>
        </w:rPr>
        <w:t xml:space="preserve"> hour </w:t>
      </w:r>
      <w:r w:rsidR="00AC6888" w:rsidRPr="00B24172">
        <w:rPr>
          <w:lang w:val="en-NZ"/>
        </w:rPr>
        <w:t>4</w:t>
      </w:r>
      <w:r w:rsidR="00271123" w:rsidRPr="00B24172">
        <w:rPr>
          <w:lang w:val="en-NZ"/>
        </w:rPr>
        <w:t>0 minutes</w:t>
      </w:r>
      <w:r w:rsidR="00AC6888" w:rsidRPr="00B24172">
        <w:rPr>
          <w:lang w:val="en-NZ"/>
        </w:rPr>
        <w:t xml:space="preserve"> per day. Biogas also save</w:t>
      </w:r>
      <w:r w:rsidR="00B4628A" w:rsidRPr="00B24172">
        <w:rPr>
          <w:lang w:val="en-NZ"/>
        </w:rPr>
        <w:t>s</w:t>
      </w:r>
      <w:r w:rsidR="00AC6888" w:rsidRPr="00B24172">
        <w:rPr>
          <w:lang w:val="en-NZ"/>
        </w:rPr>
        <w:t xml:space="preserve"> cooking time </w:t>
      </w:r>
      <w:r w:rsidR="00B4628A" w:rsidRPr="00B24172">
        <w:rPr>
          <w:lang w:val="en-NZ"/>
        </w:rPr>
        <w:t xml:space="preserve">of </w:t>
      </w:r>
      <w:r w:rsidR="00AC6888" w:rsidRPr="00B24172">
        <w:rPr>
          <w:lang w:val="en-NZ"/>
        </w:rPr>
        <w:t xml:space="preserve">around </w:t>
      </w:r>
      <w:r w:rsidR="00985C24" w:rsidRPr="00B24172">
        <w:rPr>
          <w:lang w:val="en-NZ"/>
        </w:rPr>
        <w:t>42 minutes</w:t>
      </w:r>
      <w:r w:rsidR="00076ED3" w:rsidRPr="00B24172">
        <w:rPr>
          <w:rStyle w:val="FootnoteReference"/>
          <w:lang w:val="en-NZ"/>
        </w:rPr>
        <w:footnoteReference w:id="16"/>
      </w:r>
      <w:r w:rsidR="00B4628A" w:rsidRPr="00B24172">
        <w:rPr>
          <w:lang w:val="en-NZ"/>
        </w:rPr>
        <w:t xml:space="preserve"> per day</w:t>
      </w:r>
      <w:r w:rsidR="00076ED3" w:rsidRPr="00B24172">
        <w:rPr>
          <w:lang w:val="en-NZ"/>
        </w:rPr>
        <w:t xml:space="preserve"> because of efficient cooking source</w:t>
      </w:r>
      <w:r w:rsidR="00985C24" w:rsidRPr="00B24172">
        <w:rPr>
          <w:lang w:val="en-NZ"/>
        </w:rPr>
        <w:t xml:space="preserve"> </w:t>
      </w:r>
      <w:r w:rsidR="00985C24" w:rsidRPr="00B24172">
        <w:rPr>
          <w:lang w:val="en-NZ"/>
        </w:rPr>
        <w:fldChar w:fldCharType="begin"/>
      </w:r>
      <w:r w:rsidR="00A260FD" w:rsidRPr="00B24172">
        <w:rPr>
          <w:lang w:val="en-NZ"/>
        </w:rPr>
        <w:instrText xml:space="preserve"> ADDIN ZOTERO_ITEM CSL_CITATION {"citationID":"0QakrHqx","properties":{"formattedCitation":"(Katuwal &amp; Bohara, 2009)","plainCitation":"(Katuwal &amp; Bohara, 2009)","noteIndex":0},"citationItems":[{"id":"yPj1CNji/TA1iIoF9","uris":["http://zotero.org/users/2699952/items/47HSRM27"],"uri":["http://zotero.org/users/2699952/items/47HSRM27"],"itemData":{"id":1211,"type":"article-journal","title":"Biogas: A promising renewable technology and its impact on rural households in Nepal","container-title":"Renewable and Sustainable Energy Reviews","page":"2668-2674","volume":"13","issue":"9","source":"ScienceDirect","abstract":"Nepal, one of the least developed countries, is characterized by very low per capita energy consumption. Because of a lack of other commercial sources of energy, the country relies heavily on traditional fuel source, especially firewood. In order to solve the energy problem in rural areas, the country initiated production and distribution of several renewable energy technologies. Among several technologies, biogas has been proved to be viable and emerged as a promising technology. It has been one of the most successful models for the production of clean, environmental friendly, cost effective source of energy and has multiple benefits. In this paper we present the current state and discuss benefits of the biogas technology in Nepal. Improved health, increased crop productivity, saved time for women are some of the major benefits to the users. It provides economic benefit to the country through reduced deforestation and carbon trading. In addition, by reducing green house gas emission, the technology helps in mitigating global warming and climate change. Thus biogas is a renewable, sustainable and clean source of energy that provides multiple benefits; locally and globally. With some exception, cattle dung has been used primarily as an input and the technology is limited to households only. More systematic and comprehensive study supported by research and development is required to use other degradable waste such as municipal waste to produce biogas on a large scale.","DOI":"10.1016/j.rser.2009.05.002","ISSN":"1364-0321","shortTitle":"Biogas","journalAbbreviation":"Renewable and Sustainable Energy Reviews","author":[{"family":"Katuwal","given":"Hari"},{"family":"Bohara","given":"Alok K."}],"issued":{"date-parts":[["2009",12,1]]}}}],"schema":"https://github.com/citation-style-language/schema/raw/master/csl-citation.json"} </w:instrText>
      </w:r>
      <w:r w:rsidR="00985C24" w:rsidRPr="00B24172">
        <w:rPr>
          <w:lang w:val="en-NZ"/>
        </w:rPr>
        <w:fldChar w:fldCharType="separate"/>
      </w:r>
      <w:r w:rsidR="00A260FD" w:rsidRPr="00B24172">
        <w:t>(Katuwal &amp; Bohara, 2009)</w:t>
      </w:r>
      <w:r w:rsidR="00985C24" w:rsidRPr="00B24172">
        <w:rPr>
          <w:lang w:val="en-NZ"/>
        </w:rPr>
        <w:fldChar w:fldCharType="end"/>
      </w:r>
      <w:r w:rsidR="00B4628A" w:rsidRPr="00B24172">
        <w:rPr>
          <w:lang w:val="en-NZ"/>
        </w:rPr>
        <w:t>.</w:t>
      </w:r>
      <w:r w:rsidR="00CC02D9" w:rsidRPr="00B24172">
        <w:rPr>
          <w:lang w:val="en-NZ"/>
        </w:rPr>
        <w:t xml:space="preserve"> These 42 minutes can also be saved in case of LPG and natural gas interventions because of same stove attributes.</w:t>
      </w:r>
      <w:r w:rsidR="00985C24" w:rsidRPr="00B24172">
        <w:rPr>
          <w:lang w:val="en-NZ"/>
        </w:rPr>
        <w:t xml:space="preserve"> </w:t>
      </w:r>
      <w:r w:rsidR="00CC02D9" w:rsidRPr="00B24172">
        <w:rPr>
          <w:lang w:val="en-NZ"/>
        </w:rPr>
        <w:t>Therefore</w:t>
      </w:r>
      <w:r w:rsidR="00985C24" w:rsidRPr="00B24172">
        <w:rPr>
          <w:lang w:val="en-NZ"/>
        </w:rPr>
        <w:t>, in total a household can save up to</w:t>
      </w:r>
      <w:r w:rsidRPr="00B24172">
        <w:rPr>
          <w:lang w:val="en-NZ"/>
        </w:rPr>
        <w:t xml:space="preserve"> net </w:t>
      </w:r>
      <w:r w:rsidR="00985C24" w:rsidRPr="00B24172">
        <w:rPr>
          <w:lang w:val="en-NZ"/>
        </w:rPr>
        <w:t xml:space="preserve">2 hours and </w:t>
      </w:r>
      <w:r w:rsidR="00A84BE3" w:rsidRPr="00B24172">
        <w:rPr>
          <w:lang w:val="en-NZ"/>
        </w:rPr>
        <w:t>2</w:t>
      </w:r>
      <w:r w:rsidR="00DD5F57" w:rsidRPr="00B24172">
        <w:rPr>
          <w:lang w:val="en-NZ"/>
        </w:rPr>
        <w:t>2</w:t>
      </w:r>
      <w:r w:rsidR="00985C24" w:rsidRPr="00B24172">
        <w:rPr>
          <w:lang w:val="en-NZ"/>
        </w:rPr>
        <w:t xml:space="preserve"> minutes</w:t>
      </w:r>
      <w:r w:rsidR="00CC02D9" w:rsidRPr="00B24172">
        <w:rPr>
          <w:lang w:val="en-NZ"/>
        </w:rPr>
        <w:t xml:space="preserve"> in</w:t>
      </w:r>
      <w:r w:rsidR="009169AA" w:rsidRPr="00B24172">
        <w:rPr>
          <w:lang w:val="en-NZ"/>
        </w:rPr>
        <w:t xml:space="preserve"> the</w:t>
      </w:r>
      <w:r w:rsidR="00CC02D9" w:rsidRPr="00B24172">
        <w:rPr>
          <w:lang w:val="en-NZ"/>
        </w:rPr>
        <w:t xml:space="preserve"> case of biogas adoption</w:t>
      </w:r>
      <w:r w:rsidR="00985C24" w:rsidRPr="00B24172">
        <w:rPr>
          <w:lang w:val="en-NZ"/>
        </w:rPr>
        <w:t>.</w:t>
      </w:r>
      <w:r w:rsidR="007B0FEF" w:rsidRPr="00B24172">
        <w:rPr>
          <w:lang w:val="en-NZ"/>
        </w:rPr>
        <w:t xml:space="preserve"> Usually, households spend 25 percent of saved time on income generating activit</w:t>
      </w:r>
      <w:r w:rsidR="00B4628A" w:rsidRPr="00B24172">
        <w:rPr>
          <w:lang w:val="en-NZ"/>
        </w:rPr>
        <w:t>ies</w:t>
      </w:r>
      <w:r w:rsidR="007B0FEF" w:rsidRPr="00B24172">
        <w:rPr>
          <w:lang w:val="en-NZ"/>
        </w:rPr>
        <w:t xml:space="preserve"> and </w:t>
      </w:r>
      <w:r w:rsidR="00B4628A" w:rsidRPr="00B24172">
        <w:rPr>
          <w:lang w:val="en-NZ"/>
        </w:rPr>
        <w:t xml:space="preserve">the </w:t>
      </w:r>
      <w:r w:rsidR="007B0FEF" w:rsidRPr="00B24172">
        <w:rPr>
          <w:lang w:val="en-NZ"/>
        </w:rPr>
        <w:t xml:space="preserve">rest of the time on other social activities </w:t>
      </w:r>
      <w:r w:rsidR="00FE4B46" w:rsidRPr="00B24172">
        <w:rPr>
          <w:lang w:val="en-NZ"/>
        </w:rPr>
        <w:t>(</w:t>
      </w:r>
      <w:r w:rsidR="007B0FEF" w:rsidRPr="00B24172">
        <w:rPr>
          <w:lang w:val="en-NZ"/>
        </w:rPr>
        <w:fldChar w:fldCharType="begin"/>
      </w:r>
      <w:r w:rsidR="00A260FD" w:rsidRPr="00B24172">
        <w:rPr>
          <w:lang w:val="en-NZ"/>
        </w:rPr>
        <w:instrText xml:space="preserve"> ADDIN ZOTERO_ITEM CSL_CITATION {"citationID":"9Rw28epU","properties":{"formattedCitation":"(Katuwal &amp; Bohara, 2009)","plainCitation":"(Katuwal &amp; Bohara, 2009)","dontUpdate":true,"noteIndex":0},"citationItems":[{"id":"yPj1CNji/TA1iIoF9","uris":["http://zotero.org/users/2699952/items/47HSRM27"],"uri":["http://zotero.org/users/2699952/items/47HSRM27"],"itemData":{"id":1211,"type":"article-journal","title":"Biogas: A promising renewable technology and its impact on rural households in Nepal","container-title":"Renewable and Sustainable Energy Reviews","page":"2668-2674","volume":"13","issue":"9","source":"ScienceDirect","abstract":"Nepal, one of the least developed countries, is characterized by very low per capita energy consumption. Because of a lack of other commercial sources of energy, the country relies heavily on traditional fuel source, especially firewood. In order to solve the energy problem in rural areas, the country initiated production and distribution of several renewable energy technologies. Among several technologies, biogas has been proved to be viable and emerged as a promising technology. It has been one of the most successful models for the production of clean, environmental friendly, cost effective source of energy and has multiple benefits. In this paper we present the current state and discuss benefits of the biogas technology in Nepal. Improved health, increased crop productivity, saved time for women are some of the major benefits to the users. It provides economic benefit to the country through reduced deforestation and carbon trading. In addition, by reducing green house gas emission, the technology helps in mitigating global warming and climate change. Thus biogas is a renewable, sustainable and clean source of energy that provides multiple benefits; locally and globally. With some exception, cattle dung has been used primarily as an input and the technology is limited to households only. More systematic and comprehensive study supported by research and development is required to use other degradable waste such as municipal waste to produce biogas on a large scale.","DOI":"10.1016/j.rser.2009.05.002","ISSN":"1364-0321","shortTitle":"Biogas","journalAbbreviation":"Renewable and Sustainable Energy Reviews","author":[{"family":"Katuwal","given":"Hari"},{"family":"Bohara","given":"Alok K."}],"issued":{"date-parts":[["2009",12,1]]}}}],"schema":"https://github.com/citation-style-language/schema/raw/master/csl-citation.json"} </w:instrText>
      </w:r>
      <w:r w:rsidR="007B0FEF" w:rsidRPr="00B24172">
        <w:rPr>
          <w:lang w:val="en-NZ"/>
        </w:rPr>
        <w:fldChar w:fldCharType="separate"/>
      </w:r>
      <w:r w:rsidR="007B0FEF" w:rsidRPr="00B24172">
        <w:t xml:space="preserve">Katuwal </w:t>
      </w:r>
      <w:r w:rsidR="008525A5" w:rsidRPr="00B24172">
        <w:t>and</w:t>
      </w:r>
      <w:r w:rsidR="007B0FEF" w:rsidRPr="00B24172">
        <w:t xml:space="preserve"> Bohara, 2009)</w:t>
      </w:r>
      <w:r w:rsidR="007B0FEF" w:rsidRPr="00B24172">
        <w:rPr>
          <w:lang w:val="en-NZ"/>
        </w:rPr>
        <w:fldChar w:fldCharType="end"/>
      </w:r>
      <w:r w:rsidR="007B0FEF" w:rsidRPr="00B24172">
        <w:rPr>
          <w:lang w:val="en-NZ"/>
        </w:rPr>
        <w:t xml:space="preserve">. </w:t>
      </w:r>
      <w:r w:rsidR="00B4628A" w:rsidRPr="00B24172">
        <w:rPr>
          <w:lang w:val="en-NZ"/>
        </w:rPr>
        <w:t>Thus</w:t>
      </w:r>
      <w:r w:rsidRPr="00B24172">
        <w:rPr>
          <w:lang w:val="en-NZ"/>
        </w:rPr>
        <w:t>,</w:t>
      </w:r>
      <w:r w:rsidR="007B0FEF" w:rsidRPr="00B24172">
        <w:rPr>
          <w:lang w:val="en-NZ"/>
        </w:rPr>
        <w:t xml:space="preserve"> </w:t>
      </w:r>
      <w:r w:rsidRPr="00B24172">
        <w:rPr>
          <w:lang w:val="en-NZ"/>
        </w:rPr>
        <w:t xml:space="preserve">a household spends </w:t>
      </w:r>
      <w:r w:rsidR="00BC7A36" w:rsidRPr="00B24172">
        <w:rPr>
          <w:lang w:val="en-NZ"/>
        </w:rPr>
        <w:t>35</w:t>
      </w:r>
      <w:r w:rsidR="007B0FEF" w:rsidRPr="00B24172">
        <w:rPr>
          <w:lang w:val="en-NZ"/>
        </w:rPr>
        <w:t xml:space="preserve"> </w:t>
      </w:r>
      <w:r w:rsidRPr="00B24172">
        <w:rPr>
          <w:lang w:val="en-NZ"/>
        </w:rPr>
        <w:t>minutes</w:t>
      </w:r>
      <w:r w:rsidR="00B4628A" w:rsidRPr="00B24172">
        <w:rPr>
          <w:lang w:val="en-NZ"/>
        </w:rPr>
        <w:t xml:space="preserve"> of their saved time</w:t>
      </w:r>
      <w:r w:rsidR="007B0FEF" w:rsidRPr="00B24172">
        <w:rPr>
          <w:lang w:val="en-NZ"/>
        </w:rPr>
        <w:t xml:space="preserve"> on income generating activit</w:t>
      </w:r>
      <w:r w:rsidR="00B4628A" w:rsidRPr="00B24172">
        <w:rPr>
          <w:lang w:val="en-NZ"/>
        </w:rPr>
        <w:t>ies</w:t>
      </w:r>
      <w:r w:rsidR="007B0FEF" w:rsidRPr="00B24172">
        <w:rPr>
          <w:lang w:val="en-NZ"/>
        </w:rPr>
        <w:t xml:space="preserve"> and </w:t>
      </w:r>
      <w:r w:rsidR="00B66111" w:rsidRPr="00B24172">
        <w:rPr>
          <w:lang w:val="en-NZ"/>
        </w:rPr>
        <w:t xml:space="preserve">the wage of a minute is around PKR </w:t>
      </w:r>
      <w:r w:rsidR="003D761C" w:rsidRPr="00B24172">
        <w:rPr>
          <w:lang w:val="en-NZ"/>
        </w:rPr>
        <w:t>0.764</w:t>
      </w:r>
      <w:r w:rsidRPr="00B24172">
        <w:rPr>
          <w:lang w:val="en-NZ"/>
        </w:rPr>
        <w:t xml:space="preserve"> according to GNI</w:t>
      </w:r>
      <w:r w:rsidR="00B66111" w:rsidRPr="00B24172">
        <w:rPr>
          <w:lang w:val="en-NZ"/>
        </w:rPr>
        <w:t xml:space="preserve">. Hence, if </w:t>
      </w:r>
      <w:r w:rsidR="00B4628A" w:rsidRPr="00B24172">
        <w:rPr>
          <w:lang w:val="en-NZ"/>
        </w:rPr>
        <w:t xml:space="preserve">a </w:t>
      </w:r>
      <w:r w:rsidR="00B66111" w:rsidRPr="00B24172">
        <w:rPr>
          <w:lang w:val="en-NZ"/>
        </w:rPr>
        <w:t>household adopt</w:t>
      </w:r>
      <w:r w:rsidR="00B4628A" w:rsidRPr="00B24172">
        <w:rPr>
          <w:lang w:val="en-NZ"/>
        </w:rPr>
        <w:t>s</w:t>
      </w:r>
      <w:r w:rsidR="00B66111" w:rsidRPr="00B24172">
        <w:rPr>
          <w:lang w:val="en-NZ"/>
        </w:rPr>
        <w:t xml:space="preserve"> biogas it saves PKR </w:t>
      </w:r>
      <w:r w:rsidR="00DE56A8" w:rsidRPr="00B24172">
        <w:rPr>
          <w:lang w:val="en-NZ"/>
        </w:rPr>
        <w:t>26.7</w:t>
      </w:r>
      <w:r w:rsidR="00B66111" w:rsidRPr="00B24172">
        <w:rPr>
          <w:lang w:val="en-NZ"/>
        </w:rPr>
        <w:t xml:space="preserve"> daily</w:t>
      </w:r>
      <w:r w:rsidR="00173966" w:rsidRPr="00B24172">
        <w:rPr>
          <w:lang w:val="en-NZ"/>
        </w:rPr>
        <w:t xml:space="preserve">, </w:t>
      </w:r>
      <w:r w:rsidR="00B4628A" w:rsidRPr="00B24172">
        <w:rPr>
          <w:lang w:val="en-NZ"/>
        </w:rPr>
        <w:t>equating to</w:t>
      </w:r>
      <w:r w:rsidR="00B66111" w:rsidRPr="00B24172">
        <w:rPr>
          <w:lang w:val="en-NZ"/>
        </w:rPr>
        <w:t xml:space="preserve"> PKR </w:t>
      </w:r>
      <w:r w:rsidR="00DE56A8" w:rsidRPr="00B24172">
        <w:rPr>
          <w:lang w:val="en-NZ"/>
        </w:rPr>
        <w:t>9,75</w:t>
      </w:r>
      <w:r w:rsidR="00672C40" w:rsidRPr="00B24172">
        <w:rPr>
          <w:lang w:val="en-NZ"/>
        </w:rPr>
        <w:t>9</w:t>
      </w:r>
      <w:r w:rsidR="00FE4B46" w:rsidRPr="00B24172">
        <w:rPr>
          <w:lang w:val="en-NZ"/>
        </w:rPr>
        <w:t xml:space="preserve"> (</w:t>
      </w:r>
      <w:r w:rsidR="00DE56A8" w:rsidRPr="00B24172">
        <w:rPr>
          <w:lang w:val="en-NZ"/>
        </w:rPr>
        <w:t>97.5</w:t>
      </w:r>
      <w:r w:rsidR="00B66111" w:rsidRPr="00B24172">
        <w:rPr>
          <w:lang w:val="en-NZ"/>
        </w:rPr>
        <w:t xml:space="preserve"> USD) annually. </w:t>
      </w:r>
    </w:p>
    <w:p w14:paraId="7687B175" w14:textId="77777777" w:rsidR="00A11D4A" w:rsidRPr="00B24172" w:rsidRDefault="00A11D4A" w:rsidP="00BF2AB8">
      <w:pPr>
        <w:spacing w:line="288" w:lineRule="auto"/>
        <w:jc w:val="both"/>
        <w:rPr>
          <w:sz w:val="26"/>
          <w:szCs w:val="26"/>
          <w:lang w:val="en-NZ"/>
        </w:rPr>
      </w:pPr>
    </w:p>
    <w:p w14:paraId="19AD1F7B" w14:textId="1D1DF5CD" w:rsidR="00A22AF9" w:rsidRPr="00B24172" w:rsidRDefault="00A22AF9" w:rsidP="00BF2AB8">
      <w:pPr>
        <w:spacing w:line="288" w:lineRule="auto"/>
        <w:ind w:firstLine="720"/>
        <w:jc w:val="both"/>
        <w:rPr>
          <w:lang w:val="en-NZ"/>
        </w:rPr>
      </w:pPr>
      <w:r w:rsidRPr="00B24172">
        <w:rPr>
          <w:lang w:val="en-NZ"/>
        </w:rPr>
        <w:t xml:space="preserve">Similarly, </w:t>
      </w:r>
      <w:r w:rsidR="00B66111" w:rsidRPr="00B24172">
        <w:rPr>
          <w:lang w:val="en-NZ"/>
        </w:rPr>
        <w:t>in case of LPG</w:t>
      </w:r>
      <w:r w:rsidR="00CC02D9" w:rsidRPr="00B24172">
        <w:rPr>
          <w:lang w:val="en-NZ"/>
        </w:rPr>
        <w:t xml:space="preserve"> adoption</w:t>
      </w:r>
      <w:r w:rsidR="00B66111" w:rsidRPr="00B24172">
        <w:rPr>
          <w:lang w:val="en-NZ"/>
        </w:rPr>
        <w:t xml:space="preserve"> a household</w:t>
      </w:r>
      <w:r w:rsidR="00CC02D9" w:rsidRPr="00B24172">
        <w:rPr>
          <w:lang w:val="en-NZ"/>
        </w:rPr>
        <w:t xml:space="preserve"> saves around</w:t>
      </w:r>
      <w:r w:rsidRPr="00B24172">
        <w:rPr>
          <w:lang w:val="en-NZ"/>
        </w:rPr>
        <w:t xml:space="preserve"> 42 minutes</w:t>
      </w:r>
      <w:r w:rsidR="00CC02D9" w:rsidRPr="00B24172">
        <w:rPr>
          <w:lang w:val="en-NZ"/>
        </w:rPr>
        <w:t xml:space="preserve"> due to</w:t>
      </w:r>
      <w:r w:rsidR="00D028E5" w:rsidRPr="00B24172">
        <w:rPr>
          <w:lang w:val="en-NZ"/>
        </w:rPr>
        <w:t xml:space="preserve"> efficient cooking</w:t>
      </w:r>
      <w:r w:rsidR="00CC02D9" w:rsidRPr="00B24172">
        <w:rPr>
          <w:lang w:val="en-NZ"/>
        </w:rPr>
        <w:t xml:space="preserve"> and</w:t>
      </w:r>
      <w:r w:rsidR="00D028E5" w:rsidRPr="00B24172">
        <w:rPr>
          <w:lang w:val="en-NZ"/>
        </w:rPr>
        <w:t xml:space="preserve"> 2</w:t>
      </w:r>
      <w:r w:rsidR="00A84BE3" w:rsidRPr="00B24172">
        <w:rPr>
          <w:lang w:val="en-NZ"/>
        </w:rPr>
        <w:t xml:space="preserve"> hours 2</w:t>
      </w:r>
      <w:r w:rsidR="00D028E5" w:rsidRPr="00B24172">
        <w:rPr>
          <w:lang w:val="en-NZ"/>
        </w:rPr>
        <w:t>5 minutes</w:t>
      </w:r>
      <w:r w:rsidR="00CC02D9" w:rsidRPr="00B24172">
        <w:rPr>
          <w:lang w:val="en-NZ"/>
        </w:rPr>
        <w:t xml:space="preserve"> by avoiding biomass collection.</w:t>
      </w:r>
      <w:r w:rsidR="007B0002" w:rsidRPr="00B24172">
        <w:rPr>
          <w:lang w:val="en-NZ"/>
        </w:rPr>
        <w:t xml:space="preserve"> </w:t>
      </w:r>
      <w:r w:rsidR="00CC02D9" w:rsidRPr="00B24172">
        <w:rPr>
          <w:lang w:val="en-NZ"/>
        </w:rPr>
        <w:t>By t</w:t>
      </w:r>
      <w:r w:rsidR="007B0002" w:rsidRPr="00B24172">
        <w:rPr>
          <w:lang w:val="en-NZ"/>
        </w:rPr>
        <w:t>aking</w:t>
      </w:r>
      <w:r w:rsidRPr="00B24172">
        <w:rPr>
          <w:lang w:val="en-NZ"/>
        </w:rPr>
        <w:t xml:space="preserve"> 25 percent of time </w:t>
      </w:r>
      <w:r w:rsidR="007B0002" w:rsidRPr="00B24172">
        <w:rPr>
          <w:lang w:val="en-NZ"/>
        </w:rPr>
        <w:t>a household</w:t>
      </w:r>
      <w:r w:rsidRPr="00B24172">
        <w:rPr>
          <w:lang w:val="en-NZ"/>
        </w:rPr>
        <w:t xml:space="preserve"> </w:t>
      </w:r>
      <w:r w:rsidR="00D028E5" w:rsidRPr="00B24172">
        <w:rPr>
          <w:lang w:val="en-NZ"/>
        </w:rPr>
        <w:t xml:space="preserve">saves </w:t>
      </w:r>
      <w:r w:rsidRPr="00B24172">
        <w:rPr>
          <w:lang w:val="en-NZ"/>
        </w:rPr>
        <w:t>4</w:t>
      </w:r>
      <w:r w:rsidR="00A84BE3" w:rsidRPr="00B24172">
        <w:rPr>
          <w:lang w:val="en-NZ"/>
        </w:rPr>
        <w:t>7</w:t>
      </w:r>
      <w:r w:rsidRPr="00B24172">
        <w:rPr>
          <w:lang w:val="en-NZ"/>
        </w:rPr>
        <w:t xml:space="preserve"> minutes</w:t>
      </w:r>
      <w:r w:rsidR="00613245" w:rsidRPr="00B24172">
        <w:rPr>
          <w:lang w:val="en-NZ"/>
        </w:rPr>
        <w:t xml:space="preserve"> for income generating activities. In this way, time saving give that household PKR </w:t>
      </w:r>
      <w:r w:rsidR="00DE56A8" w:rsidRPr="00B24172">
        <w:rPr>
          <w:lang w:val="en-NZ"/>
        </w:rPr>
        <w:t>36</w:t>
      </w:r>
      <w:r w:rsidR="00613245" w:rsidRPr="00B24172">
        <w:rPr>
          <w:lang w:val="en-NZ"/>
        </w:rPr>
        <w:t xml:space="preserve"> daily and PKR </w:t>
      </w:r>
      <w:r w:rsidR="00DE56A8" w:rsidRPr="00B24172">
        <w:rPr>
          <w:lang w:val="en-NZ"/>
        </w:rPr>
        <w:t>13,104</w:t>
      </w:r>
      <w:r w:rsidR="00613245" w:rsidRPr="00B24172">
        <w:rPr>
          <w:lang w:val="en-NZ"/>
        </w:rPr>
        <w:t xml:space="preserve"> (</w:t>
      </w:r>
      <w:r w:rsidR="00DE56A8" w:rsidRPr="00B24172">
        <w:rPr>
          <w:lang w:val="en-NZ"/>
        </w:rPr>
        <w:t>131</w:t>
      </w:r>
      <w:r w:rsidR="00613245" w:rsidRPr="00B24172">
        <w:rPr>
          <w:lang w:val="en-NZ"/>
        </w:rPr>
        <w:t xml:space="preserve"> USD) annually. </w:t>
      </w:r>
      <w:r w:rsidR="007B0002" w:rsidRPr="00B24172">
        <w:rPr>
          <w:lang w:val="en-NZ"/>
        </w:rPr>
        <w:t xml:space="preserve">Likewise, the time saved </w:t>
      </w:r>
      <w:r w:rsidR="007B0002" w:rsidRPr="00B24172">
        <w:rPr>
          <w:lang w:val="en-NZ"/>
        </w:rPr>
        <w:lastRenderedPageBreak/>
        <w:t>for natural gas and electric stove was calculated</w:t>
      </w:r>
      <w:r w:rsidR="00BC7A36" w:rsidRPr="00B24172">
        <w:rPr>
          <w:lang w:val="en-NZ"/>
        </w:rPr>
        <w:t>, the benefits from</w:t>
      </w:r>
      <w:r w:rsidR="007B0002" w:rsidRPr="00B24172">
        <w:rPr>
          <w:lang w:val="en-NZ"/>
        </w:rPr>
        <w:t xml:space="preserve"> natural gas and electric stove </w:t>
      </w:r>
      <w:r w:rsidR="00BC7A36" w:rsidRPr="00B24172">
        <w:rPr>
          <w:lang w:val="en-NZ"/>
        </w:rPr>
        <w:t xml:space="preserve">are PKR </w:t>
      </w:r>
      <w:r w:rsidR="00DE56A8" w:rsidRPr="00B24172">
        <w:rPr>
          <w:lang w:val="en-NZ"/>
        </w:rPr>
        <w:t>13,10</w:t>
      </w:r>
      <w:r w:rsidR="00672C40" w:rsidRPr="00B24172">
        <w:rPr>
          <w:lang w:val="en-NZ"/>
        </w:rPr>
        <w:t>5</w:t>
      </w:r>
      <w:r w:rsidR="00BC7A36" w:rsidRPr="00B24172">
        <w:rPr>
          <w:lang w:val="en-NZ"/>
        </w:rPr>
        <w:t xml:space="preserve"> (</w:t>
      </w:r>
      <w:r w:rsidR="00DE56A8" w:rsidRPr="00B24172">
        <w:rPr>
          <w:lang w:val="en-NZ"/>
        </w:rPr>
        <w:t>131 USD</w:t>
      </w:r>
      <w:r w:rsidR="00BC7A36" w:rsidRPr="00B24172">
        <w:rPr>
          <w:lang w:val="en-NZ"/>
        </w:rPr>
        <w:t>) each</w:t>
      </w:r>
      <w:r w:rsidR="00FF0B73" w:rsidRPr="00B24172">
        <w:rPr>
          <w:lang w:val="en-NZ"/>
        </w:rPr>
        <w:t>. However, i</w:t>
      </w:r>
      <w:r w:rsidR="00613245" w:rsidRPr="00B24172">
        <w:rPr>
          <w:lang w:val="en-NZ"/>
        </w:rPr>
        <w:t xml:space="preserve">n case of </w:t>
      </w:r>
      <w:r w:rsidR="00FF0B73" w:rsidRPr="00B24172">
        <w:rPr>
          <w:lang w:val="en-NZ"/>
        </w:rPr>
        <w:t>ICS,</w:t>
      </w:r>
      <w:r w:rsidR="001647D6" w:rsidRPr="00B24172">
        <w:rPr>
          <w:lang w:val="en-NZ"/>
        </w:rPr>
        <w:t xml:space="preserve"> </w:t>
      </w:r>
      <w:r w:rsidR="00FF0B73" w:rsidRPr="00B24172">
        <w:rPr>
          <w:lang w:val="en-NZ"/>
        </w:rPr>
        <w:t>w</w:t>
      </w:r>
      <w:r w:rsidR="001647D6" w:rsidRPr="00B24172">
        <w:rPr>
          <w:lang w:val="en-NZ"/>
        </w:rPr>
        <w:t>ood collection time reduce</w:t>
      </w:r>
      <w:r w:rsidR="0074636F" w:rsidRPr="00B24172">
        <w:rPr>
          <w:lang w:val="en-NZ"/>
        </w:rPr>
        <w:t>s by</w:t>
      </w:r>
      <w:r w:rsidR="001647D6" w:rsidRPr="00B24172">
        <w:rPr>
          <w:lang w:val="en-NZ"/>
        </w:rPr>
        <w:t xml:space="preserve"> around 8 minutes </w:t>
      </w:r>
      <w:r w:rsidR="00D028E5" w:rsidRPr="00B24172">
        <w:rPr>
          <w:lang w:val="en-NZ"/>
        </w:rPr>
        <w:t xml:space="preserve">because households require less biomass for cooking the same amount of food </w:t>
      </w:r>
      <w:r w:rsidR="001647D6" w:rsidRPr="00B24172">
        <w:rPr>
          <w:lang w:val="en-NZ"/>
        </w:rPr>
        <w:t>and cooking time save</w:t>
      </w:r>
      <w:r w:rsidR="0074636F" w:rsidRPr="00B24172">
        <w:rPr>
          <w:lang w:val="en-NZ"/>
        </w:rPr>
        <w:t>s</w:t>
      </w:r>
      <w:r w:rsidR="001647D6" w:rsidRPr="00B24172">
        <w:rPr>
          <w:lang w:val="en-NZ"/>
        </w:rPr>
        <w:t xml:space="preserve"> around 14 minutes</w:t>
      </w:r>
      <w:r w:rsidR="00D028E5" w:rsidRPr="00B24172">
        <w:rPr>
          <w:lang w:val="en-NZ"/>
        </w:rPr>
        <w:t xml:space="preserve"> because of efficient cooking</w:t>
      </w:r>
      <w:r w:rsidR="001647D6" w:rsidRPr="00B24172">
        <w:rPr>
          <w:lang w:val="en-NZ"/>
        </w:rPr>
        <w:t xml:space="preserve"> </w:t>
      </w:r>
      <w:r w:rsidR="001647D6" w:rsidRPr="00B24172">
        <w:rPr>
          <w:lang w:val="en-NZ"/>
        </w:rPr>
        <w:fldChar w:fldCharType="begin"/>
      </w:r>
      <w:r w:rsidR="00A260FD" w:rsidRPr="00B24172">
        <w:rPr>
          <w:lang w:val="en-NZ"/>
        </w:rPr>
        <w:instrText xml:space="preserve"> ADDIN ZOTERO_ITEM CSL_CITATION {"citationID":"R7fWMPei","properties":{"formattedCitation":"(Thakuri &amp; Bikram, 2009)","plainCitation":"(Thakuri &amp; Bikram, 2009)","noteIndex":0},"citationItems":[{"id":"yPj1CNji/7oN7vtYh","uris":["http://zotero.org/users/2699952/items/2PLTR54C"],"uri":["http://zotero.org/users/2699952/items/2PLTR54C"],"itemData":{"id":1214,"type":"book","title":"Revisiting the need of improved stoves : estimating health, time and carbon benefits","publisher":"SANDEE, Kathmandu, NP","source":"idl-bnc-idrc.dspacedirect.org","abstract":"Indoor air pollution (IAP), especially through the smoke released when burning solid biomass fuel for cooking, is a major environmental health problem in Nepal. About 85 percent of Nepalese households are dependent on solid biomass fuels for cooking energy. Among households using such fuels, most cook in poorly ventilated kitchens using inefficient stoves, leading to indoor air pollution and consequently health problems. While there are successful technologies/interventions which help to mitigate IAP, due to lack of evidence on the economic viability of such interventions, they have not been adequately scaled up. This study generates some evidence on the costs and benefits of a particular indoor air pollution control initiative. Based on a survey of 400 households in Rasuwa district, Nepal, the study finds that stove improvements and a smokehood in the kitchen can reduce the consumption of fuel, improve air quality and reduce the health costs borne by households. Such local interventions can also contribute to mitigating global problems such as the release of green house gases through biomass burning. This study finds that the average indoor air pollution level in traditional stove user households is 15 times higher than the recommended safe level which inevitably leads to high health expenditures. The benefit-cost analysis suggests that the investment in IAP mitigating intervention is viable from both the household and societal perspectives.","URL":"https://idl-bnc-idrc.dspacedirect.org/handle/10625/41850","ISBN":"978-9937-8218-3-4","shortTitle":"Revisiting the need of improved stoves","language":"en","author":[{"family":"Thakuri","given":"Malla"},{"family":"Bikram","given":"Min"}],"issued":{"date-parts":[["2009"]]},"accessed":{"date-parts":[["2018",5,20]]}}}],"schema":"https://github.com/citation-style-language/schema/raw/master/csl-citation.json"} </w:instrText>
      </w:r>
      <w:r w:rsidR="001647D6" w:rsidRPr="00B24172">
        <w:rPr>
          <w:lang w:val="en-NZ"/>
        </w:rPr>
        <w:fldChar w:fldCharType="separate"/>
      </w:r>
      <w:r w:rsidR="00A260FD" w:rsidRPr="00B24172">
        <w:t>(Thakuri &amp; Bikram, 2009)</w:t>
      </w:r>
      <w:r w:rsidR="001647D6" w:rsidRPr="00B24172">
        <w:rPr>
          <w:lang w:val="en-NZ"/>
        </w:rPr>
        <w:fldChar w:fldCharType="end"/>
      </w:r>
      <w:r w:rsidR="001647D6" w:rsidRPr="00B24172">
        <w:rPr>
          <w:lang w:val="en-NZ"/>
        </w:rPr>
        <w:t xml:space="preserve">. In total an </w:t>
      </w:r>
      <w:r w:rsidR="00FF0B73" w:rsidRPr="00B24172">
        <w:rPr>
          <w:lang w:val="en-NZ"/>
        </w:rPr>
        <w:t>ICS</w:t>
      </w:r>
      <w:r w:rsidR="001647D6" w:rsidRPr="00B24172">
        <w:rPr>
          <w:lang w:val="en-NZ"/>
        </w:rPr>
        <w:t xml:space="preserve"> can save up to</w:t>
      </w:r>
      <w:r w:rsidR="00FF0B73" w:rsidRPr="00B24172">
        <w:rPr>
          <w:lang w:val="en-NZ"/>
        </w:rPr>
        <w:t xml:space="preserve"> net</w:t>
      </w:r>
      <w:r w:rsidR="001647D6" w:rsidRPr="00B24172">
        <w:rPr>
          <w:lang w:val="en-NZ"/>
        </w:rPr>
        <w:t xml:space="preserve"> 22 minutes per day</w:t>
      </w:r>
      <w:r w:rsidR="00672C40" w:rsidRPr="00B24172">
        <w:rPr>
          <w:lang w:val="en-NZ"/>
        </w:rPr>
        <w:t xml:space="preserve"> and spends 25 % on income generating activities,</w:t>
      </w:r>
      <w:r w:rsidR="001647D6" w:rsidRPr="00B24172">
        <w:rPr>
          <w:lang w:val="en-NZ"/>
        </w:rPr>
        <w:t xml:space="preserve"> hence</w:t>
      </w:r>
      <w:r w:rsidR="00672C40" w:rsidRPr="00B24172">
        <w:rPr>
          <w:lang w:val="en-NZ"/>
        </w:rPr>
        <w:t xml:space="preserve"> it saves</w:t>
      </w:r>
      <w:r w:rsidR="001647D6" w:rsidRPr="00B24172">
        <w:rPr>
          <w:lang w:val="en-NZ"/>
        </w:rPr>
        <w:t xml:space="preserve"> an annual income of PKR </w:t>
      </w:r>
      <w:r w:rsidR="00672C40" w:rsidRPr="00B24172">
        <w:rPr>
          <w:lang w:val="en-NZ"/>
        </w:rPr>
        <w:t>1,534</w:t>
      </w:r>
      <w:r w:rsidR="001647D6" w:rsidRPr="00B24172">
        <w:rPr>
          <w:lang w:val="en-NZ"/>
        </w:rPr>
        <w:t xml:space="preserve"> (</w:t>
      </w:r>
      <w:r w:rsidR="00672C40" w:rsidRPr="00B24172">
        <w:rPr>
          <w:lang w:val="en-NZ"/>
        </w:rPr>
        <w:t>15.3</w:t>
      </w:r>
      <w:r w:rsidR="001647D6" w:rsidRPr="00B24172">
        <w:rPr>
          <w:lang w:val="en-NZ"/>
        </w:rPr>
        <w:t xml:space="preserve"> USD)</w:t>
      </w:r>
      <w:r w:rsidR="00214245" w:rsidRPr="00B24172">
        <w:rPr>
          <w:lang w:val="en-NZ"/>
        </w:rPr>
        <w:t xml:space="preserve"> per household</w:t>
      </w:r>
      <w:r w:rsidR="001647D6" w:rsidRPr="00B24172">
        <w:rPr>
          <w:lang w:val="en-NZ"/>
        </w:rPr>
        <w:t xml:space="preserve">. </w:t>
      </w:r>
    </w:p>
    <w:p w14:paraId="1AE718E5" w14:textId="699D7F70" w:rsidR="00A11D4A" w:rsidRPr="00B24172" w:rsidRDefault="00A11D4A" w:rsidP="00BF2AB8">
      <w:pPr>
        <w:spacing w:line="288" w:lineRule="auto"/>
        <w:ind w:firstLine="720"/>
        <w:jc w:val="both"/>
        <w:rPr>
          <w:lang w:val="en-NZ"/>
        </w:rPr>
      </w:pPr>
    </w:p>
    <w:p w14:paraId="4A178032" w14:textId="3F01B3BF" w:rsidR="00135CA9" w:rsidRPr="00B24172" w:rsidRDefault="004D5A2F" w:rsidP="00BF2AB8">
      <w:pPr>
        <w:spacing w:line="288" w:lineRule="auto"/>
        <w:ind w:firstLine="720"/>
        <w:jc w:val="both"/>
      </w:pPr>
      <w:r w:rsidRPr="00B24172">
        <w:t xml:space="preserve">Moreover, we assumed 35 percent of benefits for ICS </w:t>
      </w:r>
      <w:r w:rsidR="001E071C" w:rsidRPr="00B24172">
        <w:t>(</w:t>
      </w:r>
      <w:r w:rsidRPr="00B24172">
        <w:t>except time and fuel saving benefits</w:t>
      </w:r>
      <w:r w:rsidR="001E071C" w:rsidRPr="00B24172">
        <w:t xml:space="preserve"> as they estimated separately)</w:t>
      </w:r>
      <w:r w:rsidRPr="00B24172">
        <w:t xml:space="preserve"> </w:t>
      </w:r>
      <w:r w:rsidR="003450AD" w:rsidRPr="00B24172">
        <w:t>therefore, we also assume 3</w:t>
      </w:r>
      <w:r w:rsidRPr="00B24172">
        <w:t xml:space="preserve">5 percent reduction in exposure of IAP </w:t>
      </w:r>
      <w:r w:rsidR="002E1C34" w:rsidRPr="00B24172">
        <w:fldChar w:fldCharType="begin"/>
      </w:r>
      <w:r w:rsidR="00A260FD" w:rsidRPr="00B24172">
        <w:instrText xml:space="preserve"> ADDIN ZOTERO_ITEM CSL_CITATION {"citationID":"oWtTUNU3","properties":{"formattedCitation":"(Bruce et al., 2004; Hutton et al., 2007)","plainCitation":"(Bruce et al., 2004; Hutton et al., 2007)","noteIndex":0},"citationItems":[{"id":"yPj1CNji/pgSBJ0eU","uris":["http://zotero.org/users/2699952/items/2TVKHTJW"],"uri":["http://zotero.org/users/2699952/items/2TVKHTJW"],"itemData":{"id":1069,"type":"article-journal","title":"Impact of improved stoves, house construction and child location on levels of indoor air pollution exposure in young Guatemalan children","container-title":"Journal of Exposure Science and Environmental Epidemiology","page":"S26-S33","volume":"14","issue":"S1","source":"www.nature.com","abstract":"The goal of this study was to assess the impact of improved stoves, house ventilation, and child location on levels of indoor air pollution and child exposure in a rural Guatemalan population reliant on wood fuel. The study was a random sample of 204 households with children less than 18 months in a rural village in the western highlands of Guatemala. Socio-economic and household information was obtained by interview and observation. Twenty-four hour carbon monoxide (CO) was used as the primary measure of kitchen pollution and child exposure in all homes, using Gastec diffusion tubes. Twenty-four hour kitchen PM3.5 was measured in a random sub-sample (n=29) of kitchens with co-located CO tubes. Almost 50% of the homes still used open fires, around 30% used chimney stoves (planchas) mostly from a large donor-funded programme, and the remainder of homes used various combinations including bottled gas and open fires. The 24-h kitchen CO was lowest for homes with self-purchased planchas: mean (95% CI) CO of 3.09 ppm (1.87–4.30) vs. 12.4 ppm (10.2–14.5) for open fires. The same ranking was found for child CO exposure, but with proportionately smaller differentials (P&lt;0.0001). The 24-h kitchen PM3.5 in the sub-sample showed similar differences (n=24, P&lt;0.05). The predicted child PM for all 203 children (based on a regression model from the sub-sample) was 375 μg/m3 (270–480) for self-purchased planchas and 536 μg/m3 (488–584) for open fires. Multivariate analysis showed that stove/fuel type was the most important determinant of kitchen CO, with some effect of kitchen volume and eaves. Stove/fuel type was also the key determinant of child CO, with some effect of child position during cooking. The improved stoves in this community have been effective in reducing indoor air pollution and child exposure, although both measures were still high by international standards. Large donor-funded stove programmes need to aim for wider acceptance and uptake by the local families. Better stove maintenance is also required.","DOI":"10.1038/sj.jea.7500355","ISSN":"1559-064X","language":"en","author":[{"family":"Bruce","given":"Nigel"},{"family":"McCracken","given":"John"},{"family":"Albalak","given":"Rachel"},{"family":"Scheid","given":"Morten"},{"family":"Smith","given":"Kirk R."},{"family":"Lopez","given":"Victorina"},{"family":"West","given":"Chris"}],"issued":{"date-parts":[["2004",4,30]]}}},{"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002E1C34" w:rsidRPr="00B24172">
        <w:fldChar w:fldCharType="separate"/>
      </w:r>
      <w:r w:rsidR="00A260FD" w:rsidRPr="00B24172">
        <w:t>(Bruce et al., 2004; Hutton et al., 2007)</w:t>
      </w:r>
      <w:r w:rsidR="002E1C34" w:rsidRPr="00B24172">
        <w:fldChar w:fldCharType="end"/>
      </w:r>
      <w:r w:rsidRPr="00B24172">
        <w:t>.</w:t>
      </w:r>
      <w:r w:rsidR="002E1C34" w:rsidRPr="00B24172">
        <w:t xml:space="preserve"> </w:t>
      </w:r>
      <w:r w:rsidR="00DB7FF4" w:rsidRPr="00B24172">
        <w:t xml:space="preserve"> </w:t>
      </w:r>
      <w:r w:rsidR="003450AD" w:rsidRPr="00B24172">
        <w:t xml:space="preserve">However, </w:t>
      </w:r>
      <w:r w:rsidR="002E1C34" w:rsidRPr="00B24172">
        <w:t>ventilation condition</w:t>
      </w:r>
      <w:r w:rsidR="0074636F" w:rsidRPr="00B24172">
        <w:t>s</w:t>
      </w:r>
      <w:r w:rsidR="002E1C34" w:rsidRPr="00B24172">
        <w:t xml:space="preserve"> widely vary among ICS</w:t>
      </w:r>
      <w:r w:rsidR="003450AD" w:rsidRPr="00B24172">
        <w:t xml:space="preserve"> and due to this; </w:t>
      </w:r>
      <w:r w:rsidR="002E1C34" w:rsidRPr="00B24172">
        <w:t xml:space="preserve">these estimates may be considered as a poor approximation (Hutton </w:t>
      </w:r>
      <w:r w:rsidR="00DB7FF4" w:rsidRPr="00B24172">
        <w:rPr>
          <w:i/>
        </w:rPr>
        <w:t>et al</w:t>
      </w:r>
      <w:r w:rsidR="00DB7FF4" w:rsidRPr="00B24172">
        <w:rPr>
          <w:i/>
          <w:iCs/>
        </w:rPr>
        <w:t xml:space="preserve"> .</w:t>
      </w:r>
      <w:r w:rsidR="002E1C34" w:rsidRPr="00B24172">
        <w:t>2007).</w:t>
      </w:r>
    </w:p>
    <w:p w14:paraId="27BF09C0" w14:textId="1F8B1423" w:rsidR="00A11D4A" w:rsidRPr="00B24172" w:rsidRDefault="00A11D4A" w:rsidP="00BF2AB8">
      <w:pPr>
        <w:spacing w:line="288" w:lineRule="auto"/>
        <w:ind w:firstLine="720"/>
        <w:jc w:val="both"/>
      </w:pPr>
    </w:p>
    <w:p w14:paraId="13B3C556" w14:textId="3A471A96" w:rsidR="001B0300" w:rsidRPr="00B24172" w:rsidRDefault="001A63E7" w:rsidP="001B0300">
      <w:pPr>
        <w:pStyle w:val="Heading2"/>
        <w:spacing w:before="0" w:after="0" w:line="288" w:lineRule="auto"/>
      </w:pPr>
      <w:r w:rsidRPr="00B24172">
        <w:t>6</w:t>
      </w:r>
      <w:r w:rsidR="001B0300" w:rsidRPr="00B24172">
        <w:t>.</w:t>
      </w:r>
      <w:r w:rsidRPr="00B24172">
        <w:t>6</w:t>
      </w:r>
      <w:r w:rsidR="001B0300" w:rsidRPr="00B24172">
        <w:t xml:space="preserve"> Summary of </w:t>
      </w:r>
      <w:r w:rsidR="003F6007" w:rsidRPr="00B24172">
        <w:t>Benefits</w:t>
      </w:r>
    </w:p>
    <w:p w14:paraId="72A63919" w14:textId="77777777" w:rsidR="001B0300" w:rsidRPr="00B24172" w:rsidRDefault="001B0300" w:rsidP="001B0300">
      <w:pPr>
        <w:spacing w:line="288" w:lineRule="auto"/>
        <w:jc w:val="both"/>
        <w:rPr>
          <w:lang w:val="en-NZ"/>
        </w:rPr>
      </w:pPr>
    </w:p>
    <w:p w14:paraId="6DE97182" w14:textId="4813CE4E" w:rsidR="001B0300" w:rsidRPr="00B24172" w:rsidRDefault="00464100" w:rsidP="009169AA">
      <w:pPr>
        <w:spacing w:line="288" w:lineRule="auto"/>
        <w:jc w:val="both"/>
        <w:rPr>
          <w:lang w:val="en-NZ"/>
        </w:rPr>
      </w:pPr>
      <w:r w:rsidRPr="00B24172">
        <w:rPr>
          <w:lang w:val="en-NZ"/>
        </w:rPr>
        <w:t xml:space="preserve">Table 3 presents </w:t>
      </w:r>
      <w:r w:rsidR="009169AA" w:rsidRPr="00B24172">
        <w:rPr>
          <w:lang w:val="en-NZ"/>
        </w:rPr>
        <w:t xml:space="preserve">a </w:t>
      </w:r>
      <w:r w:rsidRPr="00B24172">
        <w:rPr>
          <w:lang w:val="en-NZ"/>
        </w:rPr>
        <w:t xml:space="preserve">summary of the benefits for a single household per year and </w:t>
      </w:r>
      <w:r w:rsidR="008B0EA2" w:rsidRPr="00B24172">
        <w:rPr>
          <w:lang w:val="en-NZ"/>
        </w:rPr>
        <w:t xml:space="preserve">ten years </w:t>
      </w:r>
      <w:r w:rsidR="009169AA" w:rsidRPr="00B24172">
        <w:rPr>
          <w:lang w:val="en-NZ"/>
        </w:rPr>
        <w:t xml:space="preserve">of </w:t>
      </w:r>
      <w:r w:rsidR="008B0EA2" w:rsidRPr="00B24172">
        <w:rPr>
          <w:lang w:val="en-NZ"/>
        </w:rPr>
        <w:t>discounted</w:t>
      </w:r>
      <w:r w:rsidR="001B0300" w:rsidRPr="00B24172">
        <w:rPr>
          <w:lang w:val="en-NZ"/>
        </w:rPr>
        <w:t xml:space="preserve"> estimated benefits (fuel savings, health impacts, health care cost savings, productivity gains, and time savings) for each intervention.</w:t>
      </w:r>
      <w:r w:rsidR="008B0EA2" w:rsidRPr="00B24172">
        <w:rPr>
          <w:lang w:val="en-NZ"/>
        </w:rPr>
        <w:t xml:space="preserve"> It shows the potential benefits for those households </w:t>
      </w:r>
      <w:r w:rsidR="009169AA" w:rsidRPr="00B24172">
        <w:rPr>
          <w:lang w:val="en-NZ"/>
        </w:rPr>
        <w:t xml:space="preserve">that </w:t>
      </w:r>
      <w:r w:rsidR="008B0EA2" w:rsidRPr="00B24172">
        <w:rPr>
          <w:lang w:val="en-NZ"/>
        </w:rPr>
        <w:t xml:space="preserve">shift </w:t>
      </w:r>
      <w:r w:rsidR="009169AA" w:rsidRPr="00B24172">
        <w:rPr>
          <w:lang w:val="en-NZ"/>
        </w:rPr>
        <w:t xml:space="preserve">from </w:t>
      </w:r>
      <w:r w:rsidR="008B0EA2" w:rsidRPr="00B24172">
        <w:rPr>
          <w:lang w:val="en-NZ"/>
        </w:rPr>
        <w:t xml:space="preserve">solid fuel use to the clean fuels. LPG, natural gas, and electric stoves have similar benefits because </w:t>
      </w:r>
      <w:r w:rsidR="009169AA" w:rsidRPr="00B24172">
        <w:rPr>
          <w:lang w:val="en-NZ"/>
        </w:rPr>
        <w:t>they have</w:t>
      </w:r>
      <w:r w:rsidR="008B0EA2" w:rsidRPr="00B24172">
        <w:rPr>
          <w:lang w:val="en-NZ"/>
        </w:rPr>
        <w:t xml:space="preserve"> similar attributes,</w:t>
      </w:r>
      <w:r w:rsidR="00321CE6" w:rsidRPr="00B24172">
        <w:rPr>
          <w:lang w:val="en-NZ"/>
        </w:rPr>
        <w:t xml:space="preserve"> </w:t>
      </w:r>
      <w:r w:rsidR="009169AA" w:rsidRPr="00B24172">
        <w:rPr>
          <w:lang w:val="en-NZ"/>
        </w:rPr>
        <w:t xml:space="preserve">while </w:t>
      </w:r>
      <w:r w:rsidR="00321CE6" w:rsidRPr="00B24172">
        <w:rPr>
          <w:lang w:val="en-NZ"/>
        </w:rPr>
        <w:t>ICS has the least benefit</w:t>
      </w:r>
      <w:r w:rsidR="00CA39F7" w:rsidRPr="00B24172">
        <w:rPr>
          <w:lang w:val="en-NZ"/>
        </w:rPr>
        <w:t xml:space="preserve"> because households do not stop using solid fuels</w:t>
      </w:r>
      <w:r w:rsidRPr="00B24172">
        <w:rPr>
          <w:lang w:val="en-NZ"/>
        </w:rPr>
        <w:t>.</w:t>
      </w:r>
      <w:r w:rsidR="00321CE6" w:rsidRPr="00B24172">
        <w:rPr>
          <w:lang w:val="en-NZ"/>
        </w:rPr>
        <w:t xml:space="preserve"> </w:t>
      </w:r>
    </w:p>
    <w:p w14:paraId="77C6365F" w14:textId="216B6B61" w:rsidR="00D93C2E" w:rsidRPr="00B24172" w:rsidRDefault="00D93C2E" w:rsidP="00D93C2E">
      <w:pPr>
        <w:pStyle w:val="Caption"/>
        <w:keepNext/>
        <w:rPr>
          <w:i w:val="0"/>
          <w:color w:val="auto"/>
          <w:sz w:val="24"/>
        </w:rPr>
      </w:pPr>
    </w:p>
    <w:p w14:paraId="31031AAB" w14:textId="77777777" w:rsidR="00672C40" w:rsidRPr="00B24172" w:rsidRDefault="00672C40" w:rsidP="00672C40"/>
    <w:p w14:paraId="28681C55" w14:textId="77777777" w:rsidR="00D93C2E" w:rsidRPr="00B24172" w:rsidRDefault="00D93C2E" w:rsidP="00D93C2E">
      <w:pPr>
        <w:pStyle w:val="Caption"/>
        <w:keepNext/>
        <w:rPr>
          <w:i w:val="0"/>
          <w:color w:val="auto"/>
          <w:sz w:val="24"/>
        </w:rPr>
      </w:pPr>
    </w:p>
    <w:p w14:paraId="36592A19" w14:textId="77777777" w:rsidR="00D93C2E" w:rsidRPr="00B24172" w:rsidRDefault="00D93C2E" w:rsidP="00D93C2E">
      <w:pPr>
        <w:pStyle w:val="Caption"/>
        <w:keepNext/>
        <w:rPr>
          <w:i w:val="0"/>
          <w:color w:val="auto"/>
          <w:sz w:val="24"/>
        </w:rPr>
      </w:pPr>
    </w:p>
    <w:p w14:paraId="3DE234DD" w14:textId="77777777" w:rsidR="00D93C2E" w:rsidRPr="00B24172" w:rsidRDefault="00D93C2E" w:rsidP="00D93C2E">
      <w:pPr>
        <w:pStyle w:val="Caption"/>
        <w:keepNext/>
        <w:rPr>
          <w:i w:val="0"/>
          <w:color w:val="auto"/>
          <w:sz w:val="24"/>
        </w:rPr>
      </w:pPr>
    </w:p>
    <w:p w14:paraId="2E1845E1" w14:textId="77777777" w:rsidR="00D93C2E" w:rsidRPr="00B24172" w:rsidRDefault="00D93C2E" w:rsidP="00D93C2E">
      <w:pPr>
        <w:pStyle w:val="Caption"/>
        <w:keepNext/>
        <w:rPr>
          <w:i w:val="0"/>
          <w:color w:val="auto"/>
          <w:sz w:val="24"/>
        </w:rPr>
      </w:pPr>
    </w:p>
    <w:p w14:paraId="7A034B69" w14:textId="77777777" w:rsidR="00D93C2E" w:rsidRPr="00B24172" w:rsidRDefault="00D93C2E" w:rsidP="00D93C2E">
      <w:pPr>
        <w:pStyle w:val="Caption"/>
        <w:keepNext/>
        <w:rPr>
          <w:i w:val="0"/>
          <w:color w:val="auto"/>
          <w:sz w:val="24"/>
        </w:rPr>
      </w:pPr>
    </w:p>
    <w:p w14:paraId="67F45C40" w14:textId="77777777" w:rsidR="00D93C2E" w:rsidRPr="00B24172" w:rsidRDefault="00D93C2E" w:rsidP="00D93C2E">
      <w:pPr>
        <w:pStyle w:val="Caption"/>
        <w:keepNext/>
        <w:rPr>
          <w:i w:val="0"/>
          <w:color w:val="auto"/>
          <w:sz w:val="24"/>
        </w:rPr>
      </w:pPr>
    </w:p>
    <w:p w14:paraId="74776DFC" w14:textId="77777777" w:rsidR="00D93C2E" w:rsidRPr="00B24172" w:rsidRDefault="00D93C2E" w:rsidP="00D93C2E">
      <w:pPr>
        <w:pStyle w:val="Caption"/>
        <w:keepNext/>
        <w:rPr>
          <w:i w:val="0"/>
          <w:color w:val="auto"/>
          <w:sz w:val="24"/>
        </w:rPr>
      </w:pPr>
    </w:p>
    <w:p w14:paraId="76FAB5C9" w14:textId="77777777" w:rsidR="00D93C2E" w:rsidRPr="00B24172" w:rsidRDefault="00D93C2E" w:rsidP="00D93C2E">
      <w:pPr>
        <w:pStyle w:val="Caption"/>
        <w:keepNext/>
        <w:rPr>
          <w:i w:val="0"/>
          <w:color w:val="auto"/>
          <w:sz w:val="24"/>
        </w:rPr>
      </w:pPr>
    </w:p>
    <w:p w14:paraId="6C93AABB" w14:textId="77777777" w:rsidR="00D93C2E" w:rsidRPr="00B24172" w:rsidRDefault="00D93C2E" w:rsidP="00D93C2E">
      <w:pPr>
        <w:pStyle w:val="Caption"/>
        <w:keepNext/>
        <w:rPr>
          <w:i w:val="0"/>
          <w:color w:val="auto"/>
          <w:sz w:val="24"/>
        </w:rPr>
      </w:pPr>
    </w:p>
    <w:p w14:paraId="29CE5E5C" w14:textId="77777777" w:rsidR="00D93C2E" w:rsidRPr="00B24172" w:rsidRDefault="00D93C2E" w:rsidP="00D93C2E">
      <w:pPr>
        <w:pStyle w:val="Caption"/>
        <w:keepNext/>
        <w:rPr>
          <w:i w:val="0"/>
          <w:color w:val="auto"/>
          <w:sz w:val="24"/>
        </w:rPr>
      </w:pPr>
    </w:p>
    <w:p w14:paraId="58AAAB62" w14:textId="6EC7ED4C" w:rsidR="00D93C2E" w:rsidRPr="00B24172" w:rsidRDefault="00D93C2E" w:rsidP="00D93C2E">
      <w:pPr>
        <w:pStyle w:val="Caption"/>
        <w:keepNext/>
        <w:rPr>
          <w:i w:val="0"/>
          <w:color w:val="auto"/>
          <w:sz w:val="24"/>
        </w:rPr>
      </w:pPr>
    </w:p>
    <w:p w14:paraId="06E76DAE" w14:textId="7767636E" w:rsidR="00D93C2E" w:rsidRPr="00B24172" w:rsidRDefault="00D93C2E" w:rsidP="00D93C2E"/>
    <w:p w14:paraId="2E983183" w14:textId="77777777" w:rsidR="005C3769" w:rsidRPr="00B24172" w:rsidRDefault="005C3769" w:rsidP="00A85A98">
      <w:pPr>
        <w:spacing w:after="240"/>
      </w:pPr>
    </w:p>
    <w:p w14:paraId="30EB442D" w14:textId="6A9D4620" w:rsidR="00D93C2E" w:rsidRPr="00B24172" w:rsidRDefault="00A85A98" w:rsidP="00A85A98">
      <w:pPr>
        <w:spacing w:after="240"/>
      </w:pPr>
      <w:r w:rsidRPr="00B24172">
        <w:lastRenderedPageBreak/>
        <w:t>Table 3: Summary of the Benefits for all interventions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350"/>
        <w:gridCol w:w="1440"/>
        <w:gridCol w:w="1260"/>
        <w:gridCol w:w="1281"/>
      </w:tblGrid>
      <w:tr w:rsidR="00D7575A" w:rsidRPr="00B24172" w14:paraId="0185E1BF" w14:textId="5169DBC3" w:rsidTr="00D7575A">
        <w:trPr>
          <w:trHeight w:val="126"/>
          <w:jc w:val="center"/>
        </w:trPr>
        <w:tc>
          <w:tcPr>
            <w:tcW w:w="3685" w:type="dxa"/>
            <w:shd w:val="clear" w:color="auto" w:fill="auto"/>
            <w:noWrap/>
            <w:vAlign w:val="center"/>
            <w:hideMark/>
          </w:tcPr>
          <w:p w14:paraId="267DC404" w14:textId="77777777" w:rsidR="00EE1957" w:rsidRPr="00B24172" w:rsidRDefault="00EE1957" w:rsidP="00D93C2E">
            <w:pPr>
              <w:jc w:val="center"/>
              <w:rPr>
                <w:lang w:val="en-NZ" w:eastAsia="en-NZ"/>
              </w:rPr>
            </w:pPr>
            <w:r w:rsidRPr="00B24172">
              <w:rPr>
                <w:lang w:val="en-NZ" w:eastAsia="en-NZ"/>
              </w:rPr>
              <w:t>Interventions</w:t>
            </w:r>
          </w:p>
        </w:tc>
        <w:tc>
          <w:tcPr>
            <w:tcW w:w="1350" w:type="dxa"/>
          </w:tcPr>
          <w:p w14:paraId="3A60725C" w14:textId="5ACFD8E1" w:rsidR="00EE1957" w:rsidRPr="00B24172" w:rsidRDefault="00EE1957" w:rsidP="00F75111">
            <w:pPr>
              <w:rPr>
                <w:lang w:val="en-NZ" w:eastAsia="en-NZ"/>
              </w:rPr>
            </w:pPr>
            <w:r w:rsidRPr="00B24172">
              <w:rPr>
                <w:lang w:val="en-NZ" w:eastAsia="en-NZ"/>
              </w:rPr>
              <w:t>For a HH (PKR)</w:t>
            </w:r>
          </w:p>
        </w:tc>
        <w:tc>
          <w:tcPr>
            <w:tcW w:w="3981" w:type="dxa"/>
            <w:gridSpan w:val="3"/>
          </w:tcPr>
          <w:p w14:paraId="6520B6BB" w14:textId="63984D07" w:rsidR="00EE1957" w:rsidRPr="00B24172" w:rsidRDefault="00EE1957" w:rsidP="00D93C2E">
            <w:pPr>
              <w:jc w:val="center"/>
              <w:rPr>
                <w:lang w:val="en-NZ" w:eastAsia="en-NZ"/>
              </w:rPr>
            </w:pPr>
            <w:r w:rsidRPr="00B24172">
              <w:rPr>
                <w:lang w:val="en-NZ" w:eastAsia="en-NZ"/>
              </w:rPr>
              <w:t>10 years discounted benefits for the entire country (million PKR) Approx.</w:t>
            </w:r>
          </w:p>
        </w:tc>
      </w:tr>
      <w:tr w:rsidR="00464100" w:rsidRPr="00B24172" w14:paraId="677DEF2E" w14:textId="330F1D8B" w:rsidTr="00EB1EED">
        <w:trPr>
          <w:trHeight w:val="100"/>
          <w:jc w:val="center"/>
        </w:trPr>
        <w:tc>
          <w:tcPr>
            <w:tcW w:w="3685" w:type="dxa"/>
            <w:shd w:val="clear" w:color="auto" w:fill="auto"/>
            <w:noWrap/>
            <w:vAlign w:val="bottom"/>
            <w:hideMark/>
          </w:tcPr>
          <w:p w14:paraId="26DDA2AD" w14:textId="77777777" w:rsidR="00EE1957" w:rsidRPr="00B24172" w:rsidRDefault="00EE1957" w:rsidP="00D93C2E">
            <w:pPr>
              <w:rPr>
                <w:b/>
                <w:lang w:val="en-NZ" w:eastAsia="en-NZ"/>
              </w:rPr>
            </w:pPr>
            <w:r w:rsidRPr="00B24172">
              <w:rPr>
                <w:b/>
                <w:lang w:val="en-NZ" w:eastAsia="en-NZ"/>
              </w:rPr>
              <w:t>Biogas</w:t>
            </w:r>
          </w:p>
        </w:tc>
        <w:tc>
          <w:tcPr>
            <w:tcW w:w="1350" w:type="dxa"/>
          </w:tcPr>
          <w:p w14:paraId="1FB67F59" w14:textId="77777777" w:rsidR="00EE1957" w:rsidRPr="00B24172" w:rsidRDefault="00EE1957" w:rsidP="00D93C2E">
            <w:pPr>
              <w:jc w:val="center"/>
              <w:rPr>
                <w:lang w:val="en-NZ" w:eastAsia="en-NZ"/>
              </w:rPr>
            </w:pPr>
          </w:p>
        </w:tc>
        <w:tc>
          <w:tcPr>
            <w:tcW w:w="1440" w:type="dxa"/>
          </w:tcPr>
          <w:p w14:paraId="0D146976" w14:textId="6D218168" w:rsidR="00EE1957" w:rsidRPr="00B24172" w:rsidRDefault="00CA39F7" w:rsidP="00D93C2E">
            <w:pPr>
              <w:jc w:val="center"/>
              <w:rPr>
                <w:lang w:val="en-NZ" w:eastAsia="en-NZ"/>
              </w:rPr>
            </w:pPr>
            <w:r w:rsidRPr="00B24172">
              <w:rPr>
                <w:lang w:val="en-NZ" w:eastAsia="en-NZ"/>
              </w:rPr>
              <w:t xml:space="preserve">DR </w:t>
            </w:r>
            <w:r w:rsidR="00EE1957" w:rsidRPr="00B24172">
              <w:rPr>
                <w:lang w:val="en-NZ" w:eastAsia="en-NZ"/>
              </w:rPr>
              <w:t>3%</w:t>
            </w:r>
          </w:p>
        </w:tc>
        <w:tc>
          <w:tcPr>
            <w:tcW w:w="1260" w:type="dxa"/>
          </w:tcPr>
          <w:p w14:paraId="1AC8DCC9" w14:textId="16CE23F6" w:rsidR="00EE1957" w:rsidRPr="00B24172" w:rsidRDefault="00CA39F7" w:rsidP="00D93C2E">
            <w:pPr>
              <w:jc w:val="center"/>
              <w:rPr>
                <w:lang w:val="en-NZ" w:eastAsia="en-NZ"/>
              </w:rPr>
            </w:pPr>
            <w:r w:rsidRPr="00B24172">
              <w:rPr>
                <w:lang w:val="en-NZ" w:eastAsia="en-NZ"/>
              </w:rPr>
              <w:t xml:space="preserve">DR </w:t>
            </w:r>
            <w:r w:rsidR="00EE1957" w:rsidRPr="00B24172">
              <w:rPr>
                <w:lang w:val="en-NZ" w:eastAsia="en-NZ"/>
              </w:rPr>
              <w:t>7.5%</w:t>
            </w:r>
          </w:p>
        </w:tc>
        <w:tc>
          <w:tcPr>
            <w:tcW w:w="1281" w:type="dxa"/>
          </w:tcPr>
          <w:p w14:paraId="65ED2FC4" w14:textId="56C729E3" w:rsidR="00EE1957" w:rsidRPr="00B24172" w:rsidRDefault="00CA39F7" w:rsidP="00D93C2E">
            <w:pPr>
              <w:jc w:val="center"/>
              <w:rPr>
                <w:lang w:val="en-NZ" w:eastAsia="en-NZ"/>
              </w:rPr>
            </w:pPr>
            <w:r w:rsidRPr="00B24172">
              <w:rPr>
                <w:lang w:val="en-NZ" w:eastAsia="en-NZ"/>
              </w:rPr>
              <w:t xml:space="preserve">DR </w:t>
            </w:r>
            <w:r w:rsidR="00EE1957" w:rsidRPr="00B24172">
              <w:rPr>
                <w:lang w:val="en-NZ" w:eastAsia="en-NZ"/>
              </w:rPr>
              <w:t>12%</w:t>
            </w:r>
          </w:p>
        </w:tc>
      </w:tr>
      <w:tr w:rsidR="00464100" w:rsidRPr="00B24172" w14:paraId="3B96F52F" w14:textId="574E5CFA" w:rsidTr="00EB1EED">
        <w:trPr>
          <w:trHeight w:val="100"/>
          <w:jc w:val="center"/>
        </w:trPr>
        <w:tc>
          <w:tcPr>
            <w:tcW w:w="3685" w:type="dxa"/>
            <w:shd w:val="clear" w:color="auto" w:fill="auto"/>
            <w:noWrap/>
            <w:vAlign w:val="bottom"/>
          </w:tcPr>
          <w:p w14:paraId="654DAA93" w14:textId="1ADB0097" w:rsidR="00EE1957" w:rsidRPr="00B24172" w:rsidRDefault="00EE1957" w:rsidP="0026724C">
            <w:pPr>
              <w:rPr>
                <w:lang w:val="en-NZ" w:eastAsia="en-NZ"/>
              </w:rPr>
            </w:pPr>
            <w:r w:rsidRPr="00B24172">
              <w:rPr>
                <w:lang w:val="en-NZ" w:eastAsia="en-NZ"/>
              </w:rPr>
              <w:t xml:space="preserve">      Fuel saving</w:t>
            </w:r>
          </w:p>
        </w:tc>
        <w:tc>
          <w:tcPr>
            <w:tcW w:w="1350" w:type="dxa"/>
          </w:tcPr>
          <w:p w14:paraId="6F95B4B2" w14:textId="70BB188C" w:rsidR="00EE1957" w:rsidRPr="00B24172" w:rsidRDefault="00EE1957" w:rsidP="0026724C">
            <w:pPr>
              <w:jc w:val="center"/>
              <w:rPr>
                <w:lang w:val="en-NZ" w:eastAsia="en-NZ"/>
              </w:rPr>
            </w:pPr>
            <w:r w:rsidRPr="00B24172">
              <w:rPr>
                <w:lang w:val="en-NZ" w:eastAsia="en-NZ"/>
              </w:rPr>
              <w:t>3012</w:t>
            </w:r>
          </w:p>
        </w:tc>
        <w:tc>
          <w:tcPr>
            <w:tcW w:w="1440" w:type="dxa"/>
            <w:vMerge w:val="restart"/>
          </w:tcPr>
          <w:p w14:paraId="51DD8198" w14:textId="77777777" w:rsidR="00EE1957" w:rsidRPr="00B24172" w:rsidRDefault="00EE1957" w:rsidP="00EE1957">
            <w:pPr>
              <w:jc w:val="center"/>
            </w:pPr>
          </w:p>
          <w:p w14:paraId="50278A72" w14:textId="77777777" w:rsidR="00EE1957" w:rsidRPr="00B24172" w:rsidRDefault="00EE1957" w:rsidP="00EE1957">
            <w:pPr>
              <w:jc w:val="center"/>
            </w:pPr>
          </w:p>
          <w:p w14:paraId="43157EF8" w14:textId="77777777" w:rsidR="00EB1EED" w:rsidRPr="00B24172" w:rsidRDefault="00EB1EED" w:rsidP="00CA39F7">
            <w:pPr>
              <w:jc w:val="center"/>
            </w:pPr>
          </w:p>
          <w:p w14:paraId="28BEC42A" w14:textId="17661A8E" w:rsidR="00EE1957" w:rsidRPr="00B24172" w:rsidRDefault="00CA39F7" w:rsidP="00CA39F7">
            <w:pPr>
              <w:jc w:val="center"/>
              <w:rPr>
                <w:lang w:val="en-NZ" w:eastAsia="en-NZ"/>
              </w:rPr>
            </w:pPr>
            <w:r w:rsidRPr="00B24172">
              <w:t xml:space="preserve">8,547,730 </w:t>
            </w:r>
          </w:p>
        </w:tc>
        <w:tc>
          <w:tcPr>
            <w:tcW w:w="1260" w:type="dxa"/>
            <w:vMerge w:val="restart"/>
          </w:tcPr>
          <w:p w14:paraId="7F041DC3" w14:textId="77777777" w:rsidR="00EE1957" w:rsidRPr="00B24172" w:rsidRDefault="00EE1957" w:rsidP="00EE1957">
            <w:pPr>
              <w:jc w:val="center"/>
            </w:pPr>
          </w:p>
          <w:p w14:paraId="226849CD" w14:textId="77777777" w:rsidR="00EE1957" w:rsidRPr="00B24172" w:rsidRDefault="00EE1957" w:rsidP="00EE1957">
            <w:pPr>
              <w:jc w:val="center"/>
            </w:pPr>
          </w:p>
          <w:p w14:paraId="3D41910B" w14:textId="77777777" w:rsidR="00EB1EED" w:rsidRPr="00B24172" w:rsidRDefault="00EB1EED" w:rsidP="00CA39F7">
            <w:pPr>
              <w:jc w:val="center"/>
            </w:pPr>
          </w:p>
          <w:p w14:paraId="4BFD942B" w14:textId="14312ABF" w:rsidR="00EE1957" w:rsidRPr="00B24172" w:rsidRDefault="00CA39F7" w:rsidP="00CA39F7">
            <w:pPr>
              <w:jc w:val="center"/>
              <w:rPr>
                <w:lang w:val="en-NZ" w:eastAsia="en-NZ"/>
              </w:rPr>
            </w:pPr>
            <w:r w:rsidRPr="00B24172">
              <w:t xml:space="preserve">7,178,688 </w:t>
            </w:r>
          </w:p>
        </w:tc>
        <w:tc>
          <w:tcPr>
            <w:tcW w:w="1281" w:type="dxa"/>
            <w:vMerge w:val="restart"/>
          </w:tcPr>
          <w:p w14:paraId="657CC1FD" w14:textId="77777777" w:rsidR="00EE1957" w:rsidRPr="00B24172" w:rsidRDefault="00EE1957" w:rsidP="00EE1957">
            <w:pPr>
              <w:jc w:val="center"/>
            </w:pPr>
          </w:p>
          <w:p w14:paraId="521BE7F5" w14:textId="77777777" w:rsidR="00EE1957" w:rsidRPr="00B24172" w:rsidRDefault="00EE1957" w:rsidP="00EE1957">
            <w:pPr>
              <w:jc w:val="center"/>
            </w:pPr>
          </w:p>
          <w:p w14:paraId="7451B670" w14:textId="72BF7A83" w:rsidR="00EE1957" w:rsidRPr="00B24172" w:rsidRDefault="00CA39F7" w:rsidP="00CA39F7">
            <w:pPr>
              <w:rPr>
                <w:lang w:val="en-NZ" w:eastAsia="en-NZ"/>
              </w:rPr>
            </w:pPr>
            <w:r w:rsidRPr="00B24172">
              <w:t xml:space="preserve">    6,156,556 </w:t>
            </w:r>
          </w:p>
        </w:tc>
      </w:tr>
      <w:tr w:rsidR="00D7575A" w:rsidRPr="00B24172" w14:paraId="2FE0017F" w14:textId="7DD0DBCC" w:rsidTr="00EB1EED">
        <w:trPr>
          <w:trHeight w:val="100"/>
          <w:jc w:val="center"/>
        </w:trPr>
        <w:tc>
          <w:tcPr>
            <w:tcW w:w="3685" w:type="dxa"/>
            <w:shd w:val="clear" w:color="auto" w:fill="auto"/>
            <w:noWrap/>
            <w:vAlign w:val="bottom"/>
          </w:tcPr>
          <w:p w14:paraId="2948D2CF" w14:textId="2BFBC70F" w:rsidR="00EE1957" w:rsidRPr="00B24172" w:rsidRDefault="00EE1957" w:rsidP="00D93C2E">
            <w:pPr>
              <w:rPr>
                <w:lang w:val="en-NZ" w:eastAsia="en-NZ"/>
              </w:rPr>
            </w:pPr>
            <w:r w:rsidRPr="00B24172">
              <w:rPr>
                <w:lang w:val="en-NZ" w:eastAsia="en-NZ"/>
              </w:rPr>
              <w:t xml:space="preserve">      Fertilizer saving</w:t>
            </w:r>
          </w:p>
        </w:tc>
        <w:tc>
          <w:tcPr>
            <w:tcW w:w="1350" w:type="dxa"/>
          </w:tcPr>
          <w:p w14:paraId="69CC14A8" w14:textId="331C5042" w:rsidR="00EE1957" w:rsidRPr="00B24172" w:rsidRDefault="00CA39F7" w:rsidP="00D93C2E">
            <w:pPr>
              <w:jc w:val="center"/>
              <w:rPr>
                <w:lang w:val="en-NZ" w:eastAsia="en-NZ"/>
              </w:rPr>
            </w:pPr>
            <w:r w:rsidRPr="00B24172">
              <w:rPr>
                <w:lang w:val="en-NZ" w:eastAsia="en-NZ"/>
              </w:rPr>
              <w:t>9,835</w:t>
            </w:r>
          </w:p>
        </w:tc>
        <w:tc>
          <w:tcPr>
            <w:tcW w:w="1440" w:type="dxa"/>
            <w:vMerge/>
          </w:tcPr>
          <w:p w14:paraId="5558AFC9" w14:textId="295BD33D" w:rsidR="00EE1957" w:rsidRPr="00B24172" w:rsidRDefault="00EE1957" w:rsidP="00EE1957">
            <w:pPr>
              <w:jc w:val="center"/>
              <w:rPr>
                <w:lang w:val="en-NZ" w:eastAsia="en-NZ"/>
              </w:rPr>
            </w:pPr>
          </w:p>
        </w:tc>
        <w:tc>
          <w:tcPr>
            <w:tcW w:w="1260" w:type="dxa"/>
            <w:vMerge/>
          </w:tcPr>
          <w:p w14:paraId="1C775E55" w14:textId="4BD58F4A" w:rsidR="00EE1957" w:rsidRPr="00B24172" w:rsidRDefault="00EE1957" w:rsidP="00EE1957">
            <w:pPr>
              <w:jc w:val="center"/>
              <w:rPr>
                <w:lang w:val="en-NZ" w:eastAsia="en-NZ"/>
              </w:rPr>
            </w:pPr>
          </w:p>
        </w:tc>
        <w:tc>
          <w:tcPr>
            <w:tcW w:w="1281" w:type="dxa"/>
            <w:vMerge/>
          </w:tcPr>
          <w:p w14:paraId="508D1DB7" w14:textId="194D6971" w:rsidR="00EE1957" w:rsidRPr="00B24172" w:rsidRDefault="00EE1957" w:rsidP="00EE1957">
            <w:pPr>
              <w:jc w:val="center"/>
              <w:rPr>
                <w:lang w:val="en-NZ" w:eastAsia="en-NZ"/>
              </w:rPr>
            </w:pPr>
          </w:p>
        </w:tc>
      </w:tr>
      <w:tr w:rsidR="00D7575A" w:rsidRPr="00B24172" w14:paraId="69B60C44" w14:textId="50B9D204" w:rsidTr="00EB1EED">
        <w:trPr>
          <w:trHeight w:val="100"/>
          <w:jc w:val="center"/>
        </w:trPr>
        <w:tc>
          <w:tcPr>
            <w:tcW w:w="3685" w:type="dxa"/>
            <w:shd w:val="clear" w:color="auto" w:fill="auto"/>
            <w:noWrap/>
            <w:vAlign w:val="bottom"/>
          </w:tcPr>
          <w:p w14:paraId="3FA634B6" w14:textId="3796013A" w:rsidR="00EE1957" w:rsidRPr="00B24172" w:rsidRDefault="00EE1957" w:rsidP="00D93C2E">
            <w:pPr>
              <w:rPr>
                <w:lang w:val="en-NZ" w:eastAsia="en-NZ"/>
              </w:rPr>
            </w:pPr>
            <w:r w:rsidRPr="00B24172">
              <w:rPr>
                <w:lang w:val="en-NZ" w:eastAsia="en-NZ"/>
              </w:rPr>
              <w:t xml:space="preserve">      Mortality benefits</w:t>
            </w:r>
          </w:p>
        </w:tc>
        <w:tc>
          <w:tcPr>
            <w:tcW w:w="1350" w:type="dxa"/>
          </w:tcPr>
          <w:p w14:paraId="66410035" w14:textId="2650F8FE" w:rsidR="00EE1957" w:rsidRPr="00B24172" w:rsidRDefault="00EE1957" w:rsidP="00D93C2E">
            <w:pPr>
              <w:jc w:val="center"/>
              <w:rPr>
                <w:lang w:val="en-NZ" w:eastAsia="en-NZ"/>
              </w:rPr>
            </w:pPr>
            <w:r w:rsidRPr="00B24172">
              <w:rPr>
                <w:lang w:val="en-NZ" w:eastAsia="en-NZ"/>
              </w:rPr>
              <w:t>38,877</w:t>
            </w:r>
          </w:p>
        </w:tc>
        <w:tc>
          <w:tcPr>
            <w:tcW w:w="1440" w:type="dxa"/>
            <w:vMerge/>
          </w:tcPr>
          <w:p w14:paraId="66DBAF30" w14:textId="7BEED6A7" w:rsidR="00EE1957" w:rsidRPr="00B24172" w:rsidRDefault="00EE1957" w:rsidP="00EE1957">
            <w:pPr>
              <w:jc w:val="center"/>
              <w:rPr>
                <w:lang w:val="en-NZ" w:eastAsia="en-NZ"/>
              </w:rPr>
            </w:pPr>
          </w:p>
        </w:tc>
        <w:tc>
          <w:tcPr>
            <w:tcW w:w="1260" w:type="dxa"/>
            <w:vMerge/>
          </w:tcPr>
          <w:p w14:paraId="58391A28" w14:textId="29BD7BF1" w:rsidR="00EE1957" w:rsidRPr="00B24172" w:rsidRDefault="00EE1957" w:rsidP="00EE1957">
            <w:pPr>
              <w:jc w:val="center"/>
              <w:rPr>
                <w:lang w:val="en-NZ" w:eastAsia="en-NZ"/>
              </w:rPr>
            </w:pPr>
          </w:p>
        </w:tc>
        <w:tc>
          <w:tcPr>
            <w:tcW w:w="1281" w:type="dxa"/>
            <w:vMerge/>
          </w:tcPr>
          <w:p w14:paraId="03BAC9CF" w14:textId="51ECEC77" w:rsidR="00EE1957" w:rsidRPr="00B24172" w:rsidRDefault="00EE1957" w:rsidP="00EE1957">
            <w:pPr>
              <w:jc w:val="center"/>
              <w:rPr>
                <w:lang w:val="en-NZ" w:eastAsia="en-NZ"/>
              </w:rPr>
            </w:pPr>
          </w:p>
        </w:tc>
      </w:tr>
      <w:tr w:rsidR="00D7575A" w:rsidRPr="00B24172" w14:paraId="58801704" w14:textId="2FDCC252" w:rsidTr="00EB1EED">
        <w:trPr>
          <w:trHeight w:val="100"/>
          <w:jc w:val="center"/>
        </w:trPr>
        <w:tc>
          <w:tcPr>
            <w:tcW w:w="3685" w:type="dxa"/>
            <w:shd w:val="clear" w:color="auto" w:fill="auto"/>
            <w:noWrap/>
            <w:vAlign w:val="bottom"/>
          </w:tcPr>
          <w:p w14:paraId="08017981" w14:textId="4350B917" w:rsidR="00EE1957" w:rsidRPr="00B24172" w:rsidRDefault="00EE1957" w:rsidP="00D93C2E">
            <w:pPr>
              <w:rPr>
                <w:lang w:val="en-NZ" w:eastAsia="en-NZ"/>
              </w:rPr>
            </w:pPr>
            <w:r w:rsidRPr="00B24172">
              <w:rPr>
                <w:lang w:val="en-NZ" w:eastAsia="en-NZ"/>
              </w:rPr>
              <w:t xml:space="preserve">      Morbidity benefits</w:t>
            </w:r>
          </w:p>
        </w:tc>
        <w:tc>
          <w:tcPr>
            <w:tcW w:w="1350" w:type="dxa"/>
          </w:tcPr>
          <w:p w14:paraId="3B9EF373" w14:textId="0B6CEE43" w:rsidR="00EE1957" w:rsidRPr="00B24172" w:rsidRDefault="00EE1957" w:rsidP="00D93C2E">
            <w:pPr>
              <w:jc w:val="center"/>
              <w:rPr>
                <w:lang w:val="en-NZ" w:eastAsia="en-NZ"/>
              </w:rPr>
            </w:pPr>
            <w:r w:rsidRPr="00B24172">
              <w:rPr>
                <w:lang w:val="en-NZ" w:eastAsia="en-NZ"/>
              </w:rPr>
              <w:t>2,116</w:t>
            </w:r>
          </w:p>
        </w:tc>
        <w:tc>
          <w:tcPr>
            <w:tcW w:w="1440" w:type="dxa"/>
            <w:vMerge/>
          </w:tcPr>
          <w:p w14:paraId="715FDC8E" w14:textId="77777777" w:rsidR="00EE1957" w:rsidRPr="00B24172" w:rsidRDefault="00EE1957" w:rsidP="00D93C2E">
            <w:pPr>
              <w:jc w:val="center"/>
              <w:rPr>
                <w:lang w:val="en-NZ" w:eastAsia="en-NZ"/>
              </w:rPr>
            </w:pPr>
          </w:p>
        </w:tc>
        <w:tc>
          <w:tcPr>
            <w:tcW w:w="1260" w:type="dxa"/>
            <w:vMerge/>
          </w:tcPr>
          <w:p w14:paraId="135DC9E8" w14:textId="77777777" w:rsidR="00EE1957" w:rsidRPr="00B24172" w:rsidRDefault="00EE1957" w:rsidP="00D93C2E">
            <w:pPr>
              <w:jc w:val="center"/>
              <w:rPr>
                <w:lang w:val="en-NZ" w:eastAsia="en-NZ"/>
              </w:rPr>
            </w:pPr>
          </w:p>
        </w:tc>
        <w:tc>
          <w:tcPr>
            <w:tcW w:w="1281" w:type="dxa"/>
            <w:vMerge/>
          </w:tcPr>
          <w:p w14:paraId="43179F80" w14:textId="21AD608D" w:rsidR="00EE1957" w:rsidRPr="00B24172" w:rsidRDefault="00EE1957" w:rsidP="00D93C2E">
            <w:pPr>
              <w:jc w:val="center"/>
              <w:rPr>
                <w:lang w:val="en-NZ" w:eastAsia="en-NZ"/>
              </w:rPr>
            </w:pPr>
          </w:p>
        </w:tc>
      </w:tr>
      <w:tr w:rsidR="00D7575A" w:rsidRPr="00B24172" w14:paraId="2AA1B1DD" w14:textId="7C4ED7EC" w:rsidTr="00EB1EED">
        <w:trPr>
          <w:trHeight w:val="100"/>
          <w:jc w:val="center"/>
        </w:trPr>
        <w:tc>
          <w:tcPr>
            <w:tcW w:w="3685" w:type="dxa"/>
            <w:shd w:val="clear" w:color="auto" w:fill="auto"/>
            <w:noWrap/>
            <w:vAlign w:val="bottom"/>
          </w:tcPr>
          <w:p w14:paraId="34EA08F0" w14:textId="740B7C3A" w:rsidR="00EE1957" w:rsidRPr="00B24172" w:rsidRDefault="00EE1957" w:rsidP="00D93C2E">
            <w:pPr>
              <w:rPr>
                <w:lang w:val="en-NZ" w:eastAsia="en-NZ"/>
              </w:rPr>
            </w:pPr>
            <w:r w:rsidRPr="00B24172">
              <w:rPr>
                <w:lang w:val="en-NZ" w:eastAsia="en-NZ"/>
              </w:rPr>
              <w:t xml:space="preserve">      Health care benefits</w:t>
            </w:r>
          </w:p>
        </w:tc>
        <w:tc>
          <w:tcPr>
            <w:tcW w:w="1350" w:type="dxa"/>
          </w:tcPr>
          <w:p w14:paraId="1165A0C1" w14:textId="14883337" w:rsidR="00EE1957" w:rsidRPr="00B24172" w:rsidRDefault="00EE1957" w:rsidP="00D93C2E">
            <w:pPr>
              <w:jc w:val="center"/>
              <w:rPr>
                <w:lang w:val="en-NZ" w:eastAsia="en-NZ"/>
              </w:rPr>
            </w:pPr>
            <w:r w:rsidRPr="00B24172">
              <w:rPr>
                <w:lang w:val="en-NZ" w:eastAsia="en-NZ"/>
              </w:rPr>
              <w:t>250</w:t>
            </w:r>
          </w:p>
        </w:tc>
        <w:tc>
          <w:tcPr>
            <w:tcW w:w="1440" w:type="dxa"/>
            <w:vMerge/>
          </w:tcPr>
          <w:p w14:paraId="76E7AB72" w14:textId="77777777" w:rsidR="00EE1957" w:rsidRPr="00B24172" w:rsidRDefault="00EE1957" w:rsidP="00D93C2E">
            <w:pPr>
              <w:jc w:val="center"/>
              <w:rPr>
                <w:lang w:val="en-NZ" w:eastAsia="en-NZ"/>
              </w:rPr>
            </w:pPr>
          </w:p>
        </w:tc>
        <w:tc>
          <w:tcPr>
            <w:tcW w:w="1260" w:type="dxa"/>
            <w:vMerge/>
          </w:tcPr>
          <w:p w14:paraId="7133A379" w14:textId="77777777" w:rsidR="00EE1957" w:rsidRPr="00B24172" w:rsidRDefault="00EE1957" w:rsidP="00D93C2E">
            <w:pPr>
              <w:jc w:val="center"/>
              <w:rPr>
                <w:lang w:val="en-NZ" w:eastAsia="en-NZ"/>
              </w:rPr>
            </w:pPr>
          </w:p>
        </w:tc>
        <w:tc>
          <w:tcPr>
            <w:tcW w:w="1281" w:type="dxa"/>
            <w:vMerge/>
          </w:tcPr>
          <w:p w14:paraId="77BE848C" w14:textId="1017841A" w:rsidR="00EE1957" w:rsidRPr="00B24172" w:rsidRDefault="00EE1957" w:rsidP="00D93C2E">
            <w:pPr>
              <w:jc w:val="center"/>
              <w:rPr>
                <w:lang w:val="en-NZ" w:eastAsia="en-NZ"/>
              </w:rPr>
            </w:pPr>
          </w:p>
        </w:tc>
      </w:tr>
      <w:tr w:rsidR="00D7575A" w:rsidRPr="00B24172" w14:paraId="3BE9CFCE" w14:textId="62EFECF6" w:rsidTr="00EB1EED">
        <w:trPr>
          <w:trHeight w:val="100"/>
          <w:jc w:val="center"/>
        </w:trPr>
        <w:tc>
          <w:tcPr>
            <w:tcW w:w="3685" w:type="dxa"/>
            <w:shd w:val="clear" w:color="auto" w:fill="auto"/>
            <w:noWrap/>
            <w:vAlign w:val="bottom"/>
          </w:tcPr>
          <w:p w14:paraId="680B9D35" w14:textId="298A1EE4" w:rsidR="00EE1957" w:rsidRPr="00B24172" w:rsidRDefault="00EE1957" w:rsidP="00D93C2E">
            <w:pPr>
              <w:rPr>
                <w:lang w:val="en-NZ" w:eastAsia="en-NZ"/>
              </w:rPr>
            </w:pPr>
            <w:r w:rsidRPr="00B24172">
              <w:rPr>
                <w:lang w:val="en-NZ" w:eastAsia="en-NZ"/>
              </w:rPr>
              <w:t xml:space="preserve">      Time saving</w:t>
            </w:r>
          </w:p>
        </w:tc>
        <w:tc>
          <w:tcPr>
            <w:tcW w:w="1350" w:type="dxa"/>
          </w:tcPr>
          <w:p w14:paraId="209AFAD5" w14:textId="7152E071" w:rsidR="00EE1957" w:rsidRPr="00B24172" w:rsidRDefault="00EE1957" w:rsidP="00D93C2E">
            <w:pPr>
              <w:jc w:val="center"/>
              <w:rPr>
                <w:lang w:val="en-NZ" w:eastAsia="en-NZ"/>
              </w:rPr>
            </w:pPr>
            <w:r w:rsidRPr="00B24172">
              <w:rPr>
                <w:lang w:val="en-NZ" w:eastAsia="en-NZ"/>
              </w:rPr>
              <w:t>9,759</w:t>
            </w:r>
          </w:p>
        </w:tc>
        <w:tc>
          <w:tcPr>
            <w:tcW w:w="1440" w:type="dxa"/>
            <w:vMerge/>
          </w:tcPr>
          <w:p w14:paraId="64911786" w14:textId="77777777" w:rsidR="00EE1957" w:rsidRPr="00B24172" w:rsidRDefault="00EE1957" w:rsidP="00D93C2E">
            <w:pPr>
              <w:jc w:val="center"/>
              <w:rPr>
                <w:lang w:val="en-NZ" w:eastAsia="en-NZ"/>
              </w:rPr>
            </w:pPr>
          </w:p>
        </w:tc>
        <w:tc>
          <w:tcPr>
            <w:tcW w:w="1260" w:type="dxa"/>
            <w:vMerge/>
          </w:tcPr>
          <w:p w14:paraId="2F36EF56" w14:textId="77777777" w:rsidR="00EE1957" w:rsidRPr="00B24172" w:rsidRDefault="00EE1957" w:rsidP="00D93C2E">
            <w:pPr>
              <w:jc w:val="center"/>
              <w:rPr>
                <w:lang w:val="en-NZ" w:eastAsia="en-NZ"/>
              </w:rPr>
            </w:pPr>
          </w:p>
        </w:tc>
        <w:tc>
          <w:tcPr>
            <w:tcW w:w="1281" w:type="dxa"/>
            <w:vMerge/>
          </w:tcPr>
          <w:p w14:paraId="29628E2F" w14:textId="6513447A" w:rsidR="00EE1957" w:rsidRPr="00B24172" w:rsidRDefault="00EE1957" w:rsidP="00D93C2E">
            <w:pPr>
              <w:jc w:val="center"/>
              <w:rPr>
                <w:lang w:val="en-NZ" w:eastAsia="en-NZ"/>
              </w:rPr>
            </w:pPr>
          </w:p>
        </w:tc>
      </w:tr>
      <w:tr w:rsidR="00D7575A" w:rsidRPr="00B24172" w14:paraId="1E0028B6" w14:textId="44F55B5E" w:rsidTr="00EB1EED">
        <w:trPr>
          <w:trHeight w:val="100"/>
          <w:jc w:val="center"/>
        </w:trPr>
        <w:tc>
          <w:tcPr>
            <w:tcW w:w="3685" w:type="dxa"/>
            <w:shd w:val="clear" w:color="auto" w:fill="auto"/>
            <w:noWrap/>
            <w:vAlign w:val="bottom"/>
          </w:tcPr>
          <w:p w14:paraId="3B65187B" w14:textId="10E73923" w:rsidR="00EE1957" w:rsidRPr="00B24172" w:rsidRDefault="00EE1957" w:rsidP="00D93C2E">
            <w:pPr>
              <w:rPr>
                <w:lang w:val="en-NZ" w:eastAsia="en-NZ"/>
              </w:rPr>
            </w:pPr>
            <w:r w:rsidRPr="00B24172">
              <w:rPr>
                <w:lang w:val="en-NZ" w:eastAsia="en-NZ"/>
              </w:rPr>
              <w:t xml:space="preserve">      Productivity gain</w:t>
            </w:r>
          </w:p>
        </w:tc>
        <w:tc>
          <w:tcPr>
            <w:tcW w:w="1350" w:type="dxa"/>
          </w:tcPr>
          <w:p w14:paraId="30690B9D" w14:textId="065912B8" w:rsidR="00EE1957" w:rsidRPr="00B24172" w:rsidRDefault="00EE1957" w:rsidP="00D93C2E">
            <w:pPr>
              <w:jc w:val="center"/>
              <w:rPr>
                <w:lang w:val="en-NZ" w:eastAsia="en-NZ"/>
              </w:rPr>
            </w:pPr>
            <w:r w:rsidRPr="00B24172">
              <w:rPr>
                <w:lang w:val="en-NZ" w:eastAsia="en-NZ"/>
              </w:rPr>
              <w:t>71</w:t>
            </w:r>
          </w:p>
        </w:tc>
        <w:tc>
          <w:tcPr>
            <w:tcW w:w="1440" w:type="dxa"/>
            <w:vMerge/>
          </w:tcPr>
          <w:p w14:paraId="179056A3" w14:textId="77777777" w:rsidR="00EE1957" w:rsidRPr="00B24172" w:rsidRDefault="00EE1957" w:rsidP="00D93C2E">
            <w:pPr>
              <w:jc w:val="center"/>
              <w:rPr>
                <w:lang w:val="en-NZ" w:eastAsia="en-NZ"/>
              </w:rPr>
            </w:pPr>
          </w:p>
        </w:tc>
        <w:tc>
          <w:tcPr>
            <w:tcW w:w="1260" w:type="dxa"/>
            <w:vMerge/>
          </w:tcPr>
          <w:p w14:paraId="3600F354" w14:textId="77777777" w:rsidR="00EE1957" w:rsidRPr="00B24172" w:rsidRDefault="00EE1957" w:rsidP="00D93C2E">
            <w:pPr>
              <w:jc w:val="center"/>
              <w:rPr>
                <w:lang w:val="en-NZ" w:eastAsia="en-NZ"/>
              </w:rPr>
            </w:pPr>
          </w:p>
        </w:tc>
        <w:tc>
          <w:tcPr>
            <w:tcW w:w="1281" w:type="dxa"/>
            <w:vMerge/>
          </w:tcPr>
          <w:p w14:paraId="13BF0B21" w14:textId="6988891C" w:rsidR="00EE1957" w:rsidRPr="00B24172" w:rsidRDefault="00EE1957" w:rsidP="00D93C2E">
            <w:pPr>
              <w:jc w:val="center"/>
              <w:rPr>
                <w:lang w:val="en-NZ" w:eastAsia="en-NZ"/>
              </w:rPr>
            </w:pPr>
          </w:p>
        </w:tc>
      </w:tr>
      <w:tr w:rsidR="00D7575A" w:rsidRPr="00B24172" w14:paraId="2180E3B6" w14:textId="231AACA2" w:rsidTr="00EB1EED">
        <w:trPr>
          <w:trHeight w:val="100"/>
          <w:jc w:val="center"/>
        </w:trPr>
        <w:tc>
          <w:tcPr>
            <w:tcW w:w="3685" w:type="dxa"/>
            <w:shd w:val="clear" w:color="auto" w:fill="auto"/>
            <w:noWrap/>
            <w:vAlign w:val="bottom"/>
          </w:tcPr>
          <w:p w14:paraId="44FFE2E6" w14:textId="77777777" w:rsidR="00EE1957" w:rsidRPr="00B24172" w:rsidRDefault="00EE1957" w:rsidP="00D93C2E">
            <w:pPr>
              <w:rPr>
                <w:b/>
                <w:lang w:val="en-NZ" w:eastAsia="en-NZ"/>
              </w:rPr>
            </w:pPr>
            <w:r w:rsidRPr="00B24172">
              <w:rPr>
                <w:b/>
                <w:lang w:val="en-NZ" w:eastAsia="en-NZ"/>
              </w:rPr>
              <w:t>LPG</w:t>
            </w:r>
          </w:p>
        </w:tc>
        <w:tc>
          <w:tcPr>
            <w:tcW w:w="1350" w:type="dxa"/>
          </w:tcPr>
          <w:p w14:paraId="27B0615B" w14:textId="77777777" w:rsidR="00EE1957" w:rsidRPr="00B24172" w:rsidRDefault="00EE1957" w:rsidP="00D93C2E">
            <w:pPr>
              <w:jc w:val="center"/>
              <w:rPr>
                <w:lang w:val="en-NZ" w:eastAsia="en-NZ"/>
              </w:rPr>
            </w:pPr>
          </w:p>
        </w:tc>
        <w:tc>
          <w:tcPr>
            <w:tcW w:w="1440" w:type="dxa"/>
          </w:tcPr>
          <w:p w14:paraId="349459B5" w14:textId="77777777" w:rsidR="00EE1957" w:rsidRPr="00B24172" w:rsidRDefault="00EE1957" w:rsidP="00D93C2E">
            <w:pPr>
              <w:jc w:val="center"/>
            </w:pPr>
          </w:p>
        </w:tc>
        <w:tc>
          <w:tcPr>
            <w:tcW w:w="1260" w:type="dxa"/>
          </w:tcPr>
          <w:p w14:paraId="20FE5128" w14:textId="77777777" w:rsidR="00EE1957" w:rsidRPr="00B24172" w:rsidRDefault="00EE1957" w:rsidP="00D93C2E">
            <w:pPr>
              <w:jc w:val="center"/>
            </w:pPr>
          </w:p>
        </w:tc>
        <w:tc>
          <w:tcPr>
            <w:tcW w:w="1281" w:type="dxa"/>
          </w:tcPr>
          <w:p w14:paraId="515D8CCE" w14:textId="5D83B687" w:rsidR="00EE1957" w:rsidRPr="00B24172" w:rsidRDefault="00EE1957" w:rsidP="00D93C2E">
            <w:pPr>
              <w:jc w:val="center"/>
            </w:pPr>
          </w:p>
        </w:tc>
      </w:tr>
      <w:tr w:rsidR="00464100" w:rsidRPr="00B24172" w14:paraId="546DE258" w14:textId="0CEF9F65" w:rsidTr="00EB1EED">
        <w:trPr>
          <w:trHeight w:val="100"/>
          <w:jc w:val="center"/>
        </w:trPr>
        <w:tc>
          <w:tcPr>
            <w:tcW w:w="3685" w:type="dxa"/>
            <w:shd w:val="clear" w:color="auto" w:fill="auto"/>
            <w:noWrap/>
            <w:vAlign w:val="bottom"/>
          </w:tcPr>
          <w:p w14:paraId="68AC881E" w14:textId="7D9BA361" w:rsidR="00EE1957" w:rsidRPr="00B24172" w:rsidRDefault="00EE1957" w:rsidP="0026724C">
            <w:pPr>
              <w:rPr>
                <w:lang w:val="en-NZ" w:eastAsia="en-NZ"/>
              </w:rPr>
            </w:pPr>
            <w:r w:rsidRPr="00B24172">
              <w:rPr>
                <w:lang w:val="en-NZ" w:eastAsia="en-NZ"/>
              </w:rPr>
              <w:t xml:space="preserve">      Fuel saving</w:t>
            </w:r>
          </w:p>
        </w:tc>
        <w:tc>
          <w:tcPr>
            <w:tcW w:w="1350" w:type="dxa"/>
          </w:tcPr>
          <w:p w14:paraId="3DEEE048" w14:textId="1C40A6E7" w:rsidR="00EE1957" w:rsidRPr="00B24172" w:rsidRDefault="00EE1957" w:rsidP="0026724C">
            <w:pPr>
              <w:jc w:val="center"/>
            </w:pPr>
            <w:r w:rsidRPr="00B24172">
              <w:t>3,012</w:t>
            </w:r>
          </w:p>
        </w:tc>
        <w:tc>
          <w:tcPr>
            <w:tcW w:w="1440" w:type="dxa"/>
            <w:vMerge w:val="restart"/>
          </w:tcPr>
          <w:p w14:paraId="16BE0A53" w14:textId="77777777" w:rsidR="00EE1957" w:rsidRPr="00B24172" w:rsidRDefault="00EE1957" w:rsidP="00EE1957">
            <w:pPr>
              <w:jc w:val="center"/>
            </w:pPr>
          </w:p>
          <w:p w14:paraId="4CCE6622" w14:textId="77777777" w:rsidR="00EE1957" w:rsidRPr="00B24172" w:rsidRDefault="00EE1957" w:rsidP="00EE1957">
            <w:pPr>
              <w:jc w:val="center"/>
            </w:pPr>
          </w:p>
          <w:p w14:paraId="199AB3C0" w14:textId="139EC3E8" w:rsidR="00EE1957" w:rsidRPr="00B24172" w:rsidRDefault="00EE1957" w:rsidP="00EE1957">
            <w:pPr>
              <w:jc w:val="center"/>
            </w:pPr>
            <w:r w:rsidRPr="00B24172">
              <w:t>7,679,991</w:t>
            </w:r>
          </w:p>
        </w:tc>
        <w:tc>
          <w:tcPr>
            <w:tcW w:w="1260" w:type="dxa"/>
            <w:vMerge w:val="restart"/>
          </w:tcPr>
          <w:p w14:paraId="6684AB14" w14:textId="77777777" w:rsidR="00EE1957" w:rsidRPr="00B24172" w:rsidRDefault="00EE1957" w:rsidP="00EE1957">
            <w:pPr>
              <w:jc w:val="center"/>
            </w:pPr>
          </w:p>
          <w:p w14:paraId="53B92435" w14:textId="77777777" w:rsidR="00EE1957" w:rsidRPr="00B24172" w:rsidRDefault="00EE1957" w:rsidP="00EE1957">
            <w:pPr>
              <w:jc w:val="center"/>
            </w:pPr>
          </w:p>
          <w:p w14:paraId="50B87625" w14:textId="0AA414A8" w:rsidR="00EE1957" w:rsidRPr="00B24172" w:rsidRDefault="00EE1957" w:rsidP="00EE1957">
            <w:pPr>
              <w:jc w:val="center"/>
            </w:pPr>
            <w:r w:rsidRPr="00B24172">
              <w:t>6,449,930</w:t>
            </w:r>
          </w:p>
        </w:tc>
        <w:tc>
          <w:tcPr>
            <w:tcW w:w="1281" w:type="dxa"/>
            <w:vMerge w:val="restart"/>
          </w:tcPr>
          <w:p w14:paraId="500A8961" w14:textId="77777777" w:rsidR="00EE1957" w:rsidRPr="00B24172" w:rsidRDefault="00EE1957" w:rsidP="00EE1957">
            <w:pPr>
              <w:jc w:val="center"/>
            </w:pPr>
          </w:p>
          <w:p w14:paraId="5EE818D1" w14:textId="77777777" w:rsidR="00EE1957" w:rsidRPr="00B24172" w:rsidRDefault="00EE1957" w:rsidP="00EE1957">
            <w:pPr>
              <w:jc w:val="center"/>
            </w:pPr>
          </w:p>
          <w:p w14:paraId="5FC29006" w14:textId="3F454154" w:rsidR="00EE1957" w:rsidRPr="00B24172" w:rsidRDefault="00EE1957" w:rsidP="00EE1957">
            <w:pPr>
              <w:jc w:val="center"/>
            </w:pPr>
            <w:r w:rsidRPr="00B24172">
              <w:t>5,531,562</w:t>
            </w:r>
          </w:p>
        </w:tc>
      </w:tr>
      <w:tr w:rsidR="00D7575A" w:rsidRPr="00B24172" w14:paraId="672D1EF1" w14:textId="461C2812" w:rsidTr="00EB1EED">
        <w:trPr>
          <w:trHeight w:val="100"/>
          <w:jc w:val="center"/>
        </w:trPr>
        <w:tc>
          <w:tcPr>
            <w:tcW w:w="3685" w:type="dxa"/>
            <w:shd w:val="clear" w:color="auto" w:fill="auto"/>
            <w:noWrap/>
            <w:vAlign w:val="bottom"/>
          </w:tcPr>
          <w:p w14:paraId="16913797" w14:textId="4087E43E" w:rsidR="00EE1957" w:rsidRPr="00B24172" w:rsidRDefault="00EE1957" w:rsidP="00F43A41">
            <w:pPr>
              <w:rPr>
                <w:lang w:val="en-NZ" w:eastAsia="en-NZ"/>
              </w:rPr>
            </w:pPr>
            <w:r w:rsidRPr="00B24172">
              <w:rPr>
                <w:lang w:val="en-NZ" w:eastAsia="en-NZ"/>
              </w:rPr>
              <w:t xml:space="preserve">      Mortality benefits</w:t>
            </w:r>
          </w:p>
        </w:tc>
        <w:tc>
          <w:tcPr>
            <w:tcW w:w="1350" w:type="dxa"/>
          </w:tcPr>
          <w:p w14:paraId="5C0E6BBA" w14:textId="774FB977" w:rsidR="00EE1957" w:rsidRPr="00B24172" w:rsidRDefault="00EE1957" w:rsidP="00F43A41">
            <w:pPr>
              <w:jc w:val="center"/>
            </w:pPr>
            <w:r w:rsidRPr="00B24172">
              <w:t>38,877</w:t>
            </w:r>
          </w:p>
        </w:tc>
        <w:tc>
          <w:tcPr>
            <w:tcW w:w="1440" w:type="dxa"/>
            <w:vMerge/>
          </w:tcPr>
          <w:p w14:paraId="02323AC9" w14:textId="6177EE8F" w:rsidR="00EE1957" w:rsidRPr="00B24172" w:rsidRDefault="00EE1957" w:rsidP="00EE1957">
            <w:pPr>
              <w:jc w:val="center"/>
            </w:pPr>
          </w:p>
        </w:tc>
        <w:tc>
          <w:tcPr>
            <w:tcW w:w="1260" w:type="dxa"/>
            <w:vMerge/>
          </w:tcPr>
          <w:p w14:paraId="4968A848" w14:textId="3042234E" w:rsidR="00EE1957" w:rsidRPr="00B24172" w:rsidRDefault="00EE1957" w:rsidP="00EE1957">
            <w:pPr>
              <w:jc w:val="center"/>
            </w:pPr>
          </w:p>
        </w:tc>
        <w:tc>
          <w:tcPr>
            <w:tcW w:w="1281" w:type="dxa"/>
            <w:vMerge/>
          </w:tcPr>
          <w:p w14:paraId="413A17FA" w14:textId="5B0330F9" w:rsidR="00EE1957" w:rsidRPr="00B24172" w:rsidRDefault="00EE1957" w:rsidP="00EE1957">
            <w:pPr>
              <w:jc w:val="center"/>
            </w:pPr>
          </w:p>
        </w:tc>
      </w:tr>
      <w:tr w:rsidR="00D7575A" w:rsidRPr="00B24172" w14:paraId="0892B2EC" w14:textId="6CB698B3" w:rsidTr="00EB1EED">
        <w:trPr>
          <w:trHeight w:val="100"/>
          <w:jc w:val="center"/>
        </w:trPr>
        <w:tc>
          <w:tcPr>
            <w:tcW w:w="3685" w:type="dxa"/>
            <w:shd w:val="clear" w:color="auto" w:fill="auto"/>
            <w:noWrap/>
            <w:vAlign w:val="bottom"/>
          </w:tcPr>
          <w:p w14:paraId="4908E03D" w14:textId="384BEB07" w:rsidR="00EE1957" w:rsidRPr="00B24172" w:rsidRDefault="00EE1957" w:rsidP="00F43A41">
            <w:pPr>
              <w:rPr>
                <w:lang w:val="en-NZ" w:eastAsia="en-NZ"/>
              </w:rPr>
            </w:pPr>
            <w:r w:rsidRPr="00B24172">
              <w:rPr>
                <w:lang w:val="en-NZ" w:eastAsia="en-NZ"/>
              </w:rPr>
              <w:t xml:space="preserve">      Morbidity benefits</w:t>
            </w:r>
          </w:p>
        </w:tc>
        <w:tc>
          <w:tcPr>
            <w:tcW w:w="1350" w:type="dxa"/>
          </w:tcPr>
          <w:p w14:paraId="748F5215" w14:textId="49693B5A" w:rsidR="00EE1957" w:rsidRPr="00B24172" w:rsidRDefault="00EE1957" w:rsidP="00F43A41">
            <w:pPr>
              <w:jc w:val="center"/>
            </w:pPr>
            <w:r w:rsidRPr="00B24172">
              <w:t>2,116</w:t>
            </w:r>
          </w:p>
        </w:tc>
        <w:tc>
          <w:tcPr>
            <w:tcW w:w="1440" w:type="dxa"/>
            <w:vMerge/>
          </w:tcPr>
          <w:p w14:paraId="67EDDB63" w14:textId="02209A45" w:rsidR="00EE1957" w:rsidRPr="00B24172" w:rsidRDefault="00EE1957" w:rsidP="00EE1957">
            <w:pPr>
              <w:jc w:val="center"/>
              <w:rPr>
                <w:lang w:val="en-NZ" w:eastAsia="en-NZ"/>
              </w:rPr>
            </w:pPr>
          </w:p>
        </w:tc>
        <w:tc>
          <w:tcPr>
            <w:tcW w:w="1260" w:type="dxa"/>
            <w:vMerge/>
          </w:tcPr>
          <w:p w14:paraId="3226DEB8" w14:textId="080F36D4" w:rsidR="00EE1957" w:rsidRPr="00B24172" w:rsidRDefault="00EE1957" w:rsidP="00EE1957">
            <w:pPr>
              <w:jc w:val="center"/>
              <w:rPr>
                <w:lang w:val="en-NZ" w:eastAsia="en-NZ"/>
              </w:rPr>
            </w:pPr>
          </w:p>
        </w:tc>
        <w:tc>
          <w:tcPr>
            <w:tcW w:w="1281" w:type="dxa"/>
            <w:vMerge/>
          </w:tcPr>
          <w:p w14:paraId="340D04C9" w14:textId="2DE08F11" w:rsidR="00EE1957" w:rsidRPr="00B24172" w:rsidRDefault="00EE1957" w:rsidP="00EE1957">
            <w:pPr>
              <w:jc w:val="center"/>
              <w:rPr>
                <w:lang w:val="en-NZ" w:eastAsia="en-NZ"/>
              </w:rPr>
            </w:pPr>
          </w:p>
        </w:tc>
      </w:tr>
      <w:tr w:rsidR="00D7575A" w:rsidRPr="00B24172" w14:paraId="42B630C0" w14:textId="727D734D" w:rsidTr="00EB1EED">
        <w:trPr>
          <w:trHeight w:val="100"/>
          <w:jc w:val="center"/>
        </w:trPr>
        <w:tc>
          <w:tcPr>
            <w:tcW w:w="3685" w:type="dxa"/>
            <w:shd w:val="clear" w:color="auto" w:fill="auto"/>
            <w:noWrap/>
            <w:vAlign w:val="bottom"/>
          </w:tcPr>
          <w:p w14:paraId="7EE6BD14" w14:textId="5384307A" w:rsidR="00EE1957" w:rsidRPr="00B24172" w:rsidRDefault="00EE1957" w:rsidP="00F43A41">
            <w:pPr>
              <w:rPr>
                <w:lang w:val="en-NZ" w:eastAsia="en-NZ"/>
              </w:rPr>
            </w:pPr>
            <w:r w:rsidRPr="00B24172">
              <w:rPr>
                <w:lang w:val="en-NZ" w:eastAsia="en-NZ"/>
              </w:rPr>
              <w:t xml:space="preserve">      Health care benefits</w:t>
            </w:r>
          </w:p>
        </w:tc>
        <w:tc>
          <w:tcPr>
            <w:tcW w:w="1350" w:type="dxa"/>
          </w:tcPr>
          <w:p w14:paraId="74F0B50E" w14:textId="2C2BD780" w:rsidR="00EE1957" w:rsidRPr="00B24172" w:rsidRDefault="00EE1957" w:rsidP="00F43A41">
            <w:pPr>
              <w:jc w:val="center"/>
            </w:pPr>
            <w:r w:rsidRPr="00B24172">
              <w:t>250</w:t>
            </w:r>
          </w:p>
        </w:tc>
        <w:tc>
          <w:tcPr>
            <w:tcW w:w="1440" w:type="dxa"/>
            <w:vMerge/>
          </w:tcPr>
          <w:p w14:paraId="2EA07D17" w14:textId="77777777" w:rsidR="00EE1957" w:rsidRPr="00B24172" w:rsidRDefault="00EE1957" w:rsidP="00F43A41">
            <w:pPr>
              <w:jc w:val="center"/>
            </w:pPr>
          </w:p>
        </w:tc>
        <w:tc>
          <w:tcPr>
            <w:tcW w:w="1260" w:type="dxa"/>
            <w:vMerge/>
          </w:tcPr>
          <w:p w14:paraId="2A041AE2" w14:textId="77777777" w:rsidR="00EE1957" w:rsidRPr="00B24172" w:rsidRDefault="00EE1957" w:rsidP="00F43A41">
            <w:pPr>
              <w:jc w:val="center"/>
            </w:pPr>
          </w:p>
        </w:tc>
        <w:tc>
          <w:tcPr>
            <w:tcW w:w="1281" w:type="dxa"/>
            <w:vMerge/>
          </w:tcPr>
          <w:p w14:paraId="51BD3A79" w14:textId="183AFCE2" w:rsidR="00EE1957" w:rsidRPr="00B24172" w:rsidRDefault="00EE1957" w:rsidP="00F43A41">
            <w:pPr>
              <w:jc w:val="center"/>
            </w:pPr>
          </w:p>
        </w:tc>
      </w:tr>
      <w:tr w:rsidR="00D7575A" w:rsidRPr="00B24172" w14:paraId="36FCFD1B" w14:textId="63790434" w:rsidTr="00EB1EED">
        <w:trPr>
          <w:trHeight w:val="100"/>
          <w:jc w:val="center"/>
        </w:trPr>
        <w:tc>
          <w:tcPr>
            <w:tcW w:w="3685" w:type="dxa"/>
            <w:shd w:val="clear" w:color="auto" w:fill="auto"/>
            <w:noWrap/>
            <w:vAlign w:val="bottom"/>
          </w:tcPr>
          <w:p w14:paraId="5468EF33" w14:textId="1144965C" w:rsidR="00EE1957" w:rsidRPr="00B24172" w:rsidRDefault="00EE1957" w:rsidP="00F43A41">
            <w:pPr>
              <w:rPr>
                <w:lang w:val="en-NZ" w:eastAsia="en-NZ"/>
              </w:rPr>
            </w:pPr>
            <w:r w:rsidRPr="00B24172">
              <w:rPr>
                <w:lang w:val="en-NZ" w:eastAsia="en-NZ"/>
              </w:rPr>
              <w:t xml:space="preserve">      Time saving</w:t>
            </w:r>
          </w:p>
        </w:tc>
        <w:tc>
          <w:tcPr>
            <w:tcW w:w="1350" w:type="dxa"/>
          </w:tcPr>
          <w:p w14:paraId="58AD6393" w14:textId="1EB6F932" w:rsidR="00EE1957" w:rsidRPr="00B24172" w:rsidRDefault="00EE1957" w:rsidP="00F43A41">
            <w:pPr>
              <w:jc w:val="center"/>
            </w:pPr>
            <w:r w:rsidRPr="00B24172">
              <w:t>13,105</w:t>
            </w:r>
          </w:p>
        </w:tc>
        <w:tc>
          <w:tcPr>
            <w:tcW w:w="1440" w:type="dxa"/>
            <w:vMerge/>
          </w:tcPr>
          <w:p w14:paraId="32827FA7" w14:textId="77777777" w:rsidR="00EE1957" w:rsidRPr="00B24172" w:rsidRDefault="00EE1957" w:rsidP="00F43A41">
            <w:pPr>
              <w:jc w:val="center"/>
            </w:pPr>
          </w:p>
        </w:tc>
        <w:tc>
          <w:tcPr>
            <w:tcW w:w="1260" w:type="dxa"/>
            <w:vMerge/>
          </w:tcPr>
          <w:p w14:paraId="506B2603" w14:textId="77777777" w:rsidR="00EE1957" w:rsidRPr="00B24172" w:rsidRDefault="00EE1957" w:rsidP="00F43A41">
            <w:pPr>
              <w:jc w:val="center"/>
            </w:pPr>
          </w:p>
        </w:tc>
        <w:tc>
          <w:tcPr>
            <w:tcW w:w="1281" w:type="dxa"/>
            <w:vMerge/>
          </w:tcPr>
          <w:p w14:paraId="34A32D56" w14:textId="7A880D17" w:rsidR="00EE1957" w:rsidRPr="00B24172" w:rsidRDefault="00EE1957" w:rsidP="00F43A41">
            <w:pPr>
              <w:jc w:val="center"/>
            </w:pPr>
          </w:p>
        </w:tc>
      </w:tr>
      <w:tr w:rsidR="00D7575A" w:rsidRPr="00B24172" w14:paraId="5A617D81" w14:textId="730F0C0A" w:rsidTr="00EB1EED">
        <w:trPr>
          <w:trHeight w:val="100"/>
          <w:jc w:val="center"/>
        </w:trPr>
        <w:tc>
          <w:tcPr>
            <w:tcW w:w="3685" w:type="dxa"/>
            <w:shd w:val="clear" w:color="auto" w:fill="auto"/>
            <w:noWrap/>
            <w:vAlign w:val="bottom"/>
          </w:tcPr>
          <w:p w14:paraId="778360E1" w14:textId="0F48F954" w:rsidR="00EE1957" w:rsidRPr="00B24172" w:rsidRDefault="00EE1957" w:rsidP="00F43A41">
            <w:pPr>
              <w:rPr>
                <w:lang w:val="en-NZ" w:eastAsia="en-NZ"/>
              </w:rPr>
            </w:pPr>
            <w:r w:rsidRPr="00B24172">
              <w:rPr>
                <w:lang w:val="en-NZ" w:eastAsia="en-NZ"/>
              </w:rPr>
              <w:t xml:space="preserve">      Productivity gain</w:t>
            </w:r>
          </w:p>
        </w:tc>
        <w:tc>
          <w:tcPr>
            <w:tcW w:w="1350" w:type="dxa"/>
          </w:tcPr>
          <w:p w14:paraId="0628A009" w14:textId="7FB0CA88" w:rsidR="00EE1957" w:rsidRPr="00B24172" w:rsidRDefault="00EE1957" w:rsidP="00F43A41">
            <w:pPr>
              <w:jc w:val="center"/>
            </w:pPr>
            <w:r w:rsidRPr="00B24172">
              <w:t>71</w:t>
            </w:r>
          </w:p>
        </w:tc>
        <w:tc>
          <w:tcPr>
            <w:tcW w:w="1440" w:type="dxa"/>
            <w:vMerge/>
          </w:tcPr>
          <w:p w14:paraId="57A36C2D" w14:textId="77777777" w:rsidR="00EE1957" w:rsidRPr="00B24172" w:rsidRDefault="00EE1957" w:rsidP="00F43A41">
            <w:pPr>
              <w:jc w:val="center"/>
            </w:pPr>
          </w:p>
        </w:tc>
        <w:tc>
          <w:tcPr>
            <w:tcW w:w="1260" w:type="dxa"/>
            <w:vMerge/>
          </w:tcPr>
          <w:p w14:paraId="037B971E" w14:textId="77777777" w:rsidR="00EE1957" w:rsidRPr="00B24172" w:rsidRDefault="00EE1957" w:rsidP="00F43A41">
            <w:pPr>
              <w:jc w:val="center"/>
            </w:pPr>
          </w:p>
        </w:tc>
        <w:tc>
          <w:tcPr>
            <w:tcW w:w="1281" w:type="dxa"/>
            <w:vMerge/>
          </w:tcPr>
          <w:p w14:paraId="234DC6A2" w14:textId="399E2844" w:rsidR="00EE1957" w:rsidRPr="00B24172" w:rsidRDefault="00EE1957" w:rsidP="00F43A41">
            <w:pPr>
              <w:jc w:val="center"/>
            </w:pPr>
          </w:p>
        </w:tc>
      </w:tr>
      <w:tr w:rsidR="00D7575A" w:rsidRPr="00B24172" w14:paraId="086D675D" w14:textId="79C9F703" w:rsidTr="00EB1EED">
        <w:trPr>
          <w:trHeight w:val="100"/>
          <w:jc w:val="center"/>
        </w:trPr>
        <w:tc>
          <w:tcPr>
            <w:tcW w:w="3685" w:type="dxa"/>
            <w:shd w:val="clear" w:color="auto" w:fill="auto"/>
            <w:noWrap/>
            <w:vAlign w:val="bottom"/>
          </w:tcPr>
          <w:p w14:paraId="62791BF3" w14:textId="77777777" w:rsidR="00EE1957" w:rsidRPr="00B24172" w:rsidRDefault="00EE1957" w:rsidP="00F43A41">
            <w:pPr>
              <w:rPr>
                <w:b/>
                <w:lang w:val="en-NZ" w:eastAsia="en-NZ"/>
              </w:rPr>
            </w:pPr>
            <w:r w:rsidRPr="00B24172">
              <w:rPr>
                <w:b/>
                <w:lang w:val="en-NZ" w:eastAsia="en-NZ"/>
              </w:rPr>
              <w:t>Natural Gas</w:t>
            </w:r>
          </w:p>
        </w:tc>
        <w:tc>
          <w:tcPr>
            <w:tcW w:w="1350" w:type="dxa"/>
          </w:tcPr>
          <w:p w14:paraId="5B323030" w14:textId="77777777" w:rsidR="00EE1957" w:rsidRPr="00B24172" w:rsidRDefault="00EE1957" w:rsidP="00F43A41">
            <w:pPr>
              <w:jc w:val="center"/>
              <w:rPr>
                <w:lang w:val="en-NZ" w:eastAsia="en-NZ"/>
              </w:rPr>
            </w:pPr>
          </w:p>
        </w:tc>
        <w:tc>
          <w:tcPr>
            <w:tcW w:w="1440" w:type="dxa"/>
          </w:tcPr>
          <w:p w14:paraId="6304D029" w14:textId="77777777" w:rsidR="00EE1957" w:rsidRPr="00B24172" w:rsidRDefault="00EE1957" w:rsidP="00F43A41">
            <w:pPr>
              <w:jc w:val="center"/>
            </w:pPr>
          </w:p>
        </w:tc>
        <w:tc>
          <w:tcPr>
            <w:tcW w:w="1260" w:type="dxa"/>
          </w:tcPr>
          <w:p w14:paraId="20877658" w14:textId="77777777" w:rsidR="00EE1957" w:rsidRPr="00B24172" w:rsidRDefault="00EE1957" w:rsidP="00F43A41">
            <w:pPr>
              <w:jc w:val="center"/>
            </w:pPr>
          </w:p>
        </w:tc>
        <w:tc>
          <w:tcPr>
            <w:tcW w:w="1281" w:type="dxa"/>
          </w:tcPr>
          <w:p w14:paraId="541616D7" w14:textId="37610848" w:rsidR="00EE1957" w:rsidRPr="00B24172" w:rsidRDefault="00EE1957" w:rsidP="00F43A41">
            <w:pPr>
              <w:jc w:val="center"/>
            </w:pPr>
          </w:p>
        </w:tc>
      </w:tr>
      <w:tr w:rsidR="00464100" w:rsidRPr="00B24172" w14:paraId="01F58287" w14:textId="6E770D8B" w:rsidTr="00EB1EED">
        <w:trPr>
          <w:trHeight w:val="100"/>
          <w:jc w:val="center"/>
        </w:trPr>
        <w:tc>
          <w:tcPr>
            <w:tcW w:w="3685" w:type="dxa"/>
            <w:shd w:val="clear" w:color="auto" w:fill="auto"/>
            <w:noWrap/>
            <w:vAlign w:val="bottom"/>
          </w:tcPr>
          <w:p w14:paraId="6823177A" w14:textId="235FB559" w:rsidR="00EE1957" w:rsidRPr="00B24172" w:rsidRDefault="00EE1957" w:rsidP="0026724C">
            <w:pPr>
              <w:rPr>
                <w:lang w:val="en-NZ" w:eastAsia="en-NZ"/>
              </w:rPr>
            </w:pPr>
            <w:r w:rsidRPr="00B24172">
              <w:rPr>
                <w:lang w:val="en-NZ" w:eastAsia="en-NZ"/>
              </w:rPr>
              <w:t xml:space="preserve">      Fuel saving</w:t>
            </w:r>
          </w:p>
        </w:tc>
        <w:tc>
          <w:tcPr>
            <w:tcW w:w="1350" w:type="dxa"/>
          </w:tcPr>
          <w:p w14:paraId="2548821B" w14:textId="774406E0" w:rsidR="00EE1957" w:rsidRPr="00B24172" w:rsidRDefault="00EE1957" w:rsidP="0026724C">
            <w:pPr>
              <w:jc w:val="center"/>
            </w:pPr>
            <w:r w:rsidRPr="00B24172">
              <w:t>3,012</w:t>
            </w:r>
          </w:p>
        </w:tc>
        <w:tc>
          <w:tcPr>
            <w:tcW w:w="1440" w:type="dxa"/>
            <w:vMerge w:val="restart"/>
          </w:tcPr>
          <w:p w14:paraId="19C94520" w14:textId="77777777" w:rsidR="00EE1957" w:rsidRPr="00B24172" w:rsidRDefault="00EE1957" w:rsidP="00EE1957">
            <w:pPr>
              <w:jc w:val="center"/>
            </w:pPr>
          </w:p>
          <w:p w14:paraId="5CEA53D9" w14:textId="77777777" w:rsidR="00EE1957" w:rsidRPr="00B24172" w:rsidRDefault="00EE1957" w:rsidP="00EE1957">
            <w:pPr>
              <w:jc w:val="center"/>
            </w:pPr>
          </w:p>
          <w:p w14:paraId="4205F258" w14:textId="596D9B44" w:rsidR="00EE1957" w:rsidRPr="00B24172" w:rsidRDefault="00EE1957" w:rsidP="00EE1957">
            <w:pPr>
              <w:jc w:val="center"/>
            </w:pPr>
            <w:r w:rsidRPr="00B24172">
              <w:t>7,679,991</w:t>
            </w:r>
          </w:p>
        </w:tc>
        <w:tc>
          <w:tcPr>
            <w:tcW w:w="1260" w:type="dxa"/>
            <w:vMerge w:val="restart"/>
          </w:tcPr>
          <w:p w14:paraId="0CD660D6" w14:textId="77777777" w:rsidR="00EE1957" w:rsidRPr="00B24172" w:rsidRDefault="00EE1957" w:rsidP="00EE1957">
            <w:pPr>
              <w:jc w:val="center"/>
            </w:pPr>
          </w:p>
          <w:p w14:paraId="18AE482F" w14:textId="77777777" w:rsidR="00EE1957" w:rsidRPr="00B24172" w:rsidRDefault="00EE1957" w:rsidP="00EE1957">
            <w:pPr>
              <w:jc w:val="center"/>
            </w:pPr>
          </w:p>
          <w:p w14:paraId="636030AF" w14:textId="174DA48C" w:rsidR="00EE1957" w:rsidRPr="00B24172" w:rsidRDefault="00EE1957" w:rsidP="00EE1957">
            <w:pPr>
              <w:jc w:val="center"/>
            </w:pPr>
            <w:r w:rsidRPr="00B24172">
              <w:t>6,449,930</w:t>
            </w:r>
          </w:p>
        </w:tc>
        <w:tc>
          <w:tcPr>
            <w:tcW w:w="1281" w:type="dxa"/>
            <w:vMerge w:val="restart"/>
          </w:tcPr>
          <w:p w14:paraId="5F733D88" w14:textId="77777777" w:rsidR="00EE1957" w:rsidRPr="00B24172" w:rsidRDefault="00EE1957" w:rsidP="00EE1957">
            <w:pPr>
              <w:jc w:val="center"/>
            </w:pPr>
          </w:p>
          <w:p w14:paraId="6EC1C74C" w14:textId="77777777" w:rsidR="00EE1957" w:rsidRPr="00B24172" w:rsidRDefault="00EE1957" w:rsidP="00EE1957">
            <w:pPr>
              <w:jc w:val="center"/>
            </w:pPr>
          </w:p>
          <w:p w14:paraId="684F8CB9" w14:textId="630C6D16" w:rsidR="00EE1957" w:rsidRPr="00B24172" w:rsidRDefault="00EE1957" w:rsidP="00EE1957">
            <w:pPr>
              <w:jc w:val="center"/>
            </w:pPr>
            <w:r w:rsidRPr="00B24172">
              <w:t>5,531,562</w:t>
            </w:r>
          </w:p>
        </w:tc>
      </w:tr>
      <w:tr w:rsidR="00D7575A" w:rsidRPr="00B24172" w14:paraId="2545AC4F" w14:textId="4ED67F88" w:rsidTr="00EB1EED">
        <w:trPr>
          <w:trHeight w:val="100"/>
          <w:jc w:val="center"/>
        </w:trPr>
        <w:tc>
          <w:tcPr>
            <w:tcW w:w="3685" w:type="dxa"/>
            <w:shd w:val="clear" w:color="auto" w:fill="auto"/>
            <w:noWrap/>
            <w:vAlign w:val="bottom"/>
          </w:tcPr>
          <w:p w14:paraId="429D2FC9" w14:textId="29BCCA0F" w:rsidR="00EE1957" w:rsidRPr="00B24172" w:rsidRDefault="00EE1957" w:rsidP="00F43A41">
            <w:pPr>
              <w:rPr>
                <w:lang w:val="en-NZ" w:eastAsia="en-NZ"/>
              </w:rPr>
            </w:pPr>
            <w:r w:rsidRPr="00B24172">
              <w:rPr>
                <w:lang w:val="en-NZ" w:eastAsia="en-NZ"/>
              </w:rPr>
              <w:t xml:space="preserve">      Mortality benefits</w:t>
            </w:r>
          </w:p>
        </w:tc>
        <w:tc>
          <w:tcPr>
            <w:tcW w:w="1350" w:type="dxa"/>
          </w:tcPr>
          <w:p w14:paraId="233F1B73" w14:textId="07C8AB5A" w:rsidR="00EE1957" w:rsidRPr="00B24172" w:rsidRDefault="00EE1957" w:rsidP="00F43A41">
            <w:pPr>
              <w:jc w:val="center"/>
            </w:pPr>
            <w:r w:rsidRPr="00B24172">
              <w:t>38,877</w:t>
            </w:r>
          </w:p>
        </w:tc>
        <w:tc>
          <w:tcPr>
            <w:tcW w:w="1440" w:type="dxa"/>
            <w:vMerge/>
          </w:tcPr>
          <w:p w14:paraId="19A259FE" w14:textId="14ABB5D3" w:rsidR="00EE1957" w:rsidRPr="00B24172" w:rsidRDefault="00EE1957" w:rsidP="00EE1957">
            <w:pPr>
              <w:jc w:val="center"/>
            </w:pPr>
          </w:p>
        </w:tc>
        <w:tc>
          <w:tcPr>
            <w:tcW w:w="1260" w:type="dxa"/>
            <w:vMerge/>
          </w:tcPr>
          <w:p w14:paraId="241E113E" w14:textId="47181C90" w:rsidR="00EE1957" w:rsidRPr="00B24172" w:rsidRDefault="00EE1957" w:rsidP="00EE1957">
            <w:pPr>
              <w:jc w:val="center"/>
            </w:pPr>
          </w:p>
        </w:tc>
        <w:tc>
          <w:tcPr>
            <w:tcW w:w="1281" w:type="dxa"/>
            <w:vMerge/>
          </w:tcPr>
          <w:p w14:paraId="15E75495" w14:textId="74FA0B62" w:rsidR="00EE1957" w:rsidRPr="00B24172" w:rsidRDefault="00EE1957" w:rsidP="00EE1957">
            <w:pPr>
              <w:jc w:val="center"/>
            </w:pPr>
          </w:p>
        </w:tc>
      </w:tr>
      <w:tr w:rsidR="00D7575A" w:rsidRPr="00B24172" w14:paraId="032CAD72" w14:textId="66A4993D" w:rsidTr="00EB1EED">
        <w:trPr>
          <w:trHeight w:val="100"/>
          <w:jc w:val="center"/>
        </w:trPr>
        <w:tc>
          <w:tcPr>
            <w:tcW w:w="3685" w:type="dxa"/>
            <w:shd w:val="clear" w:color="auto" w:fill="auto"/>
            <w:noWrap/>
            <w:vAlign w:val="bottom"/>
          </w:tcPr>
          <w:p w14:paraId="7E9E6533" w14:textId="4AA07A2A" w:rsidR="00EE1957" w:rsidRPr="00B24172" w:rsidRDefault="00EE1957" w:rsidP="00F43A41">
            <w:pPr>
              <w:rPr>
                <w:lang w:val="en-NZ" w:eastAsia="en-NZ"/>
              </w:rPr>
            </w:pPr>
            <w:r w:rsidRPr="00B24172">
              <w:rPr>
                <w:lang w:val="en-NZ" w:eastAsia="en-NZ"/>
              </w:rPr>
              <w:t xml:space="preserve">      Morbidity benefits</w:t>
            </w:r>
          </w:p>
        </w:tc>
        <w:tc>
          <w:tcPr>
            <w:tcW w:w="1350" w:type="dxa"/>
          </w:tcPr>
          <w:p w14:paraId="1D9D60AC" w14:textId="1F65E37F" w:rsidR="00EE1957" w:rsidRPr="00B24172" w:rsidRDefault="00EE1957" w:rsidP="00F43A41">
            <w:pPr>
              <w:jc w:val="center"/>
            </w:pPr>
            <w:r w:rsidRPr="00B24172">
              <w:t>2,116</w:t>
            </w:r>
          </w:p>
        </w:tc>
        <w:tc>
          <w:tcPr>
            <w:tcW w:w="1440" w:type="dxa"/>
            <w:vMerge/>
          </w:tcPr>
          <w:p w14:paraId="6D201CB9" w14:textId="438D4489" w:rsidR="00EE1957" w:rsidRPr="00B24172" w:rsidRDefault="00EE1957" w:rsidP="00EE1957">
            <w:pPr>
              <w:jc w:val="center"/>
              <w:rPr>
                <w:lang w:val="en-NZ" w:eastAsia="en-NZ"/>
              </w:rPr>
            </w:pPr>
          </w:p>
        </w:tc>
        <w:tc>
          <w:tcPr>
            <w:tcW w:w="1260" w:type="dxa"/>
            <w:vMerge/>
          </w:tcPr>
          <w:p w14:paraId="77E2B740" w14:textId="6A661A75" w:rsidR="00EE1957" w:rsidRPr="00B24172" w:rsidRDefault="00EE1957" w:rsidP="00EE1957">
            <w:pPr>
              <w:jc w:val="center"/>
              <w:rPr>
                <w:lang w:val="en-NZ" w:eastAsia="en-NZ"/>
              </w:rPr>
            </w:pPr>
          </w:p>
        </w:tc>
        <w:tc>
          <w:tcPr>
            <w:tcW w:w="1281" w:type="dxa"/>
            <w:vMerge/>
          </w:tcPr>
          <w:p w14:paraId="5397B371" w14:textId="6F1A22FD" w:rsidR="00EE1957" w:rsidRPr="00B24172" w:rsidRDefault="00EE1957" w:rsidP="00EE1957">
            <w:pPr>
              <w:jc w:val="center"/>
              <w:rPr>
                <w:lang w:val="en-NZ" w:eastAsia="en-NZ"/>
              </w:rPr>
            </w:pPr>
          </w:p>
        </w:tc>
      </w:tr>
      <w:tr w:rsidR="00D7575A" w:rsidRPr="00B24172" w14:paraId="7D46D7F7" w14:textId="7DCBE0AC" w:rsidTr="00EB1EED">
        <w:trPr>
          <w:trHeight w:val="100"/>
          <w:jc w:val="center"/>
        </w:trPr>
        <w:tc>
          <w:tcPr>
            <w:tcW w:w="3685" w:type="dxa"/>
            <w:shd w:val="clear" w:color="auto" w:fill="auto"/>
            <w:noWrap/>
            <w:vAlign w:val="bottom"/>
          </w:tcPr>
          <w:p w14:paraId="3ECC66E2" w14:textId="097B7980" w:rsidR="00EE1957" w:rsidRPr="00B24172" w:rsidRDefault="00EE1957" w:rsidP="00F43A41">
            <w:pPr>
              <w:rPr>
                <w:lang w:val="en-NZ" w:eastAsia="en-NZ"/>
              </w:rPr>
            </w:pPr>
            <w:r w:rsidRPr="00B24172">
              <w:rPr>
                <w:lang w:val="en-NZ" w:eastAsia="en-NZ"/>
              </w:rPr>
              <w:t xml:space="preserve">      Health care benefits</w:t>
            </w:r>
          </w:p>
        </w:tc>
        <w:tc>
          <w:tcPr>
            <w:tcW w:w="1350" w:type="dxa"/>
          </w:tcPr>
          <w:p w14:paraId="4293D23B" w14:textId="3493F5E3" w:rsidR="00EE1957" w:rsidRPr="00B24172" w:rsidRDefault="00EE1957" w:rsidP="00F43A41">
            <w:pPr>
              <w:jc w:val="center"/>
            </w:pPr>
            <w:r w:rsidRPr="00B24172">
              <w:t>250</w:t>
            </w:r>
          </w:p>
        </w:tc>
        <w:tc>
          <w:tcPr>
            <w:tcW w:w="1440" w:type="dxa"/>
            <w:vMerge/>
          </w:tcPr>
          <w:p w14:paraId="4A8D86E9" w14:textId="77777777" w:rsidR="00EE1957" w:rsidRPr="00B24172" w:rsidRDefault="00EE1957" w:rsidP="00F43A41">
            <w:pPr>
              <w:jc w:val="center"/>
            </w:pPr>
          </w:p>
        </w:tc>
        <w:tc>
          <w:tcPr>
            <w:tcW w:w="1260" w:type="dxa"/>
            <w:vMerge/>
          </w:tcPr>
          <w:p w14:paraId="53C92CB4" w14:textId="77777777" w:rsidR="00EE1957" w:rsidRPr="00B24172" w:rsidRDefault="00EE1957" w:rsidP="00F43A41">
            <w:pPr>
              <w:jc w:val="center"/>
            </w:pPr>
          </w:p>
        </w:tc>
        <w:tc>
          <w:tcPr>
            <w:tcW w:w="1281" w:type="dxa"/>
            <w:vMerge/>
          </w:tcPr>
          <w:p w14:paraId="11771289" w14:textId="4F9CF754" w:rsidR="00EE1957" w:rsidRPr="00B24172" w:rsidRDefault="00EE1957" w:rsidP="00F43A41">
            <w:pPr>
              <w:jc w:val="center"/>
            </w:pPr>
          </w:p>
        </w:tc>
      </w:tr>
      <w:tr w:rsidR="00D7575A" w:rsidRPr="00B24172" w14:paraId="52B5430A" w14:textId="200EC28D" w:rsidTr="00EB1EED">
        <w:trPr>
          <w:trHeight w:val="100"/>
          <w:jc w:val="center"/>
        </w:trPr>
        <w:tc>
          <w:tcPr>
            <w:tcW w:w="3685" w:type="dxa"/>
            <w:shd w:val="clear" w:color="auto" w:fill="auto"/>
            <w:noWrap/>
            <w:vAlign w:val="bottom"/>
          </w:tcPr>
          <w:p w14:paraId="7CF0227F" w14:textId="60F0C79D" w:rsidR="00EE1957" w:rsidRPr="00B24172" w:rsidRDefault="00EE1957" w:rsidP="00F43A41">
            <w:pPr>
              <w:rPr>
                <w:lang w:val="en-NZ" w:eastAsia="en-NZ"/>
              </w:rPr>
            </w:pPr>
            <w:r w:rsidRPr="00B24172">
              <w:rPr>
                <w:lang w:val="en-NZ" w:eastAsia="en-NZ"/>
              </w:rPr>
              <w:t xml:space="preserve">      Time saving</w:t>
            </w:r>
          </w:p>
        </w:tc>
        <w:tc>
          <w:tcPr>
            <w:tcW w:w="1350" w:type="dxa"/>
          </w:tcPr>
          <w:p w14:paraId="23684D23" w14:textId="2DD59267" w:rsidR="00EE1957" w:rsidRPr="00B24172" w:rsidRDefault="00EE1957" w:rsidP="00F43A41">
            <w:pPr>
              <w:jc w:val="center"/>
            </w:pPr>
            <w:r w:rsidRPr="00B24172">
              <w:t>13,105</w:t>
            </w:r>
          </w:p>
        </w:tc>
        <w:tc>
          <w:tcPr>
            <w:tcW w:w="1440" w:type="dxa"/>
            <w:vMerge/>
          </w:tcPr>
          <w:p w14:paraId="10A3BBF9" w14:textId="77777777" w:rsidR="00EE1957" w:rsidRPr="00B24172" w:rsidRDefault="00EE1957" w:rsidP="00F43A41">
            <w:pPr>
              <w:jc w:val="center"/>
            </w:pPr>
          </w:p>
        </w:tc>
        <w:tc>
          <w:tcPr>
            <w:tcW w:w="1260" w:type="dxa"/>
            <w:vMerge/>
          </w:tcPr>
          <w:p w14:paraId="04A2385C" w14:textId="77777777" w:rsidR="00EE1957" w:rsidRPr="00B24172" w:rsidRDefault="00EE1957" w:rsidP="00F43A41">
            <w:pPr>
              <w:jc w:val="center"/>
            </w:pPr>
          </w:p>
        </w:tc>
        <w:tc>
          <w:tcPr>
            <w:tcW w:w="1281" w:type="dxa"/>
            <w:vMerge/>
          </w:tcPr>
          <w:p w14:paraId="714A5836" w14:textId="67C4D167" w:rsidR="00EE1957" w:rsidRPr="00B24172" w:rsidRDefault="00EE1957" w:rsidP="00F43A41">
            <w:pPr>
              <w:jc w:val="center"/>
            </w:pPr>
          </w:p>
        </w:tc>
      </w:tr>
      <w:tr w:rsidR="00D7575A" w:rsidRPr="00B24172" w14:paraId="4CD02AA1" w14:textId="4C270A46" w:rsidTr="00EB1EED">
        <w:trPr>
          <w:trHeight w:val="100"/>
          <w:jc w:val="center"/>
        </w:trPr>
        <w:tc>
          <w:tcPr>
            <w:tcW w:w="3685" w:type="dxa"/>
            <w:shd w:val="clear" w:color="auto" w:fill="auto"/>
            <w:noWrap/>
            <w:vAlign w:val="bottom"/>
          </w:tcPr>
          <w:p w14:paraId="0ED9C0CF" w14:textId="1026C102" w:rsidR="00EE1957" w:rsidRPr="00B24172" w:rsidRDefault="00EE1957" w:rsidP="00F43A41">
            <w:pPr>
              <w:rPr>
                <w:lang w:val="en-NZ" w:eastAsia="en-NZ"/>
              </w:rPr>
            </w:pPr>
            <w:r w:rsidRPr="00B24172">
              <w:rPr>
                <w:lang w:val="en-NZ" w:eastAsia="en-NZ"/>
              </w:rPr>
              <w:t xml:space="preserve">      Productivity gain</w:t>
            </w:r>
          </w:p>
        </w:tc>
        <w:tc>
          <w:tcPr>
            <w:tcW w:w="1350" w:type="dxa"/>
          </w:tcPr>
          <w:p w14:paraId="52C6876F" w14:textId="0CC77F34" w:rsidR="00EE1957" w:rsidRPr="00B24172" w:rsidRDefault="00EE1957" w:rsidP="00F43A41">
            <w:pPr>
              <w:jc w:val="center"/>
            </w:pPr>
            <w:r w:rsidRPr="00B24172">
              <w:t>71</w:t>
            </w:r>
          </w:p>
        </w:tc>
        <w:tc>
          <w:tcPr>
            <w:tcW w:w="1440" w:type="dxa"/>
            <w:vMerge/>
          </w:tcPr>
          <w:p w14:paraId="61561661" w14:textId="77777777" w:rsidR="00EE1957" w:rsidRPr="00B24172" w:rsidRDefault="00EE1957" w:rsidP="00F43A41">
            <w:pPr>
              <w:jc w:val="center"/>
            </w:pPr>
          </w:p>
        </w:tc>
        <w:tc>
          <w:tcPr>
            <w:tcW w:w="1260" w:type="dxa"/>
            <w:vMerge/>
          </w:tcPr>
          <w:p w14:paraId="103175A3" w14:textId="77777777" w:rsidR="00EE1957" w:rsidRPr="00B24172" w:rsidRDefault="00EE1957" w:rsidP="00F43A41">
            <w:pPr>
              <w:jc w:val="center"/>
            </w:pPr>
          </w:p>
        </w:tc>
        <w:tc>
          <w:tcPr>
            <w:tcW w:w="1281" w:type="dxa"/>
            <w:vMerge/>
          </w:tcPr>
          <w:p w14:paraId="10C2069C" w14:textId="5E58D007" w:rsidR="00EE1957" w:rsidRPr="00B24172" w:rsidRDefault="00EE1957" w:rsidP="00F43A41">
            <w:pPr>
              <w:jc w:val="center"/>
            </w:pPr>
          </w:p>
        </w:tc>
      </w:tr>
      <w:tr w:rsidR="00D7575A" w:rsidRPr="00B24172" w14:paraId="2B7C5351" w14:textId="7E8446B7" w:rsidTr="00EB1EED">
        <w:trPr>
          <w:trHeight w:val="100"/>
          <w:jc w:val="center"/>
        </w:trPr>
        <w:tc>
          <w:tcPr>
            <w:tcW w:w="3685" w:type="dxa"/>
            <w:shd w:val="clear" w:color="auto" w:fill="auto"/>
            <w:noWrap/>
            <w:vAlign w:val="bottom"/>
          </w:tcPr>
          <w:p w14:paraId="165F1EDC" w14:textId="77777777" w:rsidR="00EE1957" w:rsidRPr="00B24172" w:rsidRDefault="00EE1957" w:rsidP="00F43A41">
            <w:pPr>
              <w:rPr>
                <w:b/>
                <w:lang w:val="en-NZ" w:eastAsia="en-NZ"/>
              </w:rPr>
            </w:pPr>
            <w:r w:rsidRPr="00B24172">
              <w:rPr>
                <w:b/>
                <w:lang w:val="en-NZ" w:eastAsia="en-NZ"/>
              </w:rPr>
              <w:t>Electric Stove</w:t>
            </w:r>
          </w:p>
        </w:tc>
        <w:tc>
          <w:tcPr>
            <w:tcW w:w="1350" w:type="dxa"/>
          </w:tcPr>
          <w:p w14:paraId="5A2F9B10" w14:textId="77777777" w:rsidR="00EE1957" w:rsidRPr="00B24172" w:rsidRDefault="00EE1957" w:rsidP="00F43A41">
            <w:pPr>
              <w:jc w:val="center"/>
              <w:rPr>
                <w:lang w:val="en-NZ" w:eastAsia="en-NZ"/>
              </w:rPr>
            </w:pPr>
          </w:p>
        </w:tc>
        <w:tc>
          <w:tcPr>
            <w:tcW w:w="1440" w:type="dxa"/>
          </w:tcPr>
          <w:p w14:paraId="6D1C24CF" w14:textId="77777777" w:rsidR="00EE1957" w:rsidRPr="00B24172" w:rsidRDefault="00EE1957" w:rsidP="00F43A41">
            <w:pPr>
              <w:jc w:val="center"/>
            </w:pPr>
          </w:p>
        </w:tc>
        <w:tc>
          <w:tcPr>
            <w:tcW w:w="1260" w:type="dxa"/>
          </w:tcPr>
          <w:p w14:paraId="7F6EB6E9" w14:textId="77777777" w:rsidR="00EE1957" w:rsidRPr="00B24172" w:rsidRDefault="00EE1957" w:rsidP="00F43A41">
            <w:pPr>
              <w:jc w:val="center"/>
            </w:pPr>
          </w:p>
        </w:tc>
        <w:tc>
          <w:tcPr>
            <w:tcW w:w="1281" w:type="dxa"/>
          </w:tcPr>
          <w:p w14:paraId="3399D597" w14:textId="547AA091" w:rsidR="00EE1957" w:rsidRPr="00B24172" w:rsidRDefault="00EE1957" w:rsidP="00F43A41">
            <w:pPr>
              <w:jc w:val="center"/>
            </w:pPr>
          </w:p>
        </w:tc>
      </w:tr>
      <w:tr w:rsidR="00464100" w:rsidRPr="00B24172" w14:paraId="04FF5D35" w14:textId="2FA3C61E" w:rsidTr="00EB1EED">
        <w:trPr>
          <w:trHeight w:val="100"/>
          <w:jc w:val="center"/>
        </w:trPr>
        <w:tc>
          <w:tcPr>
            <w:tcW w:w="3685" w:type="dxa"/>
            <w:shd w:val="clear" w:color="auto" w:fill="auto"/>
            <w:noWrap/>
            <w:vAlign w:val="bottom"/>
          </w:tcPr>
          <w:p w14:paraId="5B950325" w14:textId="26A1B080" w:rsidR="00EE1957" w:rsidRPr="00B24172" w:rsidRDefault="00EE1957" w:rsidP="0026724C">
            <w:pPr>
              <w:rPr>
                <w:lang w:val="en-NZ" w:eastAsia="en-NZ"/>
              </w:rPr>
            </w:pPr>
            <w:r w:rsidRPr="00B24172">
              <w:rPr>
                <w:lang w:val="en-NZ" w:eastAsia="en-NZ"/>
              </w:rPr>
              <w:t xml:space="preserve">      Fuel saving</w:t>
            </w:r>
          </w:p>
        </w:tc>
        <w:tc>
          <w:tcPr>
            <w:tcW w:w="1350" w:type="dxa"/>
          </w:tcPr>
          <w:p w14:paraId="7EA68F89" w14:textId="1D3A6DC7" w:rsidR="00EE1957" w:rsidRPr="00B24172" w:rsidRDefault="00EE1957" w:rsidP="0026724C">
            <w:pPr>
              <w:jc w:val="center"/>
            </w:pPr>
            <w:r w:rsidRPr="00B24172">
              <w:t>3,012</w:t>
            </w:r>
          </w:p>
        </w:tc>
        <w:tc>
          <w:tcPr>
            <w:tcW w:w="1440" w:type="dxa"/>
            <w:vMerge w:val="restart"/>
          </w:tcPr>
          <w:p w14:paraId="14504159" w14:textId="77777777" w:rsidR="00EE1957" w:rsidRPr="00B24172" w:rsidRDefault="00EE1957" w:rsidP="00EE1957">
            <w:pPr>
              <w:jc w:val="center"/>
            </w:pPr>
          </w:p>
          <w:p w14:paraId="072474C4" w14:textId="77777777" w:rsidR="00EE1957" w:rsidRPr="00B24172" w:rsidRDefault="00EE1957" w:rsidP="00EE1957">
            <w:pPr>
              <w:jc w:val="center"/>
            </w:pPr>
          </w:p>
          <w:p w14:paraId="4F87618B" w14:textId="65E7C2AE" w:rsidR="00EE1957" w:rsidRPr="00B24172" w:rsidRDefault="00EE1957" w:rsidP="00EE1957">
            <w:pPr>
              <w:jc w:val="center"/>
            </w:pPr>
            <w:r w:rsidRPr="00B24172">
              <w:t>7,679,991</w:t>
            </w:r>
          </w:p>
        </w:tc>
        <w:tc>
          <w:tcPr>
            <w:tcW w:w="1260" w:type="dxa"/>
            <w:vMerge w:val="restart"/>
          </w:tcPr>
          <w:p w14:paraId="4986C112" w14:textId="77777777" w:rsidR="00EE1957" w:rsidRPr="00B24172" w:rsidRDefault="00EE1957" w:rsidP="00EE1957">
            <w:pPr>
              <w:jc w:val="center"/>
            </w:pPr>
          </w:p>
          <w:p w14:paraId="779C9FD6" w14:textId="77777777" w:rsidR="00EE1957" w:rsidRPr="00B24172" w:rsidRDefault="00EE1957" w:rsidP="00EE1957">
            <w:pPr>
              <w:jc w:val="center"/>
            </w:pPr>
          </w:p>
          <w:p w14:paraId="2A4EF92B" w14:textId="51A9BBF6" w:rsidR="00EE1957" w:rsidRPr="00B24172" w:rsidRDefault="00EE1957" w:rsidP="00EE1957">
            <w:pPr>
              <w:jc w:val="center"/>
            </w:pPr>
            <w:r w:rsidRPr="00B24172">
              <w:t>6,449,930</w:t>
            </w:r>
          </w:p>
        </w:tc>
        <w:tc>
          <w:tcPr>
            <w:tcW w:w="1281" w:type="dxa"/>
            <w:vMerge w:val="restart"/>
          </w:tcPr>
          <w:p w14:paraId="53B204DB" w14:textId="77777777" w:rsidR="00EE1957" w:rsidRPr="00B24172" w:rsidRDefault="00EE1957" w:rsidP="00EE1957">
            <w:pPr>
              <w:jc w:val="center"/>
            </w:pPr>
          </w:p>
          <w:p w14:paraId="62163A7E" w14:textId="77777777" w:rsidR="00EE1957" w:rsidRPr="00B24172" w:rsidRDefault="00EE1957" w:rsidP="00EE1957">
            <w:pPr>
              <w:jc w:val="center"/>
            </w:pPr>
          </w:p>
          <w:p w14:paraId="38F43295" w14:textId="6F712145" w:rsidR="00EE1957" w:rsidRPr="00B24172" w:rsidRDefault="00EE1957" w:rsidP="00EE1957">
            <w:pPr>
              <w:jc w:val="center"/>
            </w:pPr>
            <w:r w:rsidRPr="00B24172">
              <w:t>5,531,562</w:t>
            </w:r>
          </w:p>
        </w:tc>
      </w:tr>
      <w:tr w:rsidR="00D7575A" w:rsidRPr="00B24172" w14:paraId="3471F0CC" w14:textId="0B455520" w:rsidTr="00EB1EED">
        <w:trPr>
          <w:trHeight w:val="100"/>
          <w:jc w:val="center"/>
        </w:trPr>
        <w:tc>
          <w:tcPr>
            <w:tcW w:w="3685" w:type="dxa"/>
            <w:shd w:val="clear" w:color="auto" w:fill="auto"/>
            <w:noWrap/>
            <w:vAlign w:val="bottom"/>
          </w:tcPr>
          <w:p w14:paraId="56F04A36" w14:textId="23FCE7DB" w:rsidR="00EE1957" w:rsidRPr="00B24172" w:rsidRDefault="00EE1957" w:rsidP="00F43A41">
            <w:pPr>
              <w:rPr>
                <w:lang w:val="en-NZ" w:eastAsia="en-NZ"/>
              </w:rPr>
            </w:pPr>
            <w:r w:rsidRPr="00B24172">
              <w:rPr>
                <w:lang w:val="en-NZ" w:eastAsia="en-NZ"/>
              </w:rPr>
              <w:t xml:space="preserve">      Mortality benefits</w:t>
            </w:r>
          </w:p>
        </w:tc>
        <w:tc>
          <w:tcPr>
            <w:tcW w:w="1350" w:type="dxa"/>
          </w:tcPr>
          <w:p w14:paraId="5B5BDD58" w14:textId="36116AEE" w:rsidR="00EE1957" w:rsidRPr="00B24172" w:rsidRDefault="00EE1957" w:rsidP="00F43A41">
            <w:pPr>
              <w:jc w:val="center"/>
            </w:pPr>
            <w:r w:rsidRPr="00B24172">
              <w:t>38,877</w:t>
            </w:r>
          </w:p>
        </w:tc>
        <w:tc>
          <w:tcPr>
            <w:tcW w:w="1440" w:type="dxa"/>
            <w:vMerge/>
          </w:tcPr>
          <w:p w14:paraId="3CA9EA88" w14:textId="7AC7218B" w:rsidR="00EE1957" w:rsidRPr="00B24172" w:rsidRDefault="00EE1957" w:rsidP="00EE1957">
            <w:pPr>
              <w:jc w:val="center"/>
            </w:pPr>
          </w:p>
        </w:tc>
        <w:tc>
          <w:tcPr>
            <w:tcW w:w="1260" w:type="dxa"/>
            <w:vMerge/>
          </w:tcPr>
          <w:p w14:paraId="177E8A0E" w14:textId="2135A755" w:rsidR="00EE1957" w:rsidRPr="00B24172" w:rsidRDefault="00EE1957" w:rsidP="00EE1957">
            <w:pPr>
              <w:jc w:val="center"/>
            </w:pPr>
          </w:p>
        </w:tc>
        <w:tc>
          <w:tcPr>
            <w:tcW w:w="1281" w:type="dxa"/>
            <w:vMerge/>
          </w:tcPr>
          <w:p w14:paraId="7DDF5BAD" w14:textId="35855A56" w:rsidR="00EE1957" w:rsidRPr="00B24172" w:rsidRDefault="00EE1957" w:rsidP="00EE1957">
            <w:pPr>
              <w:jc w:val="center"/>
            </w:pPr>
          </w:p>
        </w:tc>
      </w:tr>
      <w:tr w:rsidR="00D7575A" w:rsidRPr="00B24172" w14:paraId="56E75E32" w14:textId="7CCCFEBE" w:rsidTr="00EB1EED">
        <w:trPr>
          <w:trHeight w:val="100"/>
          <w:jc w:val="center"/>
        </w:trPr>
        <w:tc>
          <w:tcPr>
            <w:tcW w:w="3685" w:type="dxa"/>
            <w:shd w:val="clear" w:color="auto" w:fill="auto"/>
            <w:noWrap/>
            <w:vAlign w:val="bottom"/>
          </w:tcPr>
          <w:p w14:paraId="0B7B7CAE" w14:textId="38578FBB" w:rsidR="00EE1957" w:rsidRPr="00B24172" w:rsidRDefault="00EE1957" w:rsidP="00F43A41">
            <w:pPr>
              <w:rPr>
                <w:lang w:val="en-NZ" w:eastAsia="en-NZ"/>
              </w:rPr>
            </w:pPr>
            <w:r w:rsidRPr="00B24172">
              <w:rPr>
                <w:lang w:val="en-NZ" w:eastAsia="en-NZ"/>
              </w:rPr>
              <w:t xml:space="preserve">      Morbidity benefits</w:t>
            </w:r>
          </w:p>
        </w:tc>
        <w:tc>
          <w:tcPr>
            <w:tcW w:w="1350" w:type="dxa"/>
          </w:tcPr>
          <w:p w14:paraId="1B6AE319" w14:textId="4646235E" w:rsidR="00EE1957" w:rsidRPr="00B24172" w:rsidRDefault="00EE1957" w:rsidP="00F43A41">
            <w:pPr>
              <w:jc w:val="center"/>
            </w:pPr>
            <w:r w:rsidRPr="00B24172">
              <w:t>2,116</w:t>
            </w:r>
          </w:p>
        </w:tc>
        <w:tc>
          <w:tcPr>
            <w:tcW w:w="1440" w:type="dxa"/>
            <w:vMerge/>
          </w:tcPr>
          <w:p w14:paraId="0BDC452B" w14:textId="1540356D" w:rsidR="00EE1957" w:rsidRPr="00B24172" w:rsidRDefault="00EE1957" w:rsidP="00EE1957">
            <w:pPr>
              <w:jc w:val="center"/>
              <w:rPr>
                <w:lang w:val="en-NZ" w:eastAsia="en-NZ"/>
              </w:rPr>
            </w:pPr>
          </w:p>
        </w:tc>
        <w:tc>
          <w:tcPr>
            <w:tcW w:w="1260" w:type="dxa"/>
            <w:vMerge/>
          </w:tcPr>
          <w:p w14:paraId="78BB9CD0" w14:textId="00AC9446" w:rsidR="00EE1957" w:rsidRPr="00B24172" w:rsidRDefault="00EE1957" w:rsidP="00EE1957">
            <w:pPr>
              <w:jc w:val="center"/>
              <w:rPr>
                <w:lang w:val="en-NZ" w:eastAsia="en-NZ"/>
              </w:rPr>
            </w:pPr>
          </w:p>
        </w:tc>
        <w:tc>
          <w:tcPr>
            <w:tcW w:w="1281" w:type="dxa"/>
            <w:vMerge/>
          </w:tcPr>
          <w:p w14:paraId="5F55CBD0" w14:textId="3770A844" w:rsidR="00EE1957" w:rsidRPr="00B24172" w:rsidRDefault="00EE1957" w:rsidP="00EE1957">
            <w:pPr>
              <w:jc w:val="center"/>
              <w:rPr>
                <w:lang w:val="en-NZ" w:eastAsia="en-NZ"/>
              </w:rPr>
            </w:pPr>
          </w:p>
        </w:tc>
      </w:tr>
      <w:tr w:rsidR="00D7575A" w:rsidRPr="00B24172" w14:paraId="3AD1636A" w14:textId="7978D016" w:rsidTr="00EB1EED">
        <w:trPr>
          <w:trHeight w:val="100"/>
          <w:jc w:val="center"/>
        </w:trPr>
        <w:tc>
          <w:tcPr>
            <w:tcW w:w="3685" w:type="dxa"/>
            <w:shd w:val="clear" w:color="auto" w:fill="auto"/>
            <w:noWrap/>
            <w:vAlign w:val="bottom"/>
          </w:tcPr>
          <w:p w14:paraId="0A959979" w14:textId="1231C43D" w:rsidR="00EE1957" w:rsidRPr="00B24172" w:rsidRDefault="00EE1957" w:rsidP="00F43A41">
            <w:pPr>
              <w:rPr>
                <w:lang w:val="en-NZ" w:eastAsia="en-NZ"/>
              </w:rPr>
            </w:pPr>
            <w:r w:rsidRPr="00B24172">
              <w:rPr>
                <w:lang w:val="en-NZ" w:eastAsia="en-NZ"/>
              </w:rPr>
              <w:t xml:space="preserve">      Health care benefits</w:t>
            </w:r>
          </w:p>
        </w:tc>
        <w:tc>
          <w:tcPr>
            <w:tcW w:w="1350" w:type="dxa"/>
          </w:tcPr>
          <w:p w14:paraId="282D7D8B" w14:textId="15669C54" w:rsidR="00EE1957" w:rsidRPr="00B24172" w:rsidRDefault="00EE1957" w:rsidP="00F43A41">
            <w:pPr>
              <w:jc w:val="center"/>
            </w:pPr>
            <w:r w:rsidRPr="00B24172">
              <w:t>250</w:t>
            </w:r>
          </w:p>
        </w:tc>
        <w:tc>
          <w:tcPr>
            <w:tcW w:w="1440" w:type="dxa"/>
            <w:vMerge/>
          </w:tcPr>
          <w:p w14:paraId="33E19DAF" w14:textId="77777777" w:rsidR="00EE1957" w:rsidRPr="00B24172" w:rsidRDefault="00EE1957" w:rsidP="00F43A41">
            <w:pPr>
              <w:jc w:val="center"/>
            </w:pPr>
          </w:p>
        </w:tc>
        <w:tc>
          <w:tcPr>
            <w:tcW w:w="1260" w:type="dxa"/>
            <w:vMerge/>
          </w:tcPr>
          <w:p w14:paraId="3AA6C53A" w14:textId="77777777" w:rsidR="00EE1957" w:rsidRPr="00B24172" w:rsidRDefault="00EE1957" w:rsidP="00F43A41">
            <w:pPr>
              <w:jc w:val="center"/>
            </w:pPr>
          </w:p>
        </w:tc>
        <w:tc>
          <w:tcPr>
            <w:tcW w:w="1281" w:type="dxa"/>
            <w:vMerge/>
          </w:tcPr>
          <w:p w14:paraId="2AD3E0EB" w14:textId="507BDBA9" w:rsidR="00EE1957" w:rsidRPr="00B24172" w:rsidRDefault="00EE1957" w:rsidP="00F43A41">
            <w:pPr>
              <w:jc w:val="center"/>
            </w:pPr>
          </w:p>
        </w:tc>
      </w:tr>
      <w:tr w:rsidR="00D7575A" w:rsidRPr="00B24172" w14:paraId="3106A68F" w14:textId="1D6853D7" w:rsidTr="00EB1EED">
        <w:trPr>
          <w:trHeight w:val="100"/>
          <w:jc w:val="center"/>
        </w:trPr>
        <w:tc>
          <w:tcPr>
            <w:tcW w:w="3685" w:type="dxa"/>
            <w:shd w:val="clear" w:color="auto" w:fill="auto"/>
            <w:noWrap/>
            <w:vAlign w:val="bottom"/>
          </w:tcPr>
          <w:p w14:paraId="122F8DDD" w14:textId="1A4220B2" w:rsidR="00EE1957" w:rsidRPr="00B24172" w:rsidRDefault="00EE1957" w:rsidP="00F43A41">
            <w:pPr>
              <w:rPr>
                <w:lang w:val="en-NZ" w:eastAsia="en-NZ"/>
              </w:rPr>
            </w:pPr>
            <w:r w:rsidRPr="00B24172">
              <w:rPr>
                <w:lang w:val="en-NZ" w:eastAsia="en-NZ"/>
              </w:rPr>
              <w:t xml:space="preserve">      Time saving</w:t>
            </w:r>
          </w:p>
        </w:tc>
        <w:tc>
          <w:tcPr>
            <w:tcW w:w="1350" w:type="dxa"/>
          </w:tcPr>
          <w:p w14:paraId="45622343" w14:textId="039F1E50" w:rsidR="00EE1957" w:rsidRPr="00B24172" w:rsidRDefault="00EE1957" w:rsidP="00F43A41">
            <w:pPr>
              <w:jc w:val="center"/>
            </w:pPr>
            <w:r w:rsidRPr="00B24172">
              <w:t>13,105</w:t>
            </w:r>
          </w:p>
        </w:tc>
        <w:tc>
          <w:tcPr>
            <w:tcW w:w="1440" w:type="dxa"/>
            <w:vMerge/>
          </w:tcPr>
          <w:p w14:paraId="34142CDB" w14:textId="77777777" w:rsidR="00EE1957" w:rsidRPr="00B24172" w:rsidRDefault="00EE1957" w:rsidP="00F43A41">
            <w:pPr>
              <w:jc w:val="center"/>
            </w:pPr>
          </w:p>
        </w:tc>
        <w:tc>
          <w:tcPr>
            <w:tcW w:w="1260" w:type="dxa"/>
            <w:vMerge/>
          </w:tcPr>
          <w:p w14:paraId="497C46DD" w14:textId="77777777" w:rsidR="00EE1957" w:rsidRPr="00B24172" w:rsidRDefault="00EE1957" w:rsidP="00F43A41">
            <w:pPr>
              <w:jc w:val="center"/>
            </w:pPr>
          </w:p>
        </w:tc>
        <w:tc>
          <w:tcPr>
            <w:tcW w:w="1281" w:type="dxa"/>
            <w:vMerge/>
          </w:tcPr>
          <w:p w14:paraId="466528FC" w14:textId="2AE90BF4" w:rsidR="00EE1957" w:rsidRPr="00B24172" w:rsidRDefault="00EE1957" w:rsidP="00F43A41">
            <w:pPr>
              <w:jc w:val="center"/>
            </w:pPr>
          </w:p>
        </w:tc>
      </w:tr>
      <w:tr w:rsidR="00D7575A" w:rsidRPr="00B24172" w14:paraId="4F27527C" w14:textId="31E22922" w:rsidTr="00EB1EED">
        <w:trPr>
          <w:trHeight w:val="100"/>
          <w:jc w:val="center"/>
        </w:trPr>
        <w:tc>
          <w:tcPr>
            <w:tcW w:w="3685" w:type="dxa"/>
            <w:shd w:val="clear" w:color="auto" w:fill="auto"/>
            <w:noWrap/>
            <w:vAlign w:val="bottom"/>
          </w:tcPr>
          <w:p w14:paraId="72DDE95E" w14:textId="75ECF98B" w:rsidR="00EE1957" w:rsidRPr="00B24172" w:rsidRDefault="00EE1957" w:rsidP="00F43A41">
            <w:pPr>
              <w:rPr>
                <w:lang w:val="en-NZ" w:eastAsia="en-NZ"/>
              </w:rPr>
            </w:pPr>
            <w:r w:rsidRPr="00B24172">
              <w:rPr>
                <w:lang w:val="en-NZ" w:eastAsia="en-NZ"/>
              </w:rPr>
              <w:t xml:space="preserve">      Productivity gain</w:t>
            </w:r>
          </w:p>
        </w:tc>
        <w:tc>
          <w:tcPr>
            <w:tcW w:w="1350" w:type="dxa"/>
          </w:tcPr>
          <w:p w14:paraId="464EA745" w14:textId="77283143" w:rsidR="00EE1957" w:rsidRPr="00B24172" w:rsidRDefault="00EE1957" w:rsidP="00F43A41">
            <w:pPr>
              <w:jc w:val="center"/>
            </w:pPr>
            <w:r w:rsidRPr="00B24172">
              <w:t>71</w:t>
            </w:r>
          </w:p>
        </w:tc>
        <w:tc>
          <w:tcPr>
            <w:tcW w:w="1440" w:type="dxa"/>
            <w:vMerge/>
          </w:tcPr>
          <w:p w14:paraId="5B9EE5CC" w14:textId="77777777" w:rsidR="00EE1957" w:rsidRPr="00B24172" w:rsidRDefault="00EE1957" w:rsidP="00F43A41">
            <w:pPr>
              <w:jc w:val="center"/>
            </w:pPr>
          </w:p>
        </w:tc>
        <w:tc>
          <w:tcPr>
            <w:tcW w:w="1260" w:type="dxa"/>
            <w:vMerge/>
          </w:tcPr>
          <w:p w14:paraId="791513F5" w14:textId="77777777" w:rsidR="00EE1957" w:rsidRPr="00B24172" w:rsidRDefault="00EE1957" w:rsidP="00F43A41">
            <w:pPr>
              <w:jc w:val="center"/>
            </w:pPr>
          </w:p>
        </w:tc>
        <w:tc>
          <w:tcPr>
            <w:tcW w:w="1281" w:type="dxa"/>
            <w:vMerge/>
          </w:tcPr>
          <w:p w14:paraId="4C50D22C" w14:textId="3FB7611B" w:rsidR="00EE1957" w:rsidRPr="00B24172" w:rsidRDefault="00EE1957" w:rsidP="00F43A41">
            <w:pPr>
              <w:jc w:val="center"/>
            </w:pPr>
          </w:p>
        </w:tc>
      </w:tr>
      <w:tr w:rsidR="00D7575A" w:rsidRPr="00B24172" w14:paraId="3051C51C" w14:textId="539BAD23" w:rsidTr="00EB1EED">
        <w:trPr>
          <w:trHeight w:val="100"/>
          <w:jc w:val="center"/>
        </w:trPr>
        <w:tc>
          <w:tcPr>
            <w:tcW w:w="3685" w:type="dxa"/>
            <w:shd w:val="clear" w:color="auto" w:fill="auto"/>
            <w:noWrap/>
            <w:vAlign w:val="bottom"/>
          </w:tcPr>
          <w:p w14:paraId="673095F0" w14:textId="77777777" w:rsidR="00EE1957" w:rsidRPr="00B24172" w:rsidRDefault="00EE1957" w:rsidP="00F43A41">
            <w:pPr>
              <w:rPr>
                <w:b/>
                <w:lang w:val="en-NZ" w:eastAsia="en-NZ"/>
              </w:rPr>
            </w:pPr>
            <w:r w:rsidRPr="00B24172">
              <w:rPr>
                <w:b/>
                <w:lang w:val="en-NZ" w:eastAsia="en-NZ"/>
              </w:rPr>
              <w:t>ICS (discounted for 3 Years)</w:t>
            </w:r>
          </w:p>
        </w:tc>
        <w:tc>
          <w:tcPr>
            <w:tcW w:w="1350" w:type="dxa"/>
          </w:tcPr>
          <w:p w14:paraId="4DF50ECC" w14:textId="77777777" w:rsidR="00EE1957" w:rsidRPr="00B24172" w:rsidRDefault="00EE1957" w:rsidP="00F43A41">
            <w:pPr>
              <w:jc w:val="center"/>
            </w:pPr>
          </w:p>
        </w:tc>
        <w:tc>
          <w:tcPr>
            <w:tcW w:w="1440" w:type="dxa"/>
          </w:tcPr>
          <w:p w14:paraId="09497E4F" w14:textId="77777777" w:rsidR="00EE1957" w:rsidRPr="00B24172" w:rsidRDefault="00EE1957" w:rsidP="00F43A41">
            <w:pPr>
              <w:jc w:val="center"/>
            </w:pPr>
          </w:p>
        </w:tc>
        <w:tc>
          <w:tcPr>
            <w:tcW w:w="1260" w:type="dxa"/>
          </w:tcPr>
          <w:p w14:paraId="2BF23CCB" w14:textId="77777777" w:rsidR="00EE1957" w:rsidRPr="00B24172" w:rsidRDefault="00EE1957" w:rsidP="00F43A41">
            <w:pPr>
              <w:jc w:val="center"/>
            </w:pPr>
          </w:p>
        </w:tc>
        <w:tc>
          <w:tcPr>
            <w:tcW w:w="1281" w:type="dxa"/>
          </w:tcPr>
          <w:p w14:paraId="164DF8AD" w14:textId="38ABA553" w:rsidR="00EE1957" w:rsidRPr="00B24172" w:rsidRDefault="00EE1957" w:rsidP="00F43A41">
            <w:pPr>
              <w:jc w:val="center"/>
            </w:pPr>
          </w:p>
        </w:tc>
      </w:tr>
      <w:tr w:rsidR="00464100" w:rsidRPr="00B24172" w14:paraId="2CA6F358" w14:textId="4849B9F9" w:rsidTr="00EB1EED">
        <w:trPr>
          <w:trHeight w:val="100"/>
          <w:jc w:val="center"/>
        </w:trPr>
        <w:tc>
          <w:tcPr>
            <w:tcW w:w="3685" w:type="dxa"/>
            <w:shd w:val="clear" w:color="auto" w:fill="auto"/>
            <w:noWrap/>
            <w:vAlign w:val="bottom"/>
          </w:tcPr>
          <w:p w14:paraId="4C039C90" w14:textId="5D1F4414" w:rsidR="00EE1957" w:rsidRPr="00B24172" w:rsidRDefault="00EE1957" w:rsidP="0026724C">
            <w:pPr>
              <w:rPr>
                <w:lang w:val="en-NZ" w:eastAsia="en-NZ"/>
              </w:rPr>
            </w:pPr>
            <w:r w:rsidRPr="00B24172">
              <w:rPr>
                <w:lang w:val="en-NZ" w:eastAsia="en-NZ"/>
              </w:rPr>
              <w:t xml:space="preserve">      Fuel saving</w:t>
            </w:r>
          </w:p>
        </w:tc>
        <w:tc>
          <w:tcPr>
            <w:tcW w:w="1350" w:type="dxa"/>
          </w:tcPr>
          <w:p w14:paraId="419A0E8A" w14:textId="14F09A0B" w:rsidR="00EE1957" w:rsidRPr="00B24172" w:rsidRDefault="00EE1957" w:rsidP="0026724C">
            <w:pPr>
              <w:jc w:val="center"/>
            </w:pPr>
            <w:r w:rsidRPr="00B24172">
              <w:t>1,054</w:t>
            </w:r>
          </w:p>
        </w:tc>
        <w:tc>
          <w:tcPr>
            <w:tcW w:w="1440" w:type="dxa"/>
            <w:vMerge w:val="restart"/>
          </w:tcPr>
          <w:p w14:paraId="6BDE4FD0" w14:textId="77777777" w:rsidR="00EE1957" w:rsidRPr="00B24172" w:rsidRDefault="00EE1957" w:rsidP="00EE1957">
            <w:pPr>
              <w:jc w:val="center"/>
            </w:pPr>
          </w:p>
          <w:p w14:paraId="4B9395A8" w14:textId="77777777" w:rsidR="00EE1957" w:rsidRPr="00B24172" w:rsidRDefault="00EE1957" w:rsidP="00EE1957">
            <w:pPr>
              <w:jc w:val="center"/>
            </w:pPr>
          </w:p>
          <w:p w14:paraId="287E05A4" w14:textId="4AA8DF84" w:rsidR="00EE1957" w:rsidRPr="00B24172" w:rsidRDefault="00EE1957" w:rsidP="00EE1957">
            <w:pPr>
              <w:jc w:val="center"/>
            </w:pPr>
            <w:r w:rsidRPr="00B24172">
              <w:t>755,962</w:t>
            </w:r>
          </w:p>
        </w:tc>
        <w:tc>
          <w:tcPr>
            <w:tcW w:w="1260" w:type="dxa"/>
            <w:vMerge w:val="restart"/>
          </w:tcPr>
          <w:p w14:paraId="363A5D3E" w14:textId="77777777" w:rsidR="00EE1957" w:rsidRPr="00B24172" w:rsidRDefault="00EE1957" w:rsidP="00EE1957">
            <w:pPr>
              <w:jc w:val="center"/>
            </w:pPr>
          </w:p>
          <w:p w14:paraId="45F77D1E" w14:textId="77777777" w:rsidR="00EE1957" w:rsidRPr="00B24172" w:rsidRDefault="00EE1957" w:rsidP="00EE1957">
            <w:pPr>
              <w:jc w:val="center"/>
            </w:pPr>
          </w:p>
          <w:p w14:paraId="7CAE51AD" w14:textId="7817D947" w:rsidR="00EE1957" w:rsidRPr="00B24172" w:rsidRDefault="00EE1957" w:rsidP="00EE1957">
            <w:pPr>
              <w:jc w:val="center"/>
            </w:pPr>
            <w:r w:rsidRPr="00B24172">
              <w:t>725,369</w:t>
            </w:r>
          </w:p>
        </w:tc>
        <w:tc>
          <w:tcPr>
            <w:tcW w:w="1281" w:type="dxa"/>
            <w:vMerge w:val="restart"/>
          </w:tcPr>
          <w:p w14:paraId="0499B9F2" w14:textId="77777777" w:rsidR="00EE1957" w:rsidRPr="00B24172" w:rsidRDefault="00EE1957" w:rsidP="00EE1957">
            <w:pPr>
              <w:jc w:val="center"/>
            </w:pPr>
          </w:p>
          <w:p w14:paraId="63D0B33D" w14:textId="77777777" w:rsidR="00EE1957" w:rsidRPr="00B24172" w:rsidRDefault="00EE1957" w:rsidP="00EE1957">
            <w:pPr>
              <w:jc w:val="center"/>
            </w:pPr>
          </w:p>
          <w:p w14:paraId="4F7056FA" w14:textId="187F3994" w:rsidR="00EE1957" w:rsidRPr="00B24172" w:rsidRDefault="00EE1957" w:rsidP="00EE1957">
            <w:pPr>
              <w:jc w:val="center"/>
            </w:pPr>
            <w:r w:rsidRPr="00B24172">
              <w:t>697,991</w:t>
            </w:r>
          </w:p>
        </w:tc>
      </w:tr>
      <w:tr w:rsidR="00D7575A" w:rsidRPr="00B24172" w14:paraId="1966A9BE" w14:textId="23C5A6A3" w:rsidTr="00EB1EED">
        <w:trPr>
          <w:trHeight w:val="100"/>
          <w:jc w:val="center"/>
        </w:trPr>
        <w:tc>
          <w:tcPr>
            <w:tcW w:w="3685" w:type="dxa"/>
            <w:shd w:val="clear" w:color="auto" w:fill="auto"/>
            <w:noWrap/>
            <w:vAlign w:val="bottom"/>
          </w:tcPr>
          <w:p w14:paraId="40EBCCC7" w14:textId="13838DEF" w:rsidR="00EE1957" w:rsidRPr="00B24172" w:rsidRDefault="00EE1957" w:rsidP="00F43A41">
            <w:pPr>
              <w:rPr>
                <w:lang w:val="en-NZ" w:eastAsia="en-NZ"/>
              </w:rPr>
            </w:pPr>
            <w:r w:rsidRPr="00B24172">
              <w:rPr>
                <w:lang w:val="en-NZ" w:eastAsia="en-NZ"/>
              </w:rPr>
              <w:t xml:space="preserve">      Mortality benefits</w:t>
            </w:r>
          </w:p>
        </w:tc>
        <w:tc>
          <w:tcPr>
            <w:tcW w:w="1350" w:type="dxa"/>
          </w:tcPr>
          <w:p w14:paraId="311BCAD5" w14:textId="4EC5CA59" w:rsidR="00EE1957" w:rsidRPr="00B24172" w:rsidRDefault="00EE1957" w:rsidP="00F43A41">
            <w:pPr>
              <w:jc w:val="center"/>
            </w:pPr>
            <w:r w:rsidRPr="00B24172">
              <w:t>13,607</w:t>
            </w:r>
          </w:p>
        </w:tc>
        <w:tc>
          <w:tcPr>
            <w:tcW w:w="1440" w:type="dxa"/>
            <w:vMerge/>
          </w:tcPr>
          <w:p w14:paraId="1033DDD9" w14:textId="0A9706B7" w:rsidR="00EE1957" w:rsidRPr="00B24172" w:rsidRDefault="00EE1957" w:rsidP="00EE1957">
            <w:pPr>
              <w:jc w:val="center"/>
            </w:pPr>
          </w:p>
        </w:tc>
        <w:tc>
          <w:tcPr>
            <w:tcW w:w="1260" w:type="dxa"/>
            <w:vMerge/>
          </w:tcPr>
          <w:p w14:paraId="44A6DAEC" w14:textId="31352019" w:rsidR="00EE1957" w:rsidRPr="00B24172" w:rsidRDefault="00EE1957" w:rsidP="00EE1957">
            <w:pPr>
              <w:jc w:val="center"/>
            </w:pPr>
          </w:p>
        </w:tc>
        <w:tc>
          <w:tcPr>
            <w:tcW w:w="1281" w:type="dxa"/>
            <w:vMerge/>
          </w:tcPr>
          <w:p w14:paraId="709691AE" w14:textId="2928FB9D" w:rsidR="00EE1957" w:rsidRPr="00B24172" w:rsidRDefault="00EE1957" w:rsidP="00EE1957">
            <w:pPr>
              <w:jc w:val="center"/>
            </w:pPr>
          </w:p>
        </w:tc>
      </w:tr>
      <w:tr w:rsidR="00D7575A" w:rsidRPr="00B24172" w14:paraId="69373083" w14:textId="5B5FB193" w:rsidTr="00EB1EED">
        <w:trPr>
          <w:trHeight w:val="100"/>
          <w:jc w:val="center"/>
        </w:trPr>
        <w:tc>
          <w:tcPr>
            <w:tcW w:w="3685" w:type="dxa"/>
            <w:shd w:val="clear" w:color="auto" w:fill="auto"/>
            <w:noWrap/>
            <w:vAlign w:val="bottom"/>
          </w:tcPr>
          <w:p w14:paraId="152DBDC4" w14:textId="38E8B50F" w:rsidR="00EE1957" w:rsidRPr="00B24172" w:rsidRDefault="00EE1957" w:rsidP="00F43A41">
            <w:pPr>
              <w:rPr>
                <w:lang w:val="en-NZ" w:eastAsia="en-NZ"/>
              </w:rPr>
            </w:pPr>
            <w:r w:rsidRPr="00B24172">
              <w:rPr>
                <w:lang w:val="en-NZ" w:eastAsia="en-NZ"/>
              </w:rPr>
              <w:t xml:space="preserve">      Morbidity benefits</w:t>
            </w:r>
          </w:p>
        </w:tc>
        <w:tc>
          <w:tcPr>
            <w:tcW w:w="1350" w:type="dxa"/>
          </w:tcPr>
          <w:p w14:paraId="16D5BEAE" w14:textId="14EFCE30" w:rsidR="00EE1957" w:rsidRPr="00B24172" w:rsidRDefault="00EE1957" w:rsidP="00F43A41">
            <w:pPr>
              <w:jc w:val="center"/>
            </w:pPr>
            <w:r w:rsidRPr="00B24172">
              <w:t>741</w:t>
            </w:r>
          </w:p>
        </w:tc>
        <w:tc>
          <w:tcPr>
            <w:tcW w:w="1440" w:type="dxa"/>
            <w:vMerge/>
          </w:tcPr>
          <w:p w14:paraId="162D8B95" w14:textId="286FA4DD" w:rsidR="00EE1957" w:rsidRPr="00B24172" w:rsidRDefault="00EE1957" w:rsidP="00EE1957">
            <w:pPr>
              <w:jc w:val="center"/>
              <w:rPr>
                <w:lang w:val="en-NZ" w:eastAsia="en-NZ"/>
              </w:rPr>
            </w:pPr>
          </w:p>
        </w:tc>
        <w:tc>
          <w:tcPr>
            <w:tcW w:w="1260" w:type="dxa"/>
            <w:vMerge/>
          </w:tcPr>
          <w:p w14:paraId="5E512EC1" w14:textId="3069426F" w:rsidR="00EE1957" w:rsidRPr="00B24172" w:rsidRDefault="00EE1957" w:rsidP="00EE1957">
            <w:pPr>
              <w:jc w:val="center"/>
              <w:rPr>
                <w:lang w:val="en-NZ" w:eastAsia="en-NZ"/>
              </w:rPr>
            </w:pPr>
          </w:p>
        </w:tc>
        <w:tc>
          <w:tcPr>
            <w:tcW w:w="1281" w:type="dxa"/>
            <w:vMerge/>
          </w:tcPr>
          <w:p w14:paraId="012C4DDE" w14:textId="3ADC4A4E" w:rsidR="00EE1957" w:rsidRPr="00B24172" w:rsidRDefault="00EE1957" w:rsidP="00EE1957">
            <w:pPr>
              <w:jc w:val="center"/>
              <w:rPr>
                <w:lang w:val="en-NZ" w:eastAsia="en-NZ"/>
              </w:rPr>
            </w:pPr>
          </w:p>
        </w:tc>
      </w:tr>
      <w:tr w:rsidR="00D7575A" w:rsidRPr="00B24172" w14:paraId="25498E87" w14:textId="1BB3DB9F" w:rsidTr="00EB1EED">
        <w:trPr>
          <w:trHeight w:val="100"/>
          <w:jc w:val="center"/>
        </w:trPr>
        <w:tc>
          <w:tcPr>
            <w:tcW w:w="3685" w:type="dxa"/>
            <w:shd w:val="clear" w:color="auto" w:fill="auto"/>
            <w:noWrap/>
            <w:vAlign w:val="bottom"/>
          </w:tcPr>
          <w:p w14:paraId="784B7148" w14:textId="5276D2DF" w:rsidR="00EE1957" w:rsidRPr="00B24172" w:rsidRDefault="00EE1957" w:rsidP="00F43A41">
            <w:pPr>
              <w:rPr>
                <w:lang w:val="en-NZ" w:eastAsia="en-NZ"/>
              </w:rPr>
            </w:pPr>
            <w:r w:rsidRPr="00B24172">
              <w:rPr>
                <w:lang w:val="en-NZ" w:eastAsia="en-NZ"/>
              </w:rPr>
              <w:t xml:space="preserve">      Health care benefits</w:t>
            </w:r>
          </w:p>
        </w:tc>
        <w:tc>
          <w:tcPr>
            <w:tcW w:w="1350" w:type="dxa"/>
          </w:tcPr>
          <w:p w14:paraId="0145D1F8" w14:textId="07DDAC98" w:rsidR="00EE1957" w:rsidRPr="00B24172" w:rsidRDefault="00EE1957" w:rsidP="00F43A41">
            <w:pPr>
              <w:jc w:val="center"/>
            </w:pPr>
            <w:r w:rsidRPr="00B24172">
              <w:t>88</w:t>
            </w:r>
          </w:p>
        </w:tc>
        <w:tc>
          <w:tcPr>
            <w:tcW w:w="1440" w:type="dxa"/>
            <w:vMerge/>
          </w:tcPr>
          <w:p w14:paraId="691D7068" w14:textId="77777777" w:rsidR="00EE1957" w:rsidRPr="00B24172" w:rsidRDefault="00EE1957" w:rsidP="00F43A41">
            <w:pPr>
              <w:jc w:val="center"/>
            </w:pPr>
          </w:p>
        </w:tc>
        <w:tc>
          <w:tcPr>
            <w:tcW w:w="1260" w:type="dxa"/>
            <w:vMerge/>
          </w:tcPr>
          <w:p w14:paraId="002BB952" w14:textId="77777777" w:rsidR="00EE1957" w:rsidRPr="00B24172" w:rsidRDefault="00EE1957" w:rsidP="00F43A41">
            <w:pPr>
              <w:jc w:val="center"/>
            </w:pPr>
          </w:p>
        </w:tc>
        <w:tc>
          <w:tcPr>
            <w:tcW w:w="1281" w:type="dxa"/>
            <w:vMerge/>
          </w:tcPr>
          <w:p w14:paraId="5DFD2F6A" w14:textId="6B7B9C65" w:rsidR="00EE1957" w:rsidRPr="00B24172" w:rsidRDefault="00EE1957" w:rsidP="00F43A41">
            <w:pPr>
              <w:jc w:val="center"/>
            </w:pPr>
          </w:p>
        </w:tc>
      </w:tr>
      <w:tr w:rsidR="00D7575A" w:rsidRPr="00B24172" w14:paraId="26028FC6" w14:textId="5510D3E1" w:rsidTr="00EB1EED">
        <w:trPr>
          <w:trHeight w:val="100"/>
          <w:jc w:val="center"/>
        </w:trPr>
        <w:tc>
          <w:tcPr>
            <w:tcW w:w="3685" w:type="dxa"/>
            <w:shd w:val="clear" w:color="auto" w:fill="auto"/>
            <w:noWrap/>
            <w:vAlign w:val="bottom"/>
          </w:tcPr>
          <w:p w14:paraId="1BD24C9D" w14:textId="3384875C" w:rsidR="00EE1957" w:rsidRPr="00B24172" w:rsidRDefault="00EE1957" w:rsidP="00F43A41">
            <w:pPr>
              <w:rPr>
                <w:lang w:val="en-NZ" w:eastAsia="en-NZ"/>
              </w:rPr>
            </w:pPr>
            <w:r w:rsidRPr="00B24172">
              <w:rPr>
                <w:lang w:val="en-NZ" w:eastAsia="en-NZ"/>
              </w:rPr>
              <w:t xml:space="preserve">      Time saving</w:t>
            </w:r>
          </w:p>
        </w:tc>
        <w:tc>
          <w:tcPr>
            <w:tcW w:w="1350" w:type="dxa"/>
          </w:tcPr>
          <w:p w14:paraId="6DD1EE1C" w14:textId="365DDE60" w:rsidR="00EE1957" w:rsidRPr="00B24172" w:rsidRDefault="00EE1957" w:rsidP="00F43A41">
            <w:pPr>
              <w:jc w:val="center"/>
            </w:pPr>
            <w:r w:rsidRPr="00B24172">
              <w:t>1,534</w:t>
            </w:r>
          </w:p>
        </w:tc>
        <w:tc>
          <w:tcPr>
            <w:tcW w:w="1440" w:type="dxa"/>
            <w:vMerge/>
          </w:tcPr>
          <w:p w14:paraId="06B923A3" w14:textId="77777777" w:rsidR="00EE1957" w:rsidRPr="00B24172" w:rsidRDefault="00EE1957" w:rsidP="00F43A41">
            <w:pPr>
              <w:jc w:val="center"/>
            </w:pPr>
          </w:p>
        </w:tc>
        <w:tc>
          <w:tcPr>
            <w:tcW w:w="1260" w:type="dxa"/>
            <w:vMerge/>
          </w:tcPr>
          <w:p w14:paraId="169FCF0A" w14:textId="77777777" w:rsidR="00EE1957" w:rsidRPr="00B24172" w:rsidRDefault="00EE1957" w:rsidP="00F43A41">
            <w:pPr>
              <w:jc w:val="center"/>
            </w:pPr>
          </w:p>
        </w:tc>
        <w:tc>
          <w:tcPr>
            <w:tcW w:w="1281" w:type="dxa"/>
            <w:vMerge/>
          </w:tcPr>
          <w:p w14:paraId="019D4325" w14:textId="28711E30" w:rsidR="00EE1957" w:rsidRPr="00B24172" w:rsidRDefault="00EE1957" w:rsidP="00F43A41">
            <w:pPr>
              <w:jc w:val="center"/>
            </w:pPr>
          </w:p>
        </w:tc>
      </w:tr>
      <w:tr w:rsidR="00D7575A" w:rsidRPr="00B24172" w14:paraId="360C4D48" w14:textId="0925A535" w:rsidTr="00EB1EED">
        <w:trPr>
          <w:trHeight w:val="100"/>
          <w:jc w:val="center"/>
        </w:trPr>
        <w:tc>
          <w:tcPr>
            <w:tcW w:w="3685" w:type="dxa"/>
            <w:shd w:val="clear" w:color="auto" w:fill="auto"/>
            <w:noWrap/>
            <w:vAlign w:val="bottom"/>
          </w:tcPr>
          <w:p w14:paraId="4B526417" w14:textId="7E499FCC" w:rsidR="00EE1957" w:rsidRPr="00B24172" w:rsidRDefault="00EE1957" w:rsidP="00F43A41">
            <w:pPr>
              <w:rPr>
                <w:lang w:val="en-NZ" w:eastAsia="en-NZ"/>
              </w:rPr>
            </w:pPr>
            <w:r w:rsidRPr="00B24172">
              <w:rPr>
                <w:lang w:val="en-NZ" w:eastAsia="en-NZ"/>
              </w:rPr>
              <w:t xml:space="preserve">      Productivity gain</w:t>
            </w:r>
          </w:p>
        </w:tc>
        <w:tc>
          <w:tcPr>
            <w:tcW w:w="1350" w:type="dxa"/>
          </w:tcPr>
          <w:p w14:paraId="32D692EF" w14:textId="4AA85363" w:rsidR="00EE1957" w:rsidRPr="00B24172" w:rsidRDefault="00EE1957" w:rsidP="00F43A41">
            <w:pPr>
              <w:jc w:val="center"/>
            </w:pPr>
            <w:r w:rsidRPr="00B24172">
              <w:t>25</w:t>
            </w:r>
          </w:p>
        </w:tc>
        <w:tc>
          <w:tcPr>
            <w:tcW w:w="1440" w:type="dxa"/>
            <w:vMerge/>
          </w:tcPr>
          <w:p w14:paraId="0CABBD95" w14:textId="77777777" w:rsidR="00EE1957" w:rsidRPr="00B24172" w:rsidRDefault="00EE1957" w:rsidP="00F43A41">
            <w:pPr>
              <w:jc w:val="center"/>
            </w:pPr>
          </w:p>
        </w:tc>
        <w:tc>
          <w:tcPr>
            <w:tcW w:w="1260" w:type="dxa"/>
            <w:vMerge/>
          </w:tcPr>
          <w:p w14:paraId="3BF847C2" w14:textId="77777777" w:rsidR="00EE1957" w:rsidRPr="00B24172" w:rsidRDefault="00EE1957" w:rsidP="00F43A41">
            <w:pPr>
              <w:jc w:val="center"/>
            </w:pPr>
          </w:p>
        </w:tc>
        <w:tc>
          <w:tcPr>
            <w:tcW w:w="1281" w:type="dxa"/>
            <w:vMerge/>
          </w:tcPr>
          <w:p w14:paraId="043F8FAA" w14:textId="0BD66BF5" w:rsidR="00EE1957" w:rsidRPr="00B24172" w:rsidRDefault="00EE1957" w:rsidP="00F43A41">
            <w:pPr>
              <w:jc w:val="center"/>
            </w:pPr>
          </w:p>
        </w:tc>
      </w:tr>
    </w:tbl>
    <w:p w14:paraId="6BD8DBAE" w14:textId="5DD6A013" w:rsidR="00D93C2E" w:rsidRPr="00B24172" w:rsidRDefault="00D93C2E" w:rsidP="009169AA">
      <w:pPr>
        <w:spacing w:line="288" w:lineRule="auto"/>
        <w:jc w:val="both"/>
        <w:rPr>
          <w:sz w:val="20"/>
          <w:lang w:val="en-NZ"/>
        </w:rPr>
      </w:pPr>
      <w:r w:rsidRPr="00B24172">
        <w:rPr>
          <w:sz w:val="20"/>
          <w:lang w:val="en-NZ"/>
        </w:rPr>
        <w:t xml:space="preserve">Notes:  </w:t>
      </w:r>
      <w:r w:rsidR="00BA3BB3" w:rsidRPr="00B24172">
        <w:rPr>
          <w:sz w:val="20"/>
          <w:lang w:val="en-NZ"/>
        </w:rPr>
        <w:t>HH= Households.</w:t>
      </w:r>
      <w:r w:rsidR="00E74A37" w:rsidRPr="00B24172">
        <w:rPr>
          <w:sz w:val="20"/>
          <w:lang w:val="en-NZ"/>
        </w:rPr>
        <w:t xml:space="preserve"> DR= Discount Rate,</w:t>
      </w:r>
      <w:r w:rsidR="00BA3BB3" w:rsidRPr="00B24172">
        <w:rPr>
          <w:sz w:val="20"/>
          <w:lang w:val="en-NZ"/>
        </w:rPr>
        <w:t xml:space="preserve"> </w:t>
      </w:r>
      <w:r w:rsidR="00E74A37" w:rsidRPr="00B24172">
        <w:rPr>
          <w:sz w:val="20"/>
          <w:lang w:val="en-NZ"/>
        </w:rPr>
        <w:t>the</w:t>
      </w:r>
      <w:r w:rsidRPr="00B24172">
        <w:rPr>
          <w:sz w:val="20"/>
          <w:lang w:val="en-NZ"/>
        </w:rPr>
        <w:t xml:space="preserve"> </w:t>
      </w:r>
      <w:r w:rsidR="00E74A37" w:rsidRPr="00B24172">
        <w:rPr>
          <w:sz w:val="20"/>
          <w:lang w:val="en-NZ"/>
        </w:rPr>
        <w:t xml:space="preserve">10 years </w:t>
      </w:r>
      <w:r w:rsidRPr="00B24172">
        <w:rPr>
          <w:sz w:val="20"/>
          <w:lang w:val="en-NZ"/>
        </w:rPr>
        <w:t xml:space="preserve">discounted </w:t>
      </w:r>
      <w:r w:rsidR="00C822F9" w:rsidRPr="00B24172">
        <w:rPr>
          <w:sz w:val="20"/>
          <w:lang w:val="en-NZ"/>
        </w:rPr>
        <w:t>benefits</w:t>
      </w:r>
      <w:r w:rsidRPr="00B24172">
        <w:rPr>
          <w:sz w:val="20"/>
          <w:lang w:val="en-NZ"/>
        </w:rPr>
        <w:t xml:space="preserve"> </w:t>
      </w:r>
      <w:r w:rsidR="00C822F9" w:rsidRPr="00B24172">
        <w:rPr>
          <w:sz w:val="20"/>
          <w:lang w:val="en-NZ"/>
        </w:rPr>
        <w:t>are</w:t>
      </w:r>
      <w:r w:rsidRPr="00B24172">
        <w:rPr>
          <w:sz w:val="20"/>
          <w:lang w:val="en-NZ"/>
        </w:rPr>
        <w:t xml:space="preserve"> multiplied </w:t>
      </w:r>
      <w:r w:rsidR="009169AA" w:rsidRPr="00B24172">
        <w:rPr>
          <w:sz w:val="20"/>
          <w:lang w:val="en-NZ"/>
        </w:rPr>
        <w:t xml:space="preserve">by </w:t>
      </w:r>
      <w:r w:rsidRPr="00B24172">
        <w:rPr>
          <w:sz w:val="20"/>
          <w:lang w:val="en-NZ"/>
        </w:rPr>
        <w:t xml:space="preserve">the number of </w:t>
      </w:r>
      <w:r w:rsidR="009169AA" w:rsidRPr="00B24172">
        <w:rPr>
          <w:sz w:val="20"/>
          <w:lang w:val="en-NZ"/>
        </w:rPr>
        <w:t>h</w:t>
      </w:r>
      <w:r w:rsidRPr="00B24172">
        <w:rPr>
          <w:sz w:val="20"/>
          <w:lang w:val="en-NZ"/>
        </w:rPr>
        <w:t xml:space="preserve">ouseholds </w:t>
      </w:r>
      <w:r w:rsidR="009169AA" w:rsidRPr="00B24172">
        <w:rPr>
          <w:sz w:val="20"/>
          <w:lang w:val="en-NZ"/>
        </w:rPr>
        <w:t xml:space="preserve">that </w:t>
      </w:r>
      <w:r w:rsidR="00C822F9" w:rsidRPr="00B24172">
        <w:rPr>
          <w:sz w:val="20"/>
          <w:lang w:val="en-NZ"/>
        </w:rPr>
        <w:t>shift from solid fuel to the interventions</w:t>
      </w:r>
      <w:r w:rsidR="00BA3BB3" w:rsidRPr="00B24172">
        <w:rPr>
          <w:sz w:val="20"/>
          <w:lang w:val="en-NZ"/>
        </w:rPr>
        <w:t xml:space="preserve"> to get the benefits for entire country</w:t>
      </w:r>
      <w:r w:rsidR="00C822F9" w:rsidRPr="00B24172">
        <w:rPr>
          <w:sz w:val="20"/>
          <w:lang w:val="en-NZ"/>
        </w:rPr>
        <w:t xml:space="preserve">. </w:t>
      </w:r>
      <w:r w:rsidRPr="00B24172">
        <w:rPr>
          <w:sz w:val="20"/>
          <w:lang w:val="en-NZ"/>
        </w:rPr>
        <w:t>1</w:t>
      </w:r>
      <w:r w:rsidR="00E74A37" w:rsidRPr="00B24172">
        <w:rPr>
          <w:sz w:val="20"/>
          <w:lang w:val="en-NZ"/>
        </w:rPr>
        <w:t xml:space="preserve"> USD =</w:t>
      </w:r>
      <w:r w:rsidRPr="00B24172">
        <w:rPr>
          <w:sz w:val="20"/>
          <w:lang w:val="en-NZ"/>
        </w:rPr>
        <w:t xml:space="preserve"> 1</w:t>
      </w:r>
      <w:r w:rsidR="00E74A37" w:rsidRPr="00B24172">
        <w:rPr>
          <w:sz w:val="20"/>
          <w:lang w:val="en-NZ"/>
        </w:rPr>
        <w:t>00</w:t>
      </w:r>
      <w:r w:rsidRPr="00B24172">
        <w:rPr>
          <w:sz w:val="20"/>
          <w:lang w:val="en-NZ"/>
        </w:rPr>
        <w:t xml:space="preserve"> </w:t>
      </w:r>
      <w:r w:rsidR="00E74A37" w:rsidRPr="00B24172">
        <w:rPr>
          <w:sz w:val="20"/>
          <w:lang w:val="en-NZ"/>
        </w:rPr>
        <w:t>PKR</w:t>
      </w:r>
      <w:r w:rsidRPr="00B24172">
        <w:rPr>
          <w:sz w:val="20"/>
          <w:lang w:val="en-NZ"/>
        </w:rPr>
        <w:t xml:space="preserve"> (2014)</w:t>
      </w:r>
      <w:r w:rsidR="00E74A37" w:rsidRPr="00B24172">
        <w:rPr>
          <w:sz w:val="20"/>
          <w:lang w:val="en-NZ"/>
        </w:rPr>
        <w:t xml:space="preserve">. </w:t>
      </w:r>
      <w:r w:rsidR="009169AA" w:rsidRPr="00B24172">
        <w:rPr>
          <w:sz w:val="20"/>
          <w:lang w:val="en-NZ"/>
        </w:rPr>
        <w:t xml:space="preserve">Source: </w:t>
      </w:r>
      <w:r w:rsidR="00E74A37" w:rsidRPr="00B24172">
        <w:rPr>
          <w:sz w:val="20"/>
          <w:lang w:val="en-NZ"/>
        </w:rPr>
        <w:t>Authors</w:t>
      </w:r>
      <w:r w:rsidR="006A34A3" w:rsidRPr="00B24172">
        <w:rPr>
          <w:sz w:val="20"/>
          <w:lang w:val="en-NZ"/>
        </w:rPr>
        <w:t>’</w:t>
      </w:r>
      <w:r w:rsidR="00E74A37" w:rsidRPr="00B24172">
        <w:rPr>
          <w:sz w:val="20"/>
          <w:lang w:val="en-NZ"/>
        </w:rPr>
        <w:t xml:space="preserve"> calculations</w:t>
      </w:r>
      <w:r w:rsidR="009169AA" w:rsidRPr="00B24172">
        <w:rPr>
          <w:sz w:val="20"/>
          <w:lang w:val="en-NZ"/>
        </w:rPr>
        <w:t>.</w:t>
      </w:r>
    </w:p>
    <w:p w14:paraId="4A3068C6" w14:textId="3E304BF9" w:rsidR="00D93C2E" w:rsidRPr="00B24172" w:rsidRDefault="00D93C2E" w:rsidP="001B0300">
      <w:pPr>
        <w:spacing w:line="288" w:lineRule="auto"/>
        <w:jc w:val="both"/>
        <w:rPr>
          <w:lang w:val="en-NZ"/>
        </w:rPr>
      </w:pPr>
    </w:p>
    <w:p w14:paraId="5DDF5357" w14:textId="5B8D202C" w:rsidR="00D93C2E" w:rsidRPr="00B24172" w:rsidRDefault="00D93C2E" w:rsidP="001B0300">
      <w:pPr>
        <w:spacing w:line="288" w:lineRule="auto"/>
        <w:jc w:val="both"/>
        <w:rPr>
          <w:lang w:val="en-NZ"/>
        </w:rPr>
      </w:pPr>
    </w:p>
    <w:p w14:paraId="50182395" w14:textId="4919DEAC" w:rsidR="00D93C2E" w:rsidRPr="00B24172" w:rsidRDefault="00D93C2E" w:rsidP="001B0300">
      <w:pPr>
        <w:spacing w:line="288" w:lineRule="auto"/>
        <w:jc w:val="both"/>
        <w:rPr>
          <w:lang w:val="en-NZ"/>
        </w:rPr>
      </w:pPr>
    </w:p>
    <w:p w14:paraId="00805AA2" w14:textId="5721ACC7" w:rsidR="00D93C2E" w:rsidRPr="00B24172" w:rsidRDefault="00D93C2E" w:rsidP="001B0300">
      <w:pPr>
        <w:spacing w:line="288" w:lineRule="auto"/>
        <w:jc w:val="both"/>
        <w:rPr>
          <w:lang w:val="en-NZ"/>
        </w:rPr>
      </w:pPr>
    </w:p>
    <w:p w14:paraId="41EE236A" w14:textId="6E1E3467" w:rsidR="00D93C2E" w:rsidRPr="00B24172" w:rsidRDefault="00D93C2E" w:rsidP="001B0300">
      <w:pPr>
        <w:spacing w:line="288" w:lineRule="auto"/>
        <w:jc w:val="both"/>
        <w:rPr>
          <w:lang w:val="en-NZ"/>
        </w:rPr>
      </w:pPr>
    </w:p>
    <w:p w14:paraId="692130CD" w14:textId="265A58FB" w:rsidR="006F2263" w:rsidRPr="00B24172" w:rsidRDefault="00CB5B33" w:rsidP="00BF2AB8">
      <w:pPr>
        <w:pStyle w:val="Heading1"/>
        <w:numPr>
          <w:ilvl w:val="0"/>
          <w:numId w:val="20"/>
        </w:numPr>
        <w:spacing w:before="0" w:after="0" w:line="288" w:lineRule="auto"/>
        <w:rPr>
          <w:sz w:val="24"/>
          <w:szCs w:val="28"/>
          <w:lang w:val="en-NZ" w:eastAsia="zh-CN"/>
        </w:rPr>
      </w:pPr>
      <w:r w:rsidRPr="00B24172">
        <w:rPr>
          <w:sz w:val="24"/>
          <w:szCs w:val="28"/>
          <w:lang w:val="en-NZ" w:eastAsia="zh-CN"/>
        </w:rPr>
        <w:lastRenderedPageBreak/>
        <w:t xml:space="preserve">Results </w:t>
      </w:r>
      <w:r w:rsidR="00DB7FF4" w:rsidRPr="00B24172">
        <w:rPr>
          <w:sz w:val="24"/>
          <w:szCs w:val="28"/>
          <w:lang w:val="en-NZ" w:eastAsia="zh-CN"/>
        </w:rPr>
        <w:t>a</w:t>
      </w:r>
      <w:r w:rsidRPr="00B24172">
        <w:rPr>
          <w:sz w:val="24"/>
          <w:szCs w:val="28"/>
          <w:lang w:val="en-NZ" w:eastAsia="zh-CN"/>
        </w:rPr>
        <w:t>nd Discussion</w:t>
      </w:r>
    </w:p>
    <w:p w14:paraId="66D594E2" w14:textId="77777777" w:rsidR="00F75111" w:rsidRPr="00B24172" w:rsidRDefault="00F75111" w:rsidP="00DB7FF4">
      <w:pPr>
        <w:autoSpaceDE w:val="0"/>
        <w:autoSpaceDN w:val="0"/>
        <w:adjustRightInd w:val="0"/>
        <w:spacing w:line="288" w:lineRule="auto"/>
        <w:jc w:val="both"/>
        <w:rPr>
          <w:sz w:val="12"/>
          <w:szCs w:val="12"/>
          <w:lang w:val="en-NZ" w:eastAsia="zh-CN"/>
        </w:rPr>
      </w:pPr>
    </w:p>
    <w:p w14:paraId="22F4134D" w14:textId="48C6B3D9" w:rsidR="00347DDF" w:rsidRPr="00B24172" w:rsidRDefault="00F75111" w:rsidP="00DB7FF4">
      <w:pPr>
        <w:autoSpaceDE w:val="0"/>
        <w:autoSpaceDN w:val="0"/>
        <w:adjustRightInd w:val="0"/>
        <w:spacing w:line="288" w:lineRule="auto"/>
        <w:jc w:val="both"/>
        <w:rPr>
          <w:lang w:val="en-NZ" w:eastAsia="zh-CN"/>
        </w:rPr>
      </w:pPr>
      <w:r w:rsidRPr="00B24172">
        <w:rPr>
          <w:lang w:val="en-NZ" w:eastAsia="zh-CN"/>
        </w:rPr>
        <w:t>Table 4 presents the BCRs</w:t>
      </w:r>
      <w:r w:rsidR="00501910" w:rsidRPr="00B24172">
        <w:rPr>
          <w:lang w:val="en-NZ" w:eastAsia="zh-CN"/>
        </w:rPr>
        <w:t xml:space="preserve"> and</w:t>
      </w:r>
      <w:r w:rsidRPr="00B24172">
        <w:rPr>
          <w:lang w:val="en-NZ" w:eastAsia="zh-CN"/>
        </w:rPr>
        <w:t xml:space="preserve"> NPV</w:t>
      </w:r>
      <w:r w:rsidR="00501910" w:rsidRPr="00B24172">
        <w:rPr>
          <w:lang w:val="en-NZ" w:eastAsia="zh-CN"/>
        </w:rPr>
        <w:t xml:space="preserve"> </w:t>
      </w:r>
      <w:r w:rsidRPr="00B24172">
        <w:rPr>
          <w:lang w:val="en-NZ" w:eastAsia="zh-CN"/>
        </w:rPr>
        <w:t xml:space="preserve">of the five interventions. </w:t>
      </w:r>
      <w:r w:rsidR="00310AE8" w:rsidRPr="00B24172">
        <w:rPr>
          <w:lang w:val="en-NZ" w:eastAsia="zh-CN"/>
        </w:rPr>
        <w:t>A</w:t>
      </w:r>
      <w:r w:rsidR="0019302A" w:rsidRPr="00B24172">
        <w:rPr>
          <w:lang w:val="en-NZ" w:eastAsia="zh-CN"/>
        </w:rPr>
        <w:t xml:space="preserve">ll </w:t>
      </w:r>
      <w:r w:rsidR="008378E3" w:rsidRPr="00B24172">
        <w:rPr>
          <w:lang w:val="en-NZ" w:eastAsia="zh-CN"/>
        </w:rPr>
        <w:t xml:space="preserve">have </w:t>
      </w:r>
      <w:r w:rsidR="008A33CD" w:rsidRPr="00B24172">
        <w:rPr>
          <w:lang w:val="en-NZ" w:eastAsia="zh-CN"/>
        </w:rPr>
        <w:t>BCRs</w:t>
      </w:r>
      <w:r w:rsidR="00310AE8" w:rsidRPr="00B24172">
        <w:rPr>
          <w:lang w:val="en-NZ" w:eastAsia="zh-CN"/>
        </w:rPr>
        <w:t xml:space="preserve"> above one,</w:t>
      </w:r>
      <w:r w:rsidR="004E4ABA" w:rsidRPr="00B24172">
        <w:rPr>
          <w:lang w:val="en-NZ" w:eastAsia="zh-CN"/>
        </w:rPr>
        <w:t xml:space="preserve"> except ICS</w:t>
      </w:r>
      <w:r w:rsidR="00310AE8" w:rsidRPr="00B24172">
        <w:rPr>
          <w:lang w:val="en-NZ" w:eastAsia="zh-CN"/>
        </w:rPr>
        <w:t>,</w:t>
      </w:r>
      <w:r w:rsidR="0019302A" w:rsidRPr="00B24172">
        <w:rPr>
          <w:lang w:val="en-NZ" w:eastAsia="zh-CN"/>
        </w:rPr>
        <w:t xml:space="preserve"> </w:t>
      </w:r>
      <w:r w:rsidR="00310AE8" w:rsidRPr="00B24172">
        <w:rPr>
          <w:lang w:val="en-NZ" w:eastAsia="zh-CN"/>
        </w:rPr>
        <w:t>i</w:t>
      </w:r>
      <w:r w:rsidR="0019302A" w:rsidRPr="00B24172">
        <w:rPr>
          <w:lang w:val="en-NZ" w:eastAsia="zh-CN"/>
        </w:rPr>
        <w:t xml:space="preserve">mplying that all the </w:t>
      </w:r>
      <w:r w:rsidR="004E4ABA" w:rsidRPr="00B24172">
        <w:rPr>
          <w:lang w:val="en-NZ" w:eastAsia="zh-CN"/>
        </w:rPr>
        <w:t>IAP</w:t>
      </w:r>
      <w:r w:rsidR="008378E3" w:rsidRPr="00B24172">
        <w:rPr>
          <w:lang w:val="en-NZ" w:eastAsia="zh-CN"/>
        </w:rPr>
        <w:t xml:space="preserve"> reducing </w:t>
      </w:r>
      <w:r w:rsidR="00310AE8" w:rsidRPr="00B24172">
        <w:rPr>
          <w:lang w:val="en-NZ" w:eastAsia="zh-CN"/>
        </w:rPr>
        <w:t xml:space="preserve">interventions </w:t>
      </w:r>
      <w:r w:rsidR="0019302A" w:rsidRPr="00B24172">
        <w:rPr>
          <w:lang w:val="en-NZ" w:eastAsia="zh-CN"/>
        </w:rPr>
        <w:t>are beneficial</w:t>
      </w:r>
      <w:r w:rsidR="004E4ABA" w:rsidRPr="00B24172">
        <w:rPr>
          <w:lang w:val="en-NZ" w:eastAsia="zh-CN"/>
        </w:rPr>
        <w:t xml:space="preserve"> except ICS.</w:t>
      </w:r>
      <w:r w:rsidR="0019302A" w:rsidRPr="00B24172">
        <w:rPr>
          <w:lang w:val="en-NZ" w:eastAsia="zh-CN"/>
        </w:rPr>
        <w:t xml:space="preserve"> </w:t>
      </w:r>
      <w:r w:rsidR="00953A1D" w:rsidRPr="00B24172">
        <w:rPr>
          <w:lang w:val="en-NZ" w:eastAsia="zh-CN"/>
        </w:rPr>
        <w:t>When household</w:t>
      </w:r>
      <w:r w:rsidR="00310AE8" w:rsidRPr="00B24172">
        <w:rPr>
          <w:lang w:val="en-NZ" w:eastAsia="zh-CN"/>
        </w:rPr>
        <w:t>s</w:t>
      </w:r>
      <w:r w:rsidR="00953A1D" w:rsidRPr="00B24172">
        <w:rPr>
          <w:lang w:val="en-NZ" w:eastAsia="zh-CN"/>
        </w:rPr>
        <w:t xml:space="preserve"> adopt </w:t>
      </w:r>
      <w:r w:rsidR="00076FB3" w:rsidRPr="00B24172">
        <w:rPr>
          <w:lang w:val="en-NZ" w:eastAsia="zh-CN"/>
        </w:rPr>
        <w:t>ICS</w:t>
      </w:r>
      <w:r w:rsidR="00953A1D" w:rsidRPr="00B24172">
        <w:rPr>
          <w:lang w:val="en-NZ" w:eastAsia="zh-CN"/>
        </w:rPr>
        <w:t xml:space="preserve"> they do not stop consuming solid fuels</w:t>
      </w:r>
      <w:r w:rsidR="00310AE8" w:rsidRPr="00B24172">
        <w:rPr>
          <w:lang w:val="en-NZ" w:eastAsia="zh-CN"/>
        </w:rPr>
        <w:t>, and</w:t>
      </w:r>
      <w:r w:rsidR="00953A1D" w:rsidRPr="00B24172">
        <w:rPr>
          <w:lang w:val="en-NZ" w:eastAsia="zh-CN"/>
        </w:rPr>
        <w:t xml:space="preserve"> this </w:t>
      </w:r>
      <w:r w:rsidR="004E4ABA" w:rsidRPr="00B24172">
        <w:rPr>
          <w:lang w:val="en-NZ" w:eastAsia="zh-CN"/>
        </w:rPr>
        <w:t xml:space="preserve">could be the main reason </w:t>
      </w:r>
      <w:r w:rsidR="00310AE8" w:rsidRPr="00B24172">
        <w:rPr>
          <w:lang w:val="en-NZ" w:eastAsia="zh-CN"/>
        </w:rPr>
        <w:t>for a</w:t>
      </w:r>
      <w:r w:rsidR="00953A1D" w:rsidRPr="00B24172">
        <w:rPr>
          <w:lang w:val="en-NZ" w:eastAsia="zh-CN"/>
        </w:rPr>
        <w:t xml:space="preserve"> </w:t>
      </w:r>
      <w:r w:rsidR="004E4ABA" w:rsidRPr="00B24172">
        <w:rPr>
          <w:lang w:val="en-NZ" w:eastAsia="zh-CN"/>
        </w:rPr>
        <w:t>BCR</w:t>
      </w:r>
      <w:r w:rsidR="00953A1D" w:rsidRPr="00B24172">
        <w:rPr>
          <w:lang w:val="en-NZ" w:eastAsia="zh-CN"/>
        </w:rPr>
        <w:t xml:space="preserve"> of</w:t>
      </w:r>
      <w:r w:rsidR="00310AE8" w:rsidRPr="00B24172">
        <w:rPr>
          <w:lang w:val="en-NZ" w:eastAsia="zh-CN"/>
        </w:rPr>
        <w:t xml:space="preserve"> less than one for</w:t>
      </w:r>
      <w:r w:rsidR="00076FB3" w:rsidRPr="00B24172">
        <w:rPr>
          <w:lang w:val="en-NZ" w:eastAsia="zh-CN"/>
        </w:rPr>
        <w:t xml:space="preserve"> ICS</w:t>
      </w:r>
      <w:r w:rsidR="00953A1D" w:rsidRPr="00B24172">
        <w:rPr>
          <w:lang w:val="en-NZ" w:eastAsia="zh-CN"/>
        </w:rPr>
        <w:t>.</w:t>
      </w:r>
      <w:r w:rsidR="004E4ABA" w:rsidRPr="00B24172">
        <w:rPr>
          <w:lang w:val="en-NZ" w:eastAsia="zh-CN"/>
        </w:rPr>
        <w:t xml:space="preserve"> Our</w:t>
      </w:r>
      <w:r w:rsidR="008F3B19" w:rsidRPr="00B24172">
        <w:rPr>
          <w:lang w:val="en-NZ" w:eastAsia="zh-CN"/>
        </w:rPr>
        <w:t xml:space="preserve"> estimated BCR of ICS</w:t>
      </w:r>
      <w:r w:rsidR="004E4ABA" w:rsidRPr="00B24172">
        <w:rPr>
          <w:lang w:val="en-NZ" w:eastAsia="zh-CN"/>
        </w:rPr>
        <w:t xml:space="preserve"> </w:t>
      </w:r>
      <w:r w:rsidR="00C70119" w:rsidRPr="00B24172">
        <w:rPr>
          <w:lang w:val="en-NZ" w:eastAsia="zh-CN"/>
        </w:rPr>
        <w:t>support</w:t>
      </w:r>
      <w:r w:rsidR="00310AE8" w:rsidRPr="00B24172">
        <w:rPr>
          <w:lang w:val="en-NZ" w:eastAsia="zh-CN"/>
        </w:rPr>
        <w:t>s</w:t>
      </w:r>
      <w:r w:rsidR="00C70119" w:rsidRPr="00B24172">
        <w:rPr>
          <w:lang w:val="en-NZ" w:eastAsia="zh-CN"/>
        </w:rPr>
        <w:t xml:space="preserve"> the World Health Organization’s</w:t>
      </w:r>
      <w:r w:rsidR="00400C3E" w:rsidRPr="00B24172">
        <w:rPr>
          <w:lang w:val="en-NZ" w:eastAsia="zh-CN"/>
        </w:rPr>
        <w:t xml:space="preserve"> study </w:t>
      </w:r>
      <w:r w:rsidR="00400C3E" w:rsidRPr="00B24172">
        <w:rPr>
          <w:lang w:val="en-NZ"/>
        </w:rPr>
        <w:t>(</w:t>
      </w:r>
      <w:r w:rsidR="00400C3E" w:rsidRPr="00B24172">
        <w:rPr>
          <w:lang w:val="en-NZ"/>
        </w:rPr>
        <w:fldChar w:fldCharType="begin"/>
      </w:r>
      <w:r w:rsidR="00A260FD" w:rsidRPr="00B24172">
        <w:rPr>
          <w:lang w:val="en-NZ"/>
        </w:rPr>
        <w:instrText xml:space="preserve"> ADDIN ZOTERO_ITEM CSL_CITATION {"citationID":"UwgGLTmR","properties":{"formattedCitation":"(Hutton et al., 2007)","plainCitation":"(Hutton et al., 2007)","dontUpdate":true,"noteIndex":0},"citationItems":[{"id":"yPj1CNji/eYwjIPdP","uris":["http://zotero.org/users/2699952/items/ESNF2DMZ"],"uri":["http://zotero.org/users/2699952/items/ESNF2DMZ"],"itemData":{"id":25,"type":"article-journal","title":"Evaluation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00400C3E" w:rsidRPr="00B24172">
        <w:rPr>
          <w:lang w:val="en-NZ"/>
        </w:rPr>
        <w:fldChar w:fldCharType="separate"/>
      </w:r>
      <w:r w:rsidR="00400C3E" w:rsidRPr="00B24172">
        <w:t>Hutton</w:t>
      </w:r>
      <w:r w:rsidR="00DB7FF4" w:rsidRPr="00B24172">
        <w:rPr>
          <w:i/>
        </w:rPr>
        <w:t xml:space="preserve"> et al.</w:t>
      </w:r>
      <w:r w:rsidR="00400C3E" w:rsidRPr="00B24172">
        <w:t xml:space="preserve"> 2007)</w:t>
      </w:r>
      <w:r w:rsidR="00400C3E" w:rsidRPr="00B24172">
        <w:rPr>
          <w:lang w:val="en-NZ"/>
        </w:rPr>
        <w:fldChar w:fldCharType="end"/>
      </w:r>
      <w:r w:rsidR="004E4ABA" w:rsidRPr="00B24172">
        <w:rPr>
          <w:lang w:val="en-NZ" w:eastAsia="zh-CN"/>
        </w:rPr>
        <w:t xml:space="preserve"> </w:t>
      </w:r>
      <w:r w:rsidR="00310AE8" w:rsidRPr="00B24172">
        <w:rPr>
          <w:lang w:val="en-NZ" w:eastAsia="zh-CN"/>
        </w:rPr>
        <w:t xml:space="preserve">conducted </w:t>
      </w:r>
      <w:r w:rsidR="004E4ABA" w:rsidRPr="00B24172">
        <w:rPr>
          <w:lang w:val="en-NZ" w:eastAsia="zh-CN"/>
        </w:rPr>
        <w:t xml:space="preserve">at </w:t>
      </w:r>
      <w:r w:rsidR="00310AE8" w:rsidRPr="00B24172">
        <w:rPr>
          <w:lang w:val="en-NZ" w:eastAsia="zh-CN"/>
        </w:rPr>
        <w:t xml:space="preserve">the </w:t>
      </w:r>
      <w:r w:rsidR="004E4ABA" w:rsidRPr="00B24172">
        <w:rPr>
          <w:lang w:val="en-NZ" w:eastAsia="zh-CN"/>
        </w:rPr>
        <w:t>regional level</w:t>
      </w:r>
      <w:r w:rsidR="00310AE8" w:rsidRPr="00B24172">
        <w:rPr>
          <w:lang w:val="en-NZ" w:eastAsia="zh-CN"/>
        </w:rPr>
        <w:t>,</w:t>
      </w:r>
      <w:r w:rsidR="004E4ABA" w:rsidRPr="00B24172">
        <w:rPr>
          <w:lang w:val="en-NZ" w:eastAsia="zh-CN"/>
        </w:rPr>
        <w:t xml:space="preserve"> where they found </w:t>
      </w:r>
      <w:r w:rsidR="00310AE8" w:rsidRPr="00B24172">
        <w:rPr>
          <w:lang w:val="en-NZ" w:eastAsia="zh-CN"/>
        </w:rPr>
        <w:t>the</w:t>
      </w:r>
      <w:r w:rsidR="004E4ABA" w:rsidRPr="00B24172">
        <w:rPr>
          <w:lang w:val="en-NZ" w:eastAsia="zh-CN"/>
        </w:rPr>
        <w:t xml:space="preserve"> BCR</w:t>
      </w:r>
      <w:r w:rsidR="00310AE8" w:rsidRPr="00B24172">
        <w:rPr>
          <w:lang w:val="en-NZ" w:eastAsia="zh-CN"/>
        </w:rPr>
        <w:t xml:space="preserve"> of ICS was less than one</w:t>
      </w:r>
      <w:r w:rsidR="004E4ABA" w:rsidRPr="00B24172">
        <w:rPr>
          <w:lang w:val="en-NZ" w:eastAsia="zh-CN"/>
        </w:rPr>
        <w:t xml:space="preserve"> in all the regions of the world except one (EMR-B).</w:t>
      </w:r>
      <w:r w:rsidR="00A2502C" w:rsidRPr="00B24172">
        <w:rPr>
          <w:lang w:val="en-NZ" w:eastAsia="zh-CN"/>
        </w:rPr>
        <w:t xml:space="preserve"> Our estimates for ICS also support Harvard </w:t>
      </w:r>
      <w:r w:rsidR="009169AA" w:rsidRPr="00B24172">
        <w:rPr>
          <w:lang w:val="en-NZ" w:eastAsia="zh-CN"/>
        </w:rPr>
        <w:t>U</w:t>
      </w:r>
      <w:r w:rsidR="00A2502C" w:rsidRPr="00B24172">
        <w:rPr>
          <w:lang w:val="en-NZ" w:eastAsia="zh-CN"/>
        </w:rPr>
        <w:t>niversity</w:t>
      </w:r>
      <w:r w:rsidR="005C3769" w:rsidRPr="00B24172">
        <w:rPr>
          <w:lang w:val="en-NZ" w:eastAsia="zh-CN"/>
        </w:rPr>
        <w:t>’s randomized trail</w:t>
      </w:r>
      <w:r w:rsidR="00A2502C" w:rsidRPr="00B24172">
        <w:rPr>
          <w:lang w:val="en-NZ" w:eastAsia="zh-CN"/>
        </w:rPr>
        <w:t xml:space="preserve"> study (</w:t>
      </w:r>
      <w:r w:rsidR="00A2502C" w:rsidRPr="00B24172">
        <w:rPr>
          <w:rFonts w:asciiTheme="majorBidi" w:hAnsiTheme="majorBidi" w:cstheme="majorBidi"/>
          <w:lang w:val="en-NZ" w:eastAsia="zh-CN"/>
        </w:rPr>
        <w:fldChar w:fldCharType="begin"/>
      </w:r>
      <w:r w:rsidR="00A2502C" w:rsidRPr="00B24172">
        <w:rPr>
          <w:rFonts w:asciiTheme="majorBidi" w:hAnsiTheme="majorBidi" w:cstheme="majorBidi"/>
          <w:lang w:val="en-NZ" w:eastAsia="zh-CN"/>
        </w:rPr>
        <w:instrText xml:space="preserve"> ADDIN ZOTERO_ITEM CSL_CITATION {"citationID":"a6fh3k4gvh","properties":{"formattedCitation":"(Hanna et al., 2016)","plainCitation":"(Hanna et al., 2016)","noteIndex":0},"citationItems":[{"id":1,"uris":["http://zotero.org/users/6436139/items/8M2WWKCV"],"uri":["http://zotero.org/users/6436139/items/8M2WWKCV"],"itemData":{"id":1,"type":"article-journal","abstract":"Up in Smoke: The Influence of Household Behavior on the Long-Run Impact of Improved Cooking Stoves by Rema Hanna, Esther Duflo and Michael Greenstone. Published in volume 8, issue 1, pages 80-114 of American Economic Journal: Economic Policy, February 2016, Abstract: Laboratory studies suggest that...","container-title":"American Economic Journal: Economic Policy","DOI":"10.1257/pol.20140008","ISSN":"1945-7731","issue":"1","language":"en","page":"80-114","source":"www.aeaweb.org","title":"Up in Smoke: The Influence of Household Behavior on the Long-Run Impact of Improved Cooking Stoves","title-short":"Up in Smoke","volume":"8","author":[{"family":"Hanna","given":"Rema"},{"family":"Duflo","given":"Esther"},{"family":"Greenstone","given":"Michael"}],"issued":{"date-parts":[["2016",2]]}}}],"schema":"https://github.com/citation-style-language/schema/raw/master/csl-citation.json"} </w:instrText>
      </w:r>
      <w:r w:rsidR="00A2502C" w:rsidRPr="00B24172">
        <w:rPr>
          <w:rFonts w:asciiTheme="majorBidi" w:hAnsiTheme="majorBidi" w:cstheme="majorBidi"/>
          <w:lang w:val="en-NZ" w:eastAsia="zh-CN"/>
        </w:rPr>
        <w:fldChar w:fldCharType="separate"/>
      </w:r>
      <w:r w:rsidR="00A2502C" w:rsidRPr="00B24172">
        <w:t>Hanna et al., (2016)</w:t>
      </w:r>
      <w:r w:rsidR="00A2502C" w:rsidRPr="00B24172">
        <w:rPr>
          <w:rFonts w:asciiTheme="majorBidi" w:hAnsiTheme="majorBidi" w:cstheme="majorBidi"/>
          <w:lang w:val="en-NZ" w:eastAsia="zh-CN"/>
        </w:rPr>
        <w:fldChar w:fldCharType="end"/>
      </w:r>
      <w:r w:rsidR="009169AA" w:rsidRPr="00B24172">
        <w:rPr>
          <w:rFonts w:asciiTheme="majorBidi" w:hAnsiTheme="majorBidi" w:cstheme="majorBidi"/>
          <w:lang w:val="en-NZ" w:eastAsia="zh-CN"/>
        </w:rPr>
        <w:t>,</w:t>
      </w:r>
      <w:r w:rsidR="00A2502C" w:rsidRPr="00B24172">
        <w:rPr>
          <w:lang w:val="en-NZ" w:eastAsia="zh-CN"/>
        </w:rPr>
        <w:t xml:space="preserve"> which was conducted in India in 2016, in which they found ICS was not a beneficial intervention. </w:t>
      </w:r>
      <w:r w:rsidR="00F22623" w:rsidRPr="00B24172">
        <w:rPr>
          <w:lang w:val="en-NZ" w:eastAsia="zh-CN"/>
        </w:rPr>
        <w:t xml:space="preserve"> </w:t>
      </w:r>
      <w:r w:rsidR="00310AE8" w:rsidRPr="00B24172">
        <w:rPr>
          <w:lang w:val="en-NZ" w:eastAsia="zh-CN"/>
        </w:rPr>
        <w:t>O</w:t>
      </w:r>
      <w:r w:rsidR="008F3B19" w:rsidRPr="00B24172">
        <w:rPr>
          <w:lang w:val="en-NZ" w:eastAsia="zh-CN"/>
        </w:rPr>
        <w:t>n the other hand, our estimated BCR of ICS contradict</w:t>
      </w:r>
      <w:r w:rsidR="00310AE8" w:rsidRPr="00B24172">
        <w:rPr>
          <w:lang w:val="en-NZ" w:eastAsia="zh-CN"/>
        </w:rPr>
        <w:t>s</w:t>
      </w:r>
      <w:r w:rsidR="008F3B19" w:rsidRPr="00B24172">
        <w:rPr>
          <w:lang w:val="en-NZ" w:eastAsia="zh-CN"/>
        </w:rPr>
        <w:t xml:space="preserve"> </w:t>
      </w:r>
      <w:r w:rsidR="00310AE8" w:rsidRPr="00B24172">
        <w:rPr>
          <w:lang w:val="en-NZ" w:eastAsia="zh-CN"/>
        </w:rPr>
        <w:t xml:space="preserve">those of </w:t>
      </w:r>
      <w:r w:rsidR="008F3B19"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{"citationID":"0md7JHn4","properties":{"formattedCitation":"(Aunan et al., 2013)","plainCitation":"(Aunan et al., 2013)","dontUpdate":true,"noteIndex":0},"citationItems":[{"id":"yPj1CNji/RFxxRSeq","uris":["http://zotero.org/users/2699952/items/2FR8PVP2"],"uri":["http://zotero.org/users/2699952/items/2FR8PVP2"],"itemData":{"id":201,"type":"article-journal","title":"Upgrading to cleaner household stoves and reducing chronic obstructive pulmonary disease among women in rural China — A cost-benefit analysis","container-title":"Energy for Sustainable Development","page":"489-496","volume":"17","issue":"5","source":"ScienceDirect","abstract":"Exposure to fine particles ≤ 2.5 μm in aerodynamic diameter (PM2.5) from incomplete combustion of solid fuels in household stoves is recognized as a major contributor to global ill health. Still there are few attempts to estimate the economic costs and health benefits of interventions to reduce exposure. The objective of this paper is to estimate costs and health benefits to women of possible interventions to replace current biomass stoves in Guizhou Province, southwest China, with cleaner burning stoves. Prevalence of chronic obstructive pulmonary disease (COPD) was measured in women ≥ 30 y living in households using biomass as fuel. In a sub-sample of households indoor PM2.5 concentrations were measured. Reduced exposure from replacing stoves in individual homes and at the community level was estimated using information about stoves, concentration levels, and time-activity patterns. Annual avoided new cases of COPD were estimated. The economic value of avoided cases was compared to intervention costs. Probabilistic cost-benefit analysis was performed using Monte-Carlo simulation and the impact of uncertainty in single parameters was explored. The mean reduction in annual average PM2.5 exposure is estimated at 127–294 μg/m3, which corresponds to a 41–77% reduction. Annually 0.6–3.2 new cases of COPD among women may be avoided per 1000 households. The present value net benefit is 1766–22,500 Yuan (Yuan/USD ≈ 0.16) per household and mean benefit/cost-ratios (B/C) are 3.3–14.7. We conclude that policy interventions to increase access to cleaner burning stoves may bring large net benefits to rural women and their families, and to society.","DOI":"10.1016/j.esd.2013.06.002","ISSN":"0973-0826","journalAbbreviation":"Energy for Sustainable Development","author":[{"family":"Aunan","given":"Kristin"},{"family":"Alnes","given":"Line W. H."},{"family":"Berger","given":"Janne"},{"family":"Dong","given":"Zeqin"},{"family":"Ma","given":"Liying"},{"family":"Mestl","given":"Heidi E. S."},{"family":"Vennemo","given":"Haakon"},{"family":"Wang","given":"Shuxiao"},{"family":"Zhang","given":"Wei"}],"issued":{"date-parts":[["2013",10]]}}}],"schema":"https://github.com/citation-style-language/schema/raw/master/csl-citation.json"} </w:instrText>
      </w:r>
      <w:r w:rsidR="008F3B19" w:rsidRPr="00B24172">
        <w:rPr>
          <w:rFonts w:asciiTheme="majorBidi" w:hAnsiTheme="majorBidi" w:cstheme="majorBidi"/>
          <w:lang w:val="en-NZ" w:eastAsia="zh-CN"/>
        </w:rPr>
        <w:fldChar w:fldCharType="separate"/>
      </w:r>
      <w:r w:rsidR="008F3B19" w:rsidRPr="00B24172">
        <w:rPr>
          <w:rFonts w:asciiTheme="majorBidi" w:hAnsiTheme="majorBidi" w:cstheme="majorBidi"/>
          <w:lang w:val="en-NZ" w:eastAsia="zh-CN"/>
        </w:rPr>
        <w:t xml:space="preserve">Aunan </w:t>
      </w:r>
      <w:r w:rsidR="00262E0F" w:rsidRPr="00B24172">
        <w:rPr>
          <w:i/>
        </w:rPr>
        <w:t>et al.</w:t>
      </w:r>
      <w:r w:rsidR="008F3B19" w:rsidRPr="00B24172">
        <w:rPr>
          <w:rFonts w:asciiTheme="majorBidi" w:hAnsiTheme="majorBidi" w:cstheme="majorBidi"/>
          <w:lang w:val="en-NZ" w:eastAsia="zh-CN"/>
        </w:rPr>
        <w:t xml:space="preserve"> (2013)</w:t>
      </w:r>
      <w:r w:rsidR="008F3B19" w:rsidRPr="00B24172">
        <w:rPr>
          <w:rFonts w:asciiTheme="majorBidi" w:hAnsiTheme="majorBidi" w:cstheme="majorBidi"/>
          <w:lang w:val="en-NZ" w:eastAsia="zh-CN"/>
        </w:rPr>
        <w:fldChar w:fldCharType="end"/>
      </w:r>
      <w:r w:rsidR="008F3B19" w:rsidRPr="00B24172">
        <w:rPr>
          <w:rFonts w:asciiTheme="majorBidi" w:hAnsiTheme="majorBidi" w:cstheme="majorBidi"/>
          <w:lang w:val="en-NZ" w:eastAsia="zh-CN"/>
        </w:rPr>
        <w:t xml:space="preserve"> </w:t>
      </w:r>
      <w:r w:rsidR="008F3B19"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{"citationID":"Q29Lu1HW","properties":{"formattedCitation":"(Isihak, Akpan, &amp; Adeleye, 2012)","plainCitation":"(Isihak, Akpan, &amp; Adeleye, 2012)","dontUpdate":true,"noteIndex":0},"citationItems":[{"id":"yPj1CNji/CZp2fytc","uris":["http://zotero.org/users/2699952/items/RCZEUGBQ"],"uri":["http://zotero.org/users/2699952/items/RCZEUGBQ"],"itemData":{"id":182,"type":"article-journal","title":"Interventions for mitigating indoor-air pollution in Nigeria: a cost-benefit analysis","container-title":"International Journal of Energy Sector Management","page":"417-429","volume":"6","issue":"3","source":"ProQuest","abstract":"Purpose - The purpose of this paper is to evaluate the costs and benefits of interventions to reduce indoor-air pollution arising from the use of solid biomass fuels for cooking and heating in Nigeria. Design/methodology/approach - The authors use cost-benefit analysis and assess two intervention scenarios: providing access to improved stoves; and providing access to cleaner fuels (liquefied petroleum gas - LPG - burners). Both intervention scenarios are compared with the current situation, i.e. the \"business as usual\" scenario where there is no attempt to reduce the present level of exposure to indoor-air pollution from solid fuel use. Findings - The result shows that the cost-benefit ratio of the stove intervention is 0.388 while that of LPG is 0.371. Practical implications - While providing access to cleaner fuels (LPG) has a larger health impact on the population than improved stoves, the low income level of the participants will favor the stove option because of the lower recurrent cost which is usually borne by the participants. From a public health point of view, there is need for a continued emphasis on the promotion of improved stoves to reduce exposure in households using solid fuels until everyone can have access to cleaner fuels. Furthermore, since choice of cooking technologies is influenced by income level, the intervention policy should be implemented alongside other socio-economic development programmes. Originality/value - The paper bridges the knowledge gap with respect to the indoor-air pollution issue in Nigeria. It offers policy makers an insight into the potential net benefit of intervening to reduce indoor-air pollution arising from the use of solid biomass fuels in Nigeria.","DOI":"http://dx.doi.org.ezproxy.waikato.ac.nz/10.1108/17506221211259655","ISSN":"17506220","shortTitle":"Interventions for mitigating indoor-air pollution in Nigeria","language":"English","author":[{"family":"Isihak","given":"Salisu"},{"family":"Akpan","given":"Uduak"},{"family":"Adeleye","given":"Monsuru"}],"issued":{"date-parts":[["2012"]]}}}],"schema":"https://github.com/citation-style-language/schema/raw/master/csl-citation.json"} </w:instrText>
      </w:r>
      <w:r w:rsidR="008F3B19" w:rsidRPr="00B24172">
        <w:rPr>
          <w:rFonts w:asciiTheme="majorBidi" w:hAnsiTheme="majorBidi" w:cstheme="majorBidi"/>
          <w:lang w:val="en-NZ" w:eastAsia="zh-CN"/>
        </w:rPr>
        <w:fldChar w:fldCharType="separate"/>
      </w:r>
      <w:r w:rsidR="008F3B19" w:rsidRPr="00B24172">
        <w:rPr>
          <w:lang w:val="en-NZ"/>
        </w:rPr>
        <w:t xml:space="preserve">Isihak </w:t>
      </w:r>
      <w:r w:rsidR="008F3B19" w:rsidRPr="00B24172">
        <w:rPr>
          <w:i/>
          <w:lang w:val="en-NZ"/>
        </w:rPr>
        <w:t xml:space="preserve">et al. </w:t>
      </w:r>
      <w:r w:rsidR="008F3B19" w:rsidRPr="00B24172">
        <w:rPr>
          <w:lang w:val="en-NZ"/>
        </w:rPr>
        <w:t>(2012)</w:t>
      </w:r>
      <w:r w:rsidR="008F3B19" w:rsidRPr="00B24172">
        <w:rPr>
          <w:rFonts w:asciiTheme="majorBidi" w:hAnsiTheme="majorBidi" w:cstheme="majorBidi"/>
          <w:lang w:val="en-NZ" w:eastAsia="zh-CN"/>
        </w:rPr>
        <w:fldChar w:fldCharType="end"/>
      </w:r>
      <w:r w:rsidR="008F3B19" w:rsidRPr="00B24172">
        <w:rPr>
          <w:rFonts w:asciiTheme="majorBidi" w:hAnsiTheme="majorBidi" w:cstheme="majorBidi"/>
          <w:lang w:val="en-NZ" w:eastAsia="zh-CN"/>
        </w:rPr>
        <w:t xml:space="preserve"> and </w:t>
      </w:r>
      <w:r w:rsidR="008F3B19"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{"citationID":"vsjfHFDb","properties":{"formattedCitation":"(Garc\\uc0\\u237{}a-Frapolli et al., 2010)","plainCitation":"(García-Frapolli et al., 2010)","noteIndex":0},"citationItems":[{"id":"yPj1CNji/4D2CX344","uris":["http://zotero.org/users/2699952/items/WGB5NF6L"],"uri":["http://zotero.org/users/2699952/items/WGB5NF6L"],"itemData":{"id":1329,"type":"article-journal","title":"Beyond fuelwood savings: Valuing the economic benefits of introducing improved biomass cookstoves in the Purépecha region of Mexico","container-title":"Ecological Economics","page":"2598-2605","volume":"69","issue":"12","source":"ScienceDirect","abstract":"Half of the world population relies on biomass for cooking, with very significant health as well as climate change impacts. Improved cookstoves have been disseminated as an alternative to reduce these impacts. However, few detailed studies about the economic benefits of improved cookstoves (ICS) interventions, including environmental and health co-benefits, exist to date. In this paper we perform a comprehensive economic evaluation of a dissemination program of ICS in rural Mexico. The resulting cost–benefit analysis (CBA) of the Patsari improved cookstove is presented, utilizing estimation of direct costs and benefits, including fuelwood savings, income generation, health impacts, environmental conservation, and reduction in greenhouse gas emissions. The analysis is based on comprehensive data obtained through monitoring studies carried out in the Study Area from 2003 to the present. Results show that Patsari cookstoves represent a viable economic option for improving living conditions of the poorest inhabitants of rural Mexico, with benefit/cost ratios estimated between 11.4:1 and 9:1. The largest contributors to economic benefits stemmed from fuelwood savings and reductions in health impacts, which constituted 53% and 28% of the overall benefit, respectively.","DOI":"10.1016/j.ecolecon.2010.08.004","ISSN":"0921-8009","shortTitle":"Beyond fuelwood savings","journalAbbreviation":"Ecological Economics","author":[{"family":"García-Frapolli","given":"Eduardo"},{"family":"Schilmann","given":"Astrid"},{"family":"Berrueta","given":"Victor M."},{"family":"Riojas-Rodríguez","given":"Horacio"},{"family":"Edwards","given":"Rufus D."},{"family":"Johnson","given":"Michael"},{"family":"Guevara-Sanginés","given":"Alejandro"},{"family":"Armendariz","given":"Cynthia"},{"family":"Masera","given":"Omar"}],"issued":{"date-parts":[["2010",10,15]]}}}],"schema":"https://github.com/citation-style-language/schema/raw/master/csl-citation.json"} </w:instrText>
      </w:r>
      <w:r w:rsidR="008F3B19" w:rsidRPr="00B24172">
        <w:rPr>
          <w:rFonts w:asciiTheme="majorBidi" w:hAnsiTheme="majorBidi" w:cstheme="majorBidi"/>
          <w:lang w:val="en-NZ" w:eastAsia="zh-CN"/>
        </w:rPr>
        <w:fldChar w:fldCharType="separate"/>
      </w:r>
      <w:r w:rsidR="00A260FD" w:rsidRPr="00B24172">
        <w:t>(García-Frapolli et al., 2010)</w:t>
      </w:r>
      <w:r w:rsidR="008F3B19" w:rsidRPr="00B24172">
        <w:rPr>
          <w:rFonts w:asciiTheme="majorBidi" w:hAnsiTheme="majorBidi" w:cstheme="majorBidi"/>
          <w:lang w:val="en-NZ" w:eastAsia="zh-CN"/>
        </w:rPr>
        <w:fldChar w:fldCharType="end"/>
      </w:r>
      <w:r w:rsidR="00310AE8" w:rsidRPr="00B24172">
        <w:rPr>
          <w:rFonts w:asciiTheme="majorBidi" w:hAnsiTheme="majorBidi" w:cstheme="majorBidi"/>
          <w:lang w:val="en-NZ" w:eastAsia="zh-CN"/>
        </w:rPr>
        <w:t>, all of whom found BCRs of greater than one</w:t>
      </w:r>
      <w:r w:rsidR="008F3B19" w:rsidRPr="00B24172">
        <w:rPr>
          <w:rFonts w:asciiTheme="majorBidi" w:hAnsiTheme="majorBidi" w:cstheme="majorBidi"/>
          <w:lang w:val="en-NZ" w:eastAsia="zh-CN"/>
        </w:rPr>
        <w:t>.</w:t>
      </w:r>
      <w:r w:rsidR="003450AD" w:rsidRPr="00B24172">
        <w:rPr>
          <w:rFonts w:asciiTheme="majorBidi" w:hAnsiTheme="majorBidi" w:cstheme="majorBidi"/>
          <w:lang w:val="en-NZ" w:eastAsia="zh-CN"/>
        </w:rPr>
        <w:t xml:space="preserve"> </w:t>
      </w:r>
    </w:p>
    <w:p w14:paraId="7B50CF1D" w14:textId="66269194" w:rsidR="00714B50" w:rsidRPr="00B24172" w:rsidRDefault="00714B50" w:rsidP="00DB7FF4">
      <w:pPr>
        <w:autoSpaceDE w:val="0"/>
        <w:autoSpaceDN w:val="0"/>
        <w:adjustRightInd w:val="0"/>
        <w:spacing w:line="288" w:lineRule="auto"/>
        <w:jc w:val="both"/>
        <w:rPr>
          <w:lang w:val="en-NZ" w:eastAsia="zh-CN"/>
        </w:rPr>
      </w:pPr>
    </w:p>
    <w:p w14:paraId="67449BA4" w14:textId="6C4B7A0D" w:rsidR="00142F3A" w:rsidRPr="00B24172" w:rsidRDefault="00142F3A" w:rsidP="00142F3A">
      <w:pPr>
        <w:spacing w:line="288" w:lineRule="auto"/>
        <w:ind w:firstLine="720"/>
        <w:jc w:val="both"/>
        <w:rPr>
          <w:rFonts w:asciiTheme="majorBidi" w:hAnsiTheme="majorBidi" w:cstheme="majorBidi"/>
          <w:lang w:val="en-NZ" w:eastAsia="zh-CN"/>
        </w:rPr>
      </w:pPr>
      <w:r w:rsidRPr="00B24172">
        <w:rPr>
          <w:lang w:val="en-NZ" w:eastAsia="zh-CN"/>
        </w:rPr>
        <w:t xml:space="preserve">Universal adoption of LPG has the highest BCR in our analysis. LPG has special requirement for connection, and consequently a low initial cost. This is the main reason for its high BCR. Surprisingly, our estimated BCR for LPG contradicts </w:t>
      </w:r>
      <w:r w:rsidRPr="00B24172">
        <w:rPr>
          <w:lang w:val="en-NZ"/>
        </w:rPr>
        <w:fldChar w:fldCharType="begin"/>
      </w:r>
      <w:r w:rsidR="00A260FD" w:rsidRPr="00B24172">
        <w:rPr>
          <w:lang w:val="en-NZ"/>
        </w:rPr>
        <w:instrText xml:space="preserve"> ADDIN ZOTERO_ITEM CSL_CITATION {"citationID":"Rcwy3pYv","properties":{"formattedCitation":"(Hutton et al., 2007)","plainCitation":"(Hutton et al., 2007)","dontUpdate":true,"noteIndex":0},"citationItems":[{"id":"yPj1CNji/eYwjIPdP","uris":["http://zotero.org/users/2699952/items/ESNF2DMZ"],"uri":["http://zotero.org/users/2699952/items/ESNF2DMZ"],"itemData":{"id":25,"type":"article-journal","title":"Evaluation of the costs and benefits of interventions to reduce indoor air pollution","container-title":"Energy for Sustainable Development","page":"34-43","volume":"11","issue":"4","source":"ScienceDirect","abstract":"Worldwide, more than three billion people cook with wood, coal and other solid fuels on open fires or traditional stoves, contributing to more than 1.5 million deaths annually and a multitude of negative economic and environmental impacts. The aim of this article is to present the costs and benefits of interventions to reduce indoor air pollution by halving the global population currently lacking access to (1) cleaner fuels (liquefied petroleum gas (LPG)) and (2) cleaner-burning and more efficient stoves. Results are presented for 11 world subregions. Annual costs and benefits of the two interventions are modelled from 2005 until 2015. Intervention costs include fuel, stove, and programme costs, from which monetary fuel cost savings are subtracted to estimate net costs. Economic benefits include less expenditure on health care, health-related productivity gains, fuel collection and cooking time savings, and environmental impacts. Globally, annual economic benefits of halving the population without access to LPG amount to (US) $91 billion at a net cost of $13 billion. The improved stove intervention generates $105 billion in economic benefits at a negative net cost of $34 billion. The resulting benefit—cost ratios (BCR) for both interventions are favourable. The BCR for LPG ranges from 1.5 to 21.2 in rural areas, and from 2.6 to negative in urban areas. The BCR for improved stoves is negative in all sub-regions, as fuel cost savings exceed intervention costs, thus giving net negative costs. Investments in interventions to reduce indoor air pollution are potentially cost-beneficial.","DOI":"10.1016/S0973-0826(08)60408-1","ISSN":"0973-0826","journalAbbreviation":"Energy for Sustainable Development","author":[{"family":"Hutton","given":"Guy"},{"family":"Rehfuess","given":"Eva"},{"family":"Tediosi","given":"Fabrizio"}],"issued":{"date-parts":[["2007",12]]}}}],"schema":"https://github.com/citation-style-language/schema/raw/master/csl-citation.json"} </w:instrText>
      </w:r>
      <w:r w:rsidRPr="00B24172">
        <w:rPr>
          <w:lang w:val="en-NZ"/>
        </w:rPr>
        <w:fldChar w:fldCharType="separate"/>
      </w:r>
      <w:r w:rsidRPr="00B24172">
        <w:t xml:space="preserve">Hutton </w:t>
      </w:r>
      <w:r w:rsidR="00CB5B33" w:rsidRPr="00B24172">
        <w:rPr>
          <w:i/>
        </w:rPr>
        <w:t>et al.</w:t>
      </w:r>
      <w:r w:rsidRPr="00B24172">
        <w:t xml:space="preserve"> (2007)</w:t>
      </w:r>
      <w:r w:rsidRPr="00B24172">
        <w:rPr>
          <w:lang w:val="en-NZ"/>
        </w:rPr>
        <w:fldChar w:fldCharType="end"/>
      </w:r>
      <w:r w:rsidRPr="00B24172">
        <w:rPr>
          <w:lang w:val="en-NZ"/>
        </w:rPr>
        <w:t>,</w:t>
      </w:r>
      <w:r w:rsidRPr="00B24172">
        <w:rPr>
          <w:lang w:val="en-NZ" w:eastAsia="zh-CN"/>
        </w:rPr>
        <w:t xml:space="preserve"> but corroborates </w:t>
      </w:r>
      <w:r w:rsidRPr="00B24172">
        <w:rPr>
          <w:lang w:val="en-NZ" w:eastAsia="zh-CN"/>
        </w:rPr>
        <w:fldChar w:fldCharType="begin"/>
      </w:r>
      <w:r w:rsidR="00A260FD" w:rsidRPr="00B24172">
        <w:rPr>
          <w:lang w:val="en-NZ" w:eastAsia="zh-CN"/>
        </w:rPr>
        <w:instrText xml:space="preserve"> ADDIN ZOTERO_ITEM CSL_CITATION {"citationID":"zfRXKK9A","properties":{"formattedCitation":"(Rivoal &amp; Haselip, 2017)","plainCitation":"(Rivoal &amp; Haselip, 2017)","noteIndex":0},"citationItems":[{"id":"yPj1CNji/aOCb6Yg5","uris":["http://zotero.org/users/2699952/items/DTI6QSRD"],"uri":["http://zotero.org/users/2699952/items/DTI6QSRD"],"itemData":{"id":1379,"type":"report","title":"The true cost of using traditional fuels in a humanitarian setting. Case study of the Nyarugusu refugee camp, Kigoma region, Tanzania","genre":"Report","source":"DTU Orbit","abstract":"Over the past two decades, the global number of forcibly displaced people has doubled, reaching 65.6 million in 2017. Reducing energy poverty has been identified as a priority on the international agenda since September 2015, when the UN adopted seventeen Sustainable Development Goals including Goal 7 which seeks to ‘ensure access to affordable, reliable, sustainable and modern energy for all by 2030’. However, recent research sheds light on the magnitude of energy poverty in humanitarian settings. In Sub-Saharan Africa, as much as 85% of the refugee population living in camps lack access to enough energy to cover their basic needs for cooking, heating and lighting. The inefficient use of energy by displaced people emitted 14.3 million tonnes of Carbon Dioxide (tCO2) in 2014, globally. The topic of humanitarian energy entails three aspects: the energy services (e.g. lighting, cooking or heating), the sources (solar, LPG, kerosene) and the products (solar panels, cookstoves, electricity grids) (RSC, 2017) (Gunning, 2014). Within this field, the provision of energy for cooking is a crucial dimension for many reasons. Firstly, because the food distributed by the World Food Program needs to be cooked, access to fuel underpins food security. Secondly, as many as 3.9 million people die every year from respiratory diseases associated with Household Air Pollution from cooking with solid fuels (Smith, 2014), which makes it the second most important environmental health risk factor after childhood malnourishment in Sub-Saharan Africa in terms of years due to ill-heath (DALY) (Lim et al., 2012). This recognition even led to the creation of the UN-funded Global Alliance for Clean Cookstoves (GACC) in 2010. Finally, the encampment policy in Tanzania inevitably constrains firewood collection to small geographical areas, which often generates competition for resources and conflicts with the local communities.","author":[{"family":"Rivoal","given":"Morgane"},{"family":"Haselip","given":"James Arthur"}],"issued":{"date-parts":[["2017"]]}}}],"schema":"https://github.com/citation-style-language/schema/raw/master/csl-citation.json"} </w:instrText>
      </w:r>
      <w:r w:rsidRPr="00B24172">
        <w:rPr>
          <w:lang w:val="en-NZ" w:eastAsia="zh-CN"/>
        </w:rPr>
        <w:fldChar w:fldCharType="separate"/>
      </w:r>
      <w:r w:rsidR="00A260FD" w:rsidRPr="00B24172">
        <w:t>(Rivoal &amp; Haselip, 2017)</w:t>
      </w:r>
      <w:r w:rsidRPr="00B24172">
        <w:rPr>
          <w:lang w:val="en-NZ" w:eastAsia="zh-CN"/>
        </w:rPr>
        <w:fldChar w:fldCharType="end"/>
      </w:r>
      <w:r w:rsidR="00CB5B33" w:rsidRPr="00B24172">
        <w:rPr>
          <w:lang w:val="en-NZ" w:eastAsia="zh-CN"/>
        </w:rPr>
        <w:t>,</w:t>
      </w:r>
      <w:r w:rsidRPr="00B24172">
        <w:rPr>
          <w:lang w:val="en-NZ" w:eastAsia="zh-CN"/>
        </w:rPr>
        <w:t xml:space="preserve"> </w:t>
      </w:r>
      <w:r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{"citationID":"lKjvnYJx","properties":{"formattedCitation":"(Isihak, Akpan, &amp; Adeleye, 2012)","plainCitation":"(Isihak, Akpan, &amp; Adeleye, 2012)","dontUpdate":true,"noteIndex":0},"citationItems":[{"id":"yPj1CNji/CZp2fytc","uris":["http://zotero.org/users/2699952/items/RCZEUGBQ"],"uri":["http://zotero.org/users/2699952/items/RCZEUGBQ"],"itemData":{"id":182,"type":"article-journal","title":"Interventions for mitigating indoor-air pollution in Nigeria: a cost-benefit analysis","container-title":"International Journal of Energy Sector Management","page":"417-429","volume":"6","issue":"3","source":"ProQuest","abstract":"Purpose - The purpose of this paper is to evaluate the costs and benefits of interventions to reduce indoor-air pollution arising from the use of solid biomass fuels for cooking and heating in Nigeria. Design/methodology/approach - The authors use cost-benefit analysis and assess two intervention scenarios: providing access to improved stoves; and providing access to cleaner fuels (liquefied petroleum gas - LPG - burners). Both intervention scenarios are compared with the current situation, i.e. the \"business as usual\" scenario where there is no attempt to reduce the present level of exposure to indoor-air pollution from solid fuel use. Findings - The result shows that the cost-benefit ratio of the stove intervention is 0.388 while that of LPG is 0.371. Practical implications - While providing access to cleaner fuels (LPG) has a larger health impact on the population than improved stoves, the low income level of the participants will favor the stove option because of the lower recurrent cost which is usually borne by the participants. From a public health point of view, there is need for a continued emphasis on the promotion of improved stoves to reduce exposure in households using solid fuels until everyone can have access to cleaner fuels. Furthermore, since choice of cooking technologies is influenced by income level, the intervention policy should be implemented alongside other socio-economic development programmes. Originality/value - The paper bridges the knowledge gap with respect to the indoor-air pollution issue in Nigeria. It offers policy makers an insight into the potential net benefit of intervening to reduce indoor-air pollution arising from the use of solid biomass fuels in Nigeria.","DOI":"http://dx.doi.org.ezproxy.waikato.ac.nz/10.1108/17506221211259655","ISSN":"17506220","shortTitle":"Interventions for mitigating indoor-air pollution in Nigeria","language":"English","author":[{"family":"Isihak","given":"Salisu"},{"family":"Akpan","given":"Uduak"},{"family":"Adeleye","given":"Monsuru"}],"issued":{"date-parts":[["2012"]]}}}],"schema":"https://github.com/citation-style-language/schema/raw/master/csl-citation.json"} </w:instrText>
      </w:r>
      <w:r w:rsidRPr="00B24172">
        <w:rPr>
          <w:rFonts w:asciiTheme="majorBidi" w:hAnsiTheme="majorBidi" w:cstheme="majorBidi"/>
          <w:lang w:val="en-NZ" w:eastAsia="zh-CN"/>
        </w:rPr>
        <w:fldChar w:fldCharType="separate"/>
      </w:r>
      <w:r w:rsidRPr="00B24172">
        <w:t>Isihak</w:t>
      </w:r>
      <w:r w:rsidR="00CB5B33" w:rsidRPr="00B24172">
        <w:rPr>
          <w:i/>
        </w:rPr>
        <w:t xml:space="preserve"> et al.</w:t>
      </w:r>
      <w:r w:rsidRPr="00B24172">
        <w:t xml:space="preserve"> (2012)</w:t>
      </w:r>
      <w:r w:rsidRPr="00B24172">
        <w:rPr>
          <w:rFonts w:asciiTheme="majorBidi" w:hAnsiTheme="majorBidi" w:cstheme="majorBidi"/>
          <w:lang w:val="en-NZ" w:eastAsia="zh-CN"/>
        </w:rPr>
        <w:fldChar w:fldCharType="end"/>
      </w:r>
      <w:r w:rsidRPr="00B24172">
        <w:rPr>
          <w:rFonts w:asciiTheme="majorBidi" w:hAnsiTheme="majorBidi" w:cstheme="majorBidi"/>
          <w:lang w:eastAsia="zh-CN"/>
        </w:rPr>
        <w:t xml:space="preserve"> and</w:t>
      </w:r>
      <w:r w:rsidRPr="00B24172">
        <w:rPr>
          <w:lang w:eastAsia="zh-CN"/>
        </w:rPr>
        <w:t xml:space="preserve"> </w:t>
      </w:r>
      <w:r w:rsidRPr="00B24172">
        <w:rPr>
          <w:lang w:val="en-NZ" w:eastAsia="zh-CN"/>
        </w:rPr>
        <w:fldChar w:fldCharType="begin"/>
      </w:r>
      <w:r w:rsidR="00A260FD" w:rsidRPr="00B24172">
        <w:rPr>
          <w:lang w:eastAsia="zh-CN"/>
        </w:rPr>
        <w:instrText xml:space="preserve"> ADDIN ZOTERO_ITEM CSL_CITATION {"citationID":"K209mlc3","properties":{"formattedCitation":"(Malla, Bruce, Bates, &amp; Rehfuess, 2011)","plainCitation":"(Malla, Bruce, Bates, &amp; Rehfuess, 2011)","dontUpdate":true,"noteIndex":0},"citationItems":[{"id":"yPj1CNji/hp7p6PQY","uris":["http://zotero.org/users/2699952/items/CRU6GQE2"],"uri":["http://zotero.org/users/2699952/items/CRU6GQE2"],"itemData":{"id":24,"type":"article-journal","title":"Applying global cost-benefit analysis methods to indoor air pollution mitigation interventions in Nepal, Kenya and Sudan: Insights and challenges","container-title":"Energy Policy","collection-title":"Clean Cooking Fuels and Technologies in Developing Economies","page":"7518-7529","volume":"39","issue":"12","source":"ScienceDirect","abstract":"Indoor air pollution from burning solid fuels for cooking is a major environmental health problem in developing countries, predominantly affecting children and women. Traditional household energy practices also contribute to substantial time loss and drudgery among households. While effective interventions exist, levels of investment to date have been very low, in part due to lack of evidence on economic viability. Between 2004 and 2007, different combinations of interventions – improved stoves, smoke hoods and a switch to liquefied petroleum gas – were implemented in poor communities in Nepal, Sudan and Kenya. The impacts were extensively evaluated and provided the basis for a household-level cost-benefit analysis, which essentially followed the methodology proposed by the World Health Organization. The results suggest that interventions are justified on economic grounds with estimated internal rates of return of 19%, 429% and 62% in Nepal, Kenya and Sudan, respectively. Time savings constituted by far the most important benefit followed by fuel cost savings; direct health improvements were a small component of the overall benefit. This paper describes the methodology applied, discusses the findings and highlights the methodological challenges that arise when a global approach is applied to a local programme.","DOI":"10.1016/j.enpol.2011.06.031","ISSN":"0301-4215","shortTitle":"Applying global cost-benefit analysis methods to indoor air pollution mitigation interventions in Nepal, Kenya and Sudan","journalAbbreviation":"Energy Policy","author":[{"family":"Malla","given":"Min Bikram"},{"family":"Bruce","given":"Nigel"},{"family":"Bates","given":"Elizabeth"},{"family":"Rehfuess","given":"Eva"}],"issued":{"date-parts":[["2011",12]]}}}],"schema":"https://github.com/citation-style-language/schema/raw/master/csl-citation.json"} </w:instrText>
      </w:r>
      <w:r w:rsidRPr="00B24172">
        <w:rPr>
          <w:lang w:val="en-NZ" w:eastAsia="zh-CN"/>
        </w:rPr>
        <w:fldChar w:fldCharType="separate"/>
      </w:r>
      <w:r w:rsidRPr="00B24172">
        <w:rPr>
          <w:lang w:eastAsia="zh-CN"/>
        </w:rPr>
        <w:t>Malla</w:t>
      </w:r>
      <w:r w:rsidR="00CB5B33" w:rsidRPr="00B24172">
        <w:rPr>
          <w:lang w:eastAsia="zh-CN"/>
        </w:rPr>
        <w:t xml:space="preserve"> </w:t>
      </w:r>
      <w:r w:rsidR="00CB5B33" w:rsidRPr="00B24172">
        <w:rPr>
          <w:i/>
        </w:rPr>
        <w:t>et al.</w:t>
      </w:r>
      <w:r w:rsidR="00CB5B33" w:rsidRPr="00B24172">
        <w:rPr>
          <w:lang w:eastAsia="zh-CN"/>
        </w:rPr>
        <w:t xml:space="preserve"> </w:t>
      </w:r>
      <w:r w:rsidRPr="00B24172">
        <w:rPr>
          <w:lang w:eastAsia="zh-CN"/>
        </w:rPr>
        <w:t>(2011)</w:t>
      </w:r>
      <w:r w:rsidRPr="00B24172">
        <w:rPr>
          <w:lang w:val="en-NZ" w:eastAsia="zh-CN"/>
        </w:rPr>
        <w:fldChar w:fldCharType="end"/>
      </w:r>
      <w:r w:rsidRPr="00B24172">
        <w:rPr>
          <w:lang w:eastAsia="zh-CN"/>
        </w:rPr>
        <w:t xml:space="preserve">. </w:t>
      </w:r>
      <w:r w:rsidR="00CB5B33" w:rsidRPr="00B24172">
        <w:rPr>
          <w:lang w:eastAsia="zh-CN"/>
        </w:rPr>
        <w:t xml:space="preserve"> </w:t>
      </w:r>
      <w:r w:rsidRPr="00B24172">
        <w:rPr>
          <w:lang w:eastAsia="zh-CN"/>
        </w:rPr>
        <w:t xml:space="preserve">Similarly, the BCR for Biogas digester was greater than one, and our estimates support the previous studies of </w:t>
      </w:r>
      <w:r w:rsidRPr="00B24172">
        <w:rPr>
          <w:rFonts w:asciiTheme="majorBidi" w:hAnsiTheme="majorBidi" w:cstheme="majorBidi"/>
          <w:lang w:val="en-NZ" w:eastAsia="zh-CN"/>
        </w:rPr>
        <w:fldChar w:fldCharType="begin"/>
      </w:r>
      <w:r w:rsidR="00A260FD" w:rsidRPr="00B24172">
        <w:rPr>
          <w:rFonts w:asciiTheme="majorBidi" w:hAnsiTheme="majorBidi" w:cstheme="majorBidi"/>
          <w:lang w:eastAsia="zh-CN"/>
        </w:rPr>
        <w:instrText xml:space="preserve"> ADDIN ZOTERO_ITEM CSL_CITATION {"citationID":"qSetkISo","properties":{"formattedCitation":"(Abbas, Ali, Adil, Bashir, &amp; Kamran, 2017)","plainCitation":"(Abbas, Ali, Adil, Bashir, &amp; Kamran, 2017)","dontUpdate":true,"noteIndex":0},"citationItems":[{"id":"yPj1CNji/ciKxSOn6","uris":["http://zotero.org/users/2699952/items/AI73EZAZ"],"uri":["http://zotero.org/users/2699952/items/AI73EZAZ"],"itemData":{"id":1103,"type":"article-journal","title":"Economic analysis of biogas adoption technology by rural farmers: The case of Faisalabad district in Pakistan","container-title":"Renewable Energy","page":"431-439","volume":"107","source":"ScienceDirect","abstract":"This study attempts to estimate the economics of biogas plants in Faisalabad District and identify the factors affecting the adoption of biogas technology. The key stakeholders of the biogas plant are farmers. Primary data from 160 respondents having biogas plants of 4 m3, 6 m3, 8 m3, 10 m3, 15 m3, 20 m3 and 25 m3 from villages in Faisalabad was collected through stratified random sampling, using questionnaires. A benefit-cost ratio (BCR) is employed to estimate the financial benefits. A Logit model is used to analyze the factors affecting adoption of biogas plants. Results showed that BCR values are greater than 1 for biogas plants of all sizes. The most feasible size for a plant is 10 m3 because it fulfills the cooking needs of an average family. However, small farmers with plant size of 4 m3 benefit more than large farmers. Moreover, biogas adoption is not only financially feasible but environment-friendly as well. We conclude that biogas technology can be popularized by developing effective motivation strategies such as awareness through public service advertizing, through print and electronic media and by adoption of models of biogas plants best suited to the conditions of rural people in Pakistan. This further highlights the demand for the required policy framework to promote such renewable energy adoption technologies by local government and agricultural institutions, researchers, and policy makers.","DOI":"10.1016/j.renene.2017.01.060","ISSN":"0960-1481","shortTitle":"Economic analysis of biogas adoption technology by rural farmers","journalAbbreviation":"Renewable Energy","author":[{"family":"Abbas","given":"Tahir"},{"family":"Ali","given":"Ghaffar"},{"family":"Adil","given":"Sultan Ali"},{"family":"Bashir","given":"Muhammad Khalid"},{"family":"Kamran","given":"Muhammad Asif"}],"issued":{"date-parts":[["2017",7,1]]}}}],"schema":"https://github.com/citation-style-language/schema/raw/master/csl-citation.json"} </w:instrText>
      </w:r>
      <w:r w:rsidRPr="00B24172">
        <w:rPr>
          <w:rFonts w:asciiTheme="majorBidi" w:hAnsiTheme="majorBidi" w:cstheme="majorBidi"/>
          <w:lang w:val="en-NZ" w:eastAsia="zh-CN"/>
        </w:rPr>
        <w:fldChar w:fldCharType="separate"/>
      </w:r>
      <w:r w:rsidRPr="00B24172">
        <w:t>Abbas</w:t>
      </w:r>
      <w:r w:rsidR="00CB5B33" w:rsidRPr="00B24172">
        <w:rPr>
          <w:i/>
        </w:rPr>
        <w:t xml:space="preserve"> et al.</w:t>
      </w:r>
      <w:r w:rsidRPr="00B24172">
        <w:t xml:space="preserve"> (2017)</w:t>
      </w:r>
      <w:r w:rsidRPr="00B24172">
        <w:rPr>
          <w:rFonts w:asciiTheme="majorBidi" w:hAnsiTheme="majorBidi" w:cstheme="majorBidi"/>
          <w:lang w:val="en-NZ" w:eastAsia="zh-CN"/>
        </w:rPr>
        <w:fldChar w:fldCharType="end"/>
      </w:r>
      <w:r w:rsidRPr="00B24172">
        <w:rPr>
          <w:rFonts w:asciiTheme="majorBidi" w:hAnsiTheme="majorBidi" w:cstheme="majorBidi"/>
          <w:lang w:val="en-NZ" w:eastAsia="zh-CN"/>
        </w:rPr>
        <w:t xml:space="preserve"> and </w:t>
      </w:r>
      <w:r w:rsidRPr="00B24172">
        <w:rPr>
          <w:rFonts w:asciiTheme="majorBidi" w:hAnsiTheme="majorBidi" w:cstheme="majorBidi"/>
          <w:lang w:val="en-NZ" w:eastAsia="zh-CN"/>
        </w:rPr>
        <w:fldChar w:fldCharType="begin"/>
      </w:r>
      <w:r w:rsidR="00A260FD" w:rsidRPr="00B24172">
        <w:rPr>
          <w:rFonts w:asciiTheme="majorBidi" w:hAnsiTheme="majorBidi" w:cstheme="majorBidi"/>
          <w:lang w:val="en-NZ" w:eastAsia="zh-CN"/>
        </w:rPr>
        <w:instrText xml:space="preserve"> ADDIN ZOTERO_ITEM CSL_CITATION {"citationID":"3bSGd52L","properties":{"formattedCitation":"(Limmeechokchai &amp; Chawana, 2007)","plainCitation":"(Limmeechokchai &amp; Chawana, 2007)","dontUpdate":true,"noteIndex":0},"citationItems":[{"id":"yPj1CNji/LJgAdpgX","uris":["http://zotero.org/users/2699952/items/EYBLCGMA"],"uri":["http://zotero.org/users/2699952/items/EYBLCGMA"],"itemData":{"id":1376,"type":"article-journal","title":"Sustainable energy development strategies in the rural Thailand: The case of the improved cooking stove and the small biogas digester","container-title":"Renewable and Sustainable Energy Reviews","page":"818-837","volume":"11","issue":"5","source":"ScienceDirect","abstract":"This paper presents the strategies to overcome barriers to the adoption of improved cooking stove (ICS) and small biogas digester (SBD) technologies in Thailand. Firstly, to obtain the appropriate strategies to implement the ICS and the SBD, a pattern of energy consumption in the residential sector is investigated. Then the potential of reduction of energy consumption and corresponding emissions by the ICS and the SBD is assessed. The identification and ranking of barriers to the adoption of the ICS and the SBD technologies are also investigated. In this study the Long-range Energy Alternatives Planning System (LEAP) model is used to assess the energy consumption and the corresponding emissions reduction. Then, the Analytic Hierarchy Process (AHP) model is used to identify and rank the barriers. Results from the LEAP model show that the cumulative total energy consumption and corresponding emissions reductions during the period 2002–2030 by the ICS are 27,887.7 ktoe and 10,041.0 thousand tonnes of CO2 equivalent, respectively. An average emissions reduction cost per tonne of CO2 equivalent per year is US$ 0.95 for a fuel wood cooking stove and US$ 0.35 for a charcoal cooking stove. Regarding the SBD, the cumulative total liquefied petroleum gas (LPG) consumption reduction and CO2 mitigation are 5780.9ktoe and 1548.8 thousand tonnes of CO2 equivalent during the period 2002–2030, respectively. Results from AHP analysis of ranking of barriers show that the three most important barriers in the adoption of the ICS are (i) high investment cost, (ii) lack of information, and (iii) lack of financial sources. For the SBD, the three most important barriers are (i) high investment cost, (ii) lack of financial sources, and (iii) lack of experts and skilled manpower. The sustainable energy triangle strategy (SETS) is implemented to overcome barriers in the adoption of the ICS. Results show that the traditional cooking stoves are successfully replaced (more than 20% per year). Regarding the SBD, the biogas pool project (BPP) is implemented to resolve the over supply of biogas. Results also show that the BPP is a proper strategy.","DOI":"10.1016/j.rser.2005.06.002","ISSN":"1364-0321","shortTitle":"Sustainable energy development strategies in the rural Thailand","journalAbbreviation":"Renewable and Sustainable Energy Reviews","author":[{"family":"Limmeechokchai","given":"Bundit"},{"family":"Chawana","given":"Saichit"}],"issued":{"date-parts":[["2007",6,1]]}}}],"schema":"https://github.com/citation-style-language/schema/raw/master/csl-citation.json"} </w:instrText>
      </w:r>
      <w:r w:rsidRPr="00B24172">
        <w:rPr>
          <w:rFonts w:asciiTheme="majorBidi" w:hAnsiTheme="majorBidi" w:cstheme="majorBidi"/>
          <w:lang w:val="en-NZ" w:eastAsia="zh-CN"/>
        </w:rPr>
        <w:fldChar w:fldCharType="separate"/>
      </w:r>
      <w:r w:rsidRPr="00B24172">
        <w:t>Limmeechokchai and Chawana (2007)</w:t>
      </w:r>
      <w:r w:rsidRPr="00B24172">
        <w:rPr>
          <w:rFonts w:asciiTheme="majorBidi" w:hAnsiTheme="majorBidi" w:cstheme="majorBidi"/>
          <w:lang w:val="en-NZ" w:eastAsia="zh-CN"/>
        </w:rPr>
        <w:fldChar w:fldCharType="end"/>
      </w:r>
      <w:r w:rsidRPr="00B24172">
        <w:rPr>
          <w:rFonts w:asciiTheme="majorBidi" w:hAnsiTheme="majorBidi" w:cstheme="majorBidi"/>
          <w:lang w:val="en-NZ" w:eastAsia="zh-CN"/>
        </w:rPr>
        <w:t xml:space="preserve">. Biogas plants had the least positive BCR, perhaps due the higher initial cost. </w:t>
      </w:r>
    </w:p>
    <w:p w14:paraId="4E13CC4D" w14:textId="77777777" w:rsidR="00142F3A" w:rsidRPr="00B24172" w:rsidRDefault="00142F3A" w:rsidP="00142F3A">
      <w:pPr>
        <w:spacing w:line="288" w:lineRule="auto"/>
        <w:ind w:firstLine="720"/>
        <w:jc w:val="both"/>
        <w:rPr>
          <w:lang w:eastAsia="zh-CN"/>
        </w:rPr>
      </w:pPr>
    </w:p>
    <w:p w14:paraId="68918B20" w14:textId="09EE5A49" w:rsidR="00142F3A" w:rsidRPr="00B24172" w:rsidRDefault="00142F3A" w:rsidP="009169AA">
      <w:pPr>
        <w:autoSpaceDE w:val="0"/>
        <w:autoSpaceDN w:val="0"/>
        <w:adjustRightInd w:val="0"/>
        <w:spacing w:line="288" w:lineRule="auto"/>
        <w:ind w:firstLine="720"/>
        <w:jc w:val="both"/>
        <w:rPr>
          <w:lang w:val="en-NZ" w:eastAsia="zh-CN"/>
        </w:rPr>
      </w:pPr>
      <w:r w:rsidRPr="00B24172">
        <w:rPr>
          <w:lang w:eastAsia="zh-CN"/>
        </w:rPr>
        <w:t xml:space="preserve">The second most beneficial alternative </w:t>
      </w:r>
      <w:r w:rsidR="009169AA" w:rsidRPr="00B24172">
        <w:rPr>
          <w:lang w:eastAsia="zh-CN"/>
        </w:rPr>
        <w:t xml:space="preserve">to </w:t>
      </w:r>
      <w:r w:rsidRPr="00B24172">
        <w:rPr>
          <w:lang w:eastAsia="zh-CN"/>
        </w:rPr>
        <w:t>solid fuel is piped natural gas</w:t>
      </w:r>
      <w:r w:rsidR="0083335E" w:rsidRPr="00B24172">
        <w:rPr>
          <w:lang w:eastAsia="zh-CN"/>
        </w:rPr>
        <w:t xml:space="preserve"> (close to LPG)</w:t>
      </w:r>
      <w:r w:rsidRPr="00B24172">
        <w:rPr>
          <w:lang w:eastAsia="zh-CN"/>
        </w:rPr>
        <w:t xml:space="preserve">, with a BCR of </w:t>
      </w:r>
      <w:r w:rsidR="00041E5C" w:rsidRPr="00B24172">
        <w:rPr>
          <w:lang w:eastAsia="zh-CN"/>
        </w:rPr>
        <w:t>4.6</w:t>
      </w:r>
      <w:r w:rsidR="00AC1F76" w:rsidRPr="00B24172">
        <w:rPr>
          <w:lang w:eastAsia="zh-CN"/>
        </w:rPr>
        <w:t>4</w:t>
      </w:r>
      <w:r w:rsidR="00041E5C" w:rsidRPr="00B24172">
        <w:rPr>
          <w:lang w:eastAsia="zh-CN"/>
        </w:rPr>
        <w:t xml:space="preserve">, </w:t>
      </w:r>
      <w:r w:rsidR="00317B7A" w:rsidRPr="00B24172">
        <w:rPr>
          <w:lang w:eastAsia="zh-CN"/>
        </w:rPr>
        <w:t>4.4</w:t>
      </w:r>
      <w:r w:rsidR="00AC1F76" w:rsidRPr="00B24172">
        <w:rPr>
          <w:lang w:eastAsia="zh-CN"/>
        </w:rPr>
        <w:t>6</w:t>
      </w:r>
      <w:r w:rsidR="00041E5C" w:rsidRPr="00B24172">
        <w:rPr>
          <w:lang w:eastAsia="zh-CN"/>
        </w:rPr>
        <w:t>, and 4.</w:t>
      </w:r>
      <w:r w:rsidR="00AC1F76" w:rsidRPr="00B24172">
        <w:rPr>
          <w:lang w:eastAsia="zh-CN"/>
        </w:rPr>
        <w:t>30</w:t>
      </w:r>
      <w:r w:rsidR="00317B7A" w:rsidRPr="00B24172">
        <w:rPr>
          <w:lang w:eastAsia="zh-CN"/>
        </w:rPr>
        <w:t xml:space="preserve"> at</w:t>
      </w:r>
      <w:r w:rsidR="00041E5C" w:rsidRPr="00B24172">
        <w:rPr>
          <w:lang w:eastAsia="zh-CN"/>
        </w:rPr>
        <w:t xml:space="preserve"> 3%,</w:t>
      </w:r>
      <w:r w:rsidR="00317B7A" w:rsidRPr="00B24172">
        <w:rPr>
          <w:lang w:eastAsia="zh-CN"/>
        </w:rPr>
        <w:t xml:space="preserve"> 7.5%</w:t>
      </w:r>
      <w:r w:rsidR="00041E5C" w:rsidRPr="00B24172">
        <w:rPr>
          <w:lang w:eastAsia="zh-CN"/>
        </w:rPr>
        <w:t>, and 12%</w:t>
      </w:r>
      <w:r w:rsidR="00317B7A" w:rsidRPr="00B24172">
        <w:rPr>
          <w:lang w:eastAsia="zh-CN"/>
        </w:rPr>
        <w:t xml:space="preserve"> discount rate</w:t>
      </w:r>
      <w:r w:rsidR="00041E5C" w:rsidRPr="00B24172">
        <w:rPr>
          <w:lang w:eastAsia="zh-CN"/>
        </w:rPr>
        <w:t>s respectively</w:t>
      </w:r>
      <w:r w:rsidRPr="00B24172">
        <w:rPr>
          <w:lang w:eastAsia="zh-CN"/>
        </w:rPr>
        <w:t>. Similarly, the BCR of electric stove adoption was found to be 2.</w:t>
      </w:r>
      <w:r w:rsidR="00317B7A" w:rsidRPr="00B24172">
        <w:rPr>
          <w:lang w:eastAsia="zh-CN"/>
        </w:rPr>
        <w:t>9</w:t>
      </w:r>
      <w:r w:rsidR="00AC1F76" w:rsidRPr="00B24172">
        <w:rPr>
          <w:lang w:eastAsia="zh-CN"/>
        </w:rPr>
        <w:t>5</w:t>
      </w:r>
      <w:r w:rsidR="00317B7A" w:rsidRPr="00B24172">
        <w:rPr>
          <w:lang w:eastAsia="zh-CN"/>
        </w:rPr>
        <w:t xml:space="preserve"> (at 7.5% discount rate)</w:t>
      </w:r>
      <w:r w:rsidRPr="00B24172">
        <w:rPr>
          <w:lang w:eastAsia="zh-CN"/>
        </w:rPr>
        <w:t xml:space="preserve">. To our knowledge no previously published study has carried out </w:t>
      </w:r>
      <w:r w:rsidR="00D54EFC" w:rsidRPr="00B24172">
        <w:rPr>
          <w:lang w:eastAsia="zh-CN"/>
        </w:rPr>
        <w:t>cost-benefit</w:t>
      </w:r>
      <w:r w:rsidRPr="00B24172">
        <w:rPr>
          <w:lang w:eastAsia="zh-CN"/>
        </w:rPr>
        <w:t xml:space="preserve"> analysis for piped natural gas and electric stoves. Although electricity is the cleanest alternative, the energy infrastructure in Pakistan is poorly managed and there are frequent power blackouts, so households do not currently rely on electric stoves. Thus, for electric stoves to be a feasible solution to IAP, these supply problems will first need to be addressed. The estimated BCR does not account for the costs related to this infrastructure, and so the BCR of electric stoves is likely overestimated. Similarly, piped natural gas is currently only available in urban areas in Pakistan </w:t>
      </w:r>
      <w:r w:rsidRPr="00B24172">
        <w:rPr>
          <w:lang w:eastAsia="zh-CN"/>
        </w:rPr>
        <w:fldChar w:fldCharType="begin"/>
      </w:r>
      <w:r w:rsidR="00A260FD" w:rsidRPr="00B24172">
        <w:rPr>
          <w:lang w:eastAsia="zh-CN"/>
        </w:rPr>
        <w:instrText xml:space="preserve"> ADDIN ZOTERO_ITEM CSL_CITATION {"citationID":"Lv4uzO4A","properties":{"formattedCitation":"(Irfan et al., 2018)","plainCitation":"(Irfan et al., 2018)","noteIndex":0},"citationItems":[{"id":"yPj1CNji/xNCa1p5v","uris":["http://zotero.org/users/2699952/items/73KUF9FR"],"uri":["http://zotero.org/users/2699952/items/73KUF9FR"],"itemData":{"id":1247,"type":"article-journal","title":"Household energy elasticities and policy implications for Pakistan","container-title":"Energy Policy","page":"633-642","volume":"113","source":"ScienceDirect","abstract":"This study estimates fuel expenditure and price elasticities of household fuels in Pakistan. The burning of biomass is harmful to health and the environment and may cause preventable morbidity and mortality. It is important to investigate how households' fuel choices are linked to prices, so that governments can consider appropriate steps to enhance the consumption of clean fuels. Using three pooled cross-sectional surveys from Pakistan and applying the Linear Approximate Almost Ideal Demand System (LA-AIDS) model, we found that all fuel types except natural gas were price inelastic at the national level and for urban households. In rural areas, natural gas and LPG were found to be more price elastic compared to urban areas. Simple policy simulations based on our results suggest that in order to reduce indoor air pollution by encouraging the adoption of clean fuels (LPG and piped natural gas), governments should subsidies clean fuels rather than imposing taxes on solid fuels. Moreover, in the case of Pakistan a subsidy for LPG should be preferred over a subsidy for piped natural gas, as it produces a more cost-effective reduction in solid fuel use.","DOI":"10.1016/j.enpol.2017.11.041","ISSN":"0301-4215","journalAbbreviation":"Energy Policy","author":[{"family":"Irfan","given":"Muhammad"},{"family":"Cameron","given":"Michael P."},{"family":"Hassan","given":"Gazi"}],"issued":{"date-parts":[["2018",2,1]]}}}],"schema":"https://github.com/citation-style-language/schema/raw/master/csl-citation.json"} </w:instrText>
      </w:r>
      <w:r w:rsidRPr="00B24172">
        <w:rPr>
          <w:lang w:eastAsia="zh-CN"/>
        </w:rPr>
        <w:fldChar w:fldCharType="separate"/>
      </w:r>
      <w:r w:rsidR="00A260FD" w:rsidRPr="00B24172">
        <w:t>(Irfan et al., 2018)</w:t>
      </w:r>
      <w:r w:rsidRPr="00B24172">
        <w:rPr>
          <w:lang w:eastAsia="zh-CN"/>
        </w:rPr>
        <w:fldChar w:fldCharType="end"/>
      </w:r>
      <w:r w:rsidRPr="00B24172">
        <w:rPr>
          <w:lang w:eastAsia="zh-CN"/>
        </w:rPr>
        <w:t>. To extend piped natural gas to rural households would require significant infrastructure investment, which is not included in our analysis, and thus the BCR for piped natural gas is likely to be substantially overestimated.</w:t>
      </w:r>
      <w:r w:rsidRPr="00B24172">
        <w:rPr>
          <w:lang w:val="en-NZ" w:eastAsia="zh-CN"/>
        </w:rPr>
        <w:t xml:space="preserve"> </w:t>
      </w:r>
      <w:r w:rsidR="0083335E" w:rsidRPr="00B24172">
        <w:rPr>
          <w:lang w:val="en-NZ" w:eastAsia="zh-CN"/>
        </w:rPr>
        <w:t>This is why we rank LPG as the most beneficial intervention.</w:t>
      </w:r>
    </w:p>
    <w:p w14:paraId="057746EE" w14:textId="77777777" w:rsidR="00D93F71" w:rsidRPr="00B24172" w:rsidRDefault="00D93F71" w:rsidP="00BF2AB8">
      <w:pPr>
        <w:autoSpaceDE w:val="0"/>
        <w:autoSpaceDN w:val="0"/>
        <w:adjustRightInd w:val="0"/>
        <w:spacing w:line="288" w:lineRule="auto"/>
        <w:ind w:firstLine="720"/>
        <w:jc w:val="both"/>
        <w:rPr>
          <w:lang w:val="en-NZ" w:eastAsia="zh-CN"/>
        </w:rPr>
      </w:pPr>
    </w:p>
    <w:p w14:paraId="5B242D4D" w14:textId="180A5CD1" w:rsidR="001D72B0" w:rsidRPr="00B24172" w:rsidRDefault="0083335E" w:rsidP="009169AA">
      <w:pPr>
        <w:autoSpaceDE w:val="0"/>
        <w:autoSpaceDN w:val="0"/>
        <w:adjustRightInd w:val="0"/>
        <w:spacing w:line="288" w:lineRule="auto"/>
        <w:ind w:firstLine="720"/>
        <w:jc w:val="both"/>
        <w:rPr>
          <w:lang w:val="en-NZ" w:eastAsia="zh-CN"/>
        </w:rPr>
      </w:pPr>
      <w:r w:rsidRPr="00B24172">
        <w:rPr>
          <w:lang w:val="en-NZ" w:eastAsia="zh-CN"/>
        </w:rPr>
        <w:t xml:space="preserve">We did not calculate the internal rate of return or return on investment because of the considerably high BCRs. </w:t>
      </w:r>
      <w:r w:rsidR="004A272F" w:rsidRPr="00B24172">
        <w:rPr>
          <w:lang w:val="en-NZ" w:eastAsia="zh-CN"/>
        </w:rPr>
        <w:t xml:space="preserve">We estimated the NPV </w:t>
      </w:r>
      <w:r w:rsidR="00431D62" w:rsidRPr="00B24172">
        <w:rPr>
          <w:lang w:val="en-NZ" w:eastAsia="zh-CN"/>
        </w:rPr>
        <w:t>of</w:t>
      </w:r>
      <w:r w:rsidR="000E7FB2" w:rsidRPr="00B24172">
        <w:rPr>
          <w:lang w:val="en-NZ" w:eastAsia="zh-CN"/>
        </w:rPr>
        <w:t xml:space="preserve"> each intervention</w:t>
      </w:r>
      <w:r w:rsidR="00317B7A" w:rsidRPr="00B24172">
        <w:rPr>
          <w:lang w:val="en-NZ" w:eastAsia="zh-CN"/>
        </w:rPr>
        <w:t xml:space="preserve"> as well</w:t>
      </w:r>
      <w:r w:rsidR="000E7FB2" w:rsidRPr="00B24172">
        <w:rPr>
          <w:lang w:val="en-NZ" w:eastAsia="zh-CN"/>
        </w:rPr>
        <w:t>, with</w:t>
      </w:r>
      <w:r w:rsidR="004A272F" w:rsidRPr="00B24172">
        <w:rPr>
          <w:lang w:val="en-NZ" w:eastAsia="zh-CN"/>
        </w:rPr>
        <w:t xml:space="preserve"> NPV in Pakistani rupees</w:t>
      </w:r>
      <w:r w:rsidR="000E7FB2" w:rsidRPr="00B24172">
        <w:rPr>
          <w:lang w:val="en-NZ" w:eastAsia="zh-CN"/>
        </w:rPr>
        <w:t xml:space="preserve"> evaluated at discount rates of</w:t>
      </w:r>
      <w:r w:rsidR="004A272F" w:rsidRPr="00B24172">
        <w:rPr>
          <w:lang w:val="en-NZ" w:eastAsia="zh-CN"/>
        </w:rPr>
        <w:t xml:space="preserve"> 3%, </w:t>
      </w:r>
      <w:r w:rsidR="00317B7A" w:rsidRPr="00B24172">
        <w:rPr>
          <w:lang w:val="en-NZ" w:eastAsia="zh-CN"/>
        </w:rPr>
        <w:t>7.5</w:t>
      </w:r>
      <w:r w:rsidR="004A272F" w:rsidRPr="00B24172">
        <w:rPr>
          <w:lang w:val="en-NZ" w:eastAsia="zh-CN"/>
        </w:rPr>
        <w:t>%, and 1</w:t>
      </w:r>
      <w:r w:rsidR="00317B7A" w:rsidRPr="00B24172">
        <w:rPr>
          <w:lang w:val="en-NZ" w:eastAsia="zh-CN"/>
        </w:rPr>
        <w:t>2</w:t>
      </w:r>
      <w:r w:rsidR="004A272F" w:rsidRPr="00B24172">
        <w:rPr>
          <w:lang w:val="en-NZ" w:eastAsia="zh-CN"/>
        </w:rPr>
        <w:t xml:space="preserve">%. </w:t>
      </w:r>
      <w:r w:rsidR="000E7FB2" w:rsidRPr="00B24172">
        <w:rPr>
          <w:lang w:val="en-NZ" w:eastAsia="zh-CN"/>
        </w:rPr>
        <w:t xml:space="preserve">The results are consistent with the BCRs. </w:t>
      </w:r>
      <w:r w:rsidR="004A272F" w:rsidRPr="00B24172">
        <w:rPr>
          <w:lang w:val="en-NZ" w:eastAsia="zh-CN"/>
        </w:rPr>
        <w:t>The NPV</w:t>
      </w:r>
      <w:r w:rsidR="00431D62" w:rsidRPr="00B24172">
        <w:rPr>
          <w:lang w:val="en-NZ" w:eastAsia="zh-CN"/>
        </w:rPr>
        <w:t xml:space="preserve"> of</w:t>
      </w:r>
      <w:r w:rsidR="004A272F" w:rsidRPr="00B24172">
        <w:rPr>
          <w:lang w:val="en-NZ" w:eastAsia="zh-CN"/>
        </w:rPr>
        <w:t xml:space="preserve"> biogas, natural gas, LPG, and electric stoves are </w:t>
      </w:r>
      <w:r w:rsidR="00F87A89" w:rsidRPr="00B24172">
        <w:rPr>
          <w:lang w:val="en-NZ" w:eastAsia="zh-CN"/>
        </w:rPr>
        <w:t>positive</w:t>
      </w:r>
      <w:r w:rsidR="000E7FB2" w:rsidRPr="00B24172">
        <w:rPr>
          <w:lang w:val="en-NZ" w:eastAsia="zh-CN"/>
        </w:rPr>
        <w:t xml:space="preserve">, while </w:t>
      </w:r>
      <w:r w:rsidR="00431D62" w:rsidRPr="00B24172">
        <w:rPr>
          <w:lang w:val="en-NZ" w:eastAsia="zh-CN"/>
        </w:rPr>
        <w:t>NPV is</w:t>
      </w:r>
      <w:r w:rsidR="006139D6" w:rsidRPr="00B24172">
        <w:rPr>
          <w:lang w:val="en-NZ" w:eastAsia="zh-CN"/>
        </w:rPr>
        <w:t xml:space="preserve"> </w:t>
      </w:r>
      <w:r w:rsidR="000E7FB2" w:rsidRPr="00B24172">
        <w:rPr>
          <w:lang w:val="en-NZ" w:eastAsia="zh-CN"/>
        </w:rPr>
        <w:t>negative</w:t>
      </w:r>
      <w:r w:rsidR="006139D6" w:rsidRPr="00B24172">
        <w:rPr>
          <w:lang w:val="en-NZ" w:eastAsia="zh-CN"/>
        </w:rPr>
        <w:t xml:space="preserve"> for ICS</w:t>
      </w:r>
      <w:r w:rsidR="000E7FB2" w:rsidRPr="00B24172">
        <w:rPr>
          <w:lang w:val="en-NZ" w:eastAsia="zh-CN"/>
        </w:rPr>
        <w:t xml:space="preserve"> at all levels of the discount rate</w:t>
      </w:r>
      <w:r w:rsidR="004A272F" w:rsidRPr="00B24172">
        <w:rPr>
          <w:lang w:val="en-NZ" w:eastAsia="zh-CN"/>
        </w:rPr>
        <w:t xml:space="preserve">. </w:t>
      </w:r>
      <w:r w:rsidR="00317B7A" w:rsidRPr="00B24172">
        <w:rPr>
          <w:lang w:val="en-NZ" w:eastAsia="zh-CN"/>
        </w:rPr>
        <w:t>T</w:t>
      </w:r>
      <w:r w:rsidR="000E7FB2" w:rsidRPr="00B24172">
        <w:rPr>
          <w:lang w:val="en-NZ" w:eastAsia="zh-CN"/>
        </w:rPr>
        <w:t xml:space="preserve">he </w:t>
      </w:r>
      <w:r w:rsidR="00FC60DB" w:rsidRPr="00B24172">
        <w:rPr>
          <w:lang w:val="en-NZ" w:eastAsia="zh-CN"/>
        </w:rPr>
        <w:t>NPV</w:t>
      </w:r>
      <w:r w:rsidR="00431D62" w:rsidRPr="00B24172">
        <w:rPr>
          <w:lang w:val="en-NZ" w:eastAsia="zh-CN"/>
        </w:rPr>
        <w:t xml:space="preserve"> also</w:t>
      </w:r>
      <w:r w:rsidR="004A272F" w:rsidRPr="00B24172">
        <w:rPr>
          <w:lang w:val="en-NZ" w:eastAsia="zh-CN"/>
        </w:rPr>
        <w:t xml:space="preserve"> suggest</w:t>
      </w:r>
      <w:r w:rsidR="00431D62" w:rsidRPr="00B24172">
        <w:rPr>
          <w:lang w:val="en-NZ" w:eastAsia="zh-CN"/>
        </w:rPr>
        <w:t>s</w:t>
      </w:r>
      <w:r w:rsidR="004A272F" w:rsidRPr="00B24172">
        <w:rPr>
          <w:lang w:val="en-NZ" w:eastAsia="zh-CN"/>
        </w:rPr>
        <w:t xml:space="preserve"> that the most </w:t>
      </w:r>
      <w:r w:rsidR="004A272F" w:rsidRPr="00B24172">
        <w:rPr>
          <w:lang w:val="en-NZ" w:eastAsia="zh-CN"/>
        </w:rPr>
        <w:lastRenderedPageBreak/>
        <w:t xml:space="preserve">beneficial intervention is </w:t>
      </w:r>
      <w:r w:rsidR="000E7FB2" w:rsidRPr="00B24172">
        <w:rPr>
          <w:lang w:val="en-NZ" w:eastAsia="zh-CN"/>
        </w:rPr>
        <w:t xml:space="preserve">adoption of </w:t>
      </w:r>
      <w:r w:rsidR="00317B7A" w:rsidRPr="00B24172">
        <w:rPr>
          <w:lang w:val="en-NZ" w:eastAsia="zh-CN"/>
        </w:rPr>
        <w:t>LPG</w:t>
      </w:r>
      <w:r w:rsidR="000E7FB2" w:rsidRPr="00B24172">
        <w:rPr>
          <w:lang w:val="en-NZ" w:eastAsia="zh-CN"/>
        </w:rPr>
        <w:t xml:space="preserve">, with </w:t>
      </w:r>
      <w:r w:rsidR="00E972F2" w:rsidRPr="00B24172">
        <w:rPr>
          <w:lang w:val="en-NZ" w:eastAsia="zh-CN"/>
        </w:rPr>
        <w:t xml:space="preserve">Natural gas </w:t>
      </w:r>
      <w:r w:rsidR="000E7FB2" w:rsidRPr="00B24172">
        <w:rPr>
          <w:lang w:val="en-NZ" w:eastAsia="zh-CN"/>
        </w:rPr>
        <w:t>adoption as the second most beneficial intervention</w:t>
      </w:r>
      <w:r w:rsidRPr="00B24172">
        <w:rPr>
          <w:lang w:val="en-NZ" w:eastAsia="zh-CN"/>
        </w:rPr>
        <w:t xml:space="preserve"> (again close to LPG)</w:t>
      </w:r>
      <w:r w:rsidR="00FC60DB" w:rsidRPr="00B24172">
        <w:rPr>
          <w:lang w:val="en-NZ" w:eastAsia="zh-CN"/>
        </w:rPr>
        <w:t>. However,</w:t>
      </w:r>
      <w:r w:rsidR="000E7FB2" w:rsidRPr="00B24172">
        <w:rPr>
          <w:lang w:val="en-NZ" w:eastAsia="zh-CN"/>
        </w:rPr>
        <w:t xml:space="preserve"> </w:t>
      </w:r>
      <w:r w:rsidR="004966F2" w:rsidRPr="00B24172">
        <w:rPr>
          <w:lang w:val="en-NZ" w:eastAsia="zh-CN"/>
        </w:rPr>
        <w:t xml:space="preserve">as stated earlier, </w:t>
      </w:r>
      <w:r w:rsidR="000E7FB2" w:rsidRPr="00B24172">
        <w:rPr>
          <w:lang w:val="en-NZ" w:eastAsia="zh-CN"/>
        </w:rPr>
        <w:t>these results do not account for the substantial infrastructure investment that would be required to extend piped natural gas to rural areas of Pakistan.</w:t>
      </w:r>
      <w:r w:rsidRPr="00B24172">
        <w:rPr>
          <w:lang w:val="en-NZ" w:eastAsia="zh-CN"/>
        </w:rPr>
        <w:t xml:space="preserve"> </w:t>
      </w:r>
    </w:p>
    <w:p w14:paraId="4484372E" w14:textId="1F45AF49" w:rsidR="004966F2" w:rsidRPr="00B24172" w:rsidRDefault="004966F2" w:rsidP="00BF2AB8">
      <w:pPr>
        <w:autoSpaceDE w:val="0"/>
        <w:autoSpaceDN w:val="0"/>
        <w:adjustRightInd w:val="0"/>
        <w:spacing w:line="288" w:lineRule="auto"/>
        <w:ind w:firstLine="720"/>
        <w:jc w:val="both"/>
        <w:rPr>
          <w:lang w:val="en-NZ" w:eastAsia="zh-CN"/>
        </w:rPr>
      </w:pPr>
    </w:p>
    <w:p w14:paraId="1460A2F9" w14:textId="76991758" w:rsidR="004966F2" w:rsidRPr="00B24172" w:rsidRDefault="004966F2" w:rsidP="004966F2">
      <w:pPr>
        <w:autoSpaceDE w:val="0"/>
        <w:autoSpaceDN w:val="0"/>
        <w:adjustRightInd w:val="0"/>
        <w:spacing w:line="288" w:lineRule="auto"/>
        <w:jc w:val="both"/>
        <w:rPr>
          <w:lang w:val="en-NZ" w:eastAsia="zh-CN"/>
        </w:rPr>
      </w:pPr>
      <w:r w:rsidRPr="00B24172">
        <w:rPr>
          <w:lang w:val="en-NZ" w:eastAsia="zh-CN"/>
        </w:rPr>
        <w:t>Table 4: BCRs</w:t>
      </w:r>
      <w:r w:rsidR="00B91E27" w:rsidRPr="00B24172">
        <w:rPr>
          <w:lang w:val="en-NZ" w:eastAsia="zh-CN"/>
        </w:rPr>
        <w:t xml:space="preserve"> and</w:t>
      </w:r>
      <w:r w:rsidRPr="00B24172">
        <w:rPr>
          <w:lang w:val="en-NZ" w:eastAsia="zh-CN"/>
        </w:rPr>
        <w:t xml:space="preserve"> NPV for all interventions</w:t>
      </w:r>
    </w:p>
    <w:tbl>
      <w:tblPr>
        <w:tblStyle w:val="TableGrid"/>
        <w:tblW w:w="8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042"/>
        <w:gridCol w:w="1319"/>
        <w:gridCol w:w="1401"/>
        <w:gridCol w:w="1591"/>
      </w:tblGrid>
      <w:tr w:rsidR="00552696" w:rsidRPr="00B24172" w14:paraId="3F799747" w14:textId="77777777" w:rsidTr="00431D62">
        <w:trPr>
          <w:trHeight w:val="507"/>
        </w:trPr>
        <w:tc>
          <w:tcPr>
            <w:tcW w:w="2331" w:type="dxa"/>
            <w:vMerge w:val="restart"/>
            <w:tcBorders>
              <w:top w:val="single" w:sz="4" w:space="0" w:color="auto"/>
            </w:tcBorders>
            <w:noWrap/>
            <w:vAlign w:val="center"/>
          </w:tcPr>
          <w:p w14:paraId="5A58D44E" w14:textId="77777777" w:rsidR="004966F2" w:rsidRPr="00B24172" w:rsidRDefault="004966F2" w:rsidP="00E443DD">
            <w:pPr>
              <w:autoSpaceDE w:val="0"/>
              <w:autoSpaceDN w:val="0"/>
              <w:adjustRightInd w:val="0"/>
              <w:spacing w:line="288" w:lineRule="auto"/>
              <w:rPr>
                <w:b/>
                <w:lang w:eastAsia="zh-CN"/>
              </w:rPr>
            </w:pPr>
            <w:r w:rsidRPr="00B24172">
              <w:rPr>
                <w:b/>
                <w:lang w:eastAsia="zh-CN"/>
              </w:rPr>
              <w:t>Interventions</w:t>
            </w:r>
          </w:p>
        </w:tc>
        <w:tc>
          <w:tcPr>
            <w:tcW w:w="2042" w:type="dxa"/>
            <w:vMerge w:val="restart"/>
            <w:tcBorders>
              <w:top w:val="single" w:sz="4" w:space="0" w:color="auto"/>
            </w:tcBorders>
            <w:noWrap/>
            <w:vAlign w:val="center"/>
          </w:tcPr>
          <w:p w14:paraId="1CD58C1E" w14:textId="77777777" w:rsidR="004966F2" w:rsidRPr="00B24172" w:rsidRDefault="004966F2" w:rsidP="00E443DD">
            <w:pPr>
              <w:autoSpaceDE w:val="0"/>
              <w:autoSpaceDN w:val="0"/>
              <w:adjustRightInd w:val="0"/>
              <w:spacing w:line="288" w:lineRule="auto"/>
              <w:jc w:val="both"/>
              <w:rPr>
                <w:lang w:eastAsia="zh-CN"/>
              </w:rPr>
            </w:pPr>
            <w:r w:rsidRPr="00B24172">
              <w:rPr>
                <w:lang w:eastAsia="zh-CN"/>
              </w:rPr>
              <w:t> </w:t>
            </w:r>
          </w:p>
        </w:tc>
        <w:tc>
          <w:tcPr>
            <w:tcW w:w="4311" w:type="dxa"/>
            <w:gridSpan w:val="3"/>
            <w:tcBorders>
              <w:top w:val="single" w:sz="4" w:space="0" w:color="auto"/>
            </w:tcBorders>
            <w:noWrap/>
            <w:vAlign w:val="center"/>
          </w:tcPr>
          <w:p w14:paraId="476D198A" w14:textId="77777777" w:rsidR="004966F2" w:rsidRPr="00B24172" w:rsidRDefault="004966F2" w:rsidP="00E443DD">
            <w:pPr>
              <w:autoSpaceDE w:val="0"/>
              <w:autoSpaceDN w:val="0"/>
              <w:adjustRightInd w:val="0"/>
              <w:spacing w:line="288" w:lineRule="auto"/>
              <w:jc w:val="center"/>
              <w:rPr>
                <w:b/>
                <w:lang w:eastAsia="zh-CN"/>
              </w:rPr>
            </w:pPr>
            <w:r w:rsidRPr="00B24172">
              <w:rPr>
                <w:b/>
                <w:lang w:eastAsia="zh-CN"/>
              </w:rPr>
              <w:t>Discount Rates</w:t>
            </w:r>
          </w:p>
        </w:tc>
      </w:tr>
      <w:tr w:rsidR="00552696" w:rsidRPr="00B24172" w14:paraId="1D71A0D3" w14:textId="77777777" w:rsidTr="00431D62">
        <w:trPr>
          <w:trHeight w:val="507"/>
        </w:trPr>
        <w:tc>
          <w:tcPr>
            <w:tcW w:w="2331" w:type="dxa"/>
            <w:vMerge/>
            <w:tcBorders>
              <w:bottom w:val="single" w:sz="4" w:space="0" w:color="auto"/>
            </w:tcBorders>
            <w:noWrap/>
            <w:vAlign w:val="center"/>
            <w:hideMark/>
          </w:tcPr>
          <w:p w14:paraId="36AD57F5" w14:textId="77777777" w:rsidR="004966F2" w:rsidRPr="00B24172" w:rsidRDefault="004966F2" w:rsidP="00E443DD">
            <w:pPr>
              <w:autoSpaceDE w:val="0"/>
              <w:autoSpaceDN w:val="0"/>
              <w:adjustRightInd w:val="0"/>
              <w:spacing w:line="288" w:lineRule="auto"/>
              <w:jc w:val="both"/>
              <w:rPr>
                <w:lang w:val="en-NZ" w:eastAsia="zh-CN"/>
              </w:rPr>
            </w:pPr>
          </w:p>
        </w:tc>
        <w:tc>
          <w:tcPr>
            <w:tcW w:w="2042" w:type="dxa"/>
            <w:vMerge/>
            <w:tcBorders>
              <w:bottom w:val="single" w:sz="4" w:space="0" w:color="auto"/>
            </w:tcBorders>
            <w:noWrap/>
            <w:vAlign w:val="center"/>
            <w:hideMark/>
          </w:tcPr>
          <w:p w14:paraId="331431B0" w14:textId="77777777" w:rsidR="004966F2" w:rsidRPr="00B24172" w:rsidRDefault="004966F2" w:rsidP="00E443DD">
            <w:pPr>
              <w:autoSpaceDE w:val="0"/>
              <w:autoSpaceDN w:val="0"/>
              <w:adjustRightInd w:val="0"/>
              <w:spacing w:line="288" w:lineRule="auto"/>
              <w:jc w:val="both"/>
              <w:rPr>
                <w:lang w:eastAsia="zh-CN"/>
              </w:rPr>
            </w:pPr>
          </w:p>
        </w:tc>
        <w:tc>
          <w:tcPr>
            <w:tcW w:w="1319" w:type="dxa"/>
            <w:tcBorders>
              <w:bottom w:val="single" w:sz="4" w:space="0" w:color="auto"/>
            </w:tcBorders>
            <w:noWrap/>
            <w:vAlign w:val="center"/>
            <w:hideMark/>
          </w:tcPr>
          <w:p w14:paraId="28C3050E" w14:textId="77777777" w:rsidR="004966F2" w:rsidRPr="00B24172" w:rsidRDefault="004966F2" w:rsidP="00E443DD">
            <w:pPr>
              <w:autoSpaceDE w:val="0"/>
              <w:autoSpaceDN w:val="0"/>
              <w:adjustRightInd w:val="0"/>
              <w:spacing w:line="288" w:lineRule="auto"/>
              <w:jc w:val="center"/>
              <w:rPr>
                <w:b/>
                <w:lang w:eastAsia="zh-CN"/>
              </w:rPr>
            </w:pPr>
            <w:r w:rsidRPr="00B24172">
              <w:rPr>
                <w:b/>
                <w:lang w:eastAsia="zh-CN"/>
              </w:rPr>
              <w:t>3%</w:t>
            </w:r>
          </w:p>
        </w:tc>
        <w:tc>
          <w:tcPr>
            <w:tcW w:w="1401" w:type="dxa"/>
            <w:tcBorders>
              <w:bottom w:val="single" w:sz="4" w:space="0" w:color="auto"/>
            </w:tcBorders>
            <w:noWrap/>
            <w:vAlign w:val="center"/>
            <w:hideMark/>
          </w:tcPr>
          <w:p w14:paraId="5CA5B4F0" w14:textId="77777777" w:rsidR="004966F2" w:rsidRPr="00B24172" w:rsidRDefault="004966F2" w:rsidP="00E443DD">
            <w:pPr>
              <w:autoSpaceDE w:val="0"/>
              <w:autoSpaceDN w:val="0"/>
              <w:adjustRightInd w:val="0"/>
              <w:spacing w:line="288" w:lineRule="auto"/>
              <w:jc w:val="center"/>
              <w:rPr>
                <w:b/>
                <w:lang w:eastAsia="zh-CN"/>
              </w:rPr>
            </w:pPr>
            <w:r w:rsidRPr="00B24172">
              <w:rPr>
                <w:b/>
                <w:lang w:eastAsia="zh-CN"/>
              </w:rPr>
              <w:t>7.5%</w:t>
            </w:r>
          </w:p>
        </w:tc>
        <w:tc>
          <w:tcPr>
            <w:tcW w:w="1590" w:type="dxa"/>
            <w:tcBorders>
              <w:bottom w:val="single" w:sz="4" w:space="0" w:color="auto"/>
            </w:tcBorders>
            <w:noWrap/>
            <w:vAlign w:val="center"/>
            <w:hideMark/>
          </w:tcPr>
          <w:p w14:paraId="5C1B46A2" w14:textId="77777777" w:rsidR="004966F2" w:rsidRPr="00B24172" w:rsidRDefault="004966F2" w:rsidP="00E443DD">
            <w:pPr>
              <w:autoSpaceDE w:val="0"/>
              <w:autoSpaceDN w:val="0"/>
              <w:adjustRightInd w:val="0"/>
              <w:spacing w:line="288" w:lineRule="auto"/>
              <w:jc w:val="center"/>
              <w:rPr>
                <w:b/>
                <w:lang w:eastAsia="zh-CN"/>
              </w:rPr>
            </w:pPr>
            <w:r w:rsidRPr="00B24172">
              <w:rPr>
                <w:b/>
                <w:lang w:eastAsia="zh-CN"/>
              </w:rPr>
              <w:t>12%</w:t>
            </w:r>
          </w:p>
        </w:tc>
      </w:tr>
      <w:tr w:rsidR="00552696" w:rsidRPr="00B24172" w14:paraId="7C3398B8" w14:textId="77777777" w:rsidTr="00431D62">
        <w:trPr>
          <w:trHeight w:val="507"/>
        </w:trPr>
        <w:tc>
          <w:tcPr>
            <w:tcW w:w="2331" w:type="dxa"/>
            <w:vMerge w:val="restart"/>
            <w:tcBorders>
              <w:top w:val="single" w:sz="4" w:space="0" w:color="auto"/>
            </w:tcBorders>
            <w:noWrap/>
            <w:vAlign w:val="center"/>
            <w:hideMark/>
          </w:tcPr>
          <w:p w14:paraId="2B338EAD" w14:textId="77777777" w:rsidR="004966F2" w:rsidRPr="00B24172" w:rsidRDefault="004966F2" w:rsidP="00E443DD">
            <w:pPr>
              <w:autoSpaceDE w:val="0"/>
              <w:autoSpaceDN w:val="0"/>
              <w:adjustRightInd w:val="0"/>
              <w:spacing w:line="288" w:lineRule="auto"/>
              <w:jc w:val="both"/>
              <w:rPr>
                <w:lang w:eastAsia="zh-CN"/>
              </w:rPr>
            </w:pPr>
          </w:p>
          <w:p w14:paraId="73F55C62" w14:textId="77777777" w:rsidR="004966F2" w:rsidRPr="00B24172" w:rsidRDefault="004966F2" w:rsidP="00E443DD">
            <w:pPr>
              <w:autoSpaceDE w:val="0"/>
              <w:autoSpaceDN w:val="0"/>
              <w:adjustRightInd w:val="0"/>
              <w:spacing w:line="288" w:lineRule="auto"/>
              <w:jc w:val="both"/>
              <w:rPr>
                <w:lang w:eastAsia="zh-CN"/>
              </w:rPr>
            </w:pPr>
            <w:r w:rsidRPr="00B24172">
              <w:rPr>
                <w:lang w:eastAsia="zh-CN"/>
              </w:rPr>
              <w:t>Biogas</w:t>
            </w:r>
          </w:p>
        </w:tc>
        <w:tc>
          <w:tcPr>
            <w:tcW w:w="2042" w:type="dxa"/>
            <w:tcBorders>
              <w:top w:val="single" w:sz="4" w:space="0" w:color="auto"/>
              <w:bottom w:val="single" w:sz="4" w:space="0" w:color="auto"/>
            </w:tcBorders>
            <w:noWrap/>
            <w:vAlign w:val="center"/>
            <w:hideMark/>
          </w:tcPr>
          <w:p w14:paraId="26E61E21" w14:textId="77777777" w:rsidR="004966F2" w:rsidRPr="00B24172" w:rsidRDefault="004966F2" w:rsidP="00E443DD">
            <w:pPr>
              <w:autoSpaceDE w:val="0"/>
              <w:autoSpaceDN w:val="0"/>
              <w:adjustRightInd w:val="0"/>
              <w:spacing w:line="288" w:lineRule="auto"/>
              <w:jc w:val="both"/>
              <w:rPr>
                <w:lang w:eastAsia="zh-CN"/>
              </w:rPr>
            </w:pPr>
            <w:r w:rsidRPr="00B24172">
              <w:rPr>
                <w:lang w:eastAsia="zh-CN"/>
              </w:rPr>
              <w:t>BCRs</w:t>
            </w:r>
          </w:p>
        </w:tc>
        <w:tc>
          <w:tcPr>
            <w:tcW w:w="1319" w:type="dxa"/>
            <w:tcBorders>
              <w:top w:val="single" w:sz="4" w:space="0" w:color="auto"/>
              <w:bottom w:val="single" w:sz="4" w:space="0" w:color="auto"/>
            </w:tcBorders>
            <w:noWrap/>
            <w:vAlign w:val="center"/>
            <w:hideMark/>
          </w:tcPr>
          <w:p w14:paraId="651E9BA6" w14:textId="660CE24C" w:rsidR="004966F2" w:rsidRPr="00B24172" w:rsidRDefault="004966F2" w:rsidP="00E443DD">
            <w:pPr>
              <w:autoSpaceDE w:val="0"/>
              <w:autoSpaceDN w:val="0"/>
              <w:adjustRightInd w:val="0"/>
              <w:spacing w:line="288" w:lineRule="auto"/>
              <w:jc w:val="center"/>
              <w:rPr>
                <w:lang w:eastAsia="zh-CN"/>
              </w:rPr>
            </w:pPr>
            <w:r w:rsidRPr="00B24172">
              <w:rPr>
                <w:lang w:eastAsia="zh-CN"/>
              </w:rPr>
              <w:t>2.</w:t>
            </w:r>
            <w:r w:rsidR="005C3769" w:rsidRPr="00B24172">
              <w:rPr>
                <w:lang w:eastAsia="zh-CN"/>
              </w:rPr>
              <w:t>67</w:t>
            </w:r>
          </w:p>
        </w:tc>
        <w:tc>
          <w:tcPr>
            <w:tcW w:w="1401" w:type="dxa"/>
            <w:tcBorders>
              <w:top w:val="single" w:sz="4" w:space="0" w:color="auto"/>
              <w:bottom w:val="single" w:sz="4" w:space="0" w:color="auto"/>
            </w:tcBorders>
            <w:noWrap/>
            <w:vAlign w:val="center"/>
            <w:hideMark/>
          </w:tcPr>
          <w:p w14:paraId="624609F7" w14:textId="22BCC914" w:rsidR="004966F2" w:rsidRPr="00B24172" w:rsidRDefault="004966F2" w:rsidP="00E443DD">
            <w:pPr>
              <w:autoSpaceDE w:val="0"/>
              <w:autoSpaceDN w:val="0"/>
              <w:adjustRightInd w:val="0"/>
              <w:spacing w:line="288" w:lineRule="auto"/>
              <w:jc w:val="center"/>
              <w:rPr>
                <w:lang w:eastAsia="zh-CN"/>
              </w:rPr>
            </w:pPr>
            <w:r w:rsidRPr="00B24172">
              <w:rPr>
                <w:lang w:eastAsia="zh-CN"/>
              </w:rPr>
              <w:t>2.</w:t>
            </w:r>
            <w:r w:rsidR="00BF1247" w:rsidRPr="00B24172">
              <w:rPr>
                <w:lang w:eastAsia="zh-CN"/>
              </w:rPr>
              <w:t>54</w:t>
            </w:r>
          </w:p>
        </w:tc>
        <w:tc>
          <w:tcPr>
            <w:tcW w:w="1590" w:type="dxa"/>
            <w:tcBorders>
              <w:top w:val="single" w:sz="4" w:space="0" w:color="auto"/>
              <w:bottom w:val="single" w:sz="4" w:space="0" w:color="auto"/>
            </w:tcBorders>
            <w:noWrap/>
            <w:vAlign w:val="center"/>
            <w:hideMark/>
          </w:tcPr>
          <w:p w14:paraId="33F940B1" w14:textId="622F34BA" w:rsidR="004966F2" w:rsidRPr="00B24172" w:rsidRDefault="00BF1247" w:rsidP="00E443DD">
            <w:pPr>
              <w:autoSpaceDE w:val="0"/>
              <w:autoSpaceDN w:val="0"/>
              <w:adjustRightInd w:val="0"/>
              <w:spacing w:line="288" w:lineRule="auto"/>
              <w:jc w:val="center"/>
              <w:rPr>
                <w:lang w:eastAsia="zh-CN"/>
              </w:rPr>
            </w:pPr>
            <w:r w:rsidRPr="00B24172">
              <w:rPr>
                <w:lang w:eastAsia="zh-CN"/>
              </w:rPr>
              <w:t>2.41</w:t>
            </w:r>
          </w:p>
        </w:tc>
      </w:tr>
      <w:tr w:rsidR="00552696" w:rsidRPr="00B24172" w14:paraId="1106FFCC" w14:textId="77777777" w:rsidTr="00431D62">
        <w:trPr>
          <w:trHeight w:val="507"/>
        </w:trPr>
        <w:tc>
          <w:tcPr>
            <w:tcW w:w="2331" w:type="dxa"/>
            <w:vMerge/>
            <w:tcBorders>
              <w:bottom w:val="single" w:sz="4" w:space="0" w:color="auto"/>
            </w:tcBorders>
            <w:vAlign w:val="center"/>
            <w:hideMark/>
          </w:tcPr>
          <w:p w14:paraId="6276C38D" w14:textId="77777777" w:rsidR="00DA6D30" w:rsidRPr="00B24172" w:rsidRDefault="00DA6D30" w:rsidP="00DA6D30">
            <w:pPr>
              <w:autoSpaceDE w:val="0"/>
              <w:autoSpaceDN w:val="0"/>
              <w:adjustRightInd w:val="0"/>
              <w:spacing w:line="288" w:lineRule="auto"/>
              <w:jc w:val="both"/>
              <w:rPr>
                <w:lang w:eastAsia="zh-CN"/>
              </w:rPr>
            </w:pPr>
          </w:p>
        </w:tc>
        <w:tc>
          <w:tcPr>
            <w:tcW w:w="2042" w:type="dxa"/>
            <w:tcBorders>
              <w:top w:val="single" w:sz="4" w:space="0" w:color="auto"/>
              <w:bottom w:val="single" w:sz="4" w:space="0" w:color="auto"/>
            </w:tcBorders>
            <w:noWrap/>
            <w:vAlign w:val="center"/>
            <w:hideMark/>
          </w:tcPr>
          <w:p w14:paraId="0138EA0B" w14:textId="77777777" w:rsidR="00DA6D30" w:rsidRPr="00B24172" w:rsidRDefault="00DA6D30" w:rsidP="00DA6D30">
            <w:pPr>
              <w:autoSpaceDE w:val="0"/>
              <w:autoSpaceDN w:val="0"/>
              <w:adjustRightInd w:val="0"/>
              <w:spacing w:line="288" w:lineRule="auto"/>
              <w:jc w:val="both"/>
              <w:rPr>
                <w:lang w:eastAsia="zh-CN"/>
              </w:rPr>
            </w:pPr>
            <w:r w:rsidRPr="00B24172">
              <w:rPr>
                <w:lang w:eastAsia="zh-CN"/>
              </w:rPr>
              <w:t>NPV (PKR)</w:t>
            </w:r>
          </w:p>
        </w:tc>
        <w:tc>
          <w:tcPr>
            <w:tcW w:w="1319" w:type="dxa"/>
            <w:tcBorders>
              <w:top w:val="single" w:sz="4" w:space="0" w:color="auto"/>
              <w:bottom w:val="single" w:sz="4" w:space="0" w:color="auto"/>
            </w:tcBorders>
            <w:noWrap/>
            <w:vAlign w:val="center"/>
            <w:hideMark/>
          </w:tcPr>
          <w:p w14:paraId="7F775819" w14:textId="76EFCBC6" w:rsidR="00DA6D30" w:rsidRPr="00B24172" w:rsidRDefault="00DA6D30" w:rsidP="00DA6D30">
            <w:pPr>
              <w:autoSpaceDE w:val="0"/>
              <w:autoSpaceDN w:val="0"/>
              <w:adjustRightInd w:val="0"/>
              <w:spacing w:line="288" w:lineRule="auto"/>
              <w:jc w:val="center"/>
              <w:rPr>
                <w:lang w:eastAsia="zh-CN"/>
              </w:rPr>
            </w:pPr>
            <w:r w:rsidRPr="00B24172">
              <w:t xml:space="preserve"> </w:t>
            </w:r>
            <w:r w:rsidR="00431D62" w:rsidRPr="00B24172">
              <w:t>293,578</w:t>
            </w:r>
            <w:r w:rsidRPr="00B24172">
              <w:t xml:space="preserve"> </w:t>
            </w:r>
          </w:p>
        </w:tc>
        <w:tc>
          <w:tcPr>
            <w:tcW w:w="1401" w:type="dxa"/>
            <w:tcBorders>
              <w:top w:val="single" w:sz="4" w:space="0" w:color="auto"/>
              <w:bottom w:val="single" w:sz="4" w:space="0" w:color="auto"/>
            </w:tcBorders>
            <w:noWrap/>
            <w:vAlign w:val="center"/>
            <w:hideMark/>
          </w:tcPr>
          <w:p w14:paraId="207BA874" w14:textId="744A28FB" w:rsidR="00DA6D30" w:rsidRPr="00B24172" w:rsidRDefault="00431D62" w:rsidP="00DA6D30">
            <w:pPr>
              <w:autoSpaceDE w:val="0"/>
              <w:autoSpaceDN w:val="0"/>
              <w:adjustRightInd w:val="0"/>
              <w:spacing w:line="288" w:lineRule="auto"/>
              <w:jc w:val="center"/>
              <w:rPr>
                <w:lang w:eastAsia="zh-CN"/>
              </w:rPr>
            </w:pPr>
            <w:r w:rsidRPr="00B24172">
              <w:t>188,140</w:t>
            </w:r>
          </w:p>
        </w:tc>
        <w:tc>
          <w:tcPr>
            <w:tcW w:w="1590" w:type="dxa"/>
            <w:tcBorders>
              <w:top w:val="single" w:sz="4" w:space="0" w:color="auto"/>
              <w:bottom w:val="single" w:sz="4" w:space="0" w:color="auto"/>
            </w:tcBorders>
            <w:noWrap/>
            <w:vAlign w:val="center"/>
            <w:hideMark/>
          </w:tcPr>
          <w:p w14:paraId="42FA2269" w14:textId="10042273" w:rsidR="00DA6D30" w:rsidRPr="00B24172" w:rsidRDefault="00431D62" w:rsidP="00DA6D30">
            <w:pPr>
              <w:autoSpaceDE w:val="0"/>
              <w:autoSpaceDN w:val="0"/>
              <w:adjustRightInd w:val="0"/>
              <w:spacing w:line="288" w:lineRule="auto"/>
              <w:jc w:val="center"/>
              <w:rPr>
                <w:lang w:eastAsia="zh-CN"/>
              </w:rPr>
            </w:pPr>
            <w:r w:rsidRPr="00B24172">
              <w:t>126,037</w:t>
            </w:r>
          </w:p>
        </w:tc>
      </w:tr>
      <w:tr w:rsidR="00552696" w:rsidRPr="00B24172" w14:paraId="6685C685" w14:textId="77777777" w:rsidTr="00431D62">
        <w:trPr>
          <w:trHeight w:val="507"/>
        </w:trPr>
        <w:tc>
          <w:tcPr>
            <w:tcW w:w="2331" w:type="dxa"/>
            <w:vMerge w:val="restart"/>
            <w:tcBorders>
              <w:top w:val="single" w:sz="4" w:space="0" w:color="auto"/>
            </w:tcBorders>
            <w:noWrap/>
            <w:vAlign w:val="center"/>
            <w:hideMark/>
          </w:tcPr>
          <w:p w14:paraId="54F75D1F" w14:textId="77777777" w:rsidR="00BF1247" w:rsidRPr="00B24172" w:rsidRDefault="00BF1247" w:rsidP="00BF1247">
            <w:pPr>
              <w:autoSpaceDE w:val="0"/>
              <w:autoSpaceDN w:val="0"/>
              <w:adjustRightInd w:val="0"/>
              <w:spacing w:line="288" w:lineRule="auto"/>
              <w:jc w:val="both"/>
              <w:rPr>
                <w:lang w:eastAsia="zh-CN"/>
              </w:rPr>
            </w:pPr>
          </w:p>
          <w:p w14:paraId="30BC5F08"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LPG</w:t>
            </w:r>
          </w:p>
        </w:tc>
        <w:tc>
          <w:tcPr>
            <w:tcW w:w="2042" w:type="dxa"/>
            <w:tcBorders>
              <w:top w:val="single" w:sz="4" w:space="0" w:color="auto"/>
              <w:bottom w:val="single" w:sz="4" w:space="0" w:color="auto"/>
            </w:tcBorders>
            <w:noWrap/>
            <w:vAlign w:val="center"/>
            <w:hideMark/>
          </w:tcPr>
          <w:p w14:paraId="4596778B"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BCRs</w:t>
            </w:r>
          </w:p>
        </w:tc>
        <w:tc>
          <w:tcPr>
            <w:tcW w:w="1319" w:type="dxa"/>
            <w:tcBorders>
              <w:top w:val="single" w:sz="4" w:space="0" w:color="auto"/>
              <w:bottom w:val="single" w:sz="4" w:space="0" w:color="auto"/>
            </w:tcBorders>
            <w:noWrap/>
            <w:vAlign w:val="center"/>
            <w:hideMark/>
          </w:tcPr>
          <w:p w14:paraId="3874EDD5" w14:textId="1B792CE6" w:rsidR="00BF1247" w:rsidRPr="00B24172" w:rsidRDefault="00BF1247" w:rsidP="00BF1247">
            <w:pPr>
              <w:autoSpaceDE w:val="0"/>
              <w:autoSpaceDN w:val="0"/>
              <w:adjustRightInd w:val="0"/>
              <w:spacing w:line="288" w:lineRule="auto"/>
              <w:jc w:val="center"/>
              <w:rPr>
                <w:lang w:eastAsia="zh-CN"/>
              </w:rPr>
            </w:pPr>
            <w:r w:rsidRPr="00B24172">
              <w:t xml:space="preserve"> 4.64 </w:t>
            </w:r>
          </w:p>
        </w:tc>
        <w:tc>
          <w:tcPr>
            <w:tcW w:w="1401" w:type="dxa"/>
            <w:tcBorders>
              <w:top w:val="single" w:sz="4" w:space="0" w:color="auto"/>
              <w:bottom w:val="single" w:sz="4" w:space="0" w:color="auto"/>
            </w:tcBorders>
            <w:noWrap/>
            <w:vAlign w:val="center"/>
            <w:hideMark/>
          </w:tcPr>
          <w:p w14:paraId="78D4D227" w14:textId="59FDEF60" w:rsidR="00BF1247" w:rsidRPr="00B24172" w:rsidRDefault="00BF1247" w:rsidP="00BF1247">
            <w:pPr>
              <w:autoSpaceDE w:val="0"/>
              <w:autoSpaceDN w:val="0"/>
              <w:adjustRightInd w:val="0"/>
              <w:spacing w:line="288" w:lineRule="auto"/>
              <w:jc w:val="center"/>
              <w:rPr>
                <w:lang w:eastAsia="zh-CN"/>
              </w:rPr>
            </w:pPr>
            <w:r w:rsidRPr="00B24172">
              <w:t xml:space="preserve"> 4.53 </w:t>
            </w:r>
          </w:p>
        </w:tc>
        <w:tc>
          <w:tcPr>
            <w:tcW w:w="1590" w:type="dxa"/>
            <w:tcBorders>
              <w:top w:val="single" w:sz="4" w:space="0" w:color="auto"/>
              <w:bottom w:val="single" w:sz="4" w:space="0" w:color="auto"/>
            </w:tcBorders>
            <w:noWrap/>
            <w:vAlign w:val="center"/>
            <w:hideMark/>
          </w:tcPr>
          <w:p w14:paraId="178F10D7" w14:textId="732A413E" w:rsidR="00BF1247" w:rsidRPr="00B24172" w:rsidRDefault="00BF1247" w:rsidP="00BF1247">
            <w:pPr>
              <w:autoSpaceDE w:val="0"/>
              <w:autoSpaceDN w:val="0"/>
              <w:adjustRightInd w:val="0"/>
              <w:spacing w:line="288" w:lineRule="auto"/>
              <w:jc w:val="center"/>
              <w:rPr>
                <w:lang w:eastAsia="zh-CN"/>
              </w:rPr>
            </w:pPr>
            <w:r w:rsidRPr="00B24172">
              <w:t xml:space="preserve"> 4.43 </w:t>
            </w:r>
          </w:p>
        </w:tc>
      </w:tr>
      <w:tr w:rsidR="00552696" w:rsidRPr="00B24172" w14:paraId="398A0059" w14:textId="77777777" w:rsidTr="00431D62">
        <w:trPr>
          <w:trHeight w:val="635"/>
        </w:trPr>
        <w:tc>
          <w:tcPr>
            <w:tcW w:w="2331" w:type="dxa"/>
            <w:vMerge/>
            <w:tcBorders>
              <w:bottom w:val="single" w:sz="4" w:space="0" w:color="auto"/>
            </w:tcBorders>
            <w:vAlign w:val="center"/>
            <w:hideMark/>
          </w:tcPr>
          <w:p w14:paraId="351DC1EC" w14:textId="77777777" w:rsidR="00DA6D30" w:rsidRPr="00B24172" w:rsidRDefault="00DA6D30" w:rsidP="00DA6D30">
            <w:pPr>
              <w:autoSpaceDE w:val="0"/>
              <w:autoSpaceDN w:val="0"/>
              <w:adjustRightInd w:val="0"/>
              <w:spacing w:line="288" w:lineRule="auto"/>
              <w:jc w:val="both"/>
              <w:rPr>
                <w:lang w:eastAsia="zh-CN"/>
              </w:rPr>
            </w:pPr>
          </w:p>
        </w:tc>
        <w:tc>
          <w:tcPr>
            <w:tcW w:w="2042" w:type="dxa"/>
            <w:tcBorders>
              <w:top w:val="single" w:sz="4" w:space="0" w:color="auto"/>
              <w:bottom w:val="single" w:sz="4" w:space="0" w:color="auto"/>
            </w:tcBorders>
            <w:noWrap/>
            <w:vAlign w:val="center"/>
            <w:hideMark/>
          </w:tcPr>
          <w:p w14:paraId="51A539E6" w14:textId="77777777" w:rsidR="00DA6D30" w:rsidRPr="00B24172" w:rsidRDefault="00DA6D30" w:rsidP="00DA6D30">
            <w:pPr>
              <w:autoSpaceDE w:val="0"/>
              <w:autoSpaceDN w:val="0"/>
              <w:adjustRightInd w:val="0"/>
              <w:spacing w:line="288" w:lineRule="auto"/>
              <w:jc w:val="both"/>
              <w:rPr>
                <w:lang w:eastAsia="zh-CN"/>
              </w:rPr>
            </w:pPr>
            <w:r w:rsidRPr="00B24172">
              <w:rPr>
                <w:lang w:eastAsia="zh-CN"/>
              </w:rPr>
              <w:t>NPV (PKR)</w:t>
            </w:r>
          </w:p>
        </w:tc>
        <w:tc>
          <w:tcPr>
            <w:tcW w:w="1319" w:type="dxa"/>
            <w:tcBorders>
              <w:top w:val="single" w:sz="4" w:space="0" w:color="auto"/>
              <w:bottom w:val="single" w:sz="4" w:space="0" w:color="auto"/>
            </w:tcBorders>
            <w:noWrap/>
            <w:vAlign w:val="center"/>
            <w:hideMark/>
          </w:tcPr>
          <w:p w14:paraId="4AAB0B1D" w14:textId="63EC6405" w:rsidR="00DA6D30" w:rsidRPr="00B24172" w:rsidRDefault="00DA6D30" w:rsidP="00DA6D30">
            <w:pPr>
              <w:autoSpaceDE w:val="0"/>
              <w:autoSpaceDN w:val="0"/>
              <w:adjustRightInd w:val="0"/>
              <w:spacing w:line="288" w:lineRule="auto"/>
              <w:jc w:val="center"/>
              <w:rPr>
                <w:lang w:eastAsia="zh-CN"/>
              </w:rPr>
            </w:pPr>
            <w:r w:rsidRPr="00B24172">
              <w:t xml:space="preserve"> 3</w:t>
            </w:r>
            <w:r w:rsidR="00185A52" w:rsidRPr="00B24172">
              <w:t>38,161</w:t>
            </w:r>
            <w:r w:rsidRPr="00B24172">
              <w:t xml:space="preserve"> </w:t>
            </w:r>
          </w:p>
        </w:tc>
        <w:tc>
          <w:tcPr>
            <w:tcW w:w="1401" w:type="dxa"/>
            <w:tcBorders>
              <w:top w:val="single" w:sz="4" w:space="0" w:color="auto"/>
              <w:bottom w:val="single" w:sz="4" w:space="0" w:color="auto"/>
            </w:tcBorders>
            <w:noWrap/>
            <w:vAlign w:val="center"/>
            <w:hideMark/>
          </w:tcPr>
          <w:p w14:paraId="1ED63A38" w14:textId="7BE2CCB0" w:rsidR="00DA6D30" w:rsidRPr="00B24172" w:rsidRDefault="00185A52" w:rsidP="00DA6D30">
            <w:pPr>
              <w:autoSpaceDE w:val="0"/>
              <w:autoSpaceDN w:val="0"/>
              <w:adjustRightInd w:val="0"/>
              <w:spacing w:line="288" w:lineRule="auto"/>
              <w:jc w:val="center"/>
              <w:rPr>
                <w:lang w:eastAsia="zh-CN"/>
              </w:rPr>
            </w:pPr>
            <w:r w:rsidRPr="00B24172">
              <w:t>232,632</w:t>
            </w:r>
          </w:p>
        </w:tc>
        <w:tc>
          <w:tcPr>
            <w:tcW w:w="1590" w:type="dxa"/>
            <w:tcBorders>
              <w:top w:val="single" w:sz="4" w:space="0" w:color="auto"/>
              <w:bottom w:val="single" w:sz="4" w:space="0" w:color="auto"/>
            </w:tcBorders>
            <w:noWrap/>
            <w:vAlign w:val="center"/>
            <w:hideMark/>
          </w:tcPr>
          <w:p w14:paraId="1B84324A" w14:textId="50C6C9BC" w:rsidR="00DA6D30" w:rsidRPr="00B24172" w:rsidRDefault="00185A52" w:rsidP="00DA6D30">
            <w:pPr>
              <w:autoSpaceDE w:val="0"/>
              <w:autoSpaceDN w:val="0"/>
              <w:adjustRightInd w:val="0"/>
              <w:spacing w:line="288" w:lineRule="auto"/>
              <w:jc w:val="center"/>
              <w:rPr>
                <w:lang w:eastAsia="zh-CN"/>
              </w:rPr>
            </w:pPr>
            <w:r w:rsidRPr="00B24172">
              <w:t>170,476</w:t>
            </w:r>
          </w:p>
        </w:tc>
      </w:tr>
      <w:tr w:rsidR="00552696" w:rsidRPr="00B24172" w14:paraId="33ACE667" w14:textId="77777777" w:rsidTr="00431D62">
        <w:trPr>
          <w:trHeight w:val="507"/>
        </w:trPr>
        <w:tc>
          <w:tcPr>
            <w:tcW w:w="2331" w:type="dxa"/>
            <w:vMerge w:val="restart"/>
            <w:tcBorders>
              <w:top w:val="single" w:sz="4" w:space="0" w:color="auto"/>
            </w:tcBorders>
            <w:noWrap/>
            <w:vAlign w:val="center"/>
            <w:hideMark/>
          </w:tcPr>
          <w:p w14:paraId="015F2C8A" w14:textId="77777777" w:rsidR="00BF1247" w:rsidRPr="00B24172" w:rsidRDefault="00BF1247" w:rsidP="00BF1247">
            <w:pPr>
              <w:autoSpaceDE w:val="0"/>
              <w:autoSpaceDN w:val="0"/>
              <w:adjustRightInd w:val="0"/>
              <w:spacing w:line="288" w:lineRule="auto"/>
              <w:jc w:val="both"/>
              <w:rPr>
                <w:lang w:eastAsia="zh-CN"/>
              </w:rPr>
            </w:pPr>
          </w:p>
          <w:p w14:paraId="3B3C573E"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Natural Gas</w:t>
            </w:r>
          </w:p>
        </w:tc>
        <w:tc>
          <w:tcPr>
            <w:tcW w:w="2042" w:type="dxa"/>
            <w:tcBorders>
              <w:top w:val="single" w:sz="4" w:space="0" w:color="auto"/>
              <w:bottom w:val="single" w:sz="4" w:space="0" w:color="auto"/>
            </w:tcBorders>
            <w:noWrap/>
            <w:vAlign w:val="center"/>
            <w:hideMark/>
          </w:tcPr>
          <w:p w14:paraId="14EBA657"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BCRs</w:t>
            </w:r>
          </w:p>
        </w:tc>
        <w:tc>
          <w:tcPr>
            <w:tcW w:w="1319" w:type="dxa"/>
            <w:tcBorders>
              <w:top w:val="single" w:sz="4" w:space="0" w:color="auto"/>
              <w:bottom w:val="single" w:sz="4" w:space="0" w:color="auto"/>
            </w:tcBorders>
            <w:noWrap/>
            <w:vAlign w:val="center"/>
            <w:hideMark/>
          </w:tcPr>
          <w:p w14:paraId="2F591B1E" w14:textId="41B70F8B" w:rsidR="00BF1247" w:rsidRPr="00B24172" w:rsidRDefault="00BF1247" w:rsidP="00BF1247">
            <w:pPr>
              <w:autoSpaceDE w:val="0"/>
              <w:autoSpaceDN w:val="0"/>
              <w:adjustRightInd w:val="0"/>
              <w:spacing w:line="288" w:lineRule="auto"/>
              <w:jc w:val="center"/>
              <w:rPr>
                <w:lang w:eastAsia="zh-CN"/>
              </w:rPr>
            </w:pPr>
            <w:r w:rsidRPr="00B24172">
              <w:t xml:space="preserve"> 4.64 </w:t>
            </w:r>
          </w:p>
        </w:tc>
        <w:tc>
          <w:tcPr>
            <w:tcW w:w="1401" w:type="dxa"/>
            <w:tcBorders>
              <w:top w:val="single" w:sz="4" w:space="0" w:color="auto"/>
              <w:bottom w:val="single" w:sz="4" w:space="0" w:color="auto"/>
            </w:tcBorders>
            <w:noWrap/>
            <w:vAlign w:val="center"/>
            <w:hideMark/>
          </w:tcPr>
          <w:p w14:paraId="08721AA1" w14:textId="65201B9D" w:rsidR="00BF1247" w:rsidRPr="00B24172" w:rsidRDefault="00BF1247" w:rsidP="00BF1247">
            <w:pPr>
              <w:autoSpaceDE w:val="0"/>
              <w:autoSpaceDN w:val="0"/>
              <w:adjustRightInd w:val="0"/>
              <w:spacing w:line="288" w:lineRule="auto"/>
              <w:jc w:val="center"/>
              <w:rPr>
                <w:lang w:eastAsia="zh-CN"/>
              </w:rPr>
            </w:pPr>
            <w:r w:rsidRPr="00B24172">
              <w:t xml:space="preserve"> 4.46 </w:t>
            </w:r>
          </w:p>
        </w:tc>
        <w:tc>
          <w:tcPr>
            <w:tcW w:w="1590" w:type="dxa"/>
            <w:tcBorders>
              <w:top w:val="single" w:sz="4" w:space="0" w:color="auto"/>
              <w:bottom w:val="single" w:sz="4" w:space="0" w:color="auto"/>
            </w:tcBorders>
            <w:noWrap/>
            <w:vAlign w:val="center"/>
            <w:hideMark/>
          </w:tcPr>
          <w:p w14:paraId="1C7445F7" w14:textId="1D0B9313" w:rsidR="00BF1247" w:rsidRPr="00B24172" w:rsidRDefault="00BF1247" w:rsidP="00BF1247">
            <w:pPr>
              <w:autoSpaceDE w:val="0"/>
              <w:autoSpaceDN w:val="0"/>
              <w:adjustRightInd w:val="0"/>
              <w:spacing w:line="288" w:lineRule="auto"/>
              <w:jc w:val="center"/>
              <w:rPr>
                <w:lang w:eastAsia="zh-CN"/>
              </w:rPr>
            </w:pPr>
            <w:r w:rsidRPr="00B24172">
              <w:t xml:space="preserve"> 4.30 </w:t>
            </w:r>
          </w:p>
        </w:tc>
      </w:tr>
      <w:tr w:rsidR="00552696" w:rsidRPr="00B24172" w14:paraId="09D78D90" w14:textId="77777777" w:rsidTr="00431D62">
        <w:trPr>
          <w:trHeight w:val="507"/>
        </w:trPr>
        <w:tc>
          <w:tcPr>
            <w:tcW w:w="2331" w:type="dxa"/>
            <w:vMerge/>
            <w:tcBorders>
              <w:bottom w:val="single" w:sz="4" w:space="0" w:color="auto"/>
            </w:tcBorders>
            <w:vAlign w:val="center"/>
            <w:hideMark/>
          </w:tcPr>
          <w:p w14:paraId="0B0FD6D0" w14:textId="77777777" w:rsidR="00DA6D30" w:rsidRPr="00B24172" w:rsidRDefault="00DA6D30" w:rsidP="00DA6D30">
            <w:pPr>
              <w:autoSpaceDE w:val="0"/>
              <w:autoSpaceDN w:val="0"/>
              <w:adjustRightInd w:val="0"/>
              <w:spacing w:line="288" w:lineRule="auto"/>
              <w:jc w:val="both"/>
              <w:rPr>
                <w:lang w:eastAsia="zh-CN"/>
              </w:rPr>
            </w:pPr>
          </w:p>
        </w:tc>
        <w:tc>
          <w:tcPr>
            <w:tcW w:w="2042" w:type="dxa"/>
            <w:tcBorders>
              <w:top w:val="single" w:sz="4" w:space="0" w:color="auto"/>
              <w:bottom w:val="single" w:sz="4" w:space="0" w:color="auto"/>
            </w:tcBorders>
            <w:noWrap/>
            <w:vAlign w:val="center"/>
            <w:hideMark/>
          </w:tcPr>
          <w:p w14:paraId="79B0916C" w14:textId="77777777" w:rsidR="00DA6D30" w:rsidRPr="00B24172" w:rsidRDefault="00DA6D30" w:rsidP="00DA6D30">
            <w:pPr>
              <w:autoSpaceDE w:val="0"/>
              <w:autoSpaceDN w:val="0"/>
              <w:adjustRightInd w:val="0"/>
              <w:spacing w:line="288" w:lineRule="auto"/>
              <w:jc w:val="both"/>
              <w:rPr>
                <w:lang w:eastAsia="zh-CN"/>
              </w:rPr>
            </w:pPr>
            <w:r w:rsidRPr="00B24172">
              <w:rPr>
                <w:lang w:eastAsia="zh-CN"/>
              </w:rPr>
              <w:t>NPV (PKR)</w:t>
            </w:r>
          </w:p>
        </w:tc>
        <w:tc>
          <w:tcPr>
            <w:tcW w:w="1319" w:type="dxa"/>
            <w:tcBorders>
              <w:top w:val="single" w:sz="4" w:space="0" w:color="auto"/>
              <w:bottom w:val="single" w:sz="4" w:space="0" w:color="auto"/>
            </w:tcBorders>
            <w:noWrap/>
            <w:vAlign w:val="center"/>
            <w:hideMark/>
          </w:tcPr>
          <w:p w14:paraId="05C7CE5B" w14:textId="1773034B" w:rsidR="00DA6D30" w:rsidRPr="00B24172" w:rsidRDefault="00DA6D30" w:rsidP="00DA6D30">
            <w:pPr>
              <w:autoSpaceDE w:val="0"/>
              <w:autoSpaceDN w:val="0"/>
              <w:adjustRightInd w:val="0"/>
              <w:spacing w:line="288" w:lineRule="auto"/>
              <w:jc w:val="center"/>
              <w:rPr>
                <w:lang w:eastAsia="zh-CN"/>
              </w:rPr>
            </w:pPr>
            <w:r w:rsidRPr="00B24172">
              <w:t xml:space="preserve"> 33</w:t>
            </w:r>
            <w:r w:rsidR="00185A52" w:rsidRPr="00B24172">
              <w:t>6</w:t>
            </w:r>
            <w:r w:rsidRPr="00B24172">
              <w:t>,</w:t>
            </w:r>
            <w:r w:rsidR="00185A52" w:rsidRPr="00B24172">
              <w:t>912</w:t>
            </w:r>
            <w:r w:rsidRPr="00B24172">
              <w:t xml:space="preserve"> </w:t>
            </w:r>
          </w:p>
        </w:tc>
        <w:tc>
          <w:tcPr>
            <w:tcW w:w="1401" w:type="dxa"/>
            <w:tcBorders>
              <w:top w:val="single" w:sz="4" w:space="0" w:color="auto"/>
              <w:bottom w:val="single" w:sz="4" w:space="0" w:color="auto"/>
            </w:tcBorders>
            <w:noWrap/>
            <w:vAlign w:val="center"/>
            <w:hideMark/>
          </w:tcPr>
          <w:p w14:paraId="5D441EBF" w14:textId="7329DA59" w:rsidR="00DA6D30" w:rsidRPr="00B24172" w:rsidRDefault="00185A52" w:rsidP="00DA6D30">
            <w:pPr>
              <w:autoSpaceDE w:val="0"/>
              <w:autoSpaceDN w:val="0"/>
              <w:adjustRightInd w:val="0"/>
              <w:spacing w:line="288" w:lineRule="auto"/>
              <w:jc w:val="center"/>
              <w:rPr>
                <w:lang w:eastAsia="zh-CN"/>
              </w:rPr>
            </w:pPr>
            <w:r w:rsidRPr="00B24172">
              <w:t>229,102</w:t>
            </w:r>
          </w:p>
        </w:tc>
        <w:tc>
          <w:tcPr>
            <w:tcW w:w="1590" w:type="dxa"/>
            <w:tcBorders>
              <w:top w:val="single" w:sz="4" w:space="0" w:color="auto"/>
              <w:bottom w:val="single" w:sz="4" w:space="0" w:color="auto"/>
            </w:tcBorders>
            <w:noWrap/>
            <w:vAlign w:val="center"/>
            <w:hideMark/>
          </w:tcPr>
          <w:p w14:paraId="195C6D3D" w14:textId="6C9A2356" w:rsidR="00DA6D30" w:rsidRPr="00B24172" w:rsidRDefault="00185A52" w:rsidP="00DA6D30">
            <w:pPr>
              <w:autoSpaceDE w:val="0"/>
              <w:autoSpaceDN w:val="0"/>
              <w:adjustRightInd w:val="0"/>
              <w:spacing w:line="288" w:lineRule="auto"/>
              <w:jc w:val="center"/>
              <w:rPr>
                <w:lang w:eastAsia="zh-CN"/>
              </w:rPr>
            </w:pPr>
            <w:r w:rsidRPr="00B24172">
              <w:t>165,603</w:t>
            </w:r>
          </w:p>
        </w:tc>
      </w:tr>
      <w:tr w:rsidR="00552696" w:rsidRPr="00B24172" w14:paraId="359D98CD" w14:textId="77777777" w:rsidTr="00431D62">
        <w:trPr>
          <w:trHeight w:val="507"/>
        </w:trPr>
        <w:tc>
          <w:tcPr>
            <w:tcW w:w="2331" w:type="dxa"/>
            <w:vMerge w:val="restart"/>
            <w:tcBorders>
              <w:top w:val="single" w:sz="4" w:space="0" w:color="auto"/>
            </w:tcBorders>
            <w:noWrap/>
            <w:vAlign w:val="center"/>
            <w:hideMark/>
          </w:tcPr>
          <w:p w14:paraId="3FED6C7B" w14:textId="77777777" w:rsidR="00BF1247" w:rsidRPr="00B24172" w:rsidRDefault="00BF1247" w:rsidP="00BF1247">
            <w:pPr>
              <w:autoSpaceDE w:val="0"/>
              <w:autoSpaceDN w:val="0"/>
              <w:adjustRightInd w:val="0"/>
              <w:spacing w:line="288" w:lineRule="auto"/>
              <w:jc w:val="both"/>
              <w:rPr>
                <w:lang w:eastAsia="zh-CN"/>
              </w:rPr>
            </w:pPr>
          </w:p>
          <w:p w14:paraId="12678187"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Electric Stove</w:t>
            </w:r>
          </w:p>
        </w:tc>
        <w:tc>
          <w:tcPr>
            <w:tcW w:w="2042" w:type="dxa"/>
            <w:tcBorders>
              <w:top w:val="single" w:sz="4" w:space="0" w:color="auto"/>
              <w:bottom w:val="single" w:sz="4" w:space="0" w:color="auto"/>
            </w:tcBorders>
            <w:noWrap/>
            <w:vAlign w:val="center"/>
            <w:hideMark/>
          </w:tcPr>
          <w:p w14:paraId="27E0DF87"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BCRs</w:t>
            </w:r>
          </w:p>
        </w:tc>
        <w:tc>
          <w:tcPr>
            <w:tcW w:w="1319" w:type="dxa"/>
            <w:tcBorders>
              <w:top w:val="single" w:sz="4" w:space="0" w:color="auto"/>
              <w:bottom w:val="single" w:sz="4" w:space="0" w:color="auto"/>
            </w:tcBorders>
            <w:noWrap/>
            <w:vAlign w:val="center"/>
            <w:hideMark/>
          </w:tcPr>
          <w:p w14:paraId="78EBFC75" w14:textId="7C2657F9" w:rsidR="00BF1247" w:rsidRPr="00B24172" w:rsidRDefault="00BF1247" w:rsidP="00BF1247">
            <w:pPr>
              <w:autoSpaceDE w:val="0"/>
              <w:autoSpaceDN w:val="0"/>
              <w:adjustRightInd w:val="0"/>
              <w:spacing w:line="288" w:lineRule="auto"/>
              <w:jc w:val="center"/>
              <w:rPr>
                <w:lang w:eastAsia="zh-CN"/>
              </w:rPr>
            </w:pPr>
            <w:r w:rsidRPr="00B24172">
              <w:t xml:space="preserve"> 3.07 </w:t>
            </w:r>
          </w:p>
        </w:tc>
        <w:tc>
          <w:tcPr>
            <w:tcW w:w="1401" w:type="dxa"/>
            <w:tcBorders>
              <w:top w:val="single" w:sz="4" w:space="0" w:color="auto"/>
              <w:bottom w:val="single" w:sz="4" w:space="0" w:color="auto"/>
            </w:tcBorders>
            <w:noWrap/>
            <w:vAlign w:val="center"/>
            <w:hideMark/>
          </w:tcPr>
          <w:p w14:paraId="1040FA1C" w14:textId="22BFC575" w:rsidR="00BF1247" w:rsidRPr="00B24172" w:rsidRDefault="00BF1247" w:rsidP="00BF1247">
            <w:pPr>
              <w:autoSpaceDE w:val="0"/>
              <w:autoSpaceDN w:val="0"/>
              <w:adjustRightInd w:val="0"/>
              <w:spacing w:line="288" w:lineRule="auto"/>
              <w:jc w:val="center"/>
              <w:rPr>
                <w:lang w:eastAsia="zh-CN"/>
              </w:rPr>
            </w:pPr>
            <w:r w:rsidRPr="00B24172">
              <w:t xml:space="preserve"> 2.95 </w:t>
            </w:r>
          </w:p>
        </w:tc>
        <w:tc>
          <w:tcPr>
            <w:tcW w:w="1590" w:type="dxa"/>
            <w:tcBorders>
              <w:top w:val="single" w:sz="4" w:space="0" w:color="auto"/>
              <w:bottom w:val="single" w:sz="4" w:space="0" w:color="auto"/>
            </w:tcBorders>
            <w:noWrap/>
            <w:vAlign w:val="center"/>
            <w:hideMark/>
          </w:tcPr>
          <w:p w14:paraId="27C7C357" w14:textId="49B62D92" w:rsidR="00BF1247" w:rsidRPr="00B24172" w:rsidRDefault="00BF1247" w:rsidP="00BF1247">
            <w:pPr>
              <w:autoSpaceDE w:val="0"/>
              <w:autoSpaceDN w:val="0"/>
              <w:adjustRightInd w:val="0"/>
              <w:spacing w:line="288" w:lineRule="auto"/>
              <w:jc w:val="center"/>
              <w:rPr>
                <w:lang w:eastAsia="zh-CN"/>
              </w:rPr>
            </w:pPr>
            <w:r w:rsidRPr="00B24172">
              <w:t xml:space="preserve"> 2.83 </w:t>
            </w:r>
          </w:p>
        </w:tc>
      </w:tr>
      <w:tr w:rsidR="00552696" w:rsidRPr="00B24172" w14:paraId="658BD81A" w14:textId="77777777" w:rsidTr="00431D62">
        <w:trPr>
          <w:trHeight w:val="507"/>
        </w:trPr>
        <w:tc>
          <w:tcPr>
            <w:tcW w:w="2331" w:type="dxa"/>
            <w:vMerge/>
            <w:tcBorders>
              <w:bottom w:val="single" w:sz="4" w:space="0" w:color="auto"/>
            </w:tcBorders>
            <w:vAlign w:val="center"/>
            <w:hideMark/>
          </w:tcPr>
          <w:p w14:paraId="79FBD326" w14:textId="77777777" w:rsidR="00DA6D30" w:rsidRPr="00B24172" w:rsidRDefault="00DA6D30" w:rsidP="00DA6D30">
            <w:pPr>
              <w:autoSpaceDE w:val="0"/>
              <w:autoSpaceDN w:val="0"/>
              <w:adjustRightInd w:val="0"/>
              <w:spacing w:line="288" w:lineRule="auto"/>
              <w:jc w:val="both"/>
              <w:rPr>
                <w:lang w:eastAsia="zh-CN"/>
              </w:rPr>
            </w:pPr>
          </w:p>
        </w:tc>
        <w:tc>
          <w:tcPr>
            <w:tcW w:w="2042" w:type="dxa"/>
            <w:tcBorders>
              <w:top w:val="single" w:sz="4" w:space="0" w:color="auto"/>
              <w:bottom w:val="single" w:sz="4" w:space="0" w:color="auto"/>
            </w:tcBorders>
            <w:noWrap/>
            <w:vAlign w:val="center"/>
            <w:hideMark/>
          </w:tcPr>
          <w:p w14:paraId="4CE06179" w14:textId="77777777" w:rsidR="00DA6D30" w:rsidRPr="00B24172" w:rsidRDefault="00DA6D30" w:rsidP="00DA6D30">
            <w:pPr>
              <w:autoSpaceDE w:val="0"/>
              <w:autoSpaceDN w:val="0"/>
              <w:adjustRightInd w:val="0"/>
              <w:spacing w:line="288" w:lineRule="auto"/>
              <w:jc w:val="both"/>
              <w:rPr>
                <w:lang w:eastAsia="zh-CN"/>
              </w:rPr>
            </w:pPr>
            <w:r w:rsidRPr="00B24172">
              <w:rPr>
                <w:lang w:eastAsia="zh-CN"/>
              </w:rPr>
              <w:t>NPV (PKR)</w:t>
            </w:r>
          </w:p>
        </w:tc>
        <w:tc>
          <w:tcPr>
            <w:tcW w:w="1319" w:type="dxa"/>
            <w:tcBorders>
              <w:top w:val="single" w:sz="4" w:space="0" w:color="auto"/>
              <w:bottom w:val="single" w:sz="4" w:space="0" w:color="auto"/>
            </w:tcBorders>
            <w:noWrap/>
            <w:vAlign w:val="center"/>
            <w:hideMark/>
          </w:tcPr>
          <w:p w14:paraId="570844C9" w14:textId="7D51E050" w:rsidR="00DA6D30" w:rsidRPr="00B24172" w:rsidRDefault="00DA6D30" w:rsidP="00DA6D30">
            <w:pPr>
              <w:autoSpaceDE w:val="0"/>
              <w:autoSpaceDN w:val="0"/>
              <w:adjustRightInd w:val="0"/>
              <w:spacing w:line="288" w:lineRule="auto"/>
              <w:jc w:val="center"/>
              <w:rPr>
                <w:lang w:eastAsia="zh-CN"/>
              </w:rPr>
            </w:pPr>
            <w:r w:rsidRPr="00B24172">
              <w:t xml:space="preserve"> 287,290 </w:t>
            </w:r>
          </w:p>
        </w:tc>
        <w:tc>
          <w:tcPr>
            <w:tcW w:w="1401" w:type="dxa"/>
            <w:tcBorders>
              <w:top w:val="single" w:sz="4" w:space="0" w:color="auto"/>
              <w:bottom w:val="single" w:sz="4" w:space="0" w:color="auto"/>
            </w:tcBorders>
            <w:noWrap/>
            <w:vAlign w:val="center"/>
            <w:hideMark/>
          </w:tcPr>
          <w:p w14:paraId="7343A716" w14:textId="1CD29486" w:rsidR="00DA6D30" w:rsidRPr="00B24172" w:rsidRDefault="00DA6D30" w:rsidP="00DA6D30">
            <w:pPr>
              <w:autoSpaceDE w:val="0"/>
              <w:autoSpaceDN w:val="0"/>
              <w:adjustRightInd w:val="0"/>
              <w:spacing w:line="288" w:lineRule="auto"/>
              <w:jc w:val="center"/>
              <w:rPr>
                <w:lang w:eastAsia="zh-CN"/>
              </w:rPr>
            </w:pPr>
            <w:r w:rsidRPr="00B24172">
              <w:t xml:space="preserve"> 190,419 </w:t>
            </w:r>
          </w:p>
        </w:tc>
        <w:tc>
          <w:tcPr>
            <w:tcW w:w="1590" w:type="dxa"/>
            <w:tcBorders>
              <w:top w:val="single" w:sz="4" w:space="0" w:color="auto"/>
              <w:bottom w:val="single" w:sz="4" w:space="0" w:color="auto"/>
            </w:tcBorders>
            <w:noWrap/>
            <w:vAlign w:val="center"/>
            <w:hideMark/>
          </w:tcPr>
          <w:p w14:paraId="056DEF8E" w14:textId="5A98B16E" w:rsidR="00DA6D30" w:rsidRPr="00B24172" w:rsidRDefault="00DA6D30" w:rsidP="00DA6D30">
            <w:pPr>
              <w:autoSpaceDE w:val="0"/>
              <w:autoSpaceDN w:val="0"/>
              <w:adjustRightInd w:val="0"/>
              <w:spacing w:line="288" w:lineRule="auto"/>
              <w:jc w:val="center"/>
              <w:rPr>
                <w:lang w:eastAsia="zh-CN"/>
              </w:rPr>
            </w:pPr>
            <w:r w:rsidRPr="00B24172">
              <w:t xml:space="preserve"> 133,363 </w:t>
            </w:r>
          </w:p>
        </w:tc>
      </w:tr>
      <w:tr w:rsidR="00552696" w:rsidRPr="00B24172" w14:paraId="67A6236E" w14:textId="77777777" w:rsidTr="00431D62">
        <w:trPr>
          <w:trHeight w:val="507"/>
        </w:trPr>
        <w:tc>
          <w:tcPr>
            <w:tcW w:w="2331" w:type="dxa"/>
            <w:vMerge w:val="restart"/>
            <w:tcBorders>
              <w:top w:val="single" w:sz="4" w:space="0" w:color="auto"/>
            </w:tcBorders>
            <w:noWrap/>
            <w:vAlign w:val="center"/>
            <w:hideMark/>
          </w:tcPr>
          <w:p w14:paraId="5E9EAE40" w14:textId="77777777" w:rsidR="00BF1247" w:rsidRPr="00B24172" w:rsidRDefault="00BF1247" w:rsidP="00BF1247">
            <w:pPr>
              <w:autoSpaceDE w:val="0"/>
              <w:autoSpaceDN w:val="0"/>
              <w:adjustRightInd w:val="0"/>
              <w:spacing w:line="288" w:lineRule="auto"/>
              <w:jc w:val="both"/>
              <w:rPr>
                <w:lang w:eastAsia="zh-CN"/>
              </w:rPr>
            </w:pPr>
          </w:p>
          <w:p w14:paraId="088FACB6"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ICS</w:t>
            </w:r>
          </w:p>
        </w:tc>
        <w:tc>
          <w:tcPr>
            <w:tcW w:w="2042" w:type="dxa"/>
            <w:tcBorders>
              <w:top w:val="single" w:sz="4" w:space="0" w:color="auto"/>
              <w:bottom w:val="single" w:sz="4" w:space="0" w:color="auto"/>
            </w:tcBorders>
            <w:noWrap/>
            <w:vAlign w:val="center"/>
            <w:hideMark/>
          </w:tcPr>
          <w:p w14:paraId="0AE18555" w14:textId="77777777" w:rsidR="00BF1247" w:rsidRPr="00B24172" w:rsidRDefault="00BF1247" w:rsidP="00BF1247">
            <w:pPr>
              <w:autoSpaceDE w:val="0"/>
              <w:autoSpaceDN w:val="0"/>
              <w:adjustRightInd w:val="0"/>
              <w:spacing w:line="288" w:lineRule="auto"/>
              <w:jc w:val="both"/>
              <w:rPr>
                <w:lang w:eastAsia="zh-CN"/>
              </w:rPr>
            </w:pPr>
            <w:r w:rsidRPr="00B24172">
              <w:rPr>
                <w:lang w:eastAsia="zh-CN"/>
              </w:rPr>
              <w:t>BCRs</w:t>
            </w:r>
          </w:p>
        </w:tc>
        <w:tc>
          <w:tcPr>
            <w:tcW w:w="1319" w:type="dxa"/>
            <w:tcBorders>
              <w:top w:val="single" w:sz="4" w:space="0" w:color="auto"/>
              <w:bottom w:val="single" w:sz="4" w:space="0" w:color="auto"/>
            </w:tcBorders>
            <w:noWrap/>
            <w:vAlign w:val="center"/>
            <w:hideMark/>
          </w:tcPr>
          <w:p w14:paraId="08C4BEBC" w14:textId="5D481E5A" w:rsidR="00BF1247" w:rsidRPr="00B24172" w:rsidRDefault="00BF1247" w:rsidP="00BF1247">
            <w:pPr>
              <w:autoSpaceDE w:val="0"/>
              <w:autoSpaceDN w:val="0"/>
              <w:adjustRightInd w:val="0"/>
              <w:spacing w:line="288" w:lineRule="auto"/>
              <w:jc w:val="center"/>
              <w:rPr>
                <w:lang w:eastAsia="zh-CN"/>
              </w:rPr>
            </w:pPr>
            <w:r w:rsidRPr="00B24172">
              <w:t xml:space="preserve"> 0.38 </w:t>
            </w:r>
          </w:p>
        </w:tc>
        <w:tc>
          <w:tcPr>
            <w:tcW w:w="1401" w:type="dxa"/>
            <w:tcBorders>
              <w:top w:val="single" w:sz="4" w:space="0" w:color="auto"/>
              <w:bottom w:val="single" w:sz="4" w:space="0" w:color="auto"/>
            </w:tcBorders>
            <w:noWrap/>
            <w:vAlign w:val="center"/>
            <w:hideMark/>
          </w:tcPr>
          <w:p w14:paraId="7ED5F641" w14:textId="3B83D6B3" w:rsidR="00BF1247" w:rsidRPr="00B24172" w:rsidRDefault="00BF1247" w:rsidP="00BF1247">
            <w:pPr>
              <w:autoSpaceDE w:val="0"/>
              <w:autoSpaceDN w:val="0"/>
              <w:adjustRightInd w:val="0"/>
              <w:spacing w:line="288" w:lineRule="auto"/>
              <w:jc w:val="center"/>
              <w:rPr>
                <w:lang w:eastAsia="zh-CN"/>
              </w:rPr>
            </w:pPr>
            <w:r w:rsidRPr="00B24172">
              <w:t xml:space="preserve"> 0.38 </w:t>
            </w:r>
          </w:p>
        </w:tc>
        <w:tc>
          <w:tcPr>
            <w:tcW w:w="1590" w:type="dxa"/>
            <w:tcBorders>
              <w:top w:val="single" w:sz="4" w:space="0" w:color="auto"/>
              <w:bottom w:val="single" w:sz="4" w:space="0" w:color="auto"/>
            </w:tcBorders>
            <w:noWrap/>
            <w:vAlign w:val="center"/>
            <w:hideMark/>
          </w:tcPr>
          <w:p w14:paraId="71551226" w14:textId="14252965" w:rsidR="00BF1247" w:rsidRPr="00B24172" w:rsidRDefault="00BF1247" w:rsidP="00BF1247">
            <w:pPr>
              <w:autoSpaceDE w:val="0"/>
              <w:autoSpaceDN w:val="0"/>
              <w:adjustRightInd w:val="0"/>
              <w:spacing w:line="288" w:lineRule="auto"/>
              <w:jc w:val="center"/>
              <w:rPr>
                <w:lang w:eastAsia="zh-CN"/>
              </w:rPr>
            </w:pPr>
            <w:r w:rsidRPr="00B24172">
              <w:t xml:space="preserve"> 0.38 </w:t>
            </w:r>
          </w:p>
        </w:tc>
      </w:tr>
      <w:tr w:rsidR="00552696" w:rsidRPr="00B24172" w14:paraId="2B8C7EDB" w14:textId="77777777" w:rsidTr="00431D62">
        <w:trPr>
          <w:trHeight w:val="507"/>
        </w:trPr>
        <w:tc>
          <w:tcPr>
            <w:tcW w:w="2331" w:type="dxa"/>
            <w:vMerge/>
            <w:tcBorders>
              <w:bottom w:val="single" w:sz="4" w:space="0" w:color="auto"/>
            </w:tcBorders>
            <w:vAlign w:val="center"/>
            <w:hideMark/>
          </w:tcPr>
          <w:p w14:paraId="6BAA14E4" w14:textId="77777777" w:rsidR="004966F2" w:rsidRPr="00B24172" w:rsidRDefault="004966F2" w:rsidP="00E443DD">
            <w:pPr>
              <w:autoSpaceDE w:val="0"/>
              <w:autoSpaceDN w:val="0"/>
              <w:adjustRightInd w:val="0"/>
              <w:spacing w:line="288" w:lineRule="auto"/>
              <w:jc w:val="both"/>
              <w:rPr>
                <w:lang w:eastAsia="zh-CN"/>
              </w:rPr>
            </w:pPr>
          </w:p>
        </w:tc>
        <w:tc>
          <w:tcPr>
            <w:tcW w:w="2042" w:type="dxa"/>
            <w:tcBorders>
              <w:top w:val="single" w:sz="4" w:space="0" w:color="auto"/>
              <w:bottom w:val="single" w:sz="4" w:space="0" w:color="auto"/>
            </w:tcBorders>
            <w:noWrap/>
            <w:vAlign w:val="center"/>
            <w:hideMark/>
          </w:tcPr>
          <w:p w14:paraId="76F0582D" w14:textId="77777777" w:rsidR="004966F2" w:rsidRPr="00B24172" w:rsidRDefault="004966F2" w:rsidP="00E443DD">
            <w:pPr>
              <w:autoSpaceDE w:val="0"/>
              <w:autoSpaceDN w:val="0"/>
              <w:adjustRightInd w:val="0"/>
              <w:spacing w:line="288" w:lineRule="auto"/>
              <w:jc w:val="both"/>
              <w:rPr>
                <w:lang w:eastAsia="zh-CN"/>
              </w:rPr>
            </w:pPr>
            <w:r w:rsidRPr="00B24172">
              <w:rPr>
                <w:lang w:eastAsia="zh-CN"/>
              </w:rPr>
              <w:t>NPV (PKR)</w:t>
            </w:r>
          </w:p>
        </w:tc>
        <w:tc>
          <w:tcPr>
            <w:tcW w:w="1319" w:type="dxa"/>
            <w:tcBorders>
              <w:top w:val="single" w:sz="4" w:space="0" w:color="auto"/>
              <w:bottom w:val="single" w:sz="4" w:space="0" w:color="auto"/>
            </w:tcBorders>
            <w:noWrap/>
            <w:vAlign w:val="center"/>
            <w:hideMark/>
          </w:tcPr>
          <w:p w14:paraId="7D739F2B" w14:textId="77777777" w:rsidR="004966F2" w:rsidRPr="00B24172" w:rsidRDefault="004966F2" w:rsidP="00E443DD">
            <w:pPr>
              <w:autoSpaceDE w:val="0"/>
              <w:autoSpaceDN w:val="0"/>
              <w:adjustRightInd w:val="0"/>
              <w:spacing w:line="288" w:lineRule="auto"/>
              <w:jc w:val="center"/>
              <w:rPr>
                <w:lang w:eastAsia="zh-CN"/>
              </w:rPr>
            </w:pPr>
            <w:r w:rsidRPr="00B24172">
              <w:rPr>
                <w:lang w:eastAsia="zh-CN"/>
              </w:rPr>
              <w:t>Negative</w:t>
            </w:r>
          </w:p>
        </w:tc>
        <w:tc>
          <w:tcPr>
            <w:tcW w:w="1401" w:type="dxa"/>
            <w:tcBorders>
              <w:top w:val="single" w:sz="4" w:space="0" w:color="auto"/>
              <w:bottom w:val="single" w:sz="4" w:space="0" w:color="auto"/>
            </w:tcBorders>
            <w:noWrap/>
            <w:vAlign w:val="center"/>
            <w:hideMark/>
          </w:tcPr>
          <w:p w14:paraId="57AE3951" w14:textId="77777777" w:rsidR="004966F2" w:rsidRPr="00B24172" w:rsidRDefault="004966F2" w:rsidP="00E443DD">
            <w:pPr>
              <w:autoSpaceDE w:val="0"/>
              <w:autoSpaceDN w:val="0"/>
              <w:adjustRightInd w:val="0"/>
              <w:spacing w:line="288" w:lineRule="auto"/>
              <w:jc w:val="center"/>
              <w:rPr>
                <w:lang w:eastAsia="zh-CN"/>
              </w:rPr>
            </w:pPr>
            <w:r w:rsidRPr="00B24172">
              <w:rPr>
                <w:lang w:eastAsia="zh-CN"/>
              </w:rPr>
              <w:t>Negative</w:t>
            </w:r>
          </w:p>
        </w:tc>
        <w:tc>
          <w:tcPr>
            <w:tcW w:w="1590" w:type="dxa"/>
            <w:tcBorders>
              <w:top w:val="single" w:sz="4" w:space="0" w:color="auto"/>
              <w:bottom w:val="single" w:sz="4" w:space="0" w:color="auto"/>
            </w:tcBorders>
            <w:noWrap/>
            <w:vAlign w:val="center"/>
            <w:hideMark/>
          </w:tcPr>
          <w:p w14:paraId="51D9CCA4" w14:textId="77777777" w:rsidR="004966F2" w:rsidRPr="00B24172" w:rsidRDefault="004966F2" w:rsidP="00E443DD">
            <w:pPr>
              <w:autoSpaceDE w:val="0"/>
              <w:autoSpaceDN w:val="0"/>
              <w:adjustRightInd w:val="0"/>
              <w:spacing w:line="288" w:lineRule="auto"/>
              <w:jc w:val="center"/>
              <w:rPr>
                <w:lang w:eastAsia="zh-CN"/>
              </w:rPr>
            </w:pPr>
            <w:r w:rsidRPr="00B24172">
              <w:rPr>
                <w:lang w:eastAsia="zh-CN"/>
              </w:rPr>
              <w:t>Negative</w:t>
            </w:r>
          </w:p>
        </w:tc>
      </w:tr>
    </w:tbl>
    <w:p w14:paraId="284CEDAE" w14:textId="44EF4D68" w:rsidR="004966F2" w:rsidRPr="00B24172" w:rsidRDefault="004966F2" w:rsidP="004966F2">
      <w:pPr>
        <w:autoSpaceDE w:val="0"/>
        <w:autoSpaceDN w:val="0"/>
        <w:adjustRightInd w:val="0"/>
        <w:spacing w:line="288" w:lineRule="auto"/>
        <w:jc w:val="both"/>
        <w:rPr>
          <w:lang w:val="en-NZ" w:eastAsia="zh-CN"/>
        </w:rPr>
      </w:pPr>
      <w:r w:rsidRPr="00B24172">
        <w:rPr>
          <w:lang w:val="en-NZ" w:eastAsia="zh-CN"/>
        </w:rPr>
        <w:t>Notes: Authors’ calculations, USD</w:t>
      </w:r>
      <w:r w:rsidR="005C3769" w:rsidRPr="00B24172">
        <w:rPr>
          <w:lang w:val="en-NZ" w:eastAsia="zh-CN"/>
        </w:rPr>
        <w:t xml:space="preserve"> 1 = PKR100</w:t>
      </w:r>
      <w:r w:rsidRPr="00B24172">
        <w:rPr>
          <w:lang w:val="en-NZ" w:eastAsia="zh-CN"/>
        </w:rPr>
        <w:t xml:space="preserve"> (2014)</w:t>
      </w:r>
    </w:p>
    <w:p w14:paraId="31487A5C" w14:textId="448AE1DB" w:rsidR="004966F2" w:rsidRPr="00B24172" w:rsidRDefault="004966F2" w:rsidP="00BF2AB8">
      <w:pPr>
        <w:autoSpaceDE w:val="0"/>
        <w:autoSpaceDN w:val="0"/>
        <w:adjustRightInd w:val="0"/>
        <w:spacing w:line="288" w:lineRule="auto"/>
        <w:ind w:firstLine="720"/>
        <w:jc w:val="both"/>
        <w:rPr>
          <w:lang w:val="en-NZ" w:eastAsia="zh-CN"/>
        </w:rPr>
      </w:pPr>
    </w:p>
    <w:p w14:paraId="1B6C026C" w14:textId="62DDA408" w:rsidR="00E207CF" w:rsidRPr="00B24172" w:rsidRDefault="00E207CF" w:rsidP="009169AA">
      <w:pPr>
        <w:autoSpaceDE w:val="0"/>
        <w:autoSpaceDN w:val="0"/>
        <w:adjustRightInd w:val="0"/>
        <w:spacing w:line="288" w:lineRule="auto"/>
        <w:ind w:firstLine="720"/>
        <w:jc w:val="both"/>
        <w:rPr>
          <w:lang w:val="en-NZ" w:eastAsia="zh-CN"/>
        </w:rPr>
      </w:pPr>
      <w:r w:rsidRPr="00B24172">
        <w:rPr>
          <w:lang w:val="en-NZ" w:eastAsia="zh-CN"/>
        </w:rPr>
        <w:t>High uncertainty was anticipated due to many assumption</w:t>
      </w:r>
      <w:r w:rsidR="00AA5465" w:rsidRPr="00B24172">
        <w:rPr>
          <w:lang w:val="en-NZ" w:eastAsia="zh-CN"/>
        </w:rPr>
        <w:t>s</w:t>
      </w:r>
      <w:r w:rsidRPr="00B24172">
        <w:rPr>
          <w:lang w:val="en-NZ" w:eastAsia="zh-CN"/>
        </w:rPr>
        <w:t xml:space="preserve"> </w:t>
      </w:r>
      <w:r w:rsidR="00AA5465" w:rsidRPr="00B24172">
        <w:rPr>
          <w:lang w:val="en-NZ" w:eastAsia="zh-CN"/>
        </w:rPr>
        <w:t xml:space="preserve">used </w:t>
      </w:r>
      <w:r w:rsidRPr="00B24172">
        <w:rPr>
          <w:lang w:val="en-NZ" w:eastAsia="zh-CN"/>
        </w:rPr>
        <w:t>in the analysis</w:t>
      </w:r>
      <w:r w:rsidR="00AA5465" w:rsidRPr="00B24172">
        <w:rPr>
          <w:lang w:val="en-NZ" w:eastAsia="zh-CN"/>
        </w:rPr>
        <w:t>.</w:t>
      </w:r>
      <w:r w:rsidRPr="00B24172">
        <w:rPr>
          <w:lang w:val="en-NZ" w:eastAsia="zh-CN"/>
        </w:rPr>
        <w:t xml:space="preserve"> </w:t>
      </w:r>
      <w:r w:rsidR="00AA5465" w:rsidRPr="00B24172">
        <w:rPr>
          <w:lang w:val="en-NZ" w:eastAsia="zh-CN"/>
        </w:rPr>
        <w:t>T</w:t>
      </w:r>
      <w:r w:rsidRPr="00B24172">
        <w:rPr>
          <w:lang w:val="en-NZ" w:eastAsia="zh-CN"/>
        </w:rPr>
        <w:t xml:space="preserve">herefore, we </w:t>
      </w:r>
      <w:r w:rsidR="00AA5465" w:rsidRPr="00B24172">
        <w:rPr>
          <w:lang w:val="en-NZ" w:eastAsia="zh-CN"/>
        </w:rPr>
        <w:t>undertook</w:t>
      </w:r>
      <w:r w:rsidRPr="00B24172">
        <w:rPr>
          <w:lang w:val="en-NZ" w:eastAsia="zh-CN"/>
        </w:rPr>
        <w:t xml:space="preserve"> sensitivity analysis </w:t>
      </w:r>
      <w:r w:rsidR="00AA5465" w:rsidRPr="00B24172">
        <w:rPr>
          <w:lang w:val="en-NZ" w:eastAsia="zh-CN"/>
        </w:rPr>
        <w:t>as noted above</w:t>
      </w:r>
      <w:r w:rsidR="0097653E" w:rsidRPr="00B24172">
        <w:rPr>
          <w:lang w:val="en-NZ" w:eastAsia="zh-CN"/>
        </w:rPr>
        <w:t>. T</w:t>
      </w:r>
      <w:r w:rsidRPr="00B24172">
        <w:rPr>
          <w:lang w:val="en-NZ" w:eastAsia="zh-CN"/>
        </w:rPr>
        <w:t xml:space="preserve">he results are shown in </w:t>
      </w:r>
      <w:r w:rsidR="00AA5465" w:rsidRPr="00B24172">
        <w:rPr>
          <w:lang w:val="en-NZ" w:eastAsia="zh-CN"/>
        </w:rPr>
        <w:t>T</w:t>
      </w:r>
      <w:r w:rsidRPr="00B24172">
        <w:rPr>
          <w:lang w:val="en-NZ" w:eastAsia="zh-CN"/>
        </w:rPr>
        <w:t xml:space="preserve">able </w:t>
      </w:r>
      <w:r w:rsidR="00197C48" w:rsidRPr="00B24172">
        <w:rPr>
          <w:lang w:val="en-NZ" w:eastAsia="zh-CN"/>
        </w:rPr>
        <w:t>5</w:t>
      </w:r>
      <w:r w:rsidRPr="00B24172">
        <w:rPr>
          <w:lang w:val="en-NZ" w:eastAsia="zh-CN"/>
        </w:rPr>
        <w:t xml:space="preserve">. In </w:t>
      </w:r>
      <w:r w:rsidR="00AA5465" w:rsidRPr="00B24172">
        <w:rPr>
          <w:lang w:val="en-NZ" w:eastAsia="zh-CN"/>
        </w:rPr>
        <w:t xml:space="preserve">the </w:t>
      </w:r>
      <w:r w:rsidRPr="00B24172">
        <w:rPr>
          <w:lang w:val="en-NZ" w:eastAsia="zh-CN"/>
        </w:rPr>
        <w:t>pessimistic scenario</w:t>
      </w:r>
      <w:r w:rsidR="00AA5465" w:rsidRPr="00B24172">
        <w:rPr>
          <w:lang w:val="en-NZ" w:eastAsia="zh-CN"/>
        </w:rPr>
        <w:t>s</w:t>
      </w:r>
      <w:r w:rsidRPr="00B24172">
        <w:rPr>
          <w:lang w:val="en-NZ" w:eastAsia="zh-CN"/>
        </w:rPr>
        <w:t xml:space="preserve">, we added five </w:t>
      </w:r>
      <w:r w:rsidR="00AA5465" w:rsidRPr="00B24172">
        <w:rPr>
          <w:lang w:val="en-NZ" w:eastAsia="zh-CN"/>
        </w:rPr>
        <w:t xml:space="preserve">(or ten) </w:t>
      </w:r>
      <w:r w:rsidRPr="00B24172">
        <w:rPr>
          <w:lang w:val="en-NZ" w:eastAsia="zh-CN"/>
        </w:rPr>
        <w:t xml:space="preserve">percent </w:t>
      </w:r>
      <w:r w:rsidR="00AA5465" w:rsidRPr="00B24172">
        <w:rPr>
          <w:lang w:val="en-NZ" w:eastAsia="zh-CN"/>
        </w:rPr>
        <w:t xml:space="preserve">to </w:t>
      </w:r>
      <w:r w:rsidRPr="00B24172">
        <w:rPr>
          <w:lang w:val="en-NZ" w:eastAsia="zh-CN"/>
        </w:rPr>
        <w:t>cost</w:t>
      </w:r>
      <w:r w:rsidR="00AA5465" w:rsidRPr="00B24172">
        <w:rPr>
          <w:lang w:val="en-NZ" w:eastAsia="zh-CN"/>
        </w:rPr>
        <w:t>s</w:t>
      </w:r>
      <w:r w:rsidRPr="00B24172">
        <w:rPr>
          <w:lang w:val="en-NZ" w:eastAsia="zh-CN"/>
        </w:rPr>
        <w:t xml:space="preserve"> and deducted five </w:t>
      </w:r>
      <w:r w:rsidR="00AA5465" w:rsidRPr="00B24172">
        <w:rPr>
          <w:lang w:val="en-NZ" w:eastAsia="zh-CN"/>
        </w:rPr>
        <w:t xml:space="preserve">(or ten) </w:t>
      </w:r>
      <w:r w:rsidRPr="00B24172">
        <w:rPr>
          <w:lang w:val="en-NZ" w:eastAsia="zh-CN"/>
        </w:rPr>
        <w:t>percent of the benefits</w:t>
      </w:r>
      <w:r w:rsidR="004966F2" w:rsidRPr="00B24172">
        <w:rPr>
          <w:lang w:val="en-NZ" w:eastAsia="zh-CN"/>
        </w:rPr>
        <w:t xml:space="preserve"> at </w:t>
      </w:r>
      <w:r w:rsidR="009169AA" w:rsidRPr="00B24172">
        <w:rPr>
          <w:lang w:val="en-NZ" w:eastAsia="zh-CN"/>
        </w:rPr>
        <w:t xml:space="preserve">the </w:t>
      </w:r>
      <w:r w:rsidR="004966F2" w:rsidRPr="00B24172">
        <w:rPr>
          <w:lang w:val="en-NZ" w:eastAsia="zh-CN"/>
        </w:rPr>
        <w:t>discount rate 7.5%</w:t>
      </w:r>
      <w:r w:rsidRPr="00B24172">
        <w:rPr>
          <w:lang w:val="en-NZ" w:eastAsia="zh-CN"/>
        </w:rPr>
        <w:t xml:space="preserve">. Similarly, in </w:t>
      </w:r>
      <w:r w:rsidR="00AA5465" w:rsidRPr="00B24172">
        <w:rPr>
          <w:lang w:val="en-NZ" w:eastAsia="zh-CN"/>
        </w:rPr>
        <w:t xml:space="preserve">the </w:t>
      </w:r>
      <w:r w:rsidRPr="00B24172">
        <w:rPr>
          <w:lang w:val="en-NZ" w:eastAsia="zh-CN"/>
        </w:rPr>
        <w:t>optimistic scenario</w:t>
      </w:r>
      <w:r w:rsidR="00AA5465" w:rsidRPr="00B24172">
        <w:rPr>
          <w:lang w:val="en-NZ" w:eastAsia="zh-CN"/>
        </w:rPr>
        <w:t>s</w:t>
      </w:r>
      <w:r w:rsidRPr="00B24172">
        <w:rPr>
          <w:lang w:val="en-NZ" w:eastAsia="zh-CN"/>
        </w:rPr>
        <w:t xml:space="preserve"> we subtracted </w:t>
      </w:r>
      <w:r w:rsidR="00AA5465" w:rsidRPr="00B24172">
        <w:rPr>
          <w:lang w:val="en-NZ" w:eastAsia="zh-CN"/>
        </w:rPr>
        <w:t>five (or ten)</w:t>
      </w:r>
      <w:r w:rsidRPr="00B24172">
        <w:rPr>
          <w:lang w:val="en-NZ" w:eastAsia="zh-CN"/>
        </w:rPr>
        <w:t xml:space="preserve"> percent </w:t>
      </w:r>
      <w:r w:rsidR="00AA5465" w:rsidRPr="00B24172">
        <w:rPr>
          <w:lang w:val="en-NZ" w:eastAsia="zh-CN"/>
        </w:rPr>
        <w:t xml:space="preserve">of the </w:t>
      </w:r>
      <w:r w:rsidRPr="00B24172">
        <w:rPr>
          <w:lang w:val="en-NZ" w:eastAsia="zh-CN"/>
        </w:rPr>
        <w:t>cost</w:t>
      </w:r>
      <w:r w:rsidR="00AA5465" w:rsidRPr="00B24172">
        <w:rPr>
          <w:lang w:val="en-NZ" w:eastAsia="zh-CN"/>
        </w:rPr>
        <w:t>s</w:t>
      </w:r>
      <w:r w:rsidRPr="00B24172">
        <w:rPr>
          <w:lang w:val="en-NZ" w:eastAsia="zh-CN"/>
        </w:rPr>
        <w:t xml:space="preserve"> and added five</w:t>
      </w:r>
      <w:r w:rsidR="00AA5465" w:rsidRPr="00B24172">
        <w:rPr>
          <w:lang w:val="en-NZ" w:eastAsia="zh-CN"/>
        </w:rPr>
        <w:t xml:space="preserve"> (or ten)</w:t>
      </w:r>
      <w:r w:rsidRPr="00B24172">
        <w:rPr>
          <w:lang w:val="en-NZ" w:eastAsia="zh-CN"/>
        </w:rPr>
        <w:t xml:space="preserve"> percent </w:t>
      </w:r>
      <w:r w:rsidR="00AA5465" w:rsidRPr="00B24172">
        <w:rPr>
          <w:lang w:val="en-NZ" w:eastAsia="zh-CN"/>
        </w:rPr>
        <w:t xml:space="preserve">to the </w:t>
      </w:r>
      <w:r w:rsidRPr="00B24172">
        <w:rPr>
          <w:lang w:val="en-NZ" w:eastAsia="zh-CN"/>
        </w:rPr>
        <w:t>benefits</w:t>
      </w:r>
      <w:r w:rsidR="004966F2" w:rsidRPr="00B24172">
        <w:rPr>
          <w:lang w:val="en-NZ" w:eastAsia="zh-CN"/>
        </w:rPr>
        <w:t xml:space="preserve"> at </w:t>
      </w:r>
      <w:r w:rsidR="009169AA" w:rsidRPr="00B24172">
        <w:rPr>
          <w:lang w:val="en-NZ" w:eastAsia="zh-CN"/>
        </w:rPr>
        <w:t xml:space="preserve">the </w:t>
      </w:r>
      <w:r w:rsidR="004966F2" w:rsidRPr="00B24172">
        <w:rPr>
          <w:lang w:val="en-NZ" w:eastAsia="zh-CN"/>
        </w:rPr>
        <w:t>discount rate 7.5%</w:t>
      </w:r>
      <w:r w:rsidRPr="00B24172">
        <w:rPr>
          <w:lang w:val="en-NZ" w:eastAsia="zh-CN"/>
        </w:rPr>
        <w:t>. The results show</w:t>
      </w:r>
      <w:r w:rsidR="00AA5465" w:rsidRPr="00B24172">
        <w:rPr>
          <w:lang w:val="en-NZ" w:eastAsia="zh-CN"/>
        </w:rPr>
        <w:t xml:space="preserve"> that,</w:t>
      </w:r>
      <w:r w:rsidRPr="00B24172">
        <w:rPr>
          <w:lang w:val="en-NZ" w:eastAsia="zh-CN"/>
        </w:rPr>
        <w:t xml:space="preserve"> even </w:t>
      </w:r>
      <w:r w:rsidR="009169AA" w:rsidRPr="00B24172">
        <w:rPr>
          <w:lang w:val="en-NZ" w:eastAsia="zh-CN"/>
        </w:rPr>
        <w:t xml:space="preserve">in </w:t>
      </w:r>
      <w:r w:rsidRPr="00B24172">
        <w:rPr>
          <w:lang w:val="en-NZ" w:eastAsia="zh-CN"/>
        </w:rPr>
        <w:t>the 10% pessimistic scenario</w:t>
      </w:r>
      <w:r w:rsidR="00AA5465" w:rsidRPr="00B24172">
        <w:rPr>
          <w:lang w:val="en-NZ" w:eastAsia="zh-CN"/>
        </w:rPr>
        <w:t>,</w:t>
      </w:r>
      <w:r w:rsidRPr="00B24172">
        <w:rPr>
          <w:lang w:val="en-NZ" w:eastAsia="zh-CN"/>
        </w:rPr>
        <w:t xml:space="preserve"> the </w:t>
      </w:r>
      <w:r w:rsidR="00AA5465" w:rsidRPr="00B24172">
        <w:rPr>
          <w:lang w:val="en-NZ" w:eastAsia="zh-CN"/>
        </w:rPr>
        <w:t xml:space="preserve">BCRs </w:t>
      </w:r>
      <w:r w:rsidRPr="00B24172">
        <w:rPr>
          <w:lang w:val="en-NZ" w:eastAsia="zh-CN"/>
        </w:rPr>
        <w:t xml:space="preserve">of </w:t>
      </w:r>
      <w:r w:rsidR="00AA5465" w:rsidRPr="00B24172">
        <w:rPr>
          <w:lang w:val="en-NZ" w:eastAsia="zh-CN"/>
        </w:rPr>
        <w:t>the interventions</w:t>
      </w:r>
      <w:r w:rsidRPr="00B24172">
        <w:rPr>
          <w:lang w:val="en-NZ" w:eastAsia="zh-CN"/>
        </w:rPr>
        <w:t xml:space="preserve"> are </w:t>
      </w:r>
      <w:r w:rsidR="00AA5465" w:rsidRPr="00B24172">
        <w:rPr>
          <w:lang w:val="en-NZ" w:eastAsia="zh-CN"/>
        </w:rPr>
        <w:t>above one,</w:t>
      </w:r>
      <w:r w:rsidRPr="00B24172">
        <w:rPr>
          <w:lang w:val="en-NZ" w:eastAsia="zh-CN"/>
        </w:rPr>
        <w:t xml:space="preserve"> except </w:t>
      </w:r>
      <w:r w:rsidR="00AA5465" w:rsidRPr="00B24172">
        <w:rPr>
          <w:lang w:val="en-NZ" w:eastAsia="zh-CN"/>
        </w:rPr>
        <w:t xml:space="preserve">for </w:t>
      </w:r>
      <w:r w:rsidRPr="00B24172">
        <w:rPr>
          <w:lang w:val="en-NZ" w:eastAsia="zh-CN"/>
        </w:rPr>
        <w:t xml:space="preserve">ICS. </w:t>
      </w:r>
    </w:p>
    <w:p w14:paraId="221823A0" w14:textId="011A49B0" w:rsidR="0097653E" w:rsidRPr="00B24172" w:rsidRDefault="0097653E">
      <w:pPr>
        <w:spacing w:after="160" w:line="259" w:lineRule="auto"/>
        <w:rPr>
          <w:b/>
          <w:sz w:val="22"/>
          <w:szCs w:val="22"/>
        </w:rPr>
      </w:pPr>
    </w:p>
    <w:p w14:paraId="0E687A27" w14:textId="77777777" w:rsidR="004966F2" w:rsidRPr="00B24172" w:rsidRDefault="004966F2" w:rsidP="00DB7FF4">
      <w:pPr>
        <w:pStyle w:val="Caption"/>
        <w:keepNext/>
        <w:spacing w:after="0"/>
        <w:jc w:val="center"/>
        <w:rPr>
          <w:b/>
          <w:i w:val="0"/>
          <w:iCs w:val="0"/>
          <w:color w:val="auto"/>
          <w:sz w:val="22"/>
          <w:szCs w:val="22"/>
        </w:rPr>
      </w:pPr>
    </w:p>
    <w:p w14:paraId="2975966D" w14:textId="77777777" w:rsidR="004966F2" w:rsidRPr="00B24172" w:rsidRDefault="004966F2" w:rsidP="00DB7FF4">
      <w:pPr>
        <w:pStyle w:val="Caption"/>
        <w:keepNext/>
        <w:spacing w:after="0"/>
        <w:jc w:val="center"/>
        <w:rPr>
          <w:b/>
          <w:i w:val="0"/>
          <w:iCs w:val="0"/>
          <w:color w:val="auto"/>
          <w:sz w:val="22"/>
          <w:szCs w:val="22"/>
        </w:rPr>
      </w:pPr>
    </w:p>
    <w:p w14:paraId="0DD714FD" w14:textId="77777777" w:rsidR="004966F2" w:rsidRPr="00B24172" w:rsidRDefault="004966F2" w:rsidP="00DB7FF4">
      <w:pPr>
        <w:pStyle w:val="Caption"/>
        <w:keepNext/>
        <w:spacing w:after="0"/>
        <w:jc w:val="center"/>
        <w:rPr>
          <w:b/>
          <w:i w:val="0"/>
          <w:iCs w:val="0"/>
          <w:color w:val="auto"/>
          <w:sz w:val="22"/>
          <w:szCs w:val="22"/>
        </w:rPr>
      </w:pPr>
    </w:p>
    <w:p w14:paraId="12F6AA12" w14:textId="77777777" w:rsidR="004966F2" w:rsidRPr="00B24172" w:rsidRDefault="004966F2" w:rsidP="00DB7FF4">
      <w:pPr>
        <w:pStyle w:val="Caption"/>
        <w:keepNext/>
        <w:spacing w:after="0"/>
        <w:jc w:val="center"/>
        <w:rPr>
          <w:b/>
          <w:i w:val="0"/>
          <w:iCs w:val="0"/>
          <w:color w:val="auto"/>
          <w:sz w:val="22"/>
          <w:szCs w:val="22"/>
        </w:rPr>
      </w:pPr>
    </w:p>
    <w:p w14:paraId="15EAD0BF" w14:textId="2FD348E6" w:rsidR="0009132D" w:rsidRPr="00B24172" w:rsidRDefault="0009132D" w:rsidP="004966F2">
      <w:pPr>
        <w:pStyle w:val="Caption"/>
        <w:keepNext/>
        <w:spacing w:after="0"/>
        <w:rPr>
          <w:b/>
          <w:i w:val="0"/>
          <w:iCs w:val="0"/>
          <w:color w:val="auto"/>
          <w:sz w:val="22"/>
          <w:szCs w:val="22"/>
          <w:lang w:val="en-NZ"/>
        </w:rPr>
      </w:pPr>
    </w:p>
    <w:p w14:paraId="2E92BB5F" w14:textId="704A7D25" w:rsidR="00210632" w:rsidRPr="00B24172" w:rsidRDefault="00210632" w:rsidP="00210632">
      <w:pPr>
        <w:rPr>
          <w:sz w:val="8"/>
          <w:szCs w:val="8"/>
          <w:lang w:val="en-NZ"/>
        </w:rPr>
      </w:pPr>
    </w:p>
    <w:p w14:paraId="74AFEBA6" w14:textId="1BF03F36" w:rsidR="00185A52" w:rsidRPr="00B24172" w:rsidRDefault="00185A52" w:rsidP="00210632">
      <w:pPr>
        <w:rPr>
          <w:sz w:val="8"/>
          <w:szCs w:val="8"/>
          <w:lang w:val="en-NZ"/>
        </w:rPr>
      </w:pPr>
    </w:p>
    <w:p w14:paraId="6AB5B07D" w14:textId="57409C40" w:rsidR="00185A52" w:rsidRPr="00B24172" w:rsidRDefault="00185A52" w:rsidP="00210632">
      <w:pPr>
        <w:rPr>
          <w:sz w:val="8"/>
          <w:szCs w:val="8"/>
          <w:lang w:val="en-NZ"/>
        </w:rPr>
      </w:pPr>
    </w:p>
    <w:p w14:paraId="64B73238" w14:textId="630E688E" w:rsidR="00185A52" w:rsidRPr="00B24172" w:rsidRDefault="00185A52" w:rsidP="00210632">
      <w:pPr>
        <w:rPr>
          <w:sz w:val="8"/>
          <w:szCs w:val="8"/>
          <w:lang w:val="en-NZ"/>
        </w:rPr>
      </w:pPr>
    </w:p>
    <w:p w14:paraId="3ACE041A" w14:textId="0C801E3C" w:rsidR="00185A52" w:rsidRPr="00B24172" w:rsidRDefault="00185A52" w:rsidP="00210632">
      <w:pPr>
        <w:rPr>
          <w:sz w:val="8"/>
          <w:szCs w:val="8"/>
          <w:lang w:val="en-NZ"/>
        </w:rPr>
      </w:pPr>
    </w:p>
    <w:p w14:paraId="2A148D89" w14:textId="71867AE9" w:rsidR="00185A52" w:rsidRPr="00B24172" w:rsidRDefault="00185A52" w:rsidP="00210632">
      <w:pPr>
        <w:rPr>
          <w:sz w:val="8"/>
          <w:szCs w:val="8"/>
          <w:lang w:val="en-NZ"/>
        </w:rPr>
      </w:pPr>
    </w:p>
    <w:p w14:paraId="4F263B0C" w14:textId="08B425B0" w:rsidR="00185A52" w:rsidRPr="00B24172" w:rsidRDefault="00185A52" w:rsidP="00210632">
      <w:pPr>
        <w:rPr>
          <w:sz w:val="8"/>
          <w:szCs w:val="8"/>
          <w:lang w:val="en-NZ"/>
        </w:rPr>
      </w:pPr>
    </w:p>
    <w:p w14:paraId="02167AC0" w14:textId="336FD8DD" w:rsidR="00185A52" w:rsidRPr="00B24172" w:rsidRDefault="00185A52" w:rsidP="00210632">
      <w:pPr>
        <w:rPr>
          <w:sz w:val="8"/>
          <w:szCs w:val="8"/>
          <w:lang w:val="en-NZ"/>
        </w:rPr>
      </w:pPr>
    </w:p>
    <w:p w14:paraId="64DF6A35" w14:textId="69FA4E84" w:rsidR="00185A52" w:rsidRPr="00B24172" w:rsidRDefault="00185A52" w:rsidP="00210632">
      <w:pPr>
        <w:rPr>
          <w:sz w:val="8"/>
          <w:szCs w:val="8"/>
          <w:lang w:val="en-NZ"/>
        </w:rPr>
      </w:pPr>
    </w:p>
    <w:p w14:paraId="42A300EF" w14:textId="0267A8A5" w:rsidR="00185A52" w:rsidRPr="00B24172" w:rsidRDefault="00185A52" w:rsidP="00210632">
      <w:pPr>
        <w:rPr>
          <w:sz w:val="8"/>
          <w:szCs w:val="8"/>
          <w:lang w:val="en-NZ"/>
        </w:rPr>
      </w:pPr>
    </w:p>
    <w:p w14:paraId="5DBD70EC" w14:textId="47A1E34E" w:rsidR="00185A52" w:rsidRPr="00B24172" w:rsidRDefault="00185A52" w:rsidP="00210632">
      <w:pPr>
        <w:rPr>
          <w:sz w:val="8"/>
          <w:szCs w:val="8"/>
          <w:lang w:val="en-NZ"/>
        </w:rPr>
      </w:pPr>
    </w:p>
    <w:p w14:paraId="289A0273" w14:textId="375CCAD2" w:rsidR="00185A52" w:rsidRPr="00B24172" w:rsidRDefault="00185A52" w:rsidP="00210632">
      <w:pPr>
        <w:rPr>
          <w:sz w:val="8"/>
          <w:szCs w:val="8"/>
          <w:lang w:val="en-NZ"/>
        </w:rPr>
      </w:pPr>
    </w:p>
    <w:p w14:paraId="7DDDBA58" w14:textId="3E42BCED" w:rsidR="00185A52" w:rsidRPr="00B24172" w:rsidRDefault="00185A52" w:rsidP="00210632">
      <w:pPr>
        <w:rPr>
          <w:sz w:val="8"/>
          <w:szCs w:val="8"/>
          <w:lang w:val="en-NZ"/>
        </w:rPr>
      </w:pPr>
    </w:p>
    <w:p w14:paraId="2156ACC9" w14:textId="152F68F3" w:rsidR="00185A52" w:rsidRPr="00B24172" w:rsidRDefault="00185A52" w:rsidP="00210632">
      <w:pPr>
        <w:rPr>
          <w:sz w:val="8"/>
          <w:szCs w:val="8"/>
          <w:lang w:val="en-NZ"/>
        </w:rPr>
      </w:pPr>
    </w:p>
    <w:p w14:paraId="56D9E228" w14:textId="77777777" w:rsidR="00185A52" w:rsidRPr="00B24172" w:rsidRDefault="00185A52" w:rsidP="00210632">
      <w:pPr>
        <w:rPr>
          <w:sz w:val="8"/>
          <w:szCs w:val="8"/>
          <w:lang w:val="en-NZ"/>
        </w:rPr>
      </w:pPr>
    </w:p>
    <w:p w14:paraId="40640020" w14:textId="0F36CA8F" w:rsidR="004966F2" w:rsidRPr="00B24172" w:rsidRDefault="004966F2" w:rsidP="004966F2">
      <w:pPr>
        <w:spacing w:after="240"/>
        <w:rPr>
          <w:szCs w:val="8"/>
          <w:lang w:val="en-NZ"/>
        </w:rPr>
      </w:pPr>
      <w:r w:rsidRPr="00B24172">
        <w:rPr>
          <w:szCs w:val="8"/>
          <w:lang w:val="en-NZ"/>
        </w:rPr>
        <w:t>Table 5: BCRs for pessimistic and optimistic scenarios</w:t>
      </w:r>
    </w:p>
    <w:tbl>
      <w:tblPr>
        <w:tblW w:w="8999" w:type="dxa"/>
        <w:jc w:val="center"/>
        <w:tblBorders>
          <w:top w:val="single" w:sz="4" w:space="0" w:color="auto"/>
          <w:bottom w:val="single" w:sz="4" w:space="0" w:color="auto"/>
        </w:tblBorders>
        <w:tblLook w:val="04A0" w:firstRow="1" w:lastRow="0" w:firstColumn="1" w:lastColumn="0" w:noHBand="0" w:noVBand="1"/>
      </w:tblPr>
      <w:tblGrid>
        <w:gridCol w:w="4675"/>
        <w:gridCol w:w="2217"/>
        <w:gridCol w:w="2107"/>
      </w:tblGrid>
      <w:tr w:rsidR="0009132D" w:rsidRPr="00B24172" w14:paraId="7400C1AC" w14:textId="77777777" w:rsidTr="00850D73">
        <w:trPr>
          <w:trHeight w:val="358"/>
          <w:jc w:val="center"/>
        </w:trPr>
        <w:tc>
          <w:tcPr>
            <w:tcW w:w="4675" w:type="dxa"/>
            <w:vMerge w:val="restart"/>
            <w:shd w:val="clear" w:color="auto" w:fill="auto"/>
            <w:noWrap/>
            <w:vAlign w:val="center"/>
            <w:hideMark/>
          </w:tcPr>
          <w:p w14:paraId="6C56E6D5" w14:textId="77777777" w:rsidR="0009132D" w:rsidRPr="00B24172" w:rsidRDefault="0009132D" w:rsidP="00DB7FF4">
            <w:pPr>
              <w:jc w:val="cente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Interventions</w:t>
            </w:r>
          </w:p>
        </w:tc>
        <w:tc>
          <w:tcPr>
            <w:tcW w:w="4324" w:type="dxa"/>
            <w:gridSpan w:val="2"/>
            <w:tcBorders>
              <w:bottom w:val="single" w:sz="4" w:space="0" w:color="auto"/>
            </w:tcBorders>
            <w:shd w:val="clear" w:color="auto" w:fill="auto"/>
            <w:noWrap/>
            <w:vAlign w:val="center"/>
            <w:hideMark/>
          </w:tcPr>
          <w:p w14:paraId="5CE2631A" w14:textId="77777777" w:rsidR="0009132D" w:rsidRPr="00B24172" w:rsidRDefault="0009132D" w:rsidP="00DB7FF4">
            <w:pPr>
              <w:jc w:val="cente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Scenario</w:t>
            </w:r>
          </w:p>
        </w:tc>
      </w:tr>
      <w:tr w:rsidR="0009132D" w:rsidRPr="00B24172" w14:paraId="2FED332A" w14:textId="77777777" w:rsidTr="00850D73">
        <w:trPr>
          <w:trHeight w:val="358"/>
          <w:jc w:val="center"/>
        </w:trPr>
        <w:tc>
          <w:tcPr>
            <w:tcW w:w="4675" w:type="dxa"/>
            <w:vMerge/>
            <w:tcBorders>
              <w:bottom w:val="nil"/>
            </w:tcBorders>
            <w:vAlign w:val="center"/>
            <w:hideMark/>
          </w:tcPr>
          <w:p w14:paraId="5C12CC88" w14:textId="77777777" w:rsidR="0009132D" w:rsidRPr="00B24172" w:rsidRDefault="0009132D" w:rsidP="00DB7FF4">
            <w:pPr>
              <w:rPr>
                <w:rFonts w:asciiTheme="majorBidi" w:hAnsiTheme="majorBidi" w:cstheme="majorBidi"/>
                <w:b/>
                <w:bCs/>
                <w:sz w:val="22"/>
                <w:szCs w:val="22"/>
                <w:lang w:val="en-NZ" w:eastAsia="zh-CN"/>
              </w:rPr>
            </w:pPr>
          </w:p>
        </w:tc>
        <w:tc>
          <w:tcPr>
            <w:tcW w:w="2217" w:type="dxa"/>
            <w:tcBorders>
              <w:top w:val="single" w:sz="4" w:space="0" w:color="auto"/>
              <w:bottom w:val="single" w:sz="4" w:space="0" w:color="auto"/>
            </w:tcBorders>
            <w:shd w:val="clear" w:color="auto" w:fill="auto"/>
            <w:noWrap/>
            <w:vAlign w:val="bottom"/>
            <w:hideMark/>
          </w:tcPr>
          <w:p w14:paraId="583D70B8" w14:textId="77777777" w:rsidR="0009132D" w:rsidRPr="00B24172" w:rsidRDefault="0009132D" w:rsidP="00DB7FF4">
            <w:pPr>
              <w:jc w:val="cente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Pessimistic</w:t>
            </w:r>
          </w:p>
        </w:tc>
        <w:tc>
          <w:tcPr>
            <w:tcW w:w="2107" w:type="dxa"/>
            <w:tcBorders>
              <w:top w:val="single" w:sz="4" w:space="0" w:color="auto"/>
              <w:bottom w:val="single" w:sz="4" w:space="0" w:color="auto"/>
            </w:tcBorders>
            <w:shd w:val="clear" w:color="auto" w:fill="auto"/>
            <w:noWrap/>
            <w:vAlign w:val="bottom"/>
            <w:hideMark/>
          </w:tcPr>
          <w:p w14:paraId="481A3196" w14:textId="77777777" w:rsidR="0009132D" w:rsidRPr="00B24172" w:rsidRDefault="0009132D" w:rsidP="00DB7FF4">
            <w:pPr>
              <w:jc w:val="cente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Optimistic</w:t>
            </w:r>
          </w:p>
        </w:tc>
      </w:tr>
      <w:tr w:rsidR="0009132D" w:rsidRPr="00B24172" w14:paraId="1FFDF1EA" w14:textId="77777777" w:rsidTr="00850D73">
        <w:trPr>
          <w:trHeight w:val="358"/>
          <w:jc w:val="center"/>
        </w:trPr>
        <w:tc>
          <w:tcPr>
            <w:tcW w:w="4675" w:type="dxa"/>
            <w:tcBorders>
              <w:top w:val="nil"/>
              <w:bottom w:val="single" w:sz="4" w:space="0" w:color="auto"/>
            </w:tcBorders>
            <w:shd w:val="clear" w:color="auto" w:fill="auto"/>
            <w:noWrap/>
            <w:vAlign w:val="center"/>
            <w:hideMark/>
          </w:tcPr>
          <w:p w14:paraId="39D0ACC6" w14:textId="7B70FA59" w:rsidR="0009132D" w:rsidRPr="00B24172" w:rsidRDefault="0009132D" w:rsidP="00DB7FF4">
            <w:pP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 xml:space="preserve">At 5 </w:t>
            </w:r>
            <w:r w:rsidR="00850D73" w:rsidRPr="00B24172">
              <w:rPr>
                <w:rFonts w:asciiTheme="majorBidi" w:hAnsiTheme="majorBidi" w:cstheme="majorBidi"/>
                <w:b/>
                <w:bCs/>
                <w:sz w:val="22"/>
                <w:szCs w:val="22"/>
                <w:lang w:val="en-NZ" w:eastAsia="zh-CN"/>
              </w:rPr>
              <w:t>P</w:t>
            </w:r>
            <w:r w:rsidRPr="00B24172">
              <w:rPr>
                <w:rFonts w:asciiTheme="majorBidi" w:hAnsiTheme="majorBidi" w:cstheme="majorBidi"/>
                <w:b/>
                <w:bCs/>
                <w:sz w:val="22"/>
                <w:szCs w:val="22"/>
                <w:lang w:val="en-NZ" w:eastAsia="zh-CN"/>
              </w:rPr>
              <w:t xml:space="preserve">ercent </w:t>
            </w:r>
            <w:r w:rsidR="00850D73" w:rsidRPr="00B24172">
              <w:rPr>
                <w:rFonts w:asciiTheme="majorBidi" w:hAnsiTheme="majorBidi" w:cstheme="majorBidi"/>
                <w:b/>
                <w:bCs/>
                <w:sz w:val="22"/>
                <w:szCs w:val="22"/>
                <w:lang w:val="en-NZ" w:eastAsia="zh-CN"/>
              </w:rPr>
              <w:t>F</w:t>
            </w:r>
            <w:r w:rsidRPr="00B24172">
              <w:rPr>
                <w:rFonts w:asciiTheme="majorBidi" w:hAnsiTheme="majorBidi" w:cstheme="majorBidi"/>
                <w:b/>
                <w:bCs/>
                <w:sz w:val="22"/>
                <w:szCs w:val="22"/>
                <w:lang w:val="en-NZ" w:eastAsia="zh-CN"/>
              </w:rPr>
              <w:t>luctuation</w:t>
            </w:r>
            <w:r w:rsidR="004966F2" w:rsidRPr="00B24172">
              <w:rPr>
                <w:rFonts w:asciiTheme="majorBidi" w:hAnsiTheme="majorBidi" w:cstheme="majorBidi"/>
                <w:b/>
                <w:bCs/>
                <w:sz w:val="22"/>
                <w:szCs w:val="22"/>
                <w:lang w:val="en-NZ" w:eastAsia="zh-CN"/>
              </w:rPr>
              <w:t xml:space="preserve"> (discount rate 7.5%)</w:t>
            </w:r>
          </w:p>
        </w:tc>
        <w:tc>
          <w:tcPr>
            <w:tcW w:w="2217" w:type="dxa"/>
            <w:tcBorders>
              <w:top w:val="single" w:sz="4" w:space="0" w:color="auto"/>
              <w:bottom w:val="single" w:sz="4" w:space="0" w:color="auto"/>
            </w:tcBorders>
            <w:shd w:val="clear" w:color="auto" w:fill="auto"/>
            <w:noWrap/>
            <w:vAlign w:val="bottom"/>
            <w:hideMark/>
          </w:tcPr>
          <w:p w14:paraId="1580EB98" w14:textId="77777777" w:rsidR="0009132D" w:rsidRPr="00B24172" w:rsidRDefault="0009132D" w:rsidP="00DB7FF4">
            <w:pPr>
              <w:jc w:val="center"/>
              <w:rPr>
                <w:rFonts w:asciiTheme="majorBidi" w:hAnsiTheme="majorBidi" w:cstheme="majorBidi"/>
                <w:sz w:val="22"/>
                <w:szCs w:val="22"/>
                <w:lang w:val="en-NZ" w:eastAsia="zh-CN"/>
              </w:rPr>
            </w:pPr>
          </w:p>
        </w:tc>
        <w:tc>
          <w:tcPr>
            <w:tcW w:w="2107" w:type="dxa"/>
            <w:tcBorders>
              <w:top w:val="single" w:sz="4" w:space="0" w:color="auto"/>
              <w:bottom w:val="single" w:sz="4" w:space="0" w:color="auto"/>
            </w:tcBorders>
            <w:shd w:val="clear" w:color="auto" w:fill="auto"/>
            <w:noWrap/>
            <w:vAlign w:val="bottom"/>
            <w:hideMark/>
          </w:tcPr>
          <w:p w14:paraId="0DDADA86" w14:textId="77777777" w:rsidR="0009132D" w:rsidRPr="00B24172" w:rsidRDefault="0009132D" w:rsidP="00DB7FF4">
            <w:pPr>
              <w:rPr>
                <w:rFonts w:asciiTheme="majorBidi" w:hAnsiTheme="majorBidi" w:cstheme="majorBidi"/>
                <w:sz w:val="22"/>
                <w:szCs w:val="22"/>
                <w:lang w:val="en-NZ" w:eastAsia="zh-CN"/>
              </w:rPr>
            </w:pPr>
          </w:p>
        </w:tc>
      </w:tr>
      <w:tr w:rsidR="0009132D" w:rsidRPr="00B24172" w14:paraId="2E39F6B6" w14:textId="77777777" w:rsidTr="00850D73">
        <w:trPr>
          <w:trHeight w:val="358"/>
          <w:jc w:val="center"/>
        </w:trPr>
        <w:tc>
          <w:tcPr>
            <w:tcW w:w="4675" w:type="dxa"/>
            <w:tcBorders>
              <w:top w:val="single" w:sz="4" w:space="0" w:color="auto"/>
            </w:tcBorders>
            <w:shd w:val="clear" w:color="auto" w:fill="auto"/>
            <w:noWrap/>
            <w:vAlign w:val="bottom"/>
            <w:hideMark/>
          </w:tcPr>
          <w:p w14:paraId="6C36706D" w14:textId="77777777" w:rsidR="0009132D" w:rsidRPr="00B24172" w:rsidRDefault="0009132D"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Biogas</w:t>
            </w:r>
          </w:p>
        </w:tc>
        <w:tc>
          <w:tcPr>
            <w:tcW w:w="2217" w:type="dxa"/>
            <w:tcBorders>
              <w:top w:val="single" w:sz="4" w:space="0" w:color="auto"/>
            </w:tcBorders>
            <w:shd w:val="clear" w:color="auto" w:fill="auto"/>
            <w:noWrap/>
            <w:vAlign w:val="bottom"/>
          </w:tcPr>
          <w:p w14:paraId="7F83FE4E" w14:textId="2624066D" w:rsidR="0009132D" w:rsidRPr="00B24172" w:rsidRDefault="00DC5091"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2.</w:t>
            </w:r>
            <w:r w:rsidR="00185A52" w:rsidRPr="00B24172">
              <w:rPr>
                <w:rFonts w:asciiTheme="majorBidi" w:hAnsiTheme="majorBidi" w:cstheme="majorBidi"/>
                <w:sz w:val="22"/>
                <w:szCs w:val="22"/>
                <w:lang w:val="en-NZ" w:eastAsia="zh-CN"/>
              </w:rPr>
              <w:t>29</w:t>
            </w:r>
          </w:p>
        </w:tc>
        <w:tc>
          <w:tcPr>
            <w:tcW w:w="2107" w:type="dxa"/>
            <w:tcBorders>
              <w:top w:val="single" w:sz="4" w:space="0" w:color="auto"/>
            </w:tcBorders>
            <w:shd w:val="clear" w:color="auto" w:fill="auto"/>
            <w:noWrap/>
            <w:vAlign w:val="bottom"/>
          </w:tcPr>
          <w:p w14:paraId="05BFE828" w14:textId="2A4F5630" w:rsidR="0009132D"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2.</w:t>
            </w:r>
            <w:r w:rsidR="000D7EE3" w:rsidRPr="00B24172">
              <w:rPr>
                <w:rFonts w:asciiTheme="majorBidi" w:hAnsiTheme="majorBidi" w:cstheme="majorBidi"/>
                <w:sz w:val="22"/>
                <w:szCs w:val="22"/>
                <w:lang w:val="en-NZ" w:eastAsia="zh-CN"/>
              </w:rPr>
              <w:t>80</w:t>
            </w:r>
          </w:p>
        </w:tc>
      </w:tr>
      <w:tr w:rsidR="0009132D" w:rsidRPr="00B24172" w14:paraId="7EDB3F98" w14:textId="77777777" w:rsidTr="00850D73">
        <w:trPr>
          <w:trHeight w:val="358"/>
          <w:jc w:val="center"/>
        </w:trPr>
        <w:tc>
          <w:tcPr>
            <w:tcW w:w="4675" w:type="dxa"/>
            <w:shd w:val="clear" w:color="auto" w:fill="auto"/>
            <w:noWrap/>
            <w:vAlign w:val="bottom"/>
            <w:hideMark/>
          </w:tcPr>
          <w:p w14:paraId="00BA7618" w14:textId="77777777" w:rsidR="0009132D" w:rsidRPr="00B24172" w:rsidRDefault="0009132D"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LPG</w:t>
            </w:r>
          </w:p>
        </w:tc>
        <w:tc>
          <w:tcPr>
            <w:tcW w:w="2217" w:type="dxa"/>
            <w:shd w:val="clear" w:color="auto" w:fill="auto"/>
            <w:noWrap/>
            <w:vAlign w:val="bottom"/>
          </w:tcPr>
          <w:p w14:paraId="0C511F42" w14:textId="0C7AE15C" w:rsidR="0009132D"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4.</w:t>
            </w:r>
            <w:r w:rsidR="000D7EE3" w:rsidRPr="00B24172">
              <w:rPr>
                <w:rFonts w:asciiTheme="majorBidi" w:hAnsiTheme="majorBidi" w:cstheme="majorBidi"/>
                <w:sz w:val="22"/>
                <w:szCs w:val="22"/>
                <w:lang w:val="en-NZ" w:eastAsia="zh-CN"/>
              </w:rPr>
              <w:t>10</w:t>
            </w:r>
          </w:p>
        </w:tc>
        <w:tc>
          <w:tcPr>
            <w:tcW w:w="2107" w:type="dxa"/>
            <w:shd w:val="clear" w:color="auto" w:fill="auto"/>
            <w:noWrap/>
            <w:vAlign w:val="bottom"/>
          </w:tcPr>
          <w:p w14:paraId="1F28E4B9" w14:textId="78986CE4" w:rsidR="0009132D" w:rsidRPr="00B24172" w:rsidRDefault="000D7EE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5.01</w:t>
            </w:r>
          </w:p>
        </w:tc>
      </w:tr>
      <w:tr w:rsidR="0009132D" w:rsidRPr="00B24172" w14:paraId="14C188AB" w14:textId="77777777" w:rsidTr="00850D73">
        <w:trPr>
          <w:trHeight w:val="358"/>
          <w:jc w:val="center"/>
        </w:trPr>
        <w:tc>
          <w:tcPr>
            <w:tcW w:w="4675" w:type="dxa"/>
            <w:shd w:val="clear" w:color="auto" w:fill="auto"/>
            <w:noWrap/>
            <w:vAlign w:val="bottom"/>
            <w:hideMark/>
          </w:tcPr>
          <w:p w14:paraId="3C239D1F" w14:textId="2B51BC91" w:rsidR="0009132D"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Natural gas</w:t>
            </w:r>
          </w:p>
        </w:tc>
        <w:tc>
          <w:tcPr>
            <w:tcW w:w="2217" w:type="dxa"/>
            <w:shd w:val="clear" w:color="auto" w:fill="auto"/>
            <w:noWrap/>
            <w:vAlign w:val="bottom"/>
          </w:tcPr>
          <w:p w14:paraId="3D4F89E6" w14:textId="39BD17A8" w:rsidR="0009132D"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4.0</w:t>
            </w:r>
            <w:r w:rsidR="000D7EE3" w:rsidRPr="00B24172">
              <w:rPr>
                <w:rFonts w:asciiTheme="majorBidi" w:hAnsiTheme="majorBidi" w:cstheme="majorBidi"/>
                <w:sz w:val="22"/>
                <w:szCs w:val="22"/>
                <w:lang w:val="en-NZ" w:eastAsia="zh-CN"/>
              </w:rPr>
              <w:t>4</w:t>
            </w:r>
          </w:p>
        </w:tc>
        <w:tc>
          <w:tcPr>
            <w:tcW w:w="2107" w:type="dxa"/>
            <w:shd w:val="clear" w:color="auto" w:fill="auto"/>
            <w:noWrap/>
            <w:vAlign w:val="bottom"/>
          </w:tcPr>
          <w:p w14:paraId="2F6A1C04" w14:textId="7CEB042F" w:rsidR="0009132D"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4</w:t>
            </w:r>
            <w:r w:rsidR="001D3FD3" w:rsidRPr="00B24172">
              <w:rPr>
                <w:rFonts w:asciiTheme="majorBidi" w:hAnsiTheme="majorBidi" w:cstheme="majorBidi"/>
                <w:sz w:val="22"/>
                <w:szCs w:val="22"/>
                <w:lang w:val="en-NZ" w:eastAsia="zh-CN"/>
              </w:rPr>
              <w:t>.</w:t>
            </w:r>
            <w:r w:rsidRPr="00B24172">
              <w:rPr>
                <w:rFonts w:asciiTheme="majorBidi" w:hAnsiTheme="majorBidi" w:cstheme="majorBidi"/>
                <w:sz w:val="22"/>
                <w:szCs w:val="22"/>
                <w:lang w:val="en-NZ" w:eastAsia="zh-CN"/>
              </w:rPr>
              <w:t>9</w:t>
            </w:r>
            <w:r w:rsidR="000D7EE3" w:rsidRPr="00B24172">
              <w:rPr>
                <w:rFonts w:asciiTheme="majorBidi" w:hAnsiTheme="majorBidi" w:cstheme="majorBidi"/>
                <w:sz w:val="22"/>
                <w:szCs w:val="22"/>
                <w:lang w:val="en-NZ" w:eastAsia="zh-CN"/>
              </w:rPr>
              <w:t>3</w:t>
            </w:r>
          </w:p>
        </w:tc>
      </w:tr>
      <w:tr w:rsidR="0009132D" w:rsidRPr="00B24172" w14:paraId="3EA0767E" w14:textId="77777777" w:rsidTr="00850D73">
        <w:trPr>
          <w:trHeight w:val="358"/>
          <w:jc w:val="center"/>
        </w:trPr>
        <w:tc>
          <w:tcPr>
            <w:tcW w:w="4675" w:type="dxa"/>
            <w:shd w:val="clear" w:color="auto" w:fill="auto"/>
            <w:noWrap/>
            <w:vAlign w:val="center"/>
          </w:tcPr>
          <w:p w14:paraId="5FA4B8F9" w14:textId="6A2DB817" w:rsidR="0009132D"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Electric stove</w:t>
            </w:r>
          </w:p>
        </w:tc>
        <w:tc>
          <w:tcPr>
            <w:tcW w:w="2217" w:type="dxa"/>
            <w:shd w:val="clear" w:color="auto" w:fill="auto"/>
            <w:noWrap/>
            <w:vAlign w:val="bottom"/>
          </w:tcPr>
          <w:p w14:paraId="4D5912C8" w14:textId="3518B467" w:rsidR="0009132D" w:rsidRPr="00B24172" w:rsidRDefault="005B73C2"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2.</w:t>
            </w:r>
            <w:r w:rsidR="00E91AA6" w:rsidRPr="00B24172">
              <w:rPr>
                <w:rFonts w:asciiTheme="majorBidi" w:hAnsiTheme="majorBidi" w:cstheme="majorBidi"/>
                <w:sz w:val="22"/>
                <w:szCs w:val="22"/>
                <w:lang w:val="en-NZ" w:eastAsia="zh-CN"/>
              </w:rPr>
              <w:t>6</w:t>
            </w:r>
            <w:r w:rsidR="000D7EE3" w:rsidRPr="00B24172">
              <w:rPr>
                <w:rFonts w:asciiTheme="majorBidi" w:hAnsiTheme="majorBidi" w:cstheme="majorBidi"/>
                <w:sz w:val="22"/>
                <w:szCs w:val="22"/>
                <w:lang w:val="en-NZ" w:eastAsia="zh-CN"/>
              </w:rPr>
              <w:t>7</w:t>
            </w:r>
          </w:p>
        </w:tc>
        <w:tc>
          <w:tcPr>
            <w:tcW w:w="2107" w:type="dxa"/>
            <w:shd w:val="clear" w:color="auto" w:fill="auto"/>
            <w:noWrap/>
            <w:vAlign w:val="bottom"/>
          </w:tcPr>
          <w:p w14:paraId="6D3252D4" w14:textId="525AD0D7" w:rsidR="0009132D"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3.2</w:t>
            </w:r>
            <w:r w:rsidR="000D7EE3" w:rsidRPr="00B24172">
              <w:rPr>
                <w:rFonts w:asciiTheme="majorBidi" w:hAnsiTheme="majorBidi" w:cstheme="majorBidi"/>
                <w:sz w:val="22"/>
                <w:szCs w:val="22"/>
                <w:lang w:val="en-NZ" w:eastAsia="zh-CN"/>
              </w:rPr>
              <w:t>6</w:t>
            </w:r>
          </w:p>
        </w:tc>
      </w:tr>
      <w:tr w:rsidR="0009132D" w:rsidRPr="00B24172" w14:paraId="15FF73DB" w14:textId="77777777" w:rsidTr="00850D73">
        <w:trPr>
          <w:trHeight w:val="358"/>
          <w:jc w:val="center"/>
        </w:trPr>
        <w:tc>
          <w:tcPr>
            <w:tcW w:w="4675" w:type="dxa"/>
            <w:shd w:val="clear" w:color="auto" w:fill="auto"/>
            <w:noWrap/>
            <w:vAlign w:val="bottom"/>
          </w:tcPr>
          <w:p w14:paraId="2CEE93C5" w14:textId="7F5E4FFC" w:rsidR="0009132D" w:rsidRPr="00B24172" w:rsidRDefault="00076FB3" w:rsidP="00DB7FF4">
            <w:pPr>
              <w:ind w:right="480"/>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ICS</w:t>
            </w:r>
          </w:p>
        </w:tc>
        <w:tc>
          <w:tcPr>
            <w:tcW w:w="2217" w:type="dxa"/>
            <w:shd w:val="clear" w:color="auto" w:fill="auto"/>
            <w:noWrap/>
            <w:vAlign w:val="bottom"/>
          </w:tcPr>
          <w:p w14:paraId="57A7B7CB" w14:textId="0DCA41DA" w:rsidR="0009132D" w:rsidRPr="00B24172" w:rsidRDefault="00E972F2"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0.</w:t>
            </w:r>
            <w:r w:rsidR="00E91AA6" w:rsidRPr="00B24172">
              <w:rPr>
                <w:rFonts w:asciiTheme="majorBidi" w:hAnsiTheme="majorBidi" w:cstheme="majorBidi"/>
                <w:sz w:val="22"/>
                <w:szCs w:val="22"/>
                <w:lang w:val="en-NZ" w:eastAsia="zh-CN"/>
              </w:rPr>
              <w:t>34</w:t>
            </w:r>
          </w:p>
        </w:tc>
        <w:tc>
          <w:tcPr>
            <w:tcW w:w="2107" w:type="dxa"/>
            <w:shd w:val="clear" w:color="auto" w:fill="auto"/>
            <w:noWrap/>
            <w:vAlign w:val="bottom"/>
          </w:tcPr>
          <w:p w14:paraId="5842CEAC" w14:textId="12B58268" w:rsidR="0009132D" w:rsidRPr="00B24172" w:rsidRDefault="001D3FD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0.</w:t>
            </w:r>
            <w:r w:rsidR="00E91AA6" w:rsidRPr="00B24172">
              <w:rPr>
                <w:rFonts w:asciiTheme="majorBidi" w:hAnsiTheme="majorBidi" w:cstheme="majorBidi"/>
                <w:sz w:val="22"/>
                <w:szCs w:val="22"/>
                <w:lang w:val="en-NZ" w:eastAsia="zh-CN"/>
              </w:rPr>
              <w:t>42</w:t>
            </w:r>
          </w:p>
        </w:tc>
      </w:tr>
      <w:tr w:rsidR="0009132D" w:rsidRPr="00B24172" w14:paraId="215B4142" w14:textId="77777777" w:rsidTr="00850D73">
        <w:trPr>
          <w:trHeight w:val="358"/>
          <w:jc w:val="center"/>
        </w:trPr>
        <w:tc>
          <w:tcPr>
            <w:tcW w:w="4675" w:type="dxa"/>
            <w:shd w:val="clear" w:color="auto" w:fill="auto"/>
            <w:noWrap/>
            <w:vAlign w:val="center"/>
          </w:tcPr>
          <w:p w14:paraId="562E0C87" w14:textId="2A595751" w:rsidR="0009132D" w:rsidRPr="00B24172" w:rsidRDefault="0009132D" w:rsidP="00DB7FF4">
            <w:pPr>
              <w:rPr>
                <w:rFonts w:asciiTheme="majorBidi" w:hAnsiTheme="majorBidi" w:cstheme="majorBidi"/>
                <w:b/>
                <w:bCs/>
                <w:sz w:val="22"/>
                <w:szCs w:val="22"/>
                <w:lang w:val="en-NZ" w:eastAsia="zh-CN"/>
              </w:rPr>
            </w:pPr>
            <w:r w:rsidRPr="00B24172">
              <w:rPr>
                <w:rFonts w:asciiTheme="majorBidi" w:hAnsiTheme="majorBidi" w:cstheme="majorBidi"/>
                <w:b/>
                <w:bCs/>
                <w:sz w:val="22"/>
                <w:szCs w:val="22"/>
                <w:lang w:val="en-NZ" w:eastAsia="zh-CN"/>
              </w:rPr>
              <w:t xml:space="preserve">At 10 </w:t>
            </w:r>
            <w:r w:rsidR="00850D73" w:rsidRPr="00B24172">
              <w:rPr>
                <w:rFonts w:asciiTheme="majorBidi" w:hAnsiTheme="majorBidi" w:cstheme="majorBidi"/>
                <w:b/>
                <w:bCs/>
                <w:sz w:val="22"/>
                <w:szCs w:val="22"/>
                <w:lang w:val="en-NZ" w:eastAsia="zh-CN"/>
              </w:rPr>
              <w:t>P</w:t>
            </w:r>
            <w:r w:rsidRPr="00B24172">
              <w:rPr>
                <w:rFonts w:asciiTheme="majorBidi" w:hAnsiTheme="majorBidi" w:cstheme="majorBidi"/>
                <w:b/>
                <w:bCs/>
                <w:sz w:val="22"/>
                <w:szCs w:val="22"/>
                <w:lang w:val="en-NZ" w:eastAsia="zh-CN"/>
              </w:rPr>
              <w:t xml:space="preserve">ercent </w:t>
            </w:r>
            <w:r w:rsidR="00850D73" w:rsidRPr="00B24172">
              <w:rPr>
                <w:rFonts w:asciiTheme="majorBidi" w:hAnsiTheme="majorBidi" w:cstheme="majorBidi"/>
                <w:b/>
                <w:bCs/>
                <w:sz w:val="22"/>
                <w:szCs w:val="22"/>
                <w:lang w:val="en-NZ" w:eastAsia="zh-CN"/>
              </w:rPr>
              <w:t>F</w:t>
            </w:r>
            <w:r w:rsidRPr="00B24172">
              <w:rPr>
                <w:rFonts w:asciiTheme="majorBidi" w:hAnsiTheme="majorBidi" w:cstheme="majorBidi"/>
                <w:b/>
                <w:bCs/>
                <w:sz w:val="22"/>
                <w:szCs w:val="22"/>
                <w:lang w:val="en-NZ" w:eastAsia="zh-CN"/>
              </w:rPr>
              <w:t>luctuation</w:t>
            </w:r>
            <w:r w:rsidR="004966F2" w:rsidRPr="00B24172">
              <w:rPr>
                <w:rFonts w:asciiTheme="majorBidi" w:hAnsiTheme="majorBidi" w:cstheme="majorBidi"/>
                <w:b/>
                <w:bCs/>
                <w:sz w:val="22"/>
                <w:szCs w:val="22"/>
                <w:lang w:val="en-NZ" w:eastAsia="zh-CN"/>
              </w:rPr>
              <w:t xml:space="preserve"> (discount rate 7.5%)</w:t>
            </w:r>
          </w:p>
        </w:tc>
        <w:tc>
          <w:tcPr>
            <w:tcW w:w="2217" w:type="dxa"/>
            <w:shd w:val="clear" w:color="auto" w:fill="auto"/>
            <w:noWrap/>
            <w:vAlign w:val="bottom"/>
          </w:tcPr>
          <w:p w14:paraId="3FA38A48" w14:textId="77777777" w:rsidR="0009132D" w:rsidRPr="00B24172" w:rsidRDefault="0009132D" w:rsidP="00DB7FF4">
            <w:pPr>
              <w:jc w:val="center"/>
              <w:rPr>
                <w:rFonts w:asciiTheme="majorBidi" w:hAnsiTheme="majorBidi" w:cstheme="majorBidi"/>
                <w:sz w:val="22"/>
                <w:szCs w:val="22"/>
                <w:lang w:val="en-NZ" w:eastAsia="zh-CN"/>
              </w:rPr>
            </w:pPr>
          </w:p>
        </w:tc>
        <w:tc>
          <w:tcPr>
            <w:tcW w:w="2107" w:type="dxa"/>
            <w:shd w:val="clear" w:color="auto" w:fill="auto"/>
            <w:noWrap/>
            <w:vAlign w:val="bottom"/>
          </w:tcPr>
          <w:p w14:paraId="7FFCD3EE" w14:textId="77777777" w:rsidR="0009132D" w:rsidRPr="00B24172" w:rsidRDefault="0009132D" w:rsidP="00DB7FF4">
            <w:pPr>
              <w:jc w:val="center"/>
              <w:rPr>
                <w:rFonts w:asciiTheme="majorBidi" w:hAnsiTheme="majorBidi" w:cstheme="majorBidi"/>
                <w:sz w:val="22"/>
                <w:szCs w:val="22"/>
                <w:lang w:val="en-NZ" w:eastAsia="zh-CN"/>
              </w:rPr>
            </w:pPr>
          </w:p>
        </w:tc>
      </w:tr>
      <w:tr w:rsidR="00E874D4" w:rsidRPr="00B24172" w14:paraId="686522AD" w14:textId="77777777" w:rsidTr="00850D73">
        <w:trPr>
          <w:trHeight w:val="358"/>
          <w:jc w:val="center"/>
        </w:trPr>
        <w:tc>
          <w:tcPr>
            <w:tcW w:w="4675" w:type="dxa"/>
            <w:shd w:val="clear" w:color="auto" w:fill="auto"/>
            <w:noWrap/>
            <w:vAlign w:val="bottom"/>
          </w:tcPr>
          <w:p w14:paraId="44E334C1" w14:textId="442EE77D" w:rsidR="00E874D4"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Biogas</w:t>
            </w:r>
          </w:p>
        </w:tc>
        <w:tc>
          <w:tcPr>
            <w:tcW w:w="2217" w:type="dxa"/>
            <w:shd w:val="clear" w:color="auto" w:fill="auto"/>
            <w:noWrap/>
            <w:vAlign w:val="bottom"/>
          </w:tcPr>
          <w:p w14:paraId="5B6B974B" w14:textId="7EF7B083" w:rsidR="00E874D4" w:rsidRPr="00B24172" w:rsidRDefault="000D7EE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2.07</w:t>
            </w:r>
          </w:p>
        </w:tc>
        <w:tc>
          <w:tcPr>
            <w:tcW w:w="2107" w:type="dxa"/>
            <w:shd w:val="clear" w:color="auto" w:fill="auto"/>
            <w:noWrap/>
            <w:vAlign w:val="bottom"/>
          </w:tcPr>
          <w:p w14:paraId="49980784" w14:textId="07AC0A76" w:rsidR="00E874D4" w:rsidRPr="00B24172" w:rsidRDefault="000D7EE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3.10</w:t>
            </w:r>
          </w:p>
        </w:tc>
      </w:tr>
      <w:tr w:rsidR="00E874D4" w:rsidRPr="00B24172" w14:paraId="1801FA9E" w14:textId="77777777" w:rsidTr="00850D73">
        <w:trPr>
          <w:trHeight w:val="358"/>
          <w:jc w:val="center"/>
        </w:trPr>
        <w:tc>
          <w:tcPr>
            <w:tcW w:w="4675" w:type="dxa"/>
            <w:shd w:val="clear" w:color="auto" w:fill="auto"/>
            <w:noWrap/>
            <w:vAlign w:val="bottom"/>
          </w:tcPr>
          <w:p w14:paraId="0AF02AE1" w14:textId="289022F9" w:rsidR="00E874D4"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LPG</w:t>
            </w:r>
          </w:p>
        </w:tc>
        <w:tc>
          <w:tcPr>
            <w:tcW w:w="2217" w:type="dxa"/>
            <w:shd w:val="clear" w:color="auto" w:fill="auto"/>
            <w:noWrap/>
            <w:vAlign w:val="bottom"/>
          </w:tcPr>
          <w:p w14:paraId="3AA9C006" w14:textId="47468D49" w:rsidR="00E874D4" w:rsidRPr="00B24172" w:rsidRDefault="001D3FD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3.</w:t>
            </w:r>
            <w:r w:rsidR="00E91AA6" w:rsidRPr="00B24172">
              <w:rPr>
                <w:rFonts w:asciiTheme="majorBidi" w:hAnsiTheme="majorBidi" w:cstheme="majorBidi"/>
                <w:sz w:val="22"/>
                <w:szCs w:val="22"/>
                <w:lang w:val="en-NZ" w:eastAsia="zh-CN"/>
              </w:rPr>
              <w:t>7</w:t>
            </w:r>
            <w:r w:rsidR="000D7EE3" w:rsidRPr="00B24172">
              <w:rPr>
                <w:rFonts w:asciiTheme="majorBidi" w:hAnsiTheme="majorBidi" w:cstheme="majorBidi"/>
                <w:sz w:val="22"/>
                <w:szCs w:val="22"/>
                <w:lang w:val="en-NZ" w:eastAsia="zh-CN"/>
              </w:rPr>
              <w:t>1</w:t>
            </w:r>
          </w:p>
        </w:tc>
        <w:tc>
          <w:tcPr>
            <w:tcW w:w="2107" w:type="dxa"/>
            <w:shd w:val="clear" w:color="auto" w:fill="auto"/>
            <w:noWrap/>
            <w:vAlign w:val="bottom"/>
          </w:tcPr>
          <w:p w14:paraId="1D386832" w14:textId="46BC3280"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5.5</w:t>
            </w:r>
            <w:r w:rsidR="000D7EE3" w:rsidRPr="00B24172">
              <w:rPr>
                <w:rFonts w:asciiTheme="majorBidi" w:hAnsiTheme="majorBidi" w:cstheme="majorBidi"/>
                <w:sz w:val="22"/>
                <w:szCs w:val="22"/>
                <w:lang w:val="en-NZ" w:eastAsia="zh-CN"/>
              </w:rPr>
              <w:t>4</w:t>
            </w:r>
          </w:p>
        </w:tc>
      </w:tr>
      <w:tr w:rsidR="00E874D4" w:rsidRPr="00B24172" w14:paraId="420D0963" w14:textId="77777777" w:rsidTr="00850D73">
        <w:trPr>
          <w:trHeight w:val="358"/>
          <w:jc w:val="center"/>
        </w:trPr>
        <w:tc>
          <w:tcPr>
            <w:tcW w:w="4675" w:type="dxa"/>
            <w:shd w:val="clear" w:color="auto" w:fill="auto"/>
            <w:noWrap/>
            <w:vAlign w:val="bottom"/>
          </w:tcPr>
          <w:p w14:paraId="1EF83892" w14:textId="0F17262E" w:rsidR="00E874D4"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Natural gas</w:t>
            </w:r>
          </w:p>
        </w:tc>
        <w:tc>
          <w:tcPr>
            <w:tcW w:w="2217" w:type="dxa"/>
            <w:shd w:val="clear" w:color="auto" w:fill="auto"/>
            <w:noWrap/>
            <w:vAlign w:val="bottom"/>
          </w:tcPr>
          <w:p w14:paraId="339F0338" w14:textId="3315938D"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3.6</w:t>
            </w:r>
            <w:r w:rsidR="000D7EE3" w:rsidRPr="00B24172">
              <w:rPr>
                <w:rFonts w:asciiTheme="majorBidi" w:hAnsiTheme="majorBidi" w:cstheme="majorBidi"/>
                <w:sz w:val="22"/>
                <w:szCs w:val="22"/>
                <w:lang w:val="en-NZ" w:eastAsia="zh-CN"/>
              </w:rPr>
              <w:t>5</w:t>
            </w:r>
          </w:p>
        </w:tc>
        <w:tc>
          <w:tcPr>
            <w:tcW w:w="2107" w:type="dxa"/>
            <w:shd w:val="clear" w:color="auto" w:fill="auto"/>
            <w:noWrap/>
            <w:vAlign w:val="bottom"/>
          </w:tcPr>
          <w:p w14:paraId="764B4E70" w14:textId="7B8A4EFC"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5.4</w:t>
            </w:r>
            <w:r w:rsidR="000D7EE3" w:rsidRPr="00B24172">
              <w:rPr>
                <w:rFonts w:asciiTheme="majorBidi" w:hAnsiTheme="majorBidi" w:cstheme="majorBidi"/>
                <w:sz w:val="22"/>
                <w:szCs w:val="22"/>
                <w:lang w:val="en-NZ" w:eastAsia="zh-CN"/>
              </w:rPr>
              <w:t>6</w:t>
            </w:r>
          </w:p>
        </w:tc>
      </w:tr>
      <w:tr w:rsidR="00E874D4" w:rsidRPr="00B24172" w14:paraId="14A6CFF1" w14:textId="77777777" w:rsidTr="00850D73">
        <w:trPr>
          <w:trHeight w:val="358"/>
          <w:jc w:val="center"/>
        </w:trPr>
        <w:tc>
          <w:tcPr>
            <w:tcW w:w="4675" w:type="dxa"/>
            <w:shd w:val="clear" w:color="auto" w:fill="auto"/>
            <w:noWrap/>
            <w:vAlign w:val="center"/>
          </w:tcPr>
          <w:p w14:paraId="092DE79F" w14:textId="2658B5F4" w:rsidR="00E874D4" w:rsidRPr="00B24172" w:rsidRDefault="00E874D4" w:rsidP="00DB7FF4">
            <w:pP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Electric stove</w:t>
            </w:r>
          </w:p>
        </w:tc>
        <w:tc>
          <w:tcPr>
            <w:tcW w:w="2217" w:type="dxa"/>
            <w:shd w:val="clear" w:color="auto" w:fill="auto"/>
            <w:noWrap/>
            <w:vAlign w:val="bottom"/>
          </w:tcPr>
          <w:p w14:paraId="411B6B45" w14:textId="60710F2A"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2.4</w:t>
            </w:r>
            <w:r w:rsidR="000D7EE3" w:rsidRPr="00B24172">
              <w:rPr>
                <w:rFonts w:asciiTheme="majorBidi" w:hAnsiTheme="majorBidi" w:cstheme="majorBidi"/>
                <w:sz w:val="22"/>
                <w:szCs w:val="22"/>
                <w:lang w:val="en-NZ" w:eastAsia="zh-CN"/>
              </w:rPr>
              <w:t>1</w:t>
            </w:r>
          </w:p>
        </w:tc>
        <w:tc>
          <w:tcPr>
            <w:tcW w:w="2107" w:type="dxa"/>
            <w:shd w:val="clear" w:color="auto" w:fill="auto"/>
            <w:noWrap/>
            <w:vAlign w:val="bottom"/>
          </w:tcPr>
          <w:p w14:paraId="53EF0BDC" w14:textId="4D90E615"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3.</w:t>
            </w:r>
            <w:r w:rsidR="000D7EE3" w:rsidRPr="00B24172">
              <w:rPr>
                <w:rFonts w:asciiTheme="majorBidi" w:hAnsiTheme="majorBidi" w:cstheme="majorBidi"/>
                <w:sz w:val="22"/>
                <w:szCs w:val="22"/>
                <w:lang w:val="en-NZ" w:eastAsia="zh-CN"/>
              </w:rPr>
              <w:t>60</w:t>
            </w:r>
          </w:p>
        </w:tc>
      </w:tr>
      <w:tr w:rsidR="00E874D4" w:rsidRPr="00B24172" w14:paraId="1379F1D7" w14:textId="77777777" w:rsidTr="00850D73">
        <w:trPr>
          <w:trHeight w:val="358"/>
          <w:jc w:val="center"/>
        </w:trPr>
        <w:tc>
          <w:tcPr>
            <w:tcW w:w="4675" w:type="dxa"/>
            <w:shd w:val="clear" w:color="auto" w:fill="auto"/>
            <w:noWrap/>
            <w:vAlign w:val="bottom"/>
          </w:tcPr>
          <w:p w14:paraId="5E83FBEF" w14:textId="4C81C7B1" w:rsidR="00E874D4" w:rsidRPr="00B24172" w:rsidRDefault="00076FB3" w:rsidP="00DB7FF4">
            <w:pPr>
              <w:ind w:right="480"/>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ICS</w:t>
            </w:r>
          </w:p>
        </w:tc>
        <w:tc>
          <w:tcPr>
            <w:tcW w:w="2217" w:type="dxa"/>
            <w:shd w:val="clear" w:color="auto" w:fill="auto"/>
            <w:noWrap/>
            <w:vAlign w:val="bottom"/>
          </w:tcPr>
          <w:p w14:paraId="0864E030" w14:textId="609267CE" w:rsidR="00E874D4" w:rsidRPr="00B24172" w:rsidRDefault="00E91AA6"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0.31</w:t>
            </w:r>
          </w:p>
        </w:tc>
        <w:tc>
          <w:tcPr>
            <w:tcW w:w="2107" w:type="dxa"/>
            <w:shd w:val="clear" w:color="auto" w:fill="auto"/>
            <w:noWrap/>
            <w:vAlign w:val="bottom"/>
          </w:tcPr>
          <w:p w14:paraId="20F9352E" w14:textId="41CABF74" w:rsidR="00E874D4" w:rsidRPr="00B24172" w:rsidRDefault="001D3FD3" w:rsidP="00DB7FF4">
            <w:pPr>
              <w:jc w:val="center"/>
              <w:rPr>
                <w:rFonts w:asciiTheme="majorBidi" w:hAnsiTheme="majorBidi" w:cstheme="majorBidi"/>
                <w:sz w:val="22"/>
                <w:szCs w:val="22"/>
                <w:lang w:val="en-NZ" w:eastAsia="zh-CN"/>
              </w:rPr>
            </w:pPr>
            <w:r w:rsidRPr="00B24172">
              <w:rPr>
                <w:rFonts w:asciiTheme="majorBidi" w:hAnsiTheme="majorBidi" w:cstheme="majorBidi"/>
                <w:sz w:val="22"/>
                <w:szCs w:val="22"/>
                <w:lang w:val="en-NZ" w:eastAsia="zh-CN"/>
              </w:rPr>
              <w:t>0.</w:t>
            </w:r>
            <w:r w:rsidR="00E91AA6" w:rsidRPr="00B24172">
              <w:rPr>
                <w:rFonts w:asciiTheme="majorBidi" w:hAnsiTheme="majorBidi" w:cstheme="majorBidi"/>
                <w:sz w:val="22"/>
                <w:szCs w:val="22"/>
                <w:lang w:val="en-NZ" w:eastAsia="zh-CN"/>
              </w:rPr>
              <w:t>46</w:t>
            </w:r>
          </w:p>
        </w:tc>
      </w:tr>
    </w:tbl>
    <w:p w14:paraId="347BE199" w14:textId="2EB2C5F6" w:rsidR="00D92199" w:rsidRPr="00B24172" w:rsidRDefault="00C93DFA" w:rsidP="00DB7FF4">
      <w:pPr>
        <w:autoSpaceDE w:val="0"/>
        <w:autoSpaceDN w:val="0"/>
        <w:adjustRightInd w:val="0"/>
        <w:jc w:val="both"/>
        <w:rPr>
          <w:sz w:val="20"/>
          <w:szCs w:val="20"/>
          <w:lang w:val="en-NZ"/>
        </w:rPr>
      </w:pPr>
      <w:r w:rsidRPr="00B24172">
        <w:rPr>
          <w:sz w:val="20"/>
          <w:szCs w:val="20"/>
          <w:lang w:val="en-NZ"/>
        </w:rPr>
        <w:t>Authors’ calculations.</w:t>
      </w:r>
    </w:p>
    <w:p w14:paraId="1B612DC2" w14:textId="5E7D8D8B" w:rsidR="00A11D4A" w:rsidRPr="00B24172" w:rsidRDefault="00A11D4A" w:rsidP="00BF2AB8">
      <w:pPr>
        <w:autoSpaceDE w:val="0"/>
        <w:autoSpaceDN w:val="0"/>
        <w:adjustRightInd w:val="0"/>
        <w:spacing w:line="288" w:lineRule="auto"/>
        <w:jc w:val="both"/>
        <w:rPr>
          <w:lang w:val="en-NZ"/>
        </w:rPr>
      </w:pPr>
    </w:p>
    <w:p w14:paraId="0F8A85F6" w14:textId="5F1904D6" w:rsidR="00D92199" w:rsidRPr="00B24172" w:rsidRDefault="009E6B2C" w:rsidP="00BF2AB8">
      <w:pPr>
        <w:pStyle w:val="Heading1"/>
        <w:numPr>
          <w:ilvl w:val="0"/>
          <w:numId w:val="20"/>
        </w:numPr>
        <w:spacing w:before="0" w:after="0" w:line="288" w:lineRule="auto"/>
        <w:rPr>
          <w:sz w:val="24"/>
          <w:szCs w:val="28"/>
          <w:lang w:val="en-NZ"/>
        </w:rPr>
      </w:pPr>
      <w:r w:rsidRPr="00B24172">
        <w:rPr>
          <w:sz w:val="24"/>
          <w:szCs w:val="28"/>
          <w:lang w:val="en-NZ"/>
        </w:rPr>
        <w:t>Conclusions</w:t>
      </w:r>
    </w:p>
    <w:p w14:paraId="22683837" w14:textId="77777777" w:rsidR="00142F3A" w:rsidRPr="00B24172" w:rsidRDefault="00142F3A" w:rsidP="00142F3A">
      <w:pPr>
        <w:rPr>
          <w:sz w:val="12"/>
          <w:szCs w:val="12"/>
          <w:lang w:val="en-NZ"/>
        </w:rPr>
      </w:pPr>
    </w:p>
    <w:p w14:paraId="6EF3D012" w14:textId="07D20671" w:rsidR="001E22B9" w:rsidRPr="00B24172" w:rsidRDefault="00D0622E" w:rsidP="00D54EFC">
      <w:pPr>
        <w:autoSpaceDE w:val="0"/>
        <w:autoSpaceDN w:val="0"/>
        <w:adjustRightInd w:val="0"/>
        <w:spacing w:line="288" w:lineRule="auto"/>
        <w:jc w:val="both"/>
        <w:rPr>
          <w:lang w:val="en-NZ"/>
        </w:rPr>
      </w:pPr>
      <w:r w:rsidRPr="00B24172">
        <w:rPr>
          <w:lang w:val="en-NZ"/>
        </w:rPr>
        <w:t xml:space="preserve">Owing to </w:t>
      </w:r>
      <w:r w:rsidR="00962D3F" w:rsidRPr="00B24172">
        <w:rPr>
          <w:lang w:val="en-NZ"/>
        </w:rPr>
        <w:t>IAP</w:t>
      </w:r>
      <w:r w:rsidRPr="00B24172">
        <w:rPr>
          <w:lang w:val="en-NZ"/>
        </w:rPr>
        <w:t xml:space="preserve">, almost </w:t>
      </w:r>
      <w:r w:rsidR="00AA5465" w:rsidRPr="00B24172">
        <w:rPr>
          <w:lang w:val="en-NZ"/>
        </w:rPr>
        <w:t>four</w:t>
      </w:r>
      <w:r w:rsidRPr="00B24172">
        <w:rPr>
          <w:lang w:val="en-NZ"/>
        </w:rPr>
        <w:t xml:space="preserve"> million people are dying prematurely annually and yet more than </w:t>
      </w:r>
      <w:r w:rsidR="00AA5465" w:rsidRPr="00B24172">
        <w:rPr>
          <w:lang w:val="en-NZ"/>
        </w:rPr>
        <w:t>three</w:t>
      </w:r>
      <w:r w:rsidRPr="00B24172">
        <w:rPr>
          <w:lang w:val="en-NZ"/>
        </w:rPr>
        <w:t xml:space="preserve"> billion people depend upon solid fuel consumption</w:t>
      </w:r>
      <w:r w:rsidR="00AA5465" w:rsidRPr="00B24172">
        <w:rPr>
          <w:lang w:val="en-NZ"/>
        </w:rPr>
        <w:t>, even though it is the major contributor to IAP</w:t>
      </w:r>
      <w:r w:rsidRPr="00B24172">
        <w:rPr>
          <w:lang w:val="en-NZ"/>
        </w:rPr>
        <w:t xml:space="preserve">. Many </w:t>
      </w:r>
      <w:r w:rsidR="00E5711A" w:rsidRPr="00B24172">
        <w:rPr>
          <w:lang w:val="en-NZ"/>
        </w:rPr>
        <w:t xml:space="preserve">local, </w:t>
      </w:r>
      <w:r w:rsidRPr="00B24172">
        <w:rPr>
          <w:lang w:val="en-NZ"/>
        </w:rPr>
        <w:t>international</w:t>
      </w:r>
      <w:r w:rsidR="00E5711A" w:rsidRPr="00B24172">
        <w:rPr>
          <w:lang w:val="en-NZ"/>
        </w:rPr>
        <w:t xml:space="preserve">, </w:t>
      </w:r>
      <w:r w:rsidRPr="00B24172">
        <w:rPr>
          <w:lang w:val="en-NZ"/>
        </w:rPr>
        <w:t>government</w:t>
      </w:r>
      <w:r w:rsidR="00E5711A" w:rsidRPr="00B24172">
        <w:rPr>
          <w:lang w:val="en-NZ"/>
        </w:rPr>
        <w:t>,</w:t>
      </w:r>
      <w:r w:rsidRPr="00B24172">
        <w:rPr>
          <w:lang w:val="en-NZ"/>
        </w:rPr>
        <w:t xml:space="preserve"> and </w:t>
      </w:r>
      <w:r w:rsidR="00E5711A" w:rsidRPr="00B24172">
        <w:rPr>
          <w:lang w:val="en-NZ"/>
        </w:rPr>
        <w:t>non-government</w:t>
      </w:r>
      <w:r w:rsidRPr="00B24172">
        <w:rPr>
          <w:lang w:val="en-NZ"/>
        </w:rPr>
        <w:t xml:space="preserve"> organization</w:t>
      </w:r>
      <w:r w:rsidR="00AA5465" w:rsidRPr="00B24172">
        <w:rPr>
          <w:lang w:val="en-NZ"/>
        </w:rPr>
        <w:t>s</w:t>
      </w:r>
      <w:r w:rsidRPr="00B24172">
        <w:rPr>
          <w:lang w:val="en-NZ"/>
        </w:rPr>
        <w:t xml:space="preserve"> </w:t>
      </w:r>
      <w:r w:rsidR="00E5711A" w:rsidRPr="00B24172">
        <w:rPr>
          <w:lang w:val="en-NZ"/>
        </w:rPr>
        <w:t xml:space="preserve">have intervened to control </w:t>
      </w:r>
      <w:r w:rsidR="00962D3F" w:rsidRPr="00B24172">
        <w:rPr>
          <w:lang w:val="en-NZ"/>
        </w:rPr>
        <w:t>IAP</w:t>
      </w:r>
      <w:r w:rsidR="00E5711A" w:rsidRPr="00B24172">
        <w:rPr>
          <w:lang w:val="en-NZ"/>
        </w:rPr>
        <w:t xml:space="preserve"> by subsidising and investing </w:t>
      </w:r>
      <w:r w:rsidR="00AA5465" w:rsidRPr="00B24172">
        <w:rPr>
          <w:lang w:val="en-NZ"/>
        </w:rPr>
        <w:t xml:space="preserve">in </w:t>
      </w:r>
      <w:r w:rsidR="00E5711A" w:rsidRPr="00B24172">
        <w:rPr>
          <w:lang w:val="en-NZ"/>
        </w:rPr>
        <w:t>cleaner fuel</w:t>
      </w:r>
      <w:r w:rsidR="00AA5465" w:rsidRPr="00B24172">
        <w:rPr>
          <w:lang w:val="en-NZ"/>
        </w:rPr>
        <w:t xml:space="preserve"> adoption</w:t>
      </w:r>
      <w:r w:rsidR="00E5711A" w:rsidRPr="00B24172">
        <w:rPr>
          <w:lang w:val="en-NZ"/>
        </w:rPr>
        <w:t xml:space="preserve">. </w:t>
      </w:r>
      <w:r w:rsidR="00AA5465" w:rsidRPr="00B24172">
        <w:rPr>
          <w:lang w:val="en-NZ"/>
        </w:rPr>
        <w:t>However</w:t>
      </w:r>
      <w:r w:rsidR="00E5711A" w:rsidRPr="00B24172">
        <w:rPr>
          <w:lang w:val="en-NZ"/>
        </w:rPr>
        <w:t>, previous</w:t>
      </w:r>
      <w:r w:rsidR="00AA5465" w:rsidRPr="00B24172">
        <w:rPr>
          <w:lang w:val="en-NZ"/>
        </w:rPr>
        <w:t xml:space="preserve"> </w:t>
      </w:r>
      <w:r w:rsidR="00D54EFC" w:rsidRPr="00B24172">
        <w:rPr>
          <w:lang w:val="en-NZ"/>
        </w:rPr>
        <w:t>cost-benefit</w:t>
      </w:r>
      <w:r w:rsidR="00E5711A" w:rsidRPr="00B24172">
        <w:rPr>
          <w:lang w:val="en-NZ"/>
        </w:rPr>
        <w:t xml:space="preserve"> studies have focused on LPG, biogas, and</w:t>
      </w:r>
      <w:r w:rsidR="00076FB3" w:rsidRPr="00B24172">
        <w:rPr>
          <w:lang w:val="en-NZ"/>
        </w:rPr>
        <w:t xml:space="preserve"> ICS</w:t>
      </w:r>
      <w:r w:rsidR="00AA5465" w:rsidRPr="00B24172">
        <w:rPr>
          <w:lang w:val="en-NZ"/>
        </w:rPr>
        <w:t>, and few studies have considered the benefits and costs for a single country</w:t>
      </w:r>
      <w:r w:rsidR="00E5711A" w:rsidRPr="00B24172">
        <w:rPr>
          <w:lang w:val="en-NZ"/>
        </w:rPr>
        <w:t xml:space="preserve">. </w:t>
      </w:r>
      <w:r w:rsidR="00AA5465" w:rsidRPr="00B24172">
        <w:rPr>
          <w:lang w:val="en-NZ"/>
        </w:rPr>
        <w:t>We extended earlier analyses by including</w:t>
      </w:r>
      <w:r w:rsidR="00E5711A" w:rsidRPr="00B24172">
        <w:rPr>
          <w:lang w:val="en-NZ"/>
        </w:rPr>
        <w:t xml:space="preserve"> </w:t>
      </w:r>
      <w:r w:rsidR="00AA5465" w:rsidRPr="00B24172">
        <w:rPr>
          <w:lang w:val="en-NZ"/>
        </w:rPr>
        <w:t>consideration of piped</w:t>
      </w:r>
      <w:r w:rsidR="00E5711A" w:rsidRPr="00B24172">
        <w:rPr>
          <w:lang w:val="en-NZ"/>
        </w:rPr>
        <w:t xml:space="preserve"> natural gas and electric stove</w:t>
      </w:r>
      <w:r w:rsidR="00AA5465" w:rsidRPr="00B24172">
        <w:rPr>
          <w:lang w:val="en-NZ"/>
        </w:rPr>
        <w:t>s, alongside adoption of LPG, biogas, and ICS</w:t>
      </w:r>
      <w:r w:rsidR="00E5711A" w:rsidRPr="00B24172">
        <w:rPr>
          <w:lang w:val="en-NZ"/>
        </w:rPr>
        <w:t xml:space="preserve">. We followed the guidelines of the World Health Organization (WHO) to conduct </w:t>
      </w:r>
      <w:r w:rsidR="00D54EFC" w:rsidRPr="00B24172">
        <w:rPr>
          <w:lang w:val="en-NZ"/>
        </w:rPr>
        <w:t>cost-benefit</w:t>
      </w:r>
      <w:r w:rsidR="00E5711A" w:rsidRPr="00B24172">
        <w:rPr>
          <w:lang w:val="en-NZ"/>
        </w:rPr>
        <w:t xml:space="preserve"> analysis in Pakistan. </w:t>
      </w:r>
    </w:p>
    <w:p w14:paraId="00F85C16" w14:textId="77777777" w:rsidR="00A11D4A" w:rsidRPr="00B24172" w:rsidRDefault="00A11D4A" w:rsidP="00BF2AB8">
      <w:pPr>
        <w:autoSpaceDE w:val="0"/>
        <w:autoSpaceDN w:val="0"/>
        <w:adjustRightInd w:val="0"/>
        <w:spacing w:line="288" w:lineRule="auto"/>
        <w:jc w:val="both"/>
        <w:rPr>
          <w:lang w:val="en-NZ"/>
        </w:rPr>
      </w:pPr>
    </w:p>
    <w:p w14:paraId="0A91BC6F" w14:textId="0DCD7703" w:rsidR="00B22194" w:rsidRPr="00B24172" w:rsidRDefault="00CB7CA2" w:rsidP="00BF2AB8">
      <w:pPr>
        <w:autoSpaceDE w:val="0"/>
        <w:autoSpaceDN w:val="0"/>
        <w:adjustRightInd w:val="0"/>
        <w:spacing w:line="288" w:lineRule="auto"/>
        <w:ind w:firstLine="720"/>
        <w:jc w:val="both"/>
        <w:rPr>
          <w:lang w:val="en-NZ"/>
        </w:rPr>
      </w:pPr>
      <w:r w:rsidRPr="00B24172">
        <w:rPr>
          <w:lang w:val="en-NZ"/>
        </w:rPr>
        <w:t>It is challenging to rank the intervention</w:t>
      </w:r>
      <w:r w:rsidR="00AA5465" w:rsidRPr="00B24172">
        <w:rPr>
          <w:lang w:val="en-NZ"/>
        </w:rPr>
        <w:t>s</w:t>
      </w:r>
      <w:r w:rsidRPr="00B24172">
        <w:rPr>
          <w:lang w:val="en-NZ"/>
        </w:rPr>
        <w:t xml:space="preserve"> because of different scale</w:t>
      </w:r>
      <w:r w:rsidR="00AA5465" w:rsidRPr="00B24172">
        <w:rPr>
          <w:lang w:val="en-NZ"/>
        </w:rPr>
        <w:t>s</w:t>
      </w:r>
      <w:r w:rsidRPr="00B24172">
        <w:rPr>
          <w:lang w:val="en-NZ"/>
        </w:rPr>
        <w:t xml:space="preserve"> of the </w:t>
      </w:r>
      <w:r w:rsidR="00AA5465" w:rsidRPr="00B24172">
        <w:rPr>
          <w:lang w:val="en-NZ"/>
        </w:rPr>
        <w:t>interventions</w:t>
      </w:r>
      <w:r w:rsidRPr="00B24172">
        <w:rPr>
          <w:lang w:val="en-NZ"/>
        </w:rPr>
        <w:t xml:space="preserve">, timing, and risk factors. However, based on our </w:t>
      </w:r>
      <w:r w:rsidR="00FC17E4" w:rsidRPr="00B24172">
        <w:rPr>
          <w:lang w:val="en-NZ"/>
        </w:rPr>
        <w:t>analysis</w:t>
      </w:r>
      <w:r w:rsidR="00AA5465" w:rsidRPr="00B24172">
        <w:rPr>
          <w:lang w:val="en-NZ"/>
        </w:rPr>
        <w:t>,</w:t>
      </w:r>
      <w:r w:rsidRPr="00B24172">
        <w:rPr>
          <w:lang w:val="en-NZ"/>
        </w:rPr>
        <w:t xml:space="preserve"> we </w:t>
      </w:r>
      <w:r w:rsidR="00AA5465" w:rsidRPr="00B24172">
        <w:rPr>
          <w:lang w:val="en-NZ"/>
        </w:rPr>
        <w:t xml:space="preserve">conclude </w:t>
      </w:r>
      <w:r w:rsidRPr="00B24172">
        <w:rPr>
          <w:lang w:val="en-NZ"/>
        </w:rPr>
        <w:t>that LPG</w:t>
      </w:r>
      <w:r w:rsidR="00AA5465" w:rsidRPr="00B24172">
        <w:rPr>
          <w:lang w:val="en-NZ"/>
        </w:rPr>
        <w:t xml:space="preserve"> adoption</w:t>
      </w:r>
      <w:r w:rsidRPr="00B24172">
        <w:rPr>
          <w:lang w:val="en-NZ"/>
        </w:rPr>
        <w:t xml:space="preserve"> </w:t>
      </w:r>
      <w:r w:rsidR="00AA5465" w:rsidRPr="00B24172">
        <w:rPr>
          <w:lang w:val="en-NZ"/>
        </w:rPr>
        <w:t xml:space="preserve">is </w:t>
      </w:r>
      <w:r w:rsidRPr="00B24172">
        <w:rPr>
          <w:lang w:val="en-NZ"/>
        </w:rPr>
        <w:t>the most beneficial alternative</w:t>
      </w:r>
      <w:r w:rsidR="00AA5465" w:rsidRPr="00B24172">
        <w:rPr>
          <w:lang w:val="en-NZ"/>
        </w:rPr>
        <w:t>. It has the highest BCR</w:t>
      </w:r>
      <w:r w:rsidR="000D7EE3" w:rsidRPr="00B24172">
        <w:rPr>
          <w:lang w:val="en-NZ"/>
        </w:rPr>
        <w:t xml:space="preserve"> and</w:t>
      </w:r>
      <w:r w:rsidR="006C0B8A" w:rsidRPr="00B24172">
        <w:rPr>
          <w:lang w:val="en-NZ"/>
        </w:rPr>
        <w:t xml:space="preserve"> NPV</w:t>
      </w:r>
      <w:r w:rsidR="009169AA" w:rsidRPr="00B24172">
        <w:rPr>
          <w:lang w:val="en-NZ"/>
        </w:rPr>
        <w:t>,</w:t>
      </w:r>
      <w:r w:rsidR="00AA5465" w:rsidRPr="00B24172">
        <w:rPr>
          <w:lang w:val="en-NZ"/>
        </w:rPr>
        <w:t xml:space="preserve"> </w:t>
      </w:r>
      <w:r w:rsidR="006C0B8A" w:rsidRPr="00B24172">
        <w:rPr>
          <w:lang w:val="en-NZ"/>
        </w:rPr>
        <w:t xml:space="preserve">whereas </w:t>
      </w:r>
      <w:r w:rsidR="00AA5465" w:rsidRPr="00B24172">
        <w:rPr>
          <w:lang w:val="en-NZ"/>
        </w:rPr>
        <w:t>piped natural gas</w:t>
      </w:r>
      <w:r w:rsidR="00FC17E4" w:rsidRPr="00B24172">
        <w:rPr>
          <w:lang w:val="en-NZ"/>
        </w:rPr>
        <w:t xml:space="preserve"> and electric stove</w:t>
      </w:r>
      <w:r w:rsidR="009169AA" w:rsidRPr="00B24172">
        <w:rPr>
          <w:lang w:val="en-NZ"/>
        </w:rPr>
        <w:t>s</w:t>
      </w:r>
      <w:r w:rsidR="006C0B8A" w:rsidRPr="00B24172">
        <w:rPr>
          <w:lang w:val="en-NZ"/>
        </w:rPr>
        <w:t xml:space="preserve"> ranked second and third respectively</w:t>
      </w:r>
      <w:r w:rsidR="00AA5465" w:rsidRPr="00B24172">
        <w:rPr>
          <w:lang w:val="en-NZ"/>
        </w:rPr>
        <w:t xml:space="preserve">. However, </w:t>
      </w:r>
      <w:r w:rsidR="00FC17E4" w:rsidRPr="00B24172">
        <w:rPr>
          <w:lang w:val="en-NZ"/>
        </w:rPr>
        <w:t xml:space="preserve">electric stoves and </w:t>
      </w:r>
      <w:r w:rsidR="00AA5465" w:rsidRPr="00B24172">
        <w:rPr>
          <w:lang w:val="en-NZ"/>
        </w:rPr>
        <w:t>piped natural gas would require significant infrastructure investment in Pakistan, which is not accounted for in our analysis.</w:t>
      </w:r>
      <w:r w:rsidRPr="00B24172">
        <w:rPr>
          <w:lang w:val="en-NZ"/>
        </w:rPr>
        <w:t xml:space="preserve"> </w:t>
      </w:r>
      <w:r w:rsidR="00FC17E4" w:rsidRPr="00B24172">
        <w:rPr>
          <w:lang w:val="en-NZ"/>
        </w:rPr>
        <w:t>Nevertheless</w:t>
      </w:r>
      <w:r w:rsidR="00AA5465" w:rsidRPr="00B24172">
        <w:rPr>
          <w:lang w:val="en-NZ"/>
        </w:rPr>
        <w:t>, other developing countries that do not face high infrastructure costs to adopt piped natural gas</w:t>
      </w:r>
      <w:r w:rsidR="00FC17E4" w:rsidRPr="00B24172">
        <w:rPr>
          <w:lang w:val="en-NZ"/>
        </w:rPr>
        <w:t xml:space="preserve"> and electricity</w:t>
      </w:r>
      <w:r w:rsidR="00AA5465" w:rsidRPr="00B24172">
        <w:rPr>
          <w:lang w:val="en-NZ"/>
        </w:rPr>
        <w:t xml:space="preserve"> may find it to be a more cost-effective alternative.</w:t>
      </w:r>
    </w:p>
    <w:p w14:paraId="14249BB7" w14:textId="77777777" w:rsidR="00A11D4A" w:rsidRPr="00B24172" w:rsidRDefault="00A11D4A" w:rsidP="00BF2AB8">
      <w:pPr>
        <w:autoSpaceDE w:val="0"/>
        <w:autoSpaceDN w:val="0"/>
        <w:adjustRightInd w:val="0"/>
        <w:spacing w:line="288" w:lineRule="auto"/>
        <w:ind w:firstLine="720"/>
        <w:jc w:val="both"/>
        <w:rPr>
          <w:lang w:val="en-NZ"/>
        </w:rPr>
      </w:pPr>
    </w:p>
    <w:p w14:paraId="7D900521" w14:textId="77777777" w:rsidR="0097653E" w:rsidRPr="00B24172" w:rsidRDefault="0097653E" w:rsidP="00BF2AB8">
      <w:pPr>
        <w:autoSpaceDE w:val="0"/>
        <w:autoSpaceDN w:val="0"/>
        <w:adjustRightInd w:val="0"/>
        <w:spacing w:line="288" w:lineRule="auto"/>
        <w:ind w:firstLine="720"/>
        <w:jc w:val="both"/>
        <w:rPr>
          <w:lang w:val="en-NZ"/>
        </w:rPr>
      </w:pPr>
    </w:p>
    <w:p w14:paraId="40DC6E71" w14:textId="77777777" w:rsidR="0097653E" w:rsidRPr="00B24172" w:rsidRDefault="0097653E" w:rsidP="00BF2AB8">
      <w:pPr>
        <w:autoSpaceDE w:val="0"/>
        <w:autoSpaceDN w:val="0"/>
        <w:adjustRightInd w:val="0"/>
        <w:spacing w:line="288" w:lineRule="auto"/>
        <w:ind w:firstLine="720"/>
        <w:jc w:val="both"/>
        <w:rPr>
          <w:lang w:val="en-NZ"/>
        </w:rPr>
      </w:pPr>
    </w:p>
    <w:p w14:paraId="13F69DD5" w14:textId="1757D3E8" w:rsidR="0038364E" w:rsidRPr="00B24172" w:rsidRDefault="009C2031" w:rsidP="00BF2AB8">
      <w:pPr>
        <w:autoSpaceDE w:val="0"/>
        <w:autoSpaceDN w:val="0"/>
        <w:adjustRightInd w:val="0"/>
        <w:spacing w:line="288" w:lineRule="auto"/>
        <w:ind w:firstLine="720"/>
        <w:jc w:val="both"/>
        <w:rPr>
          <w:lang w:val="en-NZ"/>
        </w:rPr>
      </w:pPr>
      <w:r w:rsidRPr="00B24172">
        <w:rPr>
          <w:lang w:val="en-NZ"/>
        </w:rPr>
        <w:t>We faced several challenges in monetizing the benefits and cost</w:t>
      </w:r>
      <w:r w:rsidR="00AA5465" w:rsidRPr="00B24172">
        <w:rPr>
          <w:lang w:val="en-NZ"/>
        </w:rPr>
        <w:t>s</w:t>
      </w:r>
      <w:r w:rsidRPr="00B24172">
        <w:rPr>
          <w:lang w:val="en-NZ"/>
        </w:rPr>
        <w:t xml:space="preserve"> due to non-availability of </w:t>
      </w:r>
      <w:r w:rsidR="0038364E" w:rsidRPr="00B24172">
        <w:rPr>
          <w:lang w:val="en-NZ"/>
        </w:rPr>
        <w:t>credible</w:t>
      </w:r>
      <w:r w:rsidRPr="00B24172">
        <w:rPr>
          <w:lang w:val="en-NZ"/>
        </w:rPr>
        <w:t xml:space="preserve"> data</w:t>
      </w:r>
      <w:r w:rsidR="00AA5465" w:rsidRPr="00B24172">
        <w:rPr>
          <w:lang w:val="en-NZ"/>
        </w:rPr>
        <w:t>.</w:t>
      </w:r>
      <w:r w:rsidRPr="00B24172">
        <w:rPr>
          <w:lang w:val="en-NZ"/>
        </w:rPr>
        <w:t xml:space="preserve"> Arguably, </w:t>
      </w:r>
      <w:r w:rsidR="00400954" w:rsidRPr="00B24172">
        <w:rPr>
          <w:lang w:val="en-NZ"/>
        </w:rPr>
        <w:t>several</w:t>
      </w:r>
      <w:r w:rsidRPr="00B24172">
        <w:rPr>
          <w:lang w:val="en-NZ"/>
        </w:rPr>
        <w:t xml:space="preserve"> of our assumptions </w:t>
      </w:r>
      <w:r w:rsidR="00400954" w:rsidRPr="00B24172">
        <w:rPr>
          <w:lang w:val="en-NZ"/>
        </w:rPr>
        <w:t>were</w:t>
      </w:r>
      <w:r w:rsidRPr="00B24172">
        <w:rPr>
          <w:lang w:val="en-NZ"/>
        </w:rPr>
        <w:t xml:space="preserve"> very close to the real </w:t>
      </w:r>
      <w:r w:rsidR="001E22B9" w:rsidRPr="00B24172">
        <w:rPr>
          <w:lang w:val="en-NZ"/>
        </w:rPr>
        <w:t>life;</w:t>
      </w:r>
      <w:r w:rsidRPr="00B24172">
        <w:rPr>
          <w:lang w:val="en-NZ"/>
        </w:rPr>
        <w:t xml:space="preserve"> however, we</w:t>
      </w:r>
      <w:r w:rsidR="00AA5465" w:rsidRPr="00B24172">
        <w:rPr>
          <w:lang w:val="en-NZ"/>
        </w:rPr>
        <w:t xml:space="preserve"> also accounted for uncertainty </w:t>
      </w:r>
      <w:r w:rsidR="00775E17" w:rsidRPr="00B24172">
        <w:rPr>
          <w:lang w:val="en-NZ"/>
        </w:rPr>
        <w:t>with</w:t>
      </w:r>
      <w:r w:rsidR="00AA5465" w:rsidRPr="00B24172">
        <w:rPr>
          <w:lang w:val="en-NZ"/>
        </w:rPr>
        <w:t xml:space="preserve"> sensitivity analysis</w:t>
      </w:r>
      <w:r w:rsidRPr="00B24172">
        <w:rPr>
          <w:lang w:val="en-NZ"/>
        </w:rPr>
        <w:t xml:space="preserve">. </w:t>
      </w:r>
      <w:r w:rsidR="006550E2" w:rsidRPr="00B24172">
        <w:rPr>
          <w:lang w:val="en-NZ"/>
        </w:rPr>
        <w:t xml:space="preserve">Even </w:t>
      </w:r>
      <w:r w:rsidR="00AA5465" w:rsidRPr="00B24172">
        <w:rPr>
          <w:lang w:val="en-NZ"/>
        </w:rPr>
        <w:t xml:space="preserve">in the most </w:t>
      </w:r>
      <w:r w:rsidR="006550E2" w:rsidRPr="00B24172">
        <w:rPr>
          <w:lang w:val="en-NZ"/>
        </w:rPr>
        <w:t xml:space="preserve">pessimistic </w:t>
      </w:r>
      <w:r w:rsidR="00AA5465" w:rsidRPr="00B24172">
        <w:rPr>
          <w:lang w:val="en-NZ"/>
        </w:rPr>
        <w:t xml:space="preserve">scenario, </w:t>
      </w:r>
      <w:r w:rsidR="006550E2" w:rsidRPr="00B24172">
        <w:rPr>
          <w:lang w:val="en-NZ"/>
        </w:rPr>
        <w:t>the</w:t>
      </w:r>
      <w:r w:rsidR="008A33CD" w:rsidRPr="00B24172">
        <w:rPr>
          <w:lang w:val="en-NZ"/>
        </w:rPr>
        <w:t xml:space="preserve"> BCR</w:t>
      </w:r>
      <w:r w:rsidR="00AA5465" w:rsidRPr="00B24172">
        <w:rPr>
          <w:lang w:val="en-NZ"/>
        </w:rPr>
        <w:t>s</w:t>
      </w:r>
      <w:r w:rsidR="006550E2" w:rsidRPr="00B24172">
        <w:rPr>
          <w:lang w:val="en-NZ"/>
        </w:rPr>
        <w:t xml:space="preserve"> of the alternative </w:t>
      </w:r>
      <w:r w:rsidR="00AA5465" w:rsidRPr="00B24172">
        <w:rPr>
          <w:lang w:val="en-NZ"/>
        </w:rPr>
        <w:t>interventions</w:t>
      </w:r>
      <w:r w:rsidR="001E4362" w:rsidRPr="00B24172">
        <w:rPr>
          <w:lang w:val="en-NZ"/>
        </w:rPr>
        <w:t xml:space="preserve"> (clean fuels)</w:t>
      </w:r>
      <w:r w:rsidR="006550E2" w:rsidRPr="00B24172">
        <w:rPr>
          <w:lang w:val="en-NZ"/>
        </w:rPr>
        <w:t xml:space="preserve"> were </w:t>
      </w:r>
      <w:r w:rsidR="00AA5465" w:rsidRPr="00B24172">
        <w:rPr>
          <w:lang w:val="en-NZ"/>
        </w:rPr>
        <w:t xml:space="preserve">greater than one, </w:t>
      </w:r>
      <w:r w:rsidR="006550E2" w:rsidRPr="00B24172">
        <w:rPr>
          <w:lang w:val="en-NZ"/>
        </w:rPr>
        <w:t xml:space="preserve">implying that the interventions are beneficial. </w:t>
      </w:r>
      <w:r w:rsidR="00BA60F3" w:rsidRPr="00B24172">
        <w:rPr>
          <w:lang w:val="en-NZ"/>
        </w:rPr>
        <w:t>Our findings can</w:t>
      </w:r>
      <w:r w:rsidR="00912585" w:rsidRPr="00B24172">
        <w:rPr>
          <w:lang w:val="en-NZ"/>
        </w:rPr>
        <w:t xml:space="preserve"> be used to</w:t>
      </w:r>
      <w:r w:rsidR="00BA60F3" w:rsidRPr="00B24172">
        <w:rPr>
          <w:lang w:val="en-NZ"/>
        </w:rPr>
        <w:t xml:space="preserve"> guide</w:t>
      </w:r>
      <w:r w:rsidR="003C3737" w:rsidRPr="00B24172">
        <w:rPr>
          <w:lang w:val="en-NZ"/>
        </w:rPr>
        <w:t xml:space="preserve"> </w:t>
      </w:r>
      <w:r w:rsidR="00912585" w:rsidRPr="00B24172">
        <w:rPr>
          <w:lang w:val="en-NZ"/>
        </w:rPr>
        <w:t>g</w:t>
      </w:r>
      <w:r w:rsidR="00BA60F3" w:rsidRPr="00B24172">
        <w:rPr>
          <w:lang w:val="en-NZ"/>
        </w:rPr>
        <w:t>overnment</w:t>
      </w:r>
      <w:r w:rsidR="00912585" w:rsidRPr="00B24172">
        <w:rPr>
          <w:lang w:val="en-NZ"/>
        </w:rPr>
        <w:t>s</w:t>
      </w:r>
      <w:r w:rsidR="00BA60F3" w:rsidRPr="00B24172">
        <w:rPr>
          <w:lang w:val="en-NZ"/>
        </w:rPr>
        <w:t xml:space="preserve"> and other stakeholders in choosing the </w:t>
      </w:r>
      <w:r w:rsidR="00912585" w:rsidRPr="00B24172">
        <w:rPr>
          <w:lang w:val="en-NZ"/>
        </w:rPr>
        <w:t xml:space="preserve">most </w:t>
      </w:r>
      <w:r w:rsidR="006C0B8A" w:rsidRPr="00B24172">
        <w:rPr>
          <w:lang w:val="en-NZ"/>
        </w:rPr>
        <w:t>beneficial</w:t>
      </w:r>
      <w:r w:rsidR="00912585" w:rsidRPr="00B24172">
        <w:rPr>
          <w:lang w:val="en-NZ"/>
        </w:rPr>
        <w:t xml:space="preserve"> </w:t>
      </w:r>
      <w:r w:rsidR="00BA60F3" w:rsidRPr="00B24172">
        <w:rPr>
          <w:lang w:val="en-NZ"/>
        </w:rPr>
        <w:t>intervention to reduce IAP.</w:t>
      </w:r>
    </w:p>
    <w:p w14:paraId="7711ADFF" w14:textId="6385C3E8" w:rsidR="00FA42B7" w:rsidRPr="00B24172" w:rsidRDefault="00FA42B7" w:rsidP="00BF2AB8">
      <w:pPr>
        <w:autoSpaceDE w:val="0"/>
        <w:autoSpaceDN w:val="0"/>
        <w:adjustRightInd w:val="0"/>
        <w:spacing w:line="288" w:lineRule="auto"/>
        <w:jc w:val="both"/>
        <w:rPr>
          <w:lang w:val="en-NZ"/>
        </w:rPr>
      </w:pPr>
    </w:p>
    <w:p w14:paraId="1DB999D6" w14:textId="77777777" w:rsidR="0097653E" w:rsidRPr="00B24172" w:rsidRDefault="0097653E" w:rsidP="00BF2AB8">
      <w:pPr>
        <w:autoSpaceDE w:val="0"/>
        <w:autoSpaceDN w:val="0"/>
        <w:adjustRightInd w:val="0"/>
        <w:spacing w:line="288" w:lineRule="auto"/>
        <w:jc w:val="both"/>
        <w:rPr>
          <w:lang w:val="en-NZ"/>
        </w:rPr>
      </w:pPr>
    </w:p>
    <w:p w14:paraId="7C4D039F" w14:textId="3E6D2DA4" w:rsidR="000B5C3B" w:rsidRPr="00B24172" w:rsidRDefault="000B5C3B" w:rsidP="00BF2AB8">
      <w:pPr>
        <w:pStyle w:val="Heading1"/>
        <w:spacing w:before="0" w:after="0" w:line="288" w:lineRule="auto"/>
        <w:rPr>
          <w:sz w:val="24"/>
          <w:szCs w:val="28"/>
        </w:rPr>
      </w:pPr>
      <w:bookmarkStart w:id="4" w:name="_Toc443491048"/>
      <w:bookmarkEnd w:id="3"/>
      <w:r w:rsidRPr="00B24172">
        <w:rPr>
          <w:sz w:val="24"/>
          <w:szCs w:val="28"/>
        </w:rPr>
        <w:t>References</w:t>
      </w:r>
      <w:bookmarkEnd w:id="4"/>
    </w:p>
    <w:p w14:paraId="3190F1DC" w14:textId="77777777" w:rsidR="00367EDB" w:rsidRPr="00B24172" w:rsidRDefault="00367EDB" w:rsidP="00BF2AB8">
      <w:pPr>
        <w:spacing w:line="288" w:lineRule="auto"/>
        <w:rPr>
          <w:sz w:val="12"/>
          <w:szCs w:val="12"/>
          <w:lang w:val="en-NZ"/>
        </w:rPr>
      </w:pPr>
    </w:p>
    <w:p w14:paraId="3E4AD5B6" w14:textId="77777777" w:rsidR="00A260FD" w:rsidRPr="00B24172" w:rsidRDefault="00367EDB" w:rsidP="00A260FD">
      <w:pPr>
        <w:pStyle w:val="Bibliography"/>
      </w:pPr>
      <w:r w:rsidRPr="00B24172">
        <w:rPr>
          <w:sz w:val="22"/>
          <w:szCs w:val="22"/>
        </w:rPr>
        <w:fldChar w:fldCharType="begin"/>
      </w:r>
      <w:r w:rsidR="00A260FD" w:rsidRPr="00B24172">
        <w:rPr>
          <w:sz w:val="22"/>
          <w:szCs w:val="22"/>
        </w:rPr>
        <w:instrText xml:space="preserve"> ADDIN ZOTERO_BIBL {"uncited":[],"omitted":[],"custom":[]} CSL_BIBLIOGRAPHY </w:instrText>
      </w:r>
      <w:r w:rsidRPr="00B24172">
        <w:rPr>
          <w:sz w:val="22"/>
          <w:szCs w:val="22"/>
        </w:rPr>
        <w:fldChar w:fldCharType="separate"/>
      </w:r>
      <w:r w:rsidR="00A260FD" w:rsidRPr="00B24172">
        <w:t>Abbas, T., Ali, G., Adil, S. A., Bashir, M. K., &amp; Kamran, M. A. (2017). Economic analysis of biogas adoption technology by rural farmers: The case of Faisalabad district in Pakistan. Renewable Energy, 107, 431–439. https://doi.org/10.1016/j.renene.2017.01.060</w:t>
      </w:r>
    </w:p>
    <w:p w14:paraId="57F5780A" w14:textId="77777777" w:rsidR="00A260FD" w:rsidRPr="00B24172" w:rsidRDefault="00A260FD" w:rsidP="00A260FD">
      <w:pPr>
        <w:pStyle w:val="Bibliography"/>
      </w:pPr>
      <w:r w:rsidRPr="00B24172">
        <w:t>Amjid, S. S., Bilal, M. Q., Nazir, M. S., &amp; Hussain, A. (2011). Biogas, renewable energy resource for Pakistan. Renewable and Sustainable Energy Reviews, 15(6), 2833–2837. https://doi.org/10.1016/j.rser.2011.02.041</w:t>
      </w:r>
    </w:p>
    <w:p w14:paraId="7F0AF810" w14:textId="77777777" w:rsidR="00A260FD" w:rsidRPr="00B24172" w:rsidRDefault="00A260FD" w:rsidP="00A260FD">
      <w:pPr>
        <w:pStyle w:val="Bibliography"/>
      </w:pPr>
      <w:r w:rsidRPr="00B24172">
        <w:rPr>
          <w:lang w:val="de-DE"/>
        </w:rPr>
        <w:t xml:space="preserve">Aunan, K., Alnes, L. W. H., Berger, J., Dong, Z., Ma, L., Mestl, H. E. S., Vennemo, H., Wang, S., &amp; Zhang, W. (2013). </w:t>
      </w:r>
      <w:r w:rsidRPr="00B24172">
        <w:t>Upgrading to cleaner household stoves and reducing chronic obstructive pulmonary disease among women in rural China—A cost-benefit analysis. Energy for Sustainable Development, 17(5), 489–496. https://doi.org/10.1016/j.esd.2013.06.002</w:t>
      </w:r>
    </w:p>
    <w:p w14:paraId="62DB753F" w14:textId="77777777" w:rsidR="00A260FD" w:rsidRPr="00B24172" w:rsidRDefault="00A260FD" w:rsidP="00A260FD">
      <w:pPr>
        <w:pStyle w:val="Bibliography"/>
      </w:pPr>
      <w:r w:rsidRPr="00B24172">
        <w:t>Barnes, B. R., Mathee, A., Krieger, L., Shafritz, L., Favin, M., &amp; Sherburne, L. (2004). Testing selected behaviors to reduce indoor air pollution exposure in young children. Health Education Research, 19(5), 543–550. https://doi.org/10.1093/her/cyg075</w:t>
      </w:r>
    </w:p>
    <w:p w14:paraId="182DE069" w14:textId="77777777" w:rsidR="00A260FD" w:rsidRPr="00B24172" w:rsidRDefault="00A260FD" w:rsidP="00A260FD">
      <w:pPr>
        <w:pStyle w:val="Bibliography"/>
      </w:pPr>
      <w:r w:rsidRPr="00B24172">
        <w:t>Bhat, P. R., Chanakya, H. N., &amp; Ravindranath, N. H. (2001). Biogas plant dissemination: Success story of Sirsi, India. Energy for Sustainable Development, 5(1), 39–46. https://doi.org/10.1016/S0973-0826(09)60019-3</w:t>
      </w:r>
    </w:p>
    <w:p w14:paraId="3306CC8D" w14:textId="77777777" w:rsidR="00A260FD" w:rsidRPr="00B24172" w:rsidRDefault="00A260FD" w:rsidP="00A260FD">
      <w:pPr>
        <w:pStyle w:val="Bibliography"/>
      </w:pPr>
      <w:r w:rsidRPr="00B24172">
        <w:lastRenderedPageBreak/>
        <w:t>Bruce, N., McCracken, J., Albalak, R., Scheid, M., Smith, K. R., Lopez, V., &amp; West, C. (2004). Impact of improved stoves, house construction and child location on levels of indoor air pollution exposure in young Guatemalan children. Journal of Exposure Science and Environmental Epidemiology, 14(S1), S26–S33. https://doi.org/10.1038/sj.jea.7500355</w:t>
      </w:r>
    </w:p>
    <w:p w14:paraId="26E1FDBD" w14:textId="77777777" w:rsidR="00A260FD" w:rsidRPr="00B24172" w:rsidRDefault="00A260FD" w:rsidP="00A260FD">
      <w:pPr>
        <w:pStyle w:val="Bibliography"/>
      </w:pPr>
      <w:r w:rsidRPr="00B24172">
        <w:t>Bruce, N., Perez-Padilla, R., &amp; Albalak, R. (2000). Indoor air pollution in developing countries: A major environmental and public health challenge. Bulletin of the World Health Organization, 78(9), 1078–1092. https://doi.org/10.1590/S0042-96862000000900004</w:t>
      </w:r>
    </w:p>
    <w:p w14:paraId="46CFFE32" w14:textId="77777777" w:rsidR="00A260FD" w:rsidRPr="00B24172" w:rsidRDefault="00A260FD" w:rsidP="00A260FD">
      <w:pPr>
        <w:pStyle w:val="Bibliography"/>
      </w:pPr>
      <w:r w:rsidRPr="00B24172">
        <w:t>Cameron, M., Gibson, J., Helmers, K., Lim, S., Tressler, J., &amp; Vaddanak, K. (2010). The value of statistical life and cost–benefit evaluations of landmine clearance in Cambodia. Environment and Development Economics, 15(4), 395–416. https://doi.org/10.1017/S1355770X10000069</w:t>
      </w:r>
    </w:p>
    <w:p w14:paraId="3457A965" w14:textId="77777777" w:rsidR="00A260FD" w:rsidRPr="00B24172" w:rsidRDefault="00A260FD" w:rsidP="00A260FD">
      <w:pPr>
        <w:pStyle w:val="Bibliography"/>
      </w:pPr>
      <w:r w:rsidRPr="00B24172">
        <w:t>Colbeck, I., Nasir, Z. A., &amp; Ali, Z. (2010). Characteristics of indoor/outdoor particulate pollution in urban and rural residential environment of Pakistan. Indoor Air, 20(1), 40–51. https://doi.org/10.1111/j.1600-0668.2009.00624.x</w:t>
      </w:r>
    </w:p>
    <w:p w14:paraId="220A4A61" w14:textId="77777777" w:rsidR="00A260FD" w:rsidRPr="00B24172" w:rsidRDefault="00A260FD" w:rsidP="00A260FD">
      <w:pPr>
        <w:pStyle w:val="Bibliography"/>
      </w:pPr>
      <w:r w:rsidRPr="00B24172">
        <w:t>Colbeck, Ian, Nasir, Z. A., &amp; Ali, Z. (2010). The state of indoor air quality in Pakistan—A review. Environmental Science and Pollution Research, 17(6), 1187–1196. https://doi.org/10.1007/s11356-010-0293-3</w:t>
      </w:r>
    </w:p>
    <w:p w14:paraId="7FD43809" w14:textId="77777777" w:rsidR="00A260FD" w:rsidRPr="00B24172" w:rsidRDefault="00A260FD" w:rsidP="00A260FD">
      <w:pPr>
        <w:pStyle w:val="Bibliography"/>
      </w:pPr>
      <w:r w:rsidRPr="00B24172">
        <w:t>Cooper, J. A. (1980). Environmental Impact of Residential Wood Combustion Emissions and its Implications. Journal of the Air Pollution Control Association, 30(8), 855–861. https://doi.org/10.1080/00022470.1980.10465119</w:t>
      </w:r>
    </w:p>
    <w:p w14:paraId="0B76B872" w14:textId="77777777" w:rsidR="00A260FD" w:rsidRPr="00B24172" w:rsidRDefault="00A260FD" w:rsidP="00A260FD">
      <w:pPr>
        <w:pStyle w:val="Bibliography"/>
      </w:pPr>
      <w:r w:rsidRPr="00B24172">
        <w:rPr>
          <w:lang w:val="it-IT"/>
        </w:rPr>
        <w:t xml:space="preserve">Duflo, E., Greenstone, M., &amp; Hanna, R. (2008). </w:t>
      </w:r>
      <w:r w:rsidRPr="00B24172">
        <w:t>Indoor air pollution, health and economic well-being. S.A.P.I.EN.S. Surveys and Perspectives Integrating Environment and Society, 1.1. http://journals.openedition.org/sapiens/130</w:t>
      </w:r>
    </w:p>
    <w:p w14:paraId="648E949A" w14:textId="77777777" w:rsidR="00A260FD" w:rsidRPr="00B24172" w:rsidRDefault="00A260FD" w:rsidP="00A260FD">
      <w:pPr>
        <w:pStyle w:val="Bibliography"/>
      </w:pPr>
      <w:r w:rsidRPr="00B24172">
        <w:lastRenderedPageBreak/>
        <w:t>Edwards, J. H. Y., &amp; Langpap, C. (2012). Fuel choice, indoor air pollution and children’s health. Environment and Development Economics, 17(4), 379–406. http://dx.doi.org.ezproxy.waikato.ac.nz/10.1017/S1355770X12000010</w:t>
      </w:r>
    </w:p>
    <w:p w14:paraId="4CE7B1B5" w14:textId="77777777" w:rsidR="00A260FD" w:rsidRPr="00B24172" w:rsidRDefault="00A260FD" w:rsidP="00A260FD">
      <w:pPr>
        <w:pStyle w:val="Bibliography"/>
      </w:pPr>
      <w:r w:rsidRPr="00B24172">
        <w:t>Environment, D. of the. (2013, July 4). A Methodology for Cost-Benefit Analysis of Ambient Air Pollution Health Impacts [Text]. https://www.environment.gov.au/protection/publications/methodology-cost-benefit-analysis-ambient-air-pollution-health-impacts</w:t>
      </w:r>
    </w:p>
    <w:p w14:paraId="282502FF" w14:textId="2EF0C036" w:rsidR="0007486A" w:rsidRPr="00B24172" w:rsidRDefault="0007486A" w:rsidP="00A260FD">
      <w:pPr>
        <w:pStyle w:val="Bibliography"/>
      </w:pPr>
      <w:r w:rsidRPr="00B24172">
        <w:t>EPA [U.S. Environmental Protection Agency] (2000). Guidelines for preparing economic analyses. Washington, DC: U.S. Government Printing Office.</w:t>
      </w:r>
    </w:p>
    <w:p w14:paraId="6F995DD1" w14:textId="2F389125" w:rsidR="00A260FD" w:rsidRPr="00B24172" w:rsidRDefault="00A260FD" w:rsidP="00A260FD">
      <w:pPr>
        <w:pStyle w:val="Bibliography"/>
      </w:pPr>
      <w:r w:rsidRPr="00B24172">
        <w:t>Ezzati, M. (2005). Indoor air pollution and health in developing countries. The Lancet, 366(9480), 104–106. https://doi.org/10.1016/S0140-6736(05)66845-6</w:t>
      </w:r>
    </w:p>
    <w:p w14:paraId="69B11ECC" w14:textId="77777777" w:rsidR="00A260FD" w:rsidRPr="00B24172" w:rsidRDefault="00A260FD" w:rsidP="00A260FD">
      <w:pPr>
        <w:pStyle w:val="Bibliography"/>
      </w:pPr>
      <w:r w:rsidRPr="00B24172">
        <w:t>Fullerton, D. G., Bruce, N., &amp; Gordon, S. B. (2008). Indoor air pollution from biomass fuel smoke is a major health concern in the developing world. Transactions of The Royal Society of Tropical Medicine and Hygiene, 102(9), 843–851. https://doi.org/10.1016/j.trstmh.2008.05.028</w:t>
      </w:r>
    </w:p>
    <w:p w14:paraId="4AF76C53" w14:textId="77777777" w:rsidR="00A260FD" w:rsidRPr="00B24172" w:rsidRDefault="00A260FD" w:rsidP="00A260FD">
      <w:pPr>
        <w:pStyle w:val="Bibliography"/>
      </w:pPr>
      <w:r w:rsidRPr="00B24172">
        <w:t>García-Frapolli, E., Schilmann, A., Berrueta, V. M., Riojas-Rodríguez, H., Edwards, R. D., Johnson, M., Guevara-Sanginés, A., Armendariz, C., &amp; Masera, O. (2010). Beyond fuelwood savings: Valuing the economic benefits of introducing improved biomass cookstoves in the Purépecha region of Mexico. Ecological Economics, 69(12), 2598–2605. https://doi.org/10.1016/j.ecolecon.2010.08.004</w:t>
      </w:r>
    </w:p>
    <w:p w14:paraId="11037B6E" w14:textId="77777777" w:rsidR="00A260FD" w:rsidRPr="00B24172" w:rsidRDefault="00A260FD" w:rsidP="00A260FD">
      <w:pPr>
        <w:pStyle w:val="Bibliography"/>
      </w:pPr>
      <w:r w:rsidRPr="00B24172">
        <w:t>Gwavuya, S. G., Abele, S., Barfuss, I., Zeller, M., &amp; Müller, J. (2012). Household energy economics in rural Ethiopia: A cost-benefit analysis of biogas energy. Renewable Energy, 48, 202–209. https://doi.org/10.1016/j.renene.2012.04.042</w:t>
      </w:r>
    </w:p>
    <w:p w14:paraId="4DA2E52E" w14:textId="77777777" w:rsidR="00A260FD" w:rsidRPr="00B24172" w:rsidRDefault="00A260FD" w:rsidP="00A260FD">
      <w:pPr>
        <w:pStyle w:val="Bibliography"/>
      </w:pPr>
      <w:r w:rsidRPr="00B24172">
        <w:lastRenderedPageBreak/>
        <w:t>Hanna, R., Duflo, E., &amp; Greenstone, M. (2016). Up in Smoke: The Influence of Household Behavior on the Long-Run Impact of Improved Cooking Stoves. American Economic Journal: Economic Policy, 8(1), 80–114. https://doi.org/10.1257/pol.20140008</w:t>
      </w:r>
    </w:p>
    <w:p w14:paraId="7D3EF4B7" w14:textId="3CC7FB6A" w:rsidR="00A260FD" w:rsidRPr="00B24172" w:rsidRDefault="00A260FD" w:rsidP="00A260FD">
      <w:pPr>
        <w:pStyle w:val="Bibliography"/>
      </w:pPr>
      <w:r w:rsidRPr="00B24172">
        <w:t>Hutton, G., &amp; Rehfuess, E. (2006). Guidelines for conducting cost-benefit analysis of household energy and health interventions. WHO.</w:t>
      </w:r>
    </w:p>
    <w:p w14:paraId="5747461C" w14:textId="5AB727A6" w:rsidR="00A260FD" w:rsidRPr="00B24172" w:rsidRDefault="00A260FD" w:rsidP="00A260FD">
      <w:pPr>
        <w:pStyle w:val="Bibliography"/>
      </w:pPr>
      <w:r w:rsidRPr="00B24172">
        <w:t>Hutton, G., Rehfuess, E., &amp; Tediosi, F. (2007). Evaluation of the costs and benefits of interventions to reduce indoor air pollution. Energy for Sustainable Development, 11(4), 34–43. https://doi.org/10.1016/S0973-0826(08)60408-1</w:t>
      </w:r>
    </w:p>
    <w:p w14:paraId="3F78F94D" w14:textId="5BE74E88" w:rsidR="001F1DD0" w:rsidRPr="00B24172" w:rsidRDefault="001F1DD0" w:rsidP="001F1DD0">
      <w:pPr>
        <w:pStyle w:val="Bibliography"/>
      </w:pPr>
      <w:r w:rsidRPr="00B24172">
        <w:t>Hutton, G., Rehfuess, E., Tediosi, F., Weiss, S., &amp; World Health Organization. (2006). Evaluation of the costs and benefits of household energy and health interventions at global and regional levels. World Health Organization.</w:t>
      </w:r>
    </w:p>
    <w:p w14:paraId="64598F4A" w14:textId="77777777" w:rsidR="00A260FD" w:rsidRPr="00B24172" w:rsidRDefault="00A260FD" w:rsidP="00A260FD">
      <w:pPr>
        <w:pStyle w:val="Bibliography"/>
      </w:pPr>
      <w:r w:rsidRPr="00B24172">
        <w:t>Irfan, M., Cameron, M. P., &amp; Hassan, G. (2017a). Household Energy Elasticities in Pakistan: An Application of the LA-AIDS Model on Pooled Household Data (Working Papers in Economics 17/11). University of Waikato, Department of Economics. https://ideas.repec.org/p/wai/econwp/17-11.html#download</w:t>
      </w:r>
    </w:p>
    <w:p w14:paraId="5ADAF208" w14:textId="77777777" w:rsidR="00A260FD" w:rsidRPr="00B24172" w:rsidRDefault="00A260FD" w:rsidP="00A260FD">
      <w:pPr>
        <w:pStyle w:val="Bibliography"/>
      </w:pPr>
      <w:r w:rsidRPr="00B24172">
        <w:t>Irfan, M., Cameron, M. P., &amp; Hassan, G. (2017b). Households’ Energy Mix Selection in Pakistan (28/17; Working Papers in Economics). University of Waikato. https://ideas.repec.org/p/wai/econwp/28-17.html</w:t>
      </w:r>
    </w:p>
    <w:p w14:paraId="1C84092E" w14:textId="77777777" w:rsidR="00A260FD" w:rsidRPr="00B24172" w:rsidRDefault="00A260FD" w:rsidP="00A260FD">
      <w:pPr>
        <w:pStyle w:val="Bibliography"/>
      </w:pPr>
      <w:r w:rsidRPr="00B24172">
        <w:t>Irfan, M., Cameron, M. P., &amp; Hassan, G. (2018). Household energy elasticities and policy implications for Pakistan. Energy Policy, 113, 633–642. https://doi.org/10.1016/j.enpol.2017.11.041</w:t>
      </w:r>
    </w:p>
    <w:p w14:paraId="1060EF3F" w14:textId="77777777" w:rsidR="00A260FD" w:rsidRPr="00B24172" w:rsidRDefault="00A260FD" w:rsidP="00A260FD">
      <w:pPr>
        <w:pStyle w:val="Bibliography"/>
      </w:pPr>
      <w:r w:rsidRPr="00B24172">
        <w:t>Isihak, S., Akpan, U., &amp; Adeleye, M. (2012). Interventions for mitigating indoor-air pollution in Nigeria: A cost-benefit analysis. International Journal of Energy Sector Management, 6(3), 417–429. http://dx.doi.org.ezproxy.waikato.ac.nz/10.1108/17506221211259655</w:t>
      </w:r>
    </w:p>
    <w:p w14:paraId="71C70CF0" w14:textId="615C0A5C" w:rsidR="00A260FD" w:rsidRPr="00B24172" w:rsidRDefault="00A260FD" w:rsidP="00A260FD">
      <w:pPr>
        <w:pStyle w:val="Bibliography"/>
      </w:pPr>
      <w:r w:rsidRPr="00B24172">
        <w:lastRenderedPageBreak/>
        <w:t>Jan, I., Ullah, S., Akram, W., Khan, N. P., Asim, S. M., Mahmood, Z., Ahmad, M. N., &amp; Ahmad, S. S. (2017). Adoption of improved cookstoves in Pakistan: A logit analysis. Biomass and Bioenergy, 103, 55–62. https://doi.org/10.1016/j.biombioe.2017.05.014</w:t>
      </w:r>
    </w:p>
    <w:p w14:paraId="7C485735" w14:textId="02555161" w:rsidR="00A260FD" w:rsidRPr="00B24172" w:rsidRDefault="00A260FD" w:rsidP="00A260FD">
      <w:pPr>
        <w:pStyle w:val="Bibliography"/>
      </w:pPr>
      <w:r w:rsidRPr="00B24172">
        <w:rPr>
          <w:lang w:val="fr-FR"/>
        </w:rPr>
        <w:t xml:space="preserve">Jeuland, M. A., &amp; Pattanayak, S. K. (2012). </w:t>
      </w:r>
      <w:r w:rsidRPr="00B24172">
        <w:t>Benefits and Costs of Improved Cookstoves: Assessing the Implications of Variability in Health, Forest and Climate Impacts. PLoS ONE, 7(2), e30338. https://doi.org/10.1371/journal.pone.0030338</w:t>
      </w:r>
    </w:p>
    <w:p w14:paraId="3EEFAC77" w14:textId="77777777" w:rsidR="00CE2E8C" w:rsidRPr="00B24172" w:rsidRDefault="00CE2E8C" w:rsidP="00CE2E8C">
      <w:pPr>
        <w:pStyle w:val="Bibliography"/>
      </w:pPr>
      <w:r w:rsidRPr="00B24172">
        <w:t>Jeuland, M., &amp; Soo, J. S. T. (2016). Analyzing the costs and benefits of clean and improved cooking solutions. Global Alliance for Clean Cookstoves: Washington, DC, USA, 459-1.</w:t>
      </w:r>
    </w:p>
    <w:p w14:paraId="1E1FA452" w14:textId="77777777" w:rsidR="00CE2E8C" w:rsidRPr="00B24172" w:rsidRDefault="00CE2E8C" w:rsidP="00CE2E8C"/>
    <w:p w14:paraId="7E468E8D" w14:textId="77777777" w:rsidR="00A260FD" w:rsidRPr="00B24172" w:rsidRDefault="00A260FD" w:rsidP="00A260FD">
      <w:pPr>
        <w:pStyle w:val="Bibliography"/>
      </w:pPr>
      <w:r w:rsidRPr="00B24172">
        <w:t>Katuwal, H., &amp; Bohara, A. K. (2009). Biogas: A promising renewable technology and its impact on rural households in Nepal. Renewable and Sustainable Energy Reviews, 13(9), 2668–2674. https://doi.org/10.1016/j.rser.2009.05.002</w:t>
      </w:r>
    </w:p>
    <w:p w14:paraId="73D7B2A0" w14:textId="77777777" w:rsidR="00A260FD" w:rsidRPr="00B24172" w:rsidRDefault="00A260FD" w:rsidP="00A260FD">
      <w:pPr>
        <w:pStyle w:val="Bibliography"/>
      </w:pPr>
      <w:r w:rsidRPr="00B24172">
        <w:rPr>
          <w:lang w:val="de-DE"/>
        </w:rPr>
        <w:t xml:space="preserve">Kim, K.-H., Jahan, S. A., &amp; Kabir, E. (2011). </w:t>
      </w:r>
      <w:r w:rsidRPr="00B24172">
        <w:t>A review of diseases associated with household air pollution due to the use of biomass fuels. Journal of Hazardous Materials, 192(2), 425–431. https://doi.org/10.1016/j.jhazmat.2011.05.087</w:t>
      </w:r>
    </w:p>
    <w:p w14:paraId="34ECAA9F" w14:textId="77777777" w:rsidR="00A260FD" w:rsidRPr="00B24172" w:rsidRDefault="00A260FD" w:rsidP="00A260FD">
      <w:pPr>
        <w:pStyle w:val="Bibliography"/>
      </w:pPr>
      <w:r w:rsidRPr="00B24172">
        <w:t>Lakshmi, P. V. M., Virdi, N. K., Thakur, J. S., Smith, K. R., Bates, M. N., &amp; Kumar, R. (2012). Biomass fuel and risk of tuberculosis: A case—control study from Northern India. Journal of Epidemiology and Community Health (1979-), 66(5), 457–461.</w:t>
      </w:r>
    </w:p>
    <w:p w14:paraId="765A7165" w14:textId="77777777" w:rsidR="00A260FD" w:rsidRPr="00B24172" w:rsidRDefault="00A260FD" w:rsidP="00A260FD">
      <w:pPr>
        <w:pStyle w:val="Bibliography"/>
      </w:pPr>
      <w:r w:rsidRPr="00B24172">
        <w:t>Landrigan, P. J., Fuller, R., Acosta, N. J. R., Adeyi, O., Arnold, R., Basu, N. (Nil), Baldé, A. B., Bertollini, R., Bose-O’Reilly, S., Boufford, J. I., Breysse, P. N., Chiles, T., Mahidol, C., Coll-Seck, A. M., Cropper, M. L., Fobil, J., Fuster, V., Greenstone, M., Haines, A., … Zhong, M. (n.d.). The Lancet Commission on pollution and health. The Lancet. https://doi.org/10.1016/S0140-6736(17)32345-0</w:t>
      </w:r>
    </w:p>
    <w:p w14:paraId="06BD3584" w14:textId="77777777" w:rsidR="00A260FD" w:rsidRPr="00B24172" w:rsidRDefault="00A260FD" w:rsidP="00A260FD">
      <w:pPr>
        <w:pStyle w:val="Bibliography"/>
      </w:pPr>
      <w:r w:rsidRPr="00B24172">
        <w:t xml:space="preserve">Limmeechokchai, B., &amp; Chawana, S. (2007). Sustainable energy development strategies in the rural Thailand: The case of the improved cooking stove and the small biogas </w:t>
      </w:r>
      <w:r w:rsidRPr="00B24172">
        <w:lastRenderedPageBreak/>
        <w:t>digester. Renewable and Sustainable Energy Reviews, 11(5), 818–837. https://doi.org/10.1016/j.rser.2005.06.002</w:t>
      </w:r>
    </w:p>
    <w:p w14:paraId="23BACC51" w14:textId="77777777" w:rsidR="00A260FD" w:rsidRPr="00B24172" w:rsidRDefault="00A260FD" w:rsidP="00A260FD">
      <w:pPr>
        <w:pStyle w:val="Bibliography"/>
      </w:pPr>
      <w:r w:rsidRPr="00B24172">
        <w:t>Malla, M. B., Bruce, N., Bates, E., &amp; Rehfuess, E. (2011). Applying global cost-benefit analysis methods to indoor air pollution mitigation interventions in Nepal, Kenya and Sudan: Insights and challenges. Energy Policy, 39(12), 7518–7529. https://doi.org/10.1016/j.enpol.2011.06.031</w:t>
      </w:r>
    </w:p>
    <w:p w14:paraId="503CFE37" w14:textId="77777777" w:rsidR="00A260FD" w:rsidRPr="00B24172" w:rsidRDefault="00A260FD" w:rsidP="00A260FD">
      <w:pPr>
        <w:pStyle w:val="Bibliography"/>
      </w:pPr>
      <w:r w:rsidRPr="00B24172">
        <w:t>Mehnaz, A., Billoo, A. G., Yasmeen, T., &amp; Nankani, K. (1997). Detection and management of pneumonia by community health workers—A community intervention study in Rehri village, Pakistan. JPMA. The Journal of the Pakistan Medical Association, 47(2), 42–45.</w:t>
      </w:r>
    </w:p>
    <w:p w14:paraId="4EF16610" w14:textId="77777777" w:rsidR="00A260FD" w:rsidRPr="00B24172" w:rsidRDefault="00A260FD" w:rsidP="00A260FD">
      <w:pPr>
        <w:pStyle w:val="Bibliography"/>
      </w:pPr>
      <w:r w:rsidRPr="00B24172">
        <w:t>Mehta, S., &amp; Shahpar, C. (2004). The health benefits of interventions to reduce indoor air pollution from solid fuel use: A cost-effectiveness analysis. Energy for Sustainable Development, 8(3), 53–59. https://doi.org/10.1016/S0973-0826(08)60466-4</w:t>
      </w:r>
    </w:p>
    <w:p w14:paraId="1DE544BD" w14:textId="77777777" w:rsidR="00A260FD" w:rsidRPr="00B24172" w:rsidRDefault="00A260FD" w:rsidP="00A260FD">
      <w:pPr>
        <w:pStyle w:val="Bibliography"/>
      </w:pPr>
      <w:r w:rsidRPr="00B24172">
        <w:t>Mishra, V. (2003). Indoor air pollution from biomass combustion and acute respiratory illness in preschool age children in Zimbabwe. International Journal of Epidemiology, 32(5), 847–853. https://doi.org/10.1093/ije/dyg240</w:t>
      </w:r>
    </w:p>
    <w:p w14:paraId="7F8AC0BA" w14:textId="77777777" w:rsidR="00A260FD" w:rsidRPr="00B24172" w:rsidRDefault="00A260FD" w:rsidP="00A260FD">
      <w:pPr>
        <w:pStyle w:val="Bibliography"/>
      </w:pPr>
      <w:r w:rsidRPr="00B24172">
        <w:t>Quansah, R., Ochieng, C. A., Semple, S., Juvekar, S., Emina, J., Armah, F. A., &amp; Luginaah, I. (2015). Effectiveness of interventions to reduce indoor air pollution and/or improve health in homes using solid fuel in lower and middle income countries: Protocol for a systematic review. Systematic Reviews, 4. https://doi.org/10.1186/s13643-015-0012-8</w:t>
      </w:r>
    </w:p>
    <w:p w14:paraId="09109702" w14:textId="77777777" w:rsidR="00A260FD" w:rsidRPr="00B24172" w:rsidRDefault="00A260FD" w:rsidP="00A260FD">
      <w:pPr>
        <w:pStyle w:val="Bibliography"/>
      </w:pPr>
      <w:r w:rsidRPr="00B24172">
        <w:t>Rivoal, M., &amp; Haselip, J. A. (2017). The true cost of using traditional fuels in a humanitarian setting. Case study of the Nyarugusu refugee camp, Kigoma region, Tanzania [Report].</w:t>
      </w:r>
    </w:p>
    <w:p w14:paraId="5C7DEFE2" w14:textId="77777777" w:rsidR="00A260FD" w:rsidRPr="00B24172" w:rsidRDefault="00A260FD" w:rsidP="00A260FD">
      <w:pPr>
        <w:pStyle w:val="Bibliography"/>
      </w:pPr>
      <w:r w:rsidRPr="00B24172">
        <w:rPr>
          <w:lang w:val="de-DE"/>
        </w:rPr>
        <w:lastRenderedPageBreak/>
        <w:t xml:space="preserve">Sagheer, U., Kielmann, A. A., Mumtaz, Z., &amp; Shahab, S. (2000). </w:t>
      </w:r>
      <w:r w:rsidRPr="00B24172">
        <w:t>Cost of establishing and maintaining a bed in a tertiary care hospital in Pakistan. Leadership in Health Services, 13(2), 1–6. https://doi.org/10.1108/13660750010326848</w:t>
      </w:r>
    </w:p>
    <w:p w14:paraId="53313686" w14:textId="77777777" w:rsidR="00A260FD" w:rsidRPr="00B24172" w:rsidRDefault="00A260FD" w:rsidP="00A260FD">
      <w:pPr>
        <w:pStyle w:val="Bibliography"/>
      </w:pPr>
      <w:r w:rsidRPr="00B24172">
        <w:t>Stenberg, K., Johns, B., Scherpbier, R. W., &amp; Edejer, T. T.-T. (2007). A financial road map to scaling up essential child health interventions in 75 countries. Bulletin of the World Health Organization, 85, 305–314. https://doi.org/10.1590/S0042-96862007000400016</w:t>
      </w:r>
    </w:p>
    <w:p w14:paraId="22059B95" w14:textId="77777777" w:rsidR="00A260FD" w:rsidRPr="00B24172" w:rsidRDefault="00A260FD" w:rsidP="00A260FD">
      <w:pPr>
        <w:pStyle w:val="Bibliography"/>
      </w:pPr>
      <w:r w:rsidRPr="00B24172">
        <w:t>Thakuri, M., &amp; Bikram, M. (2009). Revisiting the need of improved stoves: Estimating health, time and carbon benefits. SANDEE, Kathmandu, NP. https://idl-bnc-idrc.dspacedirect.org/handle/10625/41850</w:t>
      </w:r>
    </w:p>
    <w:p w14:paraId="4C2E61FE" w14:textId="77777777" w:rsidR="00A260FD" w:rsidRPr="00B24172" w:rsidRDefault="00A260FD" w:rsidP="00A260FD">
      <w:pPr>
        <w:pStyle w:val="Bibliography"/>
      </w:pPr>
      <w:r w:rsidRPr="00B24172">
        <w:t>Thaler, R., &amp; Rosen, S. (1976). The Value of Saving a Life: Evidence from the Labor Market. Household Production and Consumption, 265–302.</w:t>
      </w:r>
    </w:p>
    <w:p w14:paraId="2A723653" w14:textId="77777777" w:rsidR="00A260FD" w:rsidRPr="00B24172" w:rsidRDefault="00A260FD" w:rsidP="00A260FD">
      <w:pPr>
        <w:pStyle w:val="Bibliography"/>
      </w:pPr>
      <w:r w:rsidRPr="00B24172">
        <w:t>Torres-Duque, C., Maldonado, D., Pérez-Padilla, R., Ezzati, M., &amp; Viegi, G. (2008). Biomass Fuels and Respiratory Diseases. Proceedings of the American Thoracic Society, 5(5), 577–590. https://doi.org/10.1513/pats.200707-100RP</w:t>
      </w:r>
    </w:p>
    <w:p w14:paraId="7A9ADAF3" w14:textId="77777777" w:rsidR="00A260FD" w:rsidRPr="00B24172" w:rsidRDefault="00A260FD" w:rsidP="00A260FD">
      <w:pPr>
        <w:pStyle w:val="Bibliography"/>
      </w:pPr>
      <w:r w:rsidRPr="00B24172">
        <w:rPr>
          <w:lang w:val="de-DE"/>
        </w:rPr>
        <w:t xml:space="preserve">Vahlne, N., &amp; Ahlgren, E. O. (2014). </w:t>
      </w:r>
      <w:r w:rsidRPr="00B24172">
        <w:t>Policy implications for improved cook stove programs—A case study of the importance of village fuel use variations. Energy Policy, 66, 484–495. https://doi.org/10.1016/j.enpol.2013.11.042</w:t>
      </w:r>
    </w:p>
    <w:p w14:paraId="21CEA373" w14:textId="7BDC56DB" w:rsidR="00A260FD" w:rsidRPr="00B24172" w:rsidRDefault="00A260FD" w:rsidP="00A260FD">
      <w:pPr>
        <w:pStyle w:val="Bibliography"/>
      </w:pPr>
      <w:r w:rsidRPr="00B24172">
        <w:t>Viscusi, W. K., &amp; Masterman, C. J. (2017). Income Elasticities and Global Values of a Statistical Life. Journal of Benefit-Cost Analysis, 8(2), 226–250. https://doi.org/10.1017/bca.2017.12</w:t>
      </w:r>
    </w:p>
    <w:p w14:paraId="191FD119" w14:textId="74A55AC2" w:rsidR="001A63E7" w:rsidRPr="00B24172" w:rsidRDefault="001A63E7" w:rsidP="001A63E7">
      <w:pPr>
        <w:pStyle w:val="Bibliography"/>
      </w:pPr>
      <w:r w:rsidRPr="00B24172">
        <w:t>Zhuang J, Liang Z, Lin T, De Guzman F. (2007). Theory and practice in the choice of social discount rate for cost-benefit analysis: a survey. ERD Working Paper No 94. Manila: Economics and Research Department, Asian Development Bank.</w:t>
      </w:r>
    </w:p>
    <w:p w14:paraId="55ABC09A" w14:textId="3A77343D" w:rsidR="0063751D" w:rsidRPr="00B24172" w:rsidRDefault="00367EDB" w:rsidP="00BF2AB8">
      <w:pPr>
        <w:pStyle w:val="Bibliography"/>
        <w:spacing w:line="240" w:lineRule="auto"/>
        <w:ind w:left="567" w:hanging="567"/>
        <w:jc w:val="both"/>
      </w:pPr>
      <w:r w:rsidRPr="00B24172">
        <w:rPr>
          <w:sz w:val="22"/>
          <w:szCs w:val="22"/>
        </w:rPr>
        <w:fldChar w:fldCharType="end"/>
      </w:r>
      <w:r w:rsidR="00F47A65" w:rsidRPr="00B24172">
        <w:rPr>
          <w:sz w:val="22"/>
          <w:szCs w:val="22"/>
        </w:rPr>
        <w:t xml:space="preserve"> </w:t>
      </w:r>
    </w:p>
    <w:p w14:paraId="27B0BD3E" w14:textId="523FAFAB" w:rsidR="00BF7B8D" w:rsidRPr="00B24172" w:rsidRDefault="00BF7B8D" w:rsidP="00AC1F76">
      <w:pPr>
        <w:pStyle w:val="Bibliography"/>
        <w:spacing w:line="288" w:lineRule="auto"/>
        <w:ind w:left="0" w:firstLine="0"/>
        <w:rPr>
          <w:b/>
          <w:bCs/>
        </w:rPr>
      </w:pPr>
    </w:p>
    <w:p w14:paraId="5788C8B6" w14:textId="77777777" w:rsidR="00AC1F76" w:rsidRPr="00B24172" w:rsidRDefault="00AC1F76" w:rsidP="00AC1F76">
      <w:pPr>
        <w:pStyle w:val="Bibliography"/>
        <w:spacing w:line="288" w:lineRule="auto"/>
        <w:rPr>
          <w:b/>
          <w:bCs/>
        </w:rPr>
      </w:pPr>
      <w:r w:rsidRPr="00B24172">
        <w:rPr>
          <w:b/>
          <w:bCs/>
        </w:rPr>
        <w:lastRenderedPageBreak/>
        <w:t>Appendix</w:t>
      </w:r>
    </w:p>
    <w:p w14:paraId="3588CA0E" w14:textId="77777777" w:rsidR="00AC1F76" w:rsidRPr="00B24172" w:rsidRDefault="00AC1F76" w:rsidP="00AC1F76">
      <w:pPr>
        <w:rPr>
          <w:sz w:val="12"/>
          <w:szCs w:val="12"/>
        </w:rPr>
      </w:pPr>
    </w:p>
    <w:p w14:paraId="02691FB4" w14:textId="77777777" w:rsidR="00DE74F2" w:rsidRPr="00B24172" w:rsidRDefault="00DE74F2" w:rsidP="00DE74F2">
      <w:pPr>
        <w:pStyle w:val="Caption"/>
        <w:keepNext/>
        <w:spacing w:after="0" w:line="288" w:lineRule="auto"/>
        <w:rPr>
          <w:b/>
          <w:i w:val="0"/>
          <w:iCs w:val="0"/>
          <w:color w:val="auto"/>
          <w:sz w:val="22"/>
          <w:szCs w:val="22"/>
        </w:rPr>
      </w:pPr>
    </w:p>
    <w:p w14:paraId="5BBC500E" w14:textId="48305CE9" w:rsidR="00AC1F76" w:rsidRPr="00B24172" w:rsidRDefault="00AC1F76" w:rsidP="00DE74F2">
      <w:pPr>
        <w:pStyle w:val="Caption"/>
        <w:keepNext/>
        <w:spacing w:after="0" w:line="288" w:lineRule="auto"/>
        <w:rPr>
          <w:b/>
          <w:i w:val="0"/>
          <w:iCs w:val="0"/>
          <w:color w:val="auto"/>
          <w:sz w:val="22"/>
          <w:szCs w:val="22"/>
          <w:lang w:val="en-NZ"/>
        </w:rPr>
      </w:pPr>
      <w:r w:rsidRPr="00B24172">
        <w:rPr>
          <w:b/>
          <w:i w:val="0"/>
          <w:iCs w:val="0"/>
          <w:color w:val="auto"/>
          <w:sz w:val="22"/>
          <w:szCs w:val="22"/>
        </w:rPr>
        <w:t xml:space="preserve">Table A1: </w:t>
      </w:r>
      <w:r w:rsidRPr="00B24172">
        <w:rPr>
          <w:b/>
          <w:i w:val="0"/>
          <w:iCs w:val="0"/>
          <w:color w:val="auto"/>
          <w:sz w:val="22"/>
          <w:szCs w:val="22"/>
          <w:lang w:val="en-NZ"/>
        </w:rPr>
        <w:t xml:space="preserve"> Data Sources</w:t>
      </w:r>
    </w:p>
    <w:p w14:paraId="6258022D" w14:textId="77777777" w:rsidR="00AC1F76" w:rsidRPr="00B24172" w:rsidRDefault="00AC1F76" w:rsidP="00AC1F76">
      <w:pPr>
        <w:rPr>
          <w:sz w:val="12"/>
          <w:szCs w:val="12"/>
          <w:lang w:val="en-NZ"/>
        </w:rPr>
      </w:pPr>
    </w:p>
    <w:tbl>
      <w:tblPr>
        <w:tblStyle w:val="TableGrid"/>
        <w:tblW w:w="90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9"/>
      </w:tblGrid>
      <w:tr w:rsidR="00AC1F76" w:rsidRPr="00B24172" w14:paraId="688A5033" w14:textId="77777777" w:rsidTr="008B699B">
        <w:trPr>
          <w:trHeight w:val="329"/>
        </w:trPr>
        <w:tc>
          <w:tcPr>
            <w:tcW w:w="4253" w:type="dxa"/>
            <w:tcBorders>
              <w:top w:val="single" w:sz="4" w:space="0" w:color="auto"/>
              <w:bottom w:val="single" w:sz="4" w:space="0" w:color="auto"/>
            </w:tcBorders>
          </w:tcPr>
          <w:p w14:paraId="65585110" w14:textId="77777777" w:rsidR="00AC1F76" w:rsidRPr="00B24172" w:rsidRDefault="00AC1F76" w:rsidP="008B699B">
            <w:pPr>
              <w:jc w:val="center"/>
              <w:rPr>
                <w:b/>
                <w:bCs/>
                <w:sz w:val="22"/>
                <w:szCs w:val="22"/>
                <w:lang w:val="en-NZ"/>
              </w:rPr>
            </w:pPr>
            <w:r w:rsidRPr="00B24172">
              <w:rPr>
                <w:b/>
                <w:bCs/>
                <w:sz w:val="22"/>
                <w:szCs w:val="22"/>
                <w:lang w:val="en-NZ"/>
              </w:rPr>
              <w:t>Variable</w:t>
            </w:r>
          </w:p>
        </w:tc>
        <w:tc>
          <w:tcPr>
            <w:tcW w:w="4829" w:type="dxa"/>
            <w:tcBorders>
              <w:top w:val="single" w:sz="4" w:space="0" w:color="auto"/>
              <w:bottom w:val="single" w:sz="4" w:space="0" w:color="auto"/>
            </w:tcBorders>
          </w:tcPr>
          <w:p w14:paraId="082AAF0E" w14:textId="77777777" w:rsidR="00AC1F76" w:rsidRPr="00B24172" w:rsidRDefault="00AC1F76" w:rsidP="008B699B">
            <w:pPr>
              <w:spacing w:line="288" w:lineRule="auto"/>
              <w:jc w:val="center"/>
              <w:rPr>
                <w:b/>
                <w:bCs/>
                <w:sz w:val="22"/>
                <w:szCs w:val="22"/>
                <w:lang w:val="en-NZ"/>
              </w:rPr>
            </w:pPr>
            <w:r w:rsidRPr="00B24172">
              <w:rPr>
                <w:b/>
                <w:bCs/>
                <w:sz w:val="22"/>
                <w:szCs w:val="22"/>
                <w:lang w:val="en-NZ"/>
              </w:rPr>
              <w:t>Sources</w:t>
            </w:r>
          </w:p>
        </w:tc>
      </w:tr>
      <w:tr w:rsidR="00AC1F76" w:rsidRPr="00B24172" w14:paraId="10F2CC9F" w14:textId="77777777" w:rsidTr="008B699B">
        <w:trPr>
          <w:trHeight w:val="377"/>
        </w:trPr>
        <w:tc>
          <w:tcPr>
            <w:tcW w:w="4253" w:type="dxa"/>
            <w:tcBorders>
              <w:top w:val="single" w:sz="4" w:space="0" w:color="auto"/>
            </w:tcBorders>
          </w:tcPr>
          <w:p w14:paraId="1D33A380" w14:textId="77777777" w:rsidR="00AC1F76" w:rsidRPr="00B24172" w:rsidRDefault="00AC1F76" w:rsidP="008B699B">
            <w:pPr>
              <w:rPr>
                <w:sz w:val="22"/>
                <w:szCs w:val="22"/>
                <w:lang w:val="en-NZ"/>
              </w:rPr>
            </w:pPr>
            <w:r w:rsidRPr="00B24172">
              <w:rPr>
                <w:sz w:val="22"/>
                <w:szCs w:val="22"/>
                <w:lang w:val="en-NZ"/>
              </w:rPr>
              <w:t>Prices of LPG, Firewood, Natural gas</w:t>
            </w:r>
          </w:p>
        </w:tc>
        <w:tc>
          <w:tcPr>
            <w:tcW w:w="4829" w:type="dxa"/>
            <w:tcBorders>
              <w:top w:val="single" w:sz="4" w:space="0" w:color="auto"/>
            </w:tcBorders>
          </w:tcPr>
          <w:p w14:paraId="61141959" w14:textId="77777777" w:rsidR="00AC1F76" w:rsidRPr="00B24172" w:rsidRDefault="00AC1F76" w:rsidP="008B699B">
            <w:pPr>
              <w:spacing w:line="288" w:lineRule="auto"/>
              <w:jc w:val="center"/>
              <w:rPr>
                <w:sz w:val="22"/>
                <w:szCs w:val="22"/>
                <w:lang w:val="en-NZ"/>
              </w:rPr>
            </w:pPr>
            <w:r w:rsidRPr="00B24172">
              <w:rPr>
                <w:sz w:val="22"/>
                <w:szCs w:val="22"/>
                <w:lang w:val="en-NZ"/>
              </w:rPr>
              <w:t>PSLM-2013-14</w:t>
            </w:r>
          </w:p>
          <w:p w14:paraId="5B1D5FD8" w14:textId="77777777" w:rsidR="00AC1F76" w:rsidRPr="00B24172" w:rsidRDefault="00AC1F76" w:rsidP="008B699B">
            <w:pPr>
              <w:spacing w:line="288" w:lineRule="auto"/>
              <w:jc w:val="center"/>
              <w:rPr>
                <w:sz w:val="22"/>
                <w:szCs w:val="22"/>
                <w:lang w:val="en-NZ"/>
              </w:rPr>
            </w:pPr>
          </w:p>
        </w:tc>
      </w:tr>
      <w:tr w:rsidR="00AC1F76" w:rsidRPr="00B24172" w14:paraId="145E596F" w14:textId="77777777" w:rsidTr="008B699B">
        <w:trPr>
          <w:trHeight w:val="329"/>
        </w:trPr>
        <w:tc>
          <w:tcPr>
            <w:tcW w:w="4253" w:type="dxa"/>
          </w:tcPr>
          <w:p w14:paraId="4DA0997F" w14:textId="77777777" w:rsidR="00AC1F76" w:rsidRPr="00B24172" w:rsidRDefault="00AC1F76" w:rsidP="008B699B">
            <w:pPr>
              <w:rPr>
                <w:sz w:val="22"/>
                <w:szCs w:val="22"/>
                <w:lang w:val="en-NZ"/>
              </w:rPr>
            </w:pPr>
            <w:r w:rsidRPr="00B24172">
              <w:rPr>
                <w:sz w:val="22"/>
                <w:szCs w:val="22"/>
                <w:lang w:val="en-NZ"/>
              </w:rPr>
              <w:t>Price of electricity</w:t>
            </w:r>
          </w:p>
        </w:tc>
        <w:tc>
          <w:tcPr>
            <w:tcW w:w="4829" w:type="dxa"/>
          </w:tcPr>
          <w:p w14:paraId="252D7DA5" w14:textId="77777777" w:rsidR="00AC1F76" w:rsidRPr="00B24172" w:rsidRDefault="00AC1F76" w:rsidP="008B699B">
            <w:pPr>
              <w:spacing w:line="288" w:lineRule="auto"/>
              <w:jc w:val="center"/>
              <w:rPr>
                <w:sz w:val="22"/>
                <w:szCs w:val="22"/>
                <w:lang w:val="en-NZ"/>
              </w:rPr>
            </w:pPr>
            <w:r w:rsidRPr="00B24172">
              <w:rPr>
                <w:sz w:val="22"/>
                <w:szCs w:val="22"/>
                <w:lang w:val="en-NZ"/>
              </w:rPr>
              <w:t>Ministry of Water and Supply</w:t>
            </w:r>
          </w:p>
          <w:p w14:paraId="5D39FAFB" w14:textId="77777777" w:rsidR="00AC1F76" w:rsidRPr="00B24172" w:rsidRDefault="00AC1F76" w:rsidP="008B699B">
            <w:pPr>
              <w:spacing w:line="288" w:lineRule="auto"/>
              <w:jc w:val="center"/>
              <w:rPr>
                <w:sz w:val="22"/>
                <w:szCs w:val="22"/>
                <w:lang w:val="en-NZ"/>
              </w:rPr>
            </w:pPr>
          </w:p>
        </w:tc>
      </w:tr>
      <w:tr w:rsidR="00AC1F76" w:rsidRPr="00B24172" w14:paraId="1007AB6A" w14:textId="77777777" w:rsidTr="008B699B">
        <w:trPr>
          <w:trHeight w:val="319"/>
        </w:trPr>
        <w:tc>
          <w:tcPr>
            <w:tcW w:w="4253" w:type="dxa"/>
          </w:tcPr>
          <w:p w14:paraId="0299C089" w14:textId="77777777" w:rsidR="00AC1F76" w:rsidRPr="00B24172" w:rsidRDefault="00AC1F76" w:rsidP="008B699B">
            <w:pPr>
              <w:rPr>
                <w:sz w:val="22"/>
                <w:szCs w:val="22"/>
                <w:lang w:val="en-NZ"/>
              </w:rPr>
            </w:pPr>
            <w:r w:rsidRPr="00B24172">
              <w:rPr>
                <w:sz w:val="22"/>
                <w:szCs w:val="22"/>
                <w:lang w:val="en-NZ"/>
              </w:rPr>
              <w:t>Total population</w:t>
            </w:r>
          </w:p>
        </w:tc>
        <w:tc>
          <w:tcPr>
            <w:tcW w:w="4829" w:type="dxa"/>
          </w:tcPr>
          <w:p w14:paraId="5F7BE6A3" w14:textId="77777777" w:rsidR="00AC1F76" w:rsidRPr="00B24172" w:rsidRDefault="00AC1F76" w:rsidP="008B699B">
            <w:pPr>
              <w:spacing w:line="288" w:lineRule="auto"/>
              <w:jc w:val="center"/>
              <w:rPr>
                <w:sz w:val="22"/>
                <w:szCs w:val="22"/>
                <w:lang w:val="en-NZ"/>
              </w:rPr>
            </w:pPr>
            <w:r w:rsidRPr="00B24172">
              <w:rPr>
                <w:sz w:val="22"/>
                <w:szCs w:val="22"/>
                <w:lang w:val="en-NZ"/>
              </w:rPr>
              <w:t>World Bank data</w:t>
            </w:r>
          </w:p>
          <w:p w14:paraId="2F4BF520" w14:textId="77777777" w:rsidR="00AC1F76" w:rsidRPr="00B24172" w:rsidRDefault="00AC1F76" w:rsidP="008B699B">
            <w:pPr>
              <w:spacing w:line="288" w:lineRule="auto"/>
              <w:jc w:val="center"/>
              <w:rPr>
                <w:sz w:val="22"/>
                <w:szCs w:val="22"/>
                <w:lang w:val="en-NZ"/>
              </w:rPr>
            </w:pPr>
          </w:p>
        </w:tc>
      </w:tr>
      <w:tr w:rsidR="00AC1F76" w:rsidRPr="00B24172" w14:paraId="32649D34" w14:textId="77777777" w:rsidTr="008B699B">
        <w:trPr>
          <w:trHeight w:val="329"/>
        </w:trPr>
        <w:tc>
          <w:tcPr>
            <w:tcW w:w="4253" w:type="dxa"/>
          </w:tcPr>
          <w:p w14:paraId="1147AC5F" w14:textId="77777777" w:rsidR="00AC1F76" w:rsidRPr="00B24172" w:rsidRDefault="00AC1F76" w:rsidP="008B699B">
            <w:pPr>
              <w:rPr>
                <w:sz w:val="22"/>
                <w:szCs w:val="22"/>
                <w:lang w:val="en-NZ"/>
              </w:rPr>
            </w:pPr>
            <w:r w:rsidRPr="00B24172">
              <w:rPr>
                <w:sz w:val="22"/>
                <w:szCs w:val="22"/>
                <w:lang w:val="en-NZ"/>
              </w:rPr>
              <w:t>Average household size</w:t>
            </w:r>
          </w:p>
        </w:tc>
        <w:tc>
          <w:tcPr>
            <w:tcW w:w="4829" w:type="dxa"/>
          </w:tcPr>
          <w:p w14:paraId="05AC6818" w14:textId="77777777" w:rsidR="00AC1F76" w:rsidRPr="00B24172" w:rsidRDefault="00AC1F76" w:rsidP="008B699B">
            <w:pPr>
              <w:spacing w:line="288" w:lineRule="auto"/>
              <w:jc w:val="center"/>
              <w:rPr>
                <w:sz w:val="22"/>
                <w:szCs w:val="22"/>
                <w:lang w:val="en-NZ"/>
              </w:rPr>
            </w:pPr>
            <w:r w:rsidRPr="00B24172">
              <w:rPr>
                <w:sz w:val="22"/>
                <w:szCs w:val="22"/>
                <w:lang w:val="en-NZ"/>
              </w:rPr>
              <w:t>World Bank data</w:t>
            </w:r>
          </w:p>
          <w:p w14:paraId="4222214F" w14:textId="77777777" w:rsidR="00AC1F76" w:rsidRPr="00B24172" w:rsidRDefault="00AC1F76" w:rsidP="008B699B">
            <w:pPr>
              <w:spacing w:line="288" w:lineRule="auto"/>
              <w:jc w:val="center"/>
              <w:rPr>
                <w:sz w:val="22"/>
                <w:szCs w:val="22"/>
                <w:lang w:val="en-NZ"/>
              </w:rPr>
            </w:pPr>
          </w:p>
        </w:tc>
      </w:tr>
      <w:tr w:rsidR="00AC1F76" w:rsidRPr="00B24172" w14:paraId="4ABEBBE6" w14:textId="77777777" w:rsidTr="008B699B">
        <w:trPr>
          <w:trHeight w:val="329"/>
        </w:trPr>
        <w:tc>
          <w:tcPr>
            <w:tcW w:w="4253" w:type="dxa"/>
          </w:tcPr>
          <w:p w14:paraId="58EFB4FF" w14:textId="77777777" w:rsidR="00AC1F76" w:rsidRPr="00B24172" w:rsidRDefault="00AC1F76" w:rsidP="008B699B">
            <w:pPr>
              <w:rPr>
                <w:sz w:val="22"/>
                <w:szCs w:val="22"/>
                <w:lang w:val="en-NZ"/>
              </w:rPr>
            </w:pPr>
            <w:r w:rsidRPr="00B24172">
              <w:rPr>
                <w:sz w:val="22"/>
                <w:szCs w:val="22"/>
                <w:lang w:val="en-NZ"/>
              </w:rPr>
              <w:t>Fixed cost of Biogas plant, Operating cost of Biogas plant, price of slurry</w:t>
            </w:r>
          </w:p>
        </w:tc>
        <w:tc>
          <w:tcPr>
            <w:tcW w:w="4829" w:type="dxa"/>
          </w:tcPr>
          <w:p w14:paraId="7EFF840F" w14:textId="77777777" w:rsidR="00AC1F76" w:rsidRPr="00B24172" w:rsidRDefault="00AC1F76" w:rsidP="008B699B">
            <w:pPr>
              <w:spacing w:line="288" w:lineRule="auto"/>
              <w:jc w:val="center"/>
              <w:rPr>
                <w:sz w:val="22"/>
                <w:szCs w:val="22"/>
              </w:rPr>
            </w:pPr>
            <w:r w:rsidRPr="00B24172">
              <w:rPr>
                <w:sz w:val="22"/>
                <w:szCs w:val="22"/>
              </w:rPr>
              <w:t xml:space="preserve">Bio Energy Technology Application Pakistan, </w:t>
            </w:r>
          </w:p>
          <w:p w14:paraId="2B7A2318" w14:textId="77777777" w:rsidR="00AC1F76" w:rsidRPr="00B24172" w:rsidRDefault="00AC1F76" w:rsidP="008B699B">
            <w:pPr>
              <w:spacing w:line="288" w:lineRule="auto"/>
              <w:jc w:val="center"/>
              <w:rPr>
                <w:sz w:val="22"/>
                <w:szCs w:val="22"/>
              </w:rPr>
            </w:pPr>
            <w:r w:rsidRPr="00B24172">
              <w:rPr>
                <w:sz w:val="22"/>
                <w:szCs w:val="22"/>
              </w:rPr>
              <w:t>published literature</w:t>
            </w:r>
          </w:p>
          <w:p w14:paraId="07A11C13" w14:textId="77777777" w:rsidR="00AC1F76" w:rsidRPr="00B24172" w:rsidRDefault="00AC1F76" w:rsidP="008B699B">
            <w:pPr>
              <w:spacing w:line="288" w:lineRule="auto"/>
              <w:jc w:val="center"/>
              <w:rPr>
                <w:sz w:val="22"/>
                <w:szCs w:val="22"/>
                <w:lang w:val="en-NZ"/>
              </w:rPr>
            </w:pPr>
          </w:p>
        </w:tc>
      </w:tr>
      <w:tr w:rsidR="00AC1F76" w:rsidRPr="00B24172" w14:paraId="6E5F673B" w14:textId="77777777" w:rsidTr="008B699B">
        <w:trPr>
          <w:trHeight w:val="329"/>
        </w:trPr>
        <w:tc>
          <w:tcPr>
            <w:tcW w:w="4253" w:type="dxa"/>
          </w:tcPr>
          <w:p w14:paraId="123B4CD6" w14:textId="77777777" w:rsidR="00AC1F76" w:rsidRPr="00B24172" w:rsidRDefault="00AC1F76" w:rsidP="008B699B">
            <w:pPr>
              <w:rPr>
                <w:sz w:val="22"/>
                <w:szCs w:val="22"/>
                <w:lang w:val="en-NZ"/>
              </w:rPr>
            </w:pPr>
            <w:r w:rsidRPr="00B24172">
              <w:rPr>
                <w:sz w:val="22"/>
                <w:szCs w:val="22"/>
                <w:lang w:val="en-NZ"/>
              </w:rPr>
              <w:t>Minimum wage rate</w:t>
            </w:r>
          </w:p>
        </w:tc>
        <w:tc>
          <w:tcPr>
            <w:tcW w:w="4829" w:type="dxa"/>
          </w:tcPr>
          <w:p w14:paraId="07FF5EE6" w14:textId="77777777" w:rsidR="00AC1F76" w:rsidRPr="00B24172" w:rsidRDefault="00AC1F76" w:rsidP="008B699B">
            <w:pPr>
              <w:spacing w:line="288" w:lineRule="auto"/>
              <w:jc w:val="center"/>
              <w:rPr>
                <w:sz w:val="22"/>
                <w:szCs w:val="22"/>
              </w:rPr>
            </w:pPr>
            <w:r w:rsidRPr="00B24172">
              <w:rPr>
                <w:sz w:val="22"/>
                <w:szCs w:val="22"/>
              </w:rPr>
              <w:t>Pay Check Pakistan</w:t>
            </w:r>
          </w:p>
          <w:p w14:paraId="6AE85706" w14:textId="77777777" w:rsidR="00AC1F76" w:rsidRPr="00B24172" w:rsidRDefault="00AC1F76" w:rsidP="008B699B">
            <w:pPr>
              <w:spacing w:line="288" w:lineRule="auto"/>
              <w:jc w:val="center"/>
              <w:rPr>
                <w:sz w:val="22"/>
                <w:szCs w:val="22"/>
              </w:rPr>
            </w:pPr>
          </w:p>
        </w:tc>
      </w:tr>
      <w:tr w:rsidR="00AC1F76" w:rsidRPr="00B24172" w14:paraId="2234CC39" w14:textId="77777777" w:rsidTr="008B699B">
        <w:trPr>
          <w:trHeight w:val="329"/>
        </w:trPr>
        <w:tc>
          <w:tcPr>
            <w:tcW w:w="4253" w:type="dxa"/>
          </w:tcPr>
          <w:p w14:paraId="5D082B8E" w14:textId="77777777" w:rsidR="00AC1F76" w:rsidRPr="00B24172" w:rsidRDefault="00AC1F76" w:rsidP="008B699B">
            <w:pPr>
              <w:rPr>
                <w:sz w:val="22"/>
                <w:szCs w:val="22"/>
                <w:lang w:val="en-NZ"/>
              </w:rPr>
            </w:pPr>
            <w:r w:rsidRPr="00B24172">
              <w:rPr>
                <w:sz w:val="22"/>
                <w:szCs w:val="22"/>
                <w:lang w:val="en-NZ"/>
              </w:rPr>
              <w:t>Fixed cost of natural gas connection</w:t>
            </w:r>
          </w:p>
        </w:tc>
        <w:tc>
          <w:tcPr>
            <w:tcW w:w="4829" w:type="dxa"/>
          </w:tcPr>
          <w:p w14:paraId="1D7BE0CC" w14:textId="77777777" w:rsidR="00AC1F76" w:rsidRPr="00B24172" w:rsidRDefault="00AC1F76" w:rsidP="008B699B">
            <w:pPr>
              <w:spacing w:line="288" w:lineRule="auto"/>
              <w:jc w:val="center"/>
              <w:rPr>
                <w:sz w:val="22"/>
                <w:szCs w:val="22"/>
                <w:lang w:val="en-NZ"/>
              </w:rPr>
            </w:pPr>
            <w:r w:rsidRPr="00B24172">
              <w:rPr>
                <w:sz w:val="22"/>
                <w:szCs w:val="22"/>
                <w:lang w:val="en-NZ"/>
              </w:rPr>
              <w:t>Sui Northern Gas Pipelines limited (SNGPL)</w:t>
            </w:r>
          </w:p>
          <w:p w14:paraId="346BAF67" w14:textId="77777777" w:rsidR="00AC1F76" w:rsidRPr="00B24172" w:rsidRDefault="00AC1F76" w:rsidP="008B699B">
            <w:pPr>
              <w:spacing w:line="288" w:lineRule="auto"/>
              <w:jc w:val="center"/>
              <w:rPr>
                <w:sz w:val="22"/>
                <w:szCs w:val="22"/>
                <w:lang w:val="en-NZ"/>
              </w:rPr>
            </w:pPr>
          </w:p>
        </w:tc>
      </w:tr>
      <w:tr w:rsidR="00AC1F76" w:rsidRPr="00B24172" w14:paraId="20E6A59E" w14:textId="77777777" w:rsidTr="008B699B">
        <w:trPr>
          <w:trHeight w:val="329"/>
        </w:trPr>
        <w:tc>
          <w:tcPr>
            <w:tcW w:w="4253" w:type="dxa"/>
          </w:tcPr>
          <w:p w14:paraId="5E8B7D53" w14:textId="77777777" w:rsidR="00AC1F76" w:rsidRPr="00B24172" w:rsidRDefault="00AC1F76" w:rsidP="008B699B">
            <w:pPr>
              <w:rPr>
                <w:sz w:val="22"/>
                <w:szCs w:val="22"/>
                <w:lang w:val="en-NZ"/>
              </w:rPr>
            </w:pPr>
            <w:r w:rsidRPr="00B24172">
              <w:rPr>
                <w:sz w:val="22"/>
                <w:szCs w:val="22"/>
                <w:lang w:val="en-NZ"/>
              </w:rPr>
              <w:t>Population of children</w:t>
            </w:r>
          </w:p>
        </w:tc>
        <w:tc>
          <w:tcPr>
            <w:tcW w:w="4829" w:type="dxa"/>
          </w:tcPr>
          <w:p w14:paraId="2853B218" w14:textId="77777777" w:rsidR="00AC1F76" w:rsidRPr="00B24172" w:rsidRDefault="00AC1F76" w:rsidP="008B699B">
            <w:pPr>
              <w:spacing w:line="288" w:lineRule="auto"/>
              <w:jc w:val="center"/>
              <w:rPr>
                <w:sz w:val="22"/>
                <w:szCs w:val="22"/>
              </w:rPr>
            </w:pPr>
            <w:r w:rsidRPr="00B24172">
              <w:rPr>
                <w:sz w:val="22"/>
                <w:szCs w:val="22"/>
              </w:rPr>
              <w:t>United Nation databank</w:t>
            </w:r>
          </w:p>
          <w:p w14:paraId="2DE40D80" w14:textId="77777777" w:rsidR="00AC1F76" w:rsidRPr="00B24172" w:rsidRDefault="00AC1F76" w:rsidP="008B699B">
            <w:pPr>
              <w:spacing w:line="288" w:lineRule="auto"/>
              <w:jc w:val="center"/>
              <w:rPr>
                <w:sz w:val="22"/>
                <w:szCs w:val="22"/>
              </w:rPr>
            </w:pPr>
          </w:p>
        </w:tc>
      </w:tr>
      <w:tr w:rsidR="00AC1F76" w:rsidRPr="00B24172" w14:paraId="254E233E" w14:textId="77777777" w:rsidTr="008B699B">
        <w:trPr>
          <w:trHeight w:val="329"/>
        </w:trPr>
        <w:tc>
          <w:tcPr>
            <w:tcW w:w="4253" w:type="dxa"/>
          </w:tcPr>
          <w:p w14:paraId="4B6C6821" w14:textId="77777777" w:rsidR="00AC1F76" w:rsidRPr="00B24172" w:rsidRDefault="00AC1F76" w:rsidP="008B699B">
            <w:pPr>
              <w:rPr>
                <w:sz w:val="22"/>
                <w:szCs w:val="22"/>
                <w:lang w:val="en-NZ"/>
              </w:rPr>
            </w:pPr>
            <w:r w:rsidRPr="00B24172">
              <w:rPr>
                <w:sz w:val="22"/>
                <w:szCs w:val="22"/>
                <w:lang w:val="en-NZ"/>
              </w:rPr>
              <w:t>Mortalities and morbidities (DALYS)</w:t>
            </w:r>
          </w:p>
        </w:tc>
        <w:tc>
          <w:tcPr>
            <w:tcW w:w="4829" w:type="dxa"/>
          </w:tcPr>
          <w:p w14:paraId="18E389A4" w14:textId="77777777" w:rsidR="00AC1F76" w:rsidRPr="00B24172" w:rsidRDefault="00AC1F76" w:rsidP="008B699B">
            <w:pPr>
              <w:spacing w:line="288" w:lineRule="auto"/>
              <w:jc w:val="center"/>
              <w:rPr>
                <w:sz w:val="22"/>
                <w:szCs w:val="22"/>
              </w:rPr>
            </w:pPr>
            <w:r w:rsidRPr="00B24172">
              <w:rPr>
                <w:sz w:val="22"/>
                <w:szCs w:val="22"/>
              </w:rPr>
              <w:t xml:space="preserve">World Health Organization, </w:t>
            </w:r>
          </w:p>
          <w:p w14:paraId="6C240F46" w14:textId="77777777" w:rsidR="00AC1F76" w:rsidRPr="00B24172" w:rsidRDefault="00AC1F76" w:rsidP="008B699B">
            <w:pPr>
              <w:spacing w:line="288" w:lineRule="auto"/>
              <w:jc w:val="center"/>
              <w:rPr>
                <w:sz w:val="22"/>
                <w:szCs w:val="22"/>
              </w:rPr>
            </w:pPr>
            <w:r w:rsidRPr="00B24172">
              <w:rPr>
                <w:sz w:val="22"/>
                <w:szCs w:val="22"/>
              </w:rPr>
              <w:t>published studies</w:t>
            </w:r>
          </w:p>
          <w:p w14:paraId="3E6AE132" w14:textId="77777777" w:rsidR="00AC1F76" w:rsidRPr="00B24172" w:rsidRDefault="00AC1F76" w:rsidP="008B699B">
            <w:pPr>
              <w:spacing w:line="288" w:lineRule="auto"/>
              <w:jc w:val="center"/>
              <w:rPr>
                <w:sz w:val="22"/>
                <w:szCs w:val="22"/>
              </w:rPr>
            </w:pPr>
          </w:p>
        </w:tc>
      </w:tr>
      <w:tr w:rsidR="00AC1F76" w:rsidRPr="00B24172" w14:paraId="2386B3A0" w14:textId="77777777" w:rsidTr="008B699B">
        <w:trPr>
          <w:trHeight w:val="329"/>
        </w:trPr>
        <w:tc>
          <w:tcPr>
            <w:tcW w:w="4253" w:type="dxa"/>
          </w:tcPr>
          <w:p w14:paraId="41AAC077" w14:textId="77777777" w:rsidR="00AC1F76" w:rsidRPr="00B24172" w:rsidRDefault="00AC1F76" w:rsidP="008B699B">
            <w:pPr>
              <w:rPr>
                <w:sz w:val="22"/>
                <w:szCs w:val="22"/>
                <w:lang w:val="en-NZ"/>
              </w:rPr>
            </w:pPr>
            <w:r w:rsidRPr="00B24172">
              <w:rPr>
                <w:sz w:val="22"/>
                <w:szCs w:val="22"/>
                <w:lang w:val="en-NZ"/>
              </w:rPr>
              <w:t>Per capita income</w:t>
            </w:r>
          </w:p>
        </w:tc>
        <w:tc>
          <w:tcPr>
            <w:tcW w:w="4829" w:type="dxa"/>
          </w:tcPr>
          <w:p w14:paraId="4EA65EE2" w14:textId="77777777" w:rsidR="00AC1F76" w:rsidRPr="00B24172" w:rsidRDefault="00AC1F76" w:rsidP="008B699B">
            <w:pPr>
              <w:spacing w:line="288" w:lineRule="auto"/>
              <w:jc w:val="center"/>
              <w:rPr>
                <w:sz w:val="22"/>
                <w:szCs w:val="22"/>
                <w:lang w:val="en-NZ"/>
              </w:rPr>
            </w:pPr>
            <w:r w:rsidRPr="00B24172">
              <w:rPr>
                <w:sz w:val="22"/>
                <w:szCs w:val="22"/>
                <w:lang w:val="en-NZ"/>
              </w:rPr>
              <w:t>World Bank data</w:t>
            </w:r>
          </w:p>
          <w:p w14:paraId="5F92F325" w14:textId="77777777" w:rsidR="00AC1F76" w:rsidRPr="00B24172" w:rsidRDefault="00AC1F76" w:rsidP="008B699B">
            <w:pPr>
              <w:spacing w:line="288" w:lineRule="auto"/>
              <w:jc w:val="center"/>
              <w:rPr>
                <w:sz w:val="22"/>
                <w:szCs w:val="22"/>
              </w:rPr>
            </w:pPr>
          </w:p>
        </w:tc>
      </w:tr>
      <w:tr w:rsidR="00AC1F76" w:rsidRPr="00B24172" w14:paraId="776333AF" w14:textId="77777777" w:rsidTr="008B699B">
        <w:trPr>
          <w:trHeight w:val="329"/>
        </w:trPr>
        <w:tc>
          <w:tcPr>
            <w:tcW w:w="4253" w:type="dxa"/>
          </w:tcPr>
          <w:p w14:paraId="01A5CB29" w14:textId="77777777" w:rsidR="00AC1F76" w:rsidRPr="00B24172" w:rsidRDefault="00AC1F76" w:rsidP="008B699B">
            <w:pPr>
              <w:rPr>
                <w:sz w:val="22"/>
                <w:szCs w:val="22"/>
                <w:lang w:val="en-NZ"/>
              </w:rPr>
            </w:pPr>
            <w:r w:rsidRPr="00B24172">
              <w:rPr>
                <w:sz w:val="22"/>
                <w:szCs w:val="22"/>
                <w:lang w:val="en-NZ"/>
              </w:rPr>
              <w:t xml:space="preserve">Regional population, population of </w:t>
            </w:r>
          </w:p>
          <w:p w14:paraId="506F82B0" w14:textId="77777777" w:rsidR="00AC1F76" w:rsidRPr="00B24172" w:rsidRDefault="00AC1F76" w:rsidP="008B699B">
            <w:pPr>
              <w:rPr>
                <w:sz w:val="22"/>
                <w:szCs w:val="22"/>
                <w:lang w:val="en-NZ"/>
              </w:rPr>
            </w:pPr>
            <w:r w:rsidRPr="00B24172">
              <w:rPr>
                <w:sz w:val="22"/>
                <w:szCs w:val="22"/>
                <w:lang w:val="en-NZ"/>
              </w:rPr>
              <w:t>working age</w:t>
            </w:r>
          </w:p>
          <w:p w14:paraId="60F58CE1" w14:textId="77777777" w:rsidR="00AC1F76" w:rsidRPr="00B24172" w:rsidRDefault="00AC1F76" w:rsidP="008B699B">
            <w:pPr>
              <w:rPr>
                <w:sz w:val="22"/>
                <w:szCs w:val="22"/>
                <w:lang w:val="en-NZ"/>
              </w:rPr>
            </w:pPr>
          </w:p>
        </w:tc>
        <w:tc>
          <w:tcPr>
            <w:tcW w:w="4829" w:type="dxa"/>
          </w:tcPr>
          <w:p w14:paraId="472A6B1B" w14:textId="77777777" w:rsidR="00AC1F76" w:rsidRPr="00B24172" w:rsidRDefault="00AC1F76" w:rsidP="008B699B">
            <w:pPr>
              <w:spacing w:line="288" w:lineRule="auto"/>
              <w:jc w:val="center"/>
              <w:rPr>
                <w:sz w:val="22"/>
                <w:szCs w:val="22"/>
                <w:lang w:val="en-NZ"/>
              </w:rPr>
            </w:pPr>
            <w:r w:rsidRPr="00B24172">
              <w:rPr>
                <w:sz w:val="22"/>
                <w:szCs w:val="22"/>
                <w:lang w:val="en-NZ"/>
              </w:rPr>
              <w:t>Pakistan Bureau of Statistics</w:t>
            </w:r>
          </w:p>
          <w:p w14:paraId="415BBCB5" w14:textId="77777777" w:rsidR="00AC1F76" w:rsidRPr="00B24172" w:rsidRDefault="00AC1F76" w:rsidP="008B699B">
            <w:pPr>
              <w:spacing w:line="288" w:lineRule="auto"/>
              <w:jc w:val="center"/>
              <w:rPr>
                <w:sz w:val="22"/>
                <w:szCs w:val="22"/>
                <w:lang w:val="en-NZ"/>
              </w:rPr>
            </w:pPr>
          </w:p>
        </w:tc>
      </w:tr>
      <w:tr w:rsidR="00AC1F76" w:rsidRPr="00B24172" w14:paraId="1C82DC4A" w14:textId="77777777" w:rsidTr="008B699B">
        <w:trPr>
          <w:trHeight w:val="329"/>
        </w:trPr>
        <w:tc>
          <w:tcPr>
            <w:tcW w:w="4253" w:type="dxa"/>
          </w:tcPr>
          <w:p w14:paraId="33C2A8CD" w14:textId="77777777" w:rsidR="00AC1F76" w:rsidRPr="00B24172" w:rsidRDefault="00AC1F76" w:rsidP="008B699B">
            <w:pPr>
              <w:rPr>
                <w:sz w:val="22"/>
                <w:szCs w:val="22"/>
                <w:lang w:val="en-NZ"/>
              </w:rPr>
            </w:pPr>
            <w:r w:rsidRPr="00B24172">
              <w:rPr>
                <w:sz w:val="22"/>
                <w:szCs w:val="22"/>
                <w:lang w:val="en-NZ"/>
              </w:rPr>
              <w:t>Number of days spent in bed due to illness, fuel collection time, time spent on economic activity, costs of health care, operating cost of LPG, natural gas, electricity, and fixed cost of LPG, natural gas, and electric stoves.</w:t>
            </w:r>
          </w:p>
        </w:tc>
        <w:tc>
          <w:tcPr>
            <w:tcW w:w="4829" w:type="dxa"/>
          </w:tcPr>
          <w:p w14:paraId="4DD28D6C" w14:textId="77777777" w:rsidR="00AC1F76" w:rsidRPr="00B24172" w:rsidRDefault="00AC1F76" w:rsidP="008B699B">
            <w:pPr>
              <w:jc w:val="center"/>
              <w:rPr>
                <w:sz w:val="22"/>
                <w:szCs w:val="22"/>
                <w:lang w:val="en-NZ"/>
              </w:rPr>
            </w:pPr>
            <w:r w:rsidRPr="00B24172">
              <w:rPr>
                <w:sz w:val="22"/>
                <w:szCs w:val="22"/>
                <w:lang w:val="en-NZ"/>
              </w:rPr>
              <w:t xml:space="preserve">PSLM-2013-14 </w:t>
            </w:r>
          </w:p>
          <w:p w14:paraId="218856FB" w14:textId="77777777" w:rsidR="00AC1F76" w:rsidRPr="00B24172" w:rsidRDefault="00AC1F76" w:rsidP="008B699B">
            <w:pPr>
              <w:jc w:val="center"/>
              <w:rPr>
                <w:sz w:val="22"/>
                <w:szCs w:val="22"/>
                <w:lang w:val="en-NZ"/>
              </w:rPr>
            </w:pPr>
            <w:r w:rsidRPr="00B24172">
              <w:rPr>
                <w:sz w:val="22"/>
                <w:szCs w:val="22"/>
                <w:lang w:val="en-NZ"/>
              </w:rPr>
              <w:t xml:space="preserve">and </w:t>
            </w:r>
          </w:p>
          <w:p w14:paraId="067DA07F" w14:textId="77777777" w:rsidR="00AC1F76" w:rsidRPr="00B24172" w:rsidRDefault="00AC1F76" w:rsidP="008B699B">
            <w:pPr>
              <w:jc w:val="center"/>
              <w:rPr>
                <w:sz w:val="22"/>
                <w:szCs w:val="22"/>
                <w:lang w:val="en-NZ"/>
              </w:rPr>
            </w:pPr>
            <w:r w:rsidRPr="00B24172">
              <w:rPr>
                <w:sz w:val="22"/>
                <w:szCs w:val="22"/>
              </w:rPr>
              <w:t>published literature</w:t>
            </w:r>
          </w:p>
        </w:tc>
      </w:tr>
    </w:tbl>
    <w:p w14:paraId="6349C68B" w14:textId="77777777" w:rsidR="00AC1F76" w:rsidRPr="00B24172" w:rsidRDefault="00AC1F76" w:rsidP="00AC1F76">
      <w:pPr>
        <w:autoSpaceDE w:val="0"/>
        <w:autoSpaceDN w:val="0"/>
        <w:adjustRightInd w:val="0"/>
        <w:spacing w:line="288" w:lineRule="auto"/>
        <w:jc w:val="both"/>
        <w:rPr>
          <w:lang w:val="en-NZ"/>
        </w:rPr>
      </w:pPr>
    </w:p>
    <w:p w14:paraId="70430E4E" w14:textId="77777777" w:rsidR="00AC1F76" w:rsidRPr="00B24172" w:rsidRDefault="00AC1F76" w:rsidP="00AC1F76"/>
    <w:p w14:paraId="2E96130C" w14:textId="77777777" w:rsidR="00BA76B5" w:rsidRPr="00B24172" w:rsidRDefault="00BA76B5" w:rsidP="00BF2AB8">
      <w:pPr>
        <w:spacing w:line="288" w:lineRule="auto"/>
        <w:rPr>
          <w:sz w:val="22"/>
          <w:szCs w:val="22"/>
          <w:lang w:val="en-NZ"/>
        </w:rPr>
      </w:pPr>
    </w:p>
    <w:sectPr w:rsidR="00BA76B5" w:rsidRPr="00B24172" w:rsidSect="00A408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1BF9A" w14:textId="77777777" w:rsidR="000E0C15" w:rsidRDefault="000E0C15" w:rsidP="00041B51">
      <w:r>
        <w:separator/>
      </w:r>
    </w:p>
  </w:endnote>
  <w:endnote w:type="continuationSeparator" w:id="0">
    <w:p w14:paraId="376CD83B" w14:textId="77777777" w:rsidR="000E0C15" w:rsidRDefault="000E0C15"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616733"/>
      <w:docPartObj>
        <w:docPartGallery w:val="Page Numbers (Bottom of Page)"/>
        <w:docPartUnique/>
      </w:docPartObj>
    </w:sdtPr>
    <w:sdtEndPr>
      <w:rPr>
        <w:noProof/>
      </w:rPr>
    </w:sdtEndPr>
    <w:sdtContent>
      <w:p w14:paraId="4134563E" w14:textId="57C95215" w:rsidR="00B0028C" w:rsidRDefault="00B0028C">
        <w:pPr>
          <w:pStyle w:val="Footer"/>
          <w:jc w:val="center"/>
        </w:pPr>
        <w:r>
          <w:fldChar w:fldCharType="begin"/>
        </w:r>
        <w:r>
          <w:instrText xml:space="preserve"> PAGE   \* MERGEFORMAT </w:instrText>
        </w:r>
        <w:r>
          <w:fldChar w:fldCharType="separate"/>
        </w:r>
        <w:r w:rsidR="009C1A3D">
          <w:rPr>
            <w:noProof/>
          </w:rPr>
          <w:t>21</w:t>
        </w:r>
        <w:r>
          <w:rPr>
            <w:noProof/>
          </w:rPr>
          <w:fldChar w:fldCharType="end"/>
        </w:r>
      </w:p>
    </w:sdtContent>
  </w:sdt>
  <w:p w14:paraId="0FDD55B4" w14:textId="77777777" w:rsidR="00B0028C" w:rsidRDefault="00B0028C" w:rsidP="00C764AE">
    <w:pPr>
      <w:pStyle w:val="Footer"/>
      <w:tabs>
        <w:tab w:val="clear" w:pos="4513"/>
        <w:tab w:val="clear" w:pos="9026"/>
        <w:tab w:val="left" w:pos="320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23831" w14:textId="77777777" w:rsidR="000E0C15" w:rsidRDefault="000E0C15" w:rsidP="00041B51">
      <w:r>
        <w:separator/>
      </w:r>
    </w:p>
  </w:footnote>
  <w:footnote w:type="continuationSeparator" w:id="0">
    <w:p w14:paraId="36348672" w14:textId="77777777" w:rsidR="000E0C15" w:rsidRDefault="000E0C15" w:rsidP="00041B51">
      <w:r>
        <w:continuationSeparator/>
      </w:r>
    </w:p>
  </w:footnote>
  <w:footnote w:id="1">
    <w:p w14:paraId="34C43BB0" w14:textId="5E1220A3" w:rsidR="00B0028C" w:rsidRPr="009737DD" w:rsidRDefault="00B0028C" w:rsidP="00DF4C6C">
      <w:pPr>
        <w:pStyle w:val="FootnoteText"/>
        <w:ind w:left="284" w:hanging="284"/>
        <w:rPr>
          <w:lang w:val="en-NZ"/>
        </w:rPr>
      </w:pPr>
      <w:r>
        <w:rPr>
          <w:rStyle w:val="FootnoteReference"/>
        </w:rPr>
        <w:footnoteRef/>
      </w:r>
      <w:r>
        <w:t xml:space="preserve"> </w:t>
      </w:r>
      <w:r>
        <w:tab/>
      </w:r>
      <w:hyperlink r:id="rId1" w:history="1">
        <w:r w:rsidRPr="009737DD">
          <w:rPr>
            <w:rStyle w:val="Hyperlink"/>
            <w:color w:val="auto"/>
            <w:sz w:val="22"/>
            <w:szCs w:val="22"/>
          </w:rPr>
          <w:t>http://www.who.int/news-room/fact-sheets/detail/household-air-pollution-and-health</w:t>
        </w:r>
      </w:hyperlink>
      <w:r w:rsidRPr="009737DD">
        <w:rPr>
          <w:sz w:val="22"/>
          <w:szCs w:val="22"/>
        </w:rPr>
        <w:t xml:space="preserve"> </w:t>
      </w:r>
    </w:p>
  </w:footnote>
  <w:footnote w:id="2">
    <w:p w14:paraId="5EBB5367" w14:textId="1B5DCB42" w:rsidR="00B0028C" w:rsidRPr="00A91CBB" w:rsidRDefault="00B0028C" w:rsidP="00FF3CB3">
      <w:pPr>
        <w:pStyle w:val="Bibliography"/>
        <w:spacing w:line="240" w:lineRule="auto"/>
        <w:ind w:left="284" w:hanging="284"/>
        <w:jc w:val="both"/>
        <w:rPr>
          <w:rFonts w:asciiTheme="majorBidi" w:hAnsiTheme="majorBidi" w:cstheme="majorBidi"/>
          <w:sz w:val="22"/>
          <w:szCs w:val="22"/>
        </w:rPr>
      </w:pPr>
      <w:r w:rsidRPr="00A91CBB">
        <w:rPr>
          <w:rStyle w:val="FootnoteReference"/>
          <w:rFonts w:asciiTheme="majorBidi" w:hAnsiTheme="majorBidi" w:cstheme="majorBidi"/>
          <w:sz w:val="22"/>
          <w:szCs w:val="22"/>
        </w:rPr>
        <w:footnoteRef/>
      </w:r>
      <w:r w:rsidRPr="00A91CBB">
        <w:rPr>
          <w:rFonts w:asciiTheme="majorBidi" w:hAnsiTheme="majorBidi" w:cstheme="majorBidi"/>
          <w:sz w:val="22"/>
          <w:szCs w:val="22"/>
        </w:rPr>
        <w:t xml:space="preserve"> </w:t>
      </w:r>
      <w:r>
        <w:rPr>
          <w:rFonts w:asciiTheme="majorBidi" w:hAnsiTheme="majorBidi" w:cstheme="majorBidi"/>
          <w:sz w:val="22"/>
          <w:szCs w:val="22"/>
        </w:rPr>
        <w:tab/>
      </w:r>
      <w:r w:rsidRPr="00A91CBB">
        <w:rPr>
          <w:sz w:val="22"/>
          <w:szCs w:val="22"/>
        </w:rPr>
        <w:t xml:space="preserve">We adopt the term 'intervention' here, following </w:t>
      </w:r>
      <w:r>
        <w:rPr>
          <w:sz w:val="22"/>
          <w:szCs w:val="22"/>
        </w:rPr>
        <w:t xml:space="preserve">the </w:t>
      </w:r>
      <w:r w:rsidRPr="00A91CBB">
        <w:rPr>
          <w:sz w:val="22"/>
          <w:szCs w:val="22"/>
        </w:rPr>
        <w:t xml:space="preserve">World Health Organization </w:t>
      </w:r>
      <w:r w:rsidRPr="00A91CBB">
        <w:rPr>
          <w:sz w:val="22"/>
          <w:szCs w:val="22"/>
        </w:rPr>
        <w:fldChar w:fldCharType="begin"/>
      </w:r>
      <w:r>
        <w:rPr>
          <w:sz w:val="22"/>
          <w:szCs w:val="22"/>
        </w:rPr>
        <w:instrText xml:space="preserve"> ADDIN ZOTERO_ITEM CSL_CITATION {"citationID":"a933kh0mgt","properties":{"formattedCitation":"(Hutton &amp; Rehfuess, 2006)","plainCitation":"(Hutton &amp; Rehfuess, 2006)","dontUpdate":true,"noteIndex":2},"citationItems":[{"id":"yPj1CNji/0Dvam2bo","uris":["http://zotero.org/users/2699952/items/M4PVS3VN"],"uri":["http://zotero.org/users/2699952/items/M4PVS3VN"],"itemData":{"id":1093,"type":"book","title":"Guidelines for conducting cost-benefit analysis of household energy and health interventions","publisher":"WHO","publisher-place":"Geneva","source":"Open WorldCat","event-place":"Geneva","ISBN":"978-92-4-159481-3","note":"OCLC: 604061622","language":"English","author":[{"family":"Hutton","given":"Guy"},{"family":"Rehfuess","given":"Eva"}],"issued":{"date-parts":[["2006"]]}}}],"schema":"https://github.com/citation-style-language/schema/raw/master/csl-citation.json"} </w:instrText>
      </w:r>
      <w:r w:rsidRPr="00A91CBB">
        <w:rPr>
          <w:sz w:val="22"/>
          <w:szCs w:val="22"/>
        </w:rPr>
        <w:fldChar w:fldCharType="separate"/>
      </w:r>
      <w:r w:rsidRPr="00A91CBB">
        <w:rPr>
          <w:sz w:val="22"/>
          <w:szCs w:val="22"/>
        </w:rPr>
        <w:t xml:space="preserve">(Hutton </w:t>
      </w:r>
      <w:r>
        <w:rPr>
          <w:sz w:val="22"/>
          <w:szCs w:val="22"/>
        </w:rPr>
        <w:t>and</w:t>
      </w:r>
      <w:r w:rsidRPr="00A91CBB">
        <w:rPr>
          <w:sz w:val="22"/>
          <w:szCs w:val="22"/>
        </w:rPr>
        <w:t xml:space="preserve"> Rehfuess 2006)</w:t>
      </w:r>
      <w:r w:rsidRPr="00A91CBB">
        <w:rPr>
          <w:sz w:val="22"/>
          <w:szCs w:val="22"/>
        </w:rPr>
        <w:fldChar w:fldCharType="end"/>
      </w:r>
      <w:r>
        <w:rPr>
          <w:sz w:val="22"/>
          <w:szCs w:val="22"/>
        </w:rPr>
        <w:t>.</w:t>
      </w:r>
    </w:p>
  </w:footnote>
  <w:footnote w:id="3">
    <w:p w14:paraId="6BB0AD7C" w14:textId="1EB25518" w:rsidR="00B0028C" w:rsidRDefault="00B0028C" w:rsidP="00F47A65">
      <w:pPr>
        <w:pStyle w:val="Bibliography"/>
        <w:spacing w:line="240" w:lineRule="auto"/>
        <w:ind w:left="567" w:hanging="567"/>
        <w:jc w:val="both"/>
      </w:pPr>
      <w:r>
        <w:rPr>
          <w:rStyle w:val="FootnoteReference"/>
        </w:rPr>
        <w:footnoteRef/>
      </w:r>
      <w:r>
        <w:t xml:space="preserve"> </w:t>
      </w:r>
      <w:hyperlink r:id="rId2" w:history="1">
        <w:r>
          <w:rPr>
            <w:rStyle w:val="Hyperlink"/>
          </w:rPr>
          <w:t>https://data.worldbank.org/country/pakistan</w:t>
        </w:r>
      </w:hyperlink>
      <w:r>
        <w:rPr>
          <w:sz w:val="22"/>
          <w:szCs w:val="22"/>
        </w:rPr>
        <w:t xml:space="preserve"> </w:t>
      </w:r>
    </w:p>
  </w:footnote>
  <w:footnote w:id="4">
    <w:p w14:paraId="6C18CDF8" w14:textId="5158B95C" w:rsidR="00B0028C" w:rsidRPr="009737DD" w:rsidRDefault="00B0028C" w:rsidP="00E869D3">
      <w:pPr>
        <w:pStyle w:val="FootnoteText"/>
        <w:ind w:left="284" w:hanging="284"/>
        <w:rPr>
          <w:sz w:val="6"/>
          <w:szCs w:val="6"/>
          <w:lang w:val="en-NZ"/>
        </w:rPr>
      </w:pPr>
      <w:r>
        <w:rPr>
          <w:rStyle w:val="FootnoteReference"/>
        </w:rPr>
        <w:footnoteRef/>
      </w:r>
      <w:r>
        <w:t xml:space="preserve">  </w:t>
      </w:r>
      <w:r w:rsidRPr="009737DD">
        <w:rPr>
          <w:sz w:val="22"/>
          <w:szCs w:val="22"/>
        </w:rPr>
        <w:t>Africa Region, Region of the Americas, Eastern Mediterranean Region, European Region, South East Asian Region, Western Pacific Region</w:t>
      </w:r>
      <w:r>
        <w:rPr>
          <w:sz w:val="22"/>
          <w:szCs w:val="22"/>
        </w:rPr>
        <w:t>.</w:t>
      </w:r>
    </w:p>
  </w:footnote>
  <w:footnote w:id="5">
    <w:p w14:paraId="7896DA43" w14:textId="306B34A7" w:rsidR="00B0028C" w:rsidRPr="00DF4C6C" w:rsidRDefault="00B0028C" w:rsidP="00DF4C6C">
      <w:pPr>
        <w:autoSpaceDE w:val="0"/>
        <w:autoSpaceDN w:val="0"/>
        <w:adjustRightInd w:val="0"/>
        <w:ind w:left="284" w:hanging="284"/>
        <w:rPr>
          <w:sz w:val="22"/>
          <w:szCs w:val="22"/>
          <w:lang w:val="en-NZ"/>
        </w:rPr>
      </w:pPr>
      <w:r w:rsidRPr="00DF4C6C">
        <w:rPr>
          <w:rStyle w:val="FootnoteReference"/>
          <w:sz w:val="22"/>
          <w:szCs w:val="22"/>
        </w:rPr>
        <w:footnoteRef/>
      </w:r>
      <w:r>
        <w:rPr>
          <w:sz w:val="22"/>
          <w:szCs w:val="22"/>
        </w:rPr>
        <w:t xml:space="preserve">  International dollars</w:t>
      </w:r>
      <w:r w:rsidRPr="00DF4C6C">
        <w:rPr>
          <w:rFonts w:eastAsiaTheme="minorEastAsia"/>
          <w:sz w:val="22"/>
          <w:szCs w:val="22"/>
          <w:lang w:val="en-NZ" w:eastAsia="zh-CN"/>
        </w:rPr>
        <w:t xml:space="preserve"> have the same purchasing power as a US dolla</w:t>
      </w:r>
      <w:r>
        <w:rPr>
          <w:rFonts w:eastAsiaTheme="minorEastAsia"/>
          <w:sz w:val="22"/>
          <w:szCs w:val="22"/>
          <w:lang w:val="en-NZ" w:eastAsia="zh-CN"/>
        </w:rPr>
        <w:t>r</w:t>
      </w:r>
      <w:r w:rsidRPr="00DF4C6C">
        <w:rPr>
          <w:rFonts w:eastAsiaTheme="minorEastAsia"/>
          <w:sz w:val="22"/>
          <w:szCs w:val="22"/>
          <w:lang w:val="en-NZ" w:eastAsia="zh-CN"/>
        </w:rPr>
        <w:t>.</w:t>
      </w:r>
    </w:p>
  </w:footnote>
  <w:footnote w:id="6">
    <w:p w14:paraId="681F1D45" w14:textId="3AB444CE" w:rsidR="00B0028C" w:rsidRDefault="00B0028C" w:rsidP="00B15504">
      <w:pPr>
        <w:pStyle w:val="FootnoteText"/>
      </w:pPr>
      <w:r>
        <w:rPr>
          <w:rStyle w:val="FootnoteReference"/>
        </w:rPr>
        <w:footnoteRef/>
      </w:r>
      <w:r>
        <w:t xml:space="preserve">  </w:t>
      </w:r>
      <w:r w:rsidRPr="00332AF6">
        <w:rPr>
          <w:color w:val="00B0F0"/>
        </w:rPr>
        <w:t xml:space="preserve">D </w:t>
      </w:r>
      <w:r>
        <w:rPr>
          <w:color w:val="00B0F0"/>
        </w:rPr>
        <w:t>indicates</w:t>
      </w:r>
      <w:r w:rsidRPr="00332AF6">
        <w:rPr>
          <w:color w:val="00B0F0"/>
        </w:rPr>
        <w:t xml:space="preserve"> high adult and child mortality in the region</w:t>
      </w:r>
      <w:r>
        <w:rPr>
          <w:color w:val="00B0F0"/>
        </w:rPr>
        <w:t>.</w:t>
      </w:r>
    </w:p>
  </w:footnote>
  <w:footnote w:id="7">
    <w:p w14:paraId="0DFB594D" w14:textId="68F7108E" w:rsidR="00B0028C" w:rsidRPr="002B69F6" w:rsidRDefault="00B0028C" w:rsidP="00584CCB">
      <w:pPr>
        <w:pStyle w:val="FootnoteText"/>
        <w:ind w:left="284" w:hanging="284"/>
      </w:pPr>
      <w:r w:rsidRPr="00262E0F">
        <w:rPr>
          <w:rStyle w:val="FootnoteReference"/>
          <w:sz w:val="22"/>
          <w:szCs w:val="22"/>
        </w:rPr>
        <w:footnoteRef/>
      </w:r>
      <w:r w:rsidRPr="00262E0F">
        <w:rPr>
          <w:sz w:val="22"/>
          <w:szCs w:val="22"/>
        </w:rPr>
        <w:t xml:space="preserve"> </w:t>
      </w:r>
      <w:r w:rsidRPr="00262E0F">
        <w:rPr>
          <w:sz w:val="22"/>
          <w:szCs w:val="22"/>
        </w:rPr>
        <w:tab/>
      </w:r>
      <w:hyperlink r:id="rId3" w:history="1">
        <w:r w:rsidRPr="00262E0F">
          <w:rPr>
            <w:rStyle w:val="Hyperlink"/>
            <w:color w:val="auto"/>
            <w:sz w:val="22"/>
            <w:szCs w:val="22"/>
          </w:rPr>
          <w:t>https://data.worldbank.org/indicator/SP.POP.TOTL?locations=PKandview=chart</w:t>
        </w:r>
      </w:hyperlink>
      <w:r w:rsidRPr="00262E0F">
        <w:rPr>
          <w:rStyle w:val="Hyperlink"/>
          <w:color w:val="auto"/>
        </w:rPr>
        <w:t xml:space="preserve"> </w:t>
      </w:r>
    </w:p>
  </w:footnote>
  <w:footnote w:id="8">
    <w:p w14:paraId="0B65CD8D" w14:textId="23FDB03F" w:rsidR="00B0028C" w:rsidRPr="00584CCB" w:rsidRDefault="00B0028C" w:rsidP="00262E0F">
      <w:pPr>
        <w:pStyle w:val="FootnoteText"/>
        <w:ind w:left="284" w:hanging="284"/>
        <w:rPr>
          <w:sz w:val="22"/>
          <w:szCs w:val="22"/>
        </w:rPr>
      </w:pPr>
      <w:r w:rsidRPr="00584CCB">
        <w:rPr>
          <w:rStyle w:val="FootnoteReference"/>
          <w:sz w:val="22"/>
          <w:szCs w:val="22"/>
        </w:rPr>
        <w:footnoteRef/>
      </w:r>
      <w:r w:rsidRPr="00584CCB">
        <w:rPr>
          <w:sz w:val="22"/>
          <w:szCs w:val="22"/>
        </w:rPr>
        <w:t xml:space="preserve"> </w:t>
      </w:r>
      <w:r>
        <w:rPr>
          <w:sz w:val="22"/>
          <w:szCs w:val="22"/>
        </w:rPr>
        <w:tab/>
      </w:r>
      <w:r w:rsidRPr="00584CCB">
        <w:rPr>
          <w:sz w:val="22"/>
          <w:szCs w:val="22"/>
        </w:rPr>
        <w:t xml:space="preserve">See </w:t>
      </w:r>
      <w:hyperlink r:id="rId4" w:history="1">
        <w:r w:rsidRPr="00584CCB">
          <w:rPr>
            <w:rStyle w:val="Hyperlink"/>
            <w:color w:val="auto"/>
            <w:sz w:val="22"/>
            <w:szCs w:val="22"/>
          </w:rPr>
          <w:t>https://paycheck.pk/main/salary/minimum-wages/minimum-wage-in-pakistan-2014</w:t>
        </w:r>
      </w:hyperlink>
      <w:r w:rsidRPr="00584CCB">
        <w:rPr>
          <w:sz w:val="22"/>
          <w:szCs w:val="22"/>
        </w:rPr>
        <w:t xml:space="preserve"> </w:t>
      </w:r>
    </w:p>
  </w:footnote>
  <w:footnote w:id="9">
    <w:p w14:paraId="4B74853F" w14:textId="77777777" w:rsidR="00B0028C" w:rsidRPr="00654BE7" w:rsidRDefault="00B0028C" w:rsidP="00F527C2">
      <w:pPr>
        <w:pStyle w:val="FootnoteText"/>
        <w:ind w:left="284" w:hanging="284"/>
        <w:rPr>
          <w:sz w:val="22"/>
          <w:szCs w:val="22"/>
        </w:rPr>
      </w:pPr>
      <w:r w:rsidRPr="00654BE7">
        <w:rPr>
          <w:rStyle w:val="FootnoteReference"/>
          <w:sz w:val="22"/>
          <w:szCs w:val="22"/>
        </w:rPr>
        <w:footnoteRef/>
      </w:r>
      <w:hyperlink r:id="rId5" w:anchor="conn" w:history="1">
        <w:r w:rsidRPr="00654BE7">
          <w:rPr>
            <w:rStyle w:val="Hyperlink"/>
            <w:sz w:val="22"/>
            <w:szCs w:val="22"/>
          </w:rPr>
          <w:t>https://www.sngpl.com.pk/web/page.jsp?pgids=861andpgname=PAGES_NAMEandsecs=ss7xa852op845andcats=ct456712337andartcl=artuyh709123465#conn</w:t>
        </w:r>
      </w:hyperlink>
      <w:r w:rsidRPr="00654BE7">
        <w:rPr>
          <w:sz w:val="22"/>
          <w:szCs w:val="22"/>
        </w:rPr>
        <w:t xml:space="preserve"> </w:t>
      </w:r>
    </w:p>
    <w:p w14:paraId="5028A4F1" w14:textId="77777777" w:rsidR="00B0028C" w:rsidRPr="00654BE7" w:rsidRDefault="00B0028C" w:rsidP="00F527C2">
      <w:pPr>
        <w:pStyle w:val="FootnoteText"/>
        <w:ind w:left="284" w:hanging="284"/>
        <w:rPr>
          <w:sz w:val="10"/>
          <w:szCs w:val="10"/>
        </w:rPr>
      </w:pPr>
    </w:p>
  </w:footnote>
  <w:footnote w:id="10">
    <w:p w14:paraId="424C9056" w14:textId="77777777" w:rsidR="00B0028C" w:rsidRPr="00654BE7" w:rsidRDefault="00B0028C" w:rsidP="00F527C2">
      <w:pPr>
        <w:pStyle w:val="FootnoteText"/>
        <w:ind w:left="284" w:hanging="284"/>
        <w:rPr>
          <w:sz w:val="22"/>
          <w:szCs w:val="22"/>
        </w:rPr>
      </w:pPr>
      <w:r w:rsidRPr="00654BE7">
        <w:rPr>
          <w:rStyle w:val="FootnoteReference"/>
          <w:sz w:val="22"/>
          <w:szCs w:val="22"/>
        </w:rPr>
        <w:footnoteRef/>
      </w:r>
      <w:r w:rsidRPr="00654BE7">
        <w:rPr>
          <w:sz w:val="22"/>
          <w:szCs w:val="22"/>
        </w:rPr>
        <w:t xml:space="preserve"> </w:t>
      </w:r>
      <w:r w:rsidRPr="00654BE7">
        <w:rPr>
          <w:sz w:val="22"/>
          <w:szCs w:val="22"/>
        </w:rPr>
        <w:tab/>
      </w:r>
      <w:hyperlink r:id="rId6" w:history="1">
        <w:r w:rsidRPr="00654BE7">
          <w:rPr>
            <w:rStyle w:val="Hyperlink"/>
            <w:color w:val="auto"/>
            <w:sz w:val="22"/>
            <w:szCs w:val="22"/>
          </w:rPr>
          <w:t>https://www.salaryexpert.com/salary/job/plumber/pakistan</w:t>
        </w:r>
      </w:hyperlink>
      <w:r w:rsidRPr="00654BE7">
        <w:rPr>
          <w:sz w:val="22"/>
          <w:szCs w:val="22"/>
        </w:rPr>
        <w:t xml:space="preserve"> </w:t>
      </w:r>
    </w:p>
    <w:p w14:paraId="0E4A0478" w14:textId="77777777" w:rsidR="00B0028C" w:rsidRPr="00654BE7" w:rsidRDefault="00B0028C" w:rsidP="00F527C2">
      <w:pPr>
        <w:pStyle w:val="FootnoteText"/>
        <w:ind w:left="284" w:hanging="284"/>
        <w:rPr>
          <w:sz w:val="10"/>
          <w:szCs w:val="10"/>
        </w:rPr>
      </w:pPr>
    </w:p>
  </w:footnote>
  <w:footnote w:id="11">
    <w:p w14:paraId="6B8FE804" w14:textId="2B181AB4" w:rsidR="00B0028C" w:rsidRPr="00584CCB" w:rsidRDefault="00B0028C" w:rsidP="00262E0F">
      <w:pPr>
        <w:pStyle w:val="FootnoteText"/>
        <w:ind w:left="284" w:hanging="284"/>
        <w:rPr>
          <w:sz w:val="22"/>
          <w:szCs w:val="22"/>
        </w:rPr>
      </w:pPr>
      <w:r w:rsidRPr="00584CCB">
        <w:rPr>
          <w:rStyle w:val="FootnoteReference"/>
          <w:sz w:val="22"/>
          <w:szCs w:val="22"/>
        </w:rPr>
        <w:footnoteRef/>
      </w:r>
      <w:r w:rsidRPr="00584CCB">
        <w:rPr>
          <w:sz w:val="22"/>
          <w:szCs w:val="22"/>
        </w:rPr>
        <w:t xml:space="preserve"> </w:t>
      </w:r>
      <w:r>
        <w:rPr>
          <w:sz w:val="22"/>
          <w:szCs w:val="22"/>
        </w:rPr>
        <w:tab/>
      </w:r>
      <w:hyperlink r:id="rId7" w:history="1">
        <w:r w:rsidRPr="00B30290">
          <w:rPr>
            <w:rStyle w:val="Hyperlink"/>
            <w:sz w:val="22"/>
            <w:szCs w:val="22"/>
          </w:rPr>
          <w:t>https://www.indexmundi.com/commodities/?commodity=natural-gasandmonths=60andcurrency=pkr</w:t>
        </w:r>
      </w:hyperlink>
      <w:r w:rsidRPr="00584CCB">
        <w:rPr>
          <w:sz w:val="22"/>
          <w:szCs w:val="22"/>
        </w:rPr>
        <w:t xml:space="preserve"> </w:t>
      </w:r>
    </w:p>
  </w:footnote>
  <w:footnote w:id="12">
    <w:p w14:paraId="3DB2EB83" w14:textId="70C8A88C" w:rsidR="00B0028C" w:rsidRPr="00654BE7" w:rsidRDefault="00B0028C" w:rsidP="00ED7A65">
      <w:pPr>
        <w:pStyle w:val="FootnoteText"/>
        <w:ind w:left="284" w:hanging="284"/>
        <w:rPr>
          <w:sz w:val="22"/>
          <w:szCs w:val="22"/>
        </w:rPr>
      </w:pPr>
      <w:r w:rsidRPr="00654BE7">
        <w:rPr>
          <w:rStyle w:val="FootnoteReference"/>
          <w:sz w:val="22"/>
          <w:szCs w:val="22"/>
        </w:rPr>
        <w:footnoteRef/>
      </w:r>
      <w:r w:rsidRPr="00654BE7">
        <w:rPr>
          <w:sz w:val="22"/>
          <w:szCs w:val="22"/>
        </w:rPr>
        <w:t xml:space="preserve"> </w:t>
      </w:r>
      <w:r w:rsidRPr="00654BE7">
        <w:rPr>
          <w:sz w:val="22"/>
          <w:szCs w:val="22"/>
        </w:rPr>
        <w:tab/>
      </w:r>
      <w:hyperlink r:id="rId8" w:history="1">
        <w:r w:rsidRPr="00654BE7">
          <w:rPr>
            <w:rStyle w:val="Hyperlink"/>
            <w:color w:val="auto"/>
            <w:sz w:val="22"/>
            <w:szCs w:val="22"/>
          </w:rPr>
          <w:t>http://energyusecalculator.com/electricity_stovetop.htm</w:t>
        </w:r>
      </w:hyperlink>
      <w:r w:rsidRPr="00654BE7">
        <w:rPr>
          <w:sz w:val="22"/>
          <w:szCs w:val="22"/>
        </w:rPr>
        <w:t xml:space="preserve"> </w:t>
      </w:r>
    </w:p>
    <w:p w14:paraId="5CF6EE4E" w14:textId="77777777" w:rsidR="00B0028C" w:rsidRPr="00654BE7" w:rsidRDefault="00B0028C" w:rsidP="00ED7A65">
      <w:pPr>
        <w:pStyle w:val="FootnoteText"/>
        <w:ind w:left="284" w:hanging="284"/>
        <w:rPr>
          <w:sz w:val="10"/>
          <w:szCs w:val="10"/>
        </w:rPr>
      </w:pPr>
    </w:p>
  </w:footnote>
  <w:footnote w:id="13">
    <w:p w14:paraId="11F5DA54" w14:textId="7BFC047C" w:rsidR="00B0028C" w:rsidRPr="00654BE7" w:rsidRDefault="00B0028C" w:rsidP="00ED7A65">
      <w:pPr>
        <w:pStyle w:val="FootnoteText"/>
        <w:ind w:left="284" w:hanging="284"/>
        <w:rPr>
          <w:sz w:val="22"/>
          <w:szCs w:val="22"/>
        </w:rPr>
      </w:pPr>
      <w:r w:rsidRPr="00654BE7">
        <w:rPr>
          <w:rStyle w:val="FootnoteReference"/>
          <w:sz w:val="22"/>
          <w:szCs w:val="22"/>
        </w:rPr>
        <w:footnoteRef/>
      </w:r>
      <w:r w:rsidRPr="00654BE7">
        <w:rPr>
          <w:sz w:val="22"/>
          <w:szCs w:val="22"/>
        </w:rPr>
        <w:t xml:space="preserve"> </w:t>
      </w:r>
      <w:r w:rsidRPr="00654BE7">
        <w:rPr>
          <w:sz w:val="22"/>
          <w:szCs w:val="22"/>
        </w:rPr>
        <w:tab/>
      </w:r>
      <w:hyperlink r:id="rId9" w:history="1">
        <w:r w:rsidRPr="00654BE7">
          <w:rPr>
            <w:rStyle w:val="Hyperlink"/>
            <w:color w:val="auto"/>
            <w:sz w:val="22"/>
            <w:szCs w:val="22"/>
          </w:rPr>
          <w:t>http://www.nepra.org.pk/Tariff/Ex-WAPDA%20DISCOS/Notifications/Schedule-I%2009-05-2012/LESCO%20Notification%20Schedule-I%2009-05-2012.pdf</w:t>
        </w:r>
      </w:hyperlink>
      <w:r w:rsidRPr="00654BE7">
        <w:rPr>
          <w:sz w:val="22"/>
          <w:szCs w:val="22"/>
        </w:rPr>
        <w:t xml:space="preserve"> </w:t>
      </w:r>
    </w:p>
  </w:footnote>
  <w:footnote w:id="14">
    <w:p w14:paraId="58B80C3E" w14:textId="74A6B5FC" w:rsidR="00B0028C" w:rsidRDefault="00B0028C">
      <w:pPr>
        <w:pStyle w:val="FootnoteText"/>
      </w:pPr>
      <w:r>
        <w:rPr>
          <w:rStyle w:val="FootnoteReference"/>
        </w:rPr>
        <w:footnoteRef/>
      </w:r>
      <w:r>
        <w:t xml:space="preserve">    </w:t>
      </w:r>
      <w:hyperlink r:id="rId10" w:history="1">
        <w:r>
          <w:rPr>
            <w:rStyle w:val="Hyperlink"/>
          </w:rPr>
          <w:t>https://data.worldbank.org/indicator/NY.GNP.PCAP.CD?locations=PK</w:t>
        </w:r>
      </w:hyperlink>
    </w:p>
  </w:footnote>
  <w:footnote w:id="15">
    <w:p w14:paraId="3BC1384F" w14:textId="7A49036F" w:rsidR="00B0028C" w:rsidRPr="00654BE7" w:rsidRDefault="00B0028C" w:rsidP="001B33C1">
      <w:pPr>
        <w:pStyle w:val="FootnoteText"/>
        <w:ind w:left="284" w:hanging="284"/>
        <w:rPr>
          <w:sz w:val="22"/>
          <w:szCs w:val="22"/>
          <w:lang w:val="en-NZ"/>
        </w:rPr>
      </w:pPr>
      <w:r w:rsidRPr="00654BE7">
        <w:rPr>
          <w:rStyle w:val="FootnoteReference"/>
          <w:sz w:val="22"/>
          <w:szCs w:val="22"/>
        </w:rPr>
        <w:footnoteRef/>
      </w:r>
      <w:r w:rsidRPr="00654BE7">
        <w:rPr>
          <w:sz w:val="22"/>
          <w:szCs w:val="22"/>
        </w:rPr>
        <w:t xml:space="preserve"> </w:t>
      </w:r>
      <w:r w:rsidRPr="00654BE7">
        <w:rPr>
          <w:sz w:val="22"/>
          <w:szCs w:val="22"/>
        </w:rPr>
        <w:tab/>
      </w:r>
      <w:r w:rsidRPr="00654BE7">
        <w:rPr>
          <w:sz w:val="22"/>
          <w:szCs w:val="22"/>
          <w:lang w:val="en-NZ"/>
        </w:rPr>
        <w:t>This assumption probably understates the health care cost savings, as one DALY of IAP-related illness could be spread over multiple affected individuals</w:t>
      </w:r>
      <w:r>
        <w:rPr>
          <w:sz w:val="22"/>
          <w:szCs w:val="22"/>
          <w:lang w:val="en-NZ"/>
        </w:rPr>
        <w:t>, or over multiple years</w:t>
      </w:r>
      <w:r w:rsidRPr="00654BE7">
        <w:rPr>
          <w:sz w:val="22"/>
          <w:szCs w:val="22"/>
          <w:lang w:val="en-NZ"/>
        </w:rPr>
        <w:t>.</w:t>
      </w:r>
    </w:p>
  </w:footnote>
  <w:footnote w:id="16">
    <w:p w14:paraId="7D5DE3CE" w14:textId="5BAF3209" w:rsidR="00B0028C" w:rsidRPr="00262E0F" w:rsidRDefault="00B0028C" w:rsidP="00262E0F">
      <w:pPr>
        <w:pStyle w:val="FootnoteText"/>
        <w:ind w:left="284" w:hanging="284"/>
        <w:rPr>
          <w:sz w:val="22"/>
          <w:szCs w:val="22"/>
          <w:lang w:val="en-NZ"/>
        </w:rPr>
      </w:pPr>
      <w:r w:rsidRPr="00262E0F">
        <w:rPr>
          <w:rStyle w:val="FootnoteReference"/>
          <w:sz w:val="22"/>
          <w:szCs w:val="22"/>
        </w:rPr>
        <w:footnoteRef/>
      </w:r>
      <w:r w:rsidRPr="00262E0F">
        <w:rPr>
          <w:sz w:val="22"/>
          <w:szCs w:val="22"/>
        </w:rPr>
        <w:t xml:space="preserve"> </w:t>
      </w:r>
      <w:r>
        <w:rPr>
          <w:sz w:val="22"/>
          <w:szCs w:val="22"/>
        </w:rPr>
        <w:tab/>
      </w:r>
      <w:r w:rsidRPr="00262E0F">
        <w:rPr>
          <w:sz w:val="22"/>
          <w:szCs w:val="22"/>
          <w:lang w:val="en-NZ"/>
        </w:rPr>
        <w:t xml:space="preserve">Clean energy sources save utensils washing time, fire burning time and have better efficiency.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70D5"/>
    <w:multiLevelType w:val="hybridMultilevel"/>
    <w:tmpl w:val="DEF4D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A35A50"/>
    <w:multiLevelType w:val="multilevel"/>
    <w:tmpl w:val="F2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4AFA"/>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3" w15:restartNumberingAfterBreak="0">
    <w:nsid w:val="0CBE74FC"/>
    <w:multiLevelType w:val="hybridMultilevel"/>
    <w:tmpl w:val="F3243D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947B57"/>
    <w:multiLevelType w:val="hybridMultilevel"/>
    <w:tmpl w:val="0F022D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173509CA"/>
    <w:multiLevelType w:val="hybridMultilevel"/>
    <w:tmpl w:val="9B743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EBE179F"/>
    <w:multiLevelType w:val="hybridMultilevel"/>
    <w:tmpl w:val="D1A8A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122877"/>
    <w:multiLevelType w:val="hybridMultilevel"/>
    <w:tmpl w:val="3CF0209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72436E"/>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9" w15:restartNumberingAfterBreak="0">
    <w:nsid w:val="2AD618F2"/>
    <w:multiLevelType w:val="hybridMultilevel"/>
    <w:tmpl w:val="6AC45CA4"/>
    <w:lvl w:ilvl="0" w:tplc="83168C5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EB0D51"/>
    <w:multiLevelType w:val="hybridMultilevel"/>
    <w:tmpl w:val="00562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3FF0590"/>
    <w:multiLevelType w:val="multilevel"/>
    <w:tmpl w:val="48A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C31CD"/>
    <w:multiLevelType w:val="multilevel"/>
    <w:tmpl w:val="778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770BF"/>
    <w:multiLevelType w:val="hybridMultilevel"/>
    <w:tmpl w:val="1DF45C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2BE46B3"/>
    <w:multiLevelType w:val="hybridMultilevel"/>
    <w:tmpl w:val="F9920512"/>
    <w:lvl w:ilvl="0" w:tplc="14090011">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FE132C0"/>
    <w:multiLevelType w:val="hybridMultilevel"/>
    <w:tmpl w:val="5900E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3454BC6"/>
    <w:multiLevelType w:val="multilevel"/>
    <w:tmpl w:val="676E6D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5102168"/>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5D9A2D08"/>
    <w:multiLevelType w:val="hybridMultilevel"/>
    <w:tmpl w:val="B44E9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5D229A"/>
    <w:multiLevelType w:val="hybridMultilevel"/>
    <w:tmpl w:val="3D66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22A3114"/>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2" w15:restartNumberingAfterBreak="0">
    <w:nsid w:val="68C76C36"/>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76D230D6"/>
    <w:multiLevelType w:val="hybridMultilevel"/>
    <w:tmpl w:val="700A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9B0762"/>
    <w:multiLevelType w:val="hybridMultilevel"/>
    <w:tmpl w:val="45CE56CE"/>
    <w:lvl w:ilvl="0" w:tplc="37F64CEA">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2"/>
  </w:num>
  <w:num w:numId="5">
    <w:abstractNumId w:val="21"/>
  </w:num>
  <w:num w:numId="6">
    <w:abstractNumId w:val="8"/>
  </w:num>
  <w:num w:numId="7">
    <w:abstractNumId w:val="17"/>
  </w:num>
  <w:num w:numId="8">
    <w:abstractNumId w:val="11"/>
  </w:num>
  <w:num w:numId="9">
    <w:abstractNumId w:val="1"/>
  </w:num>
  <w:num w:numId="10">
    <w:abstractNumId w:val="12"/>
  </w:num>
  <w:num w:numId="11">
    <w:abstractNumId w:val="15"/>
  </w:num>
  <w:num w:numId="12">
    <w:abstractNumId w:val="13"/>
  </w:num>
  <w:num w:numId="13">
    <w:abstractNumId w:val="20"/>
  </w:num>
  <w:num w:numId="14">
    <w:abstractNumId w:val="5"/>
  </w:num>
  <w:num w:numId="15">
    <w:abstractNumId w:val="6"/>
  </w:num>
  <w:num w:numId="16">
    <w:abstractNumId w:val="18"/>
  </w:num>
  <w:num w:numId="17">
    <w:abstractNumId w:val="10"/>
  </w:num>
  <w:num w:numId="18">
    <w:abstractNumId w:val="19"/>
  </w:num>
  <w:num w:numId="19">
    <w:abstractNumId w:val="9"/>
  </w:num>
  <w:num w:numId="20">
    <w:abstractNumId w:val="16"/>
  </w:num>
  <w:num w:numId="21">
    <w:abstractNumId w:val="4"/>
  </w:num>
  <w:num w:numId="22">
    <w:abstractNumId w:val="7"/>
  </w:num>
  <w:num w:numId="23">
    <w:abstractNumId w:val="14"/>
  </w:num>
  <w:num w:numId="24">
    <w:abstractNumId w:val="24"/>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NZ" w:vendorID="64" w:dllVersion="6" w:nlCheck="1" w:checkStyle="1"/>
  <w:activeWritingStyle w:appName="MSWord" w:lang="en-US" w:vendorID="64" w:dllVersion="4096" w:nlCheck="1" w:checkStyle="0"/>
  <w:activeWritingStyle w:appName="MSWord" w:lang="en-NZ" w:vendorID="64" w:dllVersion="4096" w:nlCheck="1" w:checkStyle="0"/>
  <w:activeWritingStyle w:appName="MSWord" w:lang="es-ES" w:vendorID="64" w:dllVersion="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wsDCytDQzMjQ0NrZU0lEKTi0uzszPAykwrgUAFNiMpCwAAAA="/>
  </w:docVars>
  <w:rsids>
    <w:rsidRoot w:val="000B5C3B"/>
    <w:rsid w:val="00000339"/>
    <w:rsid w:val="000020AD"/>
    <w:rsid w:val="00006403"/>
    <w:rsid w:val="00010EA1"/>
    <w:rsid w:val="00011686"/>
    <w:rsid w:val="00011A94"/>
    <w:rsid w:val="00011EE6"/>
    <w:rsid w:val="00013D8D"/>
    <w:rsid w:val="00013EE5"/>
    <w:rsid w:val="000140E1"/>
    <w:rsid w:val="00014472"/>
    <w:rsid w:val="00014512"/>
    <w:rsid w:val="00014D0F"/>
    <w:rsid w:val="00017446"/>
    <w:rsid w:val="0002059F"/>
    <w:rsid w:val="00021243"/>
    <w:rsid w:val="00021D2B"/>
    <w:rsid w:val="00021FDB"/>
    <w:rsid w:val="00022849"/>
    <w:rsid w:val="00022BD3"/>
    <w:rsid w:val="00023B26"/>
    <w:rsid w:val="000245C0"/>
    <w:rsid w:val="00030582"/>
    <w:rsid w:val="00031228"/>
    <w:rsid w:val="00033032"/>
    <w:rsid w:val="000367C1"/>
    <w:rsid w:val="00041B51"/>
    <w:rsid w:val="00041E5C"/>
    <w:rsid w:val="0004779F"/>
    <w:rsid w:val="00047837"/>
    <w:rsid w:val="00050CF8"/>
    <w:rsid w:val="00051386"/>
    <w:rsid w:val="0005755C"/>
    <w:rsid w:val="00057C45"/>
    <w:rsid w:val="0006349F"/>
    <w:rsid w:val="00063F3F"/>
    <w:rsid w:val="000675D8"/>
    <w:rsid w:val="00067FBF"/>
    <w:rsid w:val="00070987"/>
    <w:rsid w:val="00072E9C"/>
    <w:rsid w:val="000735B3"/>
    <w:rsid w:val="0007389D"/>
    <w:rsid w:val="00073911"/>
    <w:rsid w:val="000746F6"/>
    <w:rsid w:val="0007486A"/>
    <w:rsid w:val="00075C7F"/>
    <w:rsid w:val="00075D0A"/>
    <w:rsid w:val="00076DD0"/>
    <w:rsid w:val="00076ED3"/>
    <w:rsid w:val="00076FB3"/>
    <w:rsid w:val="00077434"/>
    <w:rsid w:val="00077A3F"/>
    <w:rsid w:val="00077DE2"/>
    <w:rsid w:val="00080196"/>
    <w:rsid w:val="00080319"/>
    <w:rsid w:val="00080954"/>
    <w:rsid w:val="000809B4"/>
    <w:rsid w:val="00081CA9"/>
    <w:rsid w:val="00082789"/>
    <w:rsid w:val="00085255"/>
    <w:rsid w:val="00085A14"/>
    <w:rsid w:val="00087F1A"/>
    <w:rsid w:val="0009132D"/>
    <w:rsid w:val="00092191"/>
    <w:rsid w:val="0009598F"/>
    <w:rsid w:val="00095E77"/>
    <w:rsid w:val="000961CA"/>
    <w:rsid w:val="0009710F"/>
    <w:rsid w:val="000A0646"/>
    <w:rsid w:val="000A165C"/>
    <w:rsid w:val="000A275A"/>
    <w:rsid w:val="000A5940"/>
    <w:rsid w:val="000A5F12"/>
    <w:rsid w:val="000A60D8"/>
    <w:rsid w:val="000A7641"/>
    <w:rsid w:val="000B525C"/>
    <w:rsid w:val="000B587E"/>
    <w:rsid w:val="000B5C3B"/>
    <w:rsid w:val="000B6003"/>
    <w:rsid w:val="000C047D"/>
    <w:rsid w:val="000C2275"/>
    <w:rsid w:val="000C32BA"/>
    <w:rsid w:val="000C55CE"/>
    <w:rsid w:val="000C612D"/>
    <w:rsid w:val="000D2B7A"/>
    <w:rsid w:val="000D3A42"/>
    <w:rsid w:val="000D466A"/>
    <w:rsid w:val="000D6E62"/>
    <w:rsid w:val="000D7123"/>
    <w:rsid w:val="000D7322"/>
    <w:rsid w:val="000D7EE3"/>
    <w:rsid w:val="000E0C15"/>
    <w:rsid w:val="000E1EF5"/>
    <w:rsid w:val="000E2C56"/>
    <w:rsid w:val="000E360C"/>
    <w:rsid w:val="000E6E10"/>
    <w:rsid w:val="000E7FB2"/>
    <w:rsid w:val="000F556D"/>
    <w:rsid w:val="000F63EA"/>
    <w:rsid w:val="000F760B"/>
    <w:rsid w:val="00100E46"/>
    <w:rsid w:val="00100FD0"/>
    <w:rsid w:val="00102D8A"/>
    <w:rsid w:val="00103DED"/>
    <w:rsid w:val="001051ED"/>
    <w:rsid w:val="0010523C"/>
    <w:rsid w:val="00105E90"/>
    <w:rsid w:val="001101B6"/>
    <w:rsid w:val="00111C29"/>
    <w:rsid w:val="00112072"/>
    <w:rsid w:val="001132DC"/>
    <w:rsid w:val="00113B5B"/>
    <w:rsid w:val="001148D8"/>
    <w:rsid w:val="00114F12"/>
    <w:rsid w:val="0011564B"/>
    <w:rsid w:val="00116589"/>
    <w:rsid w:val="00117759"/>
    <w:rsid w:val="00120E4B"/>
    <w:rsid w:val="00121852"/>
    <w:rsid w:val="00122E4C"/>
    <w:rsid w:val="001272C5"/>
    <w:rsid w:val="00131967"/>
    <w:rsid w:val="00132277"/>
    <w:rsid w:val="001324E7"/>
    <w:rsid w:val="0013261C"/>
    <w:rsid w:val="00135CA9"/>
    <w:rsid w:val="0013636D"/>
    <w:rsid w:val="001378FC"/>
    <w:rsid w:val="00137D44"/>
    <w:rsid w:val="001403E9"/>
    <w:rsid w:val="00142CF9"/>
    <w:rsid w:val="00142F3A"/>
    <w:rsid w:val="0014318C"/>
    <w:rsid w:val="0014387D"/>
    <w:rsid w:val="001479C2"/>
    <w:rsid w:val="00151B81"/>
    <w:rsid w:val="001525D0"/>
    <w:rsid w:val="00154FE7"/>
    <w:rsid w:val="00156256"/>
    <w:rsid w:val="0015639E"/>
    <w:rsid w:val="00156F39"/>
    <w:rsid w:val="00160F6B"/>
    <w:rsid w:val="001619D0"/>
    <w:rsid w:val="00162059"/>
    <w:rsid w:val="0016207D"/>
    <w:rsid w:val="00163858"/>
    <w:rsid w:val="001647D6"/>
    <w:rsid w:val="00164D21"/>
    <w:rsid w:val="00166D71"/>
    <w:rsid w:val="00167A9B"/>
    <w:rsid w:val="00170E71"/>
    <w:rsid w:val="00171669"/>
    <w:rsid w:val="0017246F"/>
    <w:rsid w:val="00172E00"/>
    <w:rsid w:val="00173966"/>
    <w:rsid w:val="0017520A"/>
    <w:rsid w:val="00175B5E"/>
    <w:rsid w:val="0018102B"/>
    <w:rsid w:val="00182222"/>
    <w:rsid w:val="00182776"/>
    <w:rsid w:val="00183ACF"/>
    <w:rsid w:val="001855F8"/>
    <w:rsid w:val="00185A52"/>
    <w:rsid w:val="0018663F"/>
    <w:rsid w:val="00187CA2"/>
    <w:rsid w:val="00191DB6"/>
    <w:rsid w:val="0019302A"/>
    <w:rsid w:val="00193663"/>
    <w:rsid w:val="00195037"/>
    <w:rsid w:val="001978E7"/>
    <w:rsid w:val="00197C48"/>
    <w:rsid w:val="001A1470"/>
    <w:rsid w:val="001A223D"/>
    <w:rsid w:val="001A5A99"/>
    <w:rsid w:val="001A5D60"/>
    <w:rsid w:val="001A63E7"/>
    <w:rsid w:val="001A6B16"/>
    <w:rsid w:val="001B0300"/>
    <w:rsid w:val="001B33C1"/>
    <w:rsid w:val="001B3915"/>
    <w:rsid w:val="001B7029"/>
    <w:rsid w:val="001C0A06"/>
    <w:rsid w:val="001C1801"/>
    <w:rsid w:val="001C28FF"/>
    <w:rsid w:val="001C5335"/>
    <w:rsid w:val="001C5F85"/>
    <w:rsid w:val="001D0327"/>
    <w:rsid w:val="001D2CC2"/>
    <w:rsid w:val="001D32EF"/>
    <w:rsid w:val="001D3FD3"/>
    <w:rsid w:val="001D55CA"/>
    <w:rsid w:val="001D58BD"/>
    <w:rsid w:val="001D5EE5"/>
    <w:rsid w:val="001D63B4"/>
    <w:rsid w:val="001D72B0"/>
    <w:rsid w:val="001E06C7"/>
    <w:rsid w:val="001E071C"/>
    <w:rsid w:val="001E0D12"/>
    <w:rsid w:val="001E22B9"/>
    <w:rsid w:val="001E4362"/>
    <w:rsid w:val="001E5F79"/>
    <w:rsid w:val="001E66D6"/>
    <w:rsid w:val="001F021F"/>
    <w:rsid w:val="001F1D26"/>
    <w:rsid w:val="001F1DD0"/>
    <w:rsid w:val="001F2293"/>
    <w:rsid w:val="001F2377"/>
    <w:rsid w:val="001F2DCD"/>
    <w:rsid w:val="001F547A"/>
    <w:rsid w:val="001F5FF8"/>
    <w:rsid w:val="001F60EE"/>
    <w:rsid w:val="001F7A1A"/>
    <w:rsid w:val="001F7B7E"/>
    <w:rsid w:val="00200D8E"/>
    <w:rsid w:val="002012B0"/>
    <w:rsid w:val="002015EE"/>
    <w:rsid w:val="00205527"/>
    <w:rsid w:val="00205E0B"/>
    <w:rsid w:val="00205ECD"/>
    <w:rsid w:val="002071B0"/>
    <w:rsid w:val="00210632"/>
    <w:rsid w:val="00211429"/>
    <w:rsid w:val="002121D7"/>
    <w:rsid w:val="00212D3A"/>
    <w:rsid w:val="00214245"/>
    <w:rsid w:val="002147D4"/>
    <w:rsid w:val="00214D6D"/>
    <w:rsid w:val="0021571F"/>
    <w:rsid w:val="00217343"/>
    <w:rsid w:val="002175A5"/>
    <w:rsid w:val="00233F05"/>
    <w:rsid w:val="002341C9"/>
    <w:rsid w:val="002349C2"/>
    <w:rsid w:val="0024032F"/>
    <w:rsid w:val="002417CE"/>
    <w:rsid w:val="00243E0C"/>
    <w:rsid w:val="002457BD"/>
    <w:rsid w:val="00245F8D"/>
    <w:rsid w:val="00247F9D"/>
    <w:rsid w:val="002523C8"/>
    <w:rsid w:val="0025418A"/>
    <w:rsid w:val="00256F71"/>
    <w:rsid w:val="0026001B"/>
    <w:rsid w:val="00260F09"/>
    <w:rsid w:val="00261174"/>
    <w:rsid w:val="00262E0F"/>
    <w:rsid w:val="00263A09"/>
    <w:rsid w:val="00265228"/>
    <w:rsid w:val="00265548"/>
    <w:rsid w:val="00265A65"/>
    <w:rsid w:val="0026724C"/>
    <w:rsid w:val="00271123"/>
    <w:rsid w:val="00272765"/>
    <w:rsid w:val="00275DEB"/>
    <w:rsid w:val="0027648E"/>
    <w:rsid w:val="002767FE"/>
    <w:rsid w:val="00277C9F"/>
    <w:rsid w:val="00280B54"/>
    <w:rsid w:val="002839BE"/>
    <w:rsid w:val="00285A45"/>
    <w:rsid w:val="00286D5F"/>
    <w:rsid w:val="00290C99"/>
    <w:rsid w:val="00293AE8"/>
    <w:rsid w:val="002944AE"/>
    <w:rsid w:val="00294517"/>
    <w:rsid w:val="00295DF8"/>
    <w:rsid w:val="002A1EE3"/>
    <w:rsid w:val="002A21A6"/>
    <w:rsid w:val="002A55BA"/>
    <w:rsid w:val="002A64ED"/>
    <w:rsid w:val="002B0630"/>
    <w:rsid w:val="002B0764"/>
    <w:rsid w:val="002B527D"/>
    <w:rsid w:val="002B69F6"/>
    <w:rsid w:val="002B6A6C"/>
    <w:rsid w:val="002C43D7"/>
    <w:rsid w:val="002C6749"/>
    <w:rsid w:val="002D1174"/>
    <w:rsid w:val="002D704E"/>
    <w:rsid w:val="002D7CE4"/>
    <w:rsid w:val="002E05FD"/>
    <w:rsid w:val="002E069C"/>
    <w:rsid w:val="002E15C8"/>
    <w:rsid w:val="002E1C34"/>
    <w:rsid w:val="002E1DF4"/>
    <w:rsid w:val="002E2956"/>
    <w:rsid w:val="002E4254"/>
    <w:rsid w:val="002E53BE"/>
    <w:rsid w:val="002E6897"/>
    <w:rsid w:val="002F0F43"/>
    <w:rsid w:val="002F2FB3"/>
    <w:rsid w:val="002F5A31"/>
    <w:rsid w:val="002F6035"/>
    <w:rsid w:val="002F6C68"/>
    <w:rsid w:val="002F6FB2"/>
    <w:rsid w:val="002F7103"/>
    <w:rsid w:val="00300A6E"/>
    <w:rsid w:val="0030393C"/>
    <w:rsid w:val="00307DD4"/>
    <w:rsid w:val="00310AE8"/>
    <w:rsid w:val="003139FE"/>
    <w:rsid w:val="0031614E"/>
    <w:rsid w:val="00317357"/>
    <w:rsid w:val="00317B7A"/>
    <w:rsid w:val="00317C90"/>
    <w:rsid w:val="0032089C"/>
    <w:rsid w:val="00321504"/>
    <w:rsid w:val="00321CE6"/>
    <w:rsid w:val="00322D60"/>
    <w:rsid w:val="003232A5"/>
    <w:rsid w:val="00324486"/>
    <w:rsid w:val="00324ABE"/>
    <w:rsid w:val="00324EDB"/>
    <w:rsid w:val="00326104"/>
    <w:rsid w:val="00331CFE"/>
    <w:rsid w:val="00332AF6"/>
    <w:rsid w:val="00333C06"/>
    <w:rsid w:val="003348A5"/>
    <w:rsid w:val="00335834"/>
    <w:rsid w:val="003370F3"/>
    <w:rsid w:val="0034052C"/>
    <w:rsid w:val="003450AD"/>
    <w:rsid w:val="003452AB"/>
    <w:rsid w:val="00347101"/>
    <w:rsid w:val="00347DDF"/>
    <w:rsid w:val="00353C50"/>
    <w:rsid w:val="00354AAC"/>
    <w:rsid w:val="0036025C"/>
    <w:rsid w:val="003618D8"/>
    <w:rsid w:val="00361FB3"/>
    <w:rsid w:val="00362AE6"/>
    <w:rsid w:val="003650B7"/>
    <w:rsid w:val="00365EAE"/>
    <w:rsid w:val="00366205"/>
    <w:rsid w:val="003674E0"/>
    <w:rsid w:val="00367EDB"/>
    <w:rsid w:val="00370A1F"/>
    <w:rsid w:val="0037116F"/>
    <w:rsid w:val="00372396"/>
    <w:rsid w:val="003725DA"/>
    <w:rsid w:val="00372AE1"/>
    <w:rsid w:val="00372E6F"/>
    <w:rsid w:val="003746FB"/>
    <w:rsid w:val="00374763"/>
    <w:rsid w:val="00374CCA"/>
    <w:rsid w:val="00376CC8"/>
    <w:rsid w:val="00380742"/>
    <w:rsid w:val="0038175B"/>
    <w:rsid w:val="0038364E"/>
    <w:rsid w:val="00383F06"/>
    <w:rsid w:val="003866BD"/>
    <w:rsid w:val="003866BE"/>
    <w:rsid w:val="003901F9"/>
    <w:rsid w:val="00391EFC"/>
    <w:rsid w:val="00393B7A"/>
    <w:rsid w:val="00394469"/>
    <w:rsid w:val="00394524"/>
    <w:rsid w:val="003953B5"/>
    <w:rsid w:val="00396FB7"/>
    <w:rsid w:val="003A1EB7"/>
    <w:rsid w:val="003A41AA"/>
    <w:rsid w:val="003A6AF3"/>
    <w:rsid w:val="003A7564"/>
    <w:rsid w:val="003B0D6B"/>
    <w:rsid w:val="003B1E78"/>
    <w:rsid w:val="003B1FA6"/>
    <w:rsid w:val="003B20EE"/>
    <w:rsid w:val="003B2F67"/>
    <w:rsid w:val="003B4718"/>
    <w:rsid w:val="003B4F3D"/>
    <w:rsid w:val="003B632B"/>
    <w:rsid w:val="003B6C2E"/>
    <w:rsid w:val="003B75DF"/>
    <w:rsid w:val="003C0090"/>
    <w:rsid w:val="003C3737"/>
    <w:rsid w:val="003C677A"/>
    <w:rsid w:val="003C75D6"/>
    <w:rsid w:val="003D0392"/>
    <w:rsid w:val="003D0BE9"/>
    <w:rsid w:val="003D1EA1"/>
    <w:rsid w:val="003D21C4"/>
    <w:rsid w:val="003D2AD6"/>
    <w:rsid w:val="003D40CF"/>
    <w:rsid w:val="003D47EB"/>
    <w:rsid w:val="003D5BDF"/>
    <w:rsid w:val="003D761C"/>
    <w:rsid w:val="003E36EA"/>
    <w:rsid w:val="003E3C84"/>
    <w:rsid w:val="003E60DB"/>
    <w:rsid w:val="003E7C5D"/>
    <w:rsid w:val="003F1988"/>
    <w:rsid w:val="003F4E4D"/>
    <w:rsid w:val="003F5709"/>
    <w:rsid w:val="003F5953"/>
    <w:rsid w:val="003F6007"/>
    <w:rsid w:val="003F68B6"/>
    <w:rsid w:val="003F7445"/>
    <w:rsid w:val="003F7CEF"/>
    <w:rsid w:val="00400954"/>
    <w:rsid w:val="00400C3E"/>
    <w:rsid w:val="00403225"/>
    <w:rsid w:val="0040455A"/>
    <w:rsid w:val="00411893"/>
    <w:rsid w:val="00413602"/>
    <w:rsid w:val="00414EFB"/>
    <w:rsid w:val="00415DB3"/>
    <w:rsid w:val="00415F6F"/>
    <w:rsid w:val="00421708"/>
    <w:rsid w:val="00431D62"/>
    <w:rsid w:val="0043532C"/>
    <w:rsid w:val="00436AC7"/>
    <w:rsid w:val="00437BCC"/>
    <w:rsid w:val="004411EA"/>
    <w:rsid w:val="00442D88"/>
    <w:rsid w:val="00442E2C"/>
    <w:rsid w:val="00446566"/>
    <w:rsid w:val="00450E78"/>
    <w:rsid w:val="0045120A"/>
    <w:rsid w:val="00452611"/>
    <w:rsid w:val="00457422"/>
    <w:rsid w:val="00461332"/>
    <w:rsid w:val="00461EBA"/>
    <w:rsid w:val="00464100"/>
    <w:rsid w:val="0046561B"/>
    <w:rsid w:val="0047259B"/>
    <w:rsid w:val="00474A33"/>
    <w:rsid w:val="00476448"/>
    <w:rsid w:val="00477190"/>
    <w:rsid w:val="004774A9"/>
    <w:rsid w:val="00481131"/>
    <w:rsid w:val="00482642"/>
    <w:rsid w:val="00482F82"/>
    <w:rsid w:val="00485DCC"/>
    <w:rsid w:val="004906FF"/>
    <w:rsid w:val="004908BC"/>
    <w:rsid w:val="004946B5"/>
    <w:rsid w:val="004951C5"/>
    <w:rsid w:val="00496091"/>
    <w:rsid w:val="004966CA"/>
    <w:rsid w:val="004966F2"/>
    <w:rsid w:val="00497B03"/>
    <w:rsid w:val="004A272F"/>
    <w:rsid w:val="004A459E"/>
    <w:rsid w:val="004A7217"/>
    <w:rsid w:val="004A78CB"/>
    <w:rsid w:val="004A7C0E"/>
    <w:rsid w:val="004B0FB6"/>
    <w:rsid w:val="004B14E9"/>
    <w:rsid w:val="004B1C38"/>
    <w:rsid w:val="004B61F7"/>
    <w:rsid w:val="004B684E"/>
    <w:rsid w:val="004C0A4E"/>
    <w:rsid w:val="004C3AC7"/>
    <w:rsid w:val="004C65D7"/>
    <w:rsid w:val="004C6610"/>
    <w:rsid w:val="004D395A"/>
    <w:rsid w:val="004D5A2F"/>
    <w:rsid w:val="004D6270"/>
    <w:rsid w:val="004D679B"/>
    <w:rsid w:val="004D6E30"/>
    <w:rsid w:val="004D7120"/>
    <w:rsid w:val="004E02FD"/>
    <w:rsid w:val="004E0672"/>
    <w:rsid w:val="004E0B09"/>
    <w:rsid w:val="004E1E2C"/>
    <w:rsid w:val="004E22D1"/>
    <w:rsid w:val="004E4ABA"/>
    <w:rsid w:val="004E5E11"/>
    <w:rsid w:val="004E7228"/>
    <w:rsid w:val="004F0B12"/>
    <w:rsid w:val="004F3A7C"/>
    <w:rsid w:val="004F56BD"/>
    <w:rsid w:val="004F7051"/>
    <w:rsid w:val="004F7B43"/>
    <w:rsid w:val="00500048"/>
    <w:rsid w:val="00500654"/>
    <w:rsid w:val="00501910"/>
    <w:rsid w:val="0050259F"/>
    <w:rsid w:val="005034D0"/>
    <w:rsid w:val="005042B5"/>
    <w:rsid w:val="00505496"/>
    <w:rsid w:val="00506F13"/>
    <w:rsid w:val="00513614"/>
    <w:rsid w:val="005208EA"/>
    <w:rsid w:val="00521A2A"/>
    <w:rsid w:val="005221F4"/>
    <w:rsid w:val="00522A07"/>
    <w:rsid w:val="00525046"/>
    <w:rsid w:val="00526CC2"/>
    <w:rsid w:val="00535431"/>
    <w:rsid w:val="00535674"/>
    <w:rsid w:val="00535830"/>
    <w:rsid w:val="00536364"/>
    <w:rsid w:val="005403BA"/>
    <w:rsid w:val="00541986"/>
    <w:rsid w:val="00542183"/>
    <w:rsid w:val="005429F0"/>
    <w:rsid w:val="00542C4B"/>
    <w:rsid w:val="005431C8"/>
    <w:rsid w:val="005434C3"/>
    <w:rsid w:val="0054435E"/>
    <w:rsid w:val="005446E5"/>
    <w:rsid w:val="00547A1E"/>
    <w:rsid w:val="00552696"/>
    <w:rsid w:val="005560AB"/>
    <w:rsid w:val="005561C2"/>
    <w:rsid w:val="00556285"/>
    <w:rsid w:val="005574E1"/>
    <w:rsid w:val="00561455"/>
    <w:rsid w:val="00562410"/>
    <w:rsid w:val="00562C53"/>
    <w:rsid w:val="005630AA"/>
    <w:rsid w:val="00565AA2"/>
    <w:rsid w:val="00574485"/>
    <w:rsid w:val="00581D4D"/>
    <w:rsid w:val="005824C3"/>
    <w:rsid w:val="00584CCB"/>
    <w:rsid w:val="00585DB9"/>
    <w:rsid w:val="005878FF"/>
    <w:rsid w:val="00592B27"/>
    <w:rsid w:val="005937CD"/>
    <w:rsid w:val="00596920"/>
    <w:rsid w:val="005A0EF8"/>
    <w:rsid w:val="005A2124"/>
    <w:rsid w:val="005A3F3C"/>
    <w:rsid w:val="005A48FD"/>
    <w:rsid w:val="005A5032"/>
    <w:rsid w:val="005A7261"/>
    <w:rsid w:val="005B050D"/>
    <w:rsid w:val="005B0D8C"/>
    <w:rsid w:val="005B438A"/>
    <w:rsid w:val="005B73C2"/>
    <w:rsid w:val="005C098D"/>
    <w:rsid w:val="005C187C"/>
    <w:rsid w:val="005C3769"/>
    <w:rsid w:val="005C5052"/>
    <w:rsid w:val="005C525B"/>
    <w:rsid w:val="005C5CDB"/>
    <w:rsid w:val="005C6410"/>
    <w:rsid w:val="005D06C5"/>
    <w:rsid w:val="005D0939"/>
    <w:rsid w:val="005D0961"/>
    <w:rsid w:val="005D22A7"/>
    <w:rsid w:val="005D36E6"/>
    <w:rsid w:val="005D4A5C"/>
    <w:rsid w:val="005D5355"/>
    <w:rsid w:val="005D5840"/>
    <w:rsid w:val="005D5895"/>
    <w:rsid w:val="005D6600"/>
    <w:rsid w:val="005D6B9A"/>
    <w:rsid w:val="005D717D"/>
    <w:rsid w:val="005D7826"/>
    <w:rsid w:val="005E0B29"/>
    <w:rsid w:val="005E0F58"/>
    <w:rsid w:val="005E4B3C"/>
    <w:rsid w:val="005E5910"/>
    <w:rsid w:val="005E6822"/>
    <w:rsid w:val="005E6FBF"/>
    <w:rsid w:val="005F2343"/>
    <w:rsid w:val="005F5353"/>
    <w:rsid w:val="005F7684"/>
    <w:rsid w:val="00603E5E"/>
    <w:rsid w:val="00607485"/>
    <w:rsid w:val="00607BF5"/>
    <w:rsid w:val="00610414"/>
    <w:rsid w:val="006126EE"/>
    <w:rsid w:val="00613245"/>
    <w:rsid w:val="006139D6"/>
    <w:rsid w:val="006158F0"/>
    <w:rsid w:val="006161FA"/>
    <w:rsid w:val="00616953"/>
    <w:rsid w:val="00616B87"/>
    <w:rsid w:val="006170B3"/>
    <w:rsid w:val="00621095"/>
    <w:rsid w:val="006235D0"/>
    <w:rsid w:val="00625445"/>
    <w:rsid w:val="00627176"/>
    <w:rsid w:val="00630428"/>
    <w:rsid w:val="0063151E"/>
    <w:rsid w:val="00633B75"/>
    <w:rsid w:val="0063751D"/>
    <w:rsid w:val="0064077C"/>
    <w:rsid w:val="00642BEA"/>
    <w:rsid w:val="00650254"/>
    <w:rsid w:val="00650375"/>
    <w:rsid w:val="00650D8A"/>
    <w:rsid w:val="00651B36"/>
    <w:rsid w:val="006524A3"/>
    <w:rsid w:val="00653D7A"/>
    <w:rsid w:val="00654BE7"/>
    <w:rsid w:val="006550E2"/>
    <w:rsid w:val="00656E11"/>
    <w:rsid w:val="00657DEA"/>
    <w:rsid w:val="006601ED"/>
    <w:rsid w:val="006604D6"/>
    <w:rsid w:val="00660838"/>
    <w:rsid w:val="00660CB9"/>
    <w:rsid w:val="00663692"/>
    <w:rsid w:val="006636DE"/>
    <w:rsid w:val="00663A39"/>
    <w:rsid w:val="0066591F"/>
    <w:rsid w:val="00672201"/>
    <w:rsid w:val="00672C40"/>
    <w:rsid w:val="00674B7E"/>
    <w:rsid w:val="006752D5"/>
    <w:rsid w:val="00675423"/>
    <w:rsid w:val="00675A8E"/>
    <w:rsid w:val="006814E7"/>
    <w:rsid w:val="006823AB"/>
    <w:rsid w:val="006847A8"/>
    <w:rsid w:val="00684AA6"/>
    <w:rsid w:val="00691CA2"/>
    <w:rsid w:val="00691EEB"/>
    <w:rsid w:val="00692A2A"/>
    <w:rsid w:val="00693715"/>
    <w:rsid w:val="00693AC7"/>
    <w:rsid w:val="0069455C"/>
    <w:rsid w:val="00694B75"/>
    <w:rsid w:val="00695E48"/>
    <w:rsid w:val="00697962"/>
    <w:rsid w:val="00697D88"/>
    <w:rsid w:val="006A34A3"/>
    <w:rsid w:val="006A4C7C"/>
    <w:rsid w:val="006A5EAB"/>
    <w:rsid w:val="006B5973"/>
    <w:rsid w:val="006B76A8"/>
    <w:rsid w:val="006C0B8A"/>
    <w:rsid w:val="006C2B52"/>
    <w:rsid w:val="006C4B6E"/>
    <w:rsid w:val="006C5DE5"/>
    <w:rsid w:val="006C63DF"/>
    <w:rsid w:val="006C6E37"/>
    <w:rsid w:val="006C7FAD"/>
    <w:rsid w:val="006D12F8"/>
    <w:rsid w:val="006D1685"/>
    <w:rsid w:val="006D38AD"/>
    <w:rsid w:val="006D39CB"/>
    <w:rsid w:val="006D4ED8"/>
    <w:rsid w:val="006D5957"/>
    <w:rsid w:val="006E06D4"/>
    <w:rsid w:val="006E2D87"/>
    <w:rsid w:val="006E3CB5"/>
    <w:rsid w:val="006E6044"/>
    <w:rsid w:val="006F04E5"/>
    <w:rsid w:val="006F1E0D"/>
    <w:rsid w:val="006F2263"/>
    <w:rsid w:val="006F2F0A"/>
    <w:rsid w:val="006F3636"/>
    <w:rsid w:val="006F377B"/>
    <w:rsid w:val="006F3B4E"/>
    <w:rsid w:val="006F40DA"/>
    <w:rsid w:val="006F6232"/>
    <w:rsid w:val="006F7A1E"/>
    <w:rsid w:val="007007E6"/>
    <w:rsid w:val="00702F1D"/>
    <w:rsid w:val="00705D79"/>
    <w:rsid w:val="00714B50"/>
    <w:rsid w:val="00714ED0"/>
    <w:rsid w:val="00715789"/>
    <w:rsid w:val="00720B56"/>
    <w:rsid w:val="00721A99"/>
    <w:rsid w:val="00721CBE"/>
    <w:rsid w:val="00722D10"/>
    <w:rsid w:val="00723ECF"/>
    <w:rsid w:val="007258AB"/>
    <w:rsid w:val="00725E27"/>
    <w:rsid w:val="007300FE"/>
    <w:rsid w:val="00731A07"/>
    <w:rsid w:val="00732CBE"/>
    <w:rsid w:val="00733423"/>
    <w:rsid w:val="00733771"/>
    <w:rsid w:val="00734648"/>
    <w:rsid w:val="007404B8"/>
    <w:rsid w:val="00742333"/>
    <w:rsid w:val="00743152"/>
    <w:rsid w:val="007455B5"/>
    <w:rsid w:val="0074622A"/>
    <w:rsid w:val="0074636F"/>
    <w:rsid w:val="00750B1B"/>
    <w:rsid w:val="007530E5"/>
    <w:rsid w:val="00753B69"/>
    <w:rsid w:val="00754523"/>
    <w:rsid w:val="0075767E"/>
    <w:rsid w:val="0075774E"/>
    <w:rsid w:val="00760083"/>
    <w:rsid w:val="00761230"/>
    <w:rsid w:val="00761405"/>
    <w:rsid w:val="0076311C"/>
    <w:rsid w:val="00763BEE"/>
    <w:rsid w:val="00764844"/>
    <w:rsid w:val="00767086"/>
    <w:rsid w:val="00774997"/>
    <w:rsid w:val="00775E17"/>
    <w:rsid w:val="00781B1E"/>
    <w:rsid w:val="007839CF"/>
    <w:rsid w:val="00785ED2"/>
    <w:rsid w:val="00787C02"/>
    <w:rsid w:val="00790A4E"/>
    <w:rsid w:val="00791D90"/>
    <w:rsid w:val="00792DD7"/>
    <w:rsid w:val="0079469B"/>
    <w:rsid w:val="00794891"/>
    <w:rsid w:val="0079528C"/>
    <w:rsid w:val="00797145"/>
    <w:rsid w:val="007A2D16"/>
    <w:rsid w:val="007A5F7A"/>
    <w:rsid w:val="007A6663"/>
    <w:rsid w:val="007A72C4"/>
    <w:rsid w:val="007B0002"/>
    <w:rsid w:val="007B05A6"/>
    <w:rsid w:val="007B0FEF"/>
    <w:rsid w:val="007B7B9A"/>
    <w:rsid w:val="007C01EB"/>
    <w:rsid w:val="007C2169"/>
    <w:rsid w:val="007C7E76"/>
    <w:rsid w:val="007D1B22"/>
    <w:rsid w:val="007D4107"/>
    <w:rsid w:val="007D4CF7"/>
    <w:rsid w:val="007E1621"/>
    <w:rsid w:val="007E3CB6"/>
    <w:rsid w:val="007E4A46"/>
    <w:rsid w:val="007F0037"/>
    <w:rsid w:val="007F0A77"/>
    <w:rsid w:val="007F1D28"/>
    <w:rsid w:val="007F202A"/>
    <w:rsid w:val="007F261C"/>
    <w:rsid w:val="007F4475"/>
    <w:rsid w:val="007F571E"/>
    <w:rsid w:val="007F794E"/>
    <w:rsid w:val="008030B2"/>
    <w:rsid w:val="00803DB8"/>
    <w:rsid w:val="00806AFF"/>
    <w:rsid w:val="00810135"/>
    <w:rsid w:val="0081028F"/>
    <w:rsid w:val="00810CF4"/>
    <w:rsid w:val="008144C0"/>
    <w:rsid w:val="00816CDB"/>
    <w:rsid w:val="0082039A"/>
    <w:rsid w:val="008235B6"/>
    <w:rsid w:val="0082454C"/>
    <w:rsid w:val="0082542B"/>
    <w:rsid w:val="00831E12"/>
    <w:rsid w:val="0083288F"/>
    <w:rsid w:val="0083335E"/>
    <w:rsid w:val="00834013"/>
    <w:rsid w:val="008340FF"/>
    <w:rsid w:val="0083428C"/>
    <w:rsid w:val="008376F2"/>
    <w:rsid w:val="008378E3"/>
    <w:rsid w:val="008379CD"/>
    <w:rsid w:val="00837E4B"/>
    <w:rsid w:val="0084053E"/>
    <w:rsid w:val="0084159C"/>
    <w:rsid w:val="00841DCF"/>
    <w:rsid w:val="00843DAC"/>
    <w:rsid w:val="00844671"/>
    <w:rsid w:val="008472F2"/>
    <w:rsid w:val="00850D73"/>
    <w:rsid w:val="0085176E"/>
    <w:rsid w:val="008525A5"/>
    <w:rsid w:val="008540AD"/>
    <w:rsid w:val="00856416"/>
    <w:rsid w:val="00856481"/>
    <w:rsid w:val="008568B3"/>
    <w:rsid w:val="00860FAC"/>
    <w:rsid w:val="00861859"/>
    <w:rsid w:val="0086270E"/>
    <w:rsid w:val="008649A2"/>
    <w:rsid w:val="00865075"/>
    <w:rsid w:val="00866573"/>
    <w:rsid w:val="008672DB"/>
    <w:rsid w:val="00867AD4"/>
    <w:rsid w:val="00872047"/>
    <w:rsid w:val="008738C6"/>
    <w:rsid w:val="0087441B"/>
    <w:rsid w:val="008753A6"/>
    <w:rsid w:val="00876B57"/>
    <w:rsid w:val="008771FC"/>
    <w:rsid w:val="00877951"/>
    <w:rsid w:val="00880336"/>
    <w:rsid w:val="00880826"/>
    <w:rsid w:val="00881B67"/>
    <w:rsid w:val="008830D8"/>
    <w:rsid w:val="008837EB"/>
    <w:rsid w:val="00883C71"/>
    <w:rsid w:val="00884804"/>
    <w:rsid w:val="00886834"/>
    <w:rsid w:val="008922C7"/>
    <w:rsid w:val="0089365D"/>
    <w:rsid w:val="00893CD0"/>
    <w:rsid w:val="00895989"/>
    <w:rsid w:val="008A08D2"/>
    <w:rsid w:val="008A1B28"/>
    <w:rsid w:val="008A2853"/>
    <w:rsid w:val="008A33CD"/>
    <w:rsid w:val="008B0808"/>
    <w:rsid w:val="008B0A9B"/>
    <w:rsid w:val="008B0EA2"/>
    <w:rsid w:val="008B2791"/>
    <w:rsid w:val="008B3275"/>
    <w:rsid w:val="008B4B92"/>
    <w:rsid w:val="008B5BEB"/>
    <w:rsid w:val="008B5F0C"/>
    <w:rsid w:val="008B699B"/>
    <w:rsid w:val="008C0455"/>
    <w:rsid w:val="008C1352"/>
    <w:rsid w:val="008C1730"/>
    <w:rsid w:val="008C28D2"/>
    <w:rsid w:val="008C355D"/>
    <w:rsid w:val="008C4606"/>
    <w:rsid w:val="008C5ADA"/>
    <w:rsid w:val="008C6739"/>
    <w:rsid w:val="008C7CD1"/>
    <w:rsid w:val="008D0D7A"/>
    <w:rsid w:val="008D0F76"/>
    <w:rsid w:val="008D5474"/>
    <w:rsid w:val="008D5822"/>
    <w:rsid w:val="008D6E8C"/>
    <w:rsid w:val="008D7835"/>
    <w:rsid w:val="008E163B"/>
    <w:rsid w:val="008E32A1"/>
    <w:rsid w:val="008E4728"/>
    <w:rsid w:val="008E771A"/>
    <w:rsid w:val="008F0AF8"/>
    <w:rsid w:val="008F1037"/>
    <w:rsid w:val="008F3B19"/>
    <w:rsid w:val="008F4DBB"/>
    <w:rsid w:val="008F6131"/>
    <w:rsid w:val="008F61FB"/>
    <w:rsid w:val="009066D5"/>
    <w:rsid w:val="00906876"/>
    <w:rsid w:val="009068DB"/>
    <w:rsid w:val="00911B11"/>
    <w:rsid w:val="00912585"/>
    <w:rsid w:val="00913C30"/>
    <w:rsid w:val="00913D0B"/>
    <w:rsid w:val="00914A86"/>
    <w:rsid w:val="009152CA"/>
    <w:rsid w:val="009162A5"/>
    <w:rsid w:val="009168BF"/>
    <w:rsid w:val="009169AA"/>
    <w:rsid w:val="0091742C"/>
    <w:rsid w:val="00920C02"/>
    <w:rsid w:val="0092169C"/>
    <w:rsid w:val="00921AE7"/>
    <w:rsid w:val="0092220B"/>
    <w:rsid w:val="00923D37"/>
    <w:rsid w:val="00927329"/>
    <w:rsid w:val="00934DAB"/>
    <w:rsid w:val="00934EDC"/>
    <w:rsid w:val="00935685"/>
    <w:rsid w:val="00935E42"/>
    <w:rsid w:val="00936617"/>
    <w:rsid w:val="00936E35"/>
    <w:rsid w:val="00937950"/>
    <w:rsid w:val="00937FEA"/>
    <w:rsid w:val="00941D9A"/>
    <w:rsid w:val="00946805"/>
    <w:rsid w:val="00946C25"/>
    <w:rsid w:val="009473F6"/>
    <w:rsid w:val="009504FF"/>
    <w:rsid w:val="0095156C"/>
    <w:rsid w:val="00951D6A"/>
    <w:rsid w:val="009532B2"/>
    <w:rsid w:val="0095381F"/>
    <w:rsid w:val="00953A1D"/>
    <w:rsid w:val="009556E7"/>
    <w:rsid w:val="0095718E"/>
    <w:rsid w:val="00957EA8"/>
    <w:rsid w:val="00962827"/>
    <w:rsid w:val="0096283E"/>
    <w:rsid w:val="00962908"/>
    <w:rsid w:val="00962ACB"/>
    <w:rsid w:val="00962D3F"/>
    <w:rsid w:val="00963490"/>
    <w:rsid w:val="00963512"/>
    <w:rsid w:val="009652E4"/>
    <w:rsid w:val="00965C7D"/>
    <w:rsid w:val="009666E8"/>
    <w:rsid w:val="00967724"/>
    <w:rsid w:val="00971B27"/>
    <w:rsid w:val="00971CA3"/>
    <w:rsid w:val="009737DD"/>
    <w:rsid w:val="00976106"/>
    <w:rsid w:val="0097653E"/>
    <w:rsid w:val="00976E56"/>
    <w:rsid w:val="00980DEB"/>
    <w:rsid w:val="00980F76"/>
    <w:rsid w:val="0098144E"/>
    <w:rsid w:val="00981E9E"/>
    <w:rsid w:val="009826CD"/>
    <w:rsid w:val="00984814"/>
    <w:rsid w:val="00985C24"/>
    <w:rsid w:val="00985E67"/>
    <w:rsid w:val="00986E59"/>
    <w:rsid w:val="0098738C"/>
    <w:rsid w:val="00990B97"/>
    <w:rsid w:val="0099108E"/>
    <w:rsid w:val="00991469"/>
    <w:rsid w:val="00991A65"/>
    <w:rsid w:val="0099244E"/>
    <w:rsid w:val="00992E28"/>
    <w:rsid w:val="009931C5"/>
    <w:rsid w:val="009A1144"/>
    <w:rsid w:val="009A1476"/>
    <w:rsid w:val="009A1B06"/>
    <w:rsid w:val="009A2520"/>
    <w:rsid w:val="009A3973"/>
    <w:rsid w:val="009A3B95"/>
    <w:rsid w:val="009A472E"/>
    <w:rsid w:val="009A5CAA"/>
    <w:rsid w:val="009A7394"/>
    <w:rsid w:val="009B0D1B"/>
    <w:rsid w:val="009B1F29"/>
    <w:rsid w:val="009B4D1B"/>
    <w:rsid w:val="009B57B3"/>
    <w:rsid w:val="009B6E4A"/>
    <w:rsid w:val="009C1A3D"/>
    <w:rsid w:val="009C2031"/>
    <w:rsid w:val="009C2F9B"/>
    <w:rsid w:val="009C337D"/>
    <w:rsid w:val="009D05F4"/>
    <w:rsid w:val="009D200D"/>
    <w:rsid w:val="009D2178"/>
    <w:rsid w:val="009D44F0"/>
    <w:rsid w:val="009D711F"/>
    <w:rsid w:val="009E2289"/>
    <w:rsid w:val="009E264F"/>
    <w:rsid w:val="009E3F7F"/>
    <w:rsid w:val="009E6859"/>
    <w:rsid w:val="009E6B2C"/>
    <w:rsid w:val="009F0D5A"/>
    <w:rsid w:val="009F0EC1"/>
    <w:rsid w:val="009F2849"/>
    <w:rsid w:val="009F38D6"/>
    <w:rsid w:val="009F5844"/>
    <w:rsid w:val="009F6F29"/>
    <w:rsid w:val="00A01B86"/>
    <w:rsid w:val="00A0236E"/>
    <w:rsid w:val="00A048B2"/>
    <w:rsid w:val="00A056B9"/>
    <w:rsid w:val="00A059A4"/>
    <w:rsid w:val="00A11D4A"/>
    <w:rsid w:val="00A12988"/>
    <w:rsid w:val="00A12AC0"/>
    <w:rsid w:val="00A12E5F"/>
    <w:rsid w:val="00A13A28"/>
    <w:rsid w:val="00A13B4A"/>
    <w:rsid w:val="00A13E03"/>
    <w:rsid w:val="00A13FA8"/>
    <w:rsid w:val="00A14FD0"/>
    <w:rsid w:val="00A15AC2"/>
    <w:rsid w:val="00A1658C"/>
    <w:rsid w:val="00A22544"/>
    <w:rsid w:val="00A22AF9"/>
    <w:rsid w:val="00A22E3D"/>
    <w:rsid w:val="00A230E0"/>
    <w:rsid w:val="00A23578"/>
    <w:rsid w:val="00A2481A"/>
    <w:rsid w:val="00A2502C"/>
    <w:rsid w:val="00A25397"/>
    <w:rsid w:val="00A260FD"/>
    <w:rsid w:val="00A26280"/>
    <w:rsid w:val="00A2774F"/>
    <w:rsid w:val="00A33D3D"/>
    <w:rsid w:val="00A35A12"/>
    <w:rsid w:val="00A35E17"/>
    <w:rsid w:val="00A36379"/>
    <w:rsid w:val="00A408DA"/>
    <w:rsid w:val="00A430AA"/>
    <w:rsid w:val="00A43AA9"/>
    <w:rsid w:val="00A4641D"/>
    <w:rsid w:val="00A4798A"/>
    <w:rsid w:val="00A51445"/>
    <w:rsid w:val="00A5257B"/>
    <w:rsid w:val="00A52B5F"/>
    <w:rsid w:val="00A53022"/>
    <w:rsid w:val="00A53F4E"/>
    <w:rsid w:val="00A55C19"/>
    <w:rsid w:val="00A567EF"/>
    <w:rsid w:val="00A62669"/>
    <w:rsid w:val="00A62C9B"/>
    <w:rsid w:val="00A643B0"/>
    <w:rsid w:val="00A6624F"/>
    <w:rsid w:val="00A6663D"/>
    <w:rsid w:val="00A67EA2"/>
    <w:rsid w:val="00A70F30"/>
    <w:rsid w:val="00A719D8"/>
    <w:rsid w:val="00A75581"/>
    <w:rsid w:val="00A770C8"/>
    <w:rsid w:val="00A81148"/>
    <w:rsid w:val="00A83553"/>
    <w:rsid w:val="00A83633"/>
    <w:rsid w:val="00A83F73"/>
    <w:rsid w:val="00A84BE3"/>
    <w:rsid w:val="00A854F0"/>
    <w:rsid w:val="00A85A98"/>
    <w:rsid w:val="00A90CE1"/>
    <w:rsid w:val="00A91023"/>
    <w:rsid w:val="00A91CBB"/>
    <w:rsid w:val="00A91DF9"/>
    <w:rsid w:val="00A91FCC"/>
    <w:rsid w:val="00A931AD"/>
    <w:rsid w:val="00A9721F"/>
    <w:rsid w:val="00A978F6"/>
    <w:rsid w:val="00A97D6D"/>
    <w:rsid w:val="00AA1236"/>
    <w:rsid w:val="00AA24EE"/>
    <w:rsid w:val="00AA2F03"/>
    <w:rsid w:val="00AA4700"/>
    <w:rsid w:val="00AA53D6"/>
    <w:rsid w:val="00AA5465"/>
    <w:rsid w:val="00AB3594"/>
    <w:rsid w:val="00AB4FA3"/>
    <w:rsid w:val="00AB526E"/>
    <w:rsid w:val="00AB71D5"/>
    <w:rsid w:val="00AC04D5"/>
    <w:rsid w:val="00AC1F76"/>
    <w:rsid w:val="00AC311E"/>
    <w:rsid w:val="00AC6398"/>
    <w:rsid w:val="00AC6888"/>
    <w:rsid w:val="00AC69F2"/>
    <w:rsid w:val="00AD043A"/>
    <w:rsid w:val="00AD24A6"/>
    <w:rsid w:val="00AD56D0"/>
    <w:rsid w:val="00AD62E3"/>
    <w:rsid w:val="00AD79DE"/>
    <w:rsid w:val="00AE0444"/>
    <w:rsid w:val="00AE0878"/>
    <w:rsid w:val="00AE1BE8"/>
    <w:rsid w:val="00AE2FEF"/>
    <w:rsid w:val="00AE3B39"/>
    <w:rsid w:val="00AE3C21"/>
    <w:rsid w:val="00AE409B"/>
    <w:rsid w:val="00AF1006"/>
    <w:rsid w:val="00AF1C4A"/>
    <w:rsid w:val="00AF25AF"/>
    <w:rsid w:val="00AF338B"/>
    <w:rsid w:val="00AF36AE"/>
    <w:rsid w:val="00AF46A3"/>
    <w:rsid w:val="00AF4EF0"/>
    <w:rsid w:val="00AF4FB2"/>
    <w:rsid w:val="00AF5926"/>
    <w:rsid w:val="00AF786A"/>
    <w:rsid w:val="00AF7960"/>
    <w:rsid w:val="00B0028C"/>
    <w:rsid w:val="00B01313"/>
    <w:rsid w:val="00B021C0"/>
    <w:rsid w:val="00B035B5"/>
    <w:rsid w:val="00B0499C"/>
    <w:rsid w:val="00B07238"/>
    <w:rsid w:val="00B1012A"/>
    <w:rsid w:val="00B10B03"/>
    <w:rsid w:val="00B12265"/>
    <w:rsid w:val="00B14FFC"/>
    <w:rsid w:val="00B15504"/>
    <w:rsid w:val="00B159E9"/>
    <w:rsid w:val="00B16018"/>
    <w:rsid w:val="00B2006C"/>
    <w:rsid w:val="00B20313"/>
    <w:rsid w:val="00B22194"/>
    <w:rsid w:val="00B24172"/>
    <w:rsid w:val="00B31694"/>
    <w:rsid w:val="00B34BCF"/>
    <w:rsid w:val="00B360B4"/>
    <w:rsid w:val="00B36E98"/>
    <w:rsid w:val="00B400B1"/>
    <w:rsid w:val="00B4218B"/>
    <w:rsid w:val="00B4628A"/>
    <w:rsid w:val="00B46DD8"/>
    <w:rsid w:val="00B47EB0"/>
    <w:rsid w:val="00B47FF3"/>
    <w:rsid w:val="00B50527"/>
    <w:rsid w:val="00B51201"/>
    <w:rsid w:val="00B524AA"/>
    <w:rsid w:val="00B54B68"/>
    <w:rsid w:val="00B553ED"/>
    <w:rsid w:val="00B55F7B"/>
    <w:rsid w:val="00B56463"/>
    <w:rsid w:val="00B568DF"/>
    <w:rsid w:val="00B56BD2"/>
    <w:rsid w:val="00B614FF"/>
    <w:rsid w:val="00B66111"/>
    <w:rsid w:val="00B66525"/>
    <w:rsid w:val="00B66E89"/>
    <w:rsid w:val="00B73DA6"/>
    <w:rsid w:val="00B75322"/>
    <w:rsid w:val="00B75857"/>
    <w:rsid w:val="00B75B66"/>
    <w:rsid w:val="00B76A5A"/>
    <w:rsid w:val="00B8172B"/>
    <w:rsid w:val="00B8391E"/>
    <w:rsid w:val="00B83D9B"/>
    <w:rsid w:val="00B86A26"/>
    <w:rsid w:val="00B900D5"/>
    <w:rsid w:val="00B91E27"/>
    <w:rsid w:val="00B96DB8"/>
    <w:rsid w:val="00B97B17"/>
    <w:rsid w:val="00B97B7E"/>
    <w:rsid w:val="00BA3553"/>
    <w:rsid w:val="00BA3BB3"/>
    <w:rsid w:val="00BA4DF2"/>
    <w:rsid w:val="00BA5C21"/>
    <w:rsid w:val="00BA60F3"/>
    <w:rsid w:val="00BA76B5"/>
    <w:rsid w:val="00BB0235"/>
    <w:rsid w:val="00BB0332"/>
    <w:rsid w:val="00BB31EE"/>
    <w:rsid w:val="00BB46B3"/>
    <w:rsid w:val="00BB6DE3"/>
    <w:rsid w:val="00BC20CC"/>
    <w:rsid w:val="00BC2FE8"/>
    <w:rsid w:val="00BC3C6A"/>
    <w:rsid w:val="00BC58C0"/>
    <w:rsid w:val="00BC7A36"/>
    <w:rsid w:val="00BD1B16"/>
    <w:rsid w:val="00BD20AE"/>
    <w:rsid w:val="00BD2183"/>
    <w:rsid w:val="00BD5112"/>
    <w:rsid w:val="00BD7430"/>
    <w:rsid w:val="00BE2E19"/>
    <w:rsid w:val="00BE5B82"/>
    <w:rsid w:val="00BE6A0F"/>
    <w:rsid w:val="00BE78F3"/>
    <w:rsid w:val="00BF08D0"/>
    <w:rsid w:val="00BF098B"/>
    <w:rsid w:val="00BF1247"/>
    <w:rsid w:val="00BF12FD"/>
    <w:rsid w:val="00BF1EC8"/>
    <w:rsid w:val="00BF28C2"/>
    <w:rsid w:val="00BF2AB8"/>
    <w:rsid w:val="00BF2B75"/>
    <w:rsid w:val="00BF328C"/>
    <w:rsid w:val="00BF3336"/>
    <w:rsid w:val="00BF3F84"/>
    <w:rsid w:val="00BF7B8D"/>
    <w:rsid w:val="00C00086"/>
    <w:rsid w:val="00C0321E"/>
    <w:rsid w:val="00C05007"/>
    <w:rsid w:val="00C0619D"/>
    <w:rsid w:val="00C06A11"/>
    <w:rsid w:val="00C105A1"/>
    <w:rsid w:val="00C11CF1"/>
    <w:rsid w:val="00C13D0D"/>
    <w:rsid w:val="00C15CF3"/>
    <w:rsid w:val="00C15DE0"/>
    <w:rsid w:val="00C20D9E"/>
    <w:rsid w:val="00C2110A"/>
    <w:rsid w:val="00C23043"/>
    <w:rsid w:val="00C233DF"/>
    <w:rsid w:val="00C25D00"/>
    <w:rsid w:val="00C300A1"/>
    <w:rsid w:val="00C31FA2"/>
    <w:rsid w:val="00C34FDB"/>
    <w:rsid w:val="00C355E3"/>
    <w:rsid w:val="00C3565C"/>
    <w:rsid w:val="00C35692"/>
    <w:rsid w:val="00C3761A"/>
    <w:rsid w:val="00C376E6"/>
    <w:rsid w:val="00C4119F"/>
    <w:rsid w:val="00C51BF3"/>
    <w:rsid w:val="00C51C6C"/>
    <w:rsid w:val="00C53925"/>
    <w:rsid w:val="00C5547F"/>
    <w:rsid w:val="00C55837"/>
    <w:rsid w:val="00C57F2C"/>
    <w:rsid w:val="00C60F98"/>
    <w:rsid w:val="00C61EFB"/>
    <w:rsid w:val="00C66B12"/>
    <w:rsid w:val="00C67062"/>
    <w:rsid w:val="00C67901"/>
    <w:rsid w:val="00C70119"/>
    <w:rsid w:val="00C71D18"/>
    <w:rsid w:val="00C722B6"/>
    <w:rsid w:val="00C724AB"/>
    <w:rsid w:val="00C72C5E"/>
    <w:rsid w:val="00C74663"/>
    <w:rsid w:val="00C749AC"/>
    <w:rsid w:val="00C75426"/>
    <w:rsid w:val="00C764AE"/>
    <w:rsid w:val="00C7736A"/>
    <w:rsid w:val="00C8055F"/>
    <w:rsid w:val="00C805E9"/>
    <w:rsid w:val="00C80B9B"/>
    <w:rsid w:val="00C81AF0"/>
    <w:rsid w:val="00C822F9"/>
    <w:rsid w:val="00C91DC8"/>
    <w:rsid w:val="00C92200"/>
    <w:rsid w:val="00C93DFA"/>
    <w:rsid w:val="00C93E51"/>
    <w:rsid w:val="00CA051A"/>
    <w:rsid w:val="00CA13EE"/>
    <w:rsid w:val="00CA39F7"/>
    <w:rsid w:val="00CA6257"/>
    <w:rsid w:val="00CA736A"/>
    <w:rsid w:val="00CB2CA0"/>
    <w:rsid w:val="00CB3EF6"/>
    <w:rsid w:val="00CB48D0"/>
    <w:rsid w:val="00CB4D36"/>
    <w:rsid w:val="00CB4D4E"/>
    <w:rsid w:val="00CB5B33"/>
    <w:rsid w:val="00CB69D8"/>
    <w:rsid w:val="00CB7353"/>
    <w:rsid w:val="00CB7CA2"/>
    <w:rsid w:val="00CC02D9"/>
    <w:rsid w:val="00CC2D2B"/>
    <w:rsid w:val="00CC2EB9"/>
    <w:rsid w:val="00CC5CA4"/>
    <w:rsid w:val="00CD046D"/>
    <w:rsid w:val="00CD4A47"/>
    <w:rsid w:val="00CD7D4C"/>
    <w:rsid w:val="00CE0CBE"/>
    <w:rsid w:val="00CE1572"/>
    <w:rsid w:val="00CE182F"/>
    <w:rsid w:val="00CE25E5"/>
    <w:rsid w:val="00CE2E8C"/>
    <w:rsid w:val="00CE311F"/>
    <w:rsid w:val="00CE43A0"/>
    <w:rsid w:val="00CE4824"/>
    <w:rsid w:val="00CE533A"/>
    <w:rsid w:val="00CE6190"/>
    <w:rsid w:val="00CE7065"/>
    <w:rsid w:val="00CF02D1"/>
    <w:rsid w:val="00D028E5"/>
    <w:rsid w:val="00D03089"/>
    <w:rsid w:val="00D03343"/>
    <w:rsid w:val="00D039CF"/>
    <w:rsid w:val="00D04721"/>
    <w:rsid w:val="00D04A8A"/>
    <w:rsid w:val="00D0622E"/>
    <w:rsid w:val="00D10FB3"/>
    <w:rsid w:val="00D12E77"/>
    <w:rsid w:val="00D13489"/>
    <w:rsid w:val="00D13AF7"/>
    <w:rsid w:val="00D14E51"/>
    <w:rsid w:val="00D17439"/>
    <w:rsid w:val="00D205FD"/>
    <w:rsid w:val="00D21BFB"/>
    <w:rsid w:val="00D24B9F"/>
    <w:rsid w:val="00D2604F"/>
    <w:rsid w:val="00D30021"/>
    <w:rsid w:val="00D31167"/>
    <w:rsid w:val="00D332DE"/>
    <w:rsid w:val="00D33570"/>
    <w:rsid w:val="00D339CF"/>
    <w:rsid w:val="00D34E59"/>
    <w:rsid w:val="00D36A12"/>
    <w:rsid w:val="00D409E4"/>
    <w:rsid w:val="00D40BA1"/>
    <w:rsid w:val="00D410EE"/>
    <w:rsid w:val="00D410FB"/>
    <w:rsid w:val="00D41D15"/>
    <w:rsid w:val="00D508FA"/>
    <w:rsid w:val="00D5268B"/>
    <w:rsid w:val="00D54083"/>
    <w:rsid w:val="00D54EFC"/>
    <w:rsid w:val="00D564A9"/>
    <w:rsid w:val="00D6209F"/>
    <w:rsid w:val="00D6278B"/>
    <w:rsid w:val="00D6686E"/>
    <w:rsid w:val="00D66F92"/>
    <w:rsid w:val="00D674FA"/>
    <w:rsid w:val="00D7517F"/>
    <w:rsid w:val="00D7575A"/>
    <w:rsid w:val="00D83741"/>
    <w:rsid w:val="00D837D2"/>
    <w:rsid w:val="00D83871"/>
    <w:rsid w:val="00D85411"/>
    <w:rsid w:val="00D86966"/>
    <w:rsid w:val="00D90FE8"/>
    <w:rsid w:val="00D92199"/>
    <w:rsid w:val="00D93C2E"/>
    <w:rsid w:val="00D93F71"/>
    <w:rsid w:val="00D943D1"/>
    <w:rsid w:val="00D94F9D"/>
    <w:rsid w:val="00DA1622"/>
    <w:rsid w:val="00DA1F34"/>
    <w:rsid w:val="00DA29AD"/>
    <w:rsid w:val="00DA321B"/>
    <w:rsid w:val="00DA41A7"/>
    <w:rsid w:val="00DA6D30"/>
    <w:rsid w:val="00DA790F"/>
    <w:rsid w:val="00DB13BE"/>
    <w:rsid w:val="00DB31FF"/>
    <w:rsid w:val="00DB3D6E"/>
    <w:rsid w:val="00DB6AD8"/>
    <w:rsid w:val="00DB7BD8"/>
    <w:rsid w:val="00DB7FF4"/>
    <w:rsid w:val="00DC4A41"/>
    <w:rsid w:val="00DC5091"/>
    <w:rsid w:val="00DC6DF5"/>
    <w:rsid w:val="00DD14E9"/>
    <w:rsid w:val="00DD28A0"/>
    <w:rsid w:val="00DD5068"/>
    <w:rsid w:val="00DD5961"/>
    <w:rsid w:val="00DD5F57"/>
    <w:rsid w:val="00DD696B"/>
    <w:rsid w:val="00DD7869"/>
    <w:rsid w:val="00DD791B"/>
    <w:rsid w:val="00DD7C29"/>
    <w:rsid w:val="00DD7D94"/>
    <w:rsid w:val="00DD7F2F"/>
    <w:rsid w:val="00DE2BDE"/>
    <w:rsid w:val="00DE406F"/>
    <w:rsid w:val="00DE50E5"/>
    <w:rsid w:val="00DE52B4"/>
    <w:rsid w:val="00DE56A8"/>
    <w:rsid w:val="00DE6E93"/>
    <w:rsid w:val="00DE74F2"/>
    <w:rsid w:val="00DF00E4"/>
    <w:rsid w:val="00DF06C0"/>
    <w:rsid w:val="00DF15E4"/>
    <w:rsid w:val="00DF3D53"/>
    <w:rsid w:val="00DF4C6C"/>
    <w:rsid w:val="00E00241"/>
    <w:rsid w:val="00E011E3"/>
    <w:rsid w:val="00E03E44"/>
    <w:rsid w:val="00E04C3B"/>
    <w:rsid w:val="00E0604D"/>
    <w:rsid w:val="00E11E99"/>
    <w:rsid w:val="00E13414"/>
    <w:rsid w:val="00E15A67"/>
    <w:rsid w:val="00E16946"/>
    <w:rsid w:val="00E207CF"/>
    <w:rsid w:val="00E26478"/>
    <w:rsid w:val="00E268D5"/>
    <w:rsid w:val="00E27B5E"/>
    <w:rsid w:val="00E27D2B"/>
    <w:rsid w:val="00E3182A"/>
    <w:rsid w:val="00E33071"/>
    <w:rsid w:val="00E34D25"/>
    <w:rsid w:val="00E3625F"/>
    <w:rsid w:val="00E424E0"/>
    <w:rsid w:val="00E440C4"/>
    <w:rsid w:val="00E443DD"/>
    <w:rsid w:val="00E45268"/>
    <w:rsid w:val="00E45BFA"/>
    <w:rsid w:val="00E45C2E"/>
    <w:rsid w:val="00E473A6"/>
    <w:rsid w:val="00E47E51"/>
    <w:rsid w:val="00E5327B"/>
    <w:rsid w:val="00E54FD9"/>
    <w:rsid w:val="00E5711A"/>
    <w:rsid w:val="00E608A2"/>
    <w:rsid w:val="00E60996"/>
    <w:rsid w:val="00E64F09"/>
    <w:rsid w:val="00E6530B"/>
    <w:rsid w:val="00E66B18"/>
    <w:rsid w:val="00E70B93"/>
    <w:rsid w:val="00E72212"/>
    <w:rsid w:val="00E73FCE"/>
    <w:rsid w:val="00E74A37"/>
    <w:rsid w:val="00E7668A"/>
    <w:rsid w:val="00E773FC"/>
    <w:rsid w:val="00E775CC"/>
    <w:rsid w:val="00E80534"/>
    <w:rsid w:val="00E815BE"/>
    <w:rsid w:val="00E869D3"/>
    <w:rsid w:val="00E86A08"/>
    <w:rsid w:val="00E874D4"/>
    <w:rsid w:val="00E90F6C"/>
    <w:rsid w:val="00E911BB"/>
    <w:rsid w:val="00E91590"/>
    <w:rsid w:val="00E91920"/>
    <w:rsid w:val="00E91AA6"/>
    <w:rsid w:val="00E922F7"/>
    <w:rsid w:val="00E925E8"/>
    <w:rsid w:val="00E926F3"/>
    <w:rsid w:val="00E92B83"/>
    <w:rsid w:val="00E95122"/>
    <w:rsid w:val="00E959D6"/>
    <w:rsid w:val="00E96ACD"/>
    <w:rsid w:val="00E972F2"/>
    <w:rsid w:val="00EA0988"/>
    <w:rsid w:val="00EA357E"/>
    <w:rsid w:val="00EB050E"/>
    <w:rsid w:val="00EB1449"/>
    <w:rsid w:val="00EB1EED"/>
    <w:rsid w:val="00EB1F62"/>
    <w:rsid w:val="00EB2F9D"/>
    <w:rsid w:val="00EB45D4"/>
    <w:rsid w:val="00EB5645"/>
    <w:rsid w:val="00EB734E"/>
    <w:rsid w:val="00EB76D1"/>
    <w:rsid w:val="00EC3457"/>
    <w:rsid w:val="00EC366B"/>
    <w:rsid w:val="00EC5409"/>
    <w:rsid w:val="00EC5A13"/>
    <w:rsid w:val="00ED4A6F"/>
    <w:rsid w:val="00ED7A65"/>
    <w:rsid w:val="00EE1957"/>
    <w:rsid w:val="00EE2CA7"/>
    <w:rsid w:val="00EE558B"/>
    <w:rsid w:val="00EE6DC2"/>
    <w:rsid w:val="00EE72E3"/>
    <w:rsid w:val="00EF017A"/>
    <w:rsid w:val="00EF24A5"/>
    <w:rsid w:val="00F03944"/>
    <w:rsid w:val="00F0479E"/>
    <w:rsid w:val="00F067E1"/>
    <w:rsid w:val="00F07609"/>
    <w:rsid w:val="00F077B5"/>
    <w:rsid w:val="00F11640"/>
    <w:rsid w:val="00F1285C"/>
    <w:rsid w:val="00F14F37"/>
    <w:rsid w:val="00F2076C"/>
    <w:rsid w:val="00F20B6F"/>
    <w:rsid w:val="00F223B2"/>
    <w:rsid w:val="00F22623"/>
    <w:rsid w:val="00F22B6C"/>
    <w:rsid w:val="00F22C4B"/>
    <w:rsid w:val="00F2327B"/>
    <w:rsid w:val="00F2377F"/>
    <w:rsid w:val="00F25097"/>
    <w:rsid w:val="00F255C1"/>
    <w:rsid w:val="00F25667"/>
    <w:rsid w:val="00F25D48"/>
    <w:rsid w:val="00F26788"/>
    <w:rsid w:val="00F26E08"/>
    <w:rsid w:val="00F308FF"/>
    <w:rsid w:val="00F30BE4"/>
    <w:rsid w:val="00F36A0A"/>
    <w:rsid w:val="00F43A41"/>
    <w:rsid w:val="00F43BC5"/>
    <w:rsid w:val="00F45C91"/>
    <w:rsid w:val="00F4777F"/>
    <w:rsid w:val="00F47A65"/>
    <w:rsid w:val="00F47FEE"/>
    <w:rsid w:val="00F501F0"/>
    <w:rsid w:val="00F525F8"/>
    <w:rsid w:val="00F527C2"/>
    <w:rsid w:val="00F53540"/>
    <w:rsid w:val="00F54DAE"/>
    <w:rsid w:val="00F55035"/>
    <w:rsid w:val="00F5632E"/>
    <w:rsid w:val="00F56E6D"/>
    <w:rsid w:val="00F57A9A"/>
    <w:rsid w:val="00F6111B"/>
    <w:rsid w:val="00F61B82"/>
    <w:rsid w:val="00F625A2"/>
    <w:rsid w:val="00F6270C"/>
    <w:rsid w:val="00F6454F"/>
    <w:rsid w:val="00F647E2"/>
    <w:rsid w:val="00F65A1C"/>
    <w:rsid w:val="00F67320"/>
    <w:rsid w:val="00F702B6"/>
    <w:rsid w:val="00F70B96"/>
    <w:rsid w:val="00F729DB"/>
    <w:rsid w:val="00F73E79"/>
    <w:rsid w:val="00F74515"/>
    <w:rsid w:val="00F74B3D"/>
    <w:rsid w:val="00F75111"/>
    <w:rsid w:val="00F766D0"/>
    <w:rsid w:val="00F80C9F"/>
    <w:rsid w:val="00F80F0B"/>
    <w:rsid w:val="00F80FAE"/>
    <w:rsid w:val="00F81186"/>
    <w:rsid w:val="00F8366B"/>
    <w:rsid w:val="00F85D7D"/>
    <w:rsid w:val="00F85FFD"/>
    <w:rsid w:val="00F87A89"/>
    <w:rsid w:val="00F92DC2"/>
    <w:rsid w:val="00F9321A"/>
    <w:rsid w:val="00F946CC"/>
    <w:rsid w:val="00F946E7"/>
    <w:rsid w:val="00F9552E"/>
    <w:rsid w:val="00F972B9"/>
    <w:rsid w:val="00FA3025"/>
    <w:rsid w:val="00FA42B7"/>
    <w:rsid w:val="00FA50CD"/>
    <w:rsid w:val="00FA65DE"/>
    <w:rsid w:val="00FA669D"/>
    <w:rsid w:val="00FA72AF"/>
    <w:rsid w:val="00FB254C"/>
    <w:rsid w:val="00FB2E0C"/>
    <w:rsid w:val="00FB3BD3"/>
    <w:rsid w:val="00FB4F27"/>
    <w:rsid w:val="00FB594C"/>
    <w:rsid w:val="00FC17E4"/>
    <w:rsid w:val="00FC2EFD"/>
    <w:rsid w:val="00FC446A"/>
    <w:rsid w:val="00FC60DB"/>
    <w:rsid w:val="00FC7D65"/>
    <w:rsid w:val="00FD185A"/>
    <w:rsid w:val="00FD1989"/>
    <w:rsid w:val="00FD2F85"/>
    <w:rsid w:val="00FD30AF"/>
    <w:rsid w:val="00FD34C4"/>
    <w:rsid w:val="00FD362D"/>
    <w:rsid w:val="00FD395B"/>
    <w:rsid w:val="00FD4520"/>
    <w:rsid w:val="00FD601E"/>
    <w:rsid w:val="00FE0430"/>
    <w:rsid w:val="00FE14FB"/>
    <w:rsid w:val="00FE170A"/>
    <w:rsid w:val="00FE2A15"/>
    <w:rsid w:val="00FE3038"/>
    <w:rsid w:val="00FE37CB"/>
    <w:rsid w:val="00FE4B46"/>
    <w:rsid w:val="00FE55C0"/>
    <w:rsid w:val="00FE7A24"/>
    <w:rsid w:val="00FE7CF3"/>
    <w:rsid w:val="00FF01F9"/>
    <w:rsid w:val="00FF0B73"/>
    <w:rsid w:val="00FF21C9"/>
    <w:rsid w:val="00FF2D0A"/>
    <w:rsid w:val="00FF2D5F"/>
    <w:rsid w:val="00FF3CB3"/>
    <w:rsid w:val="00FF4874"/>
    <w:rsid w:val="00FF521D"/>
    <w:rsid w:val="00FF5648"/>
    <w:rsid w:val="00FF5949"/>
    <w:rsid w:val="00FF7B3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03742A5"/>
  <w15:chartTrackingRefBased/>
  <w15:docId w15:val="{F1A1F505-CC4F-478D-924B-2A98A2E46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C3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7D4CF7"/>
    <w:pPr>
      <w:keepNext/>
      <w:keepLines/>
      <w:spacing w:before="120" w:after="12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7D4CF7"/>
    <w:pPr>
      <w:keepNext/>
      <w:keepLines/>
      <w:spacing w:before="120" w:after="12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semiHidden/>
    <w:unhideWhenUsed/>
    <w:rsid w:val="00041B51"/>
    <w:rPr>
      <w:sz w:val="20"/>
      <w:szCs w:val="20"/>
    </w:rPr>
  </w:style>
  <w:style w:type="character" w:customStyle="1" w:styleId="FootnoteTextChar">
    <w:name w:val="Footnote Text Char"/>
    <w:basedOn w:val="DefaultParagraphFont"/>
    <w:link w:val="FootnoteText"/>
    <w:uiPriority w:val="99"/>
    <w:semiHidden/>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7D4CF7"/>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7D4CF7"/>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F2377F"/>
    <w:rPr>
      <w:sz w:val="16"/>
      <w:szCs w:val="16"/>
    </w:rPr>
  </w:style>
  <w:style w:type="paragraph" w:styleId="CommentText">
    <w:name w:val="annotation text"/>
    <w:basedOn w:val="Normal"/>
    <w:link w:val="CommentTextChar"/>
    <w:uiPriority w:val="99"/>
    <w:unhideWhenUsed/>
    <w:rsid w:val="00F2377F"/>
    <w:rPr>
      <w:sz w:val="20"/>
      <w:szCs w:val="20"/>
    </w:rPr>
  </w:style>
  <w:style w:type="character" w:customStyle="1" w:styleId="CommentTextChar">
    <w:name w:val="Comment Text Char"/>
    <w:basedOn w:val="DefaultParagraphFont"/>
    <w:link w:val="CommentText"/>
    <w:uiPriority w:val="99"/>
    <w:rsid w:val="00F2377F"/>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F2377F"/>
    <w:rPr>
      <w:b/>
      <w:bCs/>
    </w:rPr>
  </w:style>
  <w:style w:type="character" w:customStyle="1" w:styleId="CommentSubjectChar">
    <w:name w:val="Comment Subject Char"/>
    <w:basedOn w:val="CommentTextChar"/>
    <w:link w:val="CommentSubject"/>
    <w:uiPriority w:val="99"/>
    <w:semiHidden/>
    <w:rsid w:val="00F2377F"/>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F766D0"/>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F766D0"/>
    <w:rPr>
      <w:rFonts w:ascii="Courier New" w:eastAsia="SimSun" w:hAnsi="Courier New" w:cs="Courier New"/>
      <w:sz w:val="20"/>
      <w:szCs w:val="20"/>
      <w:lang w:val="en-US"/>
    </w:rPr>
  </w:style>
  <w:style w:type="paragraph" w:styleId="Date">
    <w:name w:val="Date"/>
    <w:basedOn w:val="Normal"/>
    <w:next w:val="Normal"/>
    <w:link w:val="DateChar"/>
    <w:uiPriority w:val="99"/>
    <w:semiHidden/>
    <w:unhideWhenUsed/>
    <w:rsid w:val="00F766D0"/>
  </w:style>
  <w:style w:type="character" w:customStyle="1" w:styleId="DateChar">
    <w:name w:val="Date Char"/>
    <w:basedOn w:val="DefaultParagraphFont"/>
    <w:link w:val="Date"/>
    <w:uiPriority w:val="99"/>
    <w:semiHidden/>
    <w:rsid w:val="00F766D0"/>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DF4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654">
      <w:bodyDiv w:val="1"/>
      <w:marLeft w:val="0"/>
      <w:marRight w:val="0"/>
      <w:marTop w:val="0"/>
      <w:marBottom w:val="0"/>
      <w:divBdr>
        <w:top w:val="none" w:sz="0" w:space="0" w:color="auto"/>
        <w:left w:val="none" w:sz="0" w:space="0" w:color="auto"/>
        <w:bottom w:val="none" w:sz="0" w:space="0" w:color="auto"/>
        <w:right w:val="none" w:sz="0" w:space="0" w:color="auto"/>
      </w:divBdr>
    </w:div>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60182358">
      <w:bodyDiv w:val="1"/>
      <w:marLeft w:val="0"/>
      <w:marRight w:val="0"/>
      <w:marTop w:val="0"/>
      <w:marBottom w:val="0"/>
      <w:divBdr>
        <w:top w:val="none" w:sz="0" w:space="0" w:color="auto"/>
        <w:left w:val="none" w:sz="0" w:space="0" w:color="auto"/>
        <w:bottom w:val="none" w:sz="0" w:space="0" w:color="auto"/>
        <w:right w:val="none" w:sz="0" w:space="0" w:color="auto"/>
      </w:divBdr>
    </w:div>
    <w:div w:id="61871231">
      <w:bodyDiv w:val="1"/>
      <w:marLeft w:val="0"/>
      <w:marRight w:val="0"/>
      <w:marTop w:val="0"/>
      <w:marBottom w:val="0"/>
      <w:divBdr>
        <w:top w:val="none" w:sz="0" w:space="0" w:color="auto"/>
        <w:left w:val="none" w:sz="0" w:space="0" w:color="auto"/>
        <w:bottom w:val="none" w:sz="0" w:space="0" w:color="auto"/>
        <w:right w:val="none" w:sz="0" w:space="0" w:color="auto"/>
      </w:divBdr>
    </w:div>
    <w:div w:id="70734583">
      <w:bodyDiv w:val="1"/>
      <w:marLeft w:val="0"/>
      <w:marRight w:val="0"/>
      <w:marTop w:val="0"/>
      <w:marBottom w:val="0"/>
      <w:divBdr>
        <w:top w:val="none" w:sz="0" w:space="0" w:color="auto"/>
        <w:left w:val="none" w:sz="0" w:space="0" w:color="auto"/>
        <w:bottom w:val="none" w:sz="0" w:space="0" w:color="auto"/>
        <w:right w:val="none" w:sz="0" w:space="0" w:color="auto"/>
      </w:divBdr>
    </w:div>
    <w:div w:id="88626631">
      <w:bodyDiv w:val="1"/>
      <w:marLeft w:val="0"/>
      <w:marRight w:val="0"/>
      <w:marTop w:val="0"/>
      <w:marBottom w:val="0"/>
      <w:divBdr>
        <w:top w:val="none" w:sz="0" w:space="0" w:color="auto"/>
        <w:left w:val="none" w:sz="0" w:space="0" w:color="auto"/>
        <w:bottom w:val="none" w:sz="0" w:space="0" w:color="auto"/>
        <w:right w:val="none" w:sz="0" w:space="0" w:color="auto"/>
      </w:divBdr>
    </w:div>
    <w:div w:id="97795313">
      <w:bodyDiv w:val="1"/>
      <w:marLeft w:val="0"/>
      <w:marRight w:val="0"/>
      <w:marTop w:val="0"/>
      <w:marBottom w:val="0"/>
      <w:divBdr>
        <w:top w:val="none" w:sz="0" w:space="0" w:color="auto"/>
        <w:left w:val="none" w:sz="0" w:space="0" w:color="auto"/>
        <w:bottom w:val="none" w:sz="0" w:space="0" w:color="auto"/>
        <w:right w:val="none" w:sz="0" w:space="0" w:color="auto"/>
      </w:divBdr>
    </w:div>
    <w:div w:id="120149520">
      <w:bodyDiv w:val="1"/>
      <w:marLeft w:val="0"/>
      <w:marRight w:val="0"/>
      <w:marTop w:val="0"/>
      <w:marBottom w:val="0"/>
      <w:divBdr>
        <w:top w:val="none" w:sz="0" w:space="0" w:color="auto"/>
        <w:left w:val="none" w:sz="0" w:space="0" w:color="auto"/>
        <w:bottom w:val="none" w:sz="0" w:space="0" w:color="auto"/>
        <w:right w:val="none" w:sz="0" w:space="0" w:color="auto"/>
      </w:divBdr>
    </w:div>
    <w:div w:id="123736983">
      <w:bodyDiv w:val="1"/>
      <w:marLeft w:val="0"/>
      <w:marRight w:val="0"/>
      <w:marTop w:val="0"/>
      <w:marBottom w:val="0"/>
      <w:divBdr>
        <w:top w:val="none" w:sz="0" w:space="0" w:color="auto"/>
        <w:left w:val="none" w:sz="0" w:space="0" w:color="auto"/>
        <w:bottom w:val="none" w:sz="0" w:space="0" w:color="auto"/>
        <w:right w:val="none" w:sz="0" w:space="0" w:color="auto"/>
      </w:divBdr>
    </w:div>
    <w:div w:id="138812358">
      <w:bodyDiv w:val="1"/>
      <w:marLeft w:val="0"/>
      <w:marRight w:val="0"/>
      <w:marTop w:val="0"/>
      <w:marBottom w:val="0"/>
      <w:divBdr>
        <w:top w:val="none" w:sz="0" w:space="0" w:color="auto"/>
        <w:left w:val="none" w:sz="0" w:space="0" w:color="auto"/>
        <w:bottom w:val="none" w:sz="0" w:space="0" w:color="auto"/>
        <w:right w:val="none" w:sz="0" w:space="0" w:color="auto"/>
      </w:divBdr>
    </w:div>
    <w:div w:id="168764001">
      <w:bodyDiv w:val="1"/>
      <w:marLeft w:val="0"/>
      <w:marRight w:val="0"/>
      <w:marTop w:val="0"/>
      <w:marBottom w:val="0"/>
      <w:divBdr>
        <w:top w:val="none" w:sz="0" w:space="0" w:color="auto"/>
        <w:left w:val="none" w:sz="0" w:space="0" w:color="auto"/>
        <w:bottom w:val="none" w:sz="0" w:space="0" w:color="auto"/>
        <w:right w:val="none" w:sz="0" w:space="0" w:color="auto"/>
      </w:divBdr>
    </w:div>
    <w:div w:id="179124714">
      <w:bodyDiv w:val="1"/>
      <w:marLeft w:val="0"/>
      <w:marRight w:val="0"/>
      <w:marTop w:val="0"/>
      <w:marBottom w:val="0"/>
      <w:divBdr>
        <w:top w:val="none" w:sz="0" w:space="0" w:color="auto"/>
        <w:left w:val="none" w:sz="0" w:space="0" w:color="auto"/>
        <w:bottom w:val="none" w:sz="0" w:space="0" w:color="auto"/>
        <w:right w:val="none" w:sz="0" w:space="0" w:color="auto"/>
      </w:divBdr>
    </w:div>
    <w:div w:id="193617986">
      <w:bodyDiv w:val="1"/>
      <w:marLeft w:val="0"/>
      <w:marRight w:val="0"/>
      <w:marTop w:val="0"/>
      <w:marBottom w:val="0"/>
      <w:divBdr>
        <w:top w:val="none" w:sz="0" w:space="0" w:color="auto"/>
        <w:left w:val="none" w:sz="0" w:space="0" w:color="auto"/>
        <w:bottom w:val="none" w:sz="0" w:space="0" w:color="auto"/>
        <w:right w:val="none" w:sz="0" w:space="0" w:color="auto"/>
      </w:divBdr>
    </w:div>
    <w:div w:id="252400873">
      <w:bodyDiv w:val="1"/>
      <w:marLeft w:val="0"/>
      <w:marRight w:val="0"/>
      <w:marTop w:val="0"/>
      <w:marBottom w:val="0"/>
      <w:divBdr>
        <w:top w:val="none" w:sz="0" w:space="0" w:color="auto"/>
        <w:left w:val="none" w:sz="0" w:space="0" w:color="auto"/>
        <w:bottom w:val="none" w:sz="0" w:space="0" w:color="auto"/>
        <w:right w:val="none" w:sz="0" w:space="0" w:color="auto"/>
      </w:divBdr>
    </w:div>
    <w:div w:id="297104252">
      <w:bodyDiv w:val="1"/>
      <w:marLeft w:val="0"/>
      <w:marRight w:val="0"/>
      <w:marTop w:val="0"/>
      <w:marBottom w:val="0"/>
      <w:divBdr>
        <w:top w:val="none" w:sz="0" w:space="0" w:color="auto"/>
        <w:left w:val="none" w:sz="0" w:space="0" w:color="auto"/>
        <w:bottom w:val="none" w:sz="0" w:space="0" w:color="auto"/>
        <w:right w:val="none" w:sz="0" w:space="0" w:color="auto"/>
      </w:divBdr>
    </w:div>
    <w:div w:id="298267587">
      <w:bodyDiv w:val="1"/>
      <w:marLeft w:val="0"/>
      <w:marRight w:val="0"/>
      <w:marTop w:val="0"/>
      <w:marBottom w:val="0"/>
      <w:divBdr>
        <w:top w:val="none" w:sz="0" w:space="0" w:color="auto"/>
        <w:left w:val="none" w:sz="0" w:space="0" w:color="auto"/>
        <w:bottom w:val="none" w:sz="0" w:space="0" w:color="auto"/>
        <w:right w:val="none" w:sz="0" w:space="0" w:color="auto"/>
      </w:divBdr>
    </w:div>
    <w:div w:id="333456127">
      <w:bodyDiv w:val="1"/>
      <w:marLeft w:val="0"/>
      <w:marRight w:val="0"/>
      <w:marTop w:val="0"/>
      <w:marBottom w:val="0"/>
      <w:divBdr>
        <w:top w:val="none" w:sz="0" w:space="0" w:color="auto"/>
        <w:left w:val="none" w:sz="0" w:space="0" w:color="auto"/>
        <w:bottom w:val="none" w:sz="0" w:space="0" w:color="auto"/>
        <w:right w:val="none" w:sz="0" w:space="0" w:color="auto"/>
      </w:divBdr>
    </w:div>
    <w:div w:id="335115314">
      <w:bodyDiv w:val="1"/>
      <w:marLeft w:val="0"/>
      <w:marRight w:val="0"/>
      <w:marTop w:val="0"/>
      <w:marBottom w:val="0"/>
      <w:divBdr>
        <w:top w:val="none" w:sz="0" w:space="0" w:color="auto"/>
        <w:left w:val="none" w:sz="0" w:space="0" w:color="auto"/>
        <w:bottom w:val="none" w:sz="0" w:space="0" w:color="auto"/>
        <w:right w:val="none" w:sz="0" w:space="0" w:color="auto"/>
      </w:divBdr>
    </w:div>
    <w:div w:id="343408822">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364604833">
      <w:bodyDiv w:val="1"/>
      <w:marLeft w:val="0"/>
      <w:marRight w:val="0"/>
      <w:marTop w:val="0"/>
      <w:marBottom w:val="0"/>
      <w:divBdr>
        <w:top w:val="none" w:sz="0" w:space="0" w:color="auto"/>
        <w:left w:val="none" w:sz="0" w:space="0" w:color="auto"/>
        <w:bottom w:val="none" w:sz="0" w:space="0" w:color="auto"/>
        <w:right w:val="none" w:sz="0" w:space="0" w:color="auto"/>
      </w:divBdr>
    </w:div>
    <w:div w:id="408889422">
      <w:bodyDiv w:val="1"/>
      <w:marLeft w:val="0"/>
      <w:marRight w:val="0"/>
      <w:marTop w:val="0"/>
      <w:marBottom w:val="0"/>
      <w:divBdr>
        <w:top w:val="none" w:sz="0" w:space="0" w:color="auto"/>
        <w:left w:val="none" w:sz="0" w:space="0" w:color="auto"/>
        <w:bottom w:val="none" w:sz="0" w:space="0" w:color="auto"/>
        <w:right w:val="none" w:sz="0" w:space="0" w:color="auto"/>
      </w:divBdr>
    </w:div>
    <w:div w:id="413549535">
      <w:bodyDiv w:val="1"/>
      <w:marLeft w:val="0"/>
      <w:marRight w:val="0"/>
      <w:marTop w:val="0"/>
      <w:marBottom w:val="0"/>
      <w:divBdr>
        <w:top w:val="none" w:sz="0" w:space="0" w:color="auto"/>
        <w:left w:val="none" w:sz="0" w:space="0" w:color="auto"/>
        <w:bottom w:val="none" w:sz="0" w:space="0" w:color="auto"/>
        <w:right w:val="none" w:sz="0" w:space="0" w:color="auto"/>
      </w:divBdr>
    </w:div>
    <w:div w:id="446899089">
      <w:bodyDiv w:val="1"/>
      <w:marLeft w:val="0"/>
      <w:marRight w:val="0"/>
      <w:marTop w:val="0"/>
      <w:marBottom w:val="0"/>
      <w:divBdr>
        <w:top w:val="none" w:sz="0" w:space="0" w:color="auto"/>
        <w:left w:val="none" w:sz="0" w:space="0" w:color="auto"/>
        <w:bottom w:val="none" w:sz="0" w:space="0" w:color="auto"/>
        <w:right w:val="none" w:sz="0" w:space="0" w:color="auto"/>
      </w:divBdr>
    </w:div>
    <w:div w:id="449201507">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7721103">
      <w:bodyDiv w:val="1"/>
      <w:marLeft w:val="0"/>
      <w:marRight w:val="0"/>
      <w:marTop w:val="0"/>
      <w:marBottom w:val="0"/>
      <w:divBdr>
        <w:top w:val="none" w:sz="0" w:space="0" w:color="auto"/>
        <w:left w:val="none" w:sz="0" w:space="0" w:color="auto"/>
        <w:bottom w:val="none" w:sz="0" w:space="0" w:color="auto"/>
        <w:right w:val="none" w:sz="0" w:space="0" w:color="auto"/>
      </w:divBdr>
    </w:div>
    <w:div w:id="530265558">
      <w:bodyDiv w:val="1"/>
      <w:marLeft w:val="0"/>
      <w:marRight w:val="0"/>
      <w:marTop w:val="0"/>
      <w:marBottom w:val="0"/>
      <w:divBdr>
        <w:top w:val="none" w:sz="0" w:space="0" w:color="auto"/>
        <w:left w:val="none" w:sz="0" w:space="0" w:color="auto"/>
        <w:bottom w:val="none" w:sz="0" w:space="0" w:color="auto"/>
        <w:right w:val="none" w:sz="0" w:space="0" w:color="auto"/>
      </w:divBdr>
    </w:div>
    <w:div w:id="560019241">
      <w:bodyDiv w:val="1"/>
      <w:marLeft w:val="0"/>
      <w:marRight w:val="0"/>
      <w:marTop w:val="0"/>
      <w:marBottom w:val="0"/>
      <w:divBdr>
        <w:top w:val="none" w:sz="0" w:space="0" w:color="auto"/>
        <w:left w:val="none" w:sz="0" w:space="0" w:color="auto"/>
        <w:bottom w:val="none" w:sz="0" w:space="0" w:color="auto"/>
        <w:right w:val="none" w:sz="0" w:space="0" w:color="auto"/>
      </w:divBdr>
    </w:div>
    <w:div w:id="562912591">
      <w:bodyDiv w:val="1"/>
      <w:marLeft w:val="0"/>
      <w:marRight w:val="0"/>
      <w:marTop w:val="0"/>
      <w:marBottom w:val="0"/>
      <w:divBdr>
        <w:top w:val="none" w:sz="0" w:space="0" w:color="auto"/>
        <w:left w:val="none" w:sz="0" w:space="0" w:color="auto"/>
        <w:bottom w:val="none" w:sz="0" w:space="0" w:color="auto"/>
        <w:right w:val="none" w:sz="0" w:space="0" w:color="auto"/>
      </w:divBdr>
    </w:div>
    <w:div w:id="593712241">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25376293">
      <w:bodyDiv w:val="1"/>
      <w:marLeft w:val="0"/>
      <w:marRight w:val="0"/>
      <w:marTop w:val="0"/>
      <w:marBottom w:val="0"/>
      <w:divBdr>
        <w:top w:val="none" w:sz="0" w:space="0" w:color="auto"/>
        <w:left w:val="none" w:sz="0" w:space="0" w:color="auto"/>
        <w:bottom w:val="none" w:sz="0" w:space="0" w:color="auto"/>
        <w:right w:val="none" w:sz="0" w:space="0" w:color="auto"/>
      </w:divBdr>
    </w:div>
    <w:div w:id="745149298">
      <w:bodyDiv w:val="1"/>
      <w:marLeft w:val="0"/>
      <w:marRight w:val="0"/>
      <w:marTop w:val="0"/>
      <w:marBottom w:val="0"/>
      <w:divBdr>
        <w:top w:val="none" w:sz="0" w:space="0" w:color="auto"/>
        <w:left w:val="none" w:sz="0" w:space="0" w:color="auto"/>
        <w:bottom w:val="none" w:sz="0" w:space="0" w:color="auto"/>
        <w:right w:val="none" w:sz="0" w:space="0" w:color="auto"/>
      </w:divBdr>
    </w:div>
    <w:div w:id="783767195">
      <w:bodyDiv w:val="1"/>
      <w:marLeft w:val="0"/>
      <w:marRight w:val="0"/>
      <w:marTop w:val="0"/>
      <w:marBottom w:val="0"/>
      <w:divBdr>
        <w:top w:val="none" w:sz="0" w:space="0" w:color="auto"/>
        <w:left w:val="none" w:sz="0" w:space="0" w:color="auto"/>
        <w:bottom w:val="none" w:sz="0" w:space="0" w:color="auto"/>
        <w:right w:val="none" w:sz="0" w:space="0" w:color="auto"/>
      </w:divBdr>
    </w:div>
    <w:div w:id="859857809">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50237146">
      <w:bodyDiv w:val="1"/>
      <w:marLeft w:val="0"/>
      <w:marRight w:val="0"/>
      <w:marTop w:val="0"/>
      <w:marBottom w:val="0"/>
      <w:divBdr>
        <w:top w:val="none" w:sz="0" w:space="0" w:color="auto"/>
        <w:left w:val="none" w:sz="0" w:space="0" w:color="auto"/>
        <w:bottom w:val="none" w:sz="0" w:space="0" w:color="auto"/>
        <w:right w:val="none" w:sz="0" w:space="0" w:color="auto"/>
      </w:divBdr>
    </w:div>
    <w:div w:id="989209182">
      <w:bodyDiv w:val="1"/>
      <w:marLeft w:val="0"/>
      <w:marRight w:val="0"/>
      <w:marTop w:val="0"/>
      <w:marBottom w:val="0"/>
      <w:divBdr>
        <w:top w:val="none" w:sz="0" w:space="0" w:color="auto"/>
        <w:left w:val="none" w:sz="0" w:space="0" w:color="auto"/>
        <w:bottom w:val="none" w:sz="0" w:space="0" w:color="auto"/>
        <w:right w:val="none" w:sz="0" w:space="0" w:color="auto"/>
      </w:divBdr>
    </w:div>
    <w:div w:id="1001657924">
      <w:bodyDiv w:val="1"/>
      <w:marLeft w:val="0"/>
      <w:marRight w:val="0"/>
      <w:marTop w:val="0"/>
      <w:marBottom w:val="0"/>
      <w:divBdr>
        <w:top w:val="none" w:sz="0" w:space="0" w:color="auto"/>
        <w:left w:val="none" w:sz="0" w:space="0" w:color="auto"/>
        <w:bottom w:val="none" w:sz="0" w:space="0" w:color="auto"/>
        <w:right w:val="none" w:sz="0" w:space="0" w:color="auto"/>
      </w:divBdr>
    </w:div>
    <w:div w:id="1010062082">
      <w:bodyDiv w:val="1"/>
      <w:marLeft w:val="0"/>
      <w:marRight w:val="0"/>
      <w:marTop w:val="0"/>
      <w:marBottom w:val="0"/>
      <w:divBdr>
        <w:top w:val="none" w:sz="0" w:space="0" w:color="auto"/>
        <w:left w:val="none" w:sz="0" w:space="0" w:color="auto"/>
        <w:bottom w:val="none" w:sz="0" w:space="0" w:color="auto"/>
        <w:right w:val="none" w:sz="0" w:space="0" w:color="auto"/>
      </w:divBdr>
    </w:div>
    <w:div w:id="1029063307">
      <w:bodyDiv w:val="1"/>
      <w:marLeft w:val="0"/>
      <w:marRight w:val="0"/>
      <w:marTop w:val="0"/>
      <w:marBottom w:val="0"/>
      <w:divBdr>
        <w:top w:val="none" w:sz="0" w:space="0" w:color="auto"/>
        <w:left w:val="none" w:sz="0" w:space="0" w:color="auto"/>
        <w:bottom w:val="none" w:sz="0" w:space="0" w:color="auto"/>
        <w:right w:val="none" w:sz="0" w:space="0" w:color="auto"/>
      </w:divBdr>
    </w:div>
    <w:div w:id="1032610124">
      <w:bodyDiv w:val="1"/>
      <w:marLeft w:val="0"/>
      <w:marRight w:val="0"/>
      <w:marTop w:val="0"/>
      <w:marBottom w:val="0"/>
      <w:divBdr>
        <w:top w:val="none" w:sz="0" w:space="0" w:color="auto"/>
        <w:left w:val="none" w:sz="0" w:space="0" w:color="auto"/>
        <w:bottom w:val="none" w:sz="0" w:space="0" w:color="auto"/>
        <w:right w:val="none" w:sz="0" w:space="0" w:color="auto"/>
      </w:divBdr>
    </w:div>
    <w:div w:id="1046678741">
      <w:bodyDiv w:val="1"/>
      <w:marLeft w:val="0"/>
      <w:marRight w:val="0"/>
      <w:marTop w:val="0"/>
      <w:marBottom w:val="0"/>
      <w:divBdr>
        <w:top w:val="none" w:sz="0" w:space="0" w:color="auto"/>
        <w:left w:val="none" w:sz="0" w:space="0" w:color="auto"/>
        <w:bottom w:val="none" w:sz="0" w:space="0" w:color="auto"/>
        <w:right w:val="none" w:sz="0" w:space="0" w:color="auto"/>
      </w:divBdr>
    </w:div>
    <w:div w:id="1108306633">
      <w:bodyDiv w:val="1"/>
      <w:marLeft w:val="0"/>
      <w:marRight w:val="0"/>
      <w:marTop w:val="0"/>
      <w:marBottom w:val="0"/>
      <w:divBdr>
        <w:top w:val="none" w:sz="0" w:space="0" w:color="auto"/>
        <w:left w:val="none" w:sz="0" w:space="0" w:color="auto"/>
        <w:bottom w:val="none" w:sz="0" w:space="0" w:color="auto"/>
        <w:right w:val="none" w:sz="0" w:space="0" w:color="auto"/>
      </w:divBdr>
    </w:div>
    <w:div w:id="1132987505">
      <w:bodyDiv w:val="1"/>
      <w:marLeft w:val="0"/>
      <w:marRight w:val="0"/>
      <w:marTop w:val="0"/>
      <w:marBottom w:val="0"/>
      <w:divBdr>
        <w:top w:val="none" w:sz="0" w:space="0" w:color="auto"/>
        <w:left w:val="none" w:sz="0" w:space="0" w:color="auto"/>
        <w:bottom w:val="none" w:sz="0" w:space="0" w:color="auto"/>
        <w:right w:val="none" w:sz="0" w:space="0" w:color="auto"/>
      </w:divBdr>
    </w:div>
    <w:div w:id="1143540858">
      <w:bodyDiv w:val="1"/>
      <w:marLeft w:val="0"/>
      <w:marRight w:val="0"/>
      <w:marTop w:val="0"/>
      <w:marBottom w:val="0"/>
      <w:divBdr>
        <w:top w:val="none" w:sz="0" w:space="0" w:color="auto"/>
        <w:left w:val="none" w:sz="0" w:space="0" w:color="auto"/>
        <w:bottom w:val="none" w:sz="0" w:space="0" w:color="auto"/>
        <w:right w:val="none" w:sz="0" w:space="0" w:color="auto"/>
      </w:divBdr>
    </w:div>
    <w:div w:id="1166673920">
      <w:bodyDiv w:val="1"/>
      <w:marLeft w:val="0"/>
      <w:marRight w:val="0"/>
      <w:marTop w:val="0"/>
      <w:marBottom w:val="0"/>
      <w:divBdr>
        <w:top w:val="none" w:sz="0" w:space="0" w:color="auto"/>
        <w:left w:val="none" w:sz="0" w:space="0" w:color="auto"/>
        <w:bottom w:val="none" w:sz="0" w:space="0" w:color="auto"/>
        <w:right w:val="none" w:sz="0" w:space="0" w:color="auto"/>
      </w:divBdr>
    </w:div>
    <w:div w:id="1169951053">
      <w:bodyDiv w:val="1"/>
      <w:marLeft w:val="0"/>
      <w:marRight w:val="0"/>
      <w:marTop w:val="0"/>
      <w:marBottom w:val="0"/>
      <w:divBdr>
        <w:top w:val="none" w:sz="0" w:space="0" w:color="auto"/>
        <w:left w:val="none" w:sz="0" w:space="0" w:color="auto"/>
        <w:bottom w:val="none" w:sz="0" w:space="0" w:color="auto"/>
        <w:right w:val="none" w:sz="0" w:space="0" w:color="auto"/>
      </w:divBdr>
    </w:div>
    <w:div w:id="1197887336">
      <w:bodyDiv w:val="1"/>
      <w:marLeft w:val="0"/>
      <w:marRight w:val="0"/>
      <w:marTop w:val="0"/>
      <w:marBottom w:val="0"/>
      <w:divBdr>
        <w:top w:val="none" w:sz="0" w:space="0" w:color="auto"/>
        <w:left w:val="none" w:sz="0" w:space="0" w:color="auto"/>
        <w:bottom w:val="none" w:sz="0" w:space="0" w:color="auto"/>
        <w:right w:val="none" w:sz="0" w:space="0" w:color="auto"/>
      </w:divBdr>
    </w:div>
    <w:div w:id="1213157094">
      <w:bodyDiv w:val="1"/>
      <w:marLeft w:val="0"/>
      <w:marRight w:val="0"/>
      <w:marTop w:val="0"/>
      <w:marBottom w:val="0"/>
      <w:divBdr>
        <w:top w:val="none" w:sz="0" w:space="0" w:color="auto"/>
        <w:left w:val="none" w:sz="0" w:space="0" w:color="auto"/>
        <w:bottom w:val="none" w:sz="0" w:space="0" w:color="auto"/>
        <w:right w:val="none" w:sz="0" w:space="0" w:color="auto"/>
      </w:divBdr>
    </w:div>
    <w:div w:id="1226602161">
      <w:bodyDiv w:val="1"/>
      <w:marLeft w:val="0"/>
      <w:marRight w:val="0"/>
      <w:marTop w:val="0"/>
      <w:marBottom w:val="0"/>
      <w:divBdr>
        <w:top w:val="none" w:sz="0" w:space="0" w:color="auto"/>
        <w:left w:val="none" w:sz="0" w:space="0" w:color="auto"/>
        <w:bottom w:val="none" w:sz="0" w:space="0" w:color="auto"/>
        <w:right w:val="none" w:sz="0" w:space="0" w:color="auto"/>
      </w:divBdr>
    </w:div>
    <w:div w:id="1229417818">
      <w:bodyDiv w:val="1"/>
      <w:marLeft w:val="0"/>
      <w:marRight w:val="0"/>
      <w:marTop w:val="0"/>
      <w:marBottom w:val="0"/>
      <w:divBdr>
        <w:top w:val="none" w:sz="0" w:space="0" w:color="auto"/>
        <w:left w:val="none" w:sz="0" w:space="0" w:color="auto"/>
        <w:bottom w:val="none" w:sz="0" w:space="0" w:color="auto"/>
        <w:right w:val="none" w:sz="0" w:space="0" w:color="auto"/>
      </w:divBdr>
    </w:div>
    <w:div w:id="1231423359">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75287411">
      <w:bodyDiv w:val="1"/>
      <w:marLeft w:val="0"/>
      <w:marRight w:val="0"/>
      <w:marTop w:val="0"/>
      <w:marBottom w:val="0"/>
      <w:divBdr>
        <w:top w:val="none" w:sz="0" w:space="0" w:color="auto"/>
        <w:left w:val="none" w:sz="0" w:space="0" w:color="auto"/>
        <w:bottom w:val="none" w:sz="0" w:space="0" w:color="auto"/>
        <w:right w:val="none" w:sz="0" w:space="0" w:color="auto"/>
      </w:divBdr>
    </w:div>
    <w:div w:id="1350452191">
      <w:bodyDiv w:val="1"/>
      <w:marLeft w:val="0"/>
      <w:marRight w:val="0"/>
      <w:marTop w:val="0"/>
      <w:marBottom w:val="0"/>
      <w:divBdr>
        <w:top w:val="none" w:sz="0" w:space="0" w:color="auto"/>
        <w:left w:val="none" w:sz="0" w:space="0" w:color="auto"/>
        <w:bottom w:val="none" w:sz="0" w:space="0" w:color="auto"/>
        <w:right w:val="none" w:sz="0" w:space="0" w:color="auto"/>
      </w:divBdr>
    </w:div>
    <w:div w:id="1356078488">
      <w:bodyDiv w:val="1"/>
      <w:marLeft w:val="0"/>
      <w:marRight w:val="0"/>
      <w:marTop w:val="0"/>
      <w:marBottom w:val="0"/>
      <w:divBdr>
        <w:top w:val="none" w:sz="0" w:space="0" w:color="auto"/>
        <w:left w:val="none" w:sz="0" w:space="0" w:color="auto"/>
        <w:bottom w:val="none" w:sz="0" w:space="0" w:color="auto"/>
        <w:right w:val="none" w:sz="0" w:space="0" w:color="auto"/>
      </w:divBdr>
    </w:div>
    <w:div w:id="1404721142">
      <w:bodyDiv w:val="1"/>
      <w:marLeft w:val="0"/>
      <w:marRight w:val="0"/>
      <w:marTop w:val="0"/>
      <w:marBottom w:val="0"/>
      <w:divBdr>
        <w:top w:val="none" w:sz="0" w:space="0" w:color="auto"/>
        <w:left w:val="none" w:sz="0" w:space="0" w:color="auto"/>
        <w:bottom w:val="none" w:sz="0" w:space="0" w:color="auto"/>
        <w:right w:val="none" w:sz="0" w:space="0" w:color="auto"/>
      </w:divBdr>
    </w:div>
    <w:div w:id="1413164742">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09564665">
      <w:bodyDiv w:val="1"/>
      <w:marLeft w:val="0"/>
      <w:marRight w:val="0"/>
      <w:marTop w:val="0"/>
      <w:marBottom w:val="0"/>
      <w:divBdr>
        <w:top w:val="none" w:sz="0" w:space="0" w:color="auto"/>
        <w:left w:val="none" w:sz="0" w:space="0" w:color="auto"/>
        <w:bottom w:val="none" w:sz="0" w:space="0" w:color="auto"/>
        <w:right w:val="none" w:sz="0" w:space="0" w:color="auto"/>
      </w:divBdr>
    </w:div>
    <w:div w:id="15284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546137427">
      <w:bodyDiv w:val="1"/>
      <w:marLeft w:val="0"/>
      <w:marRight w:val="0"/>
      <w:marTop w:val="0"/>
      <w:marBottom w:val="0"/>
      <w:divBdr>
        <w:top w:val="none" w:sz="0" w:space="0" w:color="auto"/>
        <w:left w:val="none" w:sz="0" w:space="0" w:color="auto"/>
        <w:bottom w:val="none" w:sz="0" w:space="0" w:color="auto"/>
        <w:right w:val="none" w:sz="0" w:space="0" w:color="auto"/>
      </w:divBdr>
    </w:div>
    <w:div w:id="1609579761">
      <w:bodyDiv w:val="1"/>
      <w:marLeft w:val="0"/>
      <w:marRight w:val="0"/>
      <w:marTop w:val="0"/>
      <w:marBottom w:val="0"/>
      <w:divBdr>
        <w:top w:val="none" w:sz="0" w:space="0" w:color="auto"/>
        <w:left w:val="none" w:sz="0" w:space="0" w:color="auto"/>
        <w:bottom w:val="none" w:sz="0" w:space="0" w:color="auto"/>
        <w:right w:val="none" w:sz="0" w:space="0" w:color="auto"/>
      </w:divBdr>
    </w:div>
    <w:div w:id="1617519690">
      <w:bodyDiv w:val="1"/>
      <w:marLeft w:val="0"/>
      <w:marRight w:val="0"/>
      <w:marTop w:val="0"/>
      <w:marBottom w:val="0"/>
      <w:divBdr>
        <w:top w:val="none" w:sz="0" w:space="0" w:color="auto"/>
        <w:left w:val="none" w:sz="0" w:space="0" w:color="auto"/>
        <w:bottom w:val="none" w:sz="0" w:space="0" w:color="auto"/>
        <w:right w:val="none" w:sz="0" w:space="0" w:color="auto"/>
      </w:divBdr>
    </w:div>
    <w:div w:id="1629437512">
      <w:bodyDiv w:val="1"/>
      <w:marLeft w:val="0"/>
      <w:marRight w:val="0"/>
      <w:marTop w:val="0"/>
      <w:marBottom w:val="0"/>
      <w:divBdr>
        <w:top w:val="none" w:sz="0" w:space="0" w:color="auto"/>
        <w:left w:val="none" w:sz="0" w:space="0" w:color="auto"/>
        <w:bottom w:val="none" w:sz="0" w:space="0" w:color="auto"/>
        <w:right w:val="none" w:sz="0" w:space="0" w:color="auto"/>
      </w:divBdr>
    </w:div>
    <w:div w:id="1682973460">
      <w:bodyDiv w:val="1"/>
      <w:marLeft w:val="0"/>
      <w:marRight w:val="0"/>
      <w:marTop w:val="0"/>
      <w:marBottom w:val="0"/>
      <w:divBdr>
        <w:top w:val="none" w:sz="0" w:space="0" w:color="auto"/>
        <w:left w:val="none" w:sz="0" w:space="0" w:color="auto"/>
        <w:bottom w:val="none" w:sz="0" w:space="0" w:color="auto"/>
        <w:right w:val="none" w:sz="0" w:space="0" w:color="auto"/>
      </w:divBdr>
    </w:div>
    <w:div w:id="1708136632">
      <w:bodyDiv w:val="1"/>
      <w:marLeft w:val="0"/>
      <w:marRight w:val="0"/>
      <w:marTop w:val="0"/>
      <w:marBottom w:val="0"/>
      <w:divBdr>
        <w:top w:val="none" w:sz="0" w:space="0" w:color="auto"/>
        <w:left w:val="none" w:sz="0" w:space="0" w:color="auto"/>
        <w:bottom w:val="none" w:sz="0" w:space="0" w:color="auto"/>
        <w:right w:val="none" w:sz="0" w:space="0" w:color="auto"/>
      </w:divBdr>
    </w:div>
    <w:div w:id="1763836354">
      <w:bodyDiv w:val="1"/>
      <w:marLeft w:val="0"/>
      <w:marRight w:val="0"/>
      <w:marTop w:val="0"/>
      <w:marBottom w:val="0"/>
      <w:divBdr>
        <w:top w:val="none" w:sz="0" w:space="0" w:color="auto"/>
        <w:left w:val="none" w:sz="0" w:space="0" w:color="auto"/>
        <w:bottom w:val="none" w:sz="0" w:space="0" w:color="auto"/>
        <w:right w:val="none" w:sz="0" w:space="0" w:color="auto"/>
      </w:divBdr>
    </w:div>
    <w:div w:id="1776822743">
      <w:bodyDiv w:val="1"/>
      <w:marLeft w:val="0"/>
      <w:marRight w:val="0"/>
      <w:marTop w:val="0"/>
      <w:marBottom w:val="0"/>
      <w:divBdr>
        <w:top w:val="none" w:sz="0" w:space="0" w:color="auto"/>
        <w:left w:val="none" w:sz="0" w:space="0" w:color="auto"/>
        <w:bottom w:val="none" w:sz="0" w:space="0" w:color="auto"/>
        <w:right w:val="none" w:sz="0" w:space="0" w:color="auto"/>
      </w:divBdr>
    </w:div>
    <w:div w:id="1792549311">
      <w:bodyDiv w:val="1"/>
      <w:marLeft w:val="0"/>
      <w:marRight w:val="0"/>
      <w:marTop w:val="0"/>
      <w:marBottom w:val="0"/>
      <w:divBdr>
        <w:top w:val="none" w:sz="0" w:space="0" w:color="auto"/>
        <w:left w:val="none" w:sz="0" w:space="0" w:color="auto"/>
        <w:bottom w:val="none" w:sz="0" w:space="0" w:color="auto"/>
        <w:right w:val="none" w:sz="0" w:space="0" w:color="auto"/>
      </w:divBdr>
    </w:div>
    <w:div w:id="1794207416">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003519">
      <w:bodyDiv w:val="1"/>
      <w:marLeft w:val="0"/>
      <w:marRight w:val="0"/>
      <w:marTop w:val="0"/>
      <w:marBottom w:val="0"/>
      <w:divBdr>
        <w:top w:val="none" w:sz="0" w:space="0" w:color="auto"/>
        <w:left w:val="none" w:sz="0" w:space="0" w:color="auto"/>
        <w:bottom w:val="none" w:sz="0" w:space="0" w:color="auto"/>
        <w:right w:val="none" w:sz="0" w:space="0" w:color="auto"/>
      </w:divBdr>
    </w:div>
    <w:div w:id="1814904237">
      <w:bodyDiv w:val="1"/>
      <w:marLeft w:val="0"/>
      <w:marRight w:val="0"/>
      <w:marTop w:val="0"/>
      <w:marBottom w:val="0"/>
      <w:divBdr>
        <w:top w:val="none" w:sz="0" w:space="0" w:color="auto"/>
        <w:left w:val="none" w:sz="0" w:space="0" w:color="auto"/>
        <w:bottom w:val="none" w:sz="0" w:space="0" w:color="auto"/>
        <w:right w:val="none" w:sz="0" w:space="0" w:color="auto"/>
      </w:divBdr>
    </w:div>
    <w:div w:id="1826778883">
      <w:bodyDiv w:val="1"/>
      <w:marLeft w:val="0"/>
      <w:marRight w:val="0"/>
      <w:marTop w:val="0"/>
      <w:marBottom w:val="0"/>
      <w:divBdr>
        <w:top w:val="none" w:sz="0" w:space="0" w:color="auto"/>
        <w:left w:val="none" w:sz="0" w:space="0" w:color="auto"/>
        <w:bottom w:val="none" w:sz="0" w:space="0" w:color="auto"/>
        <w:right w:val="none" w:sz="0" w:space="0" w:color="auto"/>
      </w:divBdr>
    </w:div>
    <w:div w:id="1830629477">
      <w:bodyDiv w:val="1"/>
      <w:marLeft w:val="0"/>
      <w:marRight w:val="0"/>
      <w:marTop w:val="0"/>
      <w:marBottom w:val="0"/>
      <w:divBdr>
        <w:top w:val="none" w:sz="0" w:space="0" w:color="auto"/>
        <w:left w:val="none" w:sz="0" w:space="0" w:color="auto"/>
        <w:bottom w:val="none" w:sz="0" w:space="0" w:color="auto"/>
        <w:right w:val="none" w:sz="0" w:space="0" w:color="auto"/>
      </w:divBdr>
    </w:div>
    <w:div w:id="1837259481">
      <w:bodyDiv w:val="1"/>
      <w:marLeft w:val="0"/>
      <w:marRight w:val="0"/>
      <w:marTop w:val="0"/>
      <w:marBottom w:val="0"/>
      <w:divBdr>
        <w:top w:val="none" w:sz="0" w:space="0" w:color="auto"/>
        <w:left w:val="none" w:sz="0" w:space="0" w:color="auto"/>
        <w:bottom w:val="none" w:sz="0" w:space="0" w:color="auto"/>
        <w:right w:val="none" w:sz="0" w:space="0" w:color="auto"/>
      </w:divBdr>
      <w:divsChild>
        <w:div w:id="656492035">
          <w:marLeft w:val="0"/>
          <w:marRight w:val="0"/>
          <w:marTop w:val="0"/>
          <w:marBottom w:val="0"/>
          <w:divBdr>
            <w:top w:val="none" w:sz="0" w:space="0" w:color="auto"/>
            <w:left w:val="none" w:sz="0" w:space="0" w:color="auto"/>
            <w:bottom w:val="none" w:sz="0" w:space="0" w:color="auto"/>
            <w:right w:val="none" w:sz="0" w:space="0" w:color="auto"/>
          </w:divBdr>
        </w:div>
      </w:divsChild>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914510796">
      <w:bodyDiv w:val="1"/>
      <w:marLeft w:val="0"/>
      <w:marRight w:val="0"/>
      <w:marTop w:val="0"/>
      <w:marBottom w:val="0"/>
      <w:divBdr>
        <w:top w:val="none" w:sz="0" w:space="0" w:color="auto"/>
        <w:left w:val="none" w:sz="0" w:space="0" w:color="auto"/>
        <w:bottom w:val="none" w:sz="0" w:space="0" w:color="auto"/>
        <w:right w:val="none" w:sz="0" w:space="0" w:color="auto"/>
      </w:divBdr>
    </w:div>
    <w:div w:id="1937712501">
      <w:bodyDiv w:val="1"/>
      <w:marLeft w:val="0"/>
      <w:marRight w:val="0"/>
      <w:marTop w:val="0"/>
      <w:marBottom w:val="0"/>
      <w:divBdr>
        <w:top w:val="none" w:sz="0" w:space="0" w:color="auto"/>
        <w:left w:val="none" w:sz="0" w:space="0" w:color="auto"/>
        <w:bottom w:val="none" w:sz="0" w:space="0" w:color="auto"/>
        <w:right w:val="none" w:sz="0" w:space="0" w:color="auto"/>
      </w:divBdr>
    </w:div>
    <w:div w:id="1961371474">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93949874">
      <w:bodyDiv w:val="1"/>
      <w:marLeft w:val="0"/>
      <w:marRight w:val="0"/>
      <w:marTop w:val="0"/>
      <w:marBottom w:val="0"/>
      <w:divBdr>
        <w:top w:val="none" w:sz="0" w:space="0" w:color="auto"/>
        <w:left w:val="none" w:sz="0" w:space="0" w:color="auto"/>
        <w:bottom w:val="none" w:sz="0" w:space="0" w:color="auto"/>
        <w:right w:val="none" w:sz="0" w:space="0" w:color="auto"/>
      </w:divBdr>
    </w:div>
    <w:div w:id="2006399416">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024088393">
      <w:bodyDiv w:val="1"/>
      <w:marLeft w:val="0"/>
      <w:marRight w:val="0"/>
      <w:marTop w:val="0"/>
      <w:marBottom w:val="0"/>
      <w:divBdr>
        <w:top w:val="none" w:sz="0" w:space="0" w:color="auto"/>
        <w:left w:val="none" w:sz="0" w:space="0" w:color="auto"/>
        <w:bottom w:val="none" w:sz="0" w:space="0" w:color="auto"/>
        <w:right w:val="none" w:sz="0" w:space="0" w:color="auto"/>
      </w:divBdr>
    </w:div>
    <w:div w:id="2039547033">
      <w:bodyDiv w:val="1"/>
      <w:marLeft w:val="0"/>
      <w:marRight w:val="0"/>
      <w:marTop w:val="0"/>
      <w:marBottom w:val="0"/>
      <w:divBdr>
        <w:top w:val="none" w:sz="0" w:space="0" w:color="auto"/>
        <w:left w:val="none" w:sz="0" w:space="0" w:color="auto"/>
        <w:bottom w:val="none" w:sz="0" w:space="0" w:color="auto"/>
        <w:right w:val="none" w:sz="0" w:space="0" w:color="auto"/>
      </w:divBdr>
    </w:div>
    <w:div w:id="2055809285">
      <w:bodyDiv w:val="1"/>
      <w:marLeft w:val="0"/>
      <w:marRight w:val="0"/>
      <w:marTop w:val="0"/>
      <w:marBottom w:val="0"/>
      <w:divBdr>
        <w:top w:val="none" w:sz="0" w:space="0" w:color="auto"/>
        <w:left w:val="none" w:sz="0" w:space="0" w:color="auto"/>
        <w:bottom w:val="none" w:sz="0" w:space="0" w:color="auto"/>
        <w:right w:val="none" w:sz="0" w:space="0" w:color="auto"/>
      </w:divBdr>
    </w:div>
    <w:div w:id="21433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nergyusecalculator.com/electricity_stovetop.htm" TargetMode="External"/><Relationship Id="rId3" Type="http://schemas.openxmlformats.org/officeDocument/2006/relationships/hyperlink" Target="https://data.worldbank.org/indicator/SP.POP.TOTL?locations=PKandview=chart" TargetMode="External"/><Relationship Id="rId7" Type="http://schemas.openxmlformats.org/officeDocument/2006/relationships/hyperlink" Target="https://www.indexmundi.com/commodities/?commodity=natural-gasandmonths=60andcurrency=pkr" TargetMode="External"/><Relationship Id="rId2" Type="http://schemas.openxmlformats.org/officeDocument/2006/relationships/hyperlink" Target="https://data.worldbank.org/country/pakistan" TargetMode="External"/><Relationship Id="rId1" Type="http://schemas.openxmlformats.org/officeDocument/2006/relationships/hyperlink" Target="http://www.who.int/news-room/fact-sheets/detail/household-air-pollution-and-health" TargetMode="External"/><Relationship Id="rId6" Type="http://schemas.openxmlformats.org/officeDocument/2006/relationships/hyperlink" Target="https://www.salaryexpert.com/salary/job/plumber/pakistan" TargetMode="External"/><Relationship Id="rId5" Type="http://schemas.openxmlformats.org/officeDocument/2006/relationships/hyperlink" Target="https://www.sngpl.com.pk/web/page.jsp?pgids=861andpgname=PAGES_NAMEandsecs=ss7xa852op845andcats=ct456712337andartcl=artuyh709123465" TargetMode="External"/><Relationship Id="rId10" Type="http://schemas.openxmlformats.org/officeDocument/2006/relationships/hyperlink" Target="https://data.worldbank.org/indicator/NY.GNP.PCAP.CD?locations=PK" TargetMode="External"/><Relationship Id="rId4" Type="http://schemas.openxmlformats.org/officeDocument/2006/relationships/hyperlink" Target="https://paycheck.pk/main/salary/minimum-wages/minimum-wage-in-pakistan-2014" TargetMode="External"/><Relationship Id="rId9" Type="http://schemas.openxmlformats.org/officeDocument/2006/relationships/hyperlink" Target="http://www.nepra.org.pk/Tariff/Ex-WAPDA%20DISCOS/Notifications/Schedule-I%2009-05-2012/LESCO%20Notification%20Schedule-I%2009-05-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2640-B588-42ED-9512-0C6D91F9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38705</Words>
  <Characters>220619</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258807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Muhammad</dc:creator>
  <cp:keywords/>
  <dc:description/>
  <cp:lastModifiedBy>Geua Boe-Gibson</cp:lastModifiedBy>
  <cp:revision>2</cp:revision>
  <cp:lastPrinted>2018-09-23T21:28:00Z</cp:lastPrinted>
  <dcterms:created xsi:type="dcterms:W3CDTF">2021-01-06T02:40:00Z</dcterms:created>
  <dcterms:modified xsi:type="dcterms:W3CDTF">2021-01-06T02:40:00Z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id="0zPq3TpQ"/&gt;&lt;style id="http://www.zotero.org/styles/apa" locale="en-US"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name="delayCitationUpdates" value="true"/&gt;&lt;pref name="dontAskDelayCitationUpdates" value="true"/&gt;&lt;/prefs&gt;&lt;/data&gt;</vt:lpwstr>
  </property>
</Properties>
</file>