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47021" w14:textId="77777777" w:rsidR="00C74DA9" w:rsidRDefault="00C74DA9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14:paraId="2C09245C" w14:textId="77777777" w:rsidR="00C74DA9" w:rsidRDefault="00C74DA9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14:paraId="52E6018B" w14:textId="2ADE44FB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lang w:val="en-GB"/>
        </w:rPr>
        <w:t>UNIVERSITY OF WAIKATO</w:t>
      </w:r>
    </w:p>
    <w:p w14:paraId="5CD62243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14"/>
          <w:szCs w:val="14"/>
          <w:lang w:val="en-GB"/>
        </w:rPr>
      </w:pPr>
    </w:p>
    <w:p w14:paraId="1DED4C58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lang w:val="en-GB"/>
        </w:rPr>
        <w:t>Hamilton</w:t>
      </w:r>
    </w:p>
    <w:p w14:paraId="339683F1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lang w:val="en-GB"/>
        </w:rPr>
        <w:t>New Zealand</w:t>
      </w:r>
    </w:p>
    <w:p w14:paraId="30508254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14:paraId="1BA498D3" w14:textId="77777777" w:rsidR="00EB38A7" w:rsidRPr="004D084E" w:rsidRDefault="00EB38A7" w:rsidP="00EB38A7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48F786B" w14:textId="723F2C5A" w:rsidR="009F4284" w:rsidRDefault="009F4284" w:rsidP="00EB38A7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00212DD" w14:textId="77777777" w:rsidR="00ED3DD4" w:rsidRDefault="00880E09" w:rsidP="00ED3DD4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What are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M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igrants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W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illing to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P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ay </w:t>
      </w:r>
    </w:p>
    <w:p w14:paraId="16AA780D" w14:textId="77777777" w:rsidR="000E3804" w:rsidRDefault="00880E09" w:rsidP="00ED3DD4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for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B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etter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H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ome </w:t>
      </w:r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C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ountry </w:t>
      </w:r>
      <w:proofErr w:type="gramStart"/>
      <w:r w:rsidR="009F4284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>nstitutions?</w:t>
      </w:r>
      <w:r w:rsidR="00AB37BF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proofErr w:type="gramEnd"/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306BB2E9" w14:textId="13AE0961" w:rsidR="00EB38A7" w:rsidRPr="004D084E" w:rsidRDefault="00880E09" w:rsidP="00ED3DD4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="00E12211">
        <w:rPr>
          <w:rFonts w:ascii="Times New Roman" w:hAnsi="Times New Roman" w:cs="Times New Roman"/>
          <w:b/>
          <w:sz w:val="28"/>
          <w:szCs w:val="28"/>
          <w:lang w:val="en-GB"/>
        </w:rPr>
        <w:t>C</w:t>
      </w:r>
      <w:r w:rsidRPr="004D084E">
        <w:rPr>
          <w:rFonts w:ascii="Times New Roman" w:hAnsi="Times New Roman" w:cs="Times New Roman"/>
          <w:b/>
          <w:sz w:val="28"/>
          <w:szCs w:val="28"/>
          <w:lang w:val="en-GB"/>
        </w:rPr>
        <w:t>ase of Viet Nam</w:t>
      </w:r>
    </w:p>
    <w:p w14:paraId="2EBB57EE" w14:textId="77777777" w:rsidR="00EB38A7" w:rsidRPr="004D084E" w:rsidRDefault="00EB38A7" w:rsidP="00EB38A7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</w:p>
    <w:p w14:paraId="642923A5" w14:textId="0606DF3E" w:rsidR="00EB38A7" w:rsidRPr="004D084E" w:rsidRDefault="00EB38A7" w:rsidP="00EB38A7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Ngoc </w:t>
      </w:r>
      <w:proofErr w:type="spellStart"/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>Thi</w:t>
      </w:r>
      <w:proofErr w:type="spellEnd"/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Minh </w:t>
      </w:r>
      <w:proofErr w:type="gramStart"/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Tran, </w:t>
      </w:r>
      <w:r w:rsidR="008A6B6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>Michael</w:t>
      </w:r>
      <w:proofErr w:type="gramEnd"/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P. Cameron </w:t>
      </w:r>
      <w:r w:rsidR="009F4284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>and</w:t>
      </w:r>
      <w:r w:rsidR="009F4284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4D08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Jacques Poot</w:t>
      </w:r>
    </w:p>
    <w:p w14:paraId="19495725" w14:textId="77777777" w:rsidR="00EB38A7" w:rsidRPr="004D084E" w:rsidRDefault="00EB38A7" w:rsidP="00EB38A7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sz w:val="28"/>
          <w:szCs w:val="28"/>
          <w:lang w:val="en-GB"/>
        </w:rPr>
      </w:pPr>
    </w:p>
    <w:p w14:paraId="2DA0F6FE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13302BDE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</w:p>
    <w:p w14:paraId="5EFA2FB9" w14:textId="55EB2D93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  <w:r w:rsidRPr="004D084E">
        <w:rPr>
          <w:rFonts w:ascii="Times New Roman" w:hAnsi="Times New Roman" w:cs="Times New Roman"/>
          <w:b/>
          <w:bCs/>
          <w:sz w:val="28"/>
          <w:lang w:val="en-GB"/>
        </w:rPr>
        <w:t xml:space="preserve">Working Paper in Economics </w:t>
      </w:r>
      <w:r w:rsidR="009F4284">
        <w:rPr>
          <w:rFonts w:ascii="Times New Roman" w:hAnsi="Times New Roman" w:cs="Times New Roman"/>
          <w:b/>
          <w:bCs/>
          <w:sz w:val="28"/>
          <w:lang w:val="en-GB"/>
        </w:rPr>
        <w:t>10</w:t>
      </w:r>
      <w:r w:rsidRPr="004D084E">
        <w:rPr>
          <w:rFonts w:ascii="Times New Roman" w:hAnsi="Times New Roman" w:cs="Times New Roman"/>
          <w:b/>
          <w:bCs/>
          <w:sz w:val="28"/>
          <w:lang w:val="en-GB"/>
        </w:rPr>
        <w:t>/18</w:t>
      </w:r>
    </w:p>
    <w:p w14:paraId="3F05AF43" w14:textId="77777777" w:rsidR="00EB38A7" w:rsidRPr="004D084E" w:rsidRDefault="00EB38A7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  <w:lang w:val="en-GB"/>
        </w:rPr>
      </w:pPr>
    </w:p>
    <w:p w14:paraId="58217C1F" w14:textId="6D94BBDB" w:rsidR="00EB38A7" w:rsidRPr="004D084E" w:rsidRDefault="009F4284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August </w:t>
      </w:r>
      <w:r w:rsidR="00EB38A7" w:rsidRPr="004D084E">
        <w:rPr>
          <w:rFonts w:ascii="Times New Roman" w:hAnsi="Times New Roman" w:cs="Times New Roman"/>
          <w:sz w:val="28"/>
          <w:lang w:val="en-GB"/>
        </w:rPr>
        <w:t>2018</w:t>
      </w:r>
    </w:p>
    <w:p w14:paraId="6D35BF20" w14:textId="77777777" w:rsidR="00B8217C" w:rsidRPr="004D084E" w:rsidRDefault="00B8217C" w:rsidP="00EB38A7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8"/>
          <w:lang w:val="en-GB"/>
        </w:rPr>
      </w:pPr>
    </w:p>
    <w:p w14:paraId="7C9162C5" w14:textId="41F227C9" w:rsidR="00EB38A7" w:rsidRDefault="00EB38A7" w:rsidP="00E75BEA">
      <w:pPr>
        <w:pStyle w:val="PlainText"/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4D084E">
        <w:rPr>
          <w:rFonts w:ascii="Times New Roman" w:hAnsi="Times New Roman" w:cs="Times New Roman"/>
          <w:i/>
          <w:iCs/>
          <w:sz w:val="24"/>
          <w:szCs w:val="24"/>
          <w:lang w:val="en-GB"/>
        </w:rPr>
        <w:t>Corresponding Author</w:t>
      </w:r>
    </w:p>
    <w:p w14:paraId="01ED2FDA" w14:textId="77777777" w:rsidR="00B8217C" w:rsidRPr="00B8217C" w:rsidRDefault="00B8217C" w:rsidP="00E75BEA">
      <w:pPr>
        <w:pStyle w:val="PlainText"/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i/>
          <w:iCs/>
          <w:sz w:val="12"/>
          <w:szCs w:val="12"/>
          <w:lang w:val="en-GB"/>
        </w:rPr>
      </w:pPr>
    </w:p>
    <w:p w14:paraId="70872CE1" w14:textId="77777777" w:rsidR="00EB38A7" w:rsidRPr="004D084E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4D08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Ngoc </w:t>
      </w:r>
      <w:proofErr w:type="spellStart"/>
      <w:r w:rsidRPr="004D084E">
        <w:rPr>
          <w:rFonts w:ascii="Times New Roman" w:hAnsi="Times New Roman" w:cs="Times New Roman"/>
          <w:b/>
          <w:sz w:val="24"/>
          <w:szCs w:val="24"/>
          <w:lang w:val="en-GB"/>
        </w:rPr>
        <w:t>Thi</w:t>
      </w:r>
      <w:proofErr w:type="spellEnd"/>
      <w:r w:rsidRPr="004D08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Minh Tran</w:t>
      </w:r>
    </w:p>
    <w:p w14:paraId="0CD1A3C2" w14:textId="77777777" w:rsidR="00EB38A7" w:rsidRPr="004D084E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en-GB"/>
        </w:rPr>
      </w:pPr>
      <w:r w:rsidRPr="004D084E">
        <w:rPr>
          <w:rFonts w:cstheme="majorBidi"/>
          <w:bCs/>
          <w:szCs w:val="24"/>
          <w:lang w:val="en-GB"/>
        </w:rPr>
        <w:t>School of Accounting, Finance and Economics</w:t>
      </w:r>
    </w:p>
    <w:p w14:paraId="6184123B" w14:textId="77777777" w:rsidR="00EB38A7" w:rsidRPr="004D084E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en-GB"/>
        </w:rPr>
      </w:pPr>
      <w:r w:rsidRPr="004D084E">
        <w:rPr>
          <w:rFonts w:cstheme="majorBidi"/>
          <w:bCs/>
          <w:szCs w:val="24"/>
          <w:lang w:val="en-GB"/>
        </w:rPr>
        <w:t>University of Waikato</w:t>
      </w:r>
    </w:p>
    <w:p w14:paraId="22BC4996" w14:textId="77777777" w:rsidR="00EB38A7" w:rsidRPr="004D084E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en-GB"/>
        </w:rPr>
      </w:pPr>
      <w:r w:rsidRPr="004D084E">
        <w:rPr>
          <w:rFonts w:cstheme="majorBidi"/>
          <w:bCs/>
          <w:szCs w:val="24"/>
          <w:lang w:val="en-GB"/>
        </w:rPr>
        <w:t>Private Bag 3105, Hamilton 3240, New Zealand</w:t>
      </w:r>
    </w:p>
    <w:p w14:paraId="2C5FC567" w14:textId="77777777" w:rsidR="00EB38A7" w:rsidRPr="00E204E9" w:rsidRDefault="00EB38A7" w:rsidP="00E75BEA">
      <w:pPr>
        <w:spacing w:line="240" w:lineRule="auto"/>
        <w:jc w:val="center"/>
        <w:rPr>
          <w:rFonts w:cstheme="majorBidi"/>
          <w:bCs/>
          <w:szCs w:val="24"/>
          <w:shd w:val="clear" w:color="auto" w:fill="FFFFFF"/>
          <w:lang w:val="fr-FR"/>
        </w:rPr>
      </w:pPr>
      <w:r w:rsidRPr="00E204E9">
        <w:rPr>
          <w:rFonts w:cstheme="majorBidi"/>
          <w:bCs/>
          <w:szCs w:val="24"/>
          <w:lang w:val="fr-FR"/>
        </w:rPr>
        <w:t xml:space="preserve">Email: </w:t>
      </w:r>
      <w:hyperlink r:id="rId8" w:history="1">
        <w:r w:rsidRPr="00E204E9">
          <w:rPr>
            <w:rStyle w:val="Hyperlink"/>
            <w:rFonts w:cstheme="majorBidi"/>
            <w:bCs/>
            <w:color w:val="auto"/>
            <w:szCs w:val="24"/>
            <w:shd w:val="clear" w:color="auto" w:fill="FFFFFF"/>
            <w:lang w:val="fr-FR"/>
          </w:rPr>
          <w:t>ngocminh@gmail.com</w:t>
        </w:r>
      </w:hyperlink>
    </w:p>
    <w:p w14:paraId="7124C5F3" w14:textId="77777777" w:rsidR="00EB38A7" w:rsidRPr="00E204E9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fr-FR"/>
        </w:rPr>
      </w:pPr>
    </w:p>
    <w:p w14:paraId="2ACAEAB3" w14:textId="77777777" w:rsidR="00EB38A7" w:rsidRPr="00E204E9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204E9">
        <w:rPr>
          <w:rFonts w:ascii="Times New Roman" w:hAnsi="Times New Roman" w:cs="Times New Roman"/>
          <w:b/>
          <w:bCs/>
          <w:sz w:val="24"/>
          <w:szCs w:val="24"/>
          <w:lang w:val="fr-FR"/>
        </w:rPr>
        <w:t>Michael P. Cameron</w:t>
      </w:r>
    </w:p>
    <w:p w14:paraId="459A8C66" w14:textId="77777777" w:rsidR="00EB38A7" w:rsidRPr="004D084E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D084E">
        <w:rPr>
          <w:rFonts w:asciiTheme="majorBidi" w:hAnsiTheme="majorBidi" w:cstheme="majorBidi"/>
          <w:bCs/>
          <w:sz w:val="24"/>
          <w:szCs w:val="24"/>
          <w:lang w:val="en-GB"/>
        </w:rPr>
        <w:t>School of Accounting, Finance and Economics</w:t>
      </w:r>
      <w:r w:rsidRPr="004D08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50907CF" w14:textId="77777777" w:rsidR="00EB38A7" w:rsidRPr="004D084E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D084E">
        <w:rPr>
          <w:rFonts w:ascii="Times New Roman" w:hAnsi="Times New Roman" w:cs="Times New Roman"/>
          <w:sz w:val="24"/>
          <w:szCs w:val="24"/>
          <w:lang w:val="en-GB"/>
        </w:rPr>
        <w:t xml:space="preserve">and National Institute of Demographic and Economic Analysis </w:t>
      </w:r>
      <w:r w:rsidRPr="004D084E">
        <w:rPr>
          <w:rFonts w:asciiTheme="majorBidi" w:hAnsiTheme="majorBidi" w:cstheme="majorBidi"/>
          <w:bCs/>
          <w:sz w:val="24"/>
          <w:szCs w:val="24"/>
          <w:lang w:val="en-GB"/>
        </w:rPr>
        <w:t>(NIDEA)</w:t>
      </w:r>
    </w:p>
    <w:p w14:paraId="567D7979" w14:textId="77777777" w:rsidR="00EB38A7" w:rsidRPr="004D084E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University of Waikato</w:t>
      </w:r>
    </w:p>
    <w:p w14:paraId="26A9F8AA" w14:textId="77777777" w:rsidR="00EB38A7" w:rsidRPr="004D084E" w:rsidRDefault="00EB38A7" w:rsidP="00E75BEA">
      <w:pPr>
        <w:spacing w:line="24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cstheme="majorBidi"/>
          <w:bCs/>
          <w:szCs w:val="24"/>
          <w:lang w:val="en-GB"/>
        </w:rPr>
        <w:t xml:space="preserve">Email: </w:t>
      </w:r>
      <w:hyperlink r:id="rId9" w:history="1">
        <w:r w:rsidRPr="004D084E">
          <w:rPr>
            <w:rStyle w:val="Hyperlink"/>
            <w:rFonts w:ascii="Times New Roman" w:hAnsi="Times New Roman" w:cs="Times New Roman"/>
            <w:color w:val="auto"/>
            <w:szCs w:val="24"/>
            <w:lang w:val="en-GB"/>
          </w:rPr>
          <w:t>michael.cameron@waikato.ac.nz</w:t>
        </w:r>
      </w:hyperlink>
    </w:p>
    <w:p w14:paraId="61B56633" w14:textId="77777777" w:rsidR="00EB38A7" w:rsidRPr="004D084E" w:rsidRDefault="00EB38A7" w:rsidP="00E75BEA">
      <w:pPr>
        <w:spacing w:line="240" w:lineRule="auto"/>
        <w:jc w:val="center"/>
        <w:rPr>
          <w:rFonts w:cstheme="majorBidi"/>
          <w:bCs/>
          <w:szCs w:val="24"/>
          <w:lang w:val="en-GB"/>
        </w:rPr>
      </w:pPr>
    </w:p>
    <w:p w14:paraId="071EA792" w14:textId="77777777" w:rsidR="00EB38A7" w:rsidRPr="004D084E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4D084E">
        <w:rPr>
          <w:rFonts w:ascii="Times New Roman" w:hAnsi="Times New Roman" w:cs="Times New Roman"/>
          <w:b/>
          <w:bCs/>
          <w:sz w:val="24"/>
          <w:szCs w:val="24"/>
          <w:lang w:val="en-GB"/>
        </w:rPr>
        <w:t>Jacques</w:t>
      </w:r>
      <w:r w:rsidRPr="004D084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Poot</w:t>
      </w:r>
    </w:p>
    <w:p w14:paraId="3E0F34E0" w14:textId="77777777" w:rsidR="00EB38A7" w:rsidRPr="004D084E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4D084E">
        <w:rPr>
          <w:rFonts w:asciiTheme="majorBidi" w:hAnsiTheme="majorBidi" w:cstheme="majorBidi"/>
          <w:bCs/>
          <w:sz w:val="24"/>
          <w:szCs w:val="24"/>
          <w:lang w:val="en-GB"/>
        </w:rPr>
        <w:t>National Institute of Demographic and Economic Analysis (NIDEA)</w:t>
      </w:r>
    </w:p>
    <w:p w14:paraId="686C4EFD" w14:textId="77777777" w:rsidR="00EB38A7" w:rsidRPr="00E204E9" w:rsidRDefault="00EB38A7" w:rsidP="00E75BEA">
      <w:pPr>
        <w:pStyle w:val="PlainText"/>
        <w:tabs>
          <w:tab w:val="left" w:pos="284"/>
          <w:tab w:val="left" w:pos="426"/>
        </w:tabs>
        <w:jc w:val="center"/>
        <w:rPr>
          <w:rFonts w:cstheme="majorBidi"/>
          <w:bCs/>
          <w:szCs w:val="24"/>
          <w:lang w:val="nl-NL"/>
        </w:rPr>
      </w:pPr>
      <w:r w:rsidRPr="00E204E9">
        <w:rPr>
          <w:rFonts w:asciiTheme="majorBidi" w:hAnsiTheme="majorBidi" w:cstheme="majorBidi"/>
          <w:bCs/>
          <w:sz w:val="24"/>
          <w:szCs w:val="24"/>
          <w:lang w:val="nl-NL"/>
        </w:rPr>
        <w:t>University of Waikato</w:t>
      </w:r>
    </w:p>
    <w:p w14:paraId="1E1F230B" w14:textId="7F17DDD3" w:rsidR="00EB38A7" w:rsidRPr="00E204E9" w:rsidRDefault="00EB38A7" w:rsidP="00C52641">
      <w:pPr>
        <w:spacing w:line="240" w:lineRule="auto"/>
        <w:jc w:val="center"/>
        <w:rPr>
          <w:rFonts w:cstheme="majorBidi"/>
          <w:bCs/>
          <w:szCs w:val="24"/>
          <w:lang w:val="nl-NL"/>
        </w:rPr>
      </w:pPr>
      <w:r w:rsidRPr="00E204E9">
        <w:rPr>
          <w:rFonts w:cstheme="majorBidi"/>
          <w:bCs/>
          <w:szCs w:val="24"/>
          <w:lang w:val="nl-NL"/>
        </w:rPr>
        <w:t xml:space="preserve">and </w:t>
      </w:r>
      <w:r w:rsidR="00C52641" w:rsidRPr="00E204E9">
        <w:rPr>
          <w:lang w:val="nl-NL"/>
        </w:rPr>
        <w:t>Vrije Universiteit</w:t>
      </w:r>
      <w:r w:rsidRPr="00E204E9">
        <w:rPr>
          <w:lang w:val="nl-NL"/>
        </w:rPr>
        <w:t xml:space="preserve"> Amsterdam</w:t>
      </w:r>
    </w:p>
    <w:p w14:paraId="2B901C63" w14:textId="77777777" w:rsidR="00EB38A7" w:rsidRPr="004D084E" w:rsidRDefault="00EB38A7" w:rsidP="00C52641">
      <w:pPr>
        <w:spacing w:line="240" w:lineRule="auto"/>
        <w:jc w:val="center"/>
        <w:rPr>
          <w:b/>
          <w:bCs/>
          <w:szCs w:val="24"/>
          <w:lang w:val="en-GB"/>
        </w:rPr>
      </w:pPr>
      <w:r w:rsidRPr="004D084E">
        <w:rPr>
          <w:rFonts w:cstheme="majorBidi"/>
          <w:bCs/>
          <w:szCs w:val="24"/>
          <w:lang w:val="en-GB"/>
        </w:rPr>
        <w:t xml:space="preserve">Email: </w:t>
      </w:r>
      <w:hyperlink r:id="rId10" w:history="1">
        <w:r w:rsidRPr="004D084E">
          <w:rPr>
            <w:rStyle w:val="Hyperlink"/>
            <w:rFonts w:cstheme="majorBidi"/>
            <w:bCs/>
            <w:color w:val="auto"/>
            <w:szCs w:val="24"/>
            <w:lang w:val="en-GB"/>
          </w:rPr>
          <w:t>jacques.poot@waikato.ac.nz</w:t>
        </w:r>
      </w:hyperlink>
    </w:p>
    <w:p w14:paraId="529DCF11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0B1D957F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08FCE635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69183427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1E13451C" w14:textId="77777777" w:rsidR="00F14FF1" w:rsidRPr="004D084E" w:rsidRDefault="00F14FF1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644EF260" w14:textId="77777777" w:rsidR="00F14FF1" w:rsidRPr="004D084E" w:rsidRDefault="00F14FF1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123C6A9E" w14:textId="77777777" w:rsidR="00C74DA9" w:rsidRDefault="00C74DA9" w:rsidP="00EB38A7">
      <w:pPr>
        <w:spacing w:line="300" w:lineRule="auto"/>
        <w:jc w:val="center"/>
        <w:rPr>
          <w:b/>
          <w:bCs/>
          <w:szCs w:val="24"/>
          <w:lang w:val="en-GB"/>
        </w:rPr>
      </w:pPr>
    </w:p>
    <w:p w14:paraId="43B53759" w14:textId="75C4995D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  <w:r w:rsidRPr="004D084E">
        <w:rPr>
          <w:b/>
          <w:bCs/>
          <w:szCs w:val="24"/>
          <w:lang w:val="en-GB"/>
        </w:rPr>
        <w:t>Abstract</w:t>
      </w:r>
    </w:p>
    <w:p w14:paraId="1A192F72" w14:textId="77777777" w:rsidR="00EB38A7" w:rsidRPr="004D084E" w:rsidRDefault="00EB38A7" w:rsidP="00EB38A7">
      <w:pPr>
        <w:spacing w:line="300" w:lineRule="auto"/>
        <w:jc w:val="center"/>
        <w:rPr>
          <w:b/>
          <w:bCs/>
          <w:sz w:val="12"/>
          <w:szCs w:val="12"/>
          <w:lang w:val="en-GB"/>
        </w:rPr>
      </w:pPr>
    </w:p>
    <w:p w14:paraId="533DE149" w14:textId="73911780" w:rsidR="00EB38A7" w:rsidRPr="004D084E" w:rsidRDefault="00EB38A7" w:rsidP="00EB38A7">
      <w:pPr>
        <w:spacing w:line="300" w:lineRule="auto"/>
        <w:jc w:val="both"/>
        <w:rPr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We conduct </w:t>
      </w:r>
      <w:r w:rsidR="0071115E" w:rsidRPr="004D084E">
        <w:rPr>
          <w:rFonts w:ascii="Times New Roman" w:hAnsi="Times New Roman" w:cs="Times New Roman"/>
          <w:szCs w:val="24"/>
          <w:lang w:val="en-GB"/>
        </w:rPr>
        <w:t xml:space="preserve">the first </w:t>
      </w:r>
      <w:r w:rsidRPr="004D084E">
        <w:rPr>
          <w:rFonts w:ascii="Times New Roman" w:hAnsi="Times New Roman" w:cs="Times New Roman"/>
          <w:szCs w:val="24"/>
          <w:lang w:val="en-GB"/>
        </w:rPr>
        <w:t>contingent valuation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 investigation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of the preference </w:t>
      </w:r>
      <w:r w:rsidR="009E2181" w:rsidRPr="004D084E">
        <w:rPr>
          <w:rFonts w:ascii="Times New Roman" w:hAnsi="Times New Roman" w:cs="Times New Roman"/>
          <w:szCs w:val="24"/>
          <w:lang w:val="en-GB"/>
        </w:rPr>
        <w:t xml:space="preserve">of international migrants </w:t>
      </w:r>
      <w:r w:rsidR="00CC077B">
        <w:rPr>
          <w:rFonts w:ascii="Times New Roman" w:hAnsi="Times New Roman" w:cs="Times New Roman"/>
          <w:szCs w:val="24"/>
          <w:lang w:val="en-GB"/>
        </w:rPr>
        <w:t xml:space="preserve">for better home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country institutional quality. Our study uses contingent valuation questions </w:t>
      </w:r>
      <w:r w:rsidR="00CA73F2" w:rsidRPr="004D084E">
        <w:rPr>
          <w:rFonts w:ascii="Times New Roman" w:hAnsi="Times New Roman" w:cs="Times New Roman"/>
          <w:szCs w:val="24"/>
          <w:lang w:val="en-GB"/>
        </w:rPr>
        <w:t xml:space="preserve">in a survey 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of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D51D35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="00660680" w:rsidRPr="004D084E">
        <w:rPr>
          <w:rFonts w:ascii="Times New Roman" w:hAnsi="Times New Roman" w:cs="Times New Roman"/>
          <w:szCs w:val="24"/>
          <w:lang w:val="en-GB"/>
        </w:rPr>
        <w:t>ese migrants living in New Zealand (NZ)</w:t>
      </w:r>
      <w:r w:rsidR="00AE5808">
        <w:rPr>
          <w:rFonts w:ascii="Times New Roman" w:hAnsi="Times New Roman" w:cs="Times New Roman"/>
          <w:szCs w:val="24"/>
          <w:lang w:val="en-GB"/>
        </w:rPr>
        <w:t xml:space="preserve"> in 2016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to establish the compensating differentials that make 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those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migrants indifferent between </w:t>
      </w:r>
      <w:r w:rsidR="008541B0" w:rsidRPr="004D084E">
        <w:rPr>
          <w:rFonts w:ascii="Times New Roman" w:hAnsi="Times New Roman" w:cs="Times New Roman"/>
          <w:szCs w:val="24"/>
          <w:lang w:val="en-GB"/>
        </w:rPr>
        <w:t>residing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and returning to Viet Nam (VN) in hypothetical scenarios. 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We find that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estimated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willingness to pay for an </w:t>
      </w:r>
      <w:r w:rsidR="009217CD" w:rsidRPr="004D084E">
        <w:rPr>
          <w:rFonts w:ascii="Times New Roman" w:hAnsi="Times New Roman" w:cs="Times New Roman"/>
          <w:szCs w:val="24"/>
          <w:lang w:val="en-GB"/>
        </w:rPr>
        <w:t xml:space="preserve">incremental unit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improvement in institutional quality in </w:t>
      </w:r>
      <w:r w:rsidR="00D51D35" w:rsidRPr="00D51D35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is, on average, NZD 79.80 per week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 (approximately</w:t>
      </w:r>
      <w:r w:rsidR="001409AB">
        <w:rPr>
          <w:rFonts w:ascii="Times New Roman" w:hAnsi="Times New Roman" w:cs="Times New Roman"/>
          <w:szCs w:val="24"/>
          <w:lang w:val="en-GB"/>
        </w:rPr>
        <w:t xml:space="preserve"> </w:t>
      </w:r>
      <w:r w:rsidR="008C6A14">
        <w:rPr>
          <w:rFonts w:ascii="Times New Roman" w:hAnsi="Times New Roman" w:cs="Times New Roman"/>
          <w:szCs w:val="24"/>
          <w:lang w:val="en-GB"/>
        </w:rPr>
        <w:t xml:space="preserve">33 </w:t>
      </w:r>
      <w:r w:rsidR="0071115E" w:rsidRPr="004D084E">
        <w:rPr>
          <w:rFonts w:ascii="Times New Roman" w:hAnsi="Times New Roman" w:cs="Times New Roman"/>
          <w:szCs w:val="24"/>
          <w:lang w:val="en-GB"/>
        </w:rPr>
        <w:t>percent</w:t>
      </w:r>
      <w:r w:rsidR="00660680" w:rsidRPr="004D084E">
        <w:rPr>
          <w:rFonts w:ascii="Times New Roman" w:hAnsi="Times New Roman" w:cs="Times New Roman"/>
          <w:szCs w:val="24"/>
          <w:lang w:val="en-GB"/>
        </w:rPr>
        <w:t xml:space="preserve"> of the average weekly wage in </w:t>
      </w:r>
      <w:r w:rsidR="00D51D35" w:rsidRPr="00D51D35">
        <w:rPr>
          <w:rFonts w:ascii="Times New Roman" w:hAnsi="Times New Roman" w:cs="Times New Roman"/>
          <w:szCs w:val="24"/>
          <w:lang w:val="en-GB"/>
        </w:rPr>
        <w:t>Viet Nam</w:t>
      </w:r>
      <w:r w:rsidR="00AE5808">
        <w:rPr>
          <w:rFonts w:ascii="Times New Roman" w:hAnsi="Times New Roman" w:cs="Times New Roman"/>
          <w:szCs w:val="24"/>
          <w:lang w:val="en-GB"/>
        </w:rPr>
        <w:t xml:space="preserve"> for the same period</w:t>
      </w:r>
      <w:r w:rsidR="00660680" w:rsidRPr="004D084E">
        <w:rPr>
          <w:rFonts w:ascii="Times New Roman" w:hAnsi="Times New Roman" w:cs="Times New Roman"/>
          <w:szCs w:val="24"/>
          <w:lang w:val="en-GB"/>
        </w:rPr>
        <w:t>)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, and positively associated with the respondents’ age and the perceived importance of institutional quality in </w:t>
      </w:r>
      <w:r w:rsidR="00D51D35" w:rsidRPr="00D51D35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to their repatriation intentions. This study underscores the importance of institution</w:t>
      </w:r>
      <w:r w:rsidR="0007563B" w:rsidRPr="004D084E">
        <w:rPr>
          <w:rFonts w:ascii="Times New Roman" w:hAnsi="Times New Roman" w:cs="Times New Roman"/>
          <w:szCs w:val="24"/>
          <w:lang w:val="en-GB"/>
        </w:rPr>
        <w:t>al quality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to migration decisions by showing that migrants are willing to trade-off part of their</w:t>
      </w:r>
      <w:r w:rsidR="003528BE">
        <w:rPr>
          <w:rFonts w:ascii="Times New Roman" w:hAnsi="Times New Roman" w:cs="Times New Roman"/>
          <w:szCs w:val="24"/>
          <w:lang w:val="en-GB"/>
        </w:rPr>
        <w:t xml:space="preserve"> regular income for better home </w:t>
      </w:r>
      <w:r w:rsidRPr="004D084E">
        <w:rPr>
          <w:rFonts w:ascii="Times New Roman" w:hAnsi="Times New Roman" w:cs="Times New Roman"/>
          <w:szCs w:val="24"/>
          <w:lang w:val="en-GB"/>
        </w:rPr>
        <w:t>country institutional quality.</w:t>
      </w:r>
    </w:p>
    <w:p w14:paraId="07F88231" w14:textId="77777777" w:rsidR="00EB38A7" w:rsidRPr="004D084E" w:rsidRDefault="00EB38A7" w:rsidP="00EB38A7">
      <w:pPr>
        <w:spacing w:line="300" w:lineRule="auto"/>
        <w:jc w:val="both"/>
        <w:rPr>
          <w:szCs w:val="24"/>
          <w:lang w:val="en-GB"/>
        </w:rPr>
      </w:pPr>
    </w:p>
    <w:p w14:paraId="63A74F04" w14:textId="77777777" w:rsidR="00EB38A7" w:rsidRPr="004D084E" w:rsidRDefault="00EB38A7" w:rsidP="00EB38A7">
      <w:pPr>
        <w:spacing w:line="300" w:lineRule="auto"/>
        <w:jc w:val="both"/>
        <w:rPr>
          <w:rFonts w:cstheme="majorBidi"/>
          <w:szCs w:val="24"/>
          <w:lang w:val="en-GB"/>
        </w:rPr>
      </w:pPr>
    </w:p>
    <w:p w14:paraId="10D6C85A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  <w:r w:rsidRPr="004D084E">
        <w:rPr>
          <w:b/>
          <w:bCs/>
          <w:szCs w:val="24"/>
          <w:lang w:val="en-GB"/>
        </w:rPr>
        <w:t>Keywords</w:t>
      </w:r>
    </w:p>
    <w:p w14:paraId="1AD0CCA2" w14:textId="77777777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return migration</w:t>
      </w:r>
    </w:p>
    <w:p w14:paraId="57473592" w14:textId="77777777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institutional quality</w:t>
      </w:r>
    </w:p>
    <w:p w14:paraId="61DF1042" w14:textId="77777777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contingent valuation method</w:t>
      </w:r>
    </w:p>
    <w:p w14:paraId="457F953C" w14:textId="77777777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willingness to pay</w:t>
      </w:r>
    </w:p>
    <w:p w14:paraId="4A8CEFCB" w14:textId="77777777" w:rsidR="00EB38A7" w:rsidRPr="004D084E" w:rsidRDefault="00EB38A7" w:rsidP="00EB38A7">
      <w:pPr>
        <w:spacing w:line="300" w:lineRule="auto"/>
        <w:jc w:val="center"/>
        <w:rPr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Viet Nam</w:t>
      </w:r>
    </w:p>
    <w:p w14:paraId="1BD82626" w14:textId="77777777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</w:p>
    <w:p w14:paraId="4E3C4CC1" w14:textId="77777777" w:rsidR="00F14FF1" w:rsidRPr="004D084E" w:rsidRDefault="00F14FF1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</w:p>
    <w:p w14:paraId="7A5976DB" w14:textId="77777777" w:rsidR="00EB38A7" w:rsidRPr="004D084E" w:rsidRDefault="00EB38A7" w:rsidP="00EB38A7">
      <w:pPr>
        <w:spacing w:line="300" w:lineRule="auto"/>
        <w:jc w:val="center"/>
        <w:rPr>
          <w:b/>
          <w:bCs/>
          <w:szCs w:val="24"/>
          <w:lang w:val="en-GB"/>
        </w:rPr>
      </w:pPr>
      <w:r w:rsidRPr="004D084E">
        <w:rPr>
          <w:b/>
          <w:bCs/>
          <w:szCs w:val="24"/>
          <w:lang w:val="en-GB"/>
        </w:rPr>
        <w:t>JEL Classification</w:t>
      </w:r>
    </w:p>
    <w:p w14:paraId="55319B3B" w14:textId="066E62DC" w:rsidR="00EB38A7" w:rsidRPr="004D084E" w:rsidRDefault="00EB38A7" w:rsidP="00EB38A7">
      <w:pPr>
        <w:spacing w:line="30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F22; </w:t>
      </w:r>
      <w:r w:rsidR="00136399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>O15</w:t>
      </w:r>
      <w:r w:rsidR="00BF405B">
        <w:rPr>
          <w:rFonts w:ascii="Times New Roman" w:hAnsi="Times New Roman" w:cs="Times New Roman"/>
          <w:szCs w:val="24"/>
          <w:lang w:val="en-GB"/>
        </w:rPr>
        <w:t>;</w:t>
      </w:r>
      <w:r w:rsidR="00136399">
        <w:rPr>
          <w:rFonts w:ascii="Times New Roman" w:hAnsi="Times New Roman" w:cs="Times New Roman"/>
          <w:szCs w:val="24"/>
          <w:lang w:val="en-GB"/>
        </w:rPr>
        <w:t xml:space="preserve"> </w:t>
      </w:r>
      <w:bookmarkStart w:id="0" w:name="_GoBack"/>
      <w:bookmarkEnd w:id="0"/>
      <w:r w:rsidR="00BF405B">
        <w:rPr>
          <w:rFonts w:ascii="Times New Roman" w:hAnsi="Times New Roman" w:cs="Times New Roman"/>
          <w:szCs w:val="24"/>
          <w:lang w:val="en-GB"/>
        </w:rPr>
        <w:t xml:space="preserve"> H40</w:t>
      </w:r>
    </w:p>
    <w:p w14:paraId="6B1D0105" w14:textId="77777777" w:rsidR="00EB38A7" w:rsidRPr="004D084E" w:rsidRDefault="00EB38A7" w:rsidP="00EB38A7">
      <w:pPr>
        <w:rPr>
          <w:lang w:val="en-GB"/>
        </w:rPr>
      </w:pPr>
    </w:p>
    <w:p w14:paraId="52BD0DCF" w14:textId="77777777" w:rsidR="00EB38A7" w:rsidRPr="004D084E" w:rsidRDefault="00EB38A7" w:rsidP="00EB38A7">
      <w:pPr>
        <w:jc w:val="center"/>
        <w:rPr>
          <w:b/>
          <w:bCs/>
          <w:sz w:val="22"/>
          <w:lang w:val="en-GB"/>
        </w:rPr>
      </w:pPr>
      <w:r w:rsidRPr="004D084E">
        <w:rPr>
          <w:b/>
          <w:bCs/>
          <w:sz w:val="22"/>
          <w:lang w:val="en-GB"/>
        </w:rPr>
        <w:t>Acknowledgements</w:t>
      </w:r>
    </w:p>
    <w:p w14:paraId="39C794BE" w14:textId="77777777" w:rsidR="00F14FF1" w:rsidRPr="004D084E" w:rsidRDefault="00EB38A7" w:rsidP="00EB38A7">
      <w:pPr>
        <w:spacing w:line="240" w:lineRule="auto"/>
        <w:jc w:val="center"/>
        <w:rPr>
          <w:rFonts w:ascii="Times New Roman" w:hAnsi="Times New Roman" w:cs="Times New Roman"/>
          <w:sz w:val="22"/>
          <w:lang w:val="en-GB" w:eastAsia="en-NZ"/>
        </w:rPr>
      </w:pPr>
      <w:r w:rsidRPr="004D084E">
        <w:rPr>
          <w:rFonts w:ascii="Times New Roman" w:hAnsi="Times New Roman" w:cs="Times New Roman"/>
          <w:sz w:val="22"/>
          <w:lang w:val="en-GB" w:eastAsia="en-NZ"/>
        </w:rPr>
        <w:t>This research is supported by the New Zealand Aid Program</w:t>
      </w:r>
    </w:p>
    <w:p w14:paraId="38A20EFF" w14:textId="77777777" w:rsidR="00EB38A7" w:rsidRPr="004D084E" w:rsidRDefault="00EB38A7" w:rsidP="00EB38A7">
      <w:pPr>
        <w:spacing w:line="240" w:lineRule="auto"/>
        <w:jc w:val="center"/>
        <w:rPr>
          <w:rFonts w:ascii="Times New Roman" w:hAnsi="Times New Roman" w:cs="Times New Roman"/>
          <w:sz w:val="22"/>
          <w:lang w:val="en-GB" w:eastAsia="en-NZ"/>
        </w:rPr>
      </w:pPr>
      <w:r w:rsidRPr="004D084E">
        <w:rPr>
          <w:rFonts w:ascii="Times New Roman" w:hAnsi="Times New Roman" w:cs="Times New Roman"/>
          <w:sz w:val="22"/>
          <w:lang w:val="en-GB" w:eastAsia="en-NZ"/>
        </w:rPr>
        <w:t>in the form of a New Zealand Scholarship granted to the first author.</w:t>
      </w:r>
    </w:p>
    <w:p w14:paraId="3C261B89" w14:textId="77777777" w:rsidR="00EB38A7" w:rsidRPr="004D084E" w:rsidRDefault="00EB38A7">
      <w:pPr>
        <w:spacing w:after="160" w:line="259" w:lineRule="auto"/>
        <w:rPr>
          <w:rFonts w:ascii="Times New Roman" w:hAnsi="Times New Roman" w:cs="Times New Roman"/>
          <w:b/>
          <w:szCs w:val="24"/>
          <w:lang w:val="en-GB"/>
        </w:rPr>
      </w:pPr>
      <w:r w:rsidRPr="004D084E">
        <w:rPr>
          <w:rFonts w:ascii="Times New Roman" w:hAnsi="Times New Roman" w:cs="Times New Roman"/>
          <w:b/>
          <w:szCs w:val="24"/>
          <w:lang w:val="en-GB"/>
        </w:rPr>
        <w:br w:type="page"/>
      </w:r>
    </w:p>
    <w:p w14:paraId="1CFB3AE0" w14:textId="42F10381" w:rsidR="00044EE1" w:rsidRPr="004D084E" w:rsidRDefault="00886AC4" w:rsidP="00886AC4">
      <w:pPr>
        <w:pStyle w:val="Heading1"/>
        <w:spacing w:before="0" w:line="30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lastRenderedPageBreak/>
        <w:t xml:space="preserve">1. </w:t>
      </w:r>
      <w:r w:rsidR="003D6319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Introduction</w:t>
      </w:r>
    </w:p>
    <w:p w14:paraId="6D0E70A0" w14:textId="77777777" w:rsidR="003215C8" w:rsidRPr="004D084E" w:rsidRDefault="003215C8" w:rsidP="00970A09">
      <w:pPr>
        <w:spacing w:line="300" w:lineRule="auto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E038E61" w14:textId="03C54FBC" w:rsidR="00CA59C3" w:rsidRPr="004D084E" w:rsidRDefault="006A47C6" w:rsidP="00147BFE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I</w:t>
      </w:r>
      <w:r w:rsidR="00983BF7" w:rsidRPr="004D084E">
        <w:rPr>
          <w:rFonts w:ascii="Times New Roman" w:hAnsi="Times New Roman" w:cs="Times New Roman"/>
          <w:szCs w:val="24"/>
          <w:lang w:val="en-GB"/>
        </w:rPr>
        <w:t xml:space="preserve">nstitutions </w:t>
      </w:r>
      <w:r w:rsidRPr="004D084E">
        <w:rPr>
          <w:rFonts w:ascii="Times New Roman" w:hAnsi="Times New Roman" w:cs="Times New Roman"/>
          <w:szCs w:val="24"/>
          <w:lang w:val="en-GB"/>
        </w:rPr>
        <w:t>of various types have been recognized as important driver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of </w:t>
      </w:r>
      <w:r w:rsidR="00C1401D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Pr="004D084E">
        <w:rPr>
          <w:rFonts w:ascii="Times New Roman" w:hAnsi="Times New Roman" w:cs="Times New Roman"/>
          <w:szCs w:val="24"/>
          <w:lang w:val="en-GB"/>
        </w:rPr>
        <w:t>spatial mobility of people. The quality of institutions not only shape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emigration (</w:t>
      </w:r>
      <w:proofErr w:type="spellStart"/>
      <w:r w:rsidRPr="004D084E">
        <w:rPr>
          <w:rFonts w:ascii="Times New Roman" w:hAnsi="Times New Roman" w:cs="Times New Roman"/>
          <w:szCs w:val="24"/>
          <w:lang w:val="en-GB"/>
        </w:rPr>
        <w:t>Baudassé</w:t>
      </w:r>
      <w:proofErr w:type="spellEnd"/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5F09F1" w:rsidRPr="005F09F1">
        <w:rPr>
          <w:rFonts w:ascii="Times New Roman" w:hAnsi="Times New Roman" w:cs="Times New Roman"/>
          <w:i/>
          <w:szCs w:val="24"/>
          <w:lang w:val="en-GB"/>
        </w:rPr>
        <w:t>et al.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147BFE" w:rsidRPr="004D084E">
        <w:rPr>
          <w:rFonts w:ascii="Times New Roman" w:hAnsi="Times New Roman" w:cs="Times New Roman"/>
          <w:szCs w:val="24"/>
          <w:lang w:val="en-GB"/>
        </w:rPr>
        <w:t>2018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), but also 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matters for</w:t>
      </w:r>
      <w:r w:rsidR="00CD580F" w:rsidRPr="004D084E">
        <w:rPr>
          <w:rFonts w:ascii="Times New Roman" w:hAnsi="Times New Roman" w:cs="Times New Roman"/>
          <w:szCs w:val="24"/>
          <w:lang w:val="en-GB"/>
        </w:rPr>
        <w:t xml:space="preserve"> return migration decisions (Tran </w:t>
      </w:r>
      <w:r w:rsidR="00A4661B" w:rsidRPr="005F09F1">
        <w:rPr>
          <w:rFonts w:ascii="Times New Roman" w:hAnsi="Times New Roman" w:cs="Times New Roman"/>
          <w:i/>
          <w:szCs w:val="24"/>
          <w:lang w:val="en-GB"/>
        </w:rPr>
        <w:t>e</w:t>
      </w:r>
      <w:r w:rsidR="00CD580F" w:rsidRPr="005F09F1">
        <w:rPr>
          <w:rFonts w:ascii="Times New Roman" w:hAnsi="Times New Roman" w:cs="Times New Roman"/>
          <w:i/>
          <w:szCs w:val="24"/>
          <w:lang w:val="en-GB"/>
        </w:rPr>
        <w:t>t al.</w:t>
      </w:r>
      <w:r w:rsidR="00CD580F" w:rsidRPr="004D084E">
        <w:rPr>
          <w:rFonts w:ascii="Times New Roman" w:hAnsi="Times New Roman" w:cs="Times New Roman"/>
          <w:szCs w:val="24"/>
          <w:lang w:val="en-GB"/>
        </w:rPr>
        <w:t xml:space="preserve"> 2018</w:t>
      </w:r>
      <w:r w:rsidR="009252EE" w:rsidRPr="004D084E">
        <w:rPr>
          <w:rFonts w:ascii="Times New Roman" w:hAnsi="Times New Roman" w:cs="Times New Roman"/>
          <w:szCs w:val="24"/>
          <w:lang w:val="en-GB"/>
        </w:rPr>
        <w:t>a</w:t>
      </w:r>
      <w:r w:rsidR="00CD580F" w:rsidRPr="004D084E">
        <w:rPr>
          <w:rFonts w:ascii="Times New Roman" w:hAnsi="Times New Roman" w:cs="Times New Roman"/>
          <w:szCs w:val="24"/>
          <w:lang w:val="en-GB"/>
        </w:rPr>
        <w:t xml:space="preserve">) and return migration intentions (Tran </w:t>
      </w:r>
      <w:r w:rsidR="005F09F1" w:rsidRPr="005F09F1">
        <w:rPr>
          <w:rFonts w:ascii="Times New Roman" w:hAnsi="Times New Roman" w:cs="Times New Roman"/>
          <w:i/>
          <w:szCs w:val="24"/>
          <w:lang w:val="en-GB"/>
        </w:rPr>
        <w:t>et al.</w:t>
      </w:r>
      <w:r w:rsidR="00CD580F" w:rsidRPr="004D084E">
        <w:rPr>
          <w:rFonts w:ascii="Times New Roman" w:hAnsi="Times New Roman" w:cs="Times New Roman"/>
          <w:szCs w:val="24"/>
          <w:lang w:val="en-GB"/>
        </w:rPr>
        <w:t xml:space="preserve"> 201</w:t>
      </w:r>
      <w:r w:rsidR="009252EE" w:rsidRPr="004D084E">
        <w:rPr>
          <w:rFonts w:ascii="Times New Roman" w:hAnsi="Times New Roman" w:cs="Times New Roman"/>
          <w:szCs w:val="24"/>
          <w:lang w:val="en-GB"/>
        </w:rPr>
        <w:t>8b</w:t>
      </w:r>
      <w:r w:rsidR="00CD580F" w:rsidRPr="004D084E">
        <w:rPr>
          <w:rFonts w:ascii="Times New Roman" w:hAnsi="Times New Roman" w:cs="Times New Roman"/>
          <w:szCs w:val="24"/>
          <w:lang w:val="en-GB"/>
        </w:rPr>
        <w:t>)</w:t>
      </w:r>
      <w:r w:rsidR="00096F8B" w:rsidRPr="004D084E">
        <w:rPr>
          <w:rFonts w:ascii="Times New Roman" w:hAnsi="Times New Roman" w:cs="Times New Roman"/>
          <w:szCs w:val="24"/>
          <w:lang w:val="en-GB"/>
        </w:rPr>
        <w:t xml:space="preserve">. The persistent gap in institutional quality between countries </w:t>
      </w:r>
      <w:r w:rsidR="00147BFE" w:rsidRPr="004D084E">
        <w:rPr>
          <w:rFonts w:ascii="Times New Roman" w:hAnsi="Times New Roman" w:cs="Times New Roman"/>
          <w:szCs w:val="24"/>
          <w:lang w:val="en-GB"/>
        </w:rPr>
        <w:t>encourages individuals and families</w:t>
      </w:r>
      <w:r w:rsidR="00096F8B" w:rsidRPr="004D084E">
        <w:rPr>
          <w:rFonts w:ascii="Times New Roman" w:hAnsi="Times New Roman" w:cs="Times New Roman"/>
          <w:szCs w:val="24"/>
          <w:lang w:val="en-GB"/>
        </w:rPr>
        <w:t xml:space="preserve"> to emigrate from countries governed by weak institutions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,</w:t>
      </w:r>
      <w:r w:rsidR="00096F8B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C471D7" w:rsidRPr="004D084E">
        <w:rPr>
          <w:rFonts w:ascii="Times New Roman" w:hAnsi="Times New Roman" w:cs="Times New Roman"/>
          <w:szCs w:val="24"/>
          <w:lang w:val="en-GB"/>
        </w:rPr>
        <w:t xml:space="preserve">and steers them to 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destination</w:t>
      </w:r>
      <w:r w:rsidR="00096F8B" w:rsidRPr="004D084E">
        <w:rPr>
          <w:rFonts w:ascii="Times New Roman" w:hAnsi="Times New Roman" w:cs="Times New Roman"/>
          <w:szCs w:val="24"/>
          <w:lang w:val="en-GB"/>
        </w:rPr>
        <w:t xml:space="preserve">s with 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advanced</w:t>
      </w:r>
      <w:r w:rsidR="00096F8B" w:rsidRPr="004D084E">
        <w:rPr>
          <w:rFonts w:ascii="Times New Roman" w:hAnsi="Times New Roman" w:cs="Times New Roman"/>
          <w:szCs w:val="24"/>
          <w:lang w:val="en-GB"/>
        </w:rPr>
        <w:t xml:space="preserve"> institutions</w:t>
      </w:r>
      <w:r w:rsidR="00C1401D" w:rsidRPr="004D084E">
        <w:rPr>
          <w:rFonts w:ascii="Times New Roman" w:hAnsi="Times New Roman" w:cs="Times New Roman"/>
          <w:szCs w:val="24"/>
          <w:lang w:val="en-GB"/>
        </w:rPr>
        <w:t>.</w:t>
      </w:r>
      <w:r w:rsidR="00644422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8352FB" w:rsidRPr="004D084E">
        <w:rPr>
          <w:rFonts w:ascii="Times New Roman" w:hAnsi="Times New Roman" w:cs="Times New Roman"/>
          <w:szCs w:val="24"/>
          <w:lang w:val="en-GB"/>
        </w:rPr>
        <w:t>T</w:t>
      </w:r>
      <w:r w:rsidR="00B34BE4" w:rsidRPr="004D084E">
        <w:rPr>
          <w:rFonts w:ascii="Times New Roman" w:hAnsi="Times New Roman" w:cs="Times New Roman"/>
          <w:szCs w:val="24"/>
          <w:lang w:val="en-GB"/>
        </w:rPr>
        <w:t xml:space="preserve">he literature on the motivations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for </w:t>
      </w:r>
      <w:r w:rsidR="00B34BE4" w:rsidRPr="004D084E">
        <w:rPr>
          <w:rFonts w:ascii="Times New Roman" w:hAnsi="Times New Roman" w:cs="Times New Roman"/>
          <w:szCs w:val="24"/>
          <w:lang w:val="en-GB"/>
        </w:rPr>
        <w:t>return migration argue</w:t>
      </w:r>
      <w:r w:rsidR="002A4192" w:rsidRPr="004D084E">
        <w:rPr>
          <w:rFonts w:ascii="Times New Roman" w:hAnsi="Times New Roman" w:cs="Times New Roman"/>
          <w:szCs w:val="24"/>
          <w:lang w:val="en-GB"/>
        </w:rPr>
        <w:t>s</w:t>
      </w:r>
      <w:r w:rsidR="00B34BE4" w:rsidRPr="004D084E">
        <w:rPr>
          <w:rFonts w:ascii="Times New Roman" w:hAnsi="Times New Roman" w:cs="Times New Roman"/>
          <w:szCs w:val="24"/>
          <w:lang w:val="en-GB"/>
        </w:rPr>
        <w:t xml:space="preserve"> that migrants have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an </w:t>
      </w:r>
      <w:r w:rsidR="00147BFE" w:rsidRPr="004D084E">
        <w:rPr>
          <w:rFonts w:ascii="Times New Roman" w:hAnsi="Times New Roman" w:cs="Times New Roman"/>
          <w:szCs w:val="24"/>
          <w:lang w:val="en-GB"/>
        </w:rPr>
        <w:t xml:space="preserve">intrinsic </w:t>
      </w:r>
      <w:r w:rsidR="00B34BE4" w:rsidRPr="004D084E">
        <w:rPr>
          <w:rFonts w:ascii="Times New Roman" w:hAnsi="Times New Roman" w:cs="Times New Roman"/>
          <w:szCs w:val="24"/>
          <w:lang w:val="en-GB"/>
        </w:rPr>
        <w:t>preference for the home</w:t>
      </w:r>
      <w:r w:rsidR="00F149BA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B34BE4" w:rsidRPr="004D084E">
        <w:rPr>
          <w:rFonts w:ascii="Times New Roman" w:hAnsi="Times New Roman" w:cs="Times New Roman"/>
          <w:szCs w:val="24"/>
          <w:lang w:val="en-GB"/>
        </w:rPr>
        <w:t>country</w:t>
      </w:r>
      <w:r w:rsidR="002A4192" w:rsidRPr="004D084E">
        <w:rPr>
          <w:rFonts w:ascii="Times New Roman" w:hAnsi="Times New Roman" w:cs="Times New Roman"/>
          <w:szCs w:val="24"/>
          <w:lang w:val="en-GB"/>
        </w:rPr>
        <w:t xml:space="preserve">, and </w:t>
      </w:r>
      <w:r w:rsidR="00F179A3" w:rsidRPr="004D084E">
        <w:rPr>
          <w:rFonts w:ascii="Times New Roman" w:hAnsi="Times New Roman" w:cs="Times New Roman"/>
          <w:szCs w:val="24"/>
          <w:lang w:val="en-GB"/>
        </w:rPr>
        <w:t xml:space="preserve">that </w:t>
      </w:r>
      <w:r w:rsidR="002A4192" w:rsidRPr="004D084E">
        <w:rPr>
          <w:rFonts w:ascii="Times New Roman" w:hAnsi="Times New Roman" w:cs="Times New Roman"/>
          <w:szCs w:val="24"/>
          <w:lang w:val="en-GB"/>
        </w:rPr>
        <w:t>positive homeland amenities are strong pull factors influencing return migration decisions</w:t>
      </w:r>
      <w:r w:rsidR="00F94869" w:rsidRPr="004D084E">
        <w:rPr>
          <w:rFonts w:ascii="Times New Roman" w:hAnsi="Times New Roman" w:cs="Times New Roman"/>
          <w:szCs w:val="24"/>
          <w:lang w:val="en-GB"/>
        </w:rPr>
        <w:t xml:space="preserve"> (</w:t>
      </w:r>
      <w:proofErr w:type="spellStart"/>
      <w:r w:rsidR="00F94869" w:rsidRPr="004D084E">
        <w:rPr>
          <w:rFonts w:ascii="Times New Roman" w:hAnsi="Times New Roman" w:cs="Times New Roman"/>
          <w:szCs w:val="24"/>
          <w:lang w:val="en-GB"/>
        </w:rPr>
        <w:t>Gmelch</w:t>
      </w:r>
      <w:proofErr w:type="spellEnd"/>
      <w:r w:rsidR="00F94869" w:rsidRPr="004D084E">
        <w:rPr>
          <w:rFonts w:ascii="Times New Roman" w:hAnsi="Times New Roman" w:cs="Times New Roman"/>
          <w:szCs w:val="24"/>
          <w:lang w:val="en-GB"/>
        </w:rPr>
        <w:t xml:space="preserve"> 1980)</w:t>
      </w:r>
      <w:r w:rsidR="000C4836" w:rsidRPr="004D084E">
        <w:rPr>
          <w:rFonts w:ascii="Times New Roman" w:hAnsi="Times New Roman" w:cs="Times New Roman"/>
          <w:szCs w:val="24"/>
          <w:lang w:val="en-GB"/>
        </w:rPr>
        <w:t xml:space="preserve">. </w:t>
      </w:r>
      <w:r w:rsidR="00644422" w:rsidRPr="004D084E">
        <w:rPr>
          <w:rFonts w:ascii="Times New Roman" w:hAnsi="Times New Roman" w:cs="Times New Roman"/>
          <w:szCs w:val="24"/>
          <w:lang w:val="en-GB"/>
        </w:rPr>
        <w:t xml:space="preserve">Because migrants might gain higher utility from consumption in </w:t>
      </w:r>
      <w:r w:rsidR="00664313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644422" w:rsidRPr="004D084E">
        <w:rPr>
          <w:rFonts w:ascii="Times New Roman" w:hAnsi="Times New Roman" w:cs="Times New Roman"/>
          <w:szCs w:val="24"/>
          <w:lang w:val="en-GB"/>
        </w:rPr>
        <w:t>home countr</w:t>
      </w:r>
      <w:r w:rsidR="00664313" w:rsidRPr="004D084E">
        <w:rPr>
          <w:rFonts w:ascii="Times New Roman" w:hAnsi="Times New Roman" w:cs="Times New Roman"/>
          <w:szCs w:val="24"/>
          <w:lang w:val="en-GB"/>
        </w:rPr>
        <w:t>y</w:t>
      </w:r>
      <w:r w:rsidR="00644422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147BFE" w:rsidRPr="004D084E">
        <w:rPr>
          <w:rFonts w:ascii="Times New Roman" w:hAnsi="Times New Roman" w:cs="Times New Roman"/>
          <w:szCs w:val="24"/>
          <w:lang w:val="en-GB"/>
        </w:rPr>
        <w:t xml:space="preserve">some </w:t>
      </w:r>
      <w:r w:rsidR="00644422" w:rsidRPr="004D084E">
        <w:rPr>
          <w:rFonts w:ascii="Times New Roman" w:hAnsi="Times New Roman" w:cs="Times New Roman"/>
          <w:szCs w:val="24"/>
          <w:lang w:val="en-GB"/>
        </w:rPr>
        <w:t>of them</w:t>
      </w:r>
      <w:r w:rsidR="002A4192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would be willing to </w:t>
      </w:r>
      <w:r w:rsidR="002A4192" w:rsidRPr="004D084E">
        <w:rPr>
          <w:rFonts w:ascii="Times New Roman" w:hAnsi="Times New Roman" w:cs="Times New Roman"/>
          <w:szCs w:val="24"/>
          <w:lang w:val="en-GB"/>
        </w:rPr>
        <w:t xml:space="preserve">give up positive wage differentials and </w:t>
      </w:r>
      <w:r w:rsidR="000C4836" w:rsidRPr="004D084E">
        <w:rPr>
          <w:rFonts w:ascii="Times New Roman" w:hAnsi="Times New Roman" w:cs="Times New Roman"/>
          <w:szCs w:val="24"/>
          <w:lang w:val="en-GB"/>
        </w:rPr>
        <w:t>high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er</w:t>
      </w:r>
      <w:r w:rsidR="000C4836" w:rsidRPr="004D084E">
        <w:rPr>
          <w:rFonts w:ascii="Times New Roman" w:hAnsi="Times New Roman" w:cs="Times New Roman"/>
          <w:szCs w:val="24"/>
          <w:lang w:val="en-GB"/>
        </w:rPr>
        <w:t xml:space="preserve"> living </w:t>
      </w:r>
      <w:r w:rsidR="002E5B11" w:rsidRPr="004D084E">
        <w:rPr>
          <w:rFonts w:ascii="Times New Roman" w:hAnsi="Times New Roman" w:cs="Times New Roman"/>
          <w:szCs w:val="24"/>
          <w:lang w:val="en-GB"/>
        </w:rPr>
        <w:t>standard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s</w:t>
      </w:r>
      <w:r w:rsidR="002E5B1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0C4836" w:rsidRPr="004D084E">
        <w:rPr>
          <w:rFonts w:ascii="Times New Roman" w:hAnsi="Times New Roman" w:cs="Times New Roman"/>
          <w:szCs w:val="24"/>
          <w:lang w:val="en-GB"/>
        </w:rPr>
        <w:t>in developed</w:t>
      </w:r>
      <w:r w:rsidR="00E74F91" w:rsidRPr="004D084E">
        <w:rPr>
          <w:rFonts w:ascii="Times New Roman" w:hAnsi="Times New Roman" w:cs="Times New Roman"/>
          <w:szCs w:val="24"/>
          <w:lang w:val="en-GB"/>
        </w:rPr>
        <w:t xml:space="preserve"> host</w:t>
      </w:r>
      <w:r w:rsidR="000C4836" w:rsidRPr="004D084E">
        <w:rPr>
          <w:rFonts w:ascii="Times New Roman" w:hAnsi="Times New Roman" w:cs="Times New Roman"/>
          <w:szCs w:val="24"/>
          <w:lang w:val="en-GB"/>
        </w:rPr>
        <w:t xml:space="preserve"> countries to return to less developed </w:t>
      </w:r>
      <w:r w:rsidR="00E74F91" w:rsidRPr="004D084E">
        <w:rPr>
          <w:rFonts w:ascii="Times New Roman" w:hAnsi="Times New Roman" w:cs="Times New Roman"/>
          <w:szCs w:val="24"/>
          <w:lang w:val="en-GB"/>
        </w:rPr>
        <w:t xml:space="preserve">home </w:t>
      </w:r>
      <w:r w:rsidR="000C4836" w:rsidRPr="004D084E">
        <w:rPr>
          <w:rFonts w:ascii="Times New Roman" w:hAnsi="Times New Roman" w:cs="Times New Roman"/>
          <w:szCs w:val="24"/>
          <w:lang w:val="en-GB"/>
        </w:rPr>
        <w:t xml:space="preserve">countries </w:t>
      </w:r>
      <w:r w:rsidR="00E74F91" w:rsidRPr="004D084E">
        <w:rPr>
          <w:rFonts w:ascii="Times New Roman" w:hAnsi="Times New Roman" w:cs="Times New Roman"/>
          <w:szCs w:val="24"/>
          <w:lang w:val="en-GB"/>
        </w:rPr>
        <w:t xml:space="preserve">to maximize </w:t>
      </w:r>
      <w:r w:rsidR="00DE7F9B" w:rsidRPr="004D084E">
        <w:rPr>
          <w:rFonts w:ascii="Times New Roman" w:hAnsi="Times New Roman" w:cs="Times New Roman"/>
          <w:szCs w:val="24"/>
          <w:lang w:val="en-GB"/>
        </w:rPr>
        <w:t>th</w:t>
      </w:r>
      <w:r w:rsidR="001B10EF" w:rsidRPr="004D084E">
        <w:rPr>
          <w:rFonts w:ascii="Times New Roman" w:hAnsi="Times New Roman" w:cs="Times New Roman"/>
          <w:szCs w:val="24"/>
          <w:lang w:val="en-GB"/>
        </w:rPr>
        <w:t>eir life-</w:t>
      </w:r>
      <w:r w:rsidR="00DE7F9B" w:rsidRPr="004D084E">
        <w:rPr>
          <w:rFonts w:ascii="Times New Roman" w:hAnsi="Times New Roman" w:cs="Times New Roman"/>
          <w:szCs w:val="24"/>
          <w:lang w:val="en-GB"/>
        </w:rPr>
        <w:t xml:space="preserve">course </w:t>
      </w:r>
      <w:r w:rsidR="00E74F91" w:rsidRPr="004D084E">
        <w:rPr>
          <w:rFonts w:ascii="Times New Roman" w:hAnsi="Times New Roman" w:cs="Times New Roman"/>
          <w:szCs w:val="24"/>
          <w:lang w:val="en-GB"/>
        </w:rPr>
        <w:t xml:space="preserve">utility (OECD, 2008). </w:t>
      </w:r>
      <w:r w:rsidR="00CA1B93" w:rsidRPr="004D084E">
        <w:rPr>
          <w:rFonts w:ascii="Times New Roman" w:hAnsi="Times New Roman" w:cs="Times New Roman"/>
          <w:szCs w:val="24"/>
          <w:lang w:val="en-GB"/>
        </w:rPr>
        <w:t xml:space="preserve">However, </w:t>
      </w:r>
      <w:r w:rsidR="005A3B9F" w:rsidRPr="004D084E">
        <w:rPr>
          <w:rFonts w:ascii="Times New Roman" w:hAnsi="Times New Roman" w:cs="Times New Roman"/>
          <w:szCs w:val="24"/>
          <w:lang w:val="en-GB"/>
        </w:rPr>
        <w:t xml:space="preserve">return migration is also </w:t>
      </w:r>
      <w:r w:rsidR="00147BFE" w:rsidRPr="004D084E">
        <w:rPr>
          <w:rFonts w:ascii="Times New Roman" w:hAnsi="Times New Roman" w:cs="Times New Roman"/>
          <w:szCs w:val="24"/>
          <w:lang w:val="en-GB"/>
        </w:rPr>
        <w:t>sensitive to</w:t>
      </w:r>
      <w:r w:rsidR="005A3B9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5A3B9F" w:rsidRPr="004D084E">
        <w:rPr>
          <w:rFonts w:ascii="Times New Roman" w:hAnsi="Times New Roman" w:cs="Times New Roman"/>
          <w:szCs w:val="24"/>
          <w:lang w:val="en-GB"/>
        </w:rPr>
        <w:t>home-country social and institutional context (</w:t>
      </w:r>
      <w:proofErr w:type="spellStart"/>
      <w:r w:rsidR="005A3B9F" w:rsidRPr="004D084E">
        <w:rPr>
          <w:rFonts w:ascii="Times New Roman" w:hAnsi="Times New Roman" w:cs="Times New Roman"/>
          <w:szCs w:val="24"/>
          <w:lang w:val="en-GB"/>
        </w:rPr>
        <w:t>Cassarino</w:t>
      </w:r>
      <w:proofErr w:type="spellEnd"/>
      <w:r w:rsidR="005A3B9F" w:rsidRPr="004D084E">
        <w:rPr>
          <w:rFonts w:ascii="Times New Roman" w:hAnsi="Times New Roman" w:cs="Times New Roman"/>
          <w:szCs w:val="24"/>
          <w:lang w:val="en-GB"/>
        </w:rPr>
        <w:t xml:space="preserve"> 2004).</w:t>
      </w:r>
      <w:r w:rsidR="005D4308" w:rsidRPr="004D084E">
        <w:rPr>
          <w:rFonts w:ascii="Times New Roman" w:hAnsi="Times New Roman" w:cs="Times New Roman"/>
          <w:szCs w:val="24"/>
          <w:lang w:val="en-GB"/>
        </w:rPr>
        <w:t xml:space="preserve"> Empirically, p</w:t>
      </w:r>
      <w:r w:rsidR="005A3B9F" w:rsidRPr="004D084E">
        <w:rPr>
          <w:rFonts w:ascii="Times New Roman" w:hAnsi="Times New Roman" w:cs="Times New Roman"/>
          <w:szCs w:val="24"/>
          <w:lang w:val="en-GB"/>
        </w:rPr>
        <w:t xml:space="preserve">oor quality of institutions </w:t>
      </w:r>
      <w:r w:rsidR="00886234" w:rsidRPr="004D084E">
        <w:rPr>
          <w:rFonts w:ascii="Times New Roman" w:hAnsi="Times New Roman" w:cs="Times New Roman"/>
          <w:szCs w:val="24"/>
          <w:lang w:val="en-GB"/>
        </w:rPr>
        <w:t>in the home coun</w:t>
      </w:r>
      <w:r w:rsidR="007C39AB" w:rsidRPr="004D084E">
        <w:rPr>
          <w:rFonts w:ascii="Times New Roman" w:hAnsi="Times New Roman" w:cs="Times New Roman"/>
          <w:szCs w:val="24"/>
          <w:lang w:val="en-GB"/>
        </w:rPr>
        <w:t>try acts as</w:t>
      </w:r>
      <w:r w:rsidR="005D4308" w:rsidRPr="004D084E">
        <w:rPr>
          <w:rFonts w:ascii="Times New Roman" w:hAnsi="Times New Roman" w:cs="Times New Roman"/>
          <w:szCs w:val="24"/>
          <w:lang w:val="en-GB"/>
        </w:rPr>
        <w:t xml:space="preserve"> a</w:t>
      </w:r>
      <w:r w:rsidR="007C39AB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negative pull </w:t>
      </w:r>
      <w:r w:rsidR="007C39AB" w:rsidRPr="004D084E">
        <w:rPr>
          <w:rFonts w:ascii="Times New Roman" w:hAnsi="Times New Roman" w:cs="Times New Roman"/>
          <w:szCs w:val="24"/>
          <w:lang w:val="en-GB"/>
        </w:rPr>
        <w:t>factor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,</w:t>
      </w:r>
      <w:r w:rsidR="007C39AB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reducing </w:t>
      </w:r>
      <w:r w:rsidR="00886234" w:rsidRPr="004D084E">
        <w:rPr>
          <w:rFonts w:ascii="Times New Roman" w:hAnsi="Times New Roman" w:cs="Times New Roman"/>
          <w:szCs w:val="24"/>
          <w:lang w:val="en-GB"/>
        </w:rPr>
        <w:t>the willingness of migrants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to return</w:t>
      </w:r>
      <w:r w:rsidR="00886234" w:rsidRPr="004D084E">
        <w:rPr>
          <w:rFonts w:ascii="Times New Roman" w:hAnsi="Times New Roman" w:cs="Times New Roman"/>
          <w:szCs w:val="24"/>
          <w:lang w:val="en-GB"/>
        </w:rPr>
        <w:t xml:space="preserve"> (Tran </w:t>
      </w:r>
      <w:r w:rsidR="005F09F1" w:rsidRPr="005F09F1">
        <w:rPr>
          <w:rFonts w:ascii="Times New Roman" w:hAnsi="Times New Roman" w:cs="Times New Roman"/>
          <w:i/>
          <w:szCs w:val="24"/>
          <w:lang w:val="en-GB"/>
        </w:rPr>
        <w:t>et al.</w:t>
      </w:r>
      <w:r w:rsidR="00886234" w:rsidRPr="004D084E">
        <w:rPr>
          <w:rFonts w:ascii="Times New Roman" w:hAnsi="Times New Roman" w:cs="Times New Roman"/>
          <w:szCs w:val="24"/>
          <w:lang w:val="en-GB"/>
        </w:rPr>
        <w:t xml:space="preserve"> 201</w:t>
      </w:r>
      <w:r w:rsidR="009328CE" w:rsidRPr="004D084E">
        <w:rPr>
          <w:rFonts w:ascii="Times New Roman" w:hAnsi="Times New Roman" w:cs="Times New Roman"/>
          <w:szCs w:val="24"/>
          <w:lang w:val="en-GB"/>
        </w:rPr>
        <w:t>8b</w:t>
      </w:r>
      <w:r w:rsidR="00886234" w:rsidRPr="004D084E">
        <w:rPr>
          <w:rFonts w:ascii="Times New Roman" w:hAnsi="Times New Roman" w:cs="Times New Roman"/>
          <w:szCs w:val="24"/>
          <w:lang w:val="en-GB"/>
        </w:rPr>
        <w:t>).</w:t>
      </w:r>
      <w:r w:rsidR="004F410F" w:rsidRPr="004D084E">
        <w:rPr>
          <w:rFonts w:ascii="Times New Roman" w:hAnsi="Times New Roman" w:cs="Times New Roman"/>
          <w:szCs w:val="24"/>
          <w:lang w:val="en-GB"/>
        </w:rPr>
        <w:t xml:space="preserve"> </w:t>
      </w:r>
    </w:p>
    <w:p w14:paraId="4979FA93" w14:textId="77777777" w:rsidR="00CA59C3" w:rsidRPr="004D084E" w:rsidRDefault="00CA59C3" w:rsidP="00CA59C3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1646CCF0" w14:textId="77777777" w:rsidR="00D51D35" w:rsidRDefault="00AD046C" w:rsidP="00635C5A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Given </w:t>
      </w:r>
      <w:r w:rsidR="006910FC" w:rsidRPr="004D084E">
        <w:rPr>
          <w:rFonts w:ascii="Times New Roman" w:hAnsi="Times New Roman" w:cs="Times New Roman"/>
          <w:szCs w:val="24"/>
          <w:lang w:val="en-GB"/>
        </w:rPr>
        <w:t>migrants’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preference for the home country </w:t>
      </w:r>
      <w:r w:rsidR="0074575A" w:rsidRPr="004D084E">
        <w:rPr>
          <w:rFonts w:ascii="Times New Roman" w:hAnsi="Times New Roman" w:cs="Times New Roman"/>
          <w:szCs w:val="24"/>
          <w:lang w:val="en-GB"/>
        </w:rPr>
        <w:t>and the importance of institutional quality in return migration decisions</w:t>
      </w:r>
      <w:r w:rsidRPr="004D084E">
        <w:rPr>
          <w:rFonts w:ascii="Times New Roman" w:hAnsi="Times New Roman" w:cs="Times New Roman"/>
          <w:szCs w:val="24"/>
          <w:lang w:val="en-GB"/>
        </w:rPr>
        <w:t>,</w:t>
      </w:r>
      <w:r w:rsidR="00D94BC6" w:rsidRPr="004D084E">
        <w:rPr>
          <w:rFonts w:ascii="Times New Roman" w:hAnsi="Times New Roman" w:cs="Times New Roman"/>
          <w:szCs w:val="24"/>
          <w:lang w:val="en-GB"/>
        </w:rPr>
        <w:t xml:space="preserve"> migrants would be better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94BC6" w:rsidRPr="004D084E">
        <w:rPr>
          <w:rFonts w:ascii="Times New Roman" w:hAnsi="Times New Roman" w:cs="Times New Roman"/>
          <w:szCs w:val="24"/>
          <w:lang w:val="en-GB"/>
        </w:rPr>
        <w:t xml:space="preserve">off if the institutional quality gap was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reduced or </w:t>
      </w:r>
      <w:r w:rsidR="00D94BC6" w:rsidRPr="004D084E">
        <w:rPr>
          <w:rFonts w:ascii="Times New Roman" w:hAnsi="Times New Roman" w:cs="Times New Roman"/>
          <w:szCs w:val="24"/>
          <w:lang w:val="en-GB"/>
        </w:rPr>
        <w:t>eliminated. A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question arises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as to how strong the preferences of diasporas </w:t>
      </w:r>
      <w:r w:rsidR="00170F59">
        <w:rPr>
          <w:rFonts w:ascii="Times New Roman" w:hAnsi="Times New Roman" w:cs="Times New Roman"/>
          <w:szCs w:val="24"/>
          <w:lang w:val="en-GB"/>
        </w:rPr>
        <w:t>are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for home</w:t>
      </w:r>
      <w:r w:rsidR="00EB5121">
        <w:rPr>
          <w:rFonts w:ascii="Times New Roman" w:hAnsi="Times New Roman" w:cs="Times New Roman"/>
          <w:szCs w:val="24"/>
          <w:lang w:val="en-GB"/>
        </w:rPr>
        <w:t>-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country institutional quality. In other words,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a</w:t>
      </w:r>
      <w:r w:rsidR="00594064" w:rsidRPr="004D084E">
        <w:rPr>
          <w:rFonts w:ascii="Times New Roman" w:hAnsi="Times New Roman" w:cs="Times New Roman"/>
          <w:szCs w:val="24"/>
          <w:lang w:val="en-GB"/>
        </w:rPr>
        <w:t>re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migrants living in a host country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with higher institutional quality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willing to </w:t>
      </w:r>
      <w:r w:rsidR="00EA701B" w:rsidRPr="004D084E">
        <w:rPr>
          <w:rFonts w:ascii="Times New Roman" w:hAnsi="Times New Roman" w:cs="Times New Roman"/>
          <w:szCs w:val="24"/>
          <w:lang w:val="en-GB"/>
        </w:rPr>
        <w:t>pay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for an improvement in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 the</w:t>
      </w:r>
      <w:r w:rsidR="007677EF" w:rsidRPr="004D084E">
        <w:rPr>
          <w:rFonts w:ascii="Times New Roman" w:hAnsi="Times New Roman" w:cs="Times New Roman"/>
          <w:szCs w:val="24"/>
          <w:lang w:val="en-GB"/>
        </w:rPr>
        <w:t xml:space="preserve"> institutional quality in their home country?</w:t>
      </w:r>
      <w:r w:rsidR="0074575A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965421" w:rsidRPr="004D084E">
        <w:rPr>
          <w:rFonts w:ascii="Times New Roman" w:hAnsi="Times New Roman" w:cs="Times New Roman"/>
          <w:szCs w:val="24"/>
          <w:lang w:val="en-GB"/>
        </w:rPr>
        <w:t>The current</w:t>
      </w:r>
      <w:r w:rsidR="0074575A" w:rsidRPr="004D084E">
        <w:rPr>
          <w:rFonts w:ascii="Times New Roman" w:hAnsi="Times New Roman" w:cs="Times New Roman"/>
          <w:szCs w:val="24"/>
          <w:lang w:val="en-GB"/>
        </w:rPr>
        <w:t xml:space="preserve"> study </w:t>
      </w:r>
      <w:r w:rsidR="0072488F" w:rsidRPr="004D084E">
        <w:rPr>
          <w:rFonts w:ascii="Times New Roman" w:hAnsi="Times New Roman" w:cs="Times New Roman"/>
          <w:szCs w:val="24"/>
          <w:lang w:val="en-GB"/>
        </w:rPr>
        <w:t>addresses</w:t>
      </w:r>
      <w:r w:rsidR="00541002" w:rsidRPr="004D084E">
        <w:rPr>
          <w:rFonts w:ascii="Times New Roman" w:hAnsi="Times New Roman" w:cs="Times New Roman"/>
          <w:szCs w:val="24"/>
          <w:lang w:val="en-GB"/>
        </w:rPr>
        <w:t xml:space="preserve"> this question by </w:t>
      </w:r>
      <w:r w:rsidR="0072488F" w:rsidRPr="004D084E">
        <w:rPr>
          <w:rFonts w:ascii="Times New Roman" w:hAnsi="Times New Roman" w:cs="Times New Roman"/>
          <w:szCs w:val="24"/>
          <w:lang w:val="en-GB"/>
        </w:rPr>
        <w:t xml:space="preserve">estimating the compensating variation, which is the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 xml:space="preserve">maximum that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D51D35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="0072488F" w:rsidRPr="004D084E">
        <w:rPr>
          <w:rFonts w:ascii="Times New Roman" w:hAnsi="Times New Roman" w:cs="Times New Roman"/>
          <w:szCs w:val="24"/>
          <w:lang w:val="en-GB"/>
        </w:rPr>
        <w:t xml:space="preserve">ese migrants living in </w:t>
      </w:r>
      <w:r w:rsidR="00880971" w:rsidRPr="004D084E">
        <w:rPr>
          <w:rFonts w:ascii="Times New Roman" w:hAnsi="Times New Roman" w:cs="Times New Roman"/>
          <w:szCs w:val="24"/>
          <w:lang w:val="en-GB"/>
        </w:rPr>
        <w:t>N</w:t>
      </w:r>
      <w:r w:rsidR="005F09F1">
        <w:rPr>
          <w:rFonts w:ascii="Times New Roman" w:hAnsi="Times New Roman" w:cs="Times New Roman"/>
          <w:szCs w:val="24"/>
          <w:lang w:val="en-GB"/>
        </w:rPr>
        <w:t>ew Zealand</w:t>
      </w:r>
      <w:r w:rsidR="0072488F" w:rsidRPr="004D084E">
        <w:rPr>
          <w:rFonts w:ascii="Times New Roman" w:hAnsi="Times New Roman" w:cs="Times New Roman"/>
          <w:szCs w:val="24"/>
          <w:lang w:val="en-GB"/>
        </w:rPr>
        <w:t xml:space="preserve"> would be willing to pay for </w:t>
      </w:r>
      <w:r w:rsidR="00A01B4A" w:rsidRPr="004D084E">
        <w:rPr>
          <w:rFonts w:ascii="Times New Roman" w:hAnsi="Times New Roman" w:cs="Times New Roman"/>
          <w:szCs w:val="24"/>
          <w:lang w:val="en-GB"/>
        </w:rPr>
        <w:t>better</w:t>
      </w:r>
      <w:r w:rsidR="0072488F" w:rsidRPr="004D084E">
        <w:rPr>
          <w:rFonts w:ascii="Times New Roman" w:hAnsi="Times New Roman" w:cs="Times New Roman"/>
          <w:szCs w:val="24"/>
          <w:lang w:val="en-GB"/>
        </w:rPr>
        <w:t xml:space="preserve"> institutional quality in </w:t>
      </w:r>
      <w:r w:rsidR="00D801D9">
        <w:rPr>
          <w:rFonts w:ascii="Times New Roman" w:hAnsi="Times New Roman" w:cs="Times New Roman"/>
          <w:szCs w:val="24"/>
          <w:lang w:val="en-GB"/>
        </w:rPr>
        <w:t>Viet Nam</w:t>
      </w:r>
      <w:r w:rsidR="00A01B4A" w:rsidRPr="004D084E">
        <w:rPr>
          <w:rFonts w:ascii="Times New Roman" w:hAnsi="Times New Roman" w:cs="Times New Roman"/>
          <w:szCs w:val="24"/>
          <w:lang w:val="en-GB"/>
        </w:rPr>
        <w:t>,</w:t>
      </w:r>
      <w:r w:rsidR="0072488F" w:rsidRPr="004D084E">
        <w:rPr>
          <w:rFonts w:ascii="Times New Roman" w:hAnsi="Times New Roman" w:cs="Times New Roman"/>
          <w:szCs w:val="24"/>
          <w:lang w:val="en-GB"/>
        </w:rPr>
        <w:t xml:space="preserve"> using t</w:t>
      </w:r>
      <w:r w:rsidR="0074575A" w:rsidRPr="004D084E">
        <w:rPr>
          <w:rFonts w:ascii="Times New Roman" w:hAnsi="Times New Roman" w:cs="Times New Roman"/>
          <w:szCs w:val="24"/>
          <w:lang w:val="en-GB"/>
        </w:rPr>
        <w:t>he contingent valuation method</w:t>
      </w:r>
      <w:r w:rsidR="00541002" w:rsidRPr="004D084E">
        <w:rPr>
          <w:rFonts w:ascii="Times New Roman" w:hAnsi="Times New Roman" w:cs="Times New Roman"/>
          <w:szCs w:val="24"/>
          <w:lang w:val="en-GB"/>
        </w:rPr>
        <w:t xml:space="preserve"> (CVM)</w:t>
      </w:r>
      <w:r w:rsidR="0072488F" w:rsidRPr="004D084E">
        <w:rPr>
          <w:rFonts w:ascii="Times New Roman" w:hAnsi="Times New Roman" w:cs="Times New Roman"/>
          <w:szCs w:val="24"/>
          <w:lang w:val="en-GB"/>
        </w:rPr>
        <w:t>.</w:t>
      </w:r>
      <w:r w:rsidR="004664E2" w:rsidRPr="004D084E">
        <w:rPr>
          <w:rFonts w:ascii="Times New Roman" w:hAnsi="Times New Roman" w:cs="Times New Roman"/>
          <w:szCs w:val="24"/>
          <w:lang w:val="en-GB"/>
        </w:rPr>
        <w:t xml:space="preserve"> </w:t>
      </w:r>
    </w:p>
    <w:p w14:paraId="2BAF7484" w14:textId="77777777" w:rsidR="00D51D35" w:rsidRDefault="00D51D35" w:rsidP="00635C5A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678EC359" w14:textId="1D34C186" w:rsidR="005B26AE" w:rsidRPr="004D084E" w:rsidRDefault="0074575A" w:rsidP="00635C5A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E869A3" w:rsidRPr="004D084E">
        <w:rPr>
          <w:rFonts w:ascii="Times New Roman" w:hAnsi="Times New Roman" w:cs="Times New Roman"/>
          <w:szCs w:val="24"/>
          <w:lang w:val="en-GB"/>
        </w:rPr>
        <w:t>CVM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is a survey technique</w:t>
      </w:r>
      <w:r w:rsidR="00E869A3" w:rsidRPr="004D084E">
        <w:rPr>
          <w:rFonts w:ascii="Times New Roman" w:hAnsi="Times New Roman" w:cs="Times New Roman"/>
          <w:szCs w:val="24"/>
          <w:lang w:val="en-GB"/>
        </w:rPr>
        <w:t xml:space="preserve"> that has been used </w:t>
      </w:r>
      <w:r w:rsidR="00D51D35">
        <w:rPr>
          <w:rFonts w:ascii="Times New Roman" w:hAnsi="Times New Roman" w:cs="Times New Roman"/>
          <w:szCs w:val="24"/>
          <w:lang w:val="en-GB"/>
        </w:rPr>
        <w:t xml:space="preserve">widely </w:t>
      </w:r>
      <w:r w:rsidR="00E869A3" w:rsidRPr="004D084E">
        <w:rPr>
          <w:rFonts w:ascii="Times New Roman" w:hAnsi="Times New Roman" w:cs="Times New Roman"/>
          <w:szCs w:val="24"/>
          <w:lang w:val="en-GB"/>
        </w:rPr>
        <w:t xml:space="preserve">to elicit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the economic trade-off a person would make </w:t>
      </w:r>
      <w:r w:rsidR="002F3F26" w:rsidRPr="004D084E">
        <w:rPr>
          <w:rFonts w:ascii="Times New Roman" w:hAnsi="Times New Roman" w:cs="Times New Roman"/>
          <w:szCs w:val="24"/>
          <w:lang w:val="en-GB"/>
        </w:rPr>
        <w:t>when presented with a hypothetical choice, and is frequently used to estimate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the value of non-market goods or services (Carson 2012</w:t>
      </w:r>
      <w:r w:rsidR="007B289C">
        <w:rPr>
          <w:rFonts w:ascii="Times New Roman" w:hAnsi="Times New Roman" w:cs="Times New Roman"/>
          <w:szCs w:val="24"/>
          <w:lang w:val="en-GB"/>
        </w:rPr>
        <w:t>,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Kling </w:t>
      </w:r>
      <w:r w:rsidRPr="007B289C">
        <w:rPr>
          <w:rFonts w:ascii="Times New Roman" w:hAnsi="Times New Roman" w:cs="Times New Roman"/>
          <w:i/>
          <w:szCs w:val="24"/>
          <w:lang w:val="en-GB"/>
        </w:rPr>
        <w:t>et al.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2012).</w:t>
      </w:r>
      <w:r w:rsidR="0019628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51D35">
        <w:rPr>
          <w:rFonts w:ascii="Times New Roman" w:hAnsi="Times New Roman" w:cs="Times New Roman"/>
          <w:szCs w:val="24"/>
          <w:lang w:val="en-GB"/>
        </w:rPr>
        <w:t xml:space="preserve"> </w:t>
      </w:r>
      <w:r w:rsidR="0019628F" w:rsidRPr="004D084E">
        <w:rPr>
          <w:rFonts w:ascii="Times New Roman" w:hAnsi="Times New Roman" w:cs="Times New Roman"/>
          <w:szCs w:val="24"/>
          <w:lang w:val="en-GB"/>
        </w:rPr>
        <w:t>This study pioneer</w:t>
      </w:r>
      <w:r w:rsidR="004929D0" w:rsidRPr="004D084E">
        <w:rPr>
          <w:rFonts w:ascii="Times New Roman" w:hAnsi="Times New Roman" w:cs="Times New Roman"/>
          <w:szCs w:val="24"/>
          <w:lang w:val="en-GB"/>
        </w:rPr>
        <w:t>s</w:t>
      </w:r>
      <w:r w:rsidR="0019628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35C5A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5B26AE" w:rsidRPr="004D084E">
        <w:rPr>
          <w:rFonts w:ascii="Times New Roman" w:hAnsi="Times New Roman" w:cs="Times New Roman"/>
          <w:szCs w:val="24"/>
          <w:lang w:val="en-GB"/>
        </w:rPr>
        <w:t>measure</w:t>
      </w:r>
      <w:r w:rsidR="00635C5A" w:rsidRPr="004D084E">
        <w:rPr>
          <w:rFonts w:ascii="Times New Roman" w:hAnsi="Times New Roman" w:cs="Times New Roman"/>
          <w:szCs w:val="24"/>
          <w:lang w:val="en-GB"/>
        </w:rPr>
        <w:t>ment of</w:t>
      </w:r>
      <w:r w:rsidR="0019628F" w:rsidRPr="004D084E">
        <w:rPr>
          <w:rFonts w:ascii="Times New Roman" w:hAnsi="Times New Roman" w:cs="Times New Roman"/>
          <w:szCs w:val="24"/>
          <w:lang w:val="en-GB"/>
        </w:rPr>
        <w:t xml:space="preserve"> the implicit monetary value of an improvement in institutional quality </w:t>
      </w:r>
      <w:r w:rsidR="005B26AE" w:rsidRPr="004D084E">
        <w:rPr>
          <w:rFonts w:ascii="Times New Roman" w:hAnsi="Times New Roman" w:cs="Times New Roman"/>
          <w:szCs w:val="24"/>
          <w:lang w:val="en-GB"/>
        </w:rPr>
        <w:t>by means of the CVM applied to the return migration channel.</w:t>
      </w:r>
      <w:r w:rsidR="00F11BEB" w:rsidRPr="004D084E">
        <w:rPr>
          <w:rFonts w:ascii="Times New Roman" w:hAnsi="Times New Roman" w:cs="Times New Roman"/>
          <w:szCs w:val="24"/>
          <w:lang w:val="en-GB"/>
        </w:rPr>
        <w:t xml:space="preserve"> Notably, this is the first application of the CVM </w:t>
      </w:r>
      <w:r w:rsidR="00AB37BF">
        <w:rPr>
          <w:rFonts w:ascii="Times New Roman" w:hAnsi="Times New Roman" w:cs="Times New Roman"/>
          <w:szCs w:val="24"/>
          <w:lang w:val="en-GB"/>
        </w:rPr>
        <w:t>to measuring the willingness to pay for</w:t>
      </w:r>
      <w:r w:rsidR="00AB37B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F11BEB" w:rsidRPr="004D084E">
        <w:rPr>
          <w:rFonts w:ascii="Times New Roman" w:hAnsi="Times New Roman" w:cs="Times New Roman"/>
          <w:szCs w:val="24"/>
          <w:lang w:val="en-GB"/>
        </w:rPr>
        <w:t xml:space="preserve">institutional quality, </w:t>
      </w:r>
      <w:r w:rsidR="00AB37BF">
        <w:rPr>
          <w:rFonts w:ascii="Times New Roman" w:hAnsi="Times New Roman" w:cs="Times New Roman"/>
          <w:szCs w:val="24"/>
          <w:lang w:val="en-GB"/>
        </w:rPr>
        <w:t>using a</w:t>
      </w:r>
      <w:r w:rsidR="00F11BEB" w:rsidRPr="004D084E">
        <w:rPr>
          <w:rFonts w:ascii="Times New Roman" w:hAnsi="Times New Roman" w:cs="Times New Roman"/>
          <w:szCs w:val="24"/>
          <w:lang w:val="en-GB"/>
        </w:rPr>
        <w:t xml:space="preserve"> survey</w:t>
      </w:r>
      <w:r w:rsidR="00AB37BF">
        <w:rPr>
          <w:rFonts w:ascii="Times New Roman" w:hAnsi="Times New Roman" w:cs="Times New Roman"/>
          <w:szCs w:val="24"/>
          <w:lang w:val="en-GB"/>
        </w:rPr>
        <w:t xml:space="preserve"> of</w:t>
      </w:r>
      <w:r w:rsidR="00F11BEB" w:rsidRPr="004D084E">
        <w:rPr>
          <w:rFonts w:ascii="Times New Roman" w:hAnsi="Times New Roman" w:cs="Times New Roman"/>
          <w:szCs w:val="24"/>
          <w:lang w:val="en-GB"/>
        </w:rPr>
        <w:t xml:space="preserve"> migrants.</w:t>
      </w:r>
    </w:p>
    <w:p w14:paraId="6AE92763" w14:textId="77777777" w:rsidR="003215C8" w:rsidRPr="004D084E" w:rsidRDefault="003215C8" w:rsidP="00156DD9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0D98FD0D" w14:textId="6B92DB60" w:rsidR="00F149BA" w:rsidRDefault="00172F0A" w:rsidP="00156DD9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The remainder of this article is organized as follows. Section </w:t>
      </w:r>
      <w:r w:rsidR="00882417" w:rsidRPr="004D084E">
        <w:rPr>
          <w:rFonts w:ascii="Times New Roman" w:hAnsi="Times New Roman" w:cs="Times New Roman"/>
          <w:szCs w:val="24"/>
          <w:lang w:val="en-GB"/>
        </w:rPr>
        <w:t xml:space="preserve">2 </w:t>
      </w:r>
      <w:r w:rsidR="00AD71C8" w:rsidRPr="004D084E">
        <w:rPr>
          <w:rFonts w:ascii="Times New Roman" w:hAnsi="Times New Roman" w:cs="Times New Roman"/>
          <w:szCs w:val="24"/>
          <w:lang w:val="en-GB"/>
        </w:rPr>
        <w:t>establishes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the </w:t>
      </w:r>
      <w:r w:rsidR="00AD71C8" w:rsidRPr="004D084E">
        <w:rPr>
          <w:rFonts w:ascii="Times New Roman" w:hAnsi="Times New Roman" w:cs="Times New Roman"/>
          <w:szCs w:val="24"/>
          <w:lang w:val="en-GB"/>
        </w:rPr>
        <w:t>theoretical background</w:t>
      </w:r>
      <w:r w:rsidR="00882417" w:rsidRPr="004D084E">
        <w:rPr>
          <w:rFonts w:ascii="Times New Roman" w:hAnsi="Times New Roman" w:cs="Times New Roman"/>
          <w:szCs w:val="24"/>
          <w:lang w:val="en-GB"/>
        </w:rPr>
        <w:t>. Section 3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882417" w:rsidRPr="004D084E">
        <w:rPr>
          <w:rFonts w:ascii="Times New Roman" w:hAnsi="Times New Roman" w:cs="Times New Roman"/>
          <w:szCs w:val="24"/>
          <w:lang w:val="en-GB"/>
        </w:rPr>
        <w:t>describes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A5B56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Pr="004D084E">
        <w:rPr>
          <w:rFonts w:ascii="Times New Roman" w:hAnsi="Times New Roman" w:cs="Times New Roman"/>
          <w:szCs w:val="24"/>
          <w:lang w:val="en-GB"/>
        </w:rPr>
        <w:t>research design</w:t>
      </w:r>
      <w:r w:rsidR="00DA5B56" w:rsidRPr="004D084E">
        <w:rPr>
          <w:rFonts w:ascii="Times New Roman" w:hAnsi="Times New Roman" w:cs="Times New Roman"/>
          <w:szCs w:val="24"/>
          <w:lang w:val="en-GB"/>
        </w:rPr>
        <w:t xml:space="preserve"> and data</w:t>
      </w:r>
      <w:r w:rsidRPr="004D084E">
        <w:rPr>
          <w:rFonts w:ascii="Times New Roman" w:hAnsi="Times New Roman" w:cs="Times New Roman"/>
          <w:szCs w:val="24"/>
          <w:lang w:val="en-GB"/>
        </w:rPr>
        <w:t>.</w:t>
      </w:r>
      <w:r w:rsidR="007B289C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Section 4</w:t>
      </w:r>
      <w:r w:rsidR="00DA5B56" w:rsidRPr="004D084E">
        <w:rPr>
          <w:rFonts w:ascii="Times New Roman" w:hAnsi="Times New Roman" w:cs="Times New Roman"/>
          <w:szCs w:val="24"/>
          <w:lang w:val="en-GB"/>
        </w:rPr>
        <w:t xml:space="preserve"> reports the results.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Section 5 concludes.</w:t>
      </w:r>
    </w:p>
    <w:p w14:paraId="662B35CE" w14:textId="4996EF3B" w:rsidR="00A96EDE" w:rsidRDefault="00A96EDE" w:rsidP="00156DD9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3E648313" w14:textId="77777777" w:rsidR="00A96EDE" w:rsidRPr="004D084E" w:rsidRDefault="00A96EDE" w:rsidP="00156DD9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7DC776A5" w14:textId="0E04B1F9" w:rsidR="00AE488A" w:rsidRPr="004D084E" w:rsidRDefault="005A3603" w:rsidP="005A3603">
      <w:pPr>
        <w:pStyle w:val="Heading1"/>
        <w:spacing w:before="0" w:line="30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lastRenderedPageBreak/>
        <w:t xml:space="preserve">2. </w:t>
      </w:r>
      <w:r w:rsidR="00502163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Theoretical</w:t>
      </w:r>
      <w:r w:rsidR="00912105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B</w:t>
      </w:r>
      <w:r w:rsidR="00FD0197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ackground</w:t>
      </w:r>
    </w:p>
    <w:p w14:paraId="681F9E49" w14:textId="77777777" w:rsidR="003215C8" w:rsidRPr="004D084E" w:rsidRDefault="003215C8" w:rsidP="00156DD9">
      <w:pPr>
        <w:spacing w:line="300" w:lineRule="auto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61B30848" w14:textId="170D8D08" w:rsidR="00B370ED" w:rsidRDefault="006D20F7" w:rsidP="000A6434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I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n the static 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human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capital model</w:t>
      </w:r>
      <w:r w:rsidRPr="004D084E">
        <w:rPr>
          <w:rFonts w:ascii="Times New Roman" w:hAnsi="Times New Roman" w:cs="Times New Roman"/>
          <w:szCs w:val="24"/>
          <w:lang w:val="en-GB"/>
        </w:rPr>
        <w:t>, migration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is determined by exogenous wages, economic costs of migration, and </w:t>
      </w:r>
      <w:r w:rsidR="00FD4C21" w:rsidRPr="004D084E">
        <w:rPr>
          <w:rFonts w:ascii="Times New Roman" w:hAnsi="Times New Roman" w:cs="Times New Roman"/>
          <w:i/>
          <w:szCs w:val="24"/>
          <w:lang w:val="en-GB"/>
        </w:rPr>
        <w:t>inter alia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the quality of institutions</w:t>
      </w:r>
      <w:r w:rsidR="00860D8C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8F1EAD" w:rsidRPr="004D084E">
        <w:rPr>
          <w:rFonts w:ascii="Times New Roman" w:hAnsi="Times New Roman" w:cs="Times New Roman"/>
          <w:szCs w:val="24"/>
          <w:lang w:val="en-GB"/>
        </w:rPr>
        <w:t xml:space="preserve">(see </w:t>
      </w:r>
      <w:proofErr w:type="spellStart"/>
      <w:r w:rsidR="008F1EAD" w:rsidRPr="004D084E">
        <w:rPr>
          <w:rFonts w:ascii="Times New Roman" w:hAnsi="Times New Roman" w:cs="Times New Roman"/>
          <w:szCs w:val="24"/>
          <w:lang w:val="en-GB"/>
        </w:rPr>
        <w:t>Bodvarsson</w:t>
      </w:r>
      <w:proofErr w:type="spellEnd"/>
      <w:r w:rsidR="00B41302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5F09F1" w:rsidRPr="005F09F1">
        <w:rPr>
          <w:rFonts w:ascii="Times New Roman" w:hAnsi="Times New Roman" w:cs="Times New Roman"/>
          <w:i/>
          <w:szCs w:val="24"/>
          <w:lang w:val="en-GB"/>
        </w:rPr>
        <w:t>et al.</w:t>
      </w:r>
      <w:r w:rsidR="008F1EAD" w:rsidRPr="004D084E">
        <w:rPr>
          <w:rFonts w:ascii="Times New Roman" w:hAnsi="Times New Roman" w:cs="Times New Roman"/>
          <w:szCs w:val="24"/>
          <w:lang w:val="en-GB"/>
        </w:rPr>
        <w:t xml:space="preserve"> 2015)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.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265BBD" w:rsidRPr="004D084E">
        <w:rPr>
          <w:rFonts w:ascii="Times New Roman" w:hAnsi="Times New Roman" w:cs="Times New Roman"/>
          <w:szCs w:val="24"/>
          <w:lang w:val="en-GB"/>
        </w:rPr>
        <w:t>Chiswick (1999)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broadly defined migration costs to include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AB2BBC" w:rsidRPr="004D084E">
        <w:rPr>
          <w:rFonts w:ascii="Times New Roman" w:hAnsi="Times New Roman" w:cs="Times New Roman"/>
          <w:szCs w:val="24"/>
          <w:lang w:val="en-GB"/>
        </w:rPr>
        <w:t>fixed monetary costs of moving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613B93" w:rsidRPr="004D084E">
        <w:rPr>
          <w:rFonts w:ascii="Times New Roman" w:hAnsi="Times New Roman" w:cs="Times New Roman"/>
          <w:szCs w:val="24"/>
          <w:lang w:val="en-GB"/>
        </w:rPr>
        <w:t xml:space="preserve">full </w:t>
      </w:r>
      <w:r w:rsidR="00F73BB0" w:rsidRPr="004D084E">
        <w:rPr>
          <w:rFonts w:ascii="Times New Roman" w:hAnsi="Times New Roman" w:cs="Times New Roman"/>
          <w:szCs w:val="24"/>
          <w:lang w:val="en-GB"/>
        </w:rPr>
        <w:t>costs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(monetary and psychic)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of relocating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in</w:t>
      </w:r>
      <w:r w:rsidR="000A6434" w:rsidRPr="004D084E">
        <w:rPr>
          <w:rFonts w:ascii="Times New Roman" w:hAnsi="Times New Roman" w:cs="Times New Roman"/>
          <w:szCs w:val="24"/>
          <w:lang w:val="en-GB"/>
        </w:rPr>
        <w:t>,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and adjusting to</w:t>
      </w:r>
      <w:r w:rsidR="000A6434" w:rsidRPr="004D084E">
        <w:rPr>
          <w:rFonts w:ascii="Times New Roman" w:hAnsi="Times New Roman" w:cs="Times New Roman"/>
          <w:szCs w:val="24"/>
          <w:lang w:val="en-GB"/>
        </w:rPr>
        <w:t>,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the destination. </w:t>
      </w:r>
      <w:r w:rsidR="00AB2BBC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full </w:t>
      </w:r>
      <w:r w:rsidR="00B41302" w:rsidRPr="004D084E">
        <w:rPr>
          <w:rFonts w:ascii="Times New Roman" w:hAnsi="Times New Roman" w:cs="Times New Roman"/>
          <w:szCs w:val="24"/>
          <w:lang w:val="en-GB"/>
        </w:rPr>
        <w:t>costs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of relocation</w:t>
      </w:r>
      <w:r w:rsidR="00F73BB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AB2BBC" w:rsidRPr="004D084E">
        <w:rPr>
          <w:rFonts w:ascii="Times New Roman" w:hAnsi="Times New Roman" w:cs="Times New Roman"/>
          <w:szCs w:val="24"/>
          <w:lang w:val="en-GB"/>
        </w:rPr>
        <w:t xml:space="preserve">are individual-specific,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and </w:t>
      </w:r>
      <w:r w:rsidR="00AB2BBC" w:rsidRPr="004D084E">
        <w:rPr>
          <w:rFonts w:ascii="Times New Roman" w:hAnsi="Times New Roman" w:cs="Times New Roman"/>
          <w:szCs w:val="24"/>
          <w:lang w:val="en-GB"/>
        </w:rPr>
        <w:t xml:space="preserve">depend on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a </w:t>
      </w:r>
      <w:r w:rsidR="00062753" w:rsidRPr="004D084E">
        <w:rPr>
          <w:rFonts w:ascii="Times New Roman" w:hAnsi="Times New Roman" w:cs="Times New Roman"/>
          <w:szCs w:val="24"/>
          <w:lang w:val="en-GB"/>
        </w:rPr>
        <w:t>migrant</w:t>
      </w:r>
      <w:r w:rsidRPr="004D084E">
        <w:rPr>
          <w:rFonts w:ascii="Times New Roman" w:hAnsi="Times New Roman" w:cs="Times New Roman"/>
          <w:szCs w:val="24"/>
          <w:lang w:val="en-GB"/>
        </w:rPr>
        <w:t>’</w:t>
      </w:r>
      <w:r w:rsidR="00062753" w:rsidRPr="004D084E">
        <w:rPr>
          <w:rFonts w:ascii="Times New Roman" w:hAnsi="Times New Roman" w:cs="Times New Roman"/>
          <w:szCs w:val="24"/>
          <w:lang w:val="en-GB"/>
        </w:rPr>
        <w:t xml:space="preserve">s </w:t>
      </w:r>
      <w:r w:rsidR="00613B93" w:rsidRPr="004D084E">
        <w:rPr>
          <w:rFonts w:ascii="Times New Roman" w:hAnsi="Times New Roman" w:cs="Times New Roman"/>
          <w:szCs w:val="24"/>
          <w:lang w:val="en-GB"/>
        </w:rPr>
        <w:t>skill</w:t>
      </w:r>
      <w:r w:rsidR="00062753" w:rsidRPr="004D084E">
        <w:rPr>
          <w:rFonts w:ascii="Times New Roman" w:hAnsi="Times New Roman" w:cs="Times New Roman"/>
          <w:szCs w:val="24"/>
          <w:lang w:val="en-GB"/>
        </w:rPr>
        <w:t>s</w:t>
      </w:r>
      <w:r w:rsidRPr="004D084E">
        <w:rPr>
          <w:rFonts w:ascii="Times New Roman" w:hAnsi="Times New Roman" w:cs="Times New Roman"/>
          <w:szCs w:val="24"/>
          <w:lang w:val="en-GB"/>
        </w:rPr>
        <w:t>,</w:t>
      </w:r>
      <w:r w:rsidR="00062753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815BDD">
        <w:rPr>
          <w:rFonts w:ascii="Times New Roman" w:hAnsi="Times New Roman" w:cs="Times New Roman"/>
          <w:szCs w:val="24"/>
          <w:lang w:val="en-GB"/>
        </w:rPr>
        <w:t>his or her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13B93" w:rsidRPr="004D084E">
        <w:rPr>
          <w:rFonts w:ascii="Times New Roman" w:hAnsi="Times New Roman" w:cs="Times New Roman"/>
          <w:szCs w:val="24"/>
          <w:lang w:val="en-GB"/>
        </w:rPr>
        <w:t xml:space="preserve">preference for </w:t>
      </w:r>
      <w:r w:rsidR="00B41302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613B93" w:rsidRPr="004D084E">
        <w:rPr>
          <w:rFonts w:ascii="Times New Roman" w:hAnsi="Times New Roman" w:cs="Times New Roman"/>
          <w:szCs w:val="24"/>
          <w:lang w:val="en-GB"/>
        </w:rPr>
        <w:t>home</w:t>
      </w:r>
      <w:r w:rsidR="00B41302" w:rsidRPr="004D084E">
        <w:rPr>
          <w:rFonts w:ascii="Times New Roman" w:hAnsi="Times New Roman" w:cs="Times New Roman"/>
          <w:szCs w:val="24"/>
          <w:lang w:val="en-GB"/>
        </w:rPr>
        <w:t xml:space="preserve"> country</w:t>
      </w:r>
      <w:r w:rsidR="00613B93" w:rsidRPr="004D084E">
        <w:rPr>
          <w:rFonts w:ascii="Times New Roman" w:hAnsi="Times New Roman" w:cs="Times New Roman"/>
          <w:szCs w:val="24"/>
          <w:lang w:val="en-GB"/>
        </w:rPr>
        <w:t>, and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4934A6" w:rsidRPr="004D084E">
        <w:rPr>
          <w:rFonts w:ascii="Times New Roman" w:hAnsi="Times New Roman" w:cs="Times New Roman"/>
          <w:szCs w:val="24"/>
          <w:lang w:val="en-GB"/>
        </w:rPr>
        <w:t xml:space="preserve">contextual 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conditions </w:t>
      </w:r>
      <w:r w:rsidR="004934A6" w:rsidRPr="004D084E">
        <w:rPr>
          <w:rFonts w:ascii="Times New Roman" w:hAnsi="Times New Roman" w:cs="Times New Roman"/>
          <w:szCs w:val="24"/>
          <w:lang w:val="en-GB"/>
        </w:rPr>
        <w:t xml:space="preserve">in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both the </w:t>
      </w:r>
      <w:r w:rsidR="004934A6" w:rsidRPr="004D084E">
        <w:rPr>
          <w:rFonts w:ascii="Times New Roman" w:hAnsi="Times New Roman" w:cs="Times New Roman"/>
          <w:szCs w:val="24"/>
          <w:lang w:val="en-GB"/>
        </w:rPr>
        <w:t>home</w:t>
      </w:r>
      <w:r w:rsidR="00225787"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="004934A6" w:rsidRPr="004D084E">
        <w:rPr>
          <w:rFonts w:ascii="Times New Roman" w:hAnsi="Times New Roman" w:cs="Times New Roman"/>
          <w:szCs w:val="24"/>
          <w:lang w:val="en-GB"/>
        </w:rPr>
        <w:t>host</w:t>
      </w:r>
      <w:r w:rsidR="00225787" w:rsidRPr="004D084E">
        <w:rPr>
          <w:rFonts w:ascii="Times New Roman" w:hAnsi="Times New Roman" w:cs="Times New Roman"/>
          <w:szCs w:val="24"/>
          <w:lang w:val="en-GB"/>
        </w:rPr>
        <w:t xml:space="preserve"> countries </w:t>
      </w:r>
      <w:r w:rsidR="0068205E" w:rsidRPr="004D084E">
        <w:rPr>
          <w:rFonts w:ascii="Times New Roman" w:hAnsi="Times New Roman" w:cs="Times New Roman"/>
          <w:szCs w:val="24"/>
          <w:lang w:val="en-GB"/>
        </w:rPr>
        <w:t>(Clark</w:t>
      </w:r>
      <w:r w:rsidR="00B41302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5F09F1" w:rsidRPr="005F09F1">
        <w:rPr>
          <w:rFonts w:ascii="Times New Roman" w:hAnsi="Times New Roman" w:cs="Times New Roman"/>
          <w:i/>
          <w:szCs w:val="24"/>
          <w:lang w:val="en-GB"/>
        </w:rPr>
        <w:t>et al.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2007</w:t>
      </w:r>
      <w:r w:rsidR="007B289C">
        <w:rPr>
          <w:rFonts w:ascii="Times New Roman" w:hAnsi="Times New Roman" w:cs="Times New Roman"/>
          <w:szCs w:val="24"/>
          <w:lang w:val="en-GB"/>
        </w:rPr>
        <w:t>,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Grogger </w:t>
      </w:r>
      <w:r w:rsidR="00B41302" w:rsidRPr="004D084E">
        <w:rPr>
          <w:rFonts w:ascii="Times New Roman" w:hAnsi="Times New Roman" w:cs="Times New Roman"/>
          <w:szCs w:val="24"/>
          <w:lang w:val="en-GB"/>
        </w:rPr>
        <w:t>and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Hanson</w:t>
      </w:r>
      <w:r w:rsidR="007B289C">
        <w:rPr>
          <w:rFonts w:ascii="Times New Roman" w:hAnsi="Times New Roman" w:cs="Times New Roman"/>
          <w:szCs w:val="24"/>
          <w:lang w:val="en-GB"/>
        </w:rPr>
        <w:t xml:space="preserve"> </w:t>
      </w:r>
      <w:r w:rsidR="0068205E" w:rsidRPr="004D084E">
        <w:rPr>
          <w:rFonts w:ascii="Times New Roman" w:hAnsi="Times New Roman" w:cs="Times New Roman"/>
          <w:szCs w:val="24"/>
          <w:lang w:val="en-GB"/>
        </w:rPr>
        <w:t>2011</w:t>
      </w:r>
      <w:r w:rsidR="007B289C">
        <w:rPr>
          <w:rFonts w:ascii="Times New Roman" w:hAnsi="Times New Roman" w:cs="Times New Roman"/>
          <w:szCs w:val="24"/>
          <w:lang w:val="en-GB"/>
        </w:rPr>
        <w:t>,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Hatton </w:t>
      </w:r>
      <w:r w:rsidR="00B41302" w:rsidRPr="004D084E">
        <w:rPr>
          <w:rFonts w:ascii="Times New Roman" w:hAnsi="Times New Roman" w:cs="Times New Roman"/>
          <w:szCs w:val="24"/>
          <w:lang w:val="en-GB"/>
        </w:rPr>
        <w:t>and</w:t>
      </w:r>
      <w:r w:rsidR="0068205E" w:rsidRPr="004D084E">
        <w:rPr>
          <w:rFonts w:ascii="Times New Roman" w:hAnsi="Times New Roman" w:cs="Times New Roman"/>
          <w:szCs w:val="24"/>
          <w:lang w:val="en-GB"/>
        </w:rPr>
        <w:t xml:space="preserve"> Williamson 2011).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To capture the effect</w:t>
      </w:r>
      <w:r w:rsidR="00EF56C9" w:rsidRPr="004D084E">
        <w:rPr>
          <w:rFonts w:ascii="Times New Roman" w:hAnsi="Times New Roman" w:cs="Times New Roman"/>
          <w:szCs w:val="24"/>
          <w:lang w:val="en-GB"/>
        </w:rPr>
        <w:t>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of institutions, Hatton and Williamson </w:t>
      </w:r>
      <w:r w:rsidR="00860D8C" w:rsidRPr="004D084E">
        <w:rPr>
          <w:rFonts w:ascii="Times New Roman" w:hAnsi="Times New Roman" w:cs="Times New Roman"/>
          <w:szCs w:val="24"/>
          <w:lang w:val="en-GB"/>
        </w:rPr>
        <w:t>(2011)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455CAA" w:rsidRPr="004D084E">
        <w:rPr>
          <w:rFonts w:ascii="Times New Roman" w:hAnsi="Times New Roman" w:cs="Times New Roman"/>
          <w:szCs w:val="24"/>
          <w:lang w:val="en-GB"/>
        </w:rPr>
        <w:t xml:space="preserve">used the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compensatin</w:t>
      </w:r>
      <w:r w:rsidR="00B52BC1" w:rsidRPr="004D084E">
        <w:rPr>
          <w:rFonts w:ascii="Times New Roman" w:hAnsi="Times New Roman" w:cs="Times New Roman"/>
          <w:szCs w:val="24"/>
          <w:lang w:val="en-GB"/>
        </w:rPr>
        <w:t>g differential</w:t>
      </w:r>
      <w:r w:rsidR="00455CAA" w:rsidRPr="004D084E">
        <w:rPr>
          <w:rFonts w:ascii="Times New Roman" w:hAnsi="Times New Roman" w:cs="Times New Roman"/>
          <w:szCs w:val="24"/>
          <w:lang w:val="en-GB"/>
        </w:rPr>
        <w:t xml:space="preserve"> to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represent the non-economic preference of a potential migrant </w:t>
      </w:r>
      <w:r w:rsidR="00B318FE" w:rsidRPr="004D084E">
        <w:rPr>
          <w:rFonts w:ascii="Times New Roman" w:hAnsi="Times New Roman" w:cs="Times New Roman"/>
          <w:szCs w:val="24"/>
          <w:lang w:val="en-GB"/>
        </w:rPr>
        <w:t>for</w:t>
      </w:r>
      <w:r w:rsidR="007675F4" w:rsidRPr="004D084E">
        <w:rPr>
          <w:rFonts w:ascii="Times New Roman" w:hAnsi="Times New Roman" w:cs="Times New Roman"/>
          <w:szCs w:val="24"/>
          <w:lang w:val="en-GB"/>
        </w:rPr>
        <w:t xml:space="preserve"> the </w:t>
      </w:r>
      <w:r w:rsidR="00B41302" w:rsidRPr="004D084E">
        <w:rPr>
          <w:rFonts w:ascii="Times New Roman" w:hAnsi="Times New Roman" w:cs="Times New Roman"/>
          <w:szCs w:val="24"/>
          <w:lang w:val="en-GB"/>
        </w:rPr>
        <w:t>home</w:t>
      </w:r>
      <w:r w:rsidR="007675F4" w:rsidRPr="004D084E">
        <w:rPr>
          <w:rFonts w:ascii="Times New Roman" w:hAnsi="Times New Roman" w:cs="Times New Roman"/>
          <w:szCs w:val="24"/>
          <w:lang w:val="en-GB"/>
        </w:rPr>
        <w:t xml:space="preserve"> country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. </w:t>
      </w:r>
    </w:p>
    <w:p w14:paraId="50F895D9" w14:textId="77777777" w:rsidR="00B370ED" w:rsidRDefault="00B370ED" w:rsidP="000A6434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20084A96" w14:textId="5016A119" w:rsidR="004D3BA0" w:rsidRPr="004D084E" w:rsidRDefault="00FD4C21" w:rsidP="00B370ED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If institutional quality in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>home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country is worse than that in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>host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country, the compensating differential </w:t>
      </w:r>
      <w:r w:rsidR="00B318FE" w:rsidRPr="004D084E">
        <w:rPr>
          <w:rFonts w:ascii="Times New Roman" w:hAnsi="Times New Roman" w:cs="Times New Roman"/>
          <w:szCs w:val="24"/>
          <w:lang w:val="en-GB"/>
        </w:rPr>
        <w:t xml:space="preserve">in favour of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 xml:space="preserve">home </w:t>
      </w:r>
      <w:r w:rsidR="00B318FE" w:rsidRPr="004D084E">
        <w:rPr>
          <w:rFonts w:ascii="Times New Roman" w:hAnsi="Times New Roman" w:cs="Times New Roman"/>
          <w:szCs w:val="24"/>
          <w:lang w:val="en-GB"/>
        </w:rPr>
        <w:t>country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D20F7" w:rsidRPr="004D084E">
        <w:rPr>
          <w:rFonts w:ascii="Times New Roman" w:hAnsi="Times New Roman" w:cs="Times New Roman"/>
          <w:szCs w:val="24"/>
          <w:lang w:val="en-GB"/>
        </w:rPr>
        <w:t xml:space="preserve">will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be negative, thereby increasing the </w:t>
      </w:r>
      <w:r w:rsidR="006D20F7" w:rsidRPr="004D084E">
        <w:rPr>
          <w:rFonts w:ascii="Times New Roman" w:hAnsi="Times New Roman" w:cs="Times New Roman"/>
          <w:szCs w:val="24"/>
          <w:lang w:val="en-GB"/>
        </w:rPr>
        <w:t xml:space="preserve">net </w:t>
      </w:r>
      <w:r w:rsidR="006A3AA4" w:rsidRPr="004D084E">
        <w:rPr>
          <w:rFonts w:ascii="Times New Roman" w:hAnsi="Times New Roman" w:cs="Times New Roman"/>
          <w:szCs w:val="24"/>
          <w:lang w:val="en-GB"/>
        </w:rPr>
        <w:t>benefit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of migration. Isolating the influence of wage</w:t>
      </w:r>
      <w:r w:rsidR="008128C9" w:rsidRPr="004D084E">
        <w:rPr>
          <w:rFonts w:ascii="Times New Roman" w:hAnsi="Times New Roman" w:cs="Times New Roman"/>
          <w:szCs w:val="24"/>
          <w:lang w:val="en-GB"/>
        </w:rPr>
        <w:t xml:space="preserve"> difference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s, </w:t>
      </w:r>
      <w:r w:rsidR="00E30102" w:rsidRPr="004D084E">
        <w:rPr>
          <w:rFonts w:ascii="Times New Roman" w:hAnsi="Times New Roman" w:cs="Times New Roman"/>
          <w:szCs w:val="24"/>
          <w:lang w:val="en-GB"/>
        </w:rPr>
        <w:t>migration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costs, and institutional quality, migration decisions depend on the </w:t>
      </w:r>
      <w:r w:rsidR="00E41AB8" w:rsidRPr="004D084E">
        <w:rPr>
          <w:rFonts w:ascii="Times New Roman" w:hAnsi="Times New Roman" w:cs="Times New Roman"/>
          <w:szCs w:val="24"/>
          <w:lang w:val="en-GB"/>
        </w:rPr>
        <w:t>net benefit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gained from the </w:t>
      </w:r>
      <w:r w:rsidR="000A6434" w:rsidRPr="004D084E">
        <w:rPr>
          <w:rFonts w:ascii="Times New Roman" w:hAnsi="Times New Roman" w:cs="Times New Roman"/>
          <w:szCs w:val="24"/>
          <w:lang w:val="en-GB"/>
        </w:rPr>
        <w:t xml:space="preserve">before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tax wage change (purchasing power corrected) in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>host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country compared with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>home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country, net of </w:t>
      </w:r>
      <w:r w:rsidR="00230216" w:rsidRPr="004D084E">
        <w:rPr>
          <w:rFonts w:ascii="Times New Roman" w:hAnsi="Times New Roman" w:cs="Times New Roman"/>
          <w:szCs w:val="24"/>
          <w:lang w:val="en-GB"/>
        </w:rPr>
        <w:t>migration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costs and </w:t>
      </w:r>
      <w:r w:rsidR="00AE7FC4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096C5A" w:rsidRPr="004D084E">
        <w:rPr>
          <w:rFonts w:ascii="Times New Roman" w:hAnsi="Times New Roman" w:cs="Times New Roman"/>
          <w:szCs w:val="24"/>
          <w:lang w:val="en-GB"/>
        </w:rPr>
        <w:t>compensating differential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for institutional quality in the </w:t>
      </w:r>
      <w:r w:rsidR="006907C1" w:rsidRPr="004D084E">
        <w:rPr>
          <w:rFonts w:ascii="Times New Roman" w:hAnsi="Times New Roman" w:cs="Times New Roman"/>
          <w:szCs w:val="24"/>
          <w:lang w:val="en-GB"/>
        </w:rPr>
        <w:t>home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country.</w:t>
      </w:r>
      <w:r w:rsidR="004F6A2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F32E1B">
        <w:rPr>
          <w:rFonts w:ascii="Times New Roman" w:hAnsi="Times New Roman" w:cs="Times New Roman"/>
          <w:szCs w:val="24"/>
          <w:lang w:val="en-GB"/>
        </w:rPr>
        <w:t xml:space="preserve">Theoretically, </w:t>
      </w:r>
      <w:r w:rsidR="00207924">
        <w:rPr>
          <w:rFonts w:ascii="Times New Roman" w:hAnsi="Times New Roman" w:cs="Times New Roman"/>
          <w:szCs w:val="24"/>
          <w:lang w:val="en-GB"/>
        </w:rPr>
        <w:t>m</w:t>
      </w:r>
      <w:r w:rsidR="004D084E" w:rsidRPr="004D084E">
        <w:rPr>
          <w:lang w:val="en-GB"/>
        </w:rPr>
        <w:t xml:space="preserve">igration </w:t>
      </w:r>
      <w:r w:rsidR="00A35D2C">
        <w:rPr>
          <w:lang w:val="en-GB"/>
        </w:rPr>
        <w:t>decisions depend</w:t>
      </w:r>
      <w:r w:rsidR="004D084E" w:rsidRPr="004D084E">
        <w:rPr>
          <w:lang w:val="en-GB"/>
        </w:rPr>
        <w:t xml:space="preserve"> on both the after</w:t>
      </w:r>
      <w:r w:rsidR="007B289C">
        <w:rPr>
          <w:lang w:val="en-GB"/>
        </w:rPr>
        <w:t>-</w:t>
      </w:r>
      <w:r w:rsidR="004D084E" w:rsidRPr="004D084E">
        <w:rPr>
          <w:lang w:val="en-GB"/>
        </w:rPr>
        <w:t>tax wage diffe</w:t>
      </w:r>
      <w:r w:rsidR="00F409B2">
        <w:rPr>
          <w:lang w:val="en-GB"/>
        </w:rPr>
        <w:t>rence and the tax difference</w:t>
      </w:r>
      <w:r w:rsidR="00AB37BF">
        <w:rPr>
          <w:lang w:val="en-GB"/>
        </w:rPr>
        <w:t>,</w:t>
      </w:r>
      <w:r w:rsidR="00F409B2">
        <w:rPr>
          <w:lang w:val="en-GB"/>
        </w:rPr>
        <w:t xml:space="preserve"> </w:t>
      </w:r>
      <w:r w:rsidR="00AB37BF">
        <w:rPr>
          <w:lang w:val="en-GB"/>
        </w:rPr>
        <w:t>with</w:t>
      </w:r>
      <w:r w:rsidR="00F409B2">
        <w:rPr>
          <w:lang w:val="en-GB"/>
        </w:rPr>
        <w:t xml:space="preserve"> t</w:t>
      </w:r>
      <w:r w:rsidR="00F409B2">
        <w:t xml:space="preserve">he tax </w:t>
      </w:r>
      <w:r w:rsidR="00B8217C">
        <w:t>‘</w:t>
      </w:r>
      <w:r w:rsidR="00F409B2">
        <w:t>buy</w:t>
      </w:r>
      <w:r w:rsidR="00AB37BF">
        <w:t>ing</w:t>
      </w:r>
      <w:r w:rsidR="00B8217C">
        <w:t>’</w:t>
      </w:r>
      <w:r w:rsidR="00F409B2">
        <w:t xml:space="preserve"> utility-yielding public goods</w:t>
      </w:r>
      <w:r w:rsidR="00F409B2">
        <w:rPr>
          <w:lang w:val="en-GB"/>
        </w:rPr>
        <w:t xml:space="preserve">. </w:t>
      </w:r>
      <w:r w:rsidR="00C734FA">
        <w:rPr>
          <w:lang w:val="en-GB"/>
        </w:rPr>
        <w:t>Therefore, i</w:t>
      </w:r>
      <w:r w:rsidR="00F409B2">
        <w:rPr>
          <w:lang w:val="en-GB"/>
        </w:rPr>
        <w:t xml:space="preserve">t is possible to refer to </w:t>
      </w:r>
      <w:r w:rsidR="00F409B2" w:rsidRPr="00F409B2">
        <w:rPr>
          <w:lang w:val="en-GB"/>
        </w:rPr>
        <w:t xml:space="preserve">the </w:t>
      </w:r>
      <w:r w:rsidR="00C42C63">
        <w:rPr>
          <w:lang w:val="en-GB"/>
        </w:rPr>
        <w:t>before</w:t>
      </w:r>
      <w:r w:rsidR="00F409B2" w:rsidRPr="00F409B2">
        <w:rPr>
          <w:lang w:val="en-GB"/>
        </w:rPr>
        <w:t xml:space="preserve"> tax wage difference</w:t>
      </w:r>
      <w:r w:rsidR="00F409B2">
        <w:rPr>
          <w:lang w:val="en-GB"/>
        </w:rPr>
        <w:t xml:space="preserve"> </w:t>
      </w:r>
      <w:r w:rsidR="00C42C63">
        <w:rPr>
          <w:lang w:val="en-GB"/>
        </w:rPr>
        <w:t>in this identification</w:t>
      </w:r>
      <w:r w:rsidR="00F409B2">
        <w:rPr>
          <w:lang w:val="en-GB"/>
        </w:rPr>
        <w:t xml:space="preserve"> by assuming that t</w:t>
      </w:r>
      <w:r w:rsidR="00F409B2" w:rsidRPr="00A73384">
        <w:rPr>
          <w:lang w:val="en-GB"/>
        </w:rPr>
        <w:t xml:space="preserve">he </w:t>
      </w:r>
      <w:r w:rsidR="00AB37BF">
        <w:rPr>
          <w:lang w:val="en-GB"/>
        </w:rPr>
        <w:t xml:space="preserve">income-adjusted </w:t>
      </w:r>
      <w:r w:rsidR="00F409B2" w:rsidRPr="00A73384">
        <w:rPr>
          <w:lang w:val="en-GB"/>
        </w:rPr>
        <w:t>level of public goods in both countries is the same and funded by</w:t>
      </w:r>
      <w:r w:rsidR="00AB37BF">
        <w:rPr>
          <w:lang w:val="en-GB"/>
        </w:rPr>
        <w:t xml:space="preserve"> the</w:t>
      </w:r>
      <w:r w:rsidR="00F409B2" w:rsidRPr="00A73384">
        <w:rPr>
          <w:lang w:val="en-GB"/>
        </w:rPr>
        <w:t xml:space="preserve"> tax rate </w:t>
      </w:r>
      <w:r w:rsidR="00AB37BF">
        <w:rPr>
          <w:lang w:val="en-GB"/>
        </w:rPr>
        <w:t>multiplied by the</w:t>
      </w:r>
      <w:r w:rsidR="00AB37BF" w:rsidRPr="00A73384">
        <w:rPr>
          <w:lang w:val="en-GB"/>
        </w:rPr>
        <w:t xml:space="preserve"> </w:t>
      </w:r>
      <w:r w:rsidR="00F409B2" w:rsidRPr="00A73384">
        <w:rPr>
          <w:lang w:val="en-GB"/>
        </w:rPr>
        <w:t>gross wage</w:t>
      </w:r>
      <w:r w:rsidR="00C734FA">
        <w:rPr>
          <w:lang w:val="en-GB"/>
        </w:rPr>
        <w:t>. I</w:t>
      </w:r>
      <w:r w:rsidR="00A73384" w:rsidRPr="00A73384">
        <w:rPr>
          <w:lang w:val="en-GB"/>
        </w:rPr>
        <w:t>nstitutional quality can then be interpreted as measuring the quality of the public goods.</w:t>
      </w:r>
    </w:p>
    <w:p w14:paraId="79221DD4" w14:textId="77777777" w:rsidR="003215C8" w:rsidRPr="004D084E" w:rsidRDefault="003215C8" w:rsidP="00156DD9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2CDF36D8" w14:textId="51395204" w:rsidR="00133FF6" w:rsidRDefault="00FD4C21" w:rsidP="00156DD9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Appling the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static human capital framework to the 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return migration decisions of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</w:t>
      </w:r>
      <w:r w:rsidR="000E3804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am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ese migrants living in </w:t>
      </w:r>
      <w:r w:rsidR="00B370ED">
        <w:rPr>
          <w:rFonts w:ascii="Times New Roman" w:eastAsiaTheme="majorEastAsia" w:hAnsi="Times New Roman" w:cs="Times New Roman"/>
          <w:bCs/>
          <w:szCs w:val="24"/>
          <w:lang w:val="en-GB"/>
        </w:rPr>
        <w:t>New Zealand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123FD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the net benefit gained by</w:t>
      </w:r>
      <w:r w:rsidR="00BA04B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individual with skill </w:t>
      </w:r>
      <w:proofErr w:type="spellStart"/>
      <w:r w:rsidR="00133FF6" w:rsidRPr="004D084E">
        <w:rPr>
          <w:rFonts w:ascii="Times New Roman" w:eastAsiaTheme="majorEastAsia" w:hAnsi="Times New Roman" w:cs="Times New Roman"/>
          <w:bCs/>
          <w:i/>
          <w:szCs w:val="24"/>
          <w:lang w:val="en-GB"/>
        </w:rPr>
        <w:t>i</w:t>
      </w:r>
      <w:proofErr w:type="spellEnd"/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123FD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when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considering 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return</w:t>
      </w:r>
      <w:r w:rsidR="00123FD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ing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from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to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133FF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permanently</w:t>
      </w:r>
      <w:r w:rsidR="00C06C0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D0316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(</w:t>
      </w:r>
      <w:r w:rsidR="002D5B0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labelled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NB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D0316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) </w:t>
      </w:r>
      <w:r w:rsidR="00C06C0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is given by:</w:t>
      </w:r>
    </w:p>
    <w:p w14:paraId="7167E086" w14:textId="77777777" w:rsidR="005F09F1" w:rsidRPr="00271AF8" w:rsidRDefault="005F09F1" w:rsidP="00156DD9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 w:val="12"/>
          <w:szCs w:val="1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52"/>
      </w:tblGrid>
      <w:tr w:rsidR="00123FDE" w:rsidRPr="007B289C" w14:paraId="2D122D53" w14:textId="77777777" w:rsidTr="00C462BF">
        <w:tc>
          <w:tcPr>
            <w:tcW w:w="8364" w:type="dxa"/>
          </w:tcPr>
          <w:p w14:paraId="0A47B472" w14:textId="05FB7C27" w:rsidR="00123FDE" w:rsidRPr="007B289C" w:rsidRDefault="00D478E6" w:rsidP="00AA3EEE">
            <w:pPr>
              <w:spacing w:before="120" w:after="120" w:line="300" w:lineRule="auto"/>
              <w:jc w:val="both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NB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NZ-VN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52" w:type="dxa"/>
          </w:tcPr>
          <w:p w14:paraId="7BE220D3" w14:textId="77777777" w:rsidR="00123FDE" w:rsidRPr="007B289C" w:rsidRDefault="00123FDE" w:rsidP="00AA3EEE">
            <w:pPr>
              <w:spacing w:before="120"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7B289C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(1)</w:t>
            </w:r>
          </w:p>
        </w:tc>
      </w:tr>
    </w:tbl>
    <w:p w14:paraId="2DA9DB9E" w14:textId="77777777" w:rsidR="005F09F1" w:rsidRPr="007B289C" w:rsidRDefault="005F09F1" w:rsidP="003B5CFF">
      <w:pPr>
        <w:spacing w:line="300" w:lineRule="auto"/>
        <w:jc w:val="both"/>
        <w:rPr>
          <w:rFonts w:ascii="Times New Roman" w:eastAsiaTheme="majorEastAsia" w:hAnsi="Times New Roman" w:cs="Times New Roman"/>
          <w:bCs/>
          <w:sz w:val="22"/>
          <w:lang w:val="en-GB"/>
        </w:rPr>
      </w:pPr>
    </w:p>
    <w:p w14:paraId="2D618792" w14:textId="1E7C8F32" w:rsidR="00133FF6" w:rsidRDefault="00D03167" w:rsidP="003B5CFF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where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j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is </w:t>
      </w:r>
      <w:r w:rsidR="00A62B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the 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before 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tax wage rate 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of </w:t>
      </w:r>
      <w:r w:rsidR="00A62B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an 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individual with skill </w:t>
      </w:r>
      <w:proofErr w:type="spellStart"/>
      <w:r w:rsidR="00F56C3A" w:rsidRPr="004D084E">
        <w:rPr>
          <w:rFonts w:ascii="Times New Roman" w:eastAsiaTheme="majorEastAsia" w:hAnsi="Times New Roman" w:cs="Times New Roman"/>
          <w:bCs/>
          <w:i/>
          <w:szCs w:val="24"/>
          <w:lang w:val="en-GB"/>
        </w:rPr>
        <w:t>i</w:t>
      </w:r>
      <w:proofErr w:type="spellEnd"/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 country </w:t>
      </w:r>
      <w:r w:rsidR="00C97AC7" w:rsidRPr="004D084E">
        <w:rPr>
          <w:rFonts w:ascii="Times New Roman" w:eastAsiaTheme="majorEastAsia" w:hAnsi="Times New Roman" w:cs="Times New Roman"/>
          <w:bCs/>
          <w:i/>
          <w:iCs/>
          <w:szCs w:val="24"/>
          <w:lang w:val="en-GB"/>
        </w:rPr>
        <w:t>j = {NZ,VN}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MC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represents 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net 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return migration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costs 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(</w:t>
      </w:r>
      <w:r w:rsidR="005A0EF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corrected for the 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psychic cost</w:t>
      </w:r>
      <w:r w:rsidR="00EB046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s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of living abroad</w:t>
      </w:r>
      <w:r w:rsidR="000B19F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and the difference in amenities between the two countries</w:t>
      </w:r>
      <w:r w:rsidR="00AF66C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) 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incurred when</w:t>
      </w:r>
      <w:r w:rsidR="00A62B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individual 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with skill </w:t>
      </w:r>
      <w:proofErr w:type="spellStart"/>
      <w:r w:rsidR="00C97AC7" w:rsidRPr="004D084E">
        <w:rPr>
          <w:rFonts w:ascii="Times New Roman" w:eastAsiaTheme="majorEastAsia" w:hAnsi="Times New Roman" w:cs="Times New Roman"/>
          <w:bCs/>
          <w:i/>
          <w:iCs/>
          <w:szCs w:val="24"/>
          <w:lang w:val="en-GB"/>
        </w:rPr>
        <w:t>i</w:t>
      </w:r>
      <w:proofErr w:type="spellEnd"/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returns from </w:t>
      </w:r>
      <w:r w:rsidR="00C97AC7" w:rsidRPr="004D084E">
        <w:rPr>
          <w:rFonts w:ascii="Times New Roman" w:eastAsiaTheme="majorEastAsia" w:hAnsi="Times New Roman" w:cs="Times New Roman"/>
          <w:bCs/>
          <w:i/>
          <w:iCs/>
          <w:szCs w:val="24"/>
          <w:lang w:val="en-GB"/>
        </w:rPr>
        <w:t>NZ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to </w:t>
      </w:r>
      <w:r w:rsidR="00C97AC7" w:rsidRPr="004D084E">
        <w:rPr>
          <w:rFonts w:ascii="Times New Roman" w:eastAsiaTheme="majorEastAsia" w:hAnsi="Times New Roman" w:cs="Times New Roman"/>
          <w:bCs/>
          <w:i/>
          <w:szCs w:val="24"/>
          <w:lang w:val="en-GB"/>
        </w:rPr>
        <w:t>VN</w:t>
      </w:r>
      <w:r w:rsidR="00F56C3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 and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denotes the </w:t>
      </w:r>
      <w:r w:rsidR="00DE37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compensating </w:t>
      </w:r>
      <w:r w:rsidR="00DE37D8" w:rsidRPr="00D9739B">
        <w:rPr>
          <w:rFonts w:ascii="Times New Roman" w:eastAsiaTheme="majorEastAsia" w:hAnsi="Times New Roman" w:cs="Times New Roman"/>
          <w:bCs/>
          <w:i/>
          <w:iCs/>
          <w:szCs w:val="24"/>
          <w:lang w:val="en-GB"/>
        </w:rPr>
        <w:t>differential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DE37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 favour of institutional quality </w:t>
      </w:r>
      <w:r w:rsidR="008672DB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 </w:t>
      </w:r>
      <w:r w:rsidR="002872AF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NZ</w:t>
      </w:r>
      <w:r w:rsidR="00DE37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of </w:t>
      </w:r>
      <w:r w:rsidR="00A62B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an </w:t>
      </w:r>
      <w:r w:rsidR="00DE37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</w:t>
      </w:r>
      <w:r w:rsidR="00C97AC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ndividual</w:t>
      </w:r>
      <w:r w:rsidR="00DE37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with skill </w:t>
      </w:r>
      <w:proofErr w:type="spellStart"/>
      <w:r w:rsidR="00DE37D8" w:rsidRPr="004D084E">
        <w:rPr>
          <w:rFonts w:ascii="Times New Roman" w:eastAsiaTheme="majorEastAsia" w:hAnsi="Times New Roman" w:cs="Times New Roman"/>
          <w:bCs/>
          <w:i/>
          <w:szCs w:val="24"/>
          <w:lang w:val="en-GB"/>
        </w:rPr>
        <w:t>i</w:t>
      </w:r>
      <w:proofErr w:type="spellEnd"/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(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that is, </w:t>
      </w:r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NZ-VN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&gt;0)</m:t>
        </m:r>
      </m:oMath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. All variables are measured for the same time period, 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>that is,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interpreted as costs or benefits per period. </w:t>
      </w:r>
      <w:r w:rsidR="000B19F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Note that for most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</w:t>
      </w:r>
      <w:r w:rsidR="000E3804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am</w:t>
      </w:r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ese migrants living in N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>ew Zealand</w:t>
      </w:r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6D20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&lt;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657AF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3B5CFF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and</w:t>
      </w:r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MC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&gt;0, </m:t>
        </m:r>
      </m:oMath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which renders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NB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&lt;0</m:t>
        </m:r>
      </m:oMath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. 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Since there is some return migration actually observed,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MC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&lt;0 </m:t>
        </m:r>
      </m:oMath>
      <w:r w:rsidR="000E3C0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for those migrants and the following would hold:</w:t>
      </w:r>
      <m:oMath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 -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MC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&gt; 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-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+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NZ-VN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B80D7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. 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B80D7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</w:t>
      </w:r>
      <w:r w:rsidR="006756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 i</w:t>
      </w:r>
      <w:r w:rsidR="0093130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ndividual </w:t>
      </w:r>
      <w:r w:rsidR="006756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</w:t>
      </w:r>
      <w:r w:rsidR="0093130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s indifferent between residing in</w:t>
      </w:r>
      <w:r w:rsidR="00271AF8" w:rsidRPr="00271AF8">
        <w:rPr>
          <w:rFonts w:ascii="Times New Roman" w:hAnsi="Times New Roman" w:cs="Times New Roman"/>
          <w:szCs w:val="24"/>
          <w:lang w:val="en-GB"/>
        </w:rPr>
        <w:t xml:space="preserve">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C1531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93130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and returning to VN</w:t>
      </w:r>
      <w:r w:rsidR="00B23AAC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when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NB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B23AAC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36778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 </w:t>
      </w:r>
      <w:r w:rsidR="00F7324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Equation</w:t>
      </w:r>
      <w:r w:rsidR="0036778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(1) </w:t>
      </w:r>
      <w:r w:rsidR="00F7324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is </w:t>
      </w:r>
      <w:r w:rsidR="00B23AAC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equal</w:t>
      </w:r>
      <w:r w:rsidR="00F7324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to</w:t>
      </w:r>
      <w:r w:rsidR="00B23AAC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zero</w:t>
      </w:r>
      <w:r w:rsidR="0036778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</w:t>
      </w:r>
      <w:r w:rsidR="00B80D7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which implies </w:t>
      </w:r>
      <w:r w:rsidR="00F7324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that</w:t>
      </w:r>
      <w:r w:rsidR="0036778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:</w:t>
      </w:r>
    </w:p>
    <w:p w14:paraId="37C870A7" w14:textId="77777777" w:rsidR="005F09F1" w:rsidRPr="004D084E" w:rsidRDefault="005F09F1" w:rsidP="003B5CFF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</w:p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79"/>
      </w:tblGrid>
      <w:tr w:rsidR="00F7324E" w:rsidRPr="004D084E" w14:paraId="08AB305A" w14:textId="77777777" w:rsidTr="00226B29">
        <w:tc>
          <w:tcPr>
            <w:tcW w:w="8364" w:type="dxa"/>
          </w:tcPr>
          <w:p w14:paraId="119AAB48" w14:textId="0BEED916" w:rsidR="00F7324E" w:rsidRPr="007B289C" w:rsidRDefault="00D478E6" w:rsidP="00226B29">
            <w:pPr>
              <w:spacing w:after="120" w:line="300" w:lineRule="auto"/>
              <w:jc w:val="both"/>
              <w:rPr>
                <w:rFonts w:ascii="Cambria Math" w:eastAsiaTheme="majorEastAsia" w:hAnsi="Cambria Math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79" w:type="dxa"/>
          </w:tcPr>
          <w:p w14:paraId="75A9A851" w14:textId="6D0DA627" w:rsidR="00F7324E" w:rsidRPr="007B289C" w:rsidRDefault="00F7324E" w:rsidP="002F124C">
            <w:pPr>
              <w:spacing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7B289C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(2)</w:t>
            </w:r>
            <w:r w:rsidR="00226B29" w:rsidRPr="007B289C">
              <w:rPr>
                <w:rStyle w:val="FootnoteReference"/>
                <w:rFonts w:eastAsiaTheme="majorEastAsia"/>
                <w:bCs/>
                <w:sz w:val="22"/>
                <w:szCs w:val="22"/>
                <w:lang w:val="en-GB"/>
              </w:rPr>
              <w:footnoteReference w:id="1"/>
            </w:r>
          </w:p>
        </w:tc>
      </w:tr>
    </w:tbl>
    <w:p w14:paraId="2A6AA92A" w14:textId="77777777" w:rsidR="00367782" w:rsidRPr="004D084E" w:rsidRDefault="00F7324E" w:rsidP="005E7DC1">
      <w:pPr>
        <w:spacing w:line="240" w:lineRule="auto"/>
        <w:jc w:val="both"/>
        <w:rPr>
          <w:rFonts w:ascii="Times New Roman" w:hAnsi="Times New Roman" w:cs="Times New Roman"/>
          <w:bCs/>
          <w:szCs w:val="24"/>
          <w:lang w:val="en-GB"/>
        </w:rPr>
      </w:pPr>
      <w:r w:rsidRPr="004D084E">
        <w:rPr>
          <w:rFonts w:ascii="Times New Roman" w:hAnsi="Times New Roman" w:cs="Times New Roman"/>
          <w:bCs/>
          <w:szCs w:val="24"/>
          <w:lang w:val="en-GB"/>
        </w:rPr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52"/>
      </w:tblGrid>
      <w:tr w:rsidR="00F7324E" w:rsidRPr="004D084E" w14:paraId="176E54CB" w14:textId="77777777" w:rsidTr="00226B29">
        <w:tc>
          <w:tcPr>
            <w:tcW w:w="8364" w:type="dxa"/>
          </w:tcPr>
          <w:p w14:paraId="58E87A23" w14:textId="733F755A" w:rsidR="00F7324E" w:rsidRPr="007B289C" w:rsidRDefault="00D478E6" w:rsidP="00AA3EEE">
            <w:pPr>
              <w:spacing w:before="120" w:after="120" w:line="300" w:lineRule="auto"/>
              <w:jc w:val="both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52" w:type="dxa"/>
          </w:tcPr>
          <w:p w14:paraId="69A26E4C" w14:textId="77777777" w:rsidR="00F7324E" w:rsidRPr="007B289C" w:rsidRDefault="00F7324E" w:rsidP="00AA3EEE">
            <w:pPr>
              <w:spacing w:before="120"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7B289C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(3)</w:t>
            </w:r>
          </w:p>
        </w:tc>
      </w:tr>
    </w:tbl>
    <w:p w14:paraId="6CE24C07" w14:textId="77777777" w:rsidR="005F09F1" w:rsidRPr="005F09F1" w:rsidRDefault="005F09F1" w:rsidP="005F09F1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 w:val="12"/>
          <w:szCs w:val="12"/>
          <w:lang w:val="en-GB"/>
        </w:rPr>
      </w:pPr>
    </w:p>
    <w:p w14:paraId="120CAF76" w14:textId="05BF49B5" w:rsidR="006D20F7" w:rsidRDefault="003B5CFF" w:rsidP="005F09F1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Estimates of the</w:t>
      </w:r>
      <w:r w:rsidR="002C7CD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differential in favour of institutional quality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B64BE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can be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obtained by means of </w:t>
      </w:r>
      <w:r w:rsidR="006E32B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quation (</w:t>
      </w:r>
      <w:r w:rsidR="002C7CD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3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). </w:t>
      </w:r>
      <w:r w:rsidR="005E2E5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The higher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</w:t>
      </w:r>
      <w:r w:rsidR="000E3804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am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ese migrants living in </w:t>
      </w:r>
      <w:r w:rsidR="001128F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7B289C">
        <w:rPr>
          <w:rFonts w:ascii="Times New Roman" w:eastAsiaTheme="majorEastAsia" w:hAnsi="Times New Roman" w:cs="Times New Roman"/>
          <w:bCs/>
          <w:szCs w:val="24"/>
          <w:lang w:val="en-GB"/>
        </w:rPr>
        <w:t>ew Zealand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perceive institutional quality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B80D7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to be </w:t>
      </w:r>
      <w:r w:rsidR="005E2E5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relative to 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that in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2C7CD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5E2E5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greater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5E2E55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will be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thereby decreasing the </w:t>
      </w:r>
      <w:r w:rsidR="002C7CD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net 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benefit of returning to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. Consequently, </w:t>
      </w:r>
      <w:r w:rsidR="00EA083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they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would </w:t>
      </w:r>
      <w:r w:rsidR="003D10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 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 </w:t>
      </w:r>
      <w:r w:rsidR="00B80D7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much 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higher wage rate in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7940D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m:oMath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 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7940D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relative to their current wage rate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7940D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7940D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to offset the perceived </w:t>
      </w:r>
      <w:r w:rsidR="00542CBC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gap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 institutional quality between the two countries</w:t>
      </w:r>
      <w:r w:rsidR="006D20F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 order</w:t>
      </w:r>
      <w:r w:rsidR="00D113A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E02F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to be indifferent between </w:t>
      </w:r>
      <w:r w:rsidR="00240FB9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livi</w:t>
      </w:r>
      <w:r w:rsidR="007940D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ng</w:t>
      </w:r>
      <w:r w:rsidR="00E02F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 </w:t>
      </w:r>
      <w:r w:rsidR="005F09F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5F09F1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ew Zealand </w:t>
      </w:r>
      <w:r w:rsidR="00E02FD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and repatriating to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A96EDE">
        <w:rPr>
          <w:rFonts w:ascii="Times New Roman" w:eastAsiaTheme="majorEastAsia" w:hAnsi="Times New Roman" w:cs="Times New Roman"/>
          <w:bCs/>
          <w:szCs w:val="24"/>
          <w:lang w:val="en-GB"/>
        </w:rPr>
        <w:t>.</w:t>
      </w:r>
    </w:p>
    <w:p w14:paraId="135C24A0" w14:textId="77777777" w:rsidR="00A96EDE" w:rsidRPr="004D084E" w:rsidRDefault="00A96EDE" w:rsidP="003B5CFF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</w:p>
    <w:p w14:paraId="7EB7BAE5" w14:textId="4F700FE4" w:rsidR="00FD4C21" w:rsidRPr="004D084E" w:rsidRDefault="00A56AF3" w:rsidP="005F09F1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The </w:t>
      </w:r>
      <w:r w:rsidR="003D10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required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wage rate in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may be elicited by means of </w:t>
      </w:r>
      <w:r w:rsidR="00CB3453" w:rsidRPr="004D084E">
        <w:rPr>
          <w:rFonts w:ascii="Times New Roman" w:hAnsi="Times New Roman" w:cs="Times New Roman"/>
          <w:szCs w:val="24"/>
          <w:lang w:val="en-GB"/>
        </w:rPr>
        <w:t>contingent valuation</w:t>
      </w:r>
      <w:r w:rsidR="00CB345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(</w:t>
      </w:r>
      <w:r w:rsidR="001128F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CV</w:t>
      </w:r>
      <w:r w:rsidR="00CB3453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)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questions.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</w:t>
      </w:r>
      <w:r w:rsidR="006D5708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discrepancy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between the </w:t>
      </w:r>
      <w:r w:rsidR="003D10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required 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wage rate in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and the current wage rate in </w:t>
      </w:r>
      <w:r w:rsidR="005F09F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5F09F1">
        <w:rPr>
          <w:rFonts w:ascii="Times New Roman" w:eastAsiaTheme="majorEastAsia" w:hAnsi="Times New Roman" w:cs="Times New Roman"/>
          <w:bCs/>
          <w:szCs w:val="24"/>
          <w:lang w:val="en-GB"/>
        </w:rPr>
        <w:t>ew Zealand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establishes 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 wage differential </w:t>
      </w:r>
      <w:r w:rsidR="005876E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known as</w:t>
      </w:r>
      <w:r w:rsidR="005C679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 equivalent vari</w:t>
      </w:r>
      <w:r w:rsidR="002A4B8B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ation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for </w:t>
      </w:r>
      <w:r w:rsidR="001128F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a 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potential unfavourable change in institutional quality</w:t>
      </w:r>
      <w:r w:rsidR="00E53D9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resulting from </w:t>
      </w:r>
      <w:r w:rsidR="00620D0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repatriation</w:t>
      </w:r>
      <w:r w:rsidR="00E53D9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given</w:t>
      </w:r>
      <w:r w:rsidR="00A7042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expected migration costs, psychic costs and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amenities available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7172B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and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. </w:t>
      </w:r>
      <w:r w:rsidR="00A652E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This </w:t>
      </w:r>
      <w:r w:rsidR="001309D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wage</w:t>
      </w:r>
      <w:r w:rsidR="00A652E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differential can then be used as a starting point when comparing hypothetical scenarios that involve </w:t>
      </w:r>
      <w:r w:rsidR="001128F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varying</w:t>
      </w:r>
      <w:r w:rsidR="00A652E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institutional quality in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A652E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, controlling for other differences between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A652E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and </w:t>
      </w:r>
      <w:r w:rsidR="001128F0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5F09F1">
        <w:rPr>
          <w:rFonts w:ascii="Times New Roman" w:eastAsiaTheme="majorEastAsia" w:hAnsi="Times New Roman" w:cs="Times New Roman"/>
          <w:bCs/>
          <w:szCs w:val="24"/>
          <w:lang w:val="en-GB"/>
        </w:rPr>
        <w:t>ew Zealand.</w:t>
      </w:r>
    </w:p>
    <w:p w14:paraId="6989EA82" w14:textId="77777777" w:rsidR="003D1000" w:rsidRPr="004D084E" w:rsidRDefault="003D1000" w:rsidP="003D1000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</w:p>
    <w:p w14:paraId="6AF67F3A" w14:textId="7C71A883" w:rsidR="00FD4C21" w:rsidRPr="004D084E" w:rsidRDefault="00A86A25" w:rsidP="00A86A25">
      <w:pPr>
        <w:pStyle w:val="Heading1"/>
        <w:spacing w:before="0" w:line="30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3. </w:t>
      </w:r>
      <w:r w:rsidR="000A6986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Research </w:t>
      </w:r>
      <w:r w:rsidR="005F09F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D</w:t>
      </w:r>
      <w:r w:rsidR="000A6986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esign</w:t>
      </w:r>
      <w:r w:rsidR="00C74C5C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and </w:t>
      </w:r>
      <w:r w:rsidR="005F09F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D</w:t>
      </w:r>
      <w:r w:rsidR="00C74C5C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ata</w:t>
      </w:r>
    </w:p>
    <w:p w14:paraId="25170F93" w14:textId="77777777" w:rsidR="005F09F1" w:rsidRDefault="005F09F1" w:rsidP="005F09F1">
      <w:pPr>
        <w:spacing w:line="300" w:lineRule="auto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DA32BC4" w14:textId="488CDF8A" w:rsidR="00CD4C16" w:rsidRPr="005F09F1" w:rsidRDefault="00B14976" w:rsidP="005F09F1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This study </w:t>
      </w:r>
      <w:r w:rsidR="0013380C" w:rsidRPr="004D084E">
        <w:rPr>
          <w:rFonts w:ascii="Times New Roman" w:hAnsi="Times New Roman" w:cs="Times New Roman"/>
          <w:szCs w:val="24"/>
          <w:lang w:val="en-GB"/>
        </w:rPr>
        <w:t>scrutinizes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primary d</w:t>
      </w:r>
      <w:r w:rsidR="00E45B63" w:rsidRPr="004D084E">
        <w:rPr>
          <w:rFonts w:ascii="Times New Roman" w:hAnsi="Times New Roman" w:cs="Times New Roman"/>
          <w:szCs w:val="24"/>
          <w:lang w:val="en-GB"/>
        </w:rPr>
        <w:t xml:space="preserve">ata collected using a survey </w:t>
      </w:r>
      <w:r w:rsidR="0015746E" w:rsidRPr="004D084E">
        <w:rPr>
          <w:rFonts w:ascii="Times New Roman" w:hAnsi="Times New Roman" w:cs="Times New Roman"/>
          <w:szCs w:val="24"/>
          <w:lang w:val="en-GB"/>
        </w:rPr>
        <w:t xml:space="preserve">of </w:t>
      </w:r>
      <w:r w:rsidR="00D801D9">
        <w:rPr>
          <w:rFonts w:ascii="Times New Roman" w:hAnsi="Times New Roman" w:cs="Times New Roman"/>
          <w:szCs w:val="24"/>
          <w:lang w:val="en-GB"/>
        </w:rPr>
        <w:t xml:space="preserve">Viet </w:t>
      </w:r>
      <w:proofErr w:type="spellStart"/>
      <w:r w:rsidR="00D801D9">
        <w:rPr>
          <w:rFonts w:ascii="Times New Roman" w:hAnsi="Times New Roman" w:cs="Times New Roman"/>
          <w:szCs w:val="24"/>
          <w:lang w:val="en-GB"/>
        </w:rPr>
        <w:t>Nam</w:t>
      </w:r>
      <w:r w:rsidR="0015746E" w:rsidRPr="004D084E">
        <w:rPr>
          <w:rFonts w:ascii="Times New Roman" w:hAnsi="Times New Roman" w:cs="Times New Roman"/>
          <w:szCs w:val="24"/>
          <w:lang w:val="en-GB"/>
        </w:rPr>
        <w:t>ese</w:t>
      </w:r>
      <w:proofErr w:type="spellEnd"/>
      <w:r w:rsidR="0015746E" w:rsidRPr="004D084E">
        <w:rPr>
          <w:rFonts w:ascii="Times New Roman" w:hAnsi="Times New Roman" w:cs="Times New Roman"/>
          <w:szCs w:val="24"/>
          <w:lang w:val="en-GB"/>
        </w:rPr>
        <w:t xml:space="preserve"> migrants living in N</w:t>
      </w:r>
      <w:r w:rsidR="00E12211">
        <w:rPr>
          <w:rFonts w:ascii="Times New Roman" w:hAnsi="Times New Roman" w:cs="Times New Roman"/>
          <w:szCs w:val="24"/>
          <w:lang w:val="en-GB"/>
        </w:rPr>
        <w:t>ew Zealand</w:t>
      </w:r>
      <w:r w:rsidR="0015746E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E45B63" w:rsidRPr="004D084E">
        <w:rPr>
          <w:rFonts w:ascii="Times New Roman" w:hAnsi="Times New Roman" w:cs="Times New Roman"/>
          <w:szCs w:val="24"/>
          <w:lang w:val="en-GB"/>
        </w:rPr>
        <w:t xml:space="preserve">in 2016. </w:t>
      </w:r>
      <w:r w:rsidR="00EC7F3B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multi-purpose questionnaire</w:t>
      </w:r>
      <w:r w:rsidR="00EC7F3B" w:rsidRPr="004D084E">
        <w:rPr>
          <w:rFonts w:ascii="Times New Roman" w:hAnsi="Times New Roman" w:cs="Times New Roman"/>
          <w:szCs w:val="24"/>
          <w:lang w:val="en-GB"/>
        </w:rPr>
        <w:t xml:space="preserve"> include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EC7F3B" w:rsidRPr="004D084E">
        <w:rPr>
          <w:rFonts w:ascii="Times New Roman" w:hAnsi="Times New Roman" w:cs="Times New Roman"/>
          <w:szCs w:val="24"/>
          <w:lang w:val="en-GB"/>
        </w:rPr>
        <w:t xml:space="preserve">two CV questions designed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to </w:t>
      </w:r>
      <w:r w:rsidR="00741FE2" w:rsidRPr="004D084E">
        <w:rPr>
          <w:rFonts w:ascii="Times New Roman" w:hAnsi="Times New Roman" w:cs="Times New Roman"/>
          <w:szCs w:val="24"/>
          <w:lang w:val="en-GB"/>
        </w:rPr>
        <w:t>establish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the compensating differential</w:t>
      </w:r>
      <w:r w:rsidR="00741FE2" w:rsidRPr="004D084E">
        <w:rPr>
          <w:rFonts w:ascii="Times New Roman" w:hAnsi="Times New Roman" w:cs="Times New Roman"/>
          <w:szCs w:val="24"/>
          <w:lang w:val="en-GB"/>
        </w:rPr>
        <w:t>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that make the respondents indifferent between living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and returning to </w:t>
      </w:r>
      <w:r w:rsidR="00D801D9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. The two</w:t>
      </w:r>
      <w:r w:rsidR="00810A89" w:rsidRPr="004D084E">
        <w:rPr>
          <w:rFonts w:ascii="Times New Roman" w:hAnsi="Times New Roman" w:cs="Times New Roman"/>
          <w:szCs w:val="24"/>
          <w:lang w:val="en-GB"/>
        </w:rPr>
        <w:t xml:space="preserve"> CV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ques</w:t>
      </w:r>
      <w:r w:rsidR="00E33DB4" w:rsidRPr="004D084E">
        <w:rPr>
          <w:rFonts w:ascii="Times New Roman" w:hAnsi="Times New Roman" w:cs="Times New Roman"/>
          <w:szCs w:val="24"/>
          <w:lang w:val="en-GB"/>
        </w:rPr>
        <w:t xml:space="preserve">tions, which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took </w:t>
      </w:r>
      <w:r w:rsidR="00E33DB4" w:rsidRPr="004D084E">
        <w:rPr>
          <w:rFonts w:ascii="Times New Roman" w:hAnsi="Times New Roman" w:cs="Times New Roman"/>
          <w:szCs w:val="24"/>
          <w:lang w:val="en-GB"/>
        </w:rPr>
        <w:t xml:space="preserve">the form of payment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cards</w:t>
      </w:r>
      <w:r w:rsidR="00E33DB4" w:rsidRPr="004D084E">
        <w:rPr>
          <w:rFonts w:ascii="Times New Roman" w:hAnsi="Times New Roman" w:cs="Times New Roman"/>
          <w:szCs w:val="24"/>
          <w:lang w:val="en-GB"/>
        </w:rPr>
        <w:t xml:space="preserve"> with ascending categories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, allow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ed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the respondents to choose </w:t>
      </w:r>
      <w:r w:rsidR="00B64BE5" w:rsidRPr="004D084E">
        <w:rPr>
          <w:rFonts w:ascii="Times New Roman" w:hAnsi="Times New Roman" w:cs="Times New Roman"/>
          <w:szCs w:val="24"/>
          <w:lang w:val="en-GB"/>
        </w:rPr>
        <w:t xml:space="preserve">required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income </w:t>
      </w:r>
      <w:r w:rsidR="00FD4C21" w:rsidRPr="004D084E">
        <w:rPr>
          <w:rFonts w:ascii="Times New Roman" w:hAnsi="Times New Roman" w:cs="Times New Roman"/>
          <w:szCs w:val="24"/>
          <w:lang w:val="en-GB"/>
        </w:rPr>
        <w:lastRenderedPageBreak/>
        <w:t xml:space="preserve">intervals. Each </w:t>
      </w:r>
      <w:r w:rsidR="00B13CC4" w:rsidRPr="004D084E">
        <w:rPr>
          <w:rFonts w:ascii="Times New Roman" w:hAnsi="Times New Roman" w:cs="Times New Roman"/>
          <w:szCs w:val="24"/>
          <w:lang w:val="en-GB"/>
        </w:rPr>
        <w:t>CV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question was followed by an open-ended question, asking the respondents to state an exact amount of income within their chosen intervals. If the respondents did not </w:t>
      </w:r>
      <w:r w:rsidR="007169C3" w:rsidRPr="004D084E">
        <w:rPr>
          <w:rFonts w:ascii="Times New Roman" w:hAnsi="Times New Roman" w:cs="Times New Roman"/>
          <w:szCs w:val="24"/>
          <w:lang w:val="en-GB"/>
        </w:rPr>
        <w:t>answer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the open-ended questions, </w:t>
      </w:r>
      <w:r w:rsidR="003D1000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mid-point method was appl</w:t>
      </w:r>
      <w:r w:rsidR="00116436" w:rsidRPr="004D084E">
        <w:rPr>
          <w:rFonts w:ascii="Times New Roman" w:hAnsi="Times New Roman" w:cs="Times New Roman"/>
          <w:szCs w:val="24"/>
          <w:lang w:val="en-GB"/>
        </w:rPr>
        <w:t>ied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to </w:t>
      </w:r>
      <w:r w:rsidR="006C5114" w:rsidRPr="004D084E">
        <w:rPr>
          <w:rFonts w:ascii="Times New Roman" w:hAnsi="Times New Roman" w:cs="Times New Roman"/>
          <w:szCs w:val="24"/>
          <w:lang w:val="en-GB"/>
        </w:rPr>
        <w:t xml:space="preserve">transform the </w:t>
      </w:r>
      <w:r w:rsidR="00B83D11" w:rsidRPr="004D084E">
        <w:rPr>
          <w:rFonts w:ascii="Times New Roman" w:hAnsi="Times New Roman" w:cs="Times New Roman"/>
          <w:szCs w:val="24"/>
          <w:lang w:val="en-GB"/>
        </w:rPr>
        <w:t xml:space="preserve">required </w:t>
      </w:r>
      <w:r w:rsidR="006C5114" w:rsidRPr="004D084E">
        <w:rPr>
          <w:rFonts w:ascii="Times New Roman" w:hAnsi="Times New Roman" w:cs="Times New Roman"/>
          <w:szCs w:val="24"/>
          <w:lang w:val="en-GB"/>
        </w:rPr>
        <w:t>income</w:t>
      </w:r>
      <w:r w:rsidR="00751B30" w:rsidRPr="004D084E">
        <w:rPr>
          <w:rFonts w:ascii="Times New Roman" w:hAnsi="Times New Roman" w:cs="Times New Roman"/>
          <w:szCs w:val="24"/>
          <w:lang w:val="en-GB"/>
        </w:rPr>
        <w:t xml:space="preserve"> interval</w:t>
      </w:r>
      <w:r w:rsidR="00054B90" w:rsidRPr="004D084E">
        <w:rPr>
          <w:rFonts w:ascii="Times New Roman" w:hAnsi="Times New Roman" w:cs="Times New Roman"/>
          <w:szCs w:val="24"/>
          <w:lang w:val="en-GB"/>
        </w:rPr>
        <w:t>s</w:t>
      </w:r>
      <w:r w:rsidR="006C5114" w:rsidRPr="004D084E">
        <w:rPr>
          <w:rFonts w:ascii="Times New Roman" w:hAnsi="Times New Roman" w:cs="Times New Roman"/>
          <w:szCs w:val="24"/>
          <w:lang w:val="en-GB"/>
        </w:rPr>
        <w:t xml:space="preserve"> into continuous </w:t>
      </w:r>
      <w:r w:rsidR="00551AD1" w:rsidRPr="004D084E">
        <w:rPr>
          <w:rFonts w:ascii="Times New Roman" w:hAnsi="Times New Roman" w:cs="Times New Roman"/>
          <w:szCs w:val="24"/>
          <w:lang w:val="en-GB"/>
        </w:rPr>
        <w:t>v</w:t>
      </w:r>
      <w:r w:rsidR="006C5114" w:rsidRPr="004D084E">
        <w:rPr>
          <w:rFonts w:ascii="Times New Roman" w:hAnsi="Times New Roman" w:cs="Times New Roman"/>
          <w:szCs w:val="24"/>
          <w:lang w:val="en-GB"/>
        </w:rPr>
        <w:t>ariables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.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 Before answering the CV questions, the respondents were asked several questions related to </w:t>
      </w:r>
      <w:r w:rsidR="00CD4C16" w:rsidRPr="004D084E">
        <w:rPr>
          <w:rFonts w:ascii="Times New Roman" w:hAnsi="Times New Roman" w:cs="Times New Roman"/>
          <w:szCs w:val="24"/>
          <w:lang w:val="en-GB"/>
        </w:rPr>
        <w:t>their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 background characteristics, migration </w:t>
      </w:r>
      <w:r w:rsidR="00D771B4" w:rsidRPr="004D084E">
        <w:rPr>
          <w:rFonts w:ascii="Times New Roman" w:hAnsi="Times New Roman" w:cs="Times New Roman"/>
          <w:szCs w:val="24"/>
          <w:lang w:val="en-GB"/>
        </w:rPr>
        <w:t>experience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, integration in </w:t>
      </w:r>
      <w:r w:rsidR="005F09F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N</w:t>
      </w:r>
      <w:r w:rsidR="005F09F1">
        <w:rPr>
          <w:rFonts w:ascii="Times New Roman" w:eastAsiaTheme="majorEastAsia" w:hAnsi="Times New Roman" w:cs="Times New Roman"/>
          <w:bCs/>
          <w:szCs w:val="24"/>
          <w:lang w:val="en-GB"/>
        </w:rPr>
        <w:t>ew Zealand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, ties with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, evaluation of institutional quality in the two countries, and the importance of institutional quality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B13CC4" w:rsidRPr="004D084E">
        <w:rPr>
          <w:rFonts w:ascii="Times New Roman" w:hAnsi="Times New Roman" w:cs="Times New Roman"/>
          <w:szCs w:val="24"/>
          <w:lang w:val="en-GB"/>
        </w:rPr>
        <w:t xml:space="preserve"> to their repatriation intentions.</w:t>
      </w:r>
    </w:p>
    <w:p w14:paraId="073D63E4" w14:textId="77777777" w:rsidR="00787497" w:rsidRPr="004D084E" w:rsidRDefault="00787497" w:rsidP="00156DD9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60B5777E" w14:textId="7707C7C1" w:rsidR="00BC62D0" w:rsidRDefault="0022584D" w:rsidP="00CE3EB6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The first CV question</w:t>
      </w:r>
      <w:r w:rsidR="00BC62D0">
        <w:rPr>
          <w:rFonts w:ascii="Times New Roman" w:hAnsi="Times New Roman" w:cs="Times New Roman"/>
          <w:szCs w:val="24"/>
          <w:lang w:val="en-GB"/>
        </w:rPr>
        <w:t>:</w:t>
      </w:r>
    </w:p>
    <w:p w14:paraId="5EFBB197" w14:textId="717C4F58" w:rsidR="00BC62D0" w:rsidRDefault="00FD4C21" w:rsidP="008A6B6D">
      <w:pPr>
        <w:spacing w:before="240" w:line="300" w:lineRule="auto"/>
        <w:ind w:left="709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i/>
          <w:szCs w:val="24"/>
          <w:lang w:val="en-GB"/>
        </w:rPr>
        <w:t>Given your perceptions of the difference in institutional quality between</w:t>
      </w:r>
      <w:r w:rsidRPr="000E3804">
        <w:rPr>
          <w:rFonts w:ascii="Times New Roman" w:hAnsi="Times New Roman" w:cs="Times New Roman"/>
          <w:i/>
          <w:szCs w:val="24"/>
          <w:lang w:val="en-GB"/>
        </w:rPr>
        <w:t xml:space="preserve"> </w:t>
      </w:r>
      <w:r w:rsidR="003F2747" w:rsidRPr="000E3804">
        <w:rPr>
          <w:rFonts w:ascii="Times New Roman" w:hAnsi="Times New Roman" w:cs="Times New Roman"/>
          <w:i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and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, what would be the smallest level of weekly income before tax in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where you would be happy moving back to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permanently?</w:t>
      </w:r>
      <w:r w:rsidR="00EF3AA8" w:rsidRPr="004D084E">
        <w:rPr>
          <w:rFonts w:ascii="Times New Roman" w:hAnsi="Times New Roman" w:cs="Times New Roman"/>
          <w:szCs w:val="24"/>
          <w:lang w:val="en-GB"/>
        </w:rPr>
        <w:t xml:space="preserve"> </w:t>
      </w:r>
    </w:p>
    <w:p w14:paraId="081283CD" w14:textId="77777777" w:rsidR="00BC62D0" w:rsidRPr="00BC62D0" w:rsidRDefault="00BC62D0" w:rsidP="00BC62D0">
      <w:pPr>
        <w:spacing w:line="300" w:lineRule="auto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068FC24" w14:textId="76529740" w:rsidR="00FD4C21" w:rsidRDefault="00FD4C21" w:rsidP="00BC62D0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was designed to </w:t>
      </w:r>
      <w:r w:rsidR="005C082E" w:rsidRPr="004D084E">
        <w:rPr>
          <w:rFonts w:ascii="Times New Roman" w:hAnsi="Times New Roman" w:cs="Times New Roman"/>
          <w:szCs w:val="24"/>
          <w:lang w:val="en-GB"/>
        </w:rPr>
        <w:t>establish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the</w:t>
      </w:r>
      <w:r w:rsidR="00913637" w:rsidRPr="004D084E">
        <w:rPr>
          <w:rFonts w:ascii="Times New Roman" w:hAnsi="Times New Roman" w:cs="Times New Roman"/>
          <w:szCs w:val="24"/>
          <w:lang w:val="en-GB"/>
        </w:rPr>
        <w:t xml:space="preserve"> weekly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income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that would make the respondents indifferent between </w:t>
      </w:r>
      <w:r w:rsidR="005C082E" w:rsidRPr="004D084E">
        <w:rPr>
          <w:rFonts w:ascii="Times New Roman" w:hAnsi="Times New Roman" w:cs="Times New Roman"/>
          <w:szCs w:val="24"/>
          <w:lang w:val="en-GB"/>
        </w:rPr>
        <w:t>living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="005C082E" w:rsidRPr="004D084E">
        <w:rPr>
          <w:rFonts w:ascii="Times New Roman" w:hAnsi="Times New Roman" w:cs="Times New Roman"/>
          <w:szCs w:val="24"/>
          <w:lang w:val="en-GB"/>
        </w:rPr>
        <w:t>moving back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to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permanently. This income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then </w:t>
      </w:r>
      <w:r w:rsidRPr="004D084E">
        <w:rPr>
          <w:rFonts w:ascii="Times New Roman" w:hAnsi="Times New Roman" w:cs="Times New Roman"/>
          <w:szCs w:val="24"/>
          <w:lang w:val="en-GB"/>
        </w:rPr>
        <w:t>compensat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for the </w:t>
      </w:r>
      <w:r w:rsidR="00C41A5E" w:rsidRPr="004D084E">
        <w:rPr>
          <w:rFonts w:ascii="Times New Roman" w:hAnsi="Times New Roman" w:cs="Times New Roman"/>
          <w:szCs w:val="24"/>
          <w:lang w:val="en-GB"/>
        </w:rPr>
        <w:t xml:space="preserve">perceived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differences in institutional quality and other amenities between </w:t>
      </w:r>
      <w:r w:rsidR="00F45126" w:rsidRPr="004D084E">
        <w:rPr>
          <w:rFonts w:ascii="Times New Roman" w:hAnsi="Times New Roman" w:cs="Times New Roman"/>
          <w:szCs w:val="24"/>
          <w:lang w:val="en-GB"/>
        </w:rPr>
        <w:t>the two countries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, as well as migration costs</w:t>
      </w:r>
      <w:r w:rsidR="00CE3EB6" w:rsidRPr="004D084E">
        <w:rPr>
          <w:rFonts w:ascii="Times New Roman" w:hAnsi="Times New Roman" w:cs="Times New Roman"/>
          <w:szCs w:val="24"/>
          <w:lang w:val="en-GB"/>
        </w:rPr>
        <w:t>. Hence: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</w:p>
    <w:p w14:paraId="0909C5D8" w14:textId="77777777" w:rsidR="00B370ED" w:rsidRPr="004D084E" w:rsidRDefault="00B370ED" w:rsidP="00BC62D0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52"/>
      </w:tblGrid>
      <w:tr w:rsidR="00FD4C21" w:rsidRPr="00B90651" w14:paraId="20222566" w14:textId="77777777" w:rsidTr="00C462BF">
        <w:tc>
          <w:tcPr>
            <w:tcW w:w="8364" w:type="dxa"/>
          </w:tcPr>
          <w:p w14:paraId="669DC200" w14:textId="2F93E7F8" w:rsidR="00FD4C21" w:rsidRPr="00B90651" w:rsidRDefault="00D478E6" w:rsidP="00AA3EEE">
            <w:pPr>
              <w:spacing w:before="120" w:after="120" w:line="300" w:lineRule="auto"/>
              <w:jc w:val="center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CV1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∓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52" w:type="dxa"/>
          </w:tcPr>
          <w:p w14:paraId="4D285A6F" w14:textId="77777777" w:rsidR="00FD4C21" w:rsidRPr="00B90651" w:rsidRDefault="00FD4C21" w:rsidP="00AA3EEE">
            <w:pPr>
              <w:spacing w:before="120"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</w:t>
            </w:r>
            <w:r w:rsidR="00140A83"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4</w:t>
            </w: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)</w:t>
            </w:r>
          </w:p>
        </w:tc>
      </w:tr>
    </w:tbl>
    <w:p w14:paraId="4AC22AE1" w14:textId="77777777" w:rsidR="005F09F1" w:rsidRPr="00B90651" w:rsidRDefault="005F09F1" w:rsidP="00CE3EB6">
      <w:pPr>
        <w:spacing w:line="300" w:lineRule="auto"/>
        <w:jc w:val="both"/>
        <w:rPr>
          <w:rFonts w:ascii="Times New Roman" w:hAnsi="Times New Roman" w:cs="Times New Roman"/>
          <w:bCs/>
          <w:sz w:val="22"/>
          <w:lang w:val="en-GB"/>
        </w:rPr>
      </w:pPr>
    </w:p>
    <w:p w14:paraId="5901820F" w14:textId="74A721A2" w:rsidR="00DC7B1C" w:rsidRPr="004D084E" w:rsidRDefault="00FD4C21" w:rsidP="00CE3EB6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where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CV1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DF09D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is the smallest weekly income </w:t>
      </w:r>
      <w:r w:rsidR="00CE3EB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 VN 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that renders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NB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 </w:t>
      </w:r>
      <w:r w:rsidR="00E95C82">
        <w:rPr>
          <w:rFonts w:ascii="Times New Roman" w:eastAsiaTheme="majorEastAsia" w:hAnsi="Times New Roman" w:cs="Times New Roman"/>
          <w:bCs/>
          <w:szCs w:val="24"/>
          <w:lang w:val="en-GB"/>
        </w:rPr>
        <w:t>Eq</w:t>
      </w:r>
      <w:r w:rsidR="00DC480B">
        <w:rPr>
          <w:rFonts w:ascii="Times New Roman" w:eastAsiaTheme="majorEastAsia" w:hAnsi="Times New Roman" w:cs="Times New Roman"/>
          <w:bCs/>
          <w:szCs w:val="24"/>
          <w:lang w:val="en-GB"/>
        </w:rPr>
        <w:t>uation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(1) greater than </w:t>
      </w:r>
      <w:proofErr w:type="gramStart"/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zero.</w:t>
      </w:r>
      <w:proofErr w:type="gramEnd"/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CV1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 xml:space="preserve"> </m:t>
        </m:r>
      </m:oMath>
      <w:r w:rsidR="0000059B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indicate</w:t>
      </w:r>
      <w:proofErr w:type="spellStart"/>
      <w:r w:rsidR="00DF09D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s</w:t>
      </w:r>
      <w:proofErr w:type="spellEnd"/>
      <w:r w:rsidR="00DF09D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</w:t>
      </w:r>
      <w:r w:rsidR="00CE3EB6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required </w:t>
      </w:r>
      <w:r w:rsidR="00DF09D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income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elicited by means of the first </w:t>
      </w:r>
      <w:r w:rsidR="00DF09DA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CV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question.</w:t>
      </w:r>
    </w:p>
    <w:p w14:paraId="29E768A5" w14:textId="77777777" w:rsidR="006E71F4" w:rsidRPr="004D084E" w:rsidRDefault="006E71F4" w:rsidP="00156DD9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</w:p>
    <w:p w14:paraId="5892AD84" w14:textId="77777777" w:rsidR="00912105" w:rsidRDefault="00FD4C21" w:rsidP="00CE3EB6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The</w:t>
      </w:r>
      <w:r w:rsidR="008D1B4E" w:rsidRPr="004D084E">
        <w:rPr>
          <w:rFonts w:ascii="Times New Roman" w:hAnsi="Times New Roman" w:cs="Times New Roman"/>
          <w:szCs w:val="24"/>
          <w:lang w:val="en-GB"/>
        </w:rPr>
        <w:t xml:space="preserve"> second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8D1B4E" w:rsidRPr="004D084E">
        <w:rPr>
          <w:rFonts w:ascii="Times New Roman" w:hAnsi="Times New Roman" w:cs="Times New Roman"/>
          <w:szCs w:val="24"/>
          <w:lang w:val="en-GB"/>
        </w:rPr>
        <w:t>CV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question</w:t>
      </w:r>
      <w:r w:rsidR="00912105">
        <w:rPr>
          <w:rFonts w:ascii="Times New Roman" w:hAnsi="Times New Roman" w:cs="Times New Roman"/>
          <w:szCs w:val="24"/>
          <w:lang w:val="en-GB"/>
        </w:rPr>
        <w:t>:</w:t>
      </w:r>
    </w:p>
    <w:p w14:paraId="06D044A5" w14:textId="153C7DE0" w:rsidR="00912105" w:rsidRDefault="0022584D" w:rsidP="000E3804">
      <w:pPr>
        <w:spacing w:before="240" w:line="300" w:lineRule="auto"/>
        <w:ind w:left="709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Now imagine that the institutional quality in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changed so that it was equal to </w:t>
      </w:r>
      <w:r w:rsidR="005B2FEA" w:rsidRPr="004D084E">
        <w:rPr>
          <w:rFonts w:ascii="Times New Roman" w:hAnsi="Times New Roman" w:cs="Times New Roman"/>
          <w:i/>
          <w:szCs w:val="24"/>
          <w:lang w:val="en-GB"/>
        </w:rPr>
        <w:t>N</w:t>
      </w:r>
      <w:r w:rsidR="00B90651">
        <w:rPr>
          <w:rFonts w:ascii="Times New Roman" w:hAnsi="Times New Roman" w:cs="Times New Roman"/>
          <w:i/>
          <w:szCs w:val="24"/>
          <w:lang w:val="en-GB"/>
        </w:rPr>
        <w:t xml:space="preserve">ew </w:t>
      </w:r>
      <w:r w:rsidR="005B2FEA" w:rsidRPr="004D084E">
        <w:rPr>
          <w:rFonts w:ascii="Times New Roman" w:hAnsi="Times New Roman" w:cs="Times New Roman"/>
          <w:i/>
          <w:szCs w:val="24"/>
          <w:lang w:val="en-GB"/>
        </w:rPr>
        <w:t>Z</w:t>
      </w:r>
      <w:r w:rsidR="00B90651">
        <w:rPr>
          <w:rFonts w:ascii="Times New Roman" w:hAnsi="Times New Roman" w:cs="Times New Roman"/>
          <w:i/>
          <w:szCs w:val="24"/>
          <w:lang w:val="en-GB"/>
        </w:rPr>
        <w:t>ealand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in all ways </w:t>
      </w:r>
      <w:r w:rsidRPr="000E3804">
        <w:rPr>
          <w:rFonts w:ascii="Times New Roman" w:hAnsi="Times New Roman" w:cs="Times New Roman"/>
          <w:szCs w:val="24"/>
          <w:lang w:val="en-GB"/>
        </w:rPr>
        <w:t>(</w:t>
      </w:r>
      <w:r w:rsidRPr="004D084E">
        <w:rPr>
          <w:rFonts w:ascii="Times New Roman" w:hAnsi="Times New Roman" w:cs="Times New Roman"/>
          <w:i/>
          <w:szCs w:val="24"/>
          <w:lang w:val="en-GB"/>
        </w:rPr>
        <w:t>and everything else remained the same</w:t>
      </w:r>
      <w:r w:rsidR="000E3804">
        <w:rPr>
          <w:rFonts w:ascii="Times New Roman" w:hAnsi="Times New Roman" w:cs="Times New Roman"/>
          <w:szCs w:val="24"/>
          <w:lang w:val="en-GB"/>
        </w:rPr>
        <w:t>)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. If this happened, what would be the smallest level of weekly income before tax in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where you would be happy moving back to </w:t>
      </w:r>
      <w:r w:rsidR="00B90651" w:rsidRPr="00B90651">
        <w:rPr>
          <w:rFonts w:ascii="Times New Roman" w:hAnsi="Times New Roman" w:cs="Times New Roman"/>
          <w:i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 permanently?</w:t>
      </w:r>
    </w:p>
    <w:p w14:paraId="3C87ABD5" w14:textId="77777777" w:rsidR="00912105" w:rsidRPr="00912105" w:rsidRDefault="00912105" w:rsidP="00CE3EB6">
      <w:pPr>
        <w:spacing w:line="30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2DA64AB3" w14:textId="2E054A25" w:rsidR="00FD4C21" w:rsidRDefault="00FD4C21" w:rsidP="00912105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was designed to determine the</w:t>
      </w:r>
      <w:r w:rsidR="00913637" w:rsidRPr="004D084E">
        <w:rPr>
          <w:rFonts w:ascii="Times New Roman" w:hAnsi="Times New Roman" w:cs="Times New Roman"/>
          <w:szCs w:val="24"/>
          <w:lang w:val="en-GB"/>
        </w:rPr>
        <w:t xml:space="preserve"> weekly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income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that would make the respondents indifferent between </w:t>
      </w:r>
      <w:r w:rsidR="00455098" w:rsidRPr="004D084E">
        <w:rPr>
          <w:rFonts w:ascii="Times New Roman" w:hAnsi="Times New Roman" w:cs="Times New Roman"/>
          <w:szCs w:val="24"/>
          <w:lang w:val="en-GB"/>
        </w:rPr>
        <w:t>residing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and returning to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permanently, given a hypothetical scenario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where </w:t>
      </w:r>
      <w:r w:rsidR="00DF4B80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institutional quality </w:t>
      </w:r>
      <w:r w:rsidR="00DF4B80" w:rsidRPr="004D084E">
        <w:rPr>
          <w:rFonts w:ascii="Times New Roman" w:hAnsi="Times New Roman" w:cs="Times New Roman"/>
          <w:szCs w:val="24"/>
          <w:lang w:val="en-GB"/>
        </w:rPr>
        <w:t>gap between the two countries was eliminated</w:t>
      </w:r>
      <w:r w:rsidR="0020294D" w:rsidRPr="004D084E">
        <w:rPr>
          <w:rFonts w:ascii="Times New Roman" w:hAnsi="Times New Roman" w:cs="Times New Roman"/>
          <w:szCs w:val="24"/>
          <w:lang w:val="en-GB"/>
        </w:rPr>
        <w:t>,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B90651">
        <w:rPr>
          <w:rFonts w:ascii="Times New Roman" w:hAnsi="Times New Roman" w:cs="Times New Roman"/>
          <w:szCs w:val="24"/>
          <w:lang w:val="en-GB"/>
        </w:rPr>
        <w:t>that is,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= 0, </w:t>
      </w:r>
      <w:r w:rsidR="0020294D" w:rsidRPr="004D084E">
        <w:rPr>
          <w:rFonts w:ascii="Times New Roman" w:hAnsi="Times New Roman" w:cs="Times New Roman"/>
          <w:szCs w:val="24"/>
          <w:lang w:val="en-GB"/>
        </w:rPr>
        <w:t>but all other differences between the countries remain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ed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 the same.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As a result of holding institutional quality in both countries equal, this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required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income differential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includes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C41A5E" w:rsidRPr="004D084E">
        <w:rPr>
          <w:rFonts w:ascii="Times New Roman" w:hAnsi="Times New Roman" w:cs="Times New Roman"/>
          <w:szCs w:val="24"/>
          <w:lang w:val="en-GB"/>
        </w:rPr>
        <w:t xml:space="preserve">compensation for the perceived </w:t>
      </w:r>
      <w:r w:rsidR="0020294D" w:rsidRPr="004D084E">
        <w:rPr>
          <w:rFonts w:ascii="Times New Roman" w:hAnsi="Times New Roman" w:cs="Times New Roman"/>
          <w:szCs w:val="24"/>
          <w:lang w:val="en-GB"/>
        </w:rPr>
        <w:t>cost</w:t>
      </w:r>
      <w:r w:rsidR="00EE6D3E" w:rsidRPr="004D084E">
        <w:rPr>
          <w:rFonts w:ascii="Times New Roman" w:hAnsi="Times New Roman" w:cs="Times New Roman"/>
          <w:szCs w:val="24"/>
          <w:lang w:val="en-GB"/>
        </w:rPr>
        <w:t>s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 of return migration from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 to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also 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accounting for differences in amenities and psychic costs. 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Substituting,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= 0 in </w:t>
      </w:r>
      <w:r w:rsidR="00E95C82">
        <w:rPr>
          <w:rFonts w:ascii="Times New Roman" w:hAnsi="Times New Roman" w:cs="Times New Roman"/>
          <w:szCs w:val="24"/>
          <w:lang w:val="en-GB"/>
        </w:rPr>
        <w:t>Eq</w:t>
      </w:r>
      <w:r w:rsidR="00DC480B">
        <w:rPr>
          <w:rFonts w:ascii="Times New Roman" w:hAnsi="Times New Roman" w:cs="Times New Roman"/>
          <w:szCs w:val="24"/>
          <w:lang w:val="en-GB"/>
        </w:rPr>
        <w:t>uation</w:t>
      </w:r>
      <w:r w:rsidR="00CE3EB6" w:rsidRPr="004D084E">
        <w:rPr>
          <w:rFonts w:ascii="Times New Roman" w:hAnsi="Times New Roman" w:cs="Times New Roman"/>
          <w:szCs w:val="24"/>
          <w:lang w:val="en-GB"/>
        </w:rPr>
        <w:t xml:space="preserve"> (4), we get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52"/>
      </w:tblGrid>
      <w:tr w:rsidR="00FD4C21" w:rsidRPr="004D084E" w14:paraId="4801D847" w14:textId="77777777" w:rsidTr="00C462BF">
        <w:tc>
          <w:tcPr>
            <w:tcW w:w="8364" w:type="dxa"/>
          </w:tcPr>
          <w:p w14:paraId="5F8C76D0" w14:textId="5830CE16" w:rsidR="00FD4C21" w:rsidRPr="00B90651" w:rsidRDefault="00D478E6" w:rsidP="00AA3EEE">
            <w:pPr>
              <w:spacing w:before="120" w:after="120" w:line="300" w:lineRule="auto"/>
              <w:jc w:val="center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CV2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∓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52" w:type="dxa"/>
          </w:tcPr>
          <w:p w14:paraId="2AB6F5D6" w14:textId="77777777" w:rsidR="00FD4C21" w:rsidRPr="00B90651" w:rsidRDefault="00FD4C21" w:rsidP="00AA3EEE">
            <w:pPr>
              <w:spacing w:before="120"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</w:t>
            </w:r>
            <w:r w:rsidR="00D05BD6"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5</w:t>
            </w: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)</w:t>
            </w:r>
          </w:p>
        </w:tc>
      </w:tr>
    </w:tbl>
    <w:p w14:paraId="27536232" w14:textId="77777777" w:rsidR="000E3804" w:rsidRPr="000E3804" w:rsidRDefault="000E3804" w:rsidP="00A96EDE">
      <w:pPr>
        <w:spacing w:line="300" w:lineRule="auto"/>
        <w:jc w:val="both"/>
        <w:rPr>
          <w:rFonts w:ascii="Times New Roman" w:hAnsi="Times New Roman" w:cs="Times New Roman"/>
          <w:bCs/>
          <w:sz w:val="8"/>
          <w:szCs w:val="8"/>
          <w:lang w:val="en-GB"/>
        </w:rPr>
      </w:pPr>
    </w:p>
    <w:p w14:paraId="09D2E4DA" w14:textId="753C59F1" w:rsidR="00FD4C21" w:rsidRPr="004D084E" w:rsidRDefault="00FD4C21" w:rsidP="00A96EDE">
      <w:pPr>
        <w:spacing w:line="300" w:lineRule="auto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where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CV2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denotes the 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smallest level of weekly income before tax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20294D" w:rsidRPr="004D084E">
        <w:rPr>
          <w:rFonts w:ascii="Times New Roman" w:hAnsi="Times New Roman" w:cs="Times New Roman"/>
          <w:szCs w:val="24"/>
          <w:lang w:val="en-GB"/>
        </w:rPr>
        <w:t xml:space="preserve"> that renders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NB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NZ→VN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 </w:t>
      </w:r>
      <w:r w:rsidR="00E95C82">
        <w:rPr>
          <w:rFonts w:ascii="Times New Roman" w:eastAsiaTheme="majorEastAsia" w:hAnsi="Times New Roman" w:cs="Times New Roman"/>
          <w:bCs/>
          <w:szCs w:val="24"/>
          <w:lang w:val="en-GB"/>
        </w:rPr>
        <w:t>Eq</w:t>
      </w:r>
      <w:r w:rsidR="00DC480B">
        <w:rPr>
          <w:rFonts w:ascii="Times New Roman" w:eastAsiaTheme="majorEastAsia" w:hAnsi="Times New Roman" w:cs="Times New Roman"/>
          <w:bCs/>
          <w:szCs w:val="24"/>
          <w:lang w:val="en-GB"/>
        </w:rPr>
        <w:t>uation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(1) greater than zero </w:t>
      </w:r>
      <w:r w:rsidR="004839A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under the assumption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that there is no loss in institutional quality when migrating from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to </w:t>
      </w:r>
      <w:r w:rsidR="00B90651" w:rsidRPr="00B90651">
        <w:rPr>
          <w:rFonts w:ascii="Times New Roman" w:eastAsiaTheme="majorEastAsia" w:hAnsi="Times New Roman" w:cs="Times New Roman"/>
          <w:bCs/>
          <w:szCs w:val="24"/>
          <w:lang w:val="en-GB"/>
        </w:rPr>
        <w:t>Viet Nam</w:t>
      </w:r>
      <w:r w:rsidR="0020294D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.</w:t>
      </w:r>
      <w:r w:rsidR="00C41A5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CV2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940D6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exhibits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the </w:t>
      </w:r>
      <w:r w:rsidR="00570E72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required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income elicited by means of the second </w:t>
      </w:r>
      <w:r w:rsidR="00FD25FE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CV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question.</w:t>
      </w:r>
    </w:p>
    <w:p w14:paraId="7AA2367D" w14:textId="77777777" w:rsidR="006E71F4" w:rsidRPr="004D084E" w:rsidRDefault="006E71F4" w:rsidP="00156DD9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01E0CEFD" w14:textId="6091E1FE" w:rsidR="004839A4" w:rsidRDefault="00132A0F" w:rsidP="004839A4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By subtracting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CV2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 from</w:t>
      </w:r>
      <w:r w:rsidR="00321FFB" w:rsidRPr="004D084E">
        <w:rPr>
          <w:rFonts w:ascii="Times New Roman" w:hAnsi="Times New Roman" w:cs="Times New Roman"/>
          <w:bCs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CV1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FD4C21" w:rsidRPr="004D084E">
        <w:rPr>
          <w:rFonts w:ascii="Times New Roman" w:hAnsi="Times New Roman" w:cs="Times New Roman"/>
          <w:bCs/>
          <w:szCs w:val="24"/>
          <w:lang w:val="en-GB"/>
        </w:rPr>
        <w:t xml:space="preserve">, we </w:t>
      </w:r>
      <w:r w:rsidR="00174F94" w:rsidRPr="004D084E">
        <w:rPr>
          <w:rFonts w:ascii="Times New Roman" w:hAnsi="Times New Roman" w:cs="Times New Roman"/>
          <w:bCs/>
          <w:szCs w:val="24"/>
          <w:lang w:val="en-GB"/>
        </w:rPr>
        <w:t>establish the</w:t>
      </w:r>
      <w:r w:rsidR="00FD4C21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</w:t>
      </w:r>
      <w:r w:rsidR="00913637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weekly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compensating differential for the </w:t>
      </w:r>
      <w:r w:rsidR="0000443B" w:rsidRPr="004D084E">
        <w:rPr>
          <w:rFonts w:ascii="Times New Roman" w:hAnsi="Times New Roman" w:cs="Times New Roman"/>
          <w:szCs w:val="24"/>
          <w:lang w:val="en-GB"/>
        </w:rPr>
        <w:t xml:space="preserve">perceived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difference in institutional quality between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4839A4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4839A4" w:rsidRPr="00D9739B">
        <w:rPr>
          <w:rFonts w:ascii="Times New Roman" w:hAnsi="Times New Roman" w:cs="Times New Roman"/>
          <w:i/>
          <w:szCs w:val="24"/>
          <w:lang w:val="en-GB"/>
        </w:rPr>
        <w:t>ceteris paribus</w:t>
      </w:r>
      <w:r w:rsidR="004839A4" w:rsidRPr="004D084E">
        <w:rPr>
          <w:rFonts w:ascii="Times New Roman" w:hAnsi="Times New Roman" w:cs="Times New Roman"/>
          <w:szCs w:val="24"/>
          <w:lang w:val="en-GB"/>
        </w:rPr>
        <w:t>:</w:t>
      </w:r>
    </w:p>
    <w:p w14:paraId="68211B6B" w14:textId="77777777" w:rsidR="005F09F1" w:rsidRPr="000E3804" w:rsidRDefault="005F09F1" w:rsidP="004839A4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tbl>
      <w:tblPr>
        <w:tblStyle w:val="TableGrid"/>
        <w:tblW w:w="9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496"/>
      </w:tblGrid>
      <w:tr w:rsidR="00A32322" w:rsidRPr="00B90651" w14:paraId="68D9DB4A" w14:textId="77777777" w:rsidTr="00A96EDE">
        <w:trPr>
          <w:trHeight w:val="395"/>
        </w:trPr>
        <w:tc>
          <w:tcPr>
            <w:tcW w:w="8647" w:type="dxa"/>
            <w:vAlign w:val="center"/>
          </w:tcPr>
          <w:p w14:paraId="0C0E26AA" w14:textId="77777777" w:rsidR="00A32322" w:rsidRPr="00B90651" w:rsidRDefault="00D478E6" w:rsidP="00AA3EEE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Cs/>
                <w:sz w:val="22"/>
                <w:lang w:val="en-GB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CV1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CV2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MC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NZ→VN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-0=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496" w:type="dxa"/>
            <w:vAlign w:val="center"/>
          </w:tcPr>
          <w:p w14:paraId="15EE0F9E" w14:textId="77777777" w:rsidR="00A32322" w:rsidRPr="00B90651" w:rsidRDefault="00A32322" w:rsidP="00AA3EEE">
            <w:pPr>
              <w:spacing w:before="120" w:after="120" w:line="300" w:lineRule="auto"/>
              <w:jc w:val="right"/>
              <w:rPr>
                <w:rFonts w:ascii="Times New Roman" w:hAnsi="Times New Roman" w:cs="Times New Roman"/>
                <w:sz w:val="22"/>
                <w:lang w:val="en-GB"/>
              </w:rPr>
            </w:pPr>
            <w:r w:rsidRPr="00B90651">
              <w:rPr>
                <w:rFonts w:ascii="Times New Roman" w:hAnsi="Times New Roman" w:cs="Times New Roman"/>
                <w:bCs/>
                <w:sz w:val="22"/>
                <w:lang w:val="en-GB"/>
              </w:rPr>
              <w:t>(6)</w:t>
            </w:r>
          </w:p>
        </w:tc>
      </w:tr>
    </w:tbl>
    <w:p w14:paraId="1B46C96E" w14:textId="77777777" w:rsidR="005F09F1" w:rsidRPr="000E3804" w:rsidRDefault="005F09F1" w:rsidP="004839A4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3C115B90" w14:textId="3F3D4A26" w:rsidR="00FD4C21" w:rsidRDefault="00FD4C21" w:rsidP="004839A4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This compensating differential </w:t>
      </w:r>
      <w:r w:rsidR="00B110A1" w:rsidRPr="004D084E">
        <w:rPr>
          <w:rFonts w:ascii="Times New Roman" w:hAnsi="Times New Roman" w:cs="Times New Roman"/>
          <w:szCs w:val="24"/>
          <w:lang w:val="en-GB"/>
        </w:rPr>
        <w:t>can be referred as</w:t>
      </w:r>
      <w:r w:rsidR="009918A5" w:rsidRPr="004D084E">
        <w:rPr>
          <w:rFonts w:ascii="Times New Roman" w:hAnsi="Times New Roman" w:cs="Times New Roman"/>
          <w:szCs w:val="24"/>
          <w:lang w:val="en-GB"/>
        </w:rPr>
        <w:t xml:space="preserve"> the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respondent’s willingness to pay (</w:t>
      </w:r>
      <w:r w:rsidR="00E466AA" w:rsidRPr="004D084E">
        <w:rPr>
          <w:rFonts w:ascii="Times New Roman" w:hAnsi="Times New Roman" w:cs="Times New Roman"/>
          <w:szCs w:val="24"/>
          <w:lang w:val="en-GB"/>
        </w:rPr>
        <w:t>WTP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)</w:t>
      </w:r>
      <w:r w:rsidR="009918A5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3F2747">
        <w:rPr>
          <w:rFonts w:ascii="Times New Roman" w:hAnsi="Times New Roman" w:cs="Times New Roman"/>
          <w:szCs w:val="24"/>
          <w:lang w:val="en-GB"/>
        </w:rPr>
        <w:t>that is,</w:t>
      </w:r>
      <w:r w:rsidR="009918A5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B110A1" w:rsidRPr="004D084E">
        <w:rPr>
          <w:rFonts w:ascii="Times New Roman" w:hAnsi="Times New Roman" w:cs="Times New Roman"/>
          <w:szCs w:val="24"/>
          <w:lang w:val="en-GB"/>
        </w:rPr>
        <w:t xml:space="preserve">the maximum amount of money that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the</w:t>
      </w:r>
      <w:r w:rsidR="00B110A1" w:rsidRPr="004D084E">
        <w:rPr>
          <w:rFonts w:ascii="Times New Roman" w:hAnsi="Times New Roman" w:cs="Times New Roman"/>
          <w:szCs w:val="24"/>
          <w:lang w:val="en-GB"/>
        </w:rPr>
        <w:t xml:space="preserve"> respondent would be willing to give up</w:t>
      </w:r>
      <w:r w:rsidR="00913637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5536BD" w:rsidRPr="004D084E">
        <w:rPr>
          <w:rFonts w:ascii="Times New Roman" w:hAnsi="Times New Roman" w:cs="Times New Roman"/>
          <w:szCs w:val="24"/>
          <w:lang w:val="en-GB"/>
        </w:rPr>
        <w:t>per week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,</w:t>
      </w:r>
      <w:r w:rsidR="00913637" w:rsidRPr="004D084E">
        <w:rPr>
          <w:rFonts w:ascii="Times New Roman" w:hAnsi="Times New Roman" w:cs="Times New Roman"/>
          <w:szCs w:val="24"/>
          <w:lang w:val="en-GB"/>
        </w:rPr>
        <w:t xml:space="preserve"> during the rest </w:t>
      </w:r>
      <w:r w:rsidR="00DF07E0" w:rsidRPr="004D084E">
        <w:rPr>
          <w:rFonts w:ascii="Times New Roman" w:hAnsi="Times New Roman" w:cs="Times New Roman"/>
          <w:szCs w:val="24"/>
          <w:lang w:val="en-GB"/>
        </w:rPr>
        <w:t>o</w:t>
      </w:r>
      <w:r w:rsidR="00913637" w:rsidRPr="004D084E">
        <w:rPr>
          <w:rFonts w:ascii="Times New Roman" w:hAnsi="Times New Roman" w:cs="Times New Roman"/>
          <w:szCs w:val="24"/>
          <w:lang w:val="en-GB"/>
        </w:rPr>
        <w:t>f his or her working life</w:t>
      </w:r>
      <w:r w:rsidR="009918A5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2D4867" w:rsidRPr="004D084E">
        <w:rPr>
          <w:rFonts w:ascii="Times New Roman" w:hAnsi="Times New Roman" w:cs="Times New Roman"/>
          <w:szCs w:val="24"/>
          <w:lang w:val="en-GB"/>
        </w:rPr>
        <w:t xml:space="preserve">for </w:t>
      </w:r>
      <w:r w:rsidR="009918A5" w:rsidRPr="004D084E">
        <w:rPr>
          <w:rFonts w:ascii="Times New Roman" w:hAnsi="Times New Roman" w:cs="Times New Roman"/>
          <w:szCs w:val="24"/>
          <w:lang w:val="en-GB"/>
        </w:rPr>
        <w:t xml:space="preserve">an improvement in </w:t>
      </w:r>
      <w:r w:rsidR="00B110A1" w:rsidRPr="004D084E">
        <w:rPr>
          <w:rFonts w:ascii="Times New Roman" w:hAnsi="Times New Roman" w:cs="Times New Roman"/>
          <w:szCs w:val="24"/>
          <w:lang w:val="en-GB"/>
        </w:rPr>
        <w:t xml:space="preserve">institutional quality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5433EA" w:rsidRPr="004D084E">
        <w:rPr>
          <w:rFonts w:ascii="Times New Roman" w:hAnsi="Times New Roman" w:cs="Times New Roman"/>
          <w:szCs w:val="24"/>
          <w:lang w:val="en-GB"/>
        </w:rPr>
        <w:t xml:space="preserve"> that is enough to offset </w:t>
      </w:r>
      <w:r w:rsidR="004F4D78" w:rsidRPr="004D084E">
        <w:rPr>
          <w:rFonts w:ascii="Times New Roman" w:hAnsi="Times New Roman" w:cs="Times New Roman"/>
          <w:szCs w:val="24"/>
          <w:lang w:val="en-GB"/>
        </w:rPr>
        <w:t xml:space="preserve">his or her </w:t>
      </w:r>
      <w:r w:rsidR="005433EA" w:rsidRPr="004D084E">
        <w:rPr>
          <w:rFonts w:ascii="Times New Roman" w:hAnsi="Times New Roman" w:cs="Times New Roman"/>
          <w:szCs w:val="24"/>
          <w:lang w:val="en-GB"/>
        </w:rPr>
        <w:t xml:space="preserve">perceived </w:t>
      </w:r>
      <w:r w:rsidR="00132A0F" w:rsidRPr="004D084E">
        <w:rPr>
          <w:rFonts w:ascii="Times New Roman" w:hAnsi="Times New Roman" w:cs="Times New Roman"/>
          <w:szCs w:val="24"/>
          <w:lang w:val="en-GB"/>
        </w:rPr>
        <w:t>gap</w:t>
      </w:r>
      <w:r w:rsidR="005433EA" w:rsidRPr="004D084E">
        <w:rPr>
          <w:rFonts w:ascii="Times New Roman" w:hAnsi="Times New Roman" w:cs="Times New Roman"/>
          <w:szCs w:val="24"/>
          <w:lang w:val="en-GB"/>
        </w:rPr>
        <w:t xml:space="preserve"> in institutional quality</w:t>
      </w:r>
      <w:r w:rsidR="00B110A1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5433EA" w:rsidRPr="004D084E">
        <w:rPr>
          <w:rFonts w:ascii="Times New Roman" w:hAnsi="Times New Roman" w:cs="Times New Roman"/>
          <w:szCs w:val="24"/>
          <w:lang w:val="en-GB"/>
        </w:rPr>
        <w:t>between the two countries.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Since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W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 and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MC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NZ,VN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 in Equation</w:t>
      </w:r>
      <w:r w:rsidR="00132A0F" w:rsidRPr="004D084E">
        <w:rPr>
          <w:rFonts w:ascii="Times New Roman" w:hAnsi="Times New Roman" w:cs="Times New Roman"/>
          <w:bCs/>
          <w:szCs w:val="24"/>
          <w:lang w:val="en-GB"/>
        </w:rPr>
        <w:t>s</w:t>
      </w: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 (</w:t>
      </w:r>
      <w:r w:rsidR="00D05BD6" w:rsidRPr="004D084E">
        <w:rPr>
          <w:rFonts w:ascii="Times New Roman" w:hAnsi="Times New Roman" w:cs="Times New Roman"/>
          <w:bCs/>
          <w:szCs w:val="24"/>
          <w:lang w:val="en-GB"/>
        </w:rPr>
        <w:t>4</w:t>
      </w:r>
      <w:r w:rsidRPr="004D084E">
        <w:rPr>
          <w:rFonts w:ascii="Times New Roman" w:hAnsi="Times New Roman" w:cs="Times New Roman"/>
          <w:bCs/>
          <w:szCs w:val="24"/>
          <w:lang w:val="en-GB"/>
        </w:rPr>
        <w:t>) and (</w:t>
      </w:r>
      <w:r w:rsidR="00D05BD6" w:rsidRPr="004D084E">
        <w:rPr>
          <w:rFonts w:ascii="Times New Roman" w:hAnsi="Times New Roman" w:cs="Times New Roman"/>
          <w:bCs/>
          <w:szCs w:val="24"/>
          <w:lang w:val="en-GB"/>
        </w:rPr>
        <w:t>5</w:t>
      </w: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) cancel out as a result of the subtraction, the </w:t>
      </w:r>
      <w:r w:rsidR="00016C76" w:rsidRPr="004D084E">
        <w:rPr>
          <w:rFonts w:ascii="Times New Roman" w:hAnsi="Times New Roman" w:cs="Times New Roman"/>
          <w:szCs w:val="24"/>
          <w:lang w:val="en-GB"/>
        </w:rPr>
        <w:t>WTP</w:t>
      </w: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 is the difference between 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the </w:t>
      </w:r>
      <w:r w:rsidR="00321FFB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required </w:t>
      </w:r>
      <w:r w:rsidR="00480B6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amounts of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income elicited by means of the </w:t>
      </w:r>
      <w:r w:rsidR="00480B6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CV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 xml:space="preserve"> question</w:t>
      </w:r>
      <w:r w:rsidR="00480B64"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s</w:t>
      </w:r>
      <w:r w:rsidRPr="004D084E">
        <w:rPr>
          <w:rFonts w:ascii="Times New Roman" w:eastAsiaTheme="majorEastAsia" w:hAnsi="Times New Roman" w:cs="Times New Roman"/>
          <w:bCs/>
          <w:szCs w:val="24"/>
          <w:lang w:val="en-GB"/>
        </w:rPr>
        <w:t>, given by:</w:t>
      </w:r>
    </w:p>
    <w:p w14:paraId="2D5257D7" w14:textId="77777777" w:rsidR="00B90651" w:rsidRPr="00B90651" w:rsidRDefault="00B90651" w:rsidP="004839A4">
      <w:pPr>
        <w:spacing w:line="300" w:lineRule="auto"/>
        <w:ind w:firstLine="720"/>
        <w:jc w:val="both"/>
        <w:rPr>
          <w:rFonts w:ascii="Times New Roman" w:eastAsiaTheme="majorEastAsia" w:hAnsi="Times New Roman" w:cs="Times New Roman"/>
          <w:bCs/>
          <w:sz w:val="16"/>
          <w:szCs w:val="16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52"/>
      </w:tblGrid>
      <w:tr w:rsidR="00FD4C21" w:rsidRPr="004D084E" w14:paraId="0CF432D5" w14:textId="77777777" w:rsidTr="00C462BF">
        <w:tc>
          <w:tcPr>
            <w:tcW w:w="8364" w:type="dxa"/>
          </w:tcPr>
          <w:p w14:paraId="00F26A6C" w14:textId="3C4BA864" w:rsidR="00FD4C21" w:rsidRPr="00B90651" w:rsidRDefault="00D478E6" w:rsidP="00AA3EEE">
            <w:pPr>
              <w:spacing w:before="120" w:after="120" w:line="300" w:lineRule="auto"/>
              <w:jc w:val="center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Theme="majorEastAsia" w:hAnsi="Cambria Math" w:cs="Times New Roman"/>
                            <w:bCs/>
                            <w:i/>
                            <w:sz w:val="22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ajorEastAsia" w:hAnsi="Cambria Math" w:cs="Times New Roman"/>
                            <w:sz w:val="22"/>
                            <w:lang w:val="en-GB"/>
                          </w:rPr>
                          <m:t>WTP</m:t>
                        </m:r>
                      </m:e>
                      <m:sub>
                        <m:r>
                          <w:rPr>
                            <w:rFonts w:ascii="Cambria Math" w:eastAsiaTheme="majorEastAsia" w:hAnsi="Cambria Math" w:cs="Times New Roman"/>
                            <w:sz w:val="22"/>
                            <w:lang w:val="en-GB"/>
                          </w:rPr>
                          <m:t>NZ=VN</m:t>
                        </m:r>
                      </m:sub>
                      <m:sup>
                        <m:r>
                          <w:rPr>
                            <w:rFonts w:ascii="Cambria Math" w:eastAsiaTheme="majorEastAsia" w:hAnsi="Cambria Math" w:cs="Times New Roman"/>
                            <w:sz w:val="22"/>
                            <w:lang w:val="en-GB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=CV1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CV2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652" w:type="dxa"/>
          </w:tcPr>
          <w:p w14:paraId="6EE9732B" w14:textId="3D87D63A" w:rsidR="00FD4C21" w:rsidRPr="00B90651" w:rsidRDefault="00FD4C21" w:rsidP="00AA3EEE">
            <w:pPr>
              <w:spacing w:before="120" w:after="120" w:line="300" w:lineRule="auto"/>
              <w:jc w:val="right"/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</w:pP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(</w:t>
            </w:r>
            <w:r w:rsidR="004839A4"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7</w:t>
            </w:r>
            <w:r w:rsidRPr="00B90651">
              <w:rPr>
                <w:rFonts w:ascii="Times New Roman" w:eastAsiaTheme="majorEastAsia" w:hAnsi="Times New Roman" w:cs="Times New Roman"/>
                <w:bCs/>
                <w:sz w:val="22"/>
                <w:lang w:val="en-GB"/>
              </w:rPr>
              <w:t>)</w:t>
            </w:r>
          </w:p>
        </w:tc>
      </w:tr>
    </w:tbl>
    <w:p w14:paraId="1D57E222" w14:textId="77777777" w:rsidR="005F09F1" w:rsidRPr="00B90651" w:rsidRDefault="005F09F1" w:rsidP="00A96EDE">
      <w:pPr>
        <w:spacing w:line="30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62CB66A9" w14:textId="5A74099D" w:rsidR="0093208A" w:rsidRPr="004D084E" w:rsidRDefault="004839A4" w:rsidP="00912105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A major strength of the </w:t>
      </w:r>
      <w:r w:rsidR="001F4C7F" w:rsidRPr="004D084E">
        <w:rPr>
          <w:rFonts w:ascii="Times New Roman" w:hAnsi="Times New Roman" w:cs="Times New Roman"/>
          <w:szCs w:val="24"/>
          <w:lang w:val="en-GB"/>
        </w:rPr>
        <w:t>WTP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calculation</w:t>
      </w:r>
      <w:r w:rsidR="00BB3CBA" w:rsidRPr="004D084E">
        <w:rPr>
          <w:rFonts w:ascii="Times New Roman" w:hAnsi="Times New Roman" w:cs="Times New Roman"/>
          <w:szCs w:val="24"/>
          <w:lang w:val="en-GB"/>
        </w:rPr>
        <w:t xml:space="preserve"> in Equation (</w:t>
      </w:r>
      <w:r w:rsidRPr="004D084E">
        <w:rPr>
          <w:rFonts w:ascii="Times New Roman" w:hAnsi="Times New Roman" w:cs="Times New Roman"/>
          <w:szCs w:val="24"/>
          <w:lang w:val="en-GB"/>
        </w:rPr>
        <w:t>7</w:t>
      </w:r>
      <w:r w:rsidR="00BB3CBA" w:rsidRPr="004D084E">
        <w:rPr>
          <w:rFonts w:ascii="Times New Roman" w:hAnsi="Times New Roman" w:cs="Times New Roman"/>
          <w:szCs w:val="24"/>
          <w:lang w:val="en-GB"/>
        </w:rPr>
        <w:t>)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is </w:t>
      </w:r>
      <w:r w:rsidRPr="004D084E">
        <w:rPr>
          <w:rFonts w:ascii="Times New Roman" w:hAnsi="Times New Roman" w:cs="Times New Roman"/>
          <w:szCs w:val="24"/>
          <w:lang w:val="en-GB"/>
        </w:rPr>
        <w:t>that it is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independent of </w:t>
      </w:r>
      <w:r w:rsidR="006B3D9D" w:rsidRPr="004D084E">
        <w:rPr>
          <w:rFonts w:ascii="Times New Roman" w:hAnsi="Times New Roman" w:cs="Times New Roman"/>
          <w:szCs w:val="24"/>
          <w:lang w:val="en-GB"/>
        </w:rPr>
        <w:t xml:space="preserve">respondents’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current income</w:t>
      </w:r>
      <w:r w:rsidR="0014408B" w:rsidRPr="004D084E">
        <w:rPr>
          <w:rFonts w:ascii="Times New Roman" w:hAnsi="Times New Roman" w:cs="Times New Roman"/>
          <w:szCs w:val="24"/>
          <w:lang w:val="en-GB"/>
        </w:rPr>
        <w:t xml:space="preserve">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, which might subject to measur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ement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 error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 and which many respondents may be reluctant to provide accurate answers to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, and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independent of </w:t>
      </w:r>
      <w:r w:rsidR="00FD4C21" w:rsidRPr="004D084E">
        <w:rPr>
          <w:rFonts w:ascii="Times New Roman" w:hAnsi="Times New Roman" w:cs="Times New Roman"/>
          <w:szCs w:val="24"/>
          <w:lang w:val="en-GB"/>
        </w:rPr>
        <w:t>return migration costs</w:t>
      </w:r>
      <w:r w:rsidR="0093208A" w:rsidRPr="004D084E">
        <w:rPr>
          <w:rFonts w:ascii="Times New Roman" w:hAnsi="Times New Roman" w:cs="Times New Roman"/>
          <w:szCs w:val="24"/>
          <w:lang w:val="en-GB"/>
        </w:rPr>
        <w:t xml:space="preserve"> and psychic costs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, which </w:t>
      </w:r>
      <w:r w:rsidR="0093208A" w:rsidRPr="004D084E">
        <w:rPr>
          <w:rFonts w:ascii="Times New Roman" w:hAnsi="Times New Roman" w:cs="Times New Roman"/>
          <w:szCs w:val="24"/>
          <w:lang w:val="en-GB"/>
        </w:rPr>
        <w:t>are hard to capture in a survey</w:t>
      </w:r>
      <w:r w:rsidR="00FD4C21" w:rsidRPr="004D084E">
        <w:rPr>
          <w:rFonts w:ascii="Times New Roman" w:hAnsi="Times New Roman" w:cs="Times New Roman"/>
          <w:szCs w:val="24"/>
          <w:lang w:val="en-GB"/>
        </w:rPr>
        <w:t xml:space="preserve">. </w:t>
      </w:r>
    </w:p>
    <w:p w14:paraId="6427C2F7" w14:textId="77777777" w:rsidR="00D43A66" w:rsidRPr="004D084E" w:rsidRDefault="00D43A66" w:rsidP="00004AB2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1301FC7D" w14:textId="4A75A8AC" w:rsidR="00004AB2" w:rsidRDefault="00FD4C21" w:rsidP="00004AB2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However, the perceived gap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in </w:t>
      </w:r>
      <w:r w:rsidRPr="004D084E">
        <w:rPr>
          <w:rFonts w:ascii="Times New Roman" w:hAnsi="Times New Roman" w:cs="Times New Roman"/>
          <w:szCs w:val="24"/>
          <w:lang w:val="en-GB"/>
        </w:rPr>
        <w:t>institutional quality</w:t>
      </w:r>
      <w:r w:rsidR="00E75EF3" w:rsidRPr="004D084E">
        <w:rPr>
          <w:rFonts w:ascii="Times New Roman" w:hAnsi="Times New Roman" w:cs="Times New Roman"/>
          <w:szCs w:val="24"/>
          <w:lang w:val="en-GB"/>
        </w:rPr>
        <w:t xml:space="preserve"> between the two countries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will </w:t>
      </w:r>
      <w:r w:rsidRPr="004D084E">
        <w:rPr>
          <w:rFonts w:ascii="Times New Roman" w:hAnsi="Times New Roman" w:cs="Times New Roman"/>
          <w:szCs w:val="24"/>
          <w:lang w:val="en-GB"/>
        </w:rPr>
        <w:t>var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across respondents. </w:t>
      </w:r>
      <w:r w:rsidR="0093208A" w:rsidRPr="004D084E">
        <w:rPr>
          <w:rFonts w:ascii="Times New Roman" w:hAnsi="Times New Roman" w:cs="Times New Roman"/>
          <w:szCs w:val="24"/>
          <w:lang w:val="en-GB"/>
        </w:rPr>
        <w:t>Hence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,</w:t>
      </w:r>
      <w:r w:rsidR="0093208A" w:rsidRPr="004D084E">
        <w:rPr>
          <w:rFonts w:ascii="Times New Roman" w:hAnsi="Times New Roman" w:cs="Times New Roman"/>
          <w:szCs w:val="24"/>
          <w:lang w:val="en-GB"/>
        </w:rPr>
        <w:t xml:space="preserve"> a metric for institutional quality needs to be designed in order to define the WTP for a one</w:t>
      </w:r>
      <w:r w:rsidR="000E3804">
        <w:rPr>
          <w:rFonts w:ascii="Times New Roman" w:hAnsi="Times New Roman" w:cs="Times New Roman"/>
          <w:szCs w:val="24"/>
          <w:lang w:val="en-GB"/>
        </w:rPr>
        <w:t>-</w:t>
      </w:r>
      <w:r w:rsidR="0093208A" w:rsidRPr="004D084E">
        <w:rPr>
          <w:rFonts w:ascii="Times New Roman" w:hAnsi="Times New Roman" w:cs="Times New Roman"/>
          <w:szCs w:val="24"/>
          <w:lang w:val="en-GB"/>
        </w:rPr>
        <w:t xml:space="preserve">unit improvement in institutional quality. The latter can be calculated by dividing </w:t>
      </w:r>
      <w:r w:rsidR="00552B0D" w:rsidRPr="004D084E">
        <w:rPr>
          <w:rFonts w:ascii="Times New Roman" w:hAnsi="Times New Roman" w:cs="Times New Roman"/>
          <w:szCs w:val="24"/>
          <w:lang w:val="en-GB"/>
        </w:rPr>
        <w:t>the left-</w:t>
      </w:r>
      <w:r w:rsidRPr="004D084E">
        <w:rPr>
          <w:rFonts w:ascii="Times New Roman" w:hAnsi="Times New Roman" w:cs="Times New Roman"/>
          <w:szCs w:val="24"/>
          <w:lang w:val="en-GB"/>
        </w:rPr>
        <w:t>hand side of Equation (</w:t>
      </w:r>
      <w:r w:rsidR="0093208A" w:rsidRPr="004D084E">
        <w:rPr>
          <w:rFonts w:ascii="Times New Roman" w:hAnsi="Times New Roman" w:cs="Times New Roman"/>
          <w:szCs w:val="24"/>
          <w:lang w:val="en-GB"/>
        </w:rPr>
        <w:t>7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) </w:t>
      </w:r>
      <w:r w:rsidR="0093208A" w:rsidRPr="004D084E">
        <w:rPr>
          <w:rFonts w:ascii="Times New Roman" w:hAnsi="Times New Roman" w:cs="Times New Roman"/>
          <w:szCs w:val="24"/>
          <w:lang w:val="en-GB"/>
        </w:rPr>
        <w:t xml:space="preserve">by </w:t>
      </w:r>
      <w:r w:rsidRPr="004D084E">
        <w:rPr>
          <w:rFonts w:ascii="Times New Roman" w:hAnsi="Times New Roman" w:cs="Times New Roman"/>
          <w:bCs/>
          <w:szCs w:val="24"/>
          <w:lang w:val="en-GB"/>
        </w:rPr>
        <w:t xml:space="preserve">the </w:t>
      </w:r>
      <w:r w:rsidR="00B1361B" w:rsidRPr="004D084E">
        <w:rPr>
          <w:rFonts w:ascii="Times New Roman" w:hAnsi="Times New Roman" w:cs="Times New Roman"/>
          <w:bCs/>
          <w:szCs w:val="24"/>
          <w:lang w:val="en-GB"/>
        </w:rPr>
        <w:t xml:space="preserve">individually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perceived gap </w:t>
      </w:r>
      <w:r w:rsidR="000205FA" w:rsidRPr="004D084E">
        <w:rPr>
          <w:rFonts w:ascii="Times New Roman" w:hAnsi="Times New Roman" w:cs="Times New Roman"/>
          <w:szCs w:val="24"/>
          <w:lang w:val="en-GB"/>
        </w:rPr>
        <w:t>in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institutional quali</w:t>
      </w:r>
      <w:r w:rsidR="006139FE" w:rsidRPr="004D084E">
        <w:rPr>
          <w:rFonts w:ascii="Times New Roman" w:hAnsi="Times New Roman" w:cs="Times New Roman"/>
          <w:szCs w:val="24"/>
          <w:lang w:val="en-GB"/>
        </w:rPr>
        <w:t>ty</w:t>
      </w:r>
      <w:r w:rsidR="0093208A" w:rsidRPr="004D084E">
        <w:rPr>
          <w:rFonts w:ascii="Times New Roman" w:hAnsi="Times New Roman" w:cs="Times New Roman"/>
          <w:szCs w:val="24"/>
          <w:lang w:val="en-GB"/>
        </w:rPr>
        <w:t xml:space="preserve"> in predefined units</w:t>
      </w:r>
      <w:r w:rsidR="006139FE" w:rsidRPr="004D084E">
        <w:rPr>
          <w:rFonts w:ascii="Times New Roman" w:hAnsi="Times New Roman" w:cs="Times New Roman"/>
          <w:szCs w:val="24"/>
          <w:lang w:val="en-GB"/>
        </w:rPr>
        <w:t>. The respondents’ perception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of the disparity in institutional quality between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were explored by means of questions asking the respondents to successively evaluate 30 items pointing to different dimensions of institutional quality</w:t>
      </w:r>
      <w:r w:rsidRPr="004D084E">
        <w:rPr>
          <w:rStyle w:val="FootnoteReference"/>
          <w:sz w:val="24"/>
          <w:szCs w:val="24"/>
          <w:lang w:val="en-GB"/>
        </w:rPr>
        <w:footnoteReference w:id="2"/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 </w:t>
      </w:r>
      <w:r w:rsidR="007D36F0" w:rsidRPr="004D084E">
        <w:rPr>
          <w:rFonts w:ascii="Times New Roman" w:hAnsi="Times New Roman" w:cs="Times New Roman"/>
          <w:szCs w:val="24"/>
          <w:lang w:val="en-GB"/>
        </w:rPr>
        <w:t>the two</w:t>
      </w:r>
      <w:r w:rsidR="006139FE" w:rsidRPr="004D084E">
        <w:rPr>
          <w:rFonts w:ascii="Times New Roman" w:hAnsi="Times New Roman" w:cs="Times New Roman"/>
          <w:szCs w:val="24"/>
          <w:lang w:val="en-GB"/>
        </w:rPr>
        <w:t xml:space="preserve"> countries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. </w:t>
      </w:r>
      <w:r w:rsidR="005A1677" w:rsidRPr="004D084E">
        <w:rPr>
          <w:rFonts w:ascii="Times New Roman" w:hAnsi="Times New Roman" w:cs="Times New Roman"/>
          <w:szCs w:val="24"/>
          <w:lang w:val="en-GB"/>
        </w:rPr>
        <w:t>T</w:t>
      </w:r>
      <w:r w:rsidRPr="004D084E">
        <w:rPr>
          <w:rFonts w:ascii="Times New Roman" w:hAnsi="Times New Roman" w:cs="Times New Roman"/>
          <w:szCs w:val="24"/>
          <w:lang w:val="en-GB"/>
        </w:rPr>
        <w:t>hese questions were answered by five-point Likert scales (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Very </w:t>
      </w:r>
      <w:r w:rsidR="000E3804">
        <w:rPr>
          <w:rFonts w:ascii="Times New Roman" w:hAnsi="Times New Roman" w:cs="Times New Roman"/>
          <w:i/>
          <w:szCs w:val="24"/>
          <w:lang w:val="en-GB"/>
        </w:rPr>
        <w:lastRenderedPageBreak/>
        <w:t>P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oor, Poor, Acceptable, Good, and Very </w:t>
      </w:r>
      <w:r w:rsidR="000E3804">
        <w:rPr>
          <w:rFonts w:ascii="Times New Roman" w:hAnsi="Times New Roman" w:cs="Times New Roman"/>
          <w:i/>
          <w:szCs w:val="24"/>
          <w:lang w:val="en-GB"/>
        </w:rPr>
        <w:t>G</w:t>
      </w:r>
      <w:r w:rsidRPr="004D084E">
        <w:rPr>
          <w:rFonts w:ascii="Times New Roman" w:hAnsi="Times New Roman" w:cs="Times New Roman"/>
          <w:i/>
          <w:szCs w:val="24"/>
          <w:lang w:val="en-GB"/>
        </w:rPr>
        <w:t>ood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). </w:t>
      </w:r>
      <w:r w:rsidR="00B90651">
        <w:rPr>
          <w:rFonts w:ascii="Times New Roman" w:hAnsi="Times New Roman" w:cs="Times New Roman"/>
          <w:szCs w:val="24"/>
          <w:lang w:val="en-GB"/>
        </w:rPr>
        <w:t xml:space="preserve">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The Likert scales were assigned 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cores </w:t>
      </w:r>
      <w:r w:rsidR="00EB41F6" w:rsidRPr="004D084E">
        <w:rPr>
          <w:rFonts w:ascii="Times New Roman" w:hAnsi="Times New Roman" w:cs="Times New Roman"/>
          <w:szCs w:val="24"/>
          <w:lang w:val="en-GB"/>
        </w:rPr>
        <w:t>ranging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from one to five,</w:t>
      </w:r>
      <w:r w:rsidR="00EB41F6" w:rsidRPr="004D084E">
        <w:rPr>
          <w:rFonts w:ascii="Times New Roman" w:hAnsi="Times New Roman" w:cs="Times New Roman"/>
          <w:szCs w:val="24"/>
          <w:lang w:val="en-GB"/>
        </w:rPr>
        <w:t xml:space="preserve"> where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higher scores correspond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ed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to </w:t>
      </w:r>
      <w:r w:rsidRPr="004D084E">
        <w:rPr>
          <w:rFonts w:ascii="Times New Roman" w:hAnsi="Times New Roman" w:cs="Times New Roman"/>
          <w:szCs w:val="24"/>
          <w:lang w:val="en-GB"/>
        </w:rPr>
        <w:t>better institutional quality</w:t>
      </w:r>
      <w:r w:rsidR="00620B03" w:rsidRPr="004D084E">
        <w:rPr>
          <w:rFonts w:ascii="Times New Roman" w:hAnsi="Times New Roman" w:cs="Times New Roman"/>
          <w:szCs w:val="24"/>
          <w:lang w:val="en-GB"/>
        </w:rPr>
        <w:t>, as</w:t>
      </w:r>
      <w:r w:rsidR="00E75EF3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EB41F6" w:rsidRPr="004D084E">
        <w:rPr>
          <w:rFonts w:ascii="Times New Roman" w:hAnsi="Times New Roman" w:cs="Times New Roman"/>
          <w:szCs w:val="24"/>
          <w:lang w:val="en-GB"/>
        </w:rPr>
        <w:t>subjectively</w:t>
      </w:r>
      <w:r w:rsidR="006B5C09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E75EF3" w:rsidRPr="004D084E">
        <w:rPr>
          <w:rFonts w:ascii="Times New Roman" w:hAnsi="Times New Roman" w:cs="Times New Roman"/>
          <w:szCs w:val="24"/>
          <w:lang w:val="en-GB"/>
        </w:rPr>
        <w:t>perceived</w:t>
      </w:r>
      <w:r w:rsidR="00EB41F6" w:rsidRPr="004D084E">
        <w:rPr>
          <w:rFonts w:ascii="Times New Roman" w:hAnsi="Times New Roman" w:cs="Times New Roman"/>
          <w:szCs w:val="24"/>
          <w:lang w:val="en-GB"/>
        </w:rPr>
        <w:t xml:space="preserve"> by</w:t>
      </w:r>
      <w:r w:rsidR="00E75EF3" w:rsidRPr="004D084E">
        <w:rPr>
          <w:rFonts w:ascii="Times New Roman" w:hAnsi="Times New Roman" w:cs="Times New Roman"/>
          <w:szCs w:val="24"/>
          <w:lang w:val="en-GB"/>
        </w:rPr>
        <w:t xml:space="preserve"> the respondents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. The perceived gap </w:t>
      </w:r>
      <w:r w:rsidR="00620B03" w:rsidRPr="004D084E">
        <w:rPr>
          <w:rFonts w:ascii="Times New Roman" w:hAnsi="Times New Roman" w:cs="Times New Roman"/>
          <w:szCs w:val="24"/>
          <w:lang w:val="en-GB"/>
        </w:rPr>
        <w:t xml:space="preserve">within </w:t>
      </w:r>
      <w:r w:rsidRPr="004D084E">
        <w:rPr>
          <w:rFonts w:ascii="Times New Roman" w:hAnsi="Times New Roman" w:cs="Times New Roman"/>
          <w:szCs w:val="24"/>
          <w:lang w:val="en-GB"/>
        </w:rPr>
        <w:t>an item is the score of that item in</w:t>
      </w:r>
      <w:r w:rsidR="00271AF8" w:rsidRPr="00271AF8">
        <w:rPr>
          <w:rFonts w:ascii="Times New Roman" w:hAnsi="Times New Roman" w:cs="Times New Roman"/>
          <w:szCs w:val="24"/>
          <w:lang w:val="en-GB"/>
        </w:rPr>
        <w:t xml:space="preserve">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minus the score of the same item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. For instance, if an item </w:t>
      </w:r>
      <w:r w:rsidR="006B5C09" w:rsidRPr="004D084E">
        <w:rPr>
          <w:rFonts w:ascii="Times New Roman" w:hAnsi="Times New Roman" w:cs="Times New Roman"/>
          <w:szCs w:val="24"/>
          <w:lang w:val="en-GB"/>
        </w:rPr>
        <w:t>was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scored five (</w:t>
      </w:r>
      <w:r w:rsidRPr="004D084E">
        <w:rPr>
          <w:rFonts w:ascii="Times New Roman" w:hAnsi="Times New Roman" w:cs="Times New Roman"/>
          <w:i/>
          <w:szCs w:val="24"/>
          <w:lang w:val="en-GB"/>
        </w:rPr>
        <w:t xml:space="preserve">Very </w:t>
      </w:r>
      <w:r w:rsidR="000E3804">
        <w:rPr>
          <w:rFonts w:ascii="Times New Roman" w:hAnsi="Times New Roman" w:cs="Times New Roman"/>
          <w:i/>
          <w:szCs w:val="24"/>
          <w:lang w:val="en-GB"/>
        </w:rPr>
        <w:t>G</w:t>
      </w:r>
      <w:r w:rsidRPr="004D084E">
        <w:rPr>
          <w:rFonts w:ascii="Times New Roman" w:hAnsi="Times New Roman" w:cs="Times New Roman"/>
          <w:i/>
          <w:szCs w:val="24"/>
          <w:lang w:val="en-GB"/>
        </w:rPr>
        <w:t>ood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) </w:t>
      </w:r>
      <w:r w:rsidR="005166C5" w:rsidRPr="004D084E">
        <w:rPr>
          <w:rFonts w:ascii="Times New Roman" w:hAnsi="Times New Roman" w:cs="Times New Roman"/>
          <w:szCs w:val="24"/>
          <w:lang w:val="en-GB"/>
        </w:rPr>
        <w:t xml:space="preserve">in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="003F2747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>and three (</w:t>
      </w:r>
      <w:r w:rsidRPr="004D084E">
        <w:rPr>
          <w:rFonts w:ascii="Times New Roman" w:hAnsi="Times New Roman" w:cs="Times New Roman"/>
          <w:i/>
          <w:szCs w:val="24"/>
          <w:lang w:val="en-GB"/>
        </w:rPr>
        <w:t>Acceptable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)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Pr="004D084E">
        <w:rPr>
          <w:rFonts w:ascii="Times New Roman" w:hAnsi="Times New Roman" w:cs="Times New Roman"/>
          <w:szCs w:val="24"/>
          <w:lang w:val="en-GB"/>
        </w:rPr>
        <w:t>, the perceived gap of that item is two</w:t>
      </w:r>
      <w:r w:rsidR="00B24FBF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43A66" w:rsidRPr="004D084E">
        <w:rPr>
          <w:rFonts w:ascii="Times New Roman" w:hAnsi="Times New Roman" w:cs="Times New Roman"/>
          <w:szCs w:val="24"/>
          <w:lang w:val="en-GB"/>
        </w:rPr>
        <w:t>units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. Since there are 30 items, the overall perceived gap </w:t>
      </w:r>
      <w:r w:rsidR="000F69E3" w:rsidRPr="004D084E">
        <w:rPr>
          <w:rFonts w:ascii="Times New Roman" w:hAnsi="Times New Roman" w:cs="Times New Roman"/>
          <w:szCs w:val="24"/>
          <w:lang w:val="en-GB"/>
        </w:rPr>
        <w:t>in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institutional quality between the two countries is</w:t>
      </w:r>
      <w:r w:rsidR="00A711B6" w:rsidRPr="004D084E">
        <w:rPr>
          <w:rFonts w:ascii="Times New Roman" w:hAnsi="Times New Roman" w:cs="Times New Roman"/>
          <w:szCs w:val="24"/>
          <w:lang w:val="en-GB"/>
        </w:rPr>
        <w:t xml:space="preserve"> the</w:t>
      </w:r>
      <w:r w:rsidR="00EE0A2C" w:rsidRPr="004D084E">
        <w:rPr>
          <w:rFonts w:ascii="Times New Roman" w:hAnsi="Times New Roman" w:cs="Times New Roman"/>
          <w:szCs w:val="24"/>
          <w:lang w:val="en-GB"/>
        </w:rPr>
        <w:t xml:space="preserve"> average value</w:t>
      </w:r>
      <w:r w:rsidR="006B3EEA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7C3500" w:rsidRPr="004D084E">
        <w:rPr>
          <w:rFonts w:ascii="Times New Roman" w:hAnsi="Times New Roman" w:cs="Times New Roman"/>
          <w:szCs w:val="24"/>
          <w:lang w:val="en-GB"/>
        </w:rPr>
        <w:t>of 30 perceived gaps, rounded to the nearest integer.</w:t>
      </w:r>
      <w:r w:rsidR="007C3500" w:rsidRPr="004D084E">
        <w:rPr>
          <w:rStyle w:val="FootnoteReference"/>
          <w:sz w:val="24"/>
          <w:szCs w:val="24"/>
          <w:lang w:val="en-GB"/>
        </w:rPr>
        <w:footnoteReference w:id="3"/>
      </w:r>
      <w:r w:rsidR="007C350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>As a result,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 the </w:t>
      </w:r>
      <w:r w:rsidR="001E11FC" w:rsidRPr="004D084E">
        <w:rPr>
          <w:rFonts w:ascii="Times New Roman" w:hAnsi="Times New Roman" w:cs="Times New Roman"/>
          <w:szCs w:val="24"/>
          <w:lang w:val="en-GB"/>
        </w:rPr>
        <w:t>marginal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 willingness to pay</w:t>
      </w:r>
      <w:r w:rsidR="001409AB">
        <w:rPr>
          <w:rFonts w:ascii="Times New Roman" w:hAnsi="Times New Roman" w:cs="Times New Roman"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MWTP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NZ=VN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</m:oMath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004AB2" w:rsidRPr="004D084E">
        <w:rPr>
          <w:rFonts w:ascii="Times New Roman" w:hAnsi="Times New Roman" w:cs="Times New Roman"/>
          <w:szCs w:val="24"/>
          <w:lang w:val="en-GB"/>
        </w:rPr>
        <w:t>is calculated as</w:t>
      </w:r>
      <w:r w:rsidR="00775182" w:rsidRPr="004D084E">
        <w:rPr>
          <w:rFonts w:ascii="Times New Roman" w:hAnsi="Times New Roman" w:cs="Times New Roman"/>
          <w:szCs w:val="24"/>
          <w:lang w:val="en-GB"/>
        </w:rPr>
        <w:t>:</w:t>
      </w:r>
    </w:p>
    <w:p w14:paraId="3D4A2B35" w14:textId="77777777" w:rsidR="00912105" w:rsidRPr="004D084E" w:rsidRDefault="00912105" w:rsidP="00004AB2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562"/>
      </w:tblGrid>
      <w:tr w:rsidR="00775182" w:rsidRPr="00B90651" w14:paraId="61239A35" w14:textId="77777777" w:rsidTr="00C462BF">
        <w:trPr>
          <w:trHeight w:val="339"/>
        </w:trPr>
        <w:tc>
          <w:tcPr>
            <w:tcW w:w="8505" w:type="dxa"/>
            <w:vAlign w:val="center"/>
          </w:tcPr>
          <w:p w14:paraId="0B015A4F" w14:textId="0D27191C" w:rsidR="00775182" w:rsidRPr="00B90651" w:rsidRDefault="00D478E6" w:rsidP="000666A8">
            <w:pPr>
              <w:spacing w:before="120" w:after="120" w:line="300" w:lineRule="auto"/>
              <w:jc w:val="center"/>
              <w:rPr>
                <w:rFonts w:ascii="Times New Roman" w:hAnsi="Times New Roman" w:cs="Times New Roman"/>
                <w:bCs/>
                <w:sz w:val="22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MWTP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NZ=VN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WTP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NZ=VN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 xml:space="preserve"> /F(</m:t>
                </m:r>
                <m:sSubSup>
                  <m:sSubSupPr>
                    <m:ctrlPr>
                      <w:rPr>
                        <w:rFonts w:ascii="Cambria Math" w:eastAsiaTheme="majorEastAsia" w:hAnsi="Cambria Math" w:cs="Times New Roman"/>
                        <w:bCs/>
                        <w:i/>
                        <w:sz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IQ</m:t>
                    </m:r>
                  </m:e>
                  <m:sub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NZ</m:t>
                    </m:r>
                    <m:r>
                      <w:rPr>
                        <w:rFonts w:ascii="Cambria Math" w:eastAsiaTheme="majorEastAsia" w:hAnsi="Cambria Math" w:cs="Times New Roman"/>
                        <w:i/>
                        <w:sz w:val="22"/>
                        <w:lang w:val="en-GB"/>
                      </w:rPr>
                      <w:sym w:font="Symbol" w:char="F02D"/>
                    </m:r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VN</m:t>
                    </m:r>
                  </m:sub>
                  <m:sup>
                    <m:r>
                      <w:rPr>
                        <w:rFonts w:ascii="Cambria Math" w:eastAsiaTheme="majorEastAsia" w:hAnsi="Cambria Math" w:cs="Times New Roman"/>
                        <w:sz w:val="22"/>
                        <w:lang w:val="en-GB"/>
                      </w:rPr>
                      <m:t>i</m:t>
                    </m:r>
                  </m:sup>
                </m:sSubSup>
                <m:r>
                  <w:rPr>
                    <w:rFonts w:ascii="Cambria Math" w:eastAsiaTheme="majorEastAsia" w:hAnsi="Cambria Math" w:cs="Times New Roman"/>
                    <w:sz w:val="22"/>
                    <w:lang w:val="en-GB"/>
                  </w:rPr>
                  <m:t>)</m:t>
                </m:r>
              </m:oMath>
            </m:oMathPara>
          </w:p>
        </w:tc>
        <w:tc>
          <w:tcPr>
            <w:tcW w:w="562" w:type="dxa"/>
            <w:vAlign w:val="center"/>
          </w:tcPr>
          <w:p w14:paraId="4DF23D39" w14:textId="77777777" w:rsidR="00775182" w:rsidRPr="00B90651" w:rsidRDefault="00775182" w:rsidP="000666A8">
            <w:pPr>
              <w:spacing w:before="120" w:after="120" w:line="300" w:lineRule="auto"/>
              <w:jc w:val="right"/>
              <w:rPr>
                <w:rFonts w:ascii="Times New Roman" w:hAnsi="Times New Roman" w:cs="Times New Roman"/>
                <w:sz w:val="22"/>
                <w:lang w:val="en-GB"/>
              </w:rPr>
            </w:pPr>
            <w:r w:rsidRPr="00B90651">
              <w:rPr>
                <w:rFonts w:ascii="Times New Roman" w:hAnsi="Times New Roman" w:cs="Times New Roman"/>
                <w:bCs/>
                <w:sz w:val="22"/>
                <w:lang w:val="en-GB"/>
              </w:rPr>
              <w:t>(8)</w:t>
            </w:r>
          </w:p>
        </w:tc>
      </w:tr>
    </w:tbl>
    <w:p w14:paraId="2ADA36F9" w14:textId="77777777" w:rsidR="00912105" w:rsidRDefault="00912105" w:rsidP="004F19B8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0F4EDE4A" w14:textId="106C79DF" w:rsidR="004A6AAA" w:rsidRPr="004D084E" w:rsidRDefault="000B6E55" w:rsidP="004F19B8">
      <w:pPr>
        <w:spacing w:line="300" w:lineRule="auto"/>
        <w:jc w:val="both"/>
        <w:rPr>
          <w:rFonts w:ascii="Times New Roman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>w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here </w:t>
      </w:r>
      <m:oMath>
        <m:r>
          <w:rPr>
            <w:rFonts w:ascii="Cambria Math" w:eastAsiaTheme="majorEastAsia" w:hAnsi="Cambria Math" w:cs="Times New Roman"/>
            <w:szCs w:val="24"/>
            <w:lang w:val="en-GB"/>
          </w:rPr>
          <m:t>F(</m:t>
        </m:r>
        <m:sSubSup>
          <m:sSubSupPr>
            <m:ctrlPr>
              <w:rPr>
                <w:rFonts w:ascii="Cambria Math" w:eastAsiaTheme="majorEastAsia" w:hAnsi="Cambria Math" w:cs="Times New Roman"/>
                <w:bCs/>
                <w:i/>
                <w:szCs w:val="24"/>
                <w:lang w:val="en-GB"/>
              </w:rPr>
            </m:ctrlPr>
          </m:sSubSupPr>
          <m:e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IQ</m:t>
            </m:r>
          </m:e>
          <m:sub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NZ</m:t>
            </m:r>
            <m:r>
              <w:rPr>
                <w:rFonts w:ascii="Cambria Math" w:eastAsiaTheme="majorEastAsia" w:hAnsi="Cambria Math" w:cs="Times New Roman"/>
                <w:i/>
                <w:szCs w:val="24"/>
                <w:lang w:val="en-GB"/>
              </w:rPr>
              <w:sym w:font="Symbol" w:char="F02D"/>
            </m:r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VN</m:t>
            </m:r>
          </m:sub>
          <m:sup>
            <m:r>
              <w:rPr>
                <w:rFonts w:ascii="Cambria Math" w:eastAsiaTheme="majorEastAsia" w:hAnsi="Cambria Math" w:cs="Times New Roman"/>
                <w:szCs w:val="24"/>
                <w:lang w:val="en-GB"/>
              </w:rPr>
              <m:t>i</m:t>
            </m:r>
          </m:sup>
        </m:sSubSup>
        <m:r>
          <w:rPr>
            <w:rFonts w:ascii="Cambria Math" w:eastAsiaTheme="majorEastAsia" w:hAnsi="Cambria Math" w:cs="Times New Roman"/>
            <w:szCs w:val="24"/>
            <w:lang w:val="en-GB"/>
          </w:rPr>
          <m:t>)</m:t>
        </m:r>
      </m:oMath>
      <w:r w:rsidR="00B4507E">
        <w:rPr>
          <w:rFonts w:ascii="Times New Roman" w:hAnsi="Times New Roman" w:cs="Times New Roman"/>
          <w:szCs w:val="24"/>
          <w:lang w:val="en-GB"/>
        </w:rPr>
        <w:t xml:space="preserve"> </w:t>
      </w:r>
      <w:r w:rsidR="00004AB2" w:rsidRPr="004D084E">
        <w:rPr>
          <w:rFonts w:ascii="Times New Roman" w:hAnsi="Times New Roman" w:cs="Times New Roman"/>
          <w:szCs w:val="24"/>
          <w:lang w:val="en-GB"/>
        </w:rPr>
        <w:t>is the index of an individual</w:t>
      </w:r>
      <w:r w:rsidR="00BA6FF7" w:rsidRPr="004D084E">
        <w:rPr>
          <w:rFonts w:ascii="Times New Roman" w:hAnsi="Times New Roman" w:cs="Times New Roman"/>
          <w:szCs w:val="24"/>
          <w:lang w:val="en-GB"/>
        </w:rPr>
        <w:t>’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s perceived institutional quality difference between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, calculated as outlined </w:t>
      </w:r>
      <w:proofErr w:type="gramStart"/>
      <w:r w:rsidR="00004AB2" w:rsidRPr="004D084E">
        <w:rPr>
          <w:rFonts w:ascii="Times New Roman" w:hAnsi="Times New Roman" w:cs="Times New Roman"/>
          <w:szCs w:val="24"/>
          <w:lang w:val="en-GB"/>
        </w:rPr>
        <w:t>above.</w:t>
      </w:r>
      <w:proofErr w:type="gramEnd"/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B90651">
        <w:rPr>
          <w:rFonts w:ascii="Times New Roman" w:hAnsi="Times New Roman" w:cs="Times New Roman"/>
          <w:szCs w:val="24"/>
          <w:lang w:val="en-GB"/>
        </w:rPr>
        <w:t xml:space="preserve">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>Equation (</w:t>
      </w:r>
      <w:r w:rsidR="009A5E4D" w:rsidRPr="004D084E">
        <w:rPr>
          <w:rFonts w:ascii="Times New Roman" w:hAnsi="Times New Roman" w:cs="Times New Roman"/>
          <w:szCs w:val="24"/>
          <w:lang w:val="en-GB"/>
        </w:rPr>
        <w:t>8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) </w:t>
      </w:r>
      <w:r w:rsidR="009A5E4D" w:rsidRPr="004D084E">
        <w:rPr>
          <w:rFonts w:ascii="Times New Roman" w:hAnsi="Times New Roman" w:cs="Times New Roman"/>
          <w:szCs w:val="24"/>
          <w:lang w:val="en-GB"/>
        </w:rPr>
        <w:t xml:space="preserve">measures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the WTP for </w:t>
      </w:r>
      <w:r w:rsidR="007336B2" w:rsidRPr="004D084E">
        <w:rPr>
          <w:rFonts w:ascii="Times New Roman" w:hAnsi="Times New Roman" w:cs="Times New Roman"/>
          <w:szCs w:val="24"/>
          <w:lang w:val="en-GB"/>
        </w:rPr>
        <w:t xml:space="preserve">a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>one</w:t>
      </w:r>
      <w:r w:rsidR="00B90651">
        <w:rPr>
          <w:rFonts w:ascii="Times New Roman" w:hAnsi="Times New Roman" w:cs="Times New Roman"/>
          <w:szCs w:val="24"/>
          <w:lang w:val="en-GB"/>
        </w:rPr>
        <w:t>-</w:t>
      </w:r>
      <w:r w:rsidR="00004AB2" w:rsidRPr="004D084E">
        <w:rPr>
          <w:rFonts w:ascii="Times New Roman" w:hAnsi="Times New Roman" w:cs="Times New Roman"/>
          <w:szCs w:val="24"/>
          <w:lang w:val="en-GB"/>
        </w:rPr>
        <w:t xml:space="preserve">unit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improvement in institutional quality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. The estimated </w:t>
      </w:r>
      <w:r w:rsidR="001E11FC" w:rsidRPr="004D084E">
        <w:rPr>
          <w:rFonts w:ascii="Times New Roman" w:hAnsi="Times New Roman" w:cs="Times New Roman"/>
          <w:szCs w:val="24"/>
          <w:lang w:val="en-GB"/>
        </w:rPr>
        <w:t>M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WTP </w:t>
      </w:r>
      <w:r w:rsidR="009217CD" w:rsidRPr="004D084E">
        <w:rPr>
          <w:rFonts w:ascii="Times New Roman" w:hAnsi="Times New Roman" w:cs="Times New Roman"/>
          <w:szCs w:val="24"/>
          <w:lang w:val="en-GB"/>
        </w:rPr>
        <w:t xml:space="preserve">of individuals 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represents the implicit monetary value of an improvement in institutional quality in </w:t>
      </w:r>
      <w:r w:rsidR="00B90651" w:rsidRPr="00B90651">
        <w:rPr>
          <w:rFonts w:ascii="Times New Roman" w:hAnsi="Times New Roman" w:cs="Times New Roman"/>
          <w:szCs w:val="24"/>
          <w:lang w:val="en-GB"/>
        </w:rPr>
        <w:t>Viet Nam</w:t>
      </w:r>
      <w:r w:rsidR="004A6AAA" w:rsidRPr="004D084E">
        <w:rPr>
          <w:rFonts w:ascii="Times New Roman" w:hAnsi="Times New Roman" w:cs="Times New Roman"/>
          <w:szCs w:val="24"/>
          <w:lang w:val="en-GB"/>
        </w:rPr>
        <w:t xml:space="preserve"> by one</w:t>
      </w:r>
      <w:r w:rsidR="00AA3EEE">
        <w:rPr>
          <w:rFonts w:ascii="Times New Roman" w:hAnsi="Times New Roman" w:cs="Times New Roman"/>
          <w:szCs w:val="24"/>
          <w:lang w:val="en-GB"/>
        </w:rPr>
        <w:t xml:space="preserve"> </w:t>
      </w:r>
      <w:r w:rsidR="00AA3EEE" w:rsidRPr="004D084E">
        <w:rPr>
          <w:rFonts w:ascii="Times New Roman" w:hAnsi="Times New Roman" w:cs="Times New Roman"/>
          <w:szCs w:val="24"/>
          <w:lang w:val="en-GB"/>
        </w:rPr>
        <w:t>unit,</w:t>
      </w:r>
      <w:r w:rsidR="00AA3EEE" w:rsidRPr="00D96567">
        <w:rPr>
          <w:rFonts w:ascii="Times New Roman" w:hAnsi="Times New Roman" w:cs="Times New Roman"/>
          <w:szCs w:val="24"/>
          <w:lang w:val="en-GB"/>
        </w:rPr>
        <w:t xml:space="preserve"> </w:t>
      </w:r>
      <w:r w:rsidR="00AA3EEE" w:rsidRPr="004D084E">
        <w:rPr>
          <w:rFonts w:ascii="Times New Roman" w:hAnsi="Times New Roman" w:cs="Times New Roman"/>
          <w:szCs w:val="24"/>
          <w:lang w:val="en-GB"/>
        </w:rPr>
        <w:t xml:space="preserve">benchmarked against institutional quality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271AF8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AA3EEE" w:rsidRPr="004D084E">
        <w:rPr>
          <w:rFonts w:ascii="Times New Roman" w:hAnsi="Times New Roman" w:cs="Times New Roman"/>
          <w:szCs w:val="24"/>
          <w:lang w:val="en-GB"/>
        </w:rPr>
        <w:t>as per the perception of the respondents, elicited via the return migration channel. Finally, we run multivariate regressions using the</w:t>
      </w:r>
      <w:r w:rsidR="00AA3EEE">
        <w:rPr>
          <w:rFonts w:ascii="Times New Roman" w:hAnsi="Times New Roman" w:cs="Times New Roman"/>
          <w:szCs w:val="24"/>
          <w:lang w:val="en-GB"/>
        </w:rPr>
        <w:t xml:space="preserve"> </w:t>
      </w:r>
      <w:r w:rsidR="00AA3EEE" w:rsidRPr="009E31B4">
        <w:rPr>
          <w:rFonts w:ascii="Times New Roman" w:hAnsi="Times New Roman" w:cs="Times New Roman"/>
          <w:szCs w:val="24"/>
          <w:lang w:val="en-GB"/>
        </w:rPr>
        <w:t>ordinary least squares</w:t>
      </w:r>
      <w:r w:rsidR="00AA3EEE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AA3EEE">
        <w:rPr>
          <w:rFonts w:ascii="Times New Roman" w:hAnsi="Times New Roman" w:cs="Times New Roman"/>
          <w:szCs w:val="24"/>
          <w:lang w:val="en-GB"/>
        </w:rPr>
        <w:t>(</w:t>
      </w:r>
      <w:r w:rsidR="00AA3EEE" w:rsidRPr="004D084E">
        <w:rPr>
          <w:rFonts w:ascii="Times New Roman" w:hAnsi="Times New Roman" w:cs="Times New Roman"/>
          <w:szCs w:val="24"/>
          <w:lang w:val="en-GB"/>
        </w:rPr>
        <w:t>OLS</w:t>
      </w:r>
      <w:r w:rsidR="00AA3EEE">
        <w:rPr>
          <w:rFonts w:ascii="Times New Roman" w:hAnsi="Times New Roman" w:cs="Times New Roman"/>
          <w:szCs w:val="24"/>
          <w:lang w:val="en-GB"/>
        </w:rPr>
        <w:t>)</w:t>
      </w:r>
      <w:r w:rsidR="00AA3EEE" w:rsidRPr="004D084E">
        <w:rPr>
          <w:rFonts w:ascii="Times New Roman" w:hAnsi="Times New Roman" w:cs="Times New Roman"/>
          <w:szCs w:val="24"/>
          <w:lang w:val="en-GB"/>
        </w:rPr>
        <w:t xml:space="preserve"> estimator to identify the determinants of the estimated MWTP.</w:t>
      </w:r>
    </w:p>
    <w:p w14:paraId="776EDEE6" w14:textId="77777777" w:rsidR="004A6AAA" w:rsidRDefault="004A6AAA" w:rsidP="007C3500">
      <w:pPr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5FB2663E" w14:textId="746C17E5" w:rsidR="00B370ED" w:rsidRPr="004D084E" w:rsidRDefault="00B370ED" w:rsidP="00B370ED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  <w:sectPr w:rsidR="00B370ED" w:rsidRPr="004D084E" w:rsidSect="005F09F1">
          <w:footerReference w:type="default" r:id="rId11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4D084E">
        <w:rPr>
          <w:rFonts w:ascii="Times New Roman" w:hAnsi="Times New Roman" w:cs="Times New Roman"/>
          <w:szCs w:val="24"/>
          <w:lang w:val="en-GB"/>
        </w:rPr>
        <w:t xml:space="preserve">Table 1 describes the variables of the multivariate analysis and provides descriptive statistics for our sample characteristics. Our useable sample contains 64 </w:t>
      </w:r>
      <w:r w:rsidRPr="004D084E">
        <w:rPr>
          <w:rFonts w:ascii="Times New Roman" w:hAnsi="Times New Roman" w:cs="Times New Roman"/>
          <w:spacing w:val="-2"/>
          <w:szCs w:val="24"/>
          <w:lang w:val="en-GB"/>
        </w:rPr>
        <w:t>respondents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who completed the questionnaire distributed to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B90651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ese individuals and associations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as either a web-survey (n=37) or a written survey (n=27). The respondents were recruited through posts on Facebook pages of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B90651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ese associations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(web-survey), or directly through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B90651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ese associations in </w:t>
      </w:r>
      <w:r w:rsidR="00271AF8">
        <w:rPr>
          <w:rFonts w:ascii="Times New Roman" w:hAnsi="Times New Roman" w:cs="Times New Roman"/>
          <w:szCs w:val="24"/>
          <w:lang w:val="en-GB"/>
        </w:rPr>
        <w:t>New Zealand</w:t>
      </w:r>
      <w:r w:rsidR="00271AF8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Pr="004D084E">
        <w:rPr>
          <w:rFonts w:ascii="Times New Roman" w:hAnsi="Times New Roman" w:cs="Times New Roman"/>
          <w:szCs w:val="24"/>
          <w:lang w:val="en-GB"/>
        </w:rPr>
        <w:t>(written survey). A response rate cannot be calculated as the number of invitations that were received is unknown.</w:t>
      </w:r>
    </w:p>
    <w:p w14:paraId="5A093C8D" w14:textId="419225FB" w:rsidR="00956E58" w:rsidRPr="00912105" w:rsidRDefault="00956E58" w:rsidP="00956E58">
      <w:pPr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912105">
        <w:rPr>
          <w:rFonts w:ascii="Times New Roman" w:hAnsi="Times New Roman" w:cs="Times New Roman"/>
          <w:b/>
          <w:sz w:val="22"/>
          <w:lang w:val="en-GB"/>
        </w:rPr>
        <w:lastRenderedPageBreak/>
        <w:t xml:space="preserve">Table 1: Description of </w:t>
      </w:r>
      <w:r w:rsidR="00782789">
        <w:rPr>
          <w:rFonts w:ascii="Times New Roman" w:hAnsi="Times New Roman" w:cs="Times New Roman"/>
          <w:b/>
          <w:sz w:val="22"/>
          <w:lang w:val="en-GB"/>
        </w:rPr>
        <w:t>V</w:t>
      </w:r>
      <w:r w:rsidRPr="00912105">
        <w:rPr>
          <w:rFonts w:ascii="Times New Roman" w:hAnsi="Times New Roman" w:cs="Times New Roman"/>
          <w:b/>
          <w:sz w:val="22"/>
          <w:lang w:val="en-GB"/>
        </w:rPr>
        <w:t xml:space="preserve">ariables and </w:t>
      </w:r>
      <w:r w:rsidR="00782789">
        <w:rPr>
          <w:rFonts w:ascii="Times New Roman" w:hAnsi="Times New Roman" w:cs="Times New Roman"/>
          <w:b/>
          <w:sz w:val="22"/>
          <w:lang w:val="en-GB"/>
        </w:rPr>
        <w:t>S</w:t>
      </w:r>
      <w:r w:rsidRPr="00912105">
        <w:rPr>
          <w:rFonts w:ascii="Times New Roman" w:hAnsi="Times New Roman" w:cs="Times New Roman"/>
          <w:b/>
          <w:sz w:val="22"/>
          <w:lang w:val="en-GB"/>
        </w:rPr>
        <w:t xml:space="preserve">ample </w:t>
      </w:r>
      <w:r w:rsidR="00782789">
        <w:rPr>
          <w:rFonts w:ascii="Times New Roman" w:hAnsi="Times New Roman" w:cs="Times New Roman"/>
          <w:b/>
          <w:sz w:val="22"/>
          <w:lang w:val="en-GB"/>
        </w:rPr>
        <w:t>C</w:t>
      </w:r>
      <w:r w:rsidRPr="00912105">
        <w:rPr>
          <w:rFonts w:ascii="Times New Roman" w:hAnsi="Times New Roman" w:cs="Times New Roman"/>
          <w:b/>
          <w:sz w:val="22"/>
          <w:lang w:val="en-GB"/>
        </w:rPr>
        <w:t>haracteristics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8485"/>
        <w:gridCol w:w="416"/>
        <w:gridCol w:w="766"/>
        <w:gridCol w:w="766"/>
        <w:gridCol w:w="896"/>
        <w:gridCol w:w="666"/>
      </w:tblGrid>
      <w:tr w:rsidR="00956E58" w:rsidRPr="004D084E" w14:paraId="0700FD6C" w14:textId="77777777" w:rsidTr="007C3500">
        <w:trPr>
          <w:trHeight w:val="227"/>
        </w:trPr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4D9DF" w14:textId="77777777" w:rsidR="00956E58" w:rsidRPr="004D084E" w:rsidRDefault="00956E58" w:rsidP="00261BB8">
            <w:pPr>
              <w:spacing w:before="100" w:after="100" w:line="240" w:lineRule="auto"/>
              <w:ind w:left="27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70206" w14:textId="77777777" w:rsidR="00956E58" w:rsidRPr="004D084E" w:rsidRDefault="00956E58" w:rsidP="00261BB8">
            <w:pPr>
              <w:tabs>
                <w:tab w:val="left" w:pos="2622"/>
                <w:tab w:val="right" w:pos="9026"/>
              </w:tabs>
              <w:spacing w:before="100" w:after="100" w:line="240" w:lineRule="auto"/>
              <w:jc w:val="both"/>
              <w:rPr>
                <w:rFonts w:eastAsiaTheme="majorEastAsia" w:cstheme="majorBidi"/>
                <w:sz w:val="20"/>
                <w:szCs w:val="20"/>
                <w:lang w:val="en-GB"/>
              </w:rPr>
            </w:pP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</w:tcPr>
          <w:p w14:paraId="66E57AFE" w14:textId="77777777" w:rsidR="00956E58" w:rsidRPr="004D084E" w:rsidRDefault="00956E58" w:rsidP="00261BB8">
            <w:pPr>
              <w:spacing w:before="100" w:after="100" w:line="240" w:lineRule="auto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</w:pPr>
            <w:r w:rsidRPr="004D084E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>N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14:paraId="0CAC41CF" w14:textId="77777777" w:rsidR="00956E58" w:rsidRPr="004D084E" w:rsidRDefault="00956E58" w:rsidP="00261BB8">
            <w:pPr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D08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Mean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14:paraId="47656C61" w14:textId="77777777" w:rsidR="00956E58" w:rsidRPr="004D084E" w:rsidRDefault="00956E58" w:rsidP="00261BB8">
            <w:pPr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D08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SD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18FB9856" w14:textId="77777777" w:rsidR="00956E58" w:rsidRPr="004D084E" w:rsidRDefault="00956E58" w:rsidP="00261BB8">
            <w:pPr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D08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14:paraId="070FDF95" w14:textId="77777777" w:rsidR="00956E58" w:rsidRPr="004D084E" w:rsidRDefault="00956E58" w:rsidP="00261BB8">
            <w:pPr>
              <w:spacing w:before="100" w:after="10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D08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Max</w:t>
            </w:r>
          </w:p>
        </w:tc>
      </w:tr>
      <w:tr w:rsidR="00956E58" w:rsidRPr="004D084E" w14:paraId="6BAA3B7C" w14:textId="77777777" w:rsidTr="007C3500">
        <w:trPr>
          <w:trHeight w:val="227"/>
        </w:trPr>
        <w:tc>
          <w:tcPr>
            <w:tcW w:w="711" w:type="pct"/>
            <w:tcBorders>
              <w:top w:val="single" w:sz="4" w:space="0" w:color="auto"/>
            </w:tcBorders>
          </w:tcPr>
          <w:p w14:paraId="4C06C4BE" w14:textId="5511EFDA" w:rsidR="00956E58" w:rsidRPr="004D084E" w:rsidRDefault="001E11FC" w:rsidP="007C3500">
            <w:pPr>
              <w:spacing w:before="120" w:line="240" w:lineRule="auto"/>
              <w:ind w:left="28"/>
              <w:rPr>
                <w:rFonts w:cstheme="majorBidi"/>
                <w:b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M</w:t>
            </w:r>
            <w:r w:rsidR="00956E58" w:rsidRPr="004D084E">
              <w:rPr>
                <w:rFonts w:cstheme="majorBidi"/>
                <w:iCs/>
                <w:sz w:val="20"/>
                <w:szCs w:val="20"/>
                <w:lang w:val="en-GB"/>
              </w:rPr>
              <w:t>WTP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vAlign w:val="center"/>
          </w:tcPr>
          <w:p w14:paraId="3AB682D1" w14:textId="5CA35095" w:rsidR="00956E58" w:rsidRPr="004D084E" w:rsidRDefault="00956E58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Fonts w:eastAsiaTheme="majorEastAsia" w:cstheme="majorBidi"/>
                <w:sz w:val="20"/>
                <w:szCs w:val="20"/>
                <w:lang w:val="en-GB"/>
              </w:rPr>
            </w:pP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The willingness to pay for </w:t>
            </w:r>
            <w:r w:rsidR="00751EDF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a </w:t>
            </w: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one </w:t>
            </w:r>
            <w:r w:rsidR="00C00522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unit </w:t>
            </w:r>
            <w:r w:rsidR="00E44248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of </w:t>
            </w: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improvement in institutional quality in VN benchmarked against institutional quality in NZ</w:t>
            </w:r>
            <w:r w:rsidR="007336B2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,</w:t>
            </w: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 as per the perception of the respondents</w:t>
            </w:r>
            <w:r w:rsidR="009528A7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 (</w:t>
            </w:r>
            <w:r w:rsidR="00C00E48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New Zealand d</w:t>
            </w:r>
            <w:r w:rsidR="005151E1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ollar</w:t>
            </w:r>
            <w:r w:rsidR="007336B2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s</w:t>
            </w:r>
            <w:r w:rsidR="005151E1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 - </w:t>
            </w:r>
            <w:r w:rsidR="009528A7"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NZD)</w:t>
            </w:r>
          </w:p>
        </w:tc>
        <w:tc>
          <w:tcPr>
            <w:tcW w:w="124" w:type="pct"/>
            <w:tcBorders>
              <w:top w:val="single" w:sz="4" w:space="0" w:color="auto"/>
            </w:tcBorders>
          </w:tcPr>
          <w:p w14:paraId="06C564F2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5DBE434C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79.8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67289AF7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216.91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14:paraId="1BCDE63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-500.31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14:paraId="4504FEA8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700</w:t>
            </w:r>
          </w:p>
        </w:tc>
      </w:tr>
      <w:tr w:rsidR="00956E58" w:rsidRPr="004D084E" w14:paraId="39E7C6CA" w14:textId="77777777" w:rsidTr="007C3500">
        <w:trPr>
          <w:trHeight w:val="227"/>
        </w:trPr>
        <w:tc>
          <w:tcPr>
            <w:tcW w:w="711" w:type="pct"/>
          </w:tcPr>
          <w:p w14:paraId="7CB8F6AF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Age</w:t>
            </w:r>
          </w:p>
        </w:tc>
        <w:tc>
          <w:tcPr>
            <w:tcW w:w="3047" w:type="pct"/>
            <w:vAlign w:val="center"/>
          </w:tcPr>
          <w:p w14:paraId="5EDC947A" w14:textId="77777777" w:rsidR="00956E58" w:rsidRPr="004D084E" w:rsidRDefault="00956E58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Fonts w:cstheme="majorBidi"/>
                <w:sz w:val="20"/>
                <w:szCs w:val="20"/>
                <w:lang w:val="en-GB"/>
              </w:rPr>
            </w:pP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 xml:space="preserve">Years from the reported date of birth to 1 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January 2017</w:t>
            </w:r>
          </w:p>
        </w:tc>
        <w:tc>
          <w:tcPr>
            <w:tcW w:w="124" w:type="pct"/>
          </w:tcPr>
          <w:p w14:paraId="4F3904B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59774FC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37.84</w:t>
            </w:r>
          </w:p>
        </w:tc>
        <w:tc>
          <w:tcPr>
            <w:tcW w:w="274" w:type="pct"/>
          </w:tcPr>
          <w:p w14:paraId="513D4B74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10.16</w:t>
            </w:r>
          </w:p>
        </w:tc>
        <w:tc>
          <w:tcPr>
            <w:tcW w:w="328" w:type="pct"/>
          </w:tcPr>
          <w:p w14:paraId="3784952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239" w:type="pct"/>
          </w:tcPr>
          <w:p w14:paraId="7459F3B8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70</w:t>
            </w:r>
          </w:p>
        </w:tc>
      </w:tr>
      <w:tr w:rsidR="00956E58" w:rsidRPr="004D084E" w14:paraId="4A2417AA" w14:textId="77777777" w:rsidTr="007C3500">
        <w:trPr>
          <w:trHeight w:val="227"/>
        </w:trPr>
        <w:tc>
          <w:tcPr>
            <w:tcW w:w="711" w:type="pct"/>
          </w:tcPr>
          <w:p w14:paraId="0BC2116C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3047" w:type="pct"/>
            <w:vAlign w:val="center"/>
          </w:tcPr>
          <w:p w14:paraId="2F230E23" w14:textId="77777777" w:rsidR="00956E58" w:rsidRPr="004D084E" w:rsidRDefault="00956E58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Fonts w:eastAsiaTheme="majorEastAsia" w:cstheme="majorBidi"/>
                <w:sz w:val="20"/>
                <w:szCs w:val="20"/>
                <w:lang w:val="en-GB"/>
              </w:rPr>
            </w:pPr>
            <w:r w:rsidRPr="004D084E">
              <w:rPr>
                <w:rFonts w:eastAsiaTheme="majorEastAsia" w:cstheme="majorBidi"/>
                <w:sz w:val="20"/>
                <w:szCs w:val="20"/>
                <w:lang w:val="en-GB"/>
              </w:rPr>
              <w:t>Male=1, female=0</w:t>
            </w:r>
          </w:p>
        </w:tc>
        <w:tc>
          <w:tcPr>
            <w:tcW w:w="124" w:type="pct"/>
          </w:tcPr>
          <w:p w14:paraId="6EE22D8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75F8911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0.47</w:t>
            </w:r>
          </w:p>
        </w:tc>
        <w:tc>
          <w:tcPr>
            <w:tcW w:w="274" w:type="pct"/>
          </w:tcPr>
          <w:p w14:paraId="5BE225E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0.5</w:t>
            </w:r>
            <w:r w:rsidR="00EC337C"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328" w:type="pct"/>
          </w:tcPr>
          <w:p w14:paraId="0DD4B19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33AE8B5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</w:tr>
      <w:tr w:rsidR="00956E58" w:rsidRPr="004D084E" w14:paraId="4F7703E3" w14:textId="77777777" w:rsidTr="007C3500">
        <w:trPr>
          <w:trHeight w:val="227"/>
        </w:trPr>
        <w:tc>
          <w:tcPr>
            <w:tcW w:w="711" w:type="pct"/>
          </w:tcPr>
          <w:p w14:paraId="65ACC227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Marital status</w:t>
            </w:r>
          </w:p>
        </w:tc>
        <w:tc>
          <w:tcPr>
            <w:tcW w:w="3047" w:type="pct"/>
            <w:vAlign w:val="center"/>
          </w:tcPr>
          <w:p w14:paraId="2FA13380" w14:textId="77777777" w:rsidR="00956E58" w:rsidRPr="004D084E" w:rsidRDefault="00956E58" w:rsidP="007C3500">
            <w:pPr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Married or in a long-term relationship=1, otherwise=0</w:t>
            </w:r>
          </w:p>
        </w:tc>
        <w:tc>
          <w:tcPr>
            <w:tcW w:w="124" w:type="pct"/>
          </w:tcPr>
          <w:p w14:paraId="56418D77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2BDCF18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0.63</w:t>
            </w:r>
          </w:p>
        </w:tc>
        <w:tc>
          <w:tcPr>
            <w:tcW w:w="274" w:type="pct"/>
          </w:tcPr>
          <w:p w14:paraId="5629FBEA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0.49</w:t>
            </w:r>
          </w:p>
        </w:tc>
        <w:tc>
          <w:tcPr>
            <w:tcW w:w="328" w:type="pct"/>
          </w:tcPr>
          <w:p w14:paraId="23B22B3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05314D8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</w:tr>
      <w:tr w:rsidR="00956E58" w:rsidRPr="004D084E" w14:paraId="1E2D47F3" w14:textId="77777777" w:rsidTr="007C3500">
        <w:trPr>
          <w:trHeight w:val="227"/>
        </w:trPr>
        <w:tc>
          <w:tcPr>
            <w:tcW w:w="711" w:type="pct"/>
          </w:tcPr>
          <w:p w14:paraId="23DCF3E2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3047" w:type="pct"/>
            <w:vAlign w:val="center"/>
          </w:tcPr>
          <w:p w14:paraId="6E84E576" w14:textId="77777777" w:rsidR="00956E58" w:rsidRPr="004D084E" w:rsidRDefault="00956E58" w:rsidP="007C3500">
            <w:pPr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Having a postgraduate degree=1, otherwise=0</w:t>
            </w:r>
          </w:p>
        </w:tc>
        <w:tc>
          <w:tcPr>
            <w:tcW w:w="124" w:type="pct"/>
          </w:tcPr>
          <w:p w14:paraId="7B63E13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41C3026C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0.33</w:t>
            </w:r>
          </w:p>
        </w:tc>
        <w:tc>
          <w:tcPr>
            <w:tcW w:w="274" w:type="pct"/>
          </w:tcPr>
          <w:p w14:paraId="7140B92E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0.47</w:t>
            </w:r>
          </w:p>
        </w:tc>
        <w:tc>
          <w:tcPr>
            <w:tcW w:w="328" w:type="pct"/>
          </w:tcPr>
          <w:p w14:paraId="5B0D12A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1F912460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</w:tr>
      <w:tr w:rsidR="00956E58" w:rsidRPr="004D084E" w14:paraId="416789A6" w14:textId="77777777" w:rsidTr="007C3500">
        <w:trPr>
          <w:trHeight w:val="227"/>
        </w:trPr>
        <w:tc>
          <w:tcPr>
            <w:tcW w:w="711" w:type="pct"/>
          </w:tcPr>
          <w:p w14:paraId="4A2DFD48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Current income</w:t>
            </w:r>
          </w:p>
        </w:tc>
        <w:tc>
          <w:tcPr>
            <w:tcW w:w="3047" w:type="pct"/>
            <w:vAlign w:val="center"/>
          </w:tcPr>
          <w:p w14:paraId="615AA259" w14:textId="00575DE4" w:rsidR="00956E58" w:rsidRPr="004D084E" w:rsidRDefault="001C63B9" w:rsidP="007C3500">
            <w:pPr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W</w:t>
            </w:r>
            <w:r w:rsidR="00956E58"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eekly income before tax in NZ (NZD)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 xml:space="preserve"> in 2016</w:t>
            </w:r>
          </w:p>
        </w:tc>
        <w:tc>
          <w:tcPr>
            <w:tcW w:w="124" w:type="pct"/>
          </w:tcPr>
          <w:p w14:paraId="6D131F7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11AA66EE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609.14</w:t>
            </w:r>
          </w:p>
        </w:tc>
        <w:tc>
          <w:tcPr>
            <w:tcW w:w="274" w:type="pct"/>
          </w:tcPr>
          <w:p w14:paraId="513B7E8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328.71</w:t>
            </w:r>
          </w:p>
        </w:tc>
        <w:tc>
          <w:tcPr>
            <w:tcW w:w="328" w:type="pct"/>
          </w:tcPr>
          <w:p w14:paraId="727187C9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0873113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1,385</w:t>
            </w:r>
          </w:p>
        </w:tc>
      </w:tr>
      <w:tr w:rsidR="00956E58" w:rsidRPr="004D084E" w14:paraId="1CC9A39D" w14:textId="77777777" w:rsidTr="007C3500">
        <w:trPr>
          <w:trHeight w:val="227"/>
        </w:trPr>
        <w:tc>
          <w:tcPr>
            <w:tcW w:w="711" w:type="pct"/>
          </w:tcPr>
          <w:p w14:paraId="3C188104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Duration-of-stay</w:t>
            </w:r>
          </w:p>
        </w:tc>
        <w:tc>
          <w:tcPr>
            <w:tcW w:w="3047" w:type="pct"/>
            <w:vAlign w:val="center"/>
          </w:tcPr>
          <w:p w14:paraId="131A5CE2" w14:textId="77777777" w:rsidR="00956E58" w:rsidRPr="004D084E" w:rsidRDefault="00956E58" w:rsidP="007C3500">
            <w:pPr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highlight w:val="yellow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Years from the reported date of first emigration to 1 January 2017</w:t>
            </w:r>
          </w:p>
        </w:tc>
        <w:tc>
          <w:tcPr>
            <w:tcW w:w="124" w:type="pct"/>
          </w:tcPr>
          <w:p w14:paraId="756A0930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7FEF746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11.39</w:t>
            </w:r>
          </w:p>
        </w:tc>
        <w:tc>
          <w:tcPr>
            <w:tcW w:w="274" w:type="pct"/>
          </w:tcPr>
          <w:p w14:paraId="2051073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9.23</w:t>
            </w:r>
          </w:p>
        </w:tc>
        <w:tc>
          <w:tcPr>
            <w:tcW w:w="328" w:type="pct"/>
          </w:tcPr>
          <w:p w14:paraId="5F8E3ED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9" w:type="pct"/>
          </w:tcPr>
          <w:p w14:paraId="6F0E907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38</w:t>
            </w:r>
          </w:p>
        </w:tc>
      </w:tr>
      <w:tr w:rsidR="00956E58" w:rsidRPr="004D084E" w14:paraId="36DC5889" w14:textId="77777777" w:rsidTr="007C3500">
        <w:trPr>
          <w:trHeight w:val="227"/>
        </w:trPr>
        <w:tc>
          <w:tcPr>
            <w:tcW w:w="711" w:type="pct"/>
          </w:tcPr>
          <w:p w14:paraId="7E968B48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Legal status</w:t>
            </w:r>
          </w:p>
        </w:tc>
        <w:tc>
          <w:tcPr>
            <w:tcW w:w="3047" w:type="pct"/>
            <w:vAlign w:val="center"/>
          </w:tcPr>
          <w:p w14:paraId="706A53C5" w14:textId="77777777" w:rsidR="00956E58" w:rsidRPr="004D084E" w:rsidRDefault="00956E58" w:rsidP="007C3500">
            <w:pPr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Permanent residency or citizenship in NZ=1, otherwise=0</w:t>
            </w:r>
          </w:p>
        </w:tc>
        <w:tc>
          <w:tcPr>
            <w:tcW w:w="124" w:type="pct"/>
          </w:tcPr>
          <w:p w14:paraId="3A1CAE45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795650B9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0.7</w:t>
            </w:r>
            <w:r w:rsidR="00EC337C"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74" w:type="pct"/>
          </w:tcPr>
          <w:p w14:paraId="7F63CA3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0.46</w:t>
            </w:r>
          </w:p>
        </w:tc>
        <w:tc>
          <w:tcPr>
            <w:tcW w:w="328" w:type="pct"/>
          </w:tcPr>
          <w:p w14:paraId="3252318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164381EF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</w:tr>
      <w:tr w:rsidR="00956E58" w:rsidRPr="004D084E" w14:paraId="650CE781" w14:textId="77777777" w:rsidTr="007C3500">
        <w:trPr>
          <w:trHeight w:val="227"/>
        </w:trPr>
        <w:tc>
          <w:tcPr>
            <w:tcW w:w="711" w:type="pct"/>
          </w:tcPr>
          <w:p w14:paraId="3E3D47C7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rFonts w:cstheme="majorBidi"/>
                <w:iCs/>
                <w:sz w:val="20"/>
                <w:szCs w:val="20"/>
                <w:lang w:val="en-GB"/>
              </w:rPr>
              <w:t>Return intention</w:t>
            </w:r>
          </w:p>
        </w:tc>
        <w:tc>
          <w:tcPr>
            <w:tcW w:w="3047" w:type="pct"/>
            <w:vAlign w:val="center"/>
          </w:tcPr>
          <w:p w14:paraId="4FF7661F" w14:textId="77777777" w:rsidR="00956E58" w:rsidRPr="004D084E" w:rsidRDefault="00956E58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Fonts w:eastAsiaTheme="majorEastAsia" w:cstheme="majorBidi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Yes=1, otherwise=0</w:t>
            </w:r>
          </w:p>
        </w:tc>
        <w:tc>
          <w:tcPr>
            <w:tcW w:w="124" w:type="pct"/>
          </w:tcPr>
          <w:p w14:paraId="6115A26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16034B64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0.17</w:t>
            </w:r>
          </w:p>
        </w:tc>
        <w:tc>
          <w:tcPr>
            <w:tcW w:w="274" w:type="pct"/>
          </w:tcPr>
          <w:p w14:paraId="1770013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0.38</w:t>
            </w:r>
          </w:p>
        </w:tc>
        <w:tc>
          <w:tcPr>
            <w:tcW w:w="328" w:type="pct"/>
          </w:tcPr>
          <w:p w14:paraId="3EEC46B2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39" w:type="pct"/>
          </w:tcPr>
          <w:p w14:paraId="0960E3B9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</w:t>
            </w:r>
          </w:p>
        </w:tc>
      </w:tr>
      <w:tr w:rsidR="00956E58" w:rsidRPr="004D084E" w14:paraId="153E1C6A" w14:textId="77777777" w:rsidTr="007C3500">
        <w:trPr>
          <w:trHeight w:val="227"/>
        </w:trPr>
        <w:tc>
          <w:tcPr>
            <w:tcW w:w="711" w:type="pct"/>
          </w:tcPr>
          <w:p w14:paraId="3B1A1BA7" w14:textId="77777777" w:rsidR="00956E58" w:rsidRPr="004D084E" w:rsidRDefault="00956E58" w:rsidP="007C3500">
            <w:pPr>
              <w:spacing w:before="120" w:line="240" w:lineRule="auto"/>
              <w:ind w:left="28"/>
              <w:rPr>
                <w:rFonts w:cstheme="majorBidi"/>
                <w:iCs/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Integration</w:t>
            </w:r>
          </w:p>
        </w:tc>
        <w:tc>
          <w:tcPr>
            <w:tcW w:w="3047" w:type="pct"/>
            <w:vAlign w:val="center"/>
          </w:tcPr>
          <w:p w14:paraId="73A39CB2" w14:textId="32B9ADAD" w:rsidR="00956E58" w:rsidRPr="004D084E" w:rsidRDefault="00956E58" w:rsidP="00C16560">
            <w:pPr>
              <w:tabs>
                <w:tab w:val="left" w:pos="2622"/>
                <w:tab w:val="right" w:pos="9026"/>
              </w:tabs>
              <w:spacing w:before="120" w:line="240" w:lineRule="auto"/>
              <w:ind w:left="28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The first principal component of nine indicators: (1) Employment in NZ (employed or self-employed=1, otherwise=0), (2) Having close family member(s) in NZ (yes=1, no=0), (3) English fluency (yes=1, no=0), (4) Having friend(s) born in NZ (yes=1, no=0), (5) Member of association(s) in NZ (yes=1, no=0), (6) Voting participation in NZ (yes=1, no=0), (7) Owning real estate in NZ (yes=1, no=0), (8) Owning a business in NZ (yes=1, no=0), and (9) Having investment project(s) in NZ (yes=1, no=0)</w:t>
            </w:r>
          </w:p>
        </w:tc>
        <w:tc>
          <w:tcPr>
            <w:tcW w:w="124" w:type="pct"/>
          </w:tcPr>
          <w:p w14:paraId="66BF605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56E08176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74" w:type="pct"/>
          </w:tcPr>
          <w:p w14:paraId="7DD3761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1.63</w:t>
            </w:r>
          </w:p>
        </w:tc>
        <w:tc>
          <w:tcPr>
            <w:tcW w:w="328" w:type="pct"/>
          </w:tcPr>
          <w:p w14:paraId="3467261B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-2.82</w:t>
            </w:r>
          </w:p>
        </w:tc>
        <w:tc>
          <w:tcPr>
            <w:tcW w:w="239" w:type="pct"/>
          </w:tcPr>
          <w:p w14:paraId="742D9F1D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2.6</w:t>
            </w:r>
          </w:p>
        </w:tc>
      </w:tr>
      <w:tr w:rsidR="00956E58" w:rsidRPr="004D084E" w14:paraId="147AC279" w14:textId="77777777" w:rsidTr="007C3500">
        <w:trPr>
          <w:trHeight w:val="227"/>
        </w:trPr>
        <w:tc>
          <w:tcPr>
            <w:tcW w:w="711" w:type="pct"/>
          </w:tcPr>
          <w:p w14:paraId="0AD4D22C" w14:textId="77777777" w:rsidR="00956E58" w:rsidRPr="004D084E" w:rsidRDefault="00956E58" w:rsidP="007C3500">
            <w:pPr>
              <w:spacing w:before="120" w:line="240" w:lineRule="auto"/>
              <w:ind w:left="28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Ties</w:t>
            </w:r>
          </w:p>
        </w:tc>
        <w:tc>
          <w:tcPr>
            <w:tcW w:w="3047" w:type="pct"/>
            <w:vAlign w:val="center"/>
          </w:tcPr>
          <w:p w14:paraId="218F9649" w14:textId="77777777" w:rsidR="00956E58" w:rsidRPr="004D084E" w:rsidRDefault="00956E58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ind w:left="28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The first principal component of seven indicators: (1) Having close family member(s) in VN (yes=1, no=0), (2) Frequency of visiting VN (yes=1, no=0), (3) Member of association(s) in VN (yes=1, no=0), (4) Frequency of remitting money to VN (yes=1, no=0), (5) Owning real estate in VN (yes=1, no=0), (6) Owning a business in VN (yes=1, no=0), and (7) Having investment project(s) in VN (yes=1, no=0)</w:t>
            </w:r>
          </w:p>
        </w:tc>
        <w:tc>
          <w:tcPr>
            <w:tcW w:w="124" w:type="pct"/>
          </w:tcPr>
          <w:p w14:paraId="1C85401E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</w:tcPr>
          <w:p w14:paraId="3EF99152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74" w:type="pct"/>
          </w:tcPr>
          <w:p w14:paraId="0748C924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1.48</w:t>
            </w:r>
          </w:p>
        </w:tc>
        <w:tc>
          <w:tcPr>
            <w:tcW w:w="328" w:type="pct"/>
          </w:tcPr>
          <w:p w14:paraId="0E590F19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-1.54</w:t>
            </w:r>
          </w:p>
        </w:tc>
        <w:tc>
          <w:tcPr>
            <w:tcW w:w="239" w:type="pct"/>
          </w:tcPr>
          <w:p w14:paraId="09A4DB39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5.77</w:t>
            </w:r>
          </w:p>
        </w:tc>
      </w:tr>
      <w:tr w:rsidR="00956E58" w:rsidRPr="004D084E" w14:paraId="5D7BD122" w14:textId="77777777" w:rsidTr="007C3500">
        <w:trPr>
          <w:trHeight w:val="227"/>
        </w:trPr>
        <w:tc>
          <w:tcPr>
            <w:tcW w:w="711" w:type="pct"/>
            <w:tcBorders>
              <w:bottom w:val="single" w:sz="4" w:space="0" w:color="auto"/>
            </w:tcBorders>
          </w:tcPr>
          <w:p w14:paraId="4483483D" w14:textId="77777777" w:rsidR="00956E58" w:rsidRPr="004D084E" w:rsidRDefault="00956E58" w:rsidP="007C3500">
            <w:pPr>
              <w:spacing w:before="120" w:line="240" w:lineRule="auto"/>
              <w:ind w:left="28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The importance of institutional quality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vAlign w:val="center"/>
          </w:tcPr>
          <w:p w14:paraId="27F8375D" w14:textId="77777777" w:rsidR="00956E58" w:rsidRDefault="00956E58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The first principal component of 30 five-point Likert-scale answers, presenting the self-reported importance of institutional quality in VN to the respondents’ return intentions</w:t>
            </w:r>
            <w:r w:rsidR="001409AB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7B773368" w14:textId="092D3FE0" w:rsidR="003F2747" w:rsidRPr="003F2747" w:rsidRDefault="003F2747" w:rsidP="007C3500">
            <w:pPr>
              <w:tabs>
                <w:tab w:val="left" w:pos="2622"/>
                <w:tab w:val="right" w:pos="9026"/>
              </w:tabs>
              <w:spacing w:before="120"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6"/>
                <w:szCs w:val="6"/>
                <w:lang w:val="en-GB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14:paraId="26FC2886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32AB6D61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14:paraId="758FEDC3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4.31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14:paraId="2DA155A4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-10.46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215F3B8A" w14:textId="77777777" w:rsidR="00956E58" w:rsidRPr="004D084E" w:rsidRDefault="00956E58" w:rsidP="007C3500">
            <w:pPr>
              <w:spacing w:before="120" w:line="240" w:lineRule="auto"/>
              <w:jc w:val="right"/>
              <w:rPr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>6.8</w:t>
            </w:r>
            <w:r w:rsidR="0082782B" w:rsidRPr="004D084E">
              <w:rPr>
                <w:sz w:val="20"/>
                <w:szCs w:val="20"/>
                <w:lang w:val="en-GB"/>
              </w:rPr>
              <w:t>0</w:t>
            </w:r>
          </w:p>
        </w:tc>
      </w:tr>
      <w:tr w:rsidR="00956E58" w:rsidRPr="004D084E" w14:paraId="595F6897" w14:textId="77777777" w:rsidTr="007C3500">
        <w:trPr>
          <w:trHeight w:val="227"/>
        </w:trPr>
        <w:tc>
          <w:tcPr>
            <w:tcW w:w="5000" w:type="pct"/>
            <w:gridSpan w:val="7"/>
            <w:vAlign w:val="center"/>
          </w:tcPr>
          <w:p w14:paraId="1EF3E46D" w14:textId="77777777" w:rsidR="003F2747" w:rsidRDefault="00956E58" w:rsidP="003F2747">
            <w:pPr>
              <w:spacing w:before="60" w:line="240" w:lineRule="auto"/>
              <w:jc w:val="both"/>
              <w:rPr>
                <w:rStyle w:val="Heading1Char"/>
                <w:rFonts w:asciiTheme="majorBidi" w:hAnsiTheme="majorBidi"/>
                <w:i/>
                <w:iCs/>
                <w:color w:val="auto"/>
                <w:sz w:val="20"/>
                <w:szCs w:val="20"/>
                <w:lang w:val="en-GB"/>
              </w:rPr>
            </w:pPr>
            <w:r w:rsidRPr="003F2747">
              <w:rPr>
                <w:rStyle w:val="Heading1Char"/>
                <w:rFonts w:asciiTheme="majorBidi" w:hAnsiTheme="majorBidi"/>
                <w:i/>
                <w:iCs/>
                <w:color w:val="auto"/>
                <w:sz w:val="20"/>
                <w:szCs w:val="20"/>
                <w:lang w:val="en-GB"/>
              </w:rPr>
              <w:t>Notes</w:t>
            </w:r>
          </w:p>
          <w:p w14:paraId="7212E170" w14:textId="1008EF11" w:rsidR="00956E58" w:rsidRPr="004D084E" w:rsidRDefault="00956E58" w:rsidP="003F2747">
            <w:pPr>
              <w:spacing w:line="240" w:lineRule="auto"/>
              <w:jc w:val="both"/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</w:pPr>
            <w:r w:rsidRPr="004D084E">
              <w:rPr>
                <w:sz w:val="20"/>
                <w:szCs w:val="20"/>
                <w:lang w:val="en-GB"/>
              </w:rPr>
              <w:t xml:space="preserve">Close family members include spouses, dependent children, grown-up children, and parents. Associations include transnational associations, professional associations, community associations, religious associations, and political parties. </w:t>
            </w:r>
            <w:r w:rsidRPr="004D084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Integration, ties and the importance of institutional quality are measured by a score with a mean of zero. Higher scores for integration represent higher levels of attachment to the host country. Higher scores for ties represent a stronger linkage with </w:t>
            </w:r>
            <w:r w:rsidR="000E380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Viet Nam</w:t>
            </w:r>
            <w:r w:rsidRPr="004D084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 Higher scores for the importance of institutional quality indicate that the respondents place</w:t>
            </w:r>
            <w:r w:rsidR="000475FA" w:rsidRPr="004D084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</w:t>
            </w:r>
            <w:r w:rsidRPr="004D084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more importance on institutional quality in V</w:t>
            </w:r>
            <w:r w:rsidR="000E380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iet Nam</w:t>
            </w:r>
            <w:r w:rsidRPr="004D084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when considering repatriation. 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 xml:space="preserve">Missing values of </w:t>
            </w:r>
            <w:r w:rsidR="008A2C2B"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the continuous variables</w:t>
            </w:r>
            <w:r w:rsidRPr="004D084E">
              <w:rPr>
                <w:rStyle w:val="Heading1Char"/>
                <w:rFonts w:asciiTheme="majorBidi" w:hAnsiTheme="majorBidi"/>
                <w:i/>
                <w:iCs/>
                <w:color w:val="auto"/>
                <w:sz w:val="20"/>
                <w:szCs w:val="20"/>
                <w:lang w:val="en-GB"/>
              </w:rPr>
              <w:t xml:space="preserve"> 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were replaced with</w:t>
            </w:r>
            <w:r w:rsidRPr="004D084E">
              <w:rPr>
                <w:sz w:val="20"/>
                <w:szCs w:val="20"/>
                <w:lang w:val="en-GB"/>
              </w:rPr>
              <w:t xml:space="preserve"> 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 xml:space="preserve">their respective means. Missing values of </w:t>
            </w:r>
            <w:r w:rsidR="008A2C2B"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>the</w:t>
            </w:r>
            <w:r w:rsidRPr="004D084E">
              <w:rPr>
                <w:rStyle w:val="Heading1Char"/>
                <w:rFonts w:asciiTheme="majorBidi" w:hAnsiTheme="majorBidi"/>
                <w:iCs/>
                <w:color w:val="auto"/>
                <w:sz w:val="20"/>
                <w:szCs w:val="20"/>
                <w:lang w:val="en-GB"/>
              </w:rPr>
              <w:t xml:space="preserve"> categorical variables were replaced with their respective medians.</w:t>
            </w:r>
          </w:p>
        </w:tc>
      </w:tr>
    </w:tbl>
    <w:p w14:paraId="3C3C6011" w14:textId="77777777" w:rsidR="00956E58" w:rsidRPr="004D084E" w:rsidRDefault="00956E58" w:rsidP="00956E58">
      <w:pPr>
        <w:rPr>
          <w:rFonts w:ascii="Times New Roman" w:hAnsi="Times New Roman" w:cs="Times New Roman"/>
          <w:b/>
          <w:szCs w:val="24"/>
          <w:lang w:val="en-GB"/>
        </w:rPr>
      </w:pPr>
    </w:p>
    <w:p w14:paraId="733E45A3" w14:textId="77777777" w:rsidR="00956E58" w:rsidRPr="004D084E" w:rsidRDefault="00956E58" w:rsidP="00956E58">
      <w:pPr>
        <w:rPr>
          <w:rFonts w:ascii="Times New Roman" w:hAnsi="Times New Roman" w:cs="Times New Roman"/>
          <w:szCs w:val="24"/>
          <w:lang w:val="en-GB"/>
        </w:rPr>
        <w:sectPr w:rsidR="00956E58" w:rsidRPr="004D084E" w:rsidSect="00956E5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D72B860" w14:textId="4CB611CC" w:rsidR="00702CB8" w:rsidRPr="004D084E" w:rsidRDefault="00180E95" w:rsidP="00180E95">
      <w:pPr>
        <w:pStyle w:val="Heading1"/>
        <w:spacing w:before="0" w:line="30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lastRenderedPageBreak/>
        <w:t xml:space="preserve">4. </w:t>
      </w:r>
      <w:r w:rsidR="000337E3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R</w:t>
      </w:r>
      <w:r w:rsidR="00C13EB3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esults</w:t>
      </w:r>
    </w:p>
    <w:p w14:paraId="3518353C" w14:textId="77777777" w:rsidR="00FA7E94" w:rsidRPr="004D084E" w:rsidRDefault="00FA7E94" w:rsidP="00156DD9">
      <w:pPr>
        <w:spacing w:line="300" w:lineRule="auto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7CBF0A19" w14:textId="41C827C8" w:rsidR="00BA4091" w:rsidRDefault="002F46C4" w:rsidP="00171705">
      <w:pPr>
        <w:spacing w:line="300" w:lineRule="auto"/>
        <w:jc w:val="both"/>
        <w:rPr>
          <w:rFonts w:ascii="Times New Roman" w:hAnsi="Times New Roman" w:cs="Times New Roman"/>
          <w:spacing w:val="-2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As report in Table</w:t>
      </w:r>
      <w:r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AA7A7C" w:rsidRPr="004D084E">
        <w:rPr>
          <w:rFonts w:ascii="Times New Roman" w:hAnsi="Times New Roman" w:cs="Times New Roman"/>
          <w:spacing w:val="-2"/>
          <w:szCs w:val="24"/>
          <w:lang w:val="en-GB"/>
        </w:rPr>
        <w:t>1</w:t>
      </w:r>
      <w:r w:rsidR="00CF7897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, the estimated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CF7897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WTP is, on average, 79.80 NZD </w:t>
      </w:r>
      <w:r w:rsidR="00DD1DC9" w:rsidRPr="004D084E">
        <w:rPr>
          <w:rFonts w:ascii="Times New Roman" w:hAnsi="Times New Roman" w:cs="Times New Roman"/>
          <w:spacing w:val="-2"/>
          <w:szCs w:val="24"/>
          <w:lang w:val="en-GB"/>
        </w:rPr>
        <w:t>per week.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This is about 13 percent of the income a </w:t>
      </w:r>
      <w:r w:rsidR="00D801D9">
        <w:rPr>
          <w:rFonts w:ascii="Times New Roman" w:hAnsi="Times New Roman" w:cs="Times New Roman"/>
          <w:spacing w:val="-2"/>
          <w:szCs w:val="24"/>
          <w:lang w:val="en-GB"/>
        </w:rPr>
        <w:t>Viet</w:t>
      </w:r>
      <w:r w:rsidR="00261BB8">
        <w:rPr>
          <w:rFonts w:ascii="Times New Roman" w:hAnsi="Times New Roman" w:cs="Times New Roman"/>
          <w:spacing w:val="-2"/>
          <w:szCs w:val="24"/>
          <w:lang w:val="en-GB"/>
        </w:rPr>
        <w:t>n</w:t>
      </w:r>
      <w:r w:rsidR="00D801D9">
        <w:rPr>
          <w:rFonts w:ascii="Times New Roman" w:hAnsi="Times New Roman" w:cs="Times New Roman"/>
          <w:spacing w:val="-2"/>
          <w:szCs w:val="24"/>
          <w:lang w:val="en-GB"/>
        </w:rPr>
        <w:t>am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>ese migrant earn</w:t>
      </w:r>
      <w:r w:rsidR="007355AC" w:rsidRPr="004D084E">
        <w:rPr>
          <w:rFonts w:ascii="Times New Roman" w:hAnsi="Times New Roman" w:cs="Times New Roman"/>
          <w:spacing w:val="-2"/>
          <w:szCs w:val="24"/>
          <w:lang w:val="en-GB"/>
        </w:rPr>
        <w:t>e</w:t>
      </w:r>
      <w:r w:rsidR="001C63B9" w:rsidRPr="004D084E">
        <w:rPr>
          <w:rFonts w:ascii="Times New Roman" w:hAnsi="Times New Roman" w:cs="Times New Roman"/>
          <w:spacing w:val="-2"/>
          <w:szCs w:val="24"/>
          <w:lang w:val="en-GB"/>
        </w:rPr>
        <w:t>d</w:t>
      </w:r>
      <w:r w:rsidR="00261E18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per week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on average in N</w:t>
      </w:r>
      <w:r w:rsidR="004579F3">
        <w:rPr>
          <w:rFonts w:ascii="Times New Roman" w:hAnsi="Times New Roman" w:cs="Times New Roman"/>
          <w:spacing w:val="-2"/>
          <w:szCs w:val="24"/>
          <w:lang w:val="en-GB"/>
        </w:rPr>
        <w:t>ew Zealand</w:t>
      </w:r>
      <w:r w:rsidR="001C63B9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in 2016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but </w:t>
      </w:r>
      <w:r w:rsidR="00E22FE8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is </w:t>
      </w:r>
      <w:r w:rsidR="00261E18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roughly </w:t>
      </w:r>
      <w:r w:rsidR="002C0D8B" w:rsidRPr="004D084E">
        <w:rPr>
          <w:rFonts w:ascii="Times New Roman" w:hAnsi="Times New Roman" w:cs="Times New Roman"/>
          <w:spacing w:val="-2"/>
          <w:szCs w:val="24"/>
          <w:lang w:val="en-GB"/>
        </w:rPr>
        <w:t>33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per</w:t>
      </w:r>
      <w:r w:rsidR="00261E18" w:rsidRPr="004D084E">
        <w:rPr>
          <w:rFonts w:ascii="Times New Roman" w:hAnsi="Times New Roman" w:cs="Times New Roman"/>
          <w:spacing w:val="-2"/>
          <w:szCs w:val="24"/>
          <w:lang w:val="en-GB"/>
        </w:rPr>
        <w:t>cent of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the </w:t>
      </w:r>
      <w:r w:rsidR="00261E18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average weekly 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wage in </w:t>
      </w:r>
      <w:r w:rsidR="004579F3" w:rsidRPr="004579F3">
        <w:rPr>
          <w:rFonts w:ascii="Times New Roman" w:hAnsi="Times New Roman" w:cs="Times New Roman"/>
          <w:spacing w:val="-2"/>
          <w:szCs w:val="24"/>
          <w:lang w:val="en-GB"/>
        </w:rPr>
        <w:t>Viet Nam</w:t>
      </w:r>
      <w:r w:rsidR="00171705" w:rsidRPr="004D084E">
        <w:rPr>
          <w:rFonts w:ascii="Times New Roman" w:hAnsi="Times New Roman" w:cs="Times New Roman"/>
          <w:spacing w:val="-2"/>
          <w:szCs w:val="24"/>
          <w:lang w:val="en-GB"/>
        </w:rPr>
        <w:t>.</w:t>
      </w:r>
      <w:r w:rsidR="00261E18" w:rsidRPr="00C7385B">
        <w:rPr>
          <w:rStyle w:val="FootnoteReference"/>
          <w:spacing w:val="-2"/>
          <w:sz w:val="24"/>
          <w:lang w:val="en-GB"/>
        </w:rPr>
        <w:footnoteReference w:id="4"/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This is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the</w:t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>compensating variation</w:t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that the respondents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would be </w:t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willing to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>give up</w:t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D8147E" w:rsidRPr="004D084E">
        <w:rPr>
          <w:rFonts w:ascii="Times New Roman" w:hAnsi="Times New Roman" w:cs="Times New Roman"/>
          <w:spacing w:val="-2"/>
          <w:szCs w:val="24"/>
          <w:lang w:val="en-GB"/>
        </w:rPr>
        <w:t>per week</w:t>
      </w:r>
      <w:r w:rsidR="00BA409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for the rest of their working lives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>in exchange for</w:t>
      </w:r>
      <w:r w:rsidR="007F2660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an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improvement in institutional quality in </w:t>
      </w:r>
      <w:r w:rsidR="004579F3" w:rsidRPr="004579F3">
        <w:rPr>
          <w:rFonts w:ascii="Times New Roman" w:hAnsi="Times New Roman" w:cs="Times New Roman"/>
          <w:spacing w:val="-2"/>
          <w:szCs w:val="24"/>
          <w:lang w:val="en-GB"/>
        </w:rPr>
        <w:t>Viet Nam</w:t>
      </w:r>
      <w:r w:rsidR="007F2660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by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7F2660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one </w:t>
      </w:r>
      <w:r w:rsidR="007A668A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unit </w:t>
      </w:r>
      <w:r w:rsidR="00CD5F26" w:rsidRPr="004D084E">
        <w:rPr>
          <w:rFonts w:eastAsiaTheme="majorEastAsia" w:cstheme="majorBidi"/>
          <w:szCs w:val="20"/>
          <w:lang w:val="en-GB"/>
        </w:rPr>
        <w:t>benchmarked against institutional quality in N</w:t>
      </w:r>
      <w:r w:rsidR="004579F3">
        <w:rPr>
          <w:rFonts w:eastAsiaTheme="majorEastAsia" w:cstheme="majorBidi"/>
          <w:szCs w:val="20"/>
          <w:lang w:val="en-GB"/>
        </w:rPr>
        <w:t>ew Zealand</w:t>
      </w:r>
      <w:r w:rsidR="00CD5F26" w:rsidRPr="004D084E">
        <w:rPr>
          <w:rFonts w:eastAsiaTheme="majorEastAsia" w:cstheme="majorBidi"/>
          <w:szCs w:val="20"/>
          <w:lang w:val="en-GB"/>
        </w:rPr>
        <w:t xml:space="preserve"> as per the perception of the respondents. </w:t>
      </w:r>
      <w:r w:rsidR="00CE3A5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This 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>compensating variation</w:t>
      </w:r>
      <w:r w:rsidR="00CE3A5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represents the implicit monetary value of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a positive change in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institutional quality 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in </w:t>
      </w:r>
      <w:r w:rsidR="004579F3" w:rsidRPr="004579F3">
        <w:rPr>
          <w:rFonts w:ascii="Times New Roman" w:hAnsi="Times New Roman" w:cs="Times New Roman"/>
          <w:spacing w:val="-2"/>
          <w:szCs w:val="24"/>
          <w:lang w:val="en-GB"/>
        </w:rPr>
        <w:t>Viet Nam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CD5F26" w:rsidRPr="004D084E">
        <w:rPr>
          <w:rFonts w:ascii="Times New Roman" w:hAnsi="Times New Roman" w:cs="Times New Roman"/>
          <w:spacing w:val="-2"/>
          <w:szCs w:val="24"/>
          <w:lang w:val="en-GB"/>
        </w:rPr>
        <w:t>elicited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by means of </w:t>
      </w:r>
      <w:r w:rsidR="00D8147E" w:rsidRPr="004D084E">
        <w:rPr>
          <w:rFonts w:ascii="Times New Roman" w:hAnsi="Times New Roman" w:cs="Times New Roman"/>
          <w:spacing w:val="-2"/>
          <w:szCs w:val="24"/>
          <w:lang w:val="en-GB"/>
        </w:rPr>
        <w:t>the CV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questions administered to </w:t>
      </w:r>
      <w:r w:rsidR="00D801D9">
        <w:rPr>
          <w:rFonts w:ascii="Times New Roman" w:hAnsi="Times New Roman" w:cs="Times New Roman"/>
          <w:spacing w:val="-2"/>
          <w:szCs w:val="24"/>
          <w:lang w:val="en-GB"/>
        </w:rPr>
        <w:t>Viet</w:t>
      </w:r>
      <w:r w:rsidR="004579F3">
        <w:rPr>
          <w:rFonts w:ascii="Times New Roman" w:hAnsi="Times New Roman" w:cs="Times New Roman"/>
          <w:spacing w:val="-2"/>
          <w:szCs w:val="24"/>
          <w:lang w:val="en-GB"/>
        </w:rPr>
        <w:t>n</w:t>
      </w:r>
      <w:r w:rsidR="00D801D9">
        <w:rPr>
          <w:rFonts w:ascii="Times New Roman" w:hAnsi="Times New Roman" w:cs="Times New Roman"/>
          <w:spacing w:val="-2"/>
          <w:szCs w:val="24"/>
          <w:lang w:val="en-GB"/>
        </w:rPr>
        <w:t>am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>ese migrants living on N</w:t>
      </w:r>
      <w:r w:rsidR="004579F3">
        <w:rPr>
          <w:rFonts w:ascii="Times New Roman" w:hAnsi="Times New Roman" w:cs="Times New Roman"/>
          <w:spacing w:val="-2"/>
          <w:szCs w:val="24"/>
          <w:lang w:val="en-GB"/>
        </w:rPr>
        <w:t>ew Zealand</w:t>
      </w:r>
      <w:r w:rsidR="00530494" w:rsidRPr="004D084E">
        <w:rPr>
          <w:rFonts w:ascii="Times New Roman" w:hAnsi="Times New Roman" w:cs="Times New Roman"/>
          <w:spacing w:val="-2"/>
          <w:szCs w:val="24"/>
          <w:lang w:val="en-GB"/>
        </w:rPr>
        <w:t>.</w:t>
      </w:r>
    </w:p>
    <w:p w14:paraId="16CEC418" w14:textId="77777777" w:rsidR="00FC516B" w:rsidRDefault="00FC516B" w:rsidP="00171705">
      <w:pPr>
        <w:spacing w:line="300" w:lineRule="auto"/>
        <w:jc w:val="both"/>
        <w:rPr>
          <w:rFonts w:ascii="Times New Roman" w:hAnsi="Times New Roman" w:cs="Times New Roman"/>
          <w:spacing w:val="-2"/>
          <w:szCs w:val="24"/>
          <w:lang w:val="en-GB"/>
        </w:rPr>
      </w:pPr>
    </w:p>
    <w:p w14:paraId="76BE834D" w14:textId="6C19D83A" w:rsidR="00FC516B" w:rsidRPr="00B370ED" w:rsidRDefault="00FC516B" w:rsidP="00FC516B">
      <w:pPr>
        <w:spacing w:before="120"/>
        <w:jc w:val="center"/>
        <w:rPr>
          <w:rFonts w:ascii="Times New Roman" w:hAnsi="Times New Roman" w:cs="Times New Roman"/>
          <w:b/>
          <w:spacing w:val="-2"/>
          <w:sz w:val="22"/>
          <w:lang w:val="en-GB"/>
        </w:rPr>
      </w:pPr>
      <w:r w:rsidRPr="00B370ED">
        <w:rPr>
          <w:rFonts w:ascii="Times New Roman" w:hAnsi="Times New Roman" w:cs="Times New Roman"/>
          <w:b/>
          <w:spacing w:val="-2"/>
          <w:sz w:val="22"/>
          <w:lang w:val="en-GB"/>
        </w:rPr>
        <w:t xml:space="preserve">Table 2: Pearson's </w:t>
      </w:r>
      <w:r w:rsidR="00782789">
        <w:rPr>
          <w:rFonts w:ascii="Times New Roman" w:hAnsi="Times New Roman" w:cs="Times New Roman"/>
          <w:b/>
          <w:spacing w:val="-2"/>
          <w:sz w:val="22"/>
          <w:lang w:val="en-GB"/>
        </w:rPr>
        <w:t>C</w:t>
      </w:r>
      <w:r w:rsidRPr="00B370ED">
        <w:rPr>
          <w:rFonts w:ascii="Times New Roman" w:hAnsi="Times New Roman" w:cs="Times New Roman"/>
          <w:b/>
          <w:spacing w:val="-2"/>
          <w:sz w:val="22"/>
          <w:lang w:val="en-GB"/>
        </w:rPr>
        <w:t xml:space="preserve">orrelations of MWTP and </w:t>
      </w:r>
      <w:r w:rsidR="00782789">
        <w:rPr>
          <w:rFonts w:ascii="Times New Roman" w:hAnsi="Times New Roman" w:cs="Times New Roman"/>
          <w:b/>
          <w:spacing w:val="-2"/>
          <w:sz w:val="22"/>
          <w:lang w:val="en-GB"/>
        </w:rPr>
        <w:t>C</w:t>
      </w:r>
      <w:r w:rsidRPr="00B370ED">
        <w:rPr>
          <w:rFonts w:ascii="Times New Roman" w:hAnsi="Times New Roman" w:cs="Times New Roman"/>
          <w:b/>
          <w:spacing w:val="-2"/>
          <w:sz w:val="22"/>
          <w:lang w:val="en-GB"/>
        </w:rPr>
        <w:t xml:space="preserve">ontinuous </w:t>
      </w:r>
      <w:r w:rsidR="00782789">
        <w:rPr>
          <w:rFonts w:ascii="Times New Roman" w:hAnsi="Times New Roman" w:cs="Times New Roman"/>
          <w:b/>
          <w:spacing w:val="-2"/>
          <w:sz w:val="22"/>
          <w:lang w:val="en-GB"/>
        </w:rPr>
        <w:t>V</w:t>
      </w:r>
      <w:r w:rsidRPr="00B370ED">
        <w:rPr>
          <w:rFonts w:ascii="Times New Roman" w:hAnsi="Times New Roman" w:cs="Times New Roman"/>
          <w:b/>
          <w:spacing w:val="-2"/>
          <w:sz w:val="22"/>
          <w:lang w:val="en-GB"/>
        </w:rPr>
        <w:t>ariables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2"/>
        <w:gridCol w:w="1203"/>
      </w:tblGrid>
      <w:tr w:rsidR="00FC516B" w:rsidRPr="00B370ED" w14:paraId="49E5C64F" w14:textId="77777777" w:rsidTr="000E3804">
        <w:trPr>
          <w:trHeight w:val="300"/>
          <w:jc w:val="center"/>
        </w:trPr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C0224E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F0AB3B" w14:textId="77777777" w:rsidR="00FC516B" w:rsidRPr="00B370ED" w:rsidRDefault="00FC516B" w:rsidP="000E38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MWTP</w:t>
            </w:r>
          </w:p>
        </w:tc>
      </w:tr>
      <w:tr w:rsidR="00FC516B" w:rsidRPr="00B370ED" w14:paraId="0D6D5201" w14:textId="77777777" w:rsidTr="000E3804">
        <w:trPr>
          <w:trHeight w:val="300"/>
          <w:jc w:val="center"/>
        </w:trPr>
        <w:tc>
          <w:tcPr>
            <w:tcW w:w="4042" w:type="dxa"/>
            <w:tcBorders>
              <w:top w:val="single" w:sz="4" w:space="0" w:color="auto"/>
            </w:tcBorders>
            <w:noWrap/>
            <w:hideMark/>
          </w:tcPr>
          <w:p w14:paraId="0EF5904E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Age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hideMark/>
          </w:tcPr>
          <w:p w14:paraId="7DADBE60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0.30**</w:t>
            </w:r>
          </w:p>
        </w:tc>
      </w:tr>
      <w:tr w:rsidR="00FC516B" w:rsidRPr="00B370ED" w14:paraId="1559D46F" w14:textId="77777777" w:rsidTr="003F2747">
        <w:trPr>
          <w:trHeight w:val="300"/>
          <w:jc w:val="center"/>
        </w:trPr>
        <w:tc>
          <w:tcPr>
            <w:tcW w:w="4042" w:type="dxa"/>
            <w:noWrap/>
            <w:hideMark/>
          </w:tcPr>
          <w:p w14:paraId="35EF9DD8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Current income</w:t>
            </w:r>
          </w:p>
        </w:tc>
        <w:tc>
          <w:tcPr>
            <w:tcW w:w="1203" w:type="dxa"/>
            <w:noWrap/>
            <w:hideMark/>
          </w:tcPr>
          <w:p w14:paraId="44874B20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0.04</w:t>
            </w:r>
          </w:p>
        </w:tc>
      </w:tr>
      <w:tr w:rsidR="00FC516B" w:rsidRPr="00B370ED" w14:paraId="1BB59E89" w14:textId="77777777" w:rsidTr="003F2747">
        <w:trPr>
          <w:trHeight w:val="300"/>
          <w:jc w:val="center"/>
        </w:trPr>
        <w:tc>
          <w:tcPr>
            <w:tcW w:w="4042" w:type="dxa"/>
            <w:noWrap/>
            <w:hideMark/>
          </w:tcPr>
          <w:p w14:paraId="32375694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Duration-of-stay</w:t>
            </w:r>
          </w:p>
        </w:tc>
        <w:tc>
          <w:tcPr>
            <w:tcW w:w="1203" w:type="dxa"/>
            <w:noWrap/>
            <w:hideMark/>
          </w:tcPr>
          <w:p w14:paraId="100144B5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0.26**</w:t>
            </w:r>
          </w:p>
        </w:tc>
      </w:tr>
      <w:tr w:rsidR="00FC516B" w:rsidRPr="00B370ED" w14:paraId="6DB566CF" w14:textId="77777777" w:rsidTr="003F2747">
        <w:trPr>
          <w:trHeight w:val="300"/>
          <w:jc w:val="center"/>
        </w:trPr>
        <w:tc>
          <w:tcPr>
            <w:tcW w:w="4042" w:type="dxa"/>
            <w:noWrap/>
            <w:hideMark/>
          </w:tcPr>
          <w:p w14:paraId="218FABE3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Integration</w:t>
            </w:r>
          </w:p>
        </w:tc>
        <w:tc>
          <w:tcPr>
            <w:tcW w:w="1203" w:type="dxa"/>
            <w:noWrap/>
            <w:hideMark/>
          </w:tcPr>
          <w:p w14:paraId="1FC1ED32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0.19</w:t>
            </w:r>
          </w:p>
        </w:tc>
      </w:tr>
      <w:tr w:rsidR="00FC516B" w:rsidRPr="00B370ED" w14:paraId="2A4F5CC9" w14:textId="77777777" w:rsidTr="003F2747">
        <w:trPr>
          <w:trHeight w:val="300"/>
          <w:jc w:val="center"/>
        </w:trPr>
        <w:tc>
          <w:tcPr>
            <w:tcW w:w="4042" w:type="dxa"/>
            <w:noWrap/>
            <w:hideMark/>
          </w:tcPr>
          <w:p w14:paraId="6336169F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Ties</w:t>
            </w:r>
          </w:p>
        </w:tc>
        <w:tc>
          <w:tcPr>
            <w:tcW w:w="1203" w:type="dxa"/>
            <w:noWrap/>
            <w:hideMark/>
          </w:tcPr>
          <w:p w14:paraId="2D0EC2AE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0.04</w:t>
            </w:r>
          </w:p>
        </w:tc>
      </w:tr>
      <w:tr w:rsidR="00FC516B" w:rsidRPr="00B370ED" w14:paraId="7A1C7B12" w14:textId="77777777" w:rsidTr="003F2747">
        <w:trPr>
          <w:trHeight w:val="300"/>
          <w:jc w:val="center"/>
        </w:trPr>
        <w:tc>
          <w:tcPr>
            <w:tcW w:w="4042" w:type="dxa"/>
            <w:tcBorders>
              <w:bottom w:val="single" w:sz="4" w:space="0" w:color="auto"/>
            </w:tcBorders>
            <w:noWrap/>
            <w:hideMark/>
          </w:tcPr>
          <w:p w14:paraId="41A7611D" w14:textId="77777777" w:rsidR="00FC516B" w:rsidRPr="00B370ED" w:rsidRDefault="00FC516B" w:rsidP="005F09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The importance of institutional quality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hideMark/>
          </w:tcPr>
          <w:p w14:paraId="4D45640F" w14:textId="77777777" w:rsidR="00FC516B" w:rsidRPr="00B370ED" w:rsidRDefault="00FC516B" w:rsidP="003F2747">
            <w:pPr>
              <w:tabs>
                <w:tab w:val="decimal" w:pos="4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B370ED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0.20</w:t>
            </w:r>
          </w:p>
        </w:tc>
      </w:tr>
      <w:tr w:rsidR="00FC516B" w:rsidRPr="00B370ED" w14:paraId="71A81A01" w14:textId="77777777" w:rsidTr="000E3804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69C86B59" w14:textId="77777777" w:rsidR="00782789" w:rsidRPr="00782789" w:rsidRDefault="00FC516B" w:rsidP="005F09F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78278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Notes</w:t>
            </w:r>
          </w:p>
          <w:p w14:paraId="31AA69C3" w14:textId="32C39239" w:rsidR="00FC516B" w:rsidRPr="00782789" w:rsidRDefault="00FC516B" w:rsidP="00D51D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827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N=64. ** </w:t>
            </w:r>
            <w:r w:rsidRPr="00782789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</w:t>
            </w:r>
            <w:r w:rsidRPr="007827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&lt;0.05.</w:t>
            </w:r>
          </w:p>
        </w:tc>
      </w:tr>
    </w:tbl>
    <w:p w14:paraId="2278AE53" w14:textId="77777777" w:rsidR="00FC516B" w:rsidRPr="00B370ED" w:rsidRDefault="00FC516B" w:rsidP="00171705">
      <w:pPr>
        <w:spacing w:line="300" w:lineRule="auto"/>
        <w:jc w:val="both"/>
        <w:rPr>
          <w:rFonts w:ascii="Times New Roman" w:hAnsi="Times New Roman" w:cs="Times New Roman"/>
          <w:spacing w:val="-2"/>
          <w:sz w:val="22"/>
          <w:lang w:val="en-GB"/>
        </w:rPr>
      </w:pPr>
    </w:p>
    <w:p w14:paraId="49BAF22E" w14:textId="77777777" w:rsidR="00D51D35" w:rsidRPr="00D51D35" w:rsidRDefault="00D51D35" w:rsidP="0085693D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5C4FFD10" w14:textId="13CD657C" w:rsidR="000A5DEF" w:rsidRDefault="003E390A" w:rsidP="0085693D">
      <w:pPr>
        <w:spacing w:line="300" w:lineRule="auto"/>
        <w:ind w:firstLine="720"/>
        <w:jc w:val="both"/>
        <w:rPr>
          <w:rFonts w:ascii="Times New Roman" w:hAnsi="Times New Roman" w:cs="Times New Roman"/>
          <w:spacing w:val="-2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To</w:t>
      </w:r>
      <w:r w:rsidR="00F3075B" w:rsidRPr="004D084E">
        <w:rPr>
          <w:rFonts w:ascii="Times New Roman" w:hAnsi="Times New Roman" w:cs="Times New Roman"/>
          <w:szCs w:val="24"/>
          <w:lang w:val="en-GB"/>
        </w:rPr>
        <w:t xml:space="preserve"> identify the determinants of the </w:t>
      </w:r>
      <w:r w:rsidR="00391243" w:rsidRPr="004D084E">
        <w:rPr>
          <w:rFonts w:ascii="Times New Roman" w:hAnsi="Times New Roman" w:cs="Times New Roman"/>
          <w:szCs w:val="24"/>
          <w:lang w:val="en-GB"/>
        </w:rPr>
        <w:t xml:space="preserve">estimated </w:t>
      </w:r>
      <w:r w:rsidR="001E11FC" w:rsidRPr="004D084E">
        <w:rPr>
          <w:rFonts w:ascii="Times New Roman" w:hAnsi="Times New Roman" w:cs="Times New Roman"/>
          <w:szCs w:val="24"/>
          <w:lang w:val="en-GB"/>
        </w:rPr>
        <w:t>M</w:t>
      </w:r>
      <w:r w:rsidR="00391243" w:rsidRPr="004D084E">
        <w:rPr>
          <w:rFonts w:ascii="Times New Roman" w:hAnsi="Times New Roman" w:cs="Times New Roman"/>
          <w:szCs w:val="24"/>
          <w:lang w:val="en-GB"/>
        </w:rPr>
        <w:t>WTP, w</w:t>
      </w:r>
      <w:r w:rsidR="00153D94" w:rsidRPr="004D084E">
        <w:rPr>
          <w:rFonts w:ascii="Times New Roman" w:hAnsi="Times New Roman" w:cs="Times New Roman"/>
          <w:szCs w:val="24"/>
          <w:lang w:val="en-GB"/>
        </w:rPr>
        <w:t>e initially conduct bivariate analys</w:t>
      </w:r>
      <w:r w:rsidR="000747A2" w:rsidRPr="004D084E">
        <w:rPr>
          <w:rFonts w:ascii="Times New Roman" w:hAnsi="Times New Roman" w:cs="Times New Roman"/>
          <w:szCs w:val="24"/>
          <w:lang w:val="en-GB"/>
        </w:rPr>
        <w:t>e</w:t>
      </w:r>
      <w:r w:rsidR="00153D94" w:rsidRPr="004D084E">
        <w:rPr>
          <w:rFonts w:ascii="Times New Roman" w:hAnsi="Times New Roman" w:cs="Times New Roman"/>
          <w:szCs w:val="24"/>
          <w:lang w:val="en-GB"/>
        </w:rPr>
        <w:t xml:space="preserve">s. 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Table </w:t>
      </w:r>
      <w:r w:rsidR="005E5294" w:rsidRPr="004D084E">
        <w:rPr>
          <w:rFonts w:ascii="Times New Roman" w:hAnsi="Times New Roman" w:cs="Times New Roman"/>
          <w:spacing w:val="-2"/>
          <w:szCs w:val="24"/>
          <w:lang w:val="en-GB"/>
        </w:rPr>
        <w:t>2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reports Pearson's correlation coefficients between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WTP and </w:t>
      </w:r>
      <w:r w:rsidR="00703353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the 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>continuous variable</w:t>
      </w:r>
      <w:r w:rsidR="005E5294" w:rsidRPr="004D084E">
        <w:rPr>
          <w:rFonts w:ascii="Times New Roman" w:hAnsi="Times New Roman" w:cs="Times New Roman"/>
          <w:spacing w:val="-2"/>
          <w:szCs w:val="24"/>
          <w:lang w:val="en-GB"/>
        </w:rPr>
        <w:t>s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. </w:t>
      </w:r>
      <w:r w:rsidR="003F2747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D91273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Although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D91273" w:rsidRPr="004D084E">
        <w:rPr>
          <w:rFonts w:ascii="Times New Roman" w:hAnsi="Times New Roman" w:cs="Times New Roman"/>
          <w:spacing w:val="-2"/>
          <w:szCs w:val="24"/>
          <w:lang w:val="en-GB"/>
        </w:rPr>
        <w:t>WTP is positively correlated with all of the continuous variables, only age and duration-of-stay ha</w:t>
      </w:r>
      <w:r w:rsidR="00670E32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ve a statistically significant </w:t>
      </w:r>
      <w:r w:rsidR="00D02A3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correlation 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with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>WTP at the five percent level of significance.</w:t>
      </w:r>
      <w:r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563ECB" w:rsidRPr="004D084E">
        <w:rPr>
          <w:rFonts w:ascii="Times New Roman" w:hAnsi="Times New Roman" w:cs="Times New Roman"/>
          <w:spacing w:val="-2"/>
          <w:szCs w:val="24"/>
          <w:lang w:val="en-GB"/>
        </w:rPr>
        <w:t>Table 3</w:t>
      </w:r>
      <w:r w:rsidR="000A5DEF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</w:t>
      </w:r>
      <w:r w:rsidR="0092453A" w:rsidRPr="004D084E">
        <w:rPr>
          <w:rFonts w:ascii="Times New Roman" w:hAnsi="Times New Roman" w:cs="Times New Roman"/>
          <w:spacing w:val="-2"/>
          <w:szCs w:val="24"/>
          <w:lang w:val="en-GB"/>
        </w:rPr>
        <w:t>examines whether</w:t>
      </w:r>
      <w:r w:rsidR="000747A2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mean values of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0747A2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WTP vary across </w:t>
      </w:r>
      <w:r w:rsidR="00703353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the categorical variables. </w:t>
      </w:r>
      <w:r w:rsidR="0085693D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Due to the high standard deviation </w:t>
      </w:r>
      <w:r w:rsidR="007A668A" w:rsidRPr="004D084E">
        <w:rPr>
          <w:rFonts w:ascii="Times New Roman" w:hAnsi="Times New Roman" w:cs="Times New Roman"/>
          <w:spacing w:val="-2"/>
          <w:szCs w:val="24"/>
          <w:lang w:val="en-GB"/>
        </w:rPr>
        <w:t>(</w:t>
      </w:r>
      <w:r w:rsidR="0085693D" w:rsidRPr="004D084E">
        <w:rPr>
          <w:rFonts w:ascii="Times New Roman" w:hAnsi="Times New Roman" w:cs="Times New Roman"/>
          <w:spacing w:val="-2"/>
          <w:szCs w:val="24"/>
          <w:lang w:val="en-GB"/>
        </w:rPr>
        <w:t>SD</w:t>
      </w:r>
      <w:r w:rsidR="007A668A" w:rsidRPr="004D084E">
        <w:rPr>
          <w:rFonts w:ascii="Times New Roman" w:hAnsi="Times New Roman" w:cs="Times New Roman"/>
          <w:spacing w:val="-2"/>
          <w:szCs w:val="24"/>
          <w:lang w:val="en-GB"/>
        </w:rPr>
        <w:t>)</w:t>
      </w:r>
      <w:r w:rsidR="0085693D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in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85693D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WTP (see Table 1), there </w:t>
      </w:r>
      <w:r w:rsidR="007908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is no evidence of significant differences in mean values of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790805" w:rsidRPr="004D084E">
        <w:rPr>
          <w:rFonts w:ascii="Times New Roman" w:hAnsi="Times New Roman" w:cs="Times New Roman"/>
          <w:spacing w:val="-2"/>
          <w:szCs w:val="24"/>
          <w:lang w:val="en-GB"/>
        </w:rPr>
        <w:t>WTP by gender, marital status, education, and return intention</w:t>
      </w:r>
      <w:r w:rsidR="00A17EFC" w:rsidRPr="004D084E">
        <w:rPr>
          <w:rFonts w:ascii="Times New Roman" w:hAnsi="Times New Roman" w:cs="Times New Roman"/>
          <w:spacing w:val="-2"/>
          <w:szCs w:val="24"/>
          <w:lang w:val="en-GB"/>
        </w:rPr>
        <w:t>s</w:t>
      </w:r>
      <w:r w:rsidR="007908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of the respondents. Mean values of </w:t>
      </w:r>
      <w:r w:rsidR="001E11FC" w:rsidRPr="004D084E">
        <w:rPr>
          <w:rFonts w:ascii="Times New Roman" w:hAnsi="Times New Roman" w:cs="Times New Roman"/>
          <w:spacing w:val="-2"/>
          <w:szCs w:val="24"/>
          <w:lang w:val="en-GB"/>
        </w:rPr>
        <w:t>M</w:t>
      </w:r>
      <w:r w:rsidR="007908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WTP </w:t>
      </w:r>
      <w:r w:rsidR="00D02A31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differ </w:t>
      </w:r>
      <w:r w:rsidR="00790805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significantly by the respondents’ legal status in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="00E17269" w:rsidRPr="004D084E">
        <w:rPr>
          <w:rFonts w:ascii="Times New Roman" w:hAnsi="Times New Roman" w:cs="Times New Roman"/>
          <w:spacing w:val="-2"/>
          <w:szCs w:val="24"/>
          <w:lang w:val="en-GB"/>
        </w:rPr>
        <w:t xml:space="preserve"> at the five percent level</w:t>
      </w:r>
      <w:r w:rsidR="00B32882" w:rsidRPr="004D084E">
        <w:rPr>
          <w:rFonts w:ascii="Times New Roman" w:hAnsi="Times New Roman" w:cs="Times New Roman"/>
          <w:spacing w:val="-2"/>
          <w:szCs w:val="24"/>
          <w:lang w:val="en-GB"/>
        </w:rPr>
        <w:t>.</w:t>
      </w:r>
    </w:p>
    <w:p w14:paraId="50F440E0" w14:textId="4569BBFF" w:rsidR="00B370ED" w:rsidRDefault="00B370ED" w:rsidP="0085693D">
      <w:pPr>
        <w:spacing w:line="300" w:lineRule="auto"/>
        <w:ind w:firstLine="720"/>
        <w:jc w:val="both"/>
        <w:rPr>
          <w:rFonts w:ascii="Times New Roman" w:hAnsi="Times New Roman" w:cs="Times New Roman"/>
          <w:spacing w:val="-2"/>
          <w:szCs w:val="24"/>
          <w:lang w:val="en-GB"/>
        </w:rPr>
      </w:pPr>
    </w:p>
    <w:p w14:paraId="27D93D91" w14:textId="49E72866" w:rsidR="00B370ED" w:rsidRPr="004D084E" w:rsidRDefault="00B370ED" w:rsidP="00B370ED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pacing w:val="-2"/>
          <w:szCs w:val="24"/>
          <w:lang w:val="en-GB"/>
        </w:rPr>
        <w:t>Since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our sample size is small, we allow only two independent variables to enter OLS regressions at a time to identify the determining factors of the estimated MWTP. The bivariate analyses reveal that age, duration-of-stay, and legal status in</w:t>
      </w:r>
      <w:r w:rsidR="003F2747" w:rsidRPr="003F2747">
        <w:rPr>
          <w:rFonts w:ascii="Times New Roman" w:hAnsi="Times New Roman" w:cs="Times New Roman"/>
          <w:szCs w:val="24"/>
          <w:lang w:val="en-GB"/>
        </w:rPr>
        <w:t xml:space="preserve"> </w:t>
      </w:r>
      <w:r w:rsidR="003F2747">
        <w:rPr>
          <w:rFonts w:ascii="Times New Roman" w:hAnsi="Times New Roman" w:cs="Times New Roman"/>
          <w:szCs w:val="24"/>
          <w:lang w:val="en-GB"/>
        </w:rPr>
        <w:t>New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are potential </w:t>
      </w:r>
      <w:r w:rsidRPr="004D084E">
        <w:rPr>
          <w:rFonts w:ascii="Times New Roman" w:hAnsi="Times New Roman" w:cs="Times New Roman"/>
          <w:szCs w:val="24"/>
          <w:lang w:val="en-GB"/>
        </w:rPr>
        <w:lastRenderedPageBreak/>
        <w:t xml:space="preserve">determinants of MWTP. Therefore, we successively examine the effect of each of these variables with one control variable at a time. The estimated coefficient for age is significantly positive regardless of the control variable in the regression, unless duration-of-stay is controlled for. Similarly, </w:t>
      </w:r>
      <w:r>
        <w:rPr>
          <w:rFonts w:ascii="Times New Roman" w:hAnsi="Times New Roman" w:cs="Times New Roman"/>
          <w:szCs w:val="24"/>
          <w:lang w:val="en-GB"/>
        </w:rPr>
        <w:t>t</w:t>
      </w:r>
      <w:r w:rsidRPr="004D084E">
        <w:rPr>
          <w:rFonts w:ascii="Times New Roman" w:hAnsi="Times New Roman" w:cs="Times New Roman"/>
          <w:szCs w:val="24"/>
          <w:lang w:val="en-GB"/>
        </w:rPr>
        <w:t>he estimated coefficient for duration-of-stay is significantly positive across all regressions, unless age or integration is controlled for. Notably, the effect of the importance of institutional quality is statistically significant, when included with duration-of-stay, even though the raw correlation (</w:t>
      </w:r>
      <w:r>
        <w:rPr>
          <w:rFonts w:ascii="Times New Roman" w:hAnsi="Times New Roman" w:cs="Times New Roman"/>
          <w:szCs w:val="24"/>
          <w:lang w:val="en-GB"/>
        </w:rPr>
        <w:t xml:space="preserve">see </w:t>
      </w:r>
      <w:r w:rsidRPr="004D084E">
        <w:rPr>
          <w:rFonts w:ascii="Times New Roman" w:hAnsi="Times New Roman" w:cs="Times New Roman"/>
          <w:szCs w:val="24"/>
          <w:lang w:val="en-GB"/>
        </w:rPr>
        <w:t>Table 2) with MWTP was not statistically significant. The estimated coefficient for legal status in N</w:t>
      </w:r>
      <w:r w:rsidR="004579F3">
        <w:rPr>
          <w:rFonts w:ascii="Times New Roman" w:hAnsi="Times New Roman" w:cs="Times New Roman"/>
          <w:szCs w:val="24"/>
          <w:lang w:val="en-GB"/>
        </w:rPr>
        <w:t>ew Zealand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is significantly positive across all regressions, unless age, duration-of-stay, or integration is controlled for. The importance of institutional quality also has a significantly positive relationship with MWTP when included with legal status. Drawing from these multivariate analyses, we identify four potential determinants of MWTP, </w:t>
      </w:r>
      <w:r w:rsidR="004579F3">
        <w:rPr>
          <w:rFonts w:ascii="Times New Roman" w:hAnsi="Times New Roman" w:cs="Times New Roman"/>
          <w:szCs w:val="24"/>
          <w:lang w:val="en-GB"/>
        </w:rPr>
        <w:t xml:space="preserve">that is, </w:t>
      </w:r>
      <w:r w:rsidRPr="004D084E">
        <w:rPr>
          <w:rFonts w:ascii="Times New Roman" w:hAnsi="Times New Roman" w:cs="Times New Roman"/>
          <w:szCs w:val="24"/>
          <w:lang w:val="en-GB"/>
        </w:rPr>
        <w:t>age, duration-of-stay, legal status in N</w:t>
      </w:r>
      <w:r w:rsidR="004579F3">
        <w:rPr>
          <w:rFonts w:ascii="Times New Roman" w:hAnsi="Times New Roman" w:cs="Times New Roman"/>
          <w:szCs w:val="24"/>
          <w:lang w:val="en-GB"/>
        </w:rPr>
        <w:t>ew Zealand</w:t>
      </w:r>
      <w:r w:rsidRPr="004D084E">
        <w:rPr>
          <w:rFonts w:ascii="Times New Roman" w:hAnsi="Times New Roman" w:cs="Times New Roman"/>
          <w:szCs w:val="24"/>
          <w:lang w:val="en-GB"/>
        </w:rPr>
        <w:t>, and the importance of institutional quality.</w:t>
      </w:r>
    </w:p>
    <w:p w14:paraId="045E11B0" w14:textId="77777777" w:rsidR="00B370ED" w:rsidRDefault="00B370ED" w:rsidP="0085693D">
      <w:pPr>
        <w:spacing w:line="300" w:lineRule="auto"/>
        <w:ind w:firstLine="720"/>
        <w:jc w:val="both"/>
        <w:rPr>
          <w:rFonts w:ascii="Times New Roman" w:hAnsi="Times New Roman" w:cs="Times New Roman"/>
          <w:spacing w:val="-2"/>
          <w:szCs w:val="24"/>
          <w:lang w:val="en-GB"/>
        </w:rPr>
      </w:pPr>
    </w:p>
    <w:p w14:paraId="06ABF277" w14:textId="7002A3D9" w:rsidR="00782789" w:rsidRDefault="006C6202" w:rsidP="00782789">
      <w:pPr>
        <w:spacing w:line="240" w:lineRule="auto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B370ED">
        <w:rPr>
          <w:rFonts w:ascii="Times New Roman" w:hAnsi="Times New Roman" w:cs="Times New Roman"/>
          <w:b/>
          <w:sz w:val="22"/>
          <w:lang w:val="en-GB"/>
        </w:rPr>
        <w:t xml:space="preserve">Table </w:t>
      </w:r>
      <w:r w:rsidR="00F3031D" w:rsidRPr="00B370ED">
        <w:rPr>
          <w:rFonts w:ascii="Times New Roman" w:hAnsi="Times New Roman" w:cs="Times New Roman"/>
          <w:b/>
          <w:sz w:val="22"/>
          <w:lang w:val="en-GB"/>
        </w:rPr>
        <w:t>3</w:t>
      </w:r>
      <w:r w:rsidR="00DE46A9" w:rsidRPr="00B370ED">
        <w:rPr>
          <w:rFonts w:ascii="Times New Roman" w:hAnsi="Times New Roman" w:cs="Times New Roman"/>
          <w:b/>
          <w:sz w:val="22"/>
          <w:lang w:val="en-GB"/>
        </w:rPr>
        <w:t>:</w:t>
      </w:r>
      <w:r w:rsidRPr="00B370ED">
        <w:rPr>
          <w:rFonts w:ascii="Times New Roman" w:hAnsi="Times New Roman" w:cs="Times New Roman"/>
          <w:b/>
          <w:sz w:val="22"/>
          <w:lang w:val="en-GB"/>
        </w:rPr>
        <w:t xml:space="preserve"> Mean </w:t>
      </w:r>
      <w:r w:rsidR="00782789">
        <w:rPr>
          <w:rFonts w:ascii="Times New Roman" w:hAnsi="Times New Roman" w:cs="Times New Roman"/>
          <w:b/>
          <w:spacing w:val="-2"/>
          <w:sz w:val="22"/>
          <w:lang w:val="en-GB"/>
        </w:rPr>
        <w:t>V</w:t>
      </w:r>
      <w:r w:rsidRPr="00B370ED">
        <w:rPr>
          <w:rFonts w:ascii="Times New Roman" w:hAnsi="Times New Roman" w:cs="Times New Roman"/>
          <w:b/>
          <w:spacing w:val="-2"/>
          <w:sz w:val="22"/>
          <w:lang w:val="en-GB"/>
        </w:rPr>
        <w:t>alues</w:t>
      </w:r>
      <w:r w:rsidRPr="00B370ED">
        <w:rPr>
          <w:rFonts w:ascii="Times New Roman" w:hAnsi="Times New Roman" w:cs="Times New Roman"/>
          <w:b/>
          <w:sz w:val="22"/>
          <w:lang w:val="en-GB"/>
        </w:rPr>
        <w:t xml:space="preserve"> of </w:t>
      </w:r>
      <w:r w:rsidR="00750A50" w:rsidRPr="00B370ED">
        <w:rPr>
          <w:rFonts w:ascii="Times New Roman" w:hAnsi="Times New Roman" w:cs="Times New Roman"/>
          <w:b/>
          <w:sz w:val="22"/>
          <w:lang w:val="en-GB"/>
        </w:rPr>
        <w:t>M</w:t>
      </w:r>
      <w:r w:rsidRPr="00B370ED">
        <w:rPr>
          <w:rFonts w:ascii="Times New Roman" w:hAnsi="Times New Roman" w:cs="Times New Roman"/>
          <w:b/>
          <w:sz w:val="22"/>
          <w:lang w:val="en-GB"/>
        </w:rPr>
        <w:t>WT</w:t>
      </w:r>
      <w:r w:rsidR="002944F5" w:rsidRPr="00B370ED">
        <w:rPr>
          <w:rFonts w:ascii="Times New Roman" w:hAnsi="Times New Roman" w:cs="Times New Roman"/>
          <w:b/>
          <w:sz w:val="22"/>
          <w:lang w:val="en-GB"/>
        </w:rPr>
        <w:t>P</w:t>
      </w:r>
    </w:p>
    <w:p w14:paraId="2AD02C1E" w14:textId="164BBB1D" w:rsidR="000B66D1" w:rsidRPr="00782789" w:rsidRDefault="006C6202" w:rsidP="00782789">
      <w:pPr>
        <w:spacing w:line="240" w:lineRule="auto"/>
        <w:jc w:val="center"/>
        <w:rPr>
          <w:rFonts w:ascii="Times New Roman" w:hAnsi="Times New Roman" w:cs="Times New Roman"/>
          <w:sz w:val="22"/>
          <w:lang w:val="en-GB"/>
        </w:rPr>
      </w:pPr>
      <w:r w:rsidRPr="00782789">
        <w:rPr>
          <w:rFonts w:ascii="Times New Roman" w:hAnsi="Times New Roman" w:cs="Times New Roman"/>
          <w:sz w:val="22"/>
          <w:lang w:val="en-GB"/>
        </w:rPr>
        <w:t xml:space="preserve">by </w:t>
      </w:r>
      <w:r w:rsidR="00782789" w:rsidRPr="00782789">
        <w:rPr>
          <w:rFonts w:ascii="Times New Roman" w:hAnsi="Times New Roman" w:cs="Times New Roman"/>
          <w:sz w:val="22"/>
          <w:lang w:val="en-GB"/>
        </w:rPr>
        <w:t>C</w:t>
      </w:r>
      <w:r w:rsidRPr="00782789">
        <w:rPr>
          <w:rFonts w:ascii="Times New Roman" w:hAnsi="Times New Roman" w:cs="Times New Roman"/>
          <w:sz w:val="22"/>
          <w:lang w:val="en-GB"/>
        </w:rPr>
        <w:t xml:space="preserve">ategorical </w:t>
      </w:r>
      <w:r w:rsidR="00782789" w:rsidRPr="00782789">
        <w:rPr>
          <w:rFonts w:ascii="Times New Roman" w:hAnsi="Times New Roman" w:cs="Times New Roman"/>
          <w:sz w:val="22"/>
          <w:lang w:val="en-GB"/>
        </w:rPr>
        <w:t>V</w:t>
      </w:r>
      <w:r w:rsidRPr="00782789">
        <w:rPr>
          <w:rFonts w:ascii="Times New Roman" w:hAnsi="Times New Roman" w:cs="Times New Roman"/>
          <w:sz w:val="22"/>
          <w:lang w:val="en-GB"/>
        </w:rPr>
        <w:t>ariables</w:t>
      </w:r>
    </w:p>
    <w:tbl>
      <w:tblPr>
        <w:tblStyle w:val="TableGrid"/>
        <w:tblW w:w="89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516"/>
        <w:gridCol w:w="2376"/>
        <w:gridCol w:w="1756"/>
      </w:tblGrid>
      <w:tr w:rsidR="00D60206" w:rsidRPr="00B370ED" w14:paraId="559A97F4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394F0C" w14:textId="77777777" w:rsidR="00D60206" w:rsidRPr="00B370ED" w:rsidRDefault="00D60206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9A322A" w14:textId="77777777" w:rsidR="00D60206" w:rsidRPr="00B370ED" w:rsidRDefault="0038358E" w:rsidP="00935B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N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832E94" w14:textId="16C76895" w:rsidR="00D60206" w:rsidRPr="00B370ED" w:rsidRDefault="00D60206" w:rsidP="00935B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Mean</w:t>
            </w:r>
            <w:r w:rsidR="0038358E" w:rsidRPr="00B370ED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="00750A50" w:rsidRPr="00B370ED">
              <w:rPr>
                <w:rFonts w:ascii="Times New Roman" w:hAnsi="Times New Roman" w:cs="Times New Roman"/>
                <w:sz w:val="22"/>
                <w:lang w:val="en-GB"/>
              </w:rPr>
              <w:t>M</w:t>
            </w:r>
            <w:r w:rsidR="0038358E" w:rsidRPr="00B370ED">
              <w:rPr>
                <w:rFonts w:ascii="Times New Roman" w:hAnsi="Times New Roman" w:cs="Times New Roman"/>
                <w:sz w:val="22"/>
                <w:lang w:val="en-GB"/>
              </w:rPr>
              <w:t>WTP</w:t>
            </w:r>
            <w:r w:rsidR="001F3DD4" w:rsidRPr="00B370ED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(NZD)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9EBBE2" w14:textId="77777777" w:rsidR="00D60206" w:rsidRPr="00B370ED" w:rsidRDefault="00D60206" w:rsidP="00935B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Cs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i/>
                <w:iCs/>
                <w:sz w:val="22"/>
                <w:lang w:val="en-GB"/>
              </w:rPr>
              <w:t>t</w:t>
            </w:r>
            <w:r w:rsidRPr="00B370ED">
              <w:rPr>
                <w:rFonts w:ascii="Times New Roman" w:hAnsi="Times New Roman" w:cs="Times New Roman"/>
                <w:iCs/>
                <w:sz w:val="22"/>
                <w:lang w:val="en-GB"/>
              </w:rPr>
              <w:t>-test</w:t>
            </w:r>
            <w:r w:rsidR="001F3DD4" w:rsidRPr="00B370ED">
              <w:rPr>
                <w:rFonts w:ascii="Times New Roman" w:hAnsi="Times New Roman" w:cs="Times New Roman"/>
                <w:iCs/>
                <w:sz w:val="22"/>
                <w:lang w:val="en-GB"/>
              </w:rPr>
              <w:t xml:space="preserve"> </w:t>
            </w:r>
            <w:r w:rsidRPr="00B370ED">
              <w:rPr>
                <w:rFonts w:ascii="Times New Roman" w:hAnsi="Times New Roman" w:cs="Times New Roman"/>
                <w:iCs/>
                <w:sz w:val="22"/>
                <w:lang w:val="en-GB"/>
              </w:rPr>
              <w:t>(</w:t>
            </w:r>
            <w:r w:rsidRPr="00B370ED">
              <w:rPr>
                <w:rFonts w:ascii="Times New Roman" w:hAnsi="Times New Roman" w:cs="Times New Roman"/>
                <w:i/>
                <w:iCs/>
                <w:sz w:val="22"/>
                <w:lang w:val="en-GB"/>
              </w:rPr>
              <w:t>p</w:t>
            </w:r>
            <w:r w:rsidRPr="00B370ED">
              <w:rPr>
                <w:rFonts w:ascii="Times New Roman" w:hAnsi="Times New Roman" w:cs="Times New Roman"/>
                <w:iCs/>
                <w:sz w:val="22"/>
                <w:lang w:val="en-GB"/>
              </w:rPr>
              <w:t>-value)</w:t>
            </w:r>
          </w:p>
        </w:tc>
      </w:tr>
      <w:tr w:rsidR="00D60206" w:rsidRPr="00B370ED" w14:paraId="490B38D4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6C45717" w14:textId="77777777" w:rsidR="00D60206" w:rsidRPr="00B370ED" w:rsidRDefault="00D60206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Full sample</w:t>
            </w: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54DD2F6" w14:textId="77777777" w:rsidR="00D60206" w:rsidRPr="00B370ED" w:rsidRDefault="00D36B69" w:rsidP="00935B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6</w:t>
            </w:r>
            <w:r w:rsidR="001E0B0A" w:rsidRPr="00B370ED">
              <w:rPr>
                <w:rFonts w:ascii="Times New Roman" w:hAnsi="Times New Roman" w:cs="Times New Roman"/>
                <w:sz w:val="22"/>
                <w:lang w:val="en-GB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5A31DC1" w14:textId="77777777" w:rsidR="00D60206" w:rsidRPr="00B370ED" w:rsidRDefault="003D5B17" w:rsidP="00203D84">
            <w:pPr>
              <w:tabs>
                <w:tab w:val="decimal" w:pos="990"/>
              </w:tabs>
              <w:spacing w:before="60" w:after="60"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79.80</w:t>
            </w:r>
          </w:p>
        </w:tc>
        <w:tc>
          <w:tcPr>
            <w:tcW w:w="175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DB94EA6" w14:textId="77777777" w:rsidR="00D60206" w:rsidRPr="00B370ED" w:rsidRDefault="00D60206" w:rsidP="00935B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18C4AC32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90070A" w14:textId="77777777" w:rsidR="00D60206" w:rsidRPr="00B370ED" w:rsidRDefault="00D60206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Gender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066AE54D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4DEB6635" w14:textId="77777777" w:rsidR="00D60206" w:rsidRPr="00B370ED" w:rsidRDefault="00D6020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noWrap/>
            <w:vAlign w:val="center"/>
          </w:tcPr>
          <w:p w14:paraId="5ABCD1AC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49196C4C" w14:textId="77777777" w:rsidTr="00AB2679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0EC58B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Male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6DBD34FE" w14:textId="77777777" w:rsidR="00D60206" w:rsidRPr="00B370ED" w:rsidRDefault="001E0B0A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30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0EA6E9C4" w14:textId="77777777" w:rsidR="00D60206" w:rsidRPr="00B370ED" w:rsidRDefault="001E0B0A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114.98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462B07D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0.</w:t>
            </w:r>
            <w:r w:rsidR="001E0B0A" w:rsidRPr="00B370ED">
              <w:rPr>
                <w:rFonts w:ascii="Times New Roman" w:hAnsi="Times New Roman" w:cs="Times New Roman"/>
                <w:sz w:val="22"/>
                <w:lang w:val="en-GB"/>
              </w:rPr>
              <w:t>226</w:t>
            </w:r>
          </w:p>
        </w:tc>
      </w:tr>
      <w:tr w:rsidR="00D60206" w:rsidRPr="00B370ED" w14:paraId="6C524968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C84FC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Female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4B66AE88" w14:textId="77777777" w:rsidR="00D60206" w:rsidRPr="00B370ED" w:rsidRDefault="001E0B0A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34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3D428254" w14:textId="77777777" w:rsidR="00D60206" w:rsidRPr="00B370ED" w:rsidRDefault="001E0B0A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48.76</w:t>
            </w:r>
          </w:p>
        </w:tc>
        <w:tc>
          <w:tcPr>
            <w:tcW w:w="1756" w:type="dxa"/>
            <w:vMerge/>
            <w:tcBorders>
              <w:top w:val="nil"/>
              <w:bottom w:val="nil"/>
            </w:tcBorders>
            <w:noWrap/>
            <w:vAlign w:val="center"/>
          </w:tcPr>
          <w:p w14:paraId="3B8EB213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71D1AAC8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D71810" w14:textId="77777777" w:rsidR="00D60206" w:rsidRPr="00B370ED" w:rsidRDefault="00D60206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Marital status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75C2EC42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51EEA6FF" w14:textId="77777777" w:rsidR="00D60206" w:rsidRPr="00B370ED" w:rsidRDefault="00D6020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noWrap/>
            <w:vAlign w:val="center"/>
          </w:tcPr>
          <w:p w14:paraId="4B896AC3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52F9CBB1" w14:textId="77777777" w:rsidTr="00AB2679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91A2BC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Married or in a long-term relationship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551CC550" w14:textId="77777777" w:rsidR="00D60206" w:rsidRPr="00B370ED" w:rsidRDefault="00C0543D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40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4BCA5EAF" w14:textId="77777777" w:rsidR="00D60206" w:rsidRPr="00B370ED" w:rsidRDefault="00C0543D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73.93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D9F4A80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0.</w:t>
            </w:r>
            <w:r w:rsidR="00C0543D" w:rsidRPr="00B370ED">
              <w:rPr>
                <w:rFonts w:ascii="Times New Roman" w:hAnsi="Times New Roman" w:cs="Times New Roman"/>
                <w:sz w:val="22"/>
                <w:lang w:val="en-GB"/>
              </w:rPr>
              <w:t>782</w:t>
            </w:r>
          </w:p>
        </w:tc>
      </w:tr>
      <w:tr w:rsidR="00D60206" w:rsidRPr="00B370ED" w14:paraId="6992E6D0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08322C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Otherwise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597998E6" w14:textId="77777777" w:rsidR="00D60206" w:rsidRPr="00B370ED" w:rsidRDefault="00C0543D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24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28EBA45F" w14:textId="77777777" w:rsidR="00D60206" w:rsidRPr="00B370ED" w:rsidRDefault="00C0543D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89.58</w:t>
            </w:r>
          </w:p>
        </w:tc>
        <w:tc>
          <w:tcPr>
            <w:tcW w:w="1756" w:type="dxa"/>
            <w:vMerge/>
            <w:tcBorders>
              <w:top w:val="nil"/>
              <w:bottom w:val="nil"/>
            </w:tcBorders>
            <w:noWrap/>
            <w:vAlign w:val="center"/>
          </w:tcPr>
          <w:p w14:paraId="730D8ACE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58D78152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AD9BA5" w14:textId="77777777" w:rsidR="00D60206" w:rsidRPr="00B370ED" w:rsidRDefault="00D60206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Education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38D9DC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0AD3B7" w14:textId="77777777" w:rsidR="00D60206" w:rsidRPr="00B370ED" w:rsidRDefault="00D6020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690AFF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403A7C55" w14:textId="77777777" w:rsidTr="00AB2679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8918D4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Postgraduate</w:t>
            </w: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8A76C6" w14:textId="77777777" w:rsidR="00D60206" w:rsidRPr="00B370ED" w:rsidRDefault="00D36B69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21</w:t>
            </w: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FB6A22" w14:textId="77777777" w:rsidR="00D60206" w:rsidRPr="00B370ED" w:rsidRDefault="00D36B69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111.71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623A33F" w14:textId="77777777" w:rsidR="00D60206" w:rsidRPr="00B370ED" w:rsidRDefault="00D36B69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0.415</w:t>
            </w:r>
          </w:p>
        </w:tc>
      </w:tr>
      <w:tr w:rsidR="00D60206" w:rsidRPr="00B370ED" w14:paraId="5473D4EF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C0978E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Otherwise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5D82F1C9" w14:textId="77777777" w:rsidR="00D60206" w:rsidRPr="00B370ED" w:rsidRDefault="00D36B69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43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038285A3" w14:textId="77777777" w:rsidR="00D60206" w:rsidRPr="00B370ED" w:rsidRDefault="00D36B69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64.22</w:t>
            </w:r>
          </w:p>
        </w:tc>
        <w:tc>
          <w:tcPr>
            <w:tcW w:w="1756" w:type="dxa"/>
            <w:vMerge/>
            <w:tcBorders>
              <w:top w:val="nil"/>
              <w:bottom w:val="nil"/>
            </w:tcBorders>
            <w:noWrap/>
            <w:vAlign w:val="center"/>
          </w:tcPr>
          <w:p w14:paraId="414D7AFB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00662F" w:rsidRPr="00B370ED" w14:paraId="33C505D6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CC849" w14:textId="7F084F5F" w:rsidR="0000662F" w:rsidRPr="00B370ED" w:rsidRDefault="0000662F" w:rsidP="00930FCA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 xml:space="preserve">Legal status in </w:t>
            </w:r>
            <w:r w:rsidR="00930FCA" w:rsidRPr="00B370ED">
              <w:rPr>
                <w:rFonts w:ascii="Times New Roman" w:hAnsi="Times New Roman" w:cs="Times New Roman"/>
                <w:sz w:val="22"/>
                <w:lang w:val="en-GB"/>
              </w:rPr>
              <w:t>N</w:t>
            </w:r>
            <w:r w:rsidR="004579F3">
              <w:rPr>
                <w:rFonts w:ascii="Times New Roman" w:hAnsi="Times New Roman" w:cs="Times New Roman"/>
                <w:sz w:val="22"/>
                <w:lang w:val="en-GB"/>
              </w:rPr>
              <w:t>ew Zealand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375C9533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75D4A8F4" w14:textId="77777777" w:rsidR="0000662F" w:rsidRPr="00B370ED" w:rsidRDefault="0000662F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noWrap/>
            <w:vAlign w:val="center"/>
          </w:tcPr>
          <w:p w14:paraId="7A629A43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00662F" w:rsidRPr="00B370ED" w14:paraId="7DD5F566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7DA235" w14:textId="77777777" w:rsidR="0000662F" w:rsidRPr="00B370ED" w:rsidRDefault="0000662F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Permanent residency or citizenship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76C49F52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45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70210559" w14:textId="77777777" w:rsidR="0000662F" w:rsidRPr="00B370ED" w:rsidRDefault="0000662F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114.72</w:t>
            </w:r>
          </w:p>
        </w:tc>
        <w:tc>
          <w:tcPr>
            <w:tcW w:w="1756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DD70B36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0.047</w:t>
            </w:r>
          </w:p>
        </w:tc>
      </w:tr>
      <w:tr w:rsidR="0000662F" w:rsidRPr="00B370ED" w14:paraId="47E4BD39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3441A5" w14:textId="77777777" w:rsidR="0000662F" w:rsidRPr="00B370ED" w:rsidRDefault="0000662F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Otherwise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33C70686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19</w:t>
            </w: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75520344" w14:textId="77777777" w:rsidR="0000662F" w:rsidRPr="00B370ED" w:rsidRDefault="0000662F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-2.91</w:t>
            </w:r>
          </w:p>
        </w:tc>
        <w:tc>
          <w:tcPr>
            <w:tcW w:w="1756" w:type="dxa"/>
            <w:vMerge/>
            <w:tcBorders>
              <w:top w:val="nil"/>
              <w:bottom w:val="nil"/>
            </w:tcBorders>
            <w:noWrap/>
            <w:vAlign w:val="center"/>
          </w:tcPr>
          <w:p w14:paraId="66543792" w14:textId="77777777" w:rsidR="0000662F" w:rsidRPr="00B370ED" w:rsidRDefault="0000662F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58C2EEE0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3BFDBD" w14:textId="77777777" w:rsidR="00D60206" w:rsidRPr="00B370ED" w:rsidRDefault="00072432" w:rsidP="00FD7136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Return intention</w:t>
            </w:r>
          </w:p>
        </w:tc>
        <w:tc>
          <w:tcPr>
            <w:tcW w:w="516" w:type="dxa"/>
            <w:tcBorders>
              <w:top w:val="nil"/>
              <w:bottom w:val="nil"/>
            </w:tcBorders>
            <w:noWrap/>
            <w:vAlign w:val="center"/>
          </w:tcPr>
          <w:p w14:paraId="718200D1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noWrap/>
            <w:vAlign w:val="center"/>
          </w:tcPr>
          <w:p w14:paraId="236644DE" w14:textId="77777777" w:rsidR="00D60206" w:rsidRPr="00B370ED" w:rsidRDefault="00D6020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noWrap/>
            <w:vAlign w:val="center"/>
          </w:tcPr>
          <w:p w14:paraId="256CC4B4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  <w:tr w:rsidR="00D60206" w:rsidRPr="00B370ED" w14:paraId="3E800A2F" w14:textId="77777777" w:rsidTr="000E3804">
        <w:trPr>
          <w:trHeight w:val="227"/>
          <w:jc w:val="center"/>
        </w:trPr>
        <w:tc>
          <w:tcPr>
            <w:tcW w:w="4290" w:type="dxa"/>
            <w:tcBorders>
              <w:top w:val="nil"/>
            </w:tcBorders>
            <w:noWrap/>
            <w:vAlign w:val="center"/>
            <w:hideMark/>
          </w:tcPr>
          <w:p w14:paraId="4952FE23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Yes</w:t>
            </w:r>
          </w:p>
        </w:tc>
        <w:tc>
          <w:tcPr>
            <w:tcW w:w="516" w:type="dxa"/>
            <w:tcBorders>
              <w:top w:val="nil"/>
            </w:tcBorders>
            <w:noWrap/>
            <w:vAlign w:val="center"/>
          </w:tcPr>
          <w:p w14:paraId="0FEC5ABC" w14:textId="77777777" w:rsidR="00D60206" w:rsidRPr="00B370ED" w:rsidRDefault="0019656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11</w:t>
            </w:r>
          </w:p>
        </w:tc>
        <w:tc>
          <w:tcPr>
            <w:tcW w:w="2376" w:type="dxa"/>
            <w:tcBorders>
              <w:top w:val="nil"/>
            </w:tcBorders>
            <w:noWrap/>
            <w:vAlign w:val="center"/>
          </w:tcPr>
          <w:p w14:paraId="7961A5DA" w14:textId="77777777" w:rsidR="00D60206" w:rsidRPr="00B370ED" w:rsidRDefault="0019656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102.55</w:t>
            </w:r>
          </w:p>
        </w:tc>
        <w:tc>
          <w:tcPr>
            <w:tcW w:w="1756" w:type="dxa"/>
            <w:vMerge w:val="restart"/>
            <w:tcBorders>
              <w:top w:val="nil"/>
            </w:tcBorders>
            <w:noWrap/>
            <w:vAlign w:val="center"/>
          </w:tcPr>
          <w:p w14:paraId="322487F2" w14:textId="77777777" w:rsidR="00D60206" w:rsidRPr="00B370ED" w:rsidRDefault="0019656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0.706</w:t>
            </w:r>
          </w:p>
        </w:tc>
      </w:tr>
      <w:tr w:rsidR="00D60206" w:rsidRPr="00B370ED" w14:paraId="2922C9DB" w14:textId="77777777" w:rsidTr="00AB2679">
        <w:trPr>
          <w:trHeight w:val="227"/>
          <w:jc w:val="center"/>
        </w:trPr>
        <w:tc>
          <w:tcPr>
            <w:tcW w:w="4290" w:type="dxa"/>
            <w:noWrap/>
            <w:vAlign w:val="center"/>
            <w:hideMark/>
          </w:tcPr>
          <w:p w14:paraId="51137A8D" w14:textId="77777777" w:rsidR="00D60206" w:rsidRPr="00B370ED" w:rsidRDefault="00D60206" w:rsidP="00FD7136">
            <w:pPr>
              <w:spacing w:line="240" w:lineRule="auto"/>
              <w:ind w:left="308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Otherwise</w:t>
            </w:r>
          </w:p>
        </w:tc>
        <w:tc>
          <w:tcPr>
            <w:tcW w:w="516" w:type="dxa"/>
            <w:noWrap/>
            <w:vAlign w:val="center"/>
          </w:tcPr>
          <w:p w14:paraId="73514604" w14:textId="77777777" w:rsidR="00D60206" w:rsidRPr="00B370ED" w:rsidRDefault="0019656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53</w:t>
            </w:r>
          </w:p>
        </w:tc>
        <w:tc>
          <w:tcPr>
            <w:tcW w:w="2376" w:type="dxa"/>
            <w:noWrap/>
            <w:vAlign w:val="center"/>
          </w:tcPr>
          <w:p w14:paraId="0FF7FCA5" w14:textId="77777777" w:rsidR="00D60206" w:rsidRPr="00B370ED" w:rsidRDefault="00196566" w:rsidP="00203D84">
            <w:pPr>
              <w:tabs>
                <w:tab w:val="decimal" w:pos="990"/>
              </w:tabs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 w:rsidRPr="00B370ED">
              <w:rPr>
                <w:rFonts w:ascii="Times New Roman" w:hAnsi="Times New Roman" w:cs="Times New Roman"/>
                <w:sz w:val="22"/>
                <w:lang w:val="en-GB"/>
              </w:rPr>
              <w:t>75.08</w:t>
            </w:r>
          </w:p>
        </w:tc>
        <w:tc>
          <w:tcPr>
            <w:tcW w:w="1756" w:type="dxa"/>
            <w:vMerge/>
            <w:noWrap/>
            <w:vAlign w:val="center"/>
          </w:tcPr>
          <w:p w14:paraId="37A3FCB7" w14:textId="77777777" w:rsidR="00D60206" w:rsidRPr="00B370ED" w:rsidRDefault="00D60206" w:rsidP="00FD713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</w:tr>
    </w:tbl>
    <w:p w14:paraId="36A69413" w14:textId="77777777" w:rsidR="002B0577" w:rsidRPr="004D084E" w:rsidRDefault="002B0577" w:rsidP="00156DD9">
      <w:pPr>
        <w:spacing w:before="120"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4D7DEBDE" w14:textId="77777777" w:rsidR="004579F3" w:rsidRDefault="004579F3" w:rsidP="00A05E10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</w:p>
    <w:p w14:paraId="6EA1F0F2" w14:textId="21D10B21" w:rsidR="004347D8" w:rsidRDefault="00D02A31" w:rsidP="00A05E10">
      <w:pPr>
        <w:spacing w:line="300" w:lineRule="auto"/>
        <w:ind w:firstLine="720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Our</w:t>
      </w:r>
      <w:r w:rsidR="001E260D" w:rsidRPr="004D084E">
        <w:rPr>
          <w:rFonts w:ascii="Times New Roman" w:hAnsi="Times New Roman" w:cs="Times New Roman"/>
          <w:szCs w:val="24"/>
          <w:lang w:val="en-GB"/>
        </w:rPr>
        <w:t xml:space="preserve"> final</w:t>
      </w:r>
      <w:r w:rsidR="00F67288" w:rsidRPr="004D084E">
        <w:rPr>
          <w:rFonts w:ascii="Times New Roman" w:hAnsi="Times New Roman" w:cs="Times New Roman"/>
          <w:szCs w:val="24"/>
          <w:lang w:val="en-GB"/>
        </w:rPr>
        <w:t xml:space="preserve"> specification </w:t>
      </w:r>
      <w:r w:rsidR="001E260D" w:rsidRPr="004D084E">
        <w:rPr>
          <w:rFonts w:ascii="Times New Roman" w:hAnsi="Times New Roman" w:cs="Times New Roman"/>
          <w:szCs w:val="24"/>
          <w:lang w:val="en-GB"/>
        </w:rPr>
        <w:t>examin</w:t>
      </w:r>
      <w:r w:rsidRPr="004D084E">
        <w:rPr>
          <w:rFonts w:ascii="Times New Roman" w:hAnsi="Times New Roman" w:cs="Times New Roman"/>
          <w:szCs w:val="24"/>
          <w:lang w:val="en-GB"/>
        </w:rPr>
        <w:t>e</w:t>
      </w:r>
      <w:r w:rsidR="0029543F" w:rsidRPr="004D084E">
        <w:rPr>
          <w:rFonts w:ascii="Times New Roman" w:hAnsi="Times New Roman" w:cs="Times New Roman"/>
          <w:szCs w:val="24"/>
          <w:lang w:val="en-GB"/>
        </w:rPr>
        <w:t>s</w:t>
      </w:r>
      <w:r w:rsidR="001E260D" w:rsidRPr="004D084E">
        <w:rPr>
          <w:rFonts w:ascii="Times New Roman" w:hAnsi="Times New Roman" w:cs="Times New Roman"/>
          <w:szCs w:val="24"/>
          <w:lang w:val="en-GB"/>
        </w:rPr>
        <w:t xml:space="preserve"> the effects of</w:t>
      </w:r>
      <w:r w:rsidR="00F67288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40850" w:rsidRPr="004D084E">
        <w:rPr>
          <w:rFonts w:ascii="Times New Roman" w:hAnsi="Times New Roman" w:cs="Times New Roman"/>
          <w:szCs w:val="24"/>
          <w:lang w:val="en-GB"/>
        </w:rPr>
        <w:t>th</w:t>
      </w:r>
      <w:r w:rsidR="00274060" w:rsidRPr="004D084E">
        <w:rPr>
          <w:rFonts w:ascii="Times New Roman" w:hAnsi="Times New Roman" w:cs="Times New Roman"/>
          <w:szCs w:val="24"/>
          <w:lang w:val="en-GB"/>
        </w:rPr>
        <w:t>es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four </w:t>
      </w:r>
      <w:r w:rsidR="006C15E6" w:rsidRPr="004D084E">
        <w:rPr>
          <w:rFonts w:ascii="Times New Roman" w:hAnsi="Times New Roman" w:cs="Times New Roman"/>
          <w:szCs w:val="24"/>
          <w:lang w:val="en-GB"/>
        </w:rPr>
        <w:t>potential determinants</w:t>
      </w:r>
      <w:r w:rsidR="00274060" w:rsidRPr="004D084E">
        <w:rPr>
          <w:rFonts w:ascii="Times New Roman" w:hAnsi="Times New Roman" w:cs="Times New Roman"/>
          <w:szCs w:val="24"/>
          <w:lang w:val="en-GB"/>
        </w:rPr>
        <w:t xml:space="preserve">. Since the correlation coefficient between age and duration-of-stay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was </w:t>
      </w:r>
      <w:r w:rsidR="00274060" w:rsidRPr="004D084E">
        <w:rPr>
          <w:rFonts w:ascii="Times New Roman" w:hAnsi="Times New Roman" w:cs="Times New Roman"/>
          <w:szCs w:val="24"/>
          <w:lang w:val="en-GB"/>
        </w:rPr>
        <w:t xml:space="preserve">0.66, we exclude duration-of-stay from the final specification to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reduce </w:t>
      </w:r>
      <w:r w:rsidR="00274060" w:rsidRPr="004D084E">
        <w:rPr>
          <w:rFonts w:ascii="Times New Roman" w:hAnsi="Times New Roman" w:cs="Times New Roman"/>
          <w:szCs w:val="24"/>
          <w:lang w:val="en-GB"/>
        </w:rPr>
        <w:t xml:space="preserve">the possibility of </w:t>
      </w:r>
      <w:r w:rsidRPr="004D084E">
        <w:rPr>
          <w:rFonts w:ascii="Times New Roman" w:hAnsi="Times New Roman" w:cs="Times New Roman"/>
          <w:szCs w:val="24"/>
          <w:lang w:val="en-GB"/>
        </w:rPr>
        <w:t>multi</w:t>
      </w:r>
      <w:r w:rsidR="00A94187">
        <w:rPr>
          <w:rFonts w:ascii="Times New Roman" w:hAnsi="Times New Roman" w:cs="Times New Roman"/>
          <w:szCs w:val="24"/>
          <w:lang w:val="en-GB"/>
        </w:rPr>
        <w:t>-</w:t>
      </w:r>
      <w:r w:rsidR="00274060" w:rsidRPr="004D084E">
        <w:rPr>
          <w:rFonts w:ascii="Times New Roman" w:hAnsi="Times New Roman" w:cs="Times New Roman"/>
          <w:szCs w:val="24"/>
          <w:lang w:val="en-GB"/>
        </w:rPr>
        <w:t>collinearity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issues</w:t>
      </w:r>
      <w:r w:rsidR="00274060" w:rsidRPr="004D084E">
        <w:rPr>
          <w:rFonts w:ascii="Times New Roman" w:hAnsi="Times New Roman" w:cs="Times New Roman"/>
          <w:szCs w:val="24"/>
          <w:lang w:val="en-GB"/>
        </w:rPr>
        <w:t>.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935B5D">
        <w:rPr>
          <w:rFonts w:ascii="Times New Roman" w:hAnsi="Times New Roman" w:cs="Times New Roman"/>
          <w:szCs w:val="24"/>
          <w:lang w:val="en-GB"/>
        </w:rPr>
        <w:t xml:space="preserve"> </w:t>
      </w:r>
      <w:r w:rsidR="00F606F0" w:rsidRPr="004D084E">
        <w:rPr>
          <w:lang w:val="en-GB"/>
        </w:rPr>
        <w:t>Although the estimates are based on a small sample</w:t>
      </w:r>
      <w:r w:rsidR="00F606F0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Table </w:t>
      </w:r>
      <w:r w:rsidR="002F19ED" w:rsidRPr="004D084E">
        <w:rPr>
          <w:rFonts w:ascii="Times New Roman" w:hAnsi="Times New Roman" w:cs="Times New Roman"/>
          <w:szCs w:val="24"/>
          <w:lang w:val="en-GB"/>
        </w:rPr>
        <w:t>4</w:t>
      </w:r>
      <w:r w:rsidR="00F606F0" w:rsidRPr="004D084E">
        <w:rPr>
          <w:rFonts w:ascii="Times New Roman" w:hAnsi="Times New Roman" w:cs="Times New Roman"/>
          <w:szCs w:val="24"/>
          <w:lang w:val="en-GB"/>
        </w:rPr>
        <w:t xml:space="preserve"> shows that 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age and the importance of institutional quality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each 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have significantly positive </w:t>
      </w:r>
      <w:r w:rsidR="001E722C" w:rsidRPr="004D084E">
        <w:rPr>
          <w:rFonts w:ascii="Times New Roman" w:hAnsi="Times New Roman" w:cs="Times New Roman"/>
          <w:szCs w:val="24"/>
          <w:lang w:val="en-GB"/>
        </w:rPr>
        <w:t>influence on</w:t>
      </w:r>
      <w:r w:rsidR="00D4085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D090F" w:rsidRPr="004D084E">
        <w:rPr>
          <w:rFonts w:ascii="Times New Roman" w:hAnsi="Times New Roman" w:cs="Times New Roman"/>
          <w:szCs w:val="24"/>
          <w:lang w:val="en-GB"/>
        </w:rPr>
        <w:t>M</w:t>
      </w:r>
      <w:r w:rsidR="00D40850" w:rsidRPr="004D084E">
        <w:rPr>
          <w:rFonts w:ascii="Times New Roman" w:hAnsi="Times New Roman" w:cs="Times New Roman"/>
          <w:szCs w:val="24"/>
          <w:lang w:val="en-GB"/>
        </w:rPr>
        <w:t>WTP</w:t>
      </w:r>
      <w:r w:rsidR="002A07EF" w:rsidRPr="004D084E">
        <w:rPr>
          <w:rFonts w:ascii="Times New Roman" w:hAnsi="Times New Roman" w:cs="Times New Roman"/>
          <w:szCs w:val="24"/>
          <w:lang w:val="en-GB"/>
        </w:rPr>
        <w:t xml:space="preserve"> at the ten percent level</w:t>
      </w:r>
      <w:r w:rsidRPr="004D084E">
        <w:rPr>
          <w:rFonts w:ascii="Times New Roman" w:hAnsi="Times New Roman" w:cs="Times New Roman"/>
          <w:szCs w:val="24"/>
          <w:lang w:val="en-GB"/>
        </w:rPr>
        <w:t>, after also controlling for legal status in N</w:t>
      </w:r>
      <w:r w:rsidR="004579F3">
        <w:rPr>
          <w:rFonts w:ascii="Times New Roman" w:hAnsi="Times New Roman" w:cs="Times New Roman"/>
          <w:szCs w:val="24"/>
          <w:lang w:val="en-GB"/>
        </w:rPr>
        <w:t>ew Zealand</w:t>
      </w:r>
      <w:r w:rsidR="00D40850" w:rsidRPr="004D084E">
        <w:rPr>
          <w:rFonts w:ascii="Times New Roman" w:hAnsi="Times New Roman" w:cs="Times New Roman"/>
          <w:szCs w:val="24"/>
          <w:lang w:val="en-GB"/>
        </w:rPr>
        <w:t>.</w:t>
      </w:r>
      <w:r w:rsidR="001E260D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14E83" w:rsidRPr="004D084E">
        <w:rPr>
          <w:rFonts w:ascii="Times New Roman" w:hAnsi="Times New Roman" w:cs="Times New Roman"/>
          <w:szCs w:val="24"/>
          <w:lang w:val="en-GB"/>
        </w:rPr>
        <w:t>The effect of age indicates that o</w:t>
      </w:r>
      <w:r w:rsidR="006C15E6" w:rsidRPr="004D084E">
        <w:rPr>
          <w:rFonts w:ascii="Times New Roman" w:hAnsi="Times New Roman" w:cs="Times New Roman"/>
          <w:szCs w:val="24"/>
          <w:lang w:val="en-GB"/>
        </w:rPr>
        <w:t xml:space="preserve">lder respondents were more likely to have a higher </w:t>
      </w:r>
      <w:r w:rsidR="006D090F" w:rsidRPr="004D084E">
        <w:rPr>
          <w:rFonts w:ascii="Times New Roman" w:hAnsi="Times New Roman" w:cs="Times New Roman"/>
          <w:szCs w:val="24"/>
          <w:lang w:val="en-GB"/>
        </w:rPr>
        <w:t>M</w:t>
      </w:r>
      <w:r w:rsidR="006C15E6" w:rsidRPr="004D084E">
        <w:rPr>
          <w:rFonts w:ascii="Times New Roman" w:hAnsi="Times New Roman" w:cs="Times New Roman"/>
          <w:szCs w:val="24"/>
          <w:lang w:val="en-GB"/>
        </w:rPr>
        <w:t>WTP. This finding is plausible since</w:t>
      </w:r>
      <w:r w:rsidR="00330966" w:rsidRPr="004D084E">
        <w:rPr>
          <w:rFonts w:ascii="Times New Roman" w:hAnsi="Times New Roman" w:cs="Times New Roman"/>
          <w:szCs w:val="24"/>
          <w:lang w:val="en-GB"/>
        </w:rPr>
        <w:t xml:space="preserve"> there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is </w:t>
      </w:r>
      <w:r w:rsidR="00330966" w:rsidRPr="004D084E">
        <w:rPr>
          <w:rFonts w:ascii="Times New Roman" w:hAnsi="Times New Roman" w:cs="Times New Roman"/>
          <w:szCs w:val="24"/>
          <w:lang w:val="en-GB"/>
        </w:rPr>
        <w:t>evidence that</w:t>
      </w:r>
      <w:r w:rsidR="006C15E6" w:rsidRPr="004D084E">
        <w:rPr>
          <w:rFonts w:ascii="Times New Roman" w:hAnsi="Times New Roman" w:cs="Times New Roman"/>
          <w:szCs w:val="24"/>
          <w:lang w:val="en-GB"/>
        </w:rPr>
        <w:t xml:space="preserve"> older migrants </w:t>
      </w:r>
      <w:r w:rsidR="00330966" w:rsidRPr="004D084E">
        <w:rPr>
          <w:rFonts w:ascii="Times New Roman" w:hAnsi="Times New Roman" w:cs="Times New Roman"/>
          <w:szCs w:val="24"/>
          <w:lang w:val="en-GB"/>
        </w:rPr>
        <w:t>may</w:t>
      </w:r>
      <w:r w:rsidR="006C15E6" w:rsidRPr="004D084E">
        <w:rPr>
          <w:rFonts w:ascii="Times New Roman" w:hAnsi="Times New Roman" w:cs="Times New Roman"/>
          <w:szCs w:val="24"/>
          <w:lang w:val="en-GB"/>
        </w:rPr>
        <w:t xml:space="preserve"> be more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likely </w:t>
      </w:r>
      <w:r w:rsidR="006C15E6" w:rsidRPr="004D084E">
        <w:rPr>
          <w:rFonts w:ascii="Times New Roman" w:hAnsi="Times New Roman" w:cs="Times New Roman"/>
          <w:szCs w:val="24"/>
          <w:lang w:val="en-GB"/>
        </w:rPr>
        <w:t xml:space="preserve">to 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want to </w:t>
      </w:r>
      <w:r w:rsidR="006C15E6" w:rsidRPr="004D084E">
        <w:rPr>
          <w:rFonts w:ascii="Times New Roman" w:hAnsi="Times New Roman" w:cs="Times New Roman"/>
          <w:szCs w:val="24"/>
          <w:lang w:val="en-GB"/>
        </w:rPr>
        <w:t>repatriat</w:t>
      </w:r>
      <w:r w:rsidRPr="004D084E">
        <w:rPr>
          <w:rFonts w:ascii="Times New Roman" w:hAnsi="Times New Roman" w:cs="Times New Roman"/>
          <w:szCs w:val="24"/>
          <w:lang w:val="en-GB"/>
        </w:rPr>
        <w:t>e</w:t>
      </w:r>
      <w:r w:rsidR="006C15E6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62777D" w:rsidRPr="004D084E">
        <w:rPr>
          <w:rFonts w:ascii="Times New Roman" w:hAnsi="Times New Roman" w:cs="Times New Roman"/>
          <w:szCs w:val="24"/>
          <w:lang w:val="en-GB"/>
        </w:rPr>
        <w:t>(Waldorf 1995</w:t>
      </w:r>
      <w:r w:rsidR="004579F3">
        <w:rPr>
          <w:rFonts w:ascii="Times New Roman" w:hAnsi="Times New Roman" w:cs="Times New Roman"/>
          <w:szCs w:val="24"/>
          <w:lang w:val="en-GB"/>
        </w:rPr>
        <w:t>,</w:t>
      </w:r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Carling and Pettersen 2014</w:t>
      </w:r>
      <w:r w:rsidR="004579F3">
        <w:rPr>
          <w:rFonts w:ascii="Times New Roman" w:hAnsi="Times New Roman" w:cs="Times New Roman"/>
          <w:szCs w:val="24"/>
          <w:lang w:val="en-GB"/>
        </w:rPr>
        <w:t>,</w:t>
      </w:r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62777D" w:rsidRPr="004D084E">
        <w:rPr>
          <w:rFonts w:ascii="Times New Roman" w:hAnsi="Times New Roman" w:cs="Times New Roman"/>
          <w:szCs w:val="24"/>
          <w:lang w:val="en-GB"/>
        </w:rPr>
        <w:t>Bilgili</w:t>
      </w:r>
      <w:proofErr w:type="spellEnd"/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and Siegel 2017</w:t>
      </w:r>
      <w:r w:rsidR="004579F3">
        <w:rPr>
          <w:rFonts w:ascii="Times New Roman" w:hAnsi="Times New Roman" w:cs="Times New Roman"/>
          <w:szCs w:val="24"/>
          <w:lang w:val="en-GB"/>
        </w:rPr>
        <w:t>,</w:t>
      </w:r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62777D" w:rsidRPr="004D084E">
        <w:rPr>
          <w:rFonts w:ascii="Times New Roman" w:hAnsi="Times New Roman" w:cs="Times New Roman"/>
          <w:szCs w:val="24"/>
          <w:lang w:val="en-GB"/>
        </w:rPr>
        <w:t>Paparusso</w:t>
      </w:r>
      <w:proofErr w:type="spellEnd"/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and </w:t>
      </w:r>
      <w:proofErr w:type="spellStart"/>
      <w:r w:rsidR="0062777D" w:rsidRPr="004D084E">
        <w:rPr>
          <w:rFonts w:ascii="Times New Roman" w:hAnsi="Times New Roman" w:cs="Times New Roman"/>
          <w:szCs w:val="24"/>
          <w:lang w:val="en-GB"/>
        </w:rPr>
        <w:t>Ambrosetti</w:t>
      </w:r>
      <w:proofErr w:type="spellEnd"/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2017</w:t>
      </w:r>
      <w:r w:rsidR="004B46CC">
        <w:rPr>
          <w:rFonts w:ascii="Times New Roman" w:hAnsi="Times New Roman" w:cs="Times New Roman"/>
          <w:szCs w:val="24"/>
          <w:lang w:val="en-GB"/>
        </w:rPr>
        <w:t xml:space="preserve"> and</w:t>
      </w:r>
      <w:r w:rsidR="0062777D" w:rsidRPr="004D084E">
        <w:rPr>
          <w:rFonts w:ascii="Times New Roman" w:hAnsi="Times New Roman" w:cs="Times New Roman"/>
          <w:szCs w:val="24"/>
          <w:lang w:val="en-GB"/>
        </w:rPr>
        <w:t xml:space="preserve"> Tran </w:t>
      </w:r>
      <w:r w:rsidR="0062777D" w:rsidRPr="0099313F">
        <w:rPr>
          <w:rFonts w:ascii="Times New Roman" w:hAnsi="Times New Roman" w:cs="Times New Roman"/>
          <w:i/>
          <w:szCs w:val="24"/>
          <w:lang w:val="en-GB"/>
        </w:rPr>
        <w:lastRenderedPageBreak/>
        <w:t>et al.</w:t>
      </w:r>
      <w:r w:rsidR="0099313F">
        <w:rPr>
          <w:rFonts w:ascii="Times New Roman" w:hAnsi="Times New Roman" w:cs="Times New Roman"/>
          <w:i/>
          <w:szCs w:val="24"/>
          <w:lang w:val="en-GB"/>
        </w:rPr>
        <w:t xml:space="preserve"> </w:t>
      </w:r>
      <w:r w:rsidR="0062777D" w:rsidRPr="004D084E">
        <w:rPr>
          <w:rFonts w:ascii="Times New Roman" w:hAnsi="Times New Roman" w:cs="Times New Roman"/>
          <w:szCs w:val="24"/>
          <w:lang w:val="en-GB"/>
        </w:rPr>
        <w:t>201</w:t>
      </w:r>
      <w:r w:rsidR="00EA38FD" w:rsidRPr="004D084E">
        <w:rPr>
          <w:rFonts w:ascii="Times New Roman" w:hAnsi="Times New Roman" w:cs="Times New Roman"/>
          <w:szCs w:val="24"/>
          <w:lang w:val="en-GB"/>
        </w:rPr>
        <w:t>8b</w:t>
      </w:r>
      <w:r w:rsidR="0062777D" w:rsidRPr="004D084E">
        <w:rPr>
          <w:rFonts w:ascii="Times New Roman" w:hAnsi="Times New Roman" w:cs="Times New Roman"/>
          <w:szCs w:val="24"/>
          <w:lang w:val="en-GB"/>
        </w:rPr>
        <w:t>)</w:t>
      </w:r>
      <w:r w:rsidR="00330966" w:rsidRPr="004D084E">
        <w:rPr>
          <w:rFonts w:ascii="Times New Roman" w:hAnsi="Times New Roman" w:cs="Times New Roman"/>
          <w:szCs w:val="24"/>
          <w:lang w:val="en-GB"/>
        </w:rPr>
        <w:t xml:space="preserve">. </w:t>
      </w:r>
      <w:r w:rsidR="004B46CC">
        <w:rPr>
          <w:rFonts w:ascii="Times New Roman" w:hAnsi="Times New Roman" w:cs="Times New Roman"/>
          <w:szCs w:val="24"/>
          <w:lang w:val="en-GB"/>
        </w:rPr>
        <w:t xml:space="preserve"> </w:t>
      </w:r>
      <w:r w:rsidR="00614E83" w:rsidRPr="004D084E">
        <w:rPr>
          <w:rFonts w:ascii="Times New Roman" w:hAnsi="Times New Roman" w:cs="Times New Roman"/>
          <w:szCs w:val="24"/>
          <w:lang w:val="en-GB"/>
        </w:rPr>
        <w:t xml:space="preserve">The </w:t>
      </w:r>
      <w:r w:rsidR="00D9450F" w:rsidRPr="004D084E">
        <w:rPr>
          <w:rFonts w:ascii="Times New Roman" w:hAnsi="Times New Roman" w:cs="Times New Roman"/>
          <w:szCs w:val="24"/>
          <w:lang w:val="en-GB"/>
        </w:rPr>
        <w:t>effect</w:t>
      </w:r>
      <w:r w:rsidR="00614E83" w:rsidRPr="004D084E">
        <w:rPr>
          <w:rFonts w:ascii="Times New Roman" w:hAnsi="Times New Roman" w:cs="Times New Roman"/>
          <w:szCs w:val="24"/>
          <w:lang w:val="en-GB"/>
        </w:rPr>
        <w:t xml:space="preserve"> of the importance of institutional quality</w:t>
      </w:r>
      <w:r w:rsidR="00CA5CE6" w:rsidRPr="004D084E">
        <w:rPr>
          <w:rFonts w:ascii="Times New Roman" w:hAnsi="Times New Roman" w:cs="Times New Roman"/>
          <w:szCs w:val="24"/>
          <w:lang w:val="en-GB"/>
        </w:rPr>
        <w:t xml:space="preserve"> reveals that t</w:t>
      </w:r>
      <w:r w:rsidR="00183606" w:rsidRPr="004D084E">
        <w:rPr>
          <w:rFonts w:ascii="Times New Roman" w:hAnsi="Times New Roman" w:cs="Times New Roman"/>
          <w:szCs w:val="24"/>
          <w:lang w:val="en-GB"/>
        </w:rPr>
        <w:t>hose respondents</w:t>
      </w:r>
      <w:r w:rsidR="00DA3348" w:rsidRPr="004D084E">
        <w:rPr>
          <w:rFonts w:ascii="Times New Roman" w:hAnsi="Times New Roman" w:cs="Times New Roman"/>
          <w:szCs w:val="24"/>
          <w:lang w:val="en-GB"/>
        </w:rPr>
        <w:t xml:space="preserve"> who placed more importance on institutional quality in </w:t>
      </w:r>
      <w:r w:rsidR="00183606" w:rsidRPr="004D084E">
        <w:rPr>
          <w:rFonts w:ascii="Times New Roman" w:hAnsi="Times New Roman" w:cs="Times New Roman"/>
          <w:szCs w:val="24"/>
          <w:lang w:val="en-GB"/>
        </w:rPr>
        <w:t>V</w:t>
      </w:r>
      <w:r w:rsidR="00205253">
        <w:rPr>
          <w:rFonts w:ascii="Times New Roman" w:hAnsi="Times New Roman" w:cs="Times New Roman"/>
          <w:szCs w:val="24"/>
          <w:lang w:val="en-GB"/>
        </w:rPr>
        <w:t>iet Nam</w:t>
      </w:r>
      <w:r w:rsidR="00DA3348" w:rsidRPr="004D084E">
        <w:rPr>
          <w:rFonts w:ascii="Times New Roman" w:hAnsi="Times New Roman" w:cs="Times New Roman"/>
          <w:szCs w:val="24"/>
          <w:lang w:val="en-GB"/>
        </w:rPr>
        <w:t xml:space="preserve"> when considering repatriation were more likely to have a higher </w:t>
      </w:r>
      <w:r w:rsidR="006D090F" w:rsidRPr="004D084E">
        <w:rPr>
          <w:rFonts w:ascii="Times New Roman" w:hAnsi="Times New Roman" w:cs="Times New Roman"/>
          <w:szCs w:val="24"/>
          <w:lang w:val="en-GB"/>
        </w:rPr>
        <w:t>M</w:t>
      </w:r>
      <w:r w:rsidR="00183606" w:rsidRPr="004D084E">
        <w:rPr>
          <w:rFonts w:ascii="Times New Roman" w:hAnsi="Times New Roman" w:cs="Times New Roman"/>
          <w:szCs w:val="24"/>
          <w:lang w:val="en-GB"/>
        </w:rPr>
        <w:t>WTP</w:t>
      </w:r>
      <w:r w:rsidR="00DA3348" w:rsidRPr="004D084E">
        <w:rPr>
          <w:rFonts w:ascii="Times New Roman" w:hAnsi="Times New Roman" w:cs="Times New Roman"/>
          <w:szCs w:val="24"/>
          <w:lang w:val="en-GB"/>
        </w:rPr>
        <w:t>.</w:t>
      </w:r>
    </w:p>
    <w:p w14:paraId="5DE3E72D" w14:textId="77777777" w:rsidR="001775FE" w:rsidRDefault="001775FE" w:rsidP="0028758A">
      <w:pPr>
        <w:jc w:val="center"/>
        <w:rPr>
          <w:rFonts w:ascii="Times New Roman" w:hAnsi="Times New Roman" w:cs="Times New Roman"/>
          <w:b/>
          <w:sz w:val="22"/>
          <w:lang w:val="en-GB"/>
        </w:rPr>
      </w:pPr>
    </w:p>
    <w:p w14:paraId="55A55A7D" w14:textId="493A5238" w:rsidR="0047092A" w:rsidRPr="001775FE" w:rsidRDefault="00EC4E6C" w:rsidP="0028758A">
      <w:pPr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1775FE">
        <w:rPr>
          <w:rFonts w:ascii="Times New Roman" w:hAnsi="Times New Roman" w:cs="Times New Roman"/>
          <w:b/>
          <w:sz w:val="22"/>
          <w:lang w:val="en-GB"/>
        </w:rPr>
        <w:t xml:space="preserve">Table </w:t>
      </w:r>
      <w:r w:rsidR="002F19ED" w:rsidRPr="001775FE">
        <w:rPr>
          <w:rFonts w:ascii="Times New Roman" w:hAnsi="Times New Roman" w:cs="Times New Roman"/>
          <w:b/>
          <w:sz w:val="22"/>
          <w:lang w:val="en-GB"/>
        </w:rPr>
        <w:t>4</w:t>
      </w:r>
      <w:r w:rsidR="00DE46A9" w:rsidRPr="001775FE">
        <w:rPr>
          <w:rFonts w:ascii="Times New Roman" w:hAnsi="Times New Roman" w:cs="Times New Roman"/>
          <w:b/>
          <w:sz w:val="22"/>
          <w:lang w:val="en-GB"/>
        </w:rPr>
        <w:t>:</w:t>
      </w:r>
      <w:r w:rsidR="00083E90" w:rsidRPr="001775FE">
        <w:rPr>
          <w:rFonts w:ascii="Times New Roman" w:hAnsi="Times New Roman" w:cs="Times New Roman"/>
          <w:b/>
          <w:sz w:val="22"/>
          <w:lang w:val="en-GB"/>
        </w:rPr>
        <w:t xml:space="preserve"> OLS </w:t>
      </w:r>
      <w:r w:rsidR="00604A9E">
        <w:rPr>
          <w:rFonts w:ascii="Times New Roman" w:hAnsi="Times New Roman" w:cs="Times New Roman"/>
          <w:b/>
          <w:sz w:val="22"/>
          <w:lang w:val="en-GB"/>
        </w:rPr>
        <w:t>R</w:t>
      </w:r>
      <w:r w:rsidR="00083E90" w:rsidRPr="001775FE">
        <w:rPr>
          <w:rFonts w:ascii="Times New Roman" w:hAnsi="Times New Roman" w:cs="Times New Roman"/>
          <w:b/>
          <w:sz w:val="22"/>
          <w:lang w:val="en-GB"/>
        </w:rPr>
        <w:t xml:space="preserve">egressions of </w:t>
      </w:r>
      <w:r w:rsidR="006D090F" w:rsidRPr="001775FE">
        <w:rPr>
          <w:rFonts w:ascii="Times New Roman" w:hAnsi="Times New Roman" w:cs="Times New Roman"/>
          <w:b/>
          <w:sz w:val="22"/>
          <w:lang w:val="en-GB"/>
        </w:rPr>
        <w:t>M</w:t>
      </w:r>
      <w:r w:rsidR="00083E90" w:rsidRPr="001775FE">
        <w:rPr>
          <w:rFonts w:ascii="Times New Roman" w:hAnsi="Times New Roman" w:cs="Times New Roman"/>
          <w:b/>
          <w:sz w:val="22"/>
          <w:lang w:val="en-GB"/>
        </w:rPr>
        <w:t>WTP</w:t>
      </w:r>
    </w:p>
    <w:tbl>
      <w:tblPr>
        <w:tblW w:w="2905" w:type="pct"/>
        <w:jc w:val="center"/>
        <w:tblLayout w:type="fixed"/>
        <w:tblLook w:val="04A0" w:firstRow="1" w:lastRow="0" w:firstColumn="1" w:lastColumn="0" w:noHBand="0" w:noVBand="1"/>
      </w:tblPr>
      <w:tblGrid>
        <w:gridCol w:w="4118"/>
        <w:gridCol w:w="1035"/>
        <w:gridCol w:w="91"/>
      </w:tblGrid>
      <w:tr w:rsidR="0047092A" w:rsidRPr="001775FE" w14:paraId="682D34BA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D60E0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Age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A47B2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5.033*</w:t>
            </w:r>
          </w:p>
        </w:tc>
      </w:tr>
      <w:tr w:rsidR="0047092A" w:rsidRPr="001775FE" w14:paraId="0D974D43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C533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F226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(2.657)</w:t>
            </w:r>
          </w:p>
        </w:tc>
      </w:tr>
      <w:tr w:rsidR="0047092A" w:rsidRPr="001775FE" w14:paraId="3116CEAF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B253" w14:textId="0B939807" w:rsidR="0047092A" w:rsidRPr="001775FE" w:rsidRDefault="0047092A" w:rsidP="00880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 xml:space="preserve">Legal status in </w:t>
            </w:r>
            <w:r w:rsidR="00880971"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N</w:t>
            </w:r>
            <w:r w:rsidR="004579F3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ew Zealand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D4DC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91.538</w:t>
            </w:r>
          </w:p>
        </w:tc>
      </w:tr>
      <w:tr w:rsidR="0047092A" w:rsidRPr="001775FE" w14:paraId="1DE5A377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D33C" w14:textId="77777777" w:rsidR="0047092A" w:rsidRPr="001775FE" w:rsidRDefault="0047092A" w:rsidP="00A04A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7F76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(58.771)</w:t>
            </w:r>
          </w:p>
        </w:tc>
      </w:tr>
      <w:tr w:rsidR="0047092A" w:rsidRPr="001775FE" w14:paraId="713387D4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DEA8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The importance of institutional quality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7F04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10.478*</w:t>
            </w:r>
          </w:p>
        </w:tc>
      </w:tr>
      <w:tr w:rsidR="0047092A" w:rsidRPr="001775FE" w14:paraId="40E52BCD" w14:textId="77777777" w:rsidTr="00BC19D7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C5E0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7F0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(5.985)</w:t>
            </w:r>
          </w:p>
        </w:tc>
      </w:tr>
      <w:tr w:rsidR="0047092A" w:rsidRPr="001775FE" w14:paraId="38EC9F21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3A9B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R-squared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0BB3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0.118</w:t>
            </w:r>
          </w:p>
        </w:tc>
      </w:tr>
      <w:tr w:rsidR="0047092A" w:rsidRPr="001775FE" w14:paraId="385EC477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8B4E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Prob &gt; F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12C5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0.022</w:t>
            </w:r>
          </w:p>
        </w:tc>
      </w:tr>
      <w:tr w:rsidR="0047092A" w:rsidRPr="001775FE" w14:paraId="7D2296AA" w14:textId="77777777" w:rsidTr="004579F3">
        <w:trPr>
          <w:trHeight w:val="227"/>
          <w:jc w:val="center"/>
        </w:trPr>
        <w:tc>
          <w:tcPr>
            <w:tcW w:w="39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3EC36" w14:textId="77777777" w:rsidR="0047092A" w:rsidRPr="001775FE" w:rsidRDefault="0047092A" w:rsidP="003F2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eastAsia="Times New Roman" w:hAnsi="Times New Roman" w:cs="Times New Roman"/>
                <w:color w:val="000000"/>
                <w:sz w:val="22"/>
                <w:lang w:val="en-GB"/>
              </w:rPr>
              <w:t>RMSE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AB6E" w14:textId="77777777" w:rsidR="0047092A" w:rsidRPr="001775FE" w:rsidRDefault="0047092A" w:rsidP="004579F3">
            <w:pPr>
              <w:tabs>
                <w:tab w:val="decimal" w:pos="41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1775FE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207.056</w:t>
            </w:r>
          </w:p>
        </w:tc>
      </w:tr>
      <w:tr w:rsidR="0047092A" w:rsidRPr="001775FE" w14:paraId="6066715B" w14:textId="77777777" w:rsidTr="004579F3">
        <w:trPr>
          <w:gridAfter w:val="1"/>
          <w:wAfter w:w="87" w:type="pct"/>
          <w:trHeight w:val="227"/>
          <w:jc w:val="center"/>
        </w:trPr>
        <w:tc>
          <w:tcPr>
            <w:tcW w:w="491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C0CE34" w14:textId="77777777" w:rsidR="00604A9E" w:rsidRDefault="0047092A" w:rsidP="00282C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604A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Notes</w:t>
            </w:r>
          </w:p>
          <w:p w14:paraId="32FAF3C4" w14:textId="1AB782B7" w:rsidR="0047092A" w:rsidRPr="00604A9E" w:rsidRDefault="0047092A" w:rsidP="00935B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04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 = 64. Standard errors are reported in parentheses. * </w:t>
            </w:r>
            <w:r w:rsidRPr="00604A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p</w:t>
            </w:r>
            <w:r w:rsidRPr="00604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&lt;0.1</w:t>
            </w:r>
            <w:r w:rsidR="00282CF0" w:rsidRPr="00604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14:paraId="55179104" w14:textId="5A91370B" w:rsidR="0047092A" w:rsidRDefault="0047092A" w:rsidP="0028758A">
      <w:pPr>
        <w:rPr>
          <w:rFonts w:ascii="Times New Roman" w:hAnsi="Times New Roman" w:cs="Times New Roman"/>
          <w:szCs w:val="24"/>
          <w:lang w:val="en-GB"/>
        </w:rPr>
      </w:pPr>
    </w:p>
    <w:p w14:paraId="0FF98A59" w14:textId="77777777" w:rsidR="002F3C9C" w:rsidRPr="002F3C9C" w:rsidRDefault="002F3C9C" w:rsidP="0028758A">
      <w:pPr>
        <w:rPr>
          <w:rFonts w:ascii="Times New Roman" w:hAnsi="Times New Roman" w:cs="Times New Roman"/>
          <w:sz w:val="12"/>
          <w:szCs w:val="12"/>
          <w:lang w:val="en-GB"/>
        </w:rPr>
      </w:pPr>
    </w:p>
    <w:p w14:paraId="042321F2" w14:textId="6BA2CF1B" w:rsidR="00294A20" w:rsidRPr="004D084E" w:rsidRDefault="00161064" w:rsidP="00161064">
      <w:pPr>
        <w:pStyle w:val="Heading1"/>
        <w:keepNext w:val="0"/>
        <w:keepLines w:val="0"/>
        <w:spacing w:before="0" w:line="30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5. </w:t>
      </w:r>
      <w:r w:rsidR="00294A20"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Conclusions</w:t>
      </w:r>
    </w:p>
    <w:p w14:paraId="52D9EC12" w14:textId="77777777" w:rsidR="002B0577" w:rsidRPr="004D084E" w:rsidRDefault="002B0577" w:rsidP="00156DD9">
      <w:pPr>
        <w:tabs>
          <w:tab w:val="center" w:pos="4513"/>
        </w:tabs>
        <w:spacing w:line="30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0D42605C" w14:textId="4C638D54" w:rsidR="00274060" w:rsidRPr="004D084E" w:rsidRDefault="00C522FC" w:rsidP="0085693D">
      <w:pPr>
        <w:tabs>
          <w:tab w:val="center" w:pos="4513"/>
        </w:tabs>
        <w:spacing w:line="300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4D084E">
        <w:rPr>
          <w:rFonts w:ascii="Times New Roman" w:hAnsi="Times New Roman" w:cs="Times New Roman"/>
          <w:szCs w:val="24"/>
          <w:lang w:val="en-GB"/>
        </w:rPr>
        <w:t>This study conduct</w:t>
      </w:r>
      <w:r w:rsidR="0085693D" w:rsidRPr="004D084E">
        <w:rPr>
          <w:rFonts w:ascii="Times New Roman" w:hAnsi="Times New Roman" w:cs="Times New Roman"/>
          <w:szCs w:val="24"/>
          <w:lang w:val="en-GB"/>
        </w:rPr>
        <w:t>s</w:t>
      </w:r>
      <w:r w:rsidRPr="004D084E">
        <w:rPr>
          <w:rFonts w:ascii="Times New Roman" w:hAnsi="Times New Roman" w:cs="Times New Roman"/>
          <w:szCs w:val="24"/>
          <w:lang w:val="en-GB"/>
        </w:rPr>
        <w:t xml:space="preserve"> a pioneering exercise to measure</w:t>
      </w:r>
      <w:r w:rsidR="00BE0599" w:rsidRPr="004D084E">
        <w:rPr>
          <w:rFonts w:ascii="Times New Roman" w:hAnsi="Times New Roman" w:cs="Times New Roman"/>
          <w:szCs w:val="24"/>
          <w:lang w:val="en-GB"/>
        </w:rPr>
        <w:t xml:space="preserve"> the </w:t>
      </w:r>
      <w:r w:rsidR="00073C50" w:rsidRPr="004D084E">
        <w:rPr>
          <w:rFonts w:ascii="Times New Roman" w:hAnsi="Times New Roman" w:cs="Times New Roman"/>
          <w:szCs w:val="24"/>
          <w:lang w:val="en-GB"/>
        </w:rPr>
        <w:t xml:space="preserve">intensity of preference </w:t>
      </w:r>
      <w:r w:rsidR="00BE0599" w:rsidRPr="004D084E">
        <w:rPr>
          <w:rFonts w:ascii="Times New Roman" w:hAnsi="Times New Roman" w:cs="Times New Roman"/>
          <w:szCs w:val="24"/>
          <w:lang w:val="en-GB"/>
        </w:rPr>
        <w:t xml:space="preserve">of international migrants </w:t>
      </w:r>
      <w:r w:rsidR="00073C50" w:rsidRPr="004D084E">
        <w:rPr>
          <w:rFonts w:ascii="Times New Roman" w:hAnsi="Times New Roman" w:cs="Times New Roman"/>
          <w:szCs w:val="24"/>
          <w:lang w:val="en-GB"/>
        </w:rPr>
        <w:t>for home-country institutional quality</w:t>
      </w:r>
      <w:r w:rsidR="00C1514D" w:rsidRPr="004D084E">
        <w:rPr>
          <w:rFonts w:ascii="Times New Roman" w:hAnsi="Times New Roman" w:cs="Times New Roman"/>
          <w:szCs w:val="24"/>
          <w:lang w:val="en-GB"/>
        </w:rPr>
        <w:t xml:space="preserve"> by means of the </w:t>
      </w:r>
      <w:r w:rsidR="005C5B83" w:rsidRPr="004D084E">
        <w:rPr>
          <w:rFonts w:ascii="Times New Roman" w:hAnsi="Times New Roman" w:cs="Times New Roman"/>
          <w:szCs w:val="24"/>
          <w:lang w:val="en-GB"/>
        </w:rPr>
        <w:t>CVM</w:t>
      </w:r>
      <w:r w:rsidR="00073C50" w:rsidRPr="004D084E">
        <w:rPr>
          <w:rFonts w:ascii="Times New Roman" w:hAnsi="Times New Roman" w:cs="Times New Roman"/>
          <w:szCs w:val="24"/>
          <w:lang w:val="en-GB"/>
        </w:rPr>
        <w:t xml:space="preserve">, </w:t>
      </w:r>
      <w:r w:rsidR="0085693D" w:rsidRPr="004D084E">
        <w:rPr>
          <w:rFonts w:ascii="Times New Roman" w:hAnsi="Times New Roman" w:cs="Times New Roman"/>
          <w:szCs w:val="24"/>
          <w:lang w:val="en-GB"/>
        </w:rPr>
        <w:t xml:space="preserve">showing </w:t>
      </w:r>
      <w:r w:rsidR="00073C50" w:rsidRPr="004D084E">
        <w:rPr>
          <w:rFonts w:ascii="Times New Roman" w:hAnsi="Times New Roman" w:cs="Times New Roman"/>
          <w:szCs w:val="24"/>
          <w:lang w:val="en-GB"/>
        </w:rPr>
        <w:t>that the quality of institutions is important to their migration decisions</w:t>
      </w:r>
      <w:r w:rsidRPr="004D084E">
        <w:rPr>
          <w:rFonts w:ascii="Times New Roman" w:hAnsi="Times New Roman" w:cs="Times New Roman"/>
          <w:szCs w:val="24"/>
          <w:lang w:val="en-GB"/>
        </w:rPr>
        <w:t>.</w:t>
      </w:r>
      <w:r w:rsidR="00073C5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B304FD" w:rsidRPr="004D084E">
        <w:rPr>
          <w:rFonts w:ascii="Times New Roman" w:hAnsi="Times New Roman" w:cs="Times New Roman"/>
          <w:szCs w:val="24"/>
          <w:lang w:val="en-GB"/>
        </w:rPr>
        <w:t xml:space="preserve">Since </w:t>
      </w:r>
      <w:r w:rsidR="00C75643" w:rsidRPr="004D084E">
        <w:rPr>
          <w:rFonts w:ascii="Times New Roman" w:hAnsi="Times New Roman" w:cs="Times New Roman"/>
          <w:szCs w:val="24"/>
          <w:lang w:val="en-GB"/>
        </w:rPr>
        <w:t>our</w:t>
      </w:r>
      <w:r w:rsidR="00B304FD" w:rsidRPr="004D084E">
        <w:rPr>
          <w:rFonts w:ascii="Times New Roman" w:hAnsi="Times New Roman" w:cs="Times New Roman"/>
          <w:szCs w:val="24"/>
          <w:lang w:val="en-GB"/>
        </w:rPr>
        <w:t xml:space="preserve"> research design involves comparing individuals, migrants</w:t>
      </w:r>
      <w:r w:rsidR="00A3552E" w:rsidRPr="004D084E">
        <w:rPr>
          <w:rFonts w:ascii="Times New Roman" w:hAnsi="Times New Roman" w:cs="Times New Roman"/>
          <w:szCs w:val="24"/>
          <w:lang w:val="en-GB"/>
        </w:rPr>
        <w:t xml:space="preserve"> in this study</w:t>
      </w:r>
      <w:r w:rsidR="00B304FD" w:rsidRPr="004D084E">
        <w:rPr>
          <w:rFonts w:ascii="Times New Roman" w:hAnsi="Times New Roman" w:cs="Times New Roman"/>
          <w:szCs w:val="24"/>
          <w:lang w:val="en-GB"/>
        </w:rPr>
        <w:t xml:space="preserve"> were assumed to face the same ne</w:t>
      </w:r>
      <w:r w:rsidR="00416279">
        <w:rPr>
          <w:rFonts w:ascii="Times New Roman" w:hAnsi="Times New Roman" w:cs="Times New Roman"/>
          <w:szCs w:val="24"/>
          <w:lang w:val="en-GB"/>
        </w:rPr>
        <w:t>t</w:t>
      </w:r>
      <w:r w:rsidR="00B304FD" w:rsidRPr="004D084E">
        <w:rPr>
          <w:rFonts w:ascii="Times New Roman" w:hAnsi="Times New Roman" w:cs="Times New Roman"/>
          <w:szCs w:val="24"/>
          <w:lang w:val="en-GB"/>
        </w:rPr>
        <w:t xml:space="preserve"> migration costs and have the same marginal utility of the available amenities. Based on this assumption, w</w:t>
      </w:r>
      <w:r w:rsidR="00073C50" w:rsidRPr="004D084E">
        <w:rPr>
          <w:rFonts w:ascii="Times New Roman" w:hAnsi="Times New Roman" w:cs="Times New Roman"/>
          <w:szCs w:val="24"/>
          <w:lang w:val="en-GB"/>
        </w:rPr>
        <w:t xml:space="preserve">e </w:t>
      </w:r>
      <w:r w:rsidR="00DE0B17" w:rsidRPr="004D084E">
        <w:rPr>
          <w:rFonts w:ascii="Times New Roman" w:hAnsi="Times New Roman" w:cs="Times New Roman"/>
          <w:szCs w:val="24"/>
          <w:lang w:val="en-GB"/>
        </w:rPr>
        <w:t xml:space="preserve">estimate that </w:t>
      </w:r>
      <w:r w:rsidR="00D801D9">
        <w:rPr>
          <w:rFonts w:ascii="Times New Roman" w:hAnsi="Times New Roman" w:cs="Times New Roman"/>
          <w:szCs w:val="24"/>
          <w:lang w:val="en-GB"/>
        </w:rPr>
        <w:t>Viet</w:t>
      </w:r>
      <w:r w:rsidR="004579F3">
        <w:rPr>
          <w:rFonts w:ascii="Times New Roman" w:hAnsi="Times New Roman" w:cs="Times New Roman"/>
          <w:szCs w:val="24"/>
          <w:lang w:val="en-GB"/>
        </w:rPr>
        <w:t>n</w:t>
      </w:r>
      <w:r w:rsidR="00D801D9">
        <w:rPr>
          <w:rFonts w:ascii="Times New Roman" w:hAnsi="Times New Roman" w:cs="Times New Roman"/>
          <w:szCs w:val="24"/>
          <w:lang w:val="en-GB"/>
        </w:rPr>
        <w:t>am</w:t>
      </w:r>
      <w:r w:rsidR="009F696C" w:rsidRPr="004D084E">
        <w:rPr>
          <w:rFonts w:ascii="Times New Roman" w:hAnsi="Times New Roman" w:cs="Times New Roman"/>
          <w:szCs w:val="24"/>
          <w:lang w:val="en-GB"/>
        </w:rPr>
        <w:t xml:space="preserve">ese migrants living in </w:t>
      </w:r>
      <w:r w:rsidR="00073C50" w:rsidRPr="004D084E">
        <w:rPr>
          <w:rFonts w:ascii="Times New Roman" w:hAnsi="Times New Roman" w:cs="Times New Roman"/>
          <w:szCs w:val="24"/>
          <w:lang w:val="en-GB"/>
        </w:rPr>
        <w:t>N</w:t>
      </w:r>
      <w:r w:rsidR="00935B5D">
        <w:rPr>
          <w:rFonts w:ascii="Times New Roman" w:hAnsi="Times New Roman" w:cs="Times New Roman"/>
          <w:szCs w:val="24"/>
          <w:lang w:val="en-GB"/>
        </w:rPr>
        <w:t>ew Zealand</w:t>
      </w:r>
      <w:r w:rsidR="009F696C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E0B17" w:rsidRPr="004D084E">
        <w:rPr>
          <w:rFonts w:ascii="Times New Roman" w:hAnsi="Times New Roman" w:cs="Times New Roman"/>
          <w:szCs w:val="24"/>
          <w:lang w:val="en-GB"/>
        </w:rPr>
        <w:t>would be</w:t>
      </w:r>
      <w:r w:rsidR="009F696C" w:rsidRPr="004D084E">
        <w:rPr>
          <w:rFonts w:ascii="Times New Roman" w:hAnsi="Times New Roman" w:cs="Times New Roman"/>
          <w:szCs w:val="24"/>
          <w:lang w:val="en-GB"/>
        </w:rPr>
        <w:t xml:space="preserve"> willing to pay, on average, NZD 79.80 </w:t>
      </w:r>
      <w:r w:rsidR="00073C50" w:rsidRPr="004D084E">
        <w:rPr>
          <w:rFonts w:ascii="Times New Roman" w:hAnsi="Times New Roman" w:cs="Times New Roman"/>
          <w:szCs w:val="24"/>
          <w:lang w:val="en-GB"/>
        </w:rPr>
        <w:t>per week</w:t>
      </w:r>
      <w:r w:rsidR="009F696C" w:rsidRPr="004D084E">
        <w:rPr>
          <w:rFonts w:ascii="Times New Roman" w:hAnsi="Times New Roman" w:cs="Times New Roman"/>
          <w:szCs w:val="24"/>
          <w:lang w:val="en-GB"/>
        </w:rPr>
        <w:t xml:space="preserve"> for the rest of their working lives</w:t>
      </w:r>
      <w:r w:rsidR="009C3757" w:rsidRPr="004D084E">
        <w:rPr>
          <w:rFonts w:ascii="Times New Roman" w:hAnsi="Times New Roman" w:cs="Times New Roman"/>
          <w:szCs w:val="24"/>
          <w:lang w:val="en-GB"/>
        </w:rPr>
        <w:t xml:space="preserve"> for </w:t>
      </w:r>
      <w:r w:rsidR="00F36064">
        <w:rPr>
          <w:rFonts w:ascii="Times New Roman" w:hAnsi="Times New Roman" w:cs="Times New Roman"/>
          <w:szCs w:val="24"/>
          <w:lang w:val="en-GB"/>
        </w:rPr>
        <w:t xml:space="preserve">a </w:t>
      </w:r>
      <w:r w:rsidR="009C3757" w:rsidRPr="004D084E">
        <w:rPr>
          <w:rFonts w:ascii="Times New Roman" w:hAnsi="Times New Roman" w:cs="Times New Roman"/>
          <w:szCs w:val="24"/>
          <w:lang w:val="en-GB"/>
        </w:rPr>
        <w:t xml:space="preserve">one </w:t>
      </w:r>
      <w:r w:rsidR="00282CF0" w:rsidRPr="004D084E">
        <w:rPr>
          <w:rFonts w:ascii="Times New Roman" w:hAnsi="Times New Roman" w:cs="Times New Roman"/>
          <w:szCs w:val="24"/>
          <w:lang w:val="en-GB"/>
        </w:rPr>
        <w:t xml:space="preserve">unit </w:t>
      </w:r>
      <w:r w:rsidR="00C66186" w:rsidRPr="004D084E">
        <w:rPr>
          <w:rFonts w:ascii="Times New Roman" w:hAnsi="Times New Roman" w:cs="Times New Roman"/>
          <w:szCs w:val="24"/>
          <w:lang w:val="en-GB"/>
        </w:rPr>
        <w:t xml:space="preserve">of </w:t>
      </w:r>
      <w:r w:rsidR="009C3757" w:rsidRPr="004D084E">
        <w:rPr>
          <w:rFonts w:ascii="Times New Roman" w:hAnsi="Times New Roman" w:cs="Times New Roman"/>
          <w:szCs w:val="24"/>
          <w:lang w:val="en-GB"/>
        </w:rPr>
        <w:t xml:space="preserve">improvement in institutional quality in </w:t>
      </w:r>
      <w:r w:rsidR="004579F3" w:rsidRPr="004579F3">
        <w:rPr>
          <w:rFonts w:ascii="Times New Roman" w:hAnsi="Times New Roman" w:cs="Times New Roman"/>
          <w:szCs w:val="24"/>
          <w:lang w:val="en-GB"/>
        </w:rPr>
        <w:t>Viet Nam</w:t>
      </w:r>
      <w:r w:rsidR="009C3757" w:rsidRPr="004D084E">
        <w:rPr>
          <w:rFonts w:ascii="Times New Roman" w:hAnsi="Times New Roman" w:cs="Times New Roman"/>
          <w:szCs w:val="24"/>
          <w:lang w:val="en-GB"/>
        </w:rPr>
        <w:t xml:space="preserve"> benchmarked against institutional quality in </w:t>
      </w:r>
      <w:r w:rsidR="00D96801" w:rsidRPr="004D084E">
        <w:rPr>
          <w:rFonts w:ascii="Times New Roman" w:hAnsi="Times New Roman" w:cs="Times New Roman"/>
          <w:szCs w:val="24"/>
          <w:lang w:val="en-GB"/>
        </w:rPr>
        <w:t>N</w:t>
      </w:r>
      <w:r w:rsidR="004579F3">
        <w:rPr>
          <w:rFonts w:ascii="Times New Roman" w:hAnsi="Times New Roman" w:cs="Times New Roman"/>
          <w:szCs w:val="24"/>
          <w:lang w:val="en-GB"/>
        </w:rPr>
        <w:t>ew Zealand</w:t>
      </w:r>
      <w:r w:rsidR="009C3757" w:rsidRPr="004D084E">
        <w:rPr>
          <w:rFonts w:ascii="Times New Roman" w:hAnsi="Times New Roman" w:cs="Times New Roman"/>
          <w:szCs w:val="24"/>
          <w:lang w:val="en-GB"/>
        </w:rPr>
        <w:t xml:space="preserve"> as per their perception of the institutional quality gap between the two countries</w:t>
      </w:r>
      <w:r w:rsidR="009F696C" w:rsidRPr="004D084E">
        <w:rPr>
          <w:rFonts w:ascii="Times New Roman" w:hAnsi="Times New Roman" w:cs="Times New Roman"/>
          <w:szCs w:val="24"/>
          <w:lang w:val="en-GB"/>
        </w:rPr>
        <w:t>.</w:t>
      </w:r>
      <w:r w:rsidR="00073C50" w:rsidRPr="004D084E">
        <w:rPr>
          <w:rFonts w:ascii="Times New Roman" w:hAnsi="Times New Roman" w:cs="Times New Roman"/>
          <w:szCs w:val="24"/>
          <w:lang w:val="en-GB"/>
        </w:rPr>
        <w:t xml:space="preserve"> </w:t>
      </w:r>
      <w:r w:rsidR="00D653FE" w:rsidRPr="004D084E">
        <w:rPr>
          <w:rFonts w:ascii="Times New Roman" w:hAnsi="Times New Roman" w:cs="Times New Roman"/>
          <w:szCs w:val="24"/>
          <w:lang w:val="en-GB"/>
        </w:rPr>
        <w:t xml:space="preserve">The estimated </w:t>
      </w:r>
      <w:r w:rsidR="00282CF0" w:rsidRPr="004D084E">
        <w:rPr>
          <w:rFonts w:ascii="Times New Roman" w:hAnsi="Times New Roman" w:cs="Times New Roman"/>
          <w:szCs w:val="24"/>
          <w:lang w:val="en-GB"/>
        </w:rPr>
        <w:t>willing</w:t>
      </w:r>
      <w:r w:rsidR="00E221C2" w:rsidRPr="004D084E">
        <w:rPr>
          <w:rFonts w:ascii="Times New Roman" w:hAnsi="Times New Roman" w:cs="Times New Roman"/>
          <w:szCs w:val="24"/>
          <w:lang w:val="en-GB"/>
        </w:rPr>
        <w:t>ness</w:t>
      </w:r>
      <w:r w:rsidR="00282CF0" w:rsidRPr="004D084E">
        <w:rPr>
          <w:rFonts w:ascii="Times New Roman" w:hAnsi="Times New Roman" w:cs="Times New Roman"/>
          <w:szCs w:val="24"/>
          <w:lang w:val="en-GB"/>
        </w:rPr>
        <w:t xml:space="preserve"> to pay</w:t>
      </w:r>
      <w:r w:rsidR="00D653FE" w:rsidRPr="004D084E">
        <w:rPr>
          <w:rFonts w:ascii="Times New Roman" w:hAnsi="Times New Roman" w:cs="Times New Roman"/>
          <w:szCs w:val="24"/>
          <w:lang w:val="en-GB"/>
        </w:rPr>
        <w:t xml:space="preserve"> is positively associated with the respondent</w:t>
      </w:r>
      <w:r w:rsidR="00E221C2" w:rsidRPr="004D084E">
        <w:rPr>
          <w:rFonts w:ascii="Times New Roman" w:hAnsi="Times New Roman" w:cs="Times New Roman"/>
          <w:szCs w:val="24"/>
          <w:lang w:val="en-GB"/>
        </w:rPr>
        <w:t>’</w:t>
      </w:r>
      <w:r w:rsidR="00D653FE" w:rsidRPr="004D084E">
        <w:rPr>
          <w:rFonts w:ascii="Times New Roman" w:hAnsi="Times New Roman" w:cs="Times New Roman"/>
          <w:szCs w:val="24"/>
          <w:lang w:val="en-GB"/>
        </w:rPr>
        <w:t xml:space="preserve">s age and the importance that they place on institutional quality in </w:t>
      </w:r>
      <w:r w:rsidR="004579F3" w:rsidRPr="004579F3">
        <w:rPr>
          <w:rFonts w:ascii="Times New Roman" w:hAnsi="Times New Roman" w:cs="Times New Roman"/>
          <w:szCs w:val="24"/>
          <w:lang w:val="en-GB"/>
        </w:rPr>
        <w:t>Viet Nam</w:t>
      </w:r>
      <w:r w:rsidR="00D653FE" w:rsidRPr="004D084E">
        <w:rPr>
          <w:rFonts w:ascii="Times New Roman" w:hAnsi="Times New Roman" w:cs="Times New Roman"/>
          <w:szCs w:val="24"/>
          <w:lang w:val="en-GB"/>
        </w:rPr>
        <w:t xml:space="preserve"> when considering repatriation. </w:t>
      </w:r>
      <w:r w:rsidR="008819E9" w:rsidRPr="004D084E">
        <w:rPr>
          <w:rFonts w:ascii="Times New Roman" w:hAnsi="Times New Roman" w:cs="Times New Roman"/>
          <w:szCs w:val="24"/>
          <w:lang w:val="en-GB"/>
        </w:rPr>
        <w:t xml:space="preserve">By showing that migrants are willing to give up part of their economic benefit for better home-country institutional quality, the study </w:t>
      </w:r>
      <w:r w:rsidR="00E221C2" w:rsidRPr="004D084E">
        <w:rPr>
          <w:rFonts w:ascii="Times New Roman" w:hAnsi="Times New Roman" w:cs="Times New Roman"/>
          <w:szCs w:val="24"/>
          <w:lang w:val="en-GB"/>
        </w:rPr>
        <w:t xml:space="preserve">further </w:t>
      </w:r>
      <w:r w:rsidR="00BC6D45" w:rsidRPr="004D084E">
        <w:rPr>
          <w:rFonts w:ascii="Times New Roman" w:hAnsi="Times New Roman" w:cs="Times New Roman"/>
          <w:szCs w:val="24"/>
          <w:lang w:val="en-GB"/>
        </w:rPr>
        <w:t>emphasize</w:t>
      </w:r>
      <w:r w:rsidR="008819E9" w:rsidRPr="004D084E">
        <w:rPr>
          <w:rFonts w:ascii="Times New Roman" w:hAnsi="Times New Roman" w:cs="Times New Roman"/>
          <w:szCs w:val="24"/>
          <w:lang w:val="en-GB"/>
        </w:rPr>
        <w:t>s the importance of institutions in migration decisions.</w:t>
      </w:r>
    </w:p>
    <w:p w14:paraId="4928CE8E" w14:textId="77777777" w:rsidR="000555D2" w:rsidRDefault="000555D2">
      <w:pPr>
        <w:spacing w:after="160" w:line="259" w:lineRule="auto"/>
        <w:rPr>
          <w:rFonts w:ascii="Times New Roman" w:eastAsiaTheme="majorEastAsia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br w:type="page"/>
      </w:r>
    </w:p>
    <w:p w14:paraId="46775987" w14:textId="1D365A09" w:rsidR="00274060" w:rsidRPr="004D084E" w:rsidRDefault="00274060" w:rsidP="00156DD9">
      <w:pPr>
        <w:pStyle w:val="Heading1"/>
        <w:spacing w:line="30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4D084E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lastRenderedPageBreak/>
        <w:t>References</w:t>
      </w:r>
    </w:p>
    <w:p w14:paraId="6BB25B0B" w14:textId="77777777" w:rsidR="00466B0A" w:rsidRPr="004D084E" w:rsidRDefault="00466B0A" w:rsidP="00466B0A">
      <w:pPr>
        <w:rPr>
          <w:sz w:val="12"/>
          <w:szCs w:val="12"/>
          <w:lang w:val="en-GB"/>
        </w:rPr>
      </w:pPr>
    </w:p>
    <w:p w14:paraId="345BAE62" w14:textId="2FE26BA1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4D084E">
        <w:rPr>
          <w:rFonts w:ascii="Times New Roman" w:hAnsi="Times New Roman" w:cs="Times New Roman"/>
          <w:lang w:val="en-GB"/>
        </w:rPr>
        <w:t>B</w:t>
      </w:r>
      <w:r w:rsidRPr="001775FE">
        <w:rPr>
          <w:rFonts w:ascii="Times New Roman" w:hAnsi="Times New Roman" w:cs="Times New Roman"/>
          <w:sz w:val="22"/>
          <w:lang w:val="en-GB"/>
        </w:rPr>
        <w:t>audassé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T.,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Bazillier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R., &amp;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Issifou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>, I. (</w:t>
      </w:r>
      <w:r w:rsidR="00E25C4B" w:rsidRPr="001775FE">
        <w:rPr>
          <w:rFonts w:ascii="Times New Roman" w:hAnsi="Times New Roman" w:cs="Times New Roman"/>
          <w:sz w:val="22"/>
          <w:lang w:val="en-GB"/>
        </w:rPr>
        <w:t>2018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). Migration and Institutions: Exit and Voice (from Abroad)?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Journal of Economic Surveys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="00E25C4B" w:rsidRPr="001775FE">
        <w:rPr>
          <w:rFonts w:ascii="Times New Roman" w:hAnsi="Times New Roman" w:cs="Times New Roman"/>
          <w:i/>
          <w:iCs/>
          <w:sz w:val="22"/>
          <w:lang w:val="en-GB"/>
        </w:rPr>
        <w:t>32</w:t>
      </w:r>
      <w:r w:rsidRPr="001775FE">
        <w:rPr>
          <w:rFonts w:ascii="Times New Roman" w:hAnsi="Times New Roman" w:cs="Times New Roman"/>
          <w:sz w:val="22"/>
          <w:lang w:val="en-GB"/>
        </w:rPr>
        <w:t>(</w:t>
      </w:r>
      <w:r w:rsidR="00E25C4B" w:rsidRPr="001775FE">
        <w:rPr>
          <w:rFonts w:ascii="Times New Roman" w:hAnsi="Times New Roman" w:cs="Times New Roman"/>
          <w:sz w:val="22"/>
          <w:lang w:val="en-GB"/>
        </w:rPr>
        <w:t>3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), </w:t>
      </w:r>
      <w:r w:rsidR="00E25C4B" w:rsidRPr="001775FE">
        <w:rPr>
          <w:rFonts w:ascii="Times New Roman" w:hAnsi="Times New Roman" w:cs="Times New Roman"/>
          <w:sz w:val="22"/>
          <w:lang w:val="en-GB"/>
        </w:rPr>
        <w:t>727-766</w:t>
      </w:r>
      <w:r w:rsidRPr="001775FE">
        <w:rPr>
          <w:rFonts w:ascii="Times New Roman" w:hAnsi="Times New Roman" w:cs="Times New Roman"/>
          <w:sz w:val="22"/>
          <w:lang w:val="en-GB"/>
        </w:rPr>
        <w:t>.</w:t>
      </w:r>
    </w:p>
    <w:p w14:paraId="3C3DA2F8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Bilgili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Ö., &amp; Siegel, M. (2017). To return permanently or to return temporarily? Explaining migrants’ intentions.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Migration and Development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6</w:t>
      </w:r>
      <w:r w:rsidRPr="001775FE">
        <w:rPr>
          <w:rFonts w:ascii="Times New Roman" w:hAnsi="Times New Roman" w:cs="Times New Roman"/>
          <w:sz w:val="22"/>
          <w:lang w:val="en-GB"/>
        </w:rPr>
        <w:t>(1), 14–32.</w:t>
      </w:r>
    </w:p>
    <w:p w14:paraId="23A1D4DE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Bodvarsson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Ö. B., Simpson, N. B., &amp;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Sparber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C. (2015). Migration Theory. In B. R. Chiswick &amp; P. W. Miller (Eds.),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Handbook of the Economics of International Migration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 (Vol. 1A, pp. 3–51). North-Holland.</w:t>
      </w:r>
    </w:p>
    <w:p w14:paraId="12701B26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Carling, J., &amp; Pettersen, S. V. (2014). Return Migration Intentions in the Integration–Transnationalism Matrix.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International Migration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52</w:t>
      </w:r>
      <w:r w:rsidRPr="001775FE">
        <w:rPr>
          <w:rFonts w:ascii="Times New Roman" w:hAnsi="Times New Roman" w:cs="Times New Roman"/>
          <w:sz w:val="22"/>
          <w:lang w:val="en-GB"/>
        </w:rPr>
        <w:t>(6), 13–30.</w:t>
      </w:r>
    </w:p>
    <w:p w14:paraId="71CE33C1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Carson, R. T. (2012). Contingent Valuation: A Practical Alternative when Prices Aren’t Available.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Journal of Economic Perspectives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26</w:t>
      </w:r>
      <w:r w:rsidRPr="001775FE">
        <w:rPr>
          <w:rFonts w:ascii="Times New Roman" w:hAnsi="Times New Roman" w:cs="Times New Roman"/>
          <w:sz w:val="22"/>
          <w:lang w:val="en-GB"/>
        </w:rPr>
        <w:t>(4), 27–42.</w:t>
      </w:r>
    </w:p>
    <w:p w14:paraId="0EA460BD" w14:textId="657A8CD9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Cassarino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J.-P. (2004). Theorising Return Migration: The Conceptual Approach to Return Migrants Revisited.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International Journal on Multicultural Societies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6</w:t>
      </w:r>
      <w:r w:rsidRPr="001775FE">
        <w:rPr>
          <w:rFonts w:ascii="Times New Roman" w:hAnsi="Times New Roman" w:cs="Times New Roman"/>
          <w:sz w:val="22"/>
          <w:lang w:val="en-GB"/>
        </w:rPr>
        <w:t>(2), 253–279.</w:t>
      </w:r>
    </w:p>
    <w:p w14:paraId="531FDC3F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Chiswick, B. (1999). Are Immigrants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Favorably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 Self-Selected?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American Economic Review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89</w:t>
      </w:r>
      <w:r w:rsidRPr="001775FE">
        <w:rPr>
          <w:rFonts w:ascii="Times New Roman" w:hAnsi="Times New Roman" w:cs="Times New Roman"/>
          <w:sz w:val="22"/>
          <w:lang w:val="en-GB"/>
        </w:rPr>
        <w:t>(2), 181–185.</w:t>
      </w:r>
    </w:p>
    <w:p w14:paraId="08512F76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Clark, X., Hatton, T. J., &amp; Williamson, J. G. (2007). Explaining U.S. Immigration, 1971-1998.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The Review of Economics and Statistics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89</w:t>
      </w:r>
      <w:r w:rsidRPr="001775FE">
        <w:rPr>
          <w:rFonts w:ascii="Times New Roman" w:hAnsi="Times New Roman" w:cs="Times New Roman"/>
          <w:sz w:val="22"/>
          <w:lang w:val="en-GB"/>
        </w:rPr>
        <w:t>(2), 359–373.</w:t>
      </w:r>
    </w:p>
    <w:p w14:paraId="2D967BCA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Gmelch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G. (1980). Return Migration.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Annual Review of Anthropology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9</w:t>
      </w:r>
      <w:r w:rsidRPr="001775FE">
        <w:rPr>
          <w:rFonts w:ascii="Times New Roman" w:hAnsi="Times New Roman" w:cs="Times New Roman"/>
          <w:sz w:val="22"/>
          <w:lang w:val="en-GB"/>
        </w:rPr>
        <w:t>, 135–159.</w:t>
      </w:r>
    </w:p>
    <w:p w14:paraId="0117B786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fr-FR"/>
        </w:rPr>
        <w:t>Grogger</w:t>
      </w:r>
      <w:proofErr w:type="spellEnd"/>
      <w:r w:rsidRPr="001775FE">
        <w:rPr>
          <w:rFonts w:ascii="Times New Roman" w:hAnsi="Times New Roman" w:cs="Times New Roman"/>
          <w:sz w:val="22"/>
          <w:lang w:val="fr-FR"/>
        </w:rPr>
        <w:t xml:space="preserve">, J., &amp; Hanson, G. H. (2011). 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Income maximization and the selection and sorting of international migrants.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Journal of Development Economics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95</w:t>
      </w:r>
      <w:r w:rsidRPr="001775FE">
        <w:rPr>
          <w:rFonts w:ascii="Times New Roman" w:hAnsi="Times New Roman" w:cs="Times New Roman"/>
          <w:sz w:val="22"/>
          <w:lang w:val="en-GB"/>
        </w:rPr>
        <w:t>(1), 42–57.</w:t>
      </w:r>
    </w:p>
    <w:p w14:paraId="05E83992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Hatton, T. J., &amp; Williamson, J. G. (2011). Are Third World Emigration Forces Abating?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World Development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39</w:t>
      </w:r>
      <w:r w:rsidRPr="001775FE">
        <w:rPr>
          <w:rFonts w:ascii="Times New Roman" w:hAnsi="Times New Roman" w:cs="Times New Roman"/>
          <w:sz w:val="22"/>
          <w:lang w:val="en-GB"/>
        </w:rPr>
        <w:t>(1), 20–32.</w:t>
      </w:r>
    </w:p>
    <w:p w14:paraId="38F537C2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Kaufmann, D.,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Kraay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A., &amp;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Zoido-Lobatón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P. (1999). </w:t>
      </w:r>
      <w:r w:rsidR="002F5A99" w:rsidRPr="001775FE">
        <w:rPr>
          <w:iCs/>
          <w:sz w:val="22"/>
          <w:lang w:val="en-GB"/>
        </w:rPr>
        <w:t>Governance Matters.</w:t>
      </w:r>
      <w:r w:rsidR="002F5A99" w:rsidRPr="001775FE">
        <w:rPr>
          <w:sz w:val="22"/>
          <w:lang w:val="en-GB"/>
        </w:rPr>
        <w:t xml:space="preserve"> </w:t>
      </w:r>
      <w:r w:rsidR="002F5A99" w:rsidRPr="001775FE">
        <w:rPr>
          <w:i/>
          <w:sz w:val="22"/>
          <w:lang w:val="en-GB"/>
        </w:rPr>
        <w:t>Policy Research Working Paper</w:t>
      </w:r>
      <w:r w:rsidR="002F5A99" w:rsidRPr="001775FE">
        <w:rPr>
          <w:sz w:val="22"/>
          <w:lang w:val="en-GB"/>
        </w:rPr>
        <w:t>. The World Bank.</w:t>
      </w:r>
    </w:p>
    <w:p w14:paraId="3268E8C6" w14:textId="1C47BA9C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Kling, C. L., Phaneuf, D. J., &amp; Zhao, J. (2012). From Exxon to BP: Has Some Number Become Better than No Number?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The Journal of Economic Perspectives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26</w:t>
      </w:r>
      <w:r w:rsidRPr="001775FE">
        <w:rPr>
          <w:rFonts w:ascii="Times New Roman" w:hAnsi="Times New Roman" w:cs="Times New Roman"/>
          <w:sz w:val="22"/>
          <w:lang w:val="en-GB"/>
        </w:rPr>
        <w:t>(4), 3–26.</w:t>
      </w:r>
    </w:p>
    <w:p w14:paraId="7DB6BF9B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OECD. (2008).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International Migration Outlook: SOPEMI - 2008 Edition</w:t>
      </w:r>
      <w:r w:rsidRPr="001775FE">
        <w:rPr>
          <w:rFonts w:ascii="Times New Roman" w:hAnsi="Times New Roman" w:cs="Times New Roman"/>
          <w:sz w:val="22"/>
          <w:lang w:val="en-GB"/>
        </w:rPr>
        <w:t>. France: OECD.</w:t>
      </w:r>
    </w:p>
    <w:p w14:paraId="66E188AE" w14:textId="7777777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Paparusso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A., &amp; </w:t>
      </w:r>
      <w:proofErr w:type="spellStart"/>
      <w:r w:rsidRPr="001775FE">
        <w:rPr>
          <w:rFonts w:ascii="Times New Roman" w:hAnsi="Times New Roman" w:cs="Times New Roman"/>
          <w:sz w:val="22"/>
          <w:lang w:val="en-GB"/>
        </w:rPr>
        <w:t>Ambrosetti</w:t>
      </w:r>
      <w:proofErr w:type="spellEnd"/>
      <w:r w:rsidRPr="001775FE">
        <w:rPr>
          <w:rFonts w:ascii="Times New Roman" w:hAnsi="Times New Roman" w:cs="Times New Roman"/>
          <w:sz w:val="22"/>
          <w:lang w:val="en-GB"/>
        </w:rPr>
        <w:t xml:space="preserve">, E. (2017). To stay or to return? Return migration intentions of Moroccans in Italy.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International Migration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55</w:t>
      </w:r>
      <w:r w:rsidRPr="001775FE">
        <w:rPr>
          <w:rFonts w:ascii="Times New Roman" w:hAnsi="Times New Roman" w:cs="Times New Roman"/>
          <w:sz w:val="22"/>
          <w:lang w:val="en-GB"/>
        </w:rPr>
        <w:t>(6), 137–155.</w:t>
      </w:r>
    </w:p>
    <w:p w14:paraId="75456049" w14:textId="06CEB237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Tran, N. T. M., Cameron, M. P., &amp; Poot, J. (2018a). Local Institutional Quality and Return Migration: Evidence from Viet Nam.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International Migration</w:t>
      </w:r>
      <w:r w:rsidR="00E25C4B" w:rsidRPr="001775FE">
        <w:rPr>
          <w:rFonts w:ascii="Times New Roman" w:hAnsi="Times New Roman" w:cs="Times New Roman"/>
          <w:sz w:val="22"/>
          <w:lang w:val="en-GB"/>
        </w:rPr>
        <w:t>, https://doi.org/10.1111/imig.12451.</w:t>
      </w:r>
    </w:p>
    <w:p w14:paraId="018BD200" w14:textId="4283A452" w:rsidR="00AC02C3" w:rsidRPr="001775FE" w:rsidRDefault="00AC02C3" w:rsidP="005922E9">
      <w:pPr>
        <w:pStyle w:val="Bibliography"/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Tran, N. T. M., Cameron, M. P., &amp; Poot, J. (2018b). </w:t>
      </w:r>
      <w:r w:rsidRPr="001775FE">
        <w:rPr>
          <w:rFonts w:ascii="Times New Roman" w:hAnsi="Times New Roman" w:cs="Times New Roman"/>
          <w:iCs/>
          <w:sz w:val="22"/>
          <w:lang w:val="en-GB"/>
        </w:rPr>
        <w:t xml:space="preserve">Return or Not Return? The Role of Home-Country Institutional Quality in </w:t>
      </w:r>
      <w:r w:rsidR="00D801D9">
        <w:rPr>
          <w:rFonts w:ascii="Times New Roman" w:hAnsi="Times New Roman" w:cs="Times New Roman"/>
          <w:iCs/>
          <w:sz w:val="22"/>
          <w:lang w:val="en-GB"/>
        </w:rPr>
        <w:t xml:space="preserve">Viet </w:t>
      </w:r>
      <w:proofErr w:type="spellStart"/>
      <w:r w:rsidR="00D801D9">
        <w:rPr>
          <w:rFonts w:ascii="Times New Roman" w:hAnsi="Times New Roman" w:cs="Times New Roman"/>
          <w:iCs/>
          <w:sz w:val="22"/>
          <w:lang w:val="en-GB"/>
        </w:rPr>
        <w:t>Nam</w:t>
      </w:r>
      <w:r w:rsidRPr="001775FE">
        <w:rPr>
          <w:rFonts w:ascii="Times New Roman" w:hAnsi="Times New Roman" w:cs="Times New Roman"/>
          <w:iCs/>
          <w:sz w:val="22"/>
          <w:lang w:val="en-GB"/>
        </w:rPr>
        <w:t>ese</w:t>
      </w:r>
      <w:proofErr w:type="spellEnd"/>
      <w:r w:rsidRPr="001775FE">
        <w:rPr>
          <w:rFonts w:ascii="Times New Roman" w:hAnsi="Times New Roman" w:cs="Times New Roman"/>
          <w:iCs/>
          <w:sz w:val="22"/>
          <w:lang w:val="en-GB"/>
        </w:rPr>
        <w:t xml:space="preserve"> Migrants’ Return Intentions</w:t>
      </w:r>
      <w:r w:rsidR="004F0C0B" w:rsidRPr="001775FE">
        <w:rPr>
          <w:rFonts w:ascii="Times New Roman" w:hAnsi="Times New Roman" w:cs="Times New Roman"/>
          <w:sz w:val="22"/>
          <w:lang w:val="en-GB"/>
        </w:rPr>
        <w:t>.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 </w:t>
      </w:r>
      <w:r w:rsidRPr="001775FE">
        <w:rPr>
          <w:rFonts w:ascii="Times New Roman" w:hAnsi="Times New Roman" w:cs="Times New Roman"/>
          <w:i/>
          <w:sz w:val="22"/>
          <w:lang w:val="en-GB"/>
        </w:rPr>
        <w:t>Working Papers in Economics 18/04</w:t>
      </w:r>
      <w:r w:rsidRPr="001775FE">
        <w:rPr>
          <w:rFonts w:ascii="Times New Roman" w:hAnsi="Times New Roman" w:cs="Times New Roman"/>
          <w:sz w:val="22"/>
          <w:lang w:val="en-GB"/>
        </w:rPr>
        <w:t>. Hamilton: Department of Economi</w:t>
      </w:r>
      <w:r w:rsidR="00446972" w:rsidRPr="001775FE">
        <w:rPr>
          <w:rFonts w:ascii="Times New Roman" w:hAnsi="Times New Roman" w:cs="Times New Roman"/>
          <w:sz w:val="22"/>
          <w:lang w:val="en-GB"/>
        </w:rPr>
        <w:t>cs, University of Waikato.</w:t>
      </w:r>
    </w:p>
    <w:p w14:paraId="6CCF89A5" w14:textId="386D553F" w:rsidR="004347D8" w:rsidRPr="001775FE" w:rsidRDefault="00AC02C3" w:rsidP="005922E9">
      <w:pPr>
        <w:spacing w:after="160" w:line="240" w:lineRule="auto"/>
        <w:ind w:left="567" w:hanging="567"/>
        <w:jc w:val="both"/>
        <w:rPr>
          <w:sz w:val="22"/>
          <w:lang w:val="en-GB"/>
        </w:rPr>
      </w:pPr>
      <w:r w:rsidRPr="001775FE">
        <w:rPr>
          <w:rFonts w:ascii="Times New Roman" w:hAnsi="Times New Roman" w:cs="Times New Roman"/>
          <w:sz w:val="22"/>
          <w:lang w:val="en-GB"/>
        </w:rPr>
        <w:t xml:space="preserve">Waldorf, B. (1995). Determinants of International Return Migration Intentions.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The Professional Geographer</w:t>
      </w:r>
      <w:r w:rsidRPr="001775FE">
        <w:rPr>
          <w:rFonts w:ascii="Times New Roman" w:hAnsi="Times New Roman" w:cs="Times New Roman"/>
          <w:sz w:val="22"/>
          <w:lang w:val="en-GB"/>
        </w:rPr>
        <w:t xml:space="preserve">, </w:t>
      </w:r>
      <w:r w:rsidRPr="001775FE">
        <w:rPr>
          <w:rFonts w:ascii="Times New Roman" w:hAnsi="Times New Roman" w:cs="Times New Roman"/>
          <w:i/>
          <w:iCs/>
          <w:sz w:val="22"/>
          <w:lang w:val="en-GB"/>
        </w:rPr>
        <w:t>42</w:t>
      </w:r>
      <w:r w:rsidRPr="001775FE">
        <w:rPr>
          <w:rFonts w:ascii="Times New Roman" w:hAnsi="Times New Roman" w:cs="Times New Roman"/>
          <w:sz w:val="22"/>
          <w:lang w:val="en-GB"/>
        </w:rPr>
        <w:t>(2), 125–136</w:t>
      </w:r>
    </w:p>
    <w:sectPr w:rsidR="004347D8" w:rsidRPr="001775FE" w:rsidSect="00470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4AC2" w14:textId="77777777" w:rsidR="00D478E6" w:rsidRDefault="00D478E6" w:rsidP="007402FB">
      <w:pPr>
        <w:spacing w:line="240" w:lineRule="auto"/>
      </w:pPr>
      <w:r>
        <w:separator/>
      </w:r>
    </w:p>
  </w:endnote>
  <w:endnote w:type="continuationSeparator" w:id="0">
    <w:p w14:paraId="773AF68C" w14:textId="77777777" w:rsidR="00D478E6" w:rsidRDefault="00D478E6" w:rsidP="00740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36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FC528" w14:textId="233E6EF2" w:rsidR="000E3804" w:rsidRDefault="000E3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B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B8B4CD2" w14:textId="77777777" w:rsidR="000E3804" w:rsidRDefault="000E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D836C" w14:textId="77777777" w:rsidR="00D478E6" w:rsidRDefault="00D478E6" w:rsidP="007402FB">
      <w:pPr>
        <w:spacing w:line="240" w:lineRule="auto"/>
      </w:pPr>
      <w:r>
        <w:separator/>
      </w:r>
    </w:p>
  </w:footnote>
  <w:footnote w:type="continuationSeparator" w:id="0">
    <w:p w14:paraId="24C3133A" w14:textId="77777777" w:rsidR="00D478E6" w:rsidRDefault="00D478E6" w:rsidP="007402FB">
      <w:pPr>
        <w:spacing w:line="240" w:lineRule="auto"/>
      </w:pPr>
      <w:r>
        <w:continuationSeparator/>
      </w:r>
    </w:p>
  </w:footnote>
  <w:footnote w:id="1">
    <w:p w14:paraId="7D8FD241" w14:textId="2D7EC060" w:rsidR="000E3804" w:rsidRPr="005F09F1" w:rsidRDefault="000E3804" w:rsidP="005F09F1">
      <w:pPr>
        <w:pStyle w:val="FootnoteText"/>
      </w:pPr>
      <w:r w:rsidRPr="005F09F1">
        <w:rPr>
          <w:rStyle w:val="FootnoteReference"/>
          <w:sz w:val="22"/>
          <w:szCs w:val="22"/>
        </w:rPr>
        <w:footnoteRef/>
      </w:r>
      <w:r>
        <w:tab/>
      </w:r>
      <w:r w:rsidRPr="005F09F1">
        <w:t xml:space="preserve">It is possible that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&gt;</m:t>
        </m:r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NZ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t xml:space="preserve">, but for most people who are actually indifferent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&lt;</m:t>
        </m:r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NZ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t xml:space="preserve">. Equation (2) still holds because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MC</m:t>
            </m:r>
          </m:e>
          <m:sub>
            <m:r>
              <w:rPr>
                <w:rFonts w:ascii="Cambria Math" w:eastAsiaTheme="majorEastAsia" w:hAnsi="Cambria Math"/>
              </w:rPr>
              <m:t>NZ→VN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t xml:space="preserve"> is negative and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IQ</m:t>
            </m:r>
          </m:e>
          <m:sub>
            <m:r>
              <w:rPr>
                <w:rFonts w:ascii="Cambria Math" w:eastAsiaTheme="majorEastAsia" w:hAnsi="Cambria Math"/>
              </w:rPr>
              <m:t>NZ</m:t>
            </m:r>
            <m:r>
              <w:rPr>
                <w:rFonts w:ascii="Cambria Math" w:eastAsiaTheme="majorEastAsia" w:hAnsi="Cambria Math"/>
                <w:i/>
              </w:rPr>
              <w:sym w:font="Symbol" w:char="F02D"/>
            </m:r>
            <m:r>
              <w:rPr>
                <w:rFonts w:ascii="Cambria Math" w:eastAsiaTheme="majorEastAsia" w:hAnsi="Cambria Math"/>
              </w:rPr>
              <m:t>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rPr>
          <w:rFonts w:ascii="Times New Roman" w:eastAsiaTheme="majorEastAsia" w:hAnsi="Times New Roman"/>
          <w:bCs/>
        </w:rPr>
        <w:t xml:space="preserve"> </w:t>
      </w:r>
      <w:r w:rsidRPr="005F09F1">
        <w:t xml:space="preserve">is positive.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MC</m:t>
            </m:r>
          </m:e>
          <m:sub>
            <m:r>
              <w:rPr>
                <w:rFonts w:ascii="Cambria Math" w:eastAsiaTheme="majorEastAsia" w:hAnsi="Cambria Math"/>
              </w:rPr>
              <m:t>NZ→VN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t xml:space="preserve"> is negative because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MC</m:t>
            </m:r>
          </m:e>
          <m:sub>
            <m:r>
              <w:rPr>
                <w:rFonts w:ascii="Cambria Math" w:eastAsiaTheme="majorEastAsia" w:hAnsi="Cambria Math"/>
              </w:rPr>
              <m:t>NZ→VN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</m:oMath>
      <w:r w:rsidRPr="005F09F1">
        <w:t xml:space="preserve"> is the difference between the monetary costs of return migration and the psychic costs of staying in N</w:t>
      </w:r>
      <w:r w:rsidR="00884651">
        <w:t xml:space="preserve">ew </w:t>
      </w:r>
      <w:r w:rsidRPr="005F09F1">
        <w:t>Z</w:t>
      </w:r>
      <w:r w:rsidR="00884651">
        <w:t>ealand.</w:t>
      </w:r>
      <w:r w:rsidRPr="005F09F1">
        <w:t xml:space="preserve"> The psychic costs are much larger than the monetary costs. If that were not the case, there is no single person who is indifferent, </w:t>
      </w:r>
      <w:r>
        <w:t xml:space="preserve">that is, </w:t>
      </w:r>
      <w:r w:rsidRPr="005F09F1">
        <w:t xml:space="preserve">Equation (2) applies to no-one because </w:t>
      </w:r>
      <m:oMath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NZ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-</m:t>
        </m:r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W</m:t>
            </m:r>
          </m:e>
          <m:sub>
            <m:r>
              <w:rPr>
                <w:rFonts w:ascii="Cambria Math" w:eastAsiaTheme="majorEastAsia" w:hAnsi="Cambria Math"/>
              </w:rPr>
              <m:t>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&gt;0</m:t>
        </m:r>
      </m:oMath>
      <w:r w:rsidRPr="005F09F1">
        <w:rPr>
          <w:bCs/>
        </w:rPr>
        <w:t xml:space="preserve"> </w:t>
      </w:r>
      <w:r w:rsidRPr="005F09F1">
        <w:t xml:space="preserve">but </w:t>
      </w:r>
      <m:oMath>
        <m:r>
          <w:rPr>
            <w:rFonts w:ascii="Cambria Math" w:eastAsiaTheme="majorEastAsia" w:hAnsi="Cambria Math"/>
          </w:rPr>
          <m:t>-</m:t>
        </m:r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MC</m:t>
            </m:r>
          </m:e>
          <m:sub>
            <m:r>
              <w:rPr>
                <w:rFonts w:ascii="Cambria Math" w:eastAsiaTheme="majorEastAsia" w:hAnsi="Cambria Math"/>
              </w:rPr>
              <m:t>NZ→VN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-</m:t>
        </m:r>
        <m:sSubSup>
          <m:sSubSupPr>
            <m:ctrlPr>
              <w:rPr>
                <w:rFonts w:ascii="Cambria Math" w:eastAsiaTheme="majorEastAsia" w:hAnsi="Cambria Math"/>
                <w:bCs/>
                <w:i/>
              </w:rPr>
            </m:ctrlPr>
          </m:sSubSupPr>
          <m:e>
            <m:r>
              <w:rPr>
                <w:rFonts w:ascii="Cambria Math" w:eastAsiaTheme="majorEastAsia" w:hAnsi="Cambria Math"/>
              </w:rPr>
              <m:t>IQ</m:t>
            </m:r>
          </m:e>
          <m:sub>
            <m:r>
              <w:rPr>
                <w:rFonts w:ascii="Cambria Math" w:eastAsiaTheme="majorEastAsia" w:hAnsi="Cambria Math"/>
              </w:rPr>
              <m:t>NZ-VN</m:t>
            </m:r>
          </m:sub>
          <m:sup>
            <m:r>
              <w:rPr>
                <w:rFonts w:ascii="Cambria Math" w:eastAsiaTheme="majorEastAsia" w:hAnsi="Cambria Math"/>
              </w:rPr>
              <m:t>i</m:t>
            </m:r>
          </m:sup>
        </m:sSubSup>
        <m:r>
          <w:rPr>
            <w:rFonts w:ascii="Cambria Math" w:eastAsiaTheme="majorEastAsia" w:hAnsi="Cambria Math"/>
          </w:rPr>
          <m:t>&lt;0</m:t>
        </m:r>
      </m:oMath>
      <w:r w:rsidRPr="005F09F1">
        <w:t>.</w:t>
      </w:r>
    </w:p>
    <w:p w14:paraId="3FAC210D" w14:textId="52AC723A" w:rsidR="000E3804" w:rsidRDefault="000E3804" w:rsidP="005F09F1">
      <w:pPr>
        <w:pStyle w:val="FootnoteText"/>
      </w:pPr>
    </w:p>
  </w:footnote>
  <w:footnote w:id="2">
    <w:p w14:paraId="5E2EF339" w14:textId="18FC290B" w:rsidR="000E3804" w:rsidRDefault="000E3804" w:rsidP="005F09F1">
      <w:pPr>
        <w:pStyle w:val="FootnoteText"/>
      </w:pPr>
      <w:r w:rsidRPr="005F09F1">
        <w:rPr>
          <w:rStyle w:val="FootnoteReference"/>
          <w:sz w:val="22"/>
          <w:szCs w:val="22"/>
        </w:rPr>
        <w:footnoteRef/>
      </w:r>
      <w:r w:rsidRPr="005F09F1">
        <w:t xml:space="preserve"> </w:t>
      </w:r>
      <w:r>
        <w:tab/>
      </w:r>
      <w:r w:rsidRPr="005F09F1">
        <w:t xml:space="preserve">These dimensions were developed by Kaufmann </w:t>
      </w:r>
      <w:r w:rsidRPr="00B90651">
        <w:rPr>
          <w:i/>
        </w:rPr>
        <w:t>et al</w:t>
      </w:r>
      <w:r w:rsidRPr="005F09F1">
        <w:t>. (1999), including Voice and Accountability, Political Stability and Absence of Violence/Terrorism, Government Effectiveness, Regulatory Quality, Rule of Law, and Control of Corruption.</w:t>
      </w:r>
    </w:p>
    <w:p w14:paraId="1CBF40A6" w14:textId="77777777" w:rsidR="000E3804" w:rsidRPr="00B90651" w:rsidRDefault="000E3804" w:rsidP="005F09F1">
      <w:pPr>
        <w:pStyle w:val="FootnoteText"/>
        <w:rPr>
          <w:sz w:val="10"/>
          <w:szCs w:val="10"/>
        </w:rPr>
      </w:pPr>
    </w:p>
  </w:footnote>
  <w:footnote w:id="3">
    <w:p w14:paraId="4A35BCA1" w14:textId="42353F3C" w:rsidR="000E3804" w:rsidRPr="005F09F1" w:rsidRDefault="000E3804" w:rsidP="005F09F1">
      <w:pPr>
        <w:pStyle w:val="FootnoteText"/>
      </w:pPr>
      <w:r w:rsidRPr="005F09F1">
        <w:rPr>
          <w:rStyle w:val="FootnoteReference"/>
          <w:sz w:val="22"/>
          <w:szCs w:val="22"/>
        </w:rPr>
        <w:footnoteRef/>
      </w:r>
      <w:r w:rsidRPr="005F09F1">
        <w:t xml:space="preserve"> </w:t>
      </w:r>
      <w:r>
        <w:tab/>
      </w:r>
      <w:r w:rsidRPr="005F09F1">
        <w:t xml:space="preserve">Items with </w:t>
      </w:r>
      <w:r>
        <w:t>‘</w:t>
      </w:r>
      <w:r w:rsidRPr="005F09F1">
        <w:rPr>
          <w:i/>
        </w:rPr>
        <w:t xml:space="preserve">Don’t </w:t>
      </w:r>
      <w:r>
        <w:rPr>
          <w:i/>
        </w:rPr>
        <w:t>K</w:t>
      </w:r>
      <w:r w:rsidRPr="005F09F1">
        <w:rPr>
          <w:i/>
        </w:rPr>
        <w:t>now</w:t>
      </w:r>
      <w:r>
        <w:t>’</w:t>
      </w:r>
      <w:r w:rsidRPr="005F09F1">
        <w:t xml:space="preserve"> answers do not contribute to the overall average perceived gap. If a respondent gave a score for institutional quality in N</w:t>
      </w:r>
      <w:r w:rsidR="00CE2218">
        <w:t>ew Zealand</w:t>
      </w:r>
      <w:r w:rsidRPr="005F09F1">
        <w:t xml:space="preserve"> and consistently chose </w:t>
      </w:r>
      <w:r>
        <w:t>‘</w:t>
      </w:r>
      <w:r w:rsidRPr="005F09F1">
        <w:rPr>
          <w:i/>
        </w:rPr>
        <w:t xml:space="preserve">Don’t </w:t>
      </w:r>
      <w:r>
        <w:rPr>
          <w:i/>
        </w:rPr>
        <w:t>K</w:t>
      </w:r>
      <w:r w:rsidRPr="005F09F1">
        <w:rPr>
          <w:i/>
        </w:rPr>
        <w:t>now</w:t>
      </w:r>
      <w:r>
        <w:t>’</w:t>
      </w:r>
      <w:r w:rsidRPr="005F09F1">
        <w:t xml:space="preserve"> when evaluating institutional quality in V</w:t>
      </w:r>
      <w:r w:rsidR="00CE2218">
        <w:t>iet Nam</w:t>
      </w:r>
      <w:r w:rsidRPr="005F09F1">
        <w:t xml:space="preserve">, the overall perceived gap of institutional quality between the two countries was assumed to be at the lowest level, </w:t>
      </w:r>
      <w:r>
        <w:t>that is,</w:t>
      </w:r>
      <w:r w:rsidRPr="005F09F1">
        <w:t xml:space="preserve"> one.</w:t>
      </w:r>
    </w:p>
  </w:footnote>
  <w:footnote w:id="4">
    <w:p w14:paraId="5197A242" w14:textId="0DE141CC" w:rsidR="000E3804" w:rsidRDefault="000E3804" w:rsidP="005F09F1">
      <w:pPr>
        <w:pStyle w:val="FootnoteText"/>
      </w:pPr>
      <w:r w:rsidRPr="00B370ED">
        <w:rPr>
          <w:rStyle w:val="FootnoteReference"/>
          <w:sz w:val="22"/>
          <w:szCs w:val="22"/>
        </w:rPr>
        <w:footnoteRef/>
      </w:r>
      <w:r w:rsidRPr="00B370ED">
        <w:t xml:space="preserve"> </w:t>
      </w:r>
      <w:r>
        <w:tab/>
      </w:r>
      <w:r w:rsidRPr="00B370ED">
        <w:t xml:space="preserve">The average weekly wage in </w:t>
      </w:r>
      <w:r w:rsidRPr="004579F3">
        <w:t>Viet Nam</w:t>
      </w:r>
      <w:r w:rsidRPr="00B370ED">
        <w:t xml:space="preserve"> was 243.72 NZD in 2016. This number was calculated from the Labour Market Reports published by the Ministry of Labour – Invalids and Social Affairs of </w:t>
      </w:r>
      <w:r w:rsidRPr="004579F3">
        <w:t>Viet Nam</w:t>
      </w:r>
      <w:r w:rsidRPr="00B370ED">
        <w:t xml:space="preserve"> (MOLISA) and converted to N</w:t>
      </w:r>
      <w:r>
        <w:t>ew Zealand</w:t>
      </w:r>
      <w:r w:rsidRPr="00B370ED">
        <w:t xml:space="preserve"> dollars at the 2016 purchasing power parity (PPP) exchange rate of 5,113.55 </w:t>
      </w:r>
      <w:r w:rsidRPr="004579F3">
        <w:t>Viet Nam</w:t>
      </w:r>
      <w:r w:rsidRPr="00B370ED">
        <w:t xml:space="preserve"> dongs per N</w:t>
      </w:r>
      <w:r>
        <w:t>ew Zealand</w:t>
      </w:r>
      <w:r w:rsidRPr="00B370ED">
        <w:t xml:space="preserve"> dollar, calculated using data on the Implied PPP Conversion Rate from the World Economic Outlook (WEO) dataset compiled by the International Monetary Fund (IMF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8EC"/>
    <w:multiLevelType w:val="hybridMultilevel"/>
    <w:tmpl w:val="4D5403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1CBE"/>
    <w:multiLevelType w:val="hybridMultilevel"/>
    <w:tmpl w:val="A914199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4E47"/>
    <w:multiLevelType w:val="hybridMultilevel"/>
    <w:tmpl w:val="88049EEC"/>
    <w:lvl w:ilvl="0" w:tplc="CDF6EF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018D"/>
    <w:multiLevelType w:val="hybridMultilevel"/>
    <w:tmpl w:val="3B44FB2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55DC8"/>
    <w:multiLevelType w:val="hybridMultilevel"/>
    <w:tmpl w:val="3C4A54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3E0D"/>
    <w:multiLevelType w:val="hybridMultilevel"/>
    <w:tmpl w:val="5AC843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9BA"/>
    <w:multiLevelType w:val="hybridMultilevel"/>
    <w:tmpl w:val="DC4CDB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A5BA5"/>
    <w:multiLevelType w:val="hybridMultilevel"/>
    <w:tmpl w:val="2D56C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82DA7"/>
    <w:multiLevelType w:val="hybridMultilevel"/>
    <w:tmpl w:val="471A40D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72720B"/>
    <w:multiLevelType w:val="hybridMultilevel"/>
    <w:tmpl w:val="3C4A547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56C4F"/>
    <w:multiLevelType w:val="hybridMultilevel"/>
    <w:tmpl w:val="C74400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1295"/>
    <w:multiLevelType w:val="hybridMultilevel"/>
    <w:tmpl w:val="F29ABEC4"/>
    <w:lvl w:ilvl="0" w:tplc="F8C440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NZ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2D"/>
    <w:rsid w:val="0000059B"/>
    <w:rsid w:val="000005CD"/>
    <w:rsid w:val="00000A14"/>
    <w:rsid w:val="00002EF2"/>
    <w:rsid w:val="0000443B"/>
    <w:rsid w:val="00004AB2"/>
    <w:rsid w:val="00005E73"/>
    <w:rsid w:val="00006437"/>
    <w:rsid w:val="000065B5"/>
    <w:rsid w:val="0000662F"/>
    <w:rsid w:val="0001672E"/>
    <w:rsid w:val="00016C76"/>
    <w:rsid w:val="000174FB"/>
    <w:rsid w:val="00017894"/>
    <w:rsid w:val="000205FA"/>
    <w:rsid w:val="0002064E"/>
    <w:rsid w:val="000229AA"/>
    <w:rsid w:val="000245C5"/>
    <w:rsid w:val="00025D2D"/>
    <w:rsid w:val="00026B60"/>
    <w:rsid w:val="00030532"/>
    <w:rsid w:val="000337E3"/>
    <w:rsid w:val="00034D7A"/>
    <w:rsid w:val="00034ECE"/>
    <w:rsid w:val="00037689"/>
    <w:rsid w:val="00037887"/>
    <w:rsid w:val="00040053"/>
    <w:rsid w:val="00041B8C"/>
    <w:rsid w:val="00044EE1"/>
    <w:rsid w:val="000473B0"/>
    <w:rsid w:val="000475FA"/>
    <w:rsid w:val="000501A5"/>
    <w:rsid w:val="00050CF0"/>
    <w:rsid w:val="00054B50"/>
    <w:rsid w:val="00054B90"/>
    <w:rsid w:val="000555D2"/>
    <w:rsid w:val="00056F45"/>
    <w:rsid w:val="000570C9"/>
    <w:rsid w:val="00057E0E"/>
    <w:rsid w:val="00062187"/>
    <w:rsid w:val="00062254"/>
    <w:rsid w:val="00062428"/>
    <w:rsid w:val="00062513"/>
    <w:rsid w:val="00062753"/>
    <w:rsid w:val="00064BF5"/>
    <w:rsid w:val="000651CF"/>
    <w:rsid w:val="000666A8"/>
    <w:rsid w:val="00070AF2"/>
    <w:rsid w:val="00070D01"/>
    <w:rsid w:val="00072432"/>
    <w:rsid w:val="00073C50"/>
    <w:rsid w:val="00074554"/>
    <w:rsid w:val="000747A2"/>
    <w:rsid w:val="00075560"/>
    <w:rsid w:val="0007563B"/>
    <w:rsid w:val="00075D84"/>
    <w:rsid w:val="00075F17"/>
    <w:rsid w:val="0007607F"/>
    <w:rsid w:val="000764F8"/>
    <w:rsid w:val="0008102C"/>
    <w:rsid w:val="00082DCE"/>
    <w:rsid w:val="00083683"/>
    <w:rsid w:val="00083B47"/>
    <w:rsid w:val="00083E90"/>
    <w:rsid w:val="00084613"/>
    <w:rsid w:val="0008588D"/>
    <w:rsid w:val="000878C4"/>
    <w:rsid w:val="0009009E"/>
    <w:rsid w:val="0009291C"/>
    <w:rsid w:val="00092E6D"/>
    <w:rsid w:val="00095D2B"/>
    <w:rsid w:val="00096C5A"/>
    <w:rsid w:val="00096F8B"/>
    <w:rsid w:val="000A3576"/>
    <w:rsid w:val="000A5DEF"/>
    <w:rsid w:val="000A6434"/>
    <w:rsid w:val="000A6986"/>
    <w:rsid w:val="000A71A8"/>
    <w:rsid w:val="000B19F4"/>
    <w:rsid w:val="000B45BE"/>
    <w:rsid w:val="000B5CFE"/>
    <w:rsid w:val="000B66D1"/>
    <w:rsid w:val="000B6E55"/>
    <w:rsid w:val="000B76E9"/>
    <w:rsid w:val="000C2B81"/>
    <w:rsid w:val="000C4836"/>
    <w:rsid w:val="000D2101"/>
    <w:rsid w:val="000D456C"/>
    <w:rsid w:val="000D62D0"/>
    <w:rsid w:val="000E0447"/>
    <w:rsid w:val="000E3804"/>
    <w:rsid w:val="000E3C06"/>
    <w:rsid w:val="000E635C"/>
    <w:rsid w:val="000F2ED5"/>
    <w:rsid w:val="000F3237"/>
    <w:rsid w:val="000F362E"/>
    <w:rsid w:val="000F4769"/>
    <w:rsid w:val="000F4ED7"/>
    <w:rsid w:val="000F69E3"/>
    <w:rsid w:val="000F6CDA"/>
    <w:rsid w:val="00104FFB"/>
    <w:rsid w:val="0011056B"/>
    <w:rsid w:val="00110EAA"/>
    <w:rsid w:val="001128F0"/>
    <w:rsid w:val="001145FA"/>
    <w:rsid w:val="00115571"/>
    <w:rsid w:val="00116436"/>
    <w:rsid w:val="00123FDE"/>
    <w:rsid w:val="00124E45"/>
    <w:rsid w:val="00124EF6"/>
    <w:rsid w:val="00126C54"/>
    <w:rsid w:val="0013019C"/>
    <w:rsid w:val="001309DE"/>
    <w:rsid w:val="0013173C"/>
    <w:rsid w:val="00132A0F"/>
    <w:rsid w:val="00132AD1"/>
    <w:rsid w:val="0013380C"/>
    <w:rsid w:val="00133FF6"/>
    <w:rsid w:val="00135414"/>
    <w:rsid w:val="0013543D"/>
    <w:rsid w:val="001358AE"/>
    <w:rsid w:val="00136399"/>
    <w:rsid w:val="001409AB"/>
    <w:rsid w:val="00140A83"/>
    <w:rsid w:val="001428FB"/>
    <w:rsid w:val="001434D3"/>
    <w:rsid w:val="0014408B"/>
    <w:rsid w:val="0014718A"/>
    <w:rsid w:val="00147BFE"/>
    <w:rsid w:val="001511B0"/>
    <w:rsid w:val="00153D94"/>
    <w:rsid w:val="00155113"/>
    <w:rsid w:val="00156DD9"/>
    <w:rsid w:val="0015746E"/>
    <w:rsid w:val="0015763B"/>
    <w:rsid w:val="00160660"/>
    <w:rsid w:val="00161064"/>
    <w:rsid w:val="00164BE3"/>
    <w:rsid w:val="00165EB3"/>
    <w:rsid w:val="00166BA1"/>
    <w:rsid w:val="00167B0E"/>
    <w:rsid w:val="00170302"/>
    <w:rsid w:val="00170F59"/>
    <w:rsid w:val="00171705"/>
    <w:rsid w:val="00172077"/>
    <w:rsid w:val="00172F0A"/>
    <w:rsid w:val="00173FCC"/>
    <w:rsid w:val="00174F94"/>
    <w:rsid w:val="0017515E"/>
    <w:rsid w:val="00175DB7"/>
    <w:rsid w:val="001775FE"/>
    <w:rsid w:val="00180111"/>
    <w:rsid w:val="0018015A"/>
    <w:rsid w:val="001804B4"/>
    <w:rsid w:val="00180E95"/>
    <w:rsid w:val="00182B8F"/>
    <w:rsid w:val="00183606"/>
    <w:rsid w:val="00183750"/>
    <w:rsid w:val="00190A2B"/>
    <w:rsid w:val="00191F51"/>
    <w:rsid w:val="0019628F"/>
    <w:rsid w:val="00196566"/>
    <w:rsid w:val="001A0A6F"/>
    <w:rsid w:val="001A10DB"/>
    <w:rsid w:val="001A570A"/>
    <w:rsid w:val="001A6E23"/>
    <w:rsid w:val="001A718A"/>
    <w:rsid w:val="001B0ABE"/>
    <w:rsid w:val="001B10EF"/>
    <w:rsid w:val="001B7274"/>
    <w:rsid w:val="001B7722"/>
    <w:rsid w:val="001C02A7"/>
    <w:rsid w:val="001C18E0"/>
    <w:rsid w:val="001C1A53"/>
    <w:rsid w:val="001C63B9"/>
    <w:rsid w:val="001C717B"/>
    <w:rsid w:val="001D0025"/>
    <w:rsid w:val="001D1340"/>
    <w:rsid w:val="001D4A51"/>
    <w:rsid w:val="001D5A21"/>
    <w:rsid w:val="001D5DD1"/>
    <w:rsid w:val="001D7DD6"/>
    <w:rsid w:val="001E0B0A"/>
    <w:rsid w:val="001E11FC"/>
    <w:rsid w:val="001E1EB7"/>
    <w:rsid w:val="001E2231"/>
    <w:rsid w:val="001E260D"/>
    <w:rsid w:val="001E2A82"/>
    <w:rsid w:val="001E64EA"/>
    <w:rsid w:val="001E722C"/>
    <w:rsid w:val="001F0A9C"/>
    <w:rsid w:val="001F21F1"/>
    <w:rsid w:val="001F3DD4"/>
    <w:rsid w:val="001F467B"/>
    <w:rsid w:val="001F4C7F"/>
    <w:rsid w:val="001F55EA"/>
    <w:rsid w:val="001F6157"/>
    <w:rsid w:val="00201638"/>
    <w:rsid w:val="00201883"/>
    <w:rsid w:val="002026AD"/>
    <w:rsid w:val="0020294D"/>
    <w:rsid w:val="00202965"/>
    <w:rsid w:val="00203901"/>
    <w:rsid w:val="00203D84"/>
    <w:rsid w:val="00204268"/>
    <w:rsid w:val="00205253"/>
    <w:rsid w:val="00205623"/>
    <w:rsid w:val="00207924"/>
    <w:rsid w:val="002101CF"/>
    <w:rsid w:val="00217D9F"/>
    <w:rsid w:val="00222C2A"/>
    <w:rsid w:val="00222CF4"/>
    <w:rsid w:val="00225787"/>
    <w:rsid w:val="0022584D"/>
    <w:rsid w:val="00226B29"/>
    <w:rsid w:val="002274B1"/>
    <w:rsid w:val="00230216"/>
    <w:rsid w:val="0023066C"/>
    <w:rsid w:val="002327CC"/>
    <w:rsid w:val="00233E97"/>
    <w:rsid w:val="00234579"/>
    <w:rsid w:val="00234B98"/>
    <w:rsid w:val="00235F5F"/>
    <w:rsid w:val="00237EFF"/>
    <w:rsid w:val="00240FB9"/>
    <w:rsid w:val="002412DF"/>
    <w:rsid w:val="00247A26"/>
    <w:rsid w:val="00251372"/>
    <w:rsid w:val="002513E8"/>
    <w:rsid w:val="002522CF"/>
    <w:rsid w:val="0025465F"/>
    <w:rsid w:val="002607D4"/>
    <w:rsid w:val="00261BB8"/>
    <w:rsid w:val="00261E18"/>
    <w:rsid w:val="00262DF3"/>
    <w:rsid w:val="00265BBD"/>
    <w:rsid w:val="00266123"/>
    <w:rsid w:val="00270AA9"/>
    <w:rsid w:val="00271AF8"/>
    <w:rsid w:val="00271B08"/>
    <w:rsid w:val="00274060"/>
    <w:rsid w:val="00281AF4"/>
    <w:rsid w:val="00281FF9"/>
    <w:rsid w:val="00282CF0"/>
    <w:rsid w:val="002835A4"/>
    <w:rsid w:val="00283B90"/>
    <w:rsid w:val="002851A4"/>
    <w:rsid w:val="002853FD"/>
    <w:rsid w:val="002872AF"/>
    <w:rsid w:val="0028758A"/>
    <w:rsid w:val="00290674"/>
    <w:rsid w:val="00291460"/>
    <w:rsid w:val="00291A07"/>
    <w:rsid w:val="00294402"/>
    <w:rsid w:val="002944F5"/>
    <w:rsid w:val="00294A20"/>
    <w:rsid w:val="0029543F"/>
    <w:rsid w:val="002977C2"/>
    <w:rsid w:val="002A01F6"/>
    <w:rsid w:val="002A07EF"/>
    <w:rsid w:val="002A173B"/>
    <w:rsid w:val="002A4192"/>
    <w:rsid w:val="002A4B8B"/>
    <w:rsid w:val="002A5BC6"/>
    <w:rsid w:val="002A72B3"/>
    <w:rsid w:val="002B0577"/>
    <w:rsid w:val="002B0916"/>
    <w:rsid w:val="002B194F"/>
    <w:rsid w:val="002B2304"/>
    <w:rsid w:val="002B2BDC"/>
    <w:rsid w:val="002B2EBD"/>
    <w:rsid w:val="002B36A9"/>
    <w:rsid w:val="002B41FB"/>
    <w:rsid w:val="002B4570"/>
    <w:rsid w:val="002C076E"/>
    <w:rsid w:val="002C0CA2"/>
    <w:rsid w:val="002C0D8B"/>
    <w:rsid w:val="002C73D7"/>
    <w:rsid w:val="002C7BB1"/>
    <w:rsid w:val="002C7CBF"/>
    <w:rsid w:val="002C7CD3"/>
    <w:rsid w:val="002D37F9"/>
    <w:rsid w:val="002D4783"/>
    <w:rsid w:val="002D4867"/>
    <w:rsid w:val="002D5B02"/>
    <w:rsid w:val="002D5E41"/>
    <w:rsid w:val="002D6C9D"/>
    <w:rsid w:val="002E1CB4"/>
    <w:rsid w:val="002E286A"/>
    <w:rsid w:val="002E5A36"/>
    <w:rsid w:val="002E5B11"/>
    <w:rsid w:val="002E7747"/>
    <w:rsid w:val="002F124C"/>
    <w:rsid w:val="002F19ED"/>
    <w:rsid w:val="002F2539"/>
    <w:rsid w:val="002F3979"/>
    <w:rsid w:val="002F3C1B"/>
    <w:rsid w:val="002F3C9C"/>
    <w:rsid w:val="002F3F26"/>
    <w:rsid w:val="002F46C4"/>
    <w:rsid w:val="002F5A99"/>
    <w:rsid w:val="003013E6"/>
    <w:rsid w:val="00301BFD"/>
    <w:rsid w:val="00304FD9"/>
    <w:rsid w:val="003079A2"/>
    <w:rsid w:val="00311237"/>
    <w:rsid w:val="00315D2D"/>
    <w:rsid w:val="0032019C"/>
    <w:rsid w:val="003215C8"/>
    <w:rsid w:val="00321FFB"/>
    <w:rsid w:val="0032273C"/>
    <w:rsid w:val="00323DC6"/>
    <w:rsid w:val="00330966"/>
    <w:rsid w:val="00334014"/>
    <w:rsid w:val="0033499E"/>
    <w:rsid w:val="00335461"/>
    <w:rsid w:val="00336F90"/>
    <w:rsid w:val="00337690"/>
    <w:rsid w:val="00337B3F"/>
    <w:rsid w:val="003431F3"/>
    <w:rsid w:val="003460FF"/>
    <w:rsid w:val="0034798C"/>
    <w:rsid w:val="00347C50"/>
    <w:rsid w:val="00351CF3"/>
    <w:rsid w:val="003528BE"/>
    <w:rsid w:val="00354555"/>
    <w:rsid w:val="003549B1"/>
    <w:rsid w:val="00354E2B"/>
    <w:rsid w:val="00365CD2"/>
    <w:rsid w:val="00367782"/>
    <w:rsid w:val="00372378"/>
    <w:rsid w:val="00373355"/>
    <w:rsid w:val="003745EB"/>
    <w:rsid w:val="00374D56"/>
    <w:rsid w:val="00375533"/>
    <w:rsid w:val="003755EB"/>
    <w:rsid w:val="003770EF"/>
    <w:rsid w:val="00380BBF"/>
    <w:rsid w:val="00381DEC"/>
    <w:rsid w:val="00382234"/>
    <w:rsid w:val="00382708"/>
    <w:rsid w:val="00382C81"/>
    <w:rsid w:val="0038358E"/>
    <w:rsid w:val="00383E98"/>
    <w:rsid w:val="00385F03"/>
    <w:rsid w:val="0038689E"/>
    <w:rsid w:val="00390F02"/>
    <w:rsid w:val="00391243"/>
    <w:rsid w:val="00394ABD"/>
    <w:rsid w:val="003959B5"/>
    <w:rsid w:val="003A2420"/>
    <w:rsid w:val="003A4A80"/>
    <w:rsid w:val="003A5777"/>
    <w:rsid w:val="003A5D53"/>
    <w:rsid w:val="003B196B"/>
    <w:rsid w:val="003B3C4E"/>
    <w:rsid w:val="003B432E"/>
    <w:rsid w:val="003B5CFF"/>
    <w:rsid w:val="003B6FA6"/>
    <w:rsid w:val="003B757E"/>
    <w:rsid w:val="003C318C"/>
    <w:rsid w:val="003C57DC"/>
    <w:rsid w:val="003D1000"/>
    <w:rsid w:val="003D345D"/>
    <w:rsid w:val="003D5B06"/>
    <w:rsid w:val="003D5B17"/>
    <w:rsid w:val="003D5DD3"/>
    <w:rsid w:val="003D6319"/>
    <w:rsid w:val="003E259E"/>
    <w:rsid w:val="003E390A"/>
    <w:rsid w:val="003E57E0"/>
    <w:rsid w:val="003E5A2B"/>
    <w:rsid w:val="003E5ADA"/>
    <w:rsid w:val="003F08A4"/>
    <w:rsid w:val="003F17A1"/>
    <w:rsid w:val="003F1D29"/>
    <w:rsid w:val="003F2747"/>
    <w:rsid w:val="003F2EE7"/>
    <w:rsid w:val="003F64B2"/>
    <w:rsid w:val="003F6CFD"/>
    <w:rsid w:val="003F7E18"/>
    <w:rsid w:val="004009C2"/>
    <w:rsid w:val="00400CC0"/>
    <w:rsid w:val="00402D6B"/>
    <w:rsid w:val="00403B5D"/>
    <w:rsid w:val="00410BC9"/>
    <w:rsid w:val="00410D34"/>
    <w:rsid w:val="00412D8C"/>
    <w:rsid w:val="004148E0"/>
    <w:rsid w:val="00414B97"/>
    <w:rsid w:val="00416279"/>
    <w:rsid w:val="00420B31"/>
    <w:rsid w:val="0042242D"/>
    <w:rsid w:val="00422BBB"/>
    <w:rsid w:val="00426738"/>
    <w:rsid w:val="0042752D"/>
    <w:rsid w:val="0043091D"/>
    <w:rsid w:val="004326E1"/>
    <w:rsid w:val="004347D8"/>
    <w:rsid w:val="004349E0"/>
    <w:rsid w:val="00434C4D"/>
    <w:rsid w:val="00444778"/>
    <w:rsid w:val="00446972"/>
    <w:rsid w:val="00447DE4"/>
    <w:rsid w:val="004529BF"/>
    <w:rsid w:val="004530F6"/>
    <w:rsid w:val="0045344D"/>
    <w:rsid w:val="00455098"/>
    <w:rsid w:val="00455CAA"/>
    <w:rsid w:val="00456FF5"/>
    <w:rsid w:val="004579F3"/>
    <w:rsid w:val="00457F41"/>
    <w:rsid w:val="004609B4"/>
    <w:rsid w:val="004621BE"/>
    <w:rsid w:val="00462DAF"/>
    <w:rsid w:val="00463813"/>
    <w:rsid w:val="00463CF8"/>
    <w:rsid w:val="004664E2"/>
    <w:rsid w:val="00466B0A"/>
    <w:rsid w:val="00467189"/>
    <w:rsid w:val="0047092A"/>
    <w:rsid w:val="00470EE5"/>
    <w:rsid w:val="00470EE9"/>
    <w:rsid w:val="00471743"/>
    <w:rsid w:val="00471846"/>
    <w:rsid w:val="00473870"/>
    <w:rsid w:val="0047430F"/>
    <w:rsid w:val="00474874"/>
    <w:rsid w:val="004779B2"/>
    <w:rsid w:val="00480B64"/>
    <w:rsid w:val="00482B48"/>
    <w:rsid w:val="004830CD"/>
    <w:rsid w:val="004839A4"/>
    <w:rsid w:val="004845E2"/>
    <w:rsid w:val="0048471C"/>
    <w:rsid w:val="0049083F"/>
    <w:rsid w:val="004927B5"/>
    <w:rsid w:val="004929D0"/>
    <w:rsid w:val="004934A6"/>
    <w:rsid w:val="00493B0C"/>
    <w:rsid w:val="00496D23"/>
    <w:rsid w:val="00497008"/>
    <w:rsid w:val="004A0B3B"/>
    <w:rsid w:val="004A27C5"/>
    <w:rsid w:val="004A4950"/>
    <w:rsid w:val="004A4DE9"/>
    <w:rsid w:val="004A530F"/>
    <w:rsid w:val="004A6905"/>
    <w:rsid w:val="004A6AAA"/>
    <w:rsid w:val="004A6D67"/>
    <w:rsid w:val="004B46CC"/>
    <w:rsid w:val="004C2197"/>
    <w:rsid w:val="004C53EE"/>
    <w:rsid w:val="004C626D"/>
    <w:rsid w:val="004C6703"/>
    <w:rsid w:val="004D084E"/>
    <w:rsid w:val="004D0E25"/>
    <w:rsid w:val="004D1BCF"/>
    <w:rsid w:val="004D3BA0"/>
    <w:rsid w:val="004D4858"/>
    <w:rsid w:val="004D6EC4"/>
    <w:rsid w:val="004D7D1E"/>
    <w:rsid w:val="004D7D8C"/>
    <w:rsid w:val="004E03B3"/>
    <w:rsid w:val="004E0E23"/>
    <w:rsid w:val="004F03D2"/>
    <w:rsid w:val="004F0C0B"/>
    <w:rsid w:val="004F1800"/>
    <w:rsid w:val="004F19B8"/>
    <w:rsid w:val="004F2FBE"/>
    <w:rsid w:val="004F410F"/>
    <w:rsid w:val="004F4A04"/>
    <w:rsid w:val="004F4D78"/>
    <w:rsid w:val="004F5F69"/>
    <w:rsid w:val="004F6A21"/>
    <w:rsid w:val="0050028D"/>
    <w:rsid w:val="00501E69"/>
    <w:rsid w:val="00502163"/>
    <w:rsid w:val="005060BB"/>
    <w:rsid w:val="00506556"/>
    <w:rsid w:val="005069AC"/>
    <w:rsid w:val="00506EF4"/>
    <w:rsid w:val="0051313B"/>
    <w:rsid w:val="00515089"/>
    <w:rsid w:val="005151E1"/>
    <w:rsid w:val="005165B3"/>
    <w:rsid w:val="005166C5"/>
    <w:rsid w:val="0051685D"/>
    <w:rsid w:val="0052054B"/>
    <w:rsid w:val="0052103F"/>
    <w:rsid w:val="0052337C"/>
    <w:rsid w:val="00523979"/>
    <w:rsid w:val="00524D21"/>
    <w:rsid w:val="00525EBB"/>
    <w:rsid w:val="00526A07"/>
    <w:rsid w:val="00527F71"/>
    <w:rsid w:val="00530494"/>
    <w:rsid w:val="00532040"/>
    <w:rsid w:val="00533CA2"/>
    <w:rsid w:val="00534870"/>
    <w:rsid w:val="00541002"/>
    <w:rsid w:val="00542CBC"/>
    <w:rsid w:val="00542D21"/>
    <w:rsid w:val="005433EA"/>
    <w:rsid w:val="005476CF"/>
    <w:rsid w:val="00547F05"/>
    <w:rsid w:val="00551AD1"/>
    <w:rsid w:val="00552B0D"/>
    <w:rsid w:val="005536BD"/>
    <w:rsid w:val="00553825"/>
    <w:rsid w:val="00553BAF"/>
    <w:rsid w:val="00557E3C"/>
    <w:rsid w:val="00560805"/>
    <w:rsid w:val="00563ECB"/>
    <w:rsid w:val="00566819"/>
    <w:rsid w:val="00566B09"/>
    <w:rsid w:val="005679DB"/>
    <w:rsid w:val="00570E72"/>
    <w:rsid w:val="005717A4"/>
    <w:rsid w:val="0057242D"/>
    <w:rsid w:val="005729C7"/>
    <w:rsid w:val="00572BA1"/>
    <w:rsid w:val="00574C91"/>
    <w:rsid w:val="00576739"/>
    <w:rsid w:val="00581AA7"/>
    <w:rsid w:val="00581C51"/>
    <w:rsid w:val="0058295F"/>
    <w:rsid w:val="00582AAA"/>
    <w:rsid w:val="00582B38"/>
    <w:rsid w:val="00582C00"/>
    <w:rsid w:val="005834C4"/>
    <w:rsid w:val="005855DF"/>
    <w:rsid w:val="0058570F"/>
    <w:rsid w:val="00585CB9"/>
    <w:rsid w:val="005861CE"/>
    <w:rsid w:val="00586CAD"/>
    <w:rsid w:val="005876EE"/>
    <w:rsid w:val="00591042"/>
    <w:rsid w:val="00591199"/>
    <w:rsid w:val="005922E9"/>
    <w:rsid w:val="00594064"/>
    <w:rsid w:val="005A0BA8"/>
    <w:rsid w:val="005A0EF5"/>
    <w:rsid w:val="005A15E3"/>
    <w:rsid w:val="005A1677"/>
    <w:rsid w:val="005A3603"/>
    <w:rsid w:val="005A36F2"/>
    <w:rsid w:val="005A3B9F"/>
    <w:rsid w:val="005A4589"/>
    <w:rsid w:val="005A54F9"/>
    <w:rsid w:val="005A5FBF"/>
    <w:rsid w:val="005B035C"/>
    <w:rsid w:val="005B058E"/>
    <w:rsid w:val="005B1C34"/>
    <w:rsid w:val="005B26AE"/>
    <w:rsid w:val="005B2A63"/>
    <w:rsid w:val="005B2FEA"/>
    <w:rsid w:val="005B38B6"/>
    <w:rsid w:val="005B41BE"/>
    <w:rsid w:val="005B44BB"/>
    <w:rsid w:val="005B5250"/>
    <w:rsid w:val="005B667A"/>
    <w:rsid w:val="005C082E"/>
    <w:rsid w:val="005C25B8"/>
    <w:rsid w:val="005C4181"/>
    <w:rsid w:val="005C4CB3"/>
    <w:rsid w:val="005C5B83"/>
    <w:rsid w:val="005C6797"/>
    <w:rsid w:val="005C74AA"/>
    <w:rsid w:val="005D2703"/>
    <w:rsid w:val="005D2A7B"/>
    <w:rsid w:val="005D4308"/>
    <w:rsid w:val="005D4B73"/>
    <w:rsid w:val="005D60C0"/>
    <w:rsid w:val="005D6F09"/>
    <w:rsid w:val="005D7C9A"/>
    <w:rsid w:val="005E0B46"/>
    <w:rsid w:val="005E2E55"/>
    <w:rsid w:val="005E3850"/>
    <w:rsid w:val="005E509D"/>
    <w:rsid w:val="005E5294"/>
    <w:rsid w:val="005E57B2"/>
    <w:rsid w:val="005E6891"/>
    <w:rsid w:val="005E7DC1"/>
    <w:rsid w:val="005F09F1"/>
    <w:rsid w:val="005F37BF"/>
    <w:rsid w:val="005F5CE5"/>
    <w:rsid w:val="00601ABB"/>
    <w:rsid w:val="00604A9E"/>
    <w:rsid w:val="006071FE"/>
    <w:rsid w:val="0060792B"/>
    <w:rsid w:val="00610FCB"/>
    <w:rsid w:val="0061340E"/>
    <w:rsid w:val="006139FE"/>
    <w:rsid w:val="00613B93"/>
    <w:rsid w:val="00614E83"/>
    <w:rsid w:val="00615067"/>
    <w:rsid w:val="0061704A"/>
    <w:rsid w:val="00620B03"/>
    <w:rsid w:val="00620D00"/>
    <w:rsid w:val="00623C14"/>
    <w:rsid w:val="00624035"/>
    <w:rsid w:val="0062777D"/>
    <w:rsid w:val="00627892"/>
    <w:rsid w:val="006303EF"/>
    <w:rsid w:val="00630A3D"/>
    <w:rsid w:val="00635C5A"/>
    <w:rsid w:val="00636382"/>
    <w:rsid w:val="00637BF3"/>
    <w:rsid w:val="00642A36"/>
    <w:rsid w:val="00644365"/>
    <w:rsid w:val="00644422"/>
    <w:rsid w:val="00646384"/>
    <w:rsid w:val="00651D66"/>
    <w:rsid w:val="00651F5B"/>
    <w:rsid w:val="0065244A"/>
    <w:rsid w:val="00652849"/>
    <w:rsid w:val="00653172"/>
    <w:rsid w:val="0065422A"/>
    <w:rsid w:val="006556E4"/>
    <w:rsid w:val="00655DF1"/>
    <w:rsid w:val="00657AF2"/>
    <w:rsid w:val="00660680"/>
    <w:rsid w:val="00660B07"/>
    <w:rsid w:val="00660E0A"/>
    <w:rsid w:val="00663A14"/>
    <w:rsid w:val="00663F14"/>
    <w:rsid w:val="00664313"/>
    <w:rsid w:val="00664673"/>
    <w:rsid w:val="0066609F"/>
    <w:rsid w:val="00670E32"/>
    <w:rsid w:val="00671FFD"/>
    <w:rsid w:val="00675600"/>
    <w:rsid w:val="0067602E"/>
    <w:rsid w:val="006767A5"/>
    <w:rsid w:val="0067787C"/>
    <w:rsid w:val="00681C5D"/>
    <w:rsid w:val="0068204F"/>
    <w:rsid w:val="0068205E"/>
    <w:rsid w:val="00683166"/>
    <w:rsid w:val="0068345E"/>
    <w:rsid w:val="00684714"/>
    <w:rsid w:val="0068522F"/>
    <w:rsid w:val="0068587A"/>
    <w:rsid w:val="00686337"/>
    <w:rsid w:val="00686FF8"/>
    <w:rsid w:val="00687D6D"/>
    <w:rsid w:val="00687DB2"/>
    <w:rsid w:val="0069049C"/>
    <w:rsid w:val="006907C1"/>
    <w:rsid w:val="00690AAA"/>
    <w:rsid w:val="006910FC"/>
    <w:rsid w:val="006912BB"/>
    <w:rsid w:val="00691711"/>
    <w:rsid w:val="00692DDC"/>
    <w:rsid w:val="00697C38"/>
    <w:rsid w:val="006A177D"/>
    <w:rsid w:val="006A3AA4"/>
    <w:rsid w:val="006A47C6"/>
    <w:rsid w:val="006A5A84"/>
    <w:rsid w:val="006A6FF4"/>
    <w:rsid w:val="006A77E5"/>
    <w:rsid w:val="006B199E"/>
    <w:rsid w:val="006B3D9D"/>
    <w:rsid w:val="006B3EEA"/>
    <w:rsid w:val="006B4128"/>
    <w:rsid w:val="006B5C09"/>
    <w:rsid w:val="006B7979"/>
    <w:rsid w:val="006C15E6"/>
    <w:rsid w:val="006C326C"/>
    <w:rsid w:val="006C5114"/>
    <w:rsid w:val="006C61E3"/>
    <w:rsid w:val="006C6202"/>
    <w:rsid w:val="006C6D8C"/>
    <w:rsid w:val="006D090F"/>
    <w:rsid w:val="006D20F7"/>
    <w:rsid w:val="006D3355"/>
    <w:rsid w:val="006D4E39"/>
    <w:rsid w:val="006D5708"/>
    <w:rsid w:val="006D5D65"/>
    <w:rsid w:val="006D6FCE"/>
    <w:rsid w:val="006E32B8"/>
    <w:rsid w:val="006E6A6C"/>
    <w:rsid w:val="006E71F4"/>
    <w:rsid w:val="006F0E7C"/>
    <w:rsid w:val="006F1403"/>
    <w:rsid w:val="006F3177"/>
    <w:rsid w:val="006F4542"/>
    <w:rsid w:val="006F6227"/>
    <w:rsid w:val="006F75A0"/>
    <w:rsid w:val="00702CB8"/>
    <w:rsid w:val="00703353"/>
    <w:rsid w:val="00704158"/>
    <w:rsid w:val="00704597"/>
    <w:rsid w:val="0070477A"/>
    <w:rsid w:val="007056D6"/>
    <w:rsid w:val="00705DE4"/>
    <w:rsid w:val="00707946"/>
    <w:rsid w:val="007101EB"/>
    <w:rsid w:val="0071115E"/>
    <w:rsid w:val="00712DD6"/>
    <w:rsid w:val="007154BA"/>
    <w:rsid w:val="0071693E"/>
    <w:rsid w:val="007169C3"/>
    <w:rsid w:val="00716BAC"/>
    <w:rsid w:val="007172BD"/>
    <w:rsid w:val="00721427"/>
    <w:rsid w:val="0072350A"/>
    <w:rsid w:val="007247AF"/>
    <w:rsid w:val="0072488F"/>
    <w:rsid w:val="00726C17"/>
    <w:rsid w:val="00730434"/>
    <w:rsid w:val="0073145D"/>
    <w:rsid w:val="007336B2"/>
    <w:rsid w:val="00733EE4"/>
    <w:rsid w:val="007355AC"/>
    <w:rsid w:val="00737FEF"/>
    <w:rsid w:val="007402FB"/>
    <w:rsid w:val="00741F15"/>
    <w:rsid w:val="00741FE2"/>
    <w:rsid w:val="007444CC"/>
    <w:rsid w:val="0074575A"/>
    <w:rsid w:val="00746825"/>
    <w:rsid w:val="00750A50"/>
    <w:rsid w:val="00751B30"/>
    <w:rsid w:val="00751EDF"/>
    <w:rsid w:val="00752536"/>
    <w:rsid w:val="00756DAB"/>
    <w:rsid w:val="00761E67"/>
    <w:rsid w:val="007631E1"/>
    <w:rsid w:val="00763454"/>
    <w:rsid w:val="007675F4"/>
    <w:rsid w:val="007677EF"/>
    <w:rsid w:val="0077109B"/>
    <w:rsid w:val="00772240"/>
    <w:rsid w:val="00774C3A"/>
    <w:rsid w:val="00775182"/>
    <w:rsid w:val="0077529F"/>
    <w:rsid w:val="0077664E"/>
    <w:rsid w:val="007817BF"/>
    <w:rsid w:val="00782789"/>
    <w:rsid w:val="007866D9"/>
    <w:rsid w:val="00787497"/>
    <w:rsid w:val="00787DD0"/>
    <w:rsid w:val="0079059C"/>
    <w:rsid w:val="00790805"/>
    <w:rsid w:val="00790868"/>
    <w:rsid w:val="007908BE"/>
    <w:rsid w:val="00792BD7"/>
    <w:rsid w:val="007940D0"/>
    <w:rsid w:val="00794E4E"/>
    <w:rsid w:val="00795D20"/>
    <w:rsid w:val="007A0B7F"/>
    <w:rsid w:val="007A5873"/>
    <w:rsid w:val="007A668A"/>
    <w:rsid w:val="007B218A"/>
    <w:rsid w:val="007B289C"/>
    <w:rsid w:val="007B4630"/>
    <w:rsid w:val="007B508F"/>
    <w:rsid w:val="007C1093"/>
    <w:rsid w:val="007C3091"/>
    <w:rsid w:val="007C3500"/>
    <w:rsid w:val="007C39AB"/>
    <w:rsid w:val="007C3CD6"/>
    <w:rsid w:val="007C443D"/>
    <w:rsid w:val="007D29FB"/>
    <w:rsid w:val="007D29FE"/>
    <w:rsid w:val="007D36F0"/>
    <w:rsid w:val="007D3DCC"/>
    <w:rsid w:val="007D60A1"/>
    <w:rsid w:val="007E048D"/>
    <w:rsid w:val="007E0841"/>
    <w:rsid w:val="007E161B"/>
    <w:rsid w:val="007E41DC"/>
    <w:rsid w:val="007E4264"/>
    <w:rsid w:val="007F1191"/>
    <w:rsid w:val="007F2660"/>
    <w:rsid w:val="008029BF"/>
    <w:rsid w:val="00803399"/>
    <w:rsid w:val="00806600"/>
    <w:rsid w:val="00810A89"/>
    <w:rsid w:val="00811200"/>
    <w:rsid w:val="008128C9"/>
    <w:rsid w:val="00815BDD"/>
    <w:rsid w:val="00815C2C"/>
    <w:rsid w:val="008167F6"/>
    <w:rsid w:val="00820D63"/>
    <w:rsid w:val="008218D8"/>
    <w:rsid w:val="008257F8"/>
    <w:rsid w:val="0082782B"/>
    <w:rsid w:val="0083015C"/>
    <w:rsid w:val="008310D1"/>
    <w:rsid w:val="00831B6A"/>
    <w:rsid w:val="00832AEB"/>
    <w:rsid w:val="00834633"/>
    <w:rsid w:val="008352FB"/>
    <w:rsid w:val="00836AD9"/>
    <w:rsid w:val="00846A1E"/>
    <w:rsid w:val="00852B18"/>
    <w:rsid w:val="008532D4"/>
    <w:rsid w:val="0085395A"/>
    <w:rsid w:val="008541B0"/>
    <w:rsid w:val="00854DD5"/>
    <w:rsid w:val="0085625E"/>
    <w:rsid w:val="0085693D"/>
    <w:rsid w:val="00860D8C"/>
    <w:rsid w:val="0086203D"/>
    <w:rsid w:val="00862592"/>
    <w:rsid w:val="00863425"/>
    <w:rsid w:val="00863E24"/>
    <w:rsid w:val="00864018"/>
    <w:rsid w:val="0086635E"/>
    <w:rsid w:val="008669C3"/>
    <w:rsid w:val="008672DB"/>
    <w:rsid w:val="00870CC0"/>
    <w:rsid w:val="0087339E"/>
    <w:rsid w:val="00873F46"/>
    <w:rsid w:val="008749AD"/>
    <w:rsid w:val="00880971"/>
    <w:rsid w:val="00880E09"/>
    <w:rsid w:val="008819E9"/>
    <w:rsid w:val="00882417"/>
    <w:rsid w:val="00884651"/>
    <w:rsid w:val="00886234"/>
    <w:rsid w:val="00886AC4"/>
    <w:rsid w:val="00887AEA"/>
    <w:rsid w:val="0089044C"/>
    <w:rsid w:val="00890675"/>
    <w:rsid w:val="0089263E"/>
    <w:rsid w:val="008972A0"/>
    <w:rsid w:val="008978AF"/>
    <w:rsid w:val="008A038F"/>
    <w:rsid w:val="008A233C"/>
    <w:rsid w:val="008A2A08"/>
    <w:rsid w:val="008A2C2B"/>
    <w:rsid w:val="008A5F8E"/>
    <w:rsid w:val="008A6B6D"/>
    <w:rsid w:val="008B0C5B"/>
    <w:rsid w:val="008B0FF5"/>
    <w:rsid w:val="008B1AC1"/>
    <w:rsid w:val="008B1C99"/>
    <w:rsid w:val="008B4DEA"/>
    <w:rsid w:val="008B70B8"/>
    <w:rsid w:val="008C1C12"/>
    <w:rsid w:val="008C5AD2"/>
    <w:rsid w:val="008C6A14"/>
    <w:rsid w:val="008C7402"/>
    <w:rsid w:val="008C78DB"/>
    <w:rsid w:val="008D1B4E"/>
    <w:rsid w:val="008D3DB5"/>
    <w:rsid w:val="008D4068"/>
    <w:rsid w:val="008D49D9"/>
    <w:rsid w:val="008E66D0"/>
    <w:rsid w:val="008F1EAD"/>
    <w:rsid w:val="008F7037"/>
    <w:rsid w:val="008F77FE"/>
    <w:rsid w:val="009025BC"/>
    <w:rsid w:val="009041C8"/>
    <w:rsid w:val="00907696"/>
    <w:rsid w:val="00910703"/>
    <w:rsid w:val="00911F2C"/>
    <w:rsid w:val="00912105"/>
    <w:rsid w:val="00912CDF"/>
    <w:rsid w:val="00912E9D"/>
    <w:rsid w:val="00913637"/>
    <w:rsid w:val="00915182"/>
    <w:rsid w:val="00915922"/>
    <w:rsid w:val="009217CD"/>
    <w:rsid w:val="00923141"/>
    <w:rsid w:val="0092453A"/>
    <w:rsid w:val="009252EE"/>
    <w:rsid w:val="0092698D"/>
    <w:rsid w:val="00930FCA"/>
    <w:rsid w:val="0093111A"/>
    <w:rsid w:val="0093124A"/>
    <w:rsid w:val="0093130A"/>
    <w:rsid w:val="0093208A"/>
    <w:rsid w:val="00932240"/>
    <w:rsid w:val="009328CE"/>
    <w:rsid w:val="00934F46"/>
    <w:rsid w:val="00934F73"/>
    <w:rsid w:val="00935B5D"/>
    <w:rsid w:val="00936890"/>
    <w:rsid w:val="00936FBD"/>
    <w:rsid w:val="00937338"/>
    <w:rsid w:val="00940D64"/>
    <w:rsid w:val="009449ED"/>
    <w:rsid w:val="009455A2"/>
    <w:rsid w:val="009458EA"/>
    <w:rsid w:val="00945FA0"/>
    <w:rsid w:val="009528A7"/>
    <w:rsid w:val="0095466A"/>
    <w:rsid w:val="0095504F"/>
    <w:rsid w:val="00956E58"/>
    <w:rsid w:val="0096007B"/>
    <w:rsid w:val="00965421"/>
    <w:rsid w:val="0096547B"/>
    <w:rsid w:val="00966491"/>
    <w:rsid w:val="00970A09"/>
    <w:rsid w:val="009757F7"/>
    <w:rsid w:val="009774AB"/>
    <w:rsid w:val="0098066D"/>
    <w:rsid w:val="0098138B"/>
    <w:rsid w:val="00982FA7"/>
    <w:rsid w:val="00983BF7"/>
    <w:rsid w:val="00987011"/>
    <w:rsid w:val="0099136E"/>
    <w:rsid w:val="009918A5"/>
    <w:rsid w:val="00992D89"/>
    <w:rsid w:val="00993081"/>
    <w:rsid w:val="0099313F"/>
    <w:rsid w:val="00995BC9"/>
    <w:rsid w:val="00996461"/>
    <w:rsid w:val="009A3655"/>
    <w:rsid w:val="009A5CA2"/>
    <w:rsid w:val="009A5E4D"/>
    <w:rsid w:val="009A7C55"/>
    <w:rsid w:val="009B0B10"/>
    <w:rsid w:val="009B0D85"/>
    <w:rsid w:val="009B15FE"/>
    <w:rsid w:val="009B2462"/>
    <w:rsid w:val="009B3098"/>
    <w:rsid w:val="009B31D7"/>
    <w:rsid w:val="009B73F6"/>
    <w:rsid w:val="009B7D24"/>
    <w:rsid w:val="009C07F5"/>
    <w:rsid w:val="009C1CFD"/>
    <w:rsid w:val="009C22E2"/>
    <w:rsid w:val="009C3757"/>
    <w:rsid w:val="009C4360"/>
    <w:rsid w:val="009C4588"/>
    <w:rsid w:val="009C6050"/>
    <w:rsid w:val="009C61E4"/>
    <w:rsid w:val="009C6FE4"/>
    <w:rsid w:val="009C7BE9"/>
    <w:rsid w:val="009D0CD8"/>
    <w:rsid w:val="009E0BF8"/>
    <w:rsid w:val="009E207A"/>
    <w:rsid w:val="009E2181"/>
    <w:rsid w:val="009E21AB"/>
    <w:rsid w:val="009E31B4"/>
    <w:rsid w:val="009E41FA"/>
    <w:rsid w:val="009E44F4"/>
    <w:rsid w:val="009E69A1"/>
    <w:rsid w:val="009E7E6B"/>
    <w:rsid w:val="009F0449"/>
    <w:rsid w:val="009F4284"/>
    <w:rsid w:val="009F54B9"/>
    <w:rsid w:val="009F696C"/>
    <w:rsid w:val="00A013D5"/>
    <w:rsid w:val="00A01B4A"/>
    <w:rsid w:val="00A027E6"/>
    <w:rsid w:val="00A02E41"/>
    <w:rsid w:val="00A04AF3"/>
    <w:rsid w:val="00A057D8"/>
    <w:rsid w:val="00A05957"/>
    <w:rsid w:val="00A05E10"/>
    <w:rsid w:val="00A0766A"/>
    <w:rsid w:val="00A10071"/>
    <w:rsid w:val="00A10C2D"/>
    <w:rsid w:val="00A11558"/>
    <w:rsid w:val="00A13502"/>
    <w:rsid w:val="00A13F72"/>
    <w:rsid w:val="00A140A4"/>
    <w:rsid w:val="00A17EFC"/>
    <w:rsid w:val="00A21E91"/>
    <w:rsid w:val="00A26971"/>
    <w:rsid w:val="00A32134"/>
    <w:rsid w:val="00A321E4"/>
    <w:rsid w:val="00A32322"/>
    <w:rsid w:val="00A32B44"/>
    <w:rsid w:val="00A3552E"/>
    <w:rsid w:val="00A35D2C"/>
    <w:rsid w:val="00A42719"/>
    <w:rsid w:val="00A44F6F"/>
    <w:rsid w:val="00A45F35"/>
    <w:rsid w:val="00A4661B"/>
    <w:rsid w:val="00A46B23"/>
    <w:rsid w:val="00A471DA"/>
    <w:rsid w:val="00A47316"/>
    <w:rsid w:val="00A4797E"/>
    <w:rsid w:val="00A50AFF"/>
    <w:rsid w:val="00A5288B"/>
    <w:rsid w:val="00A563DE"/>
    <w:rsid w:val="00A56AF3"/>
    <w:rsid w:val="00A56D41"/>
    <w:rsid w:val="00A61779"/>
    <w:rsid w:val="00A62BF7"/>
    <w:rsid w:val="00A640FF"/>
    <w:rsid w:val="00A652E1"/>
    <w:rsid w:val="00A676F2"/>
    <w:rsid w:val="00A701DF"/>
    <w:rsid w:val="00A70420"/>
    <w:rsid w:val="00A711B6"/>
    <w:rsid w:val="00A73384"/>
    <w:rsid w:val="00A767B4"/>
    <w:rsid w:val="00A769C3"/>
    <w:rsid w:val="00A76C3E"/>
    <w:rsid w:val="00A81FAC"/>
    <w:rsid w:val="00A852B3"/>
    <w:rsid w:val="00A852CD"/>
    <w:rsid w:val="00A86A25"/>
    <w:rsid w:val="00A94187"/>
    <w:rsid w:val="00A96EDE"/>
    <w:rsid w:val="00AA0F72"/>
    <w:rsid w:val="00AA1762"/>
    <w:rsid w:val="00AA303C"/>
    <w:rsid w:val="00AA3EEE"/>
    <w:rsid w:val="00AA42B7"/>
    <w:rsid w:val="00AA593A"/>
    <w:rsid w:val="00AA7A7C"/>
    <w:rsid w:val="00AB1EB2"/>
    <w:rsid w:val="00AB1FA4"/>
    <w:rsid w:val="00AB2679"/>
    <w:rsid w:val="00AB2BBC"/>
    <w:rsid w:val="00AB37BF"/>
    <w:rsid w:val="00AC02C3"/>
    <w:rsid w:val="00AC3517"/>
    <w:rsid w:val="00AD046C"/>
    <w:rsid w:val="00AD0776"/>
    <w:rsid w:val="00AD1EF1"/>
    <w:rsid w:val="00AD2859"/>
    <w:rsid w:val="00AD375A"/>
    <w:rsid w:val="00AD4F1D"/>
    <w:rsid w:val="00AD5A58"/>
    <w:rsid w:val="00AD5F66"/>
    <w:rsid w:val="00AD5FDE"/>
    <w:rsid w:val="00AD712C"/>
    <w:rsid w:val="00AD71C8"/>
    <w:rsid w:val="00AE0C9E"/>
    <w:rsid w:val="00AE2B2A"/>
    <w:rsid w:val="00AE488A"/>
    <w:rsid w:val="00AE4DE7"/>
    <w:rsid w:val="00AE5808"/>
    <w:rsid w:val="00AE7FC4"/>
    <w:rsid w:val="00AF081A"/>
    <w:rsid w:val="00AF19DD"/>
    <w:rsid w:val="00AF2202"/>
    <w:rsid w:val="00AF66C5"/>
    <w:rsid w:val="00AF68D2"/>
    <w:rsid w:val="00B00990"/>
    <w:rsid w:val="00B00DDC"/>
    <w:rsid w:val="00B0119A"/>
    <w:rsid w:val="00B03E5B"/>
    <w:rsid w:val="00B070E5"/>
    <w:rsid w:val="00B076ED"/>
    <w:rsid w:val="00B110A1"/>
    <w:rsid w:val="00B12382"/>
    <w:rsid w:val="00B12612"/>
    <w:rsid w:val="00B1361B"/>
    <w:rsid w:val="00B13CC4"/>
    <w:rsid w:val="00B14976"/>
    <w:rsid w:val="00B17958"/>
    <w:rsid w:val="00B21D7E"/>
    <w:rsid w:val="00B22C41"/>
    <w:rsid w:val="00B23AAC"/>
    <w:rsid w:val="00B23B2C"/>
    <w:rsid w:val="00B24FBF"/>
    <w:rsid w:val="00B25C31"/>
    <w:rsid w:val="00B26F64"/>
    <w:rsid w:val="00B304FD"/>
    <w:rsid w:val="00B318FE"/>
    <w:rsid w:val="00B320C3"/>
    <w:rsid w:val="00B32882"/>
    <w:rsid w:val="00B33507"/>
    <w:rsid w:val="00B34BE4"/>
    <w:rsid w:val="00B3510B"/>
    <w:rsid w:val="00B366B4"/>
    <w:rsid w:val="00B370ED"/>
    <w:rsid w:val="00B37209"/>
    <w:rsid w:val="00B377D7"/>
    <w:rsid w:val="00B41302"/>
    <w:rsid w:val="00B42BEB"/>
    <w:rsid w:val="00B44190"/>
    <w:rsid w:val="00B4463F"/>
    <w:rsid w:val="00B4507E"/>
    <w:rsid w:val="00B45D3C"/>
    <w:rsid w:val="00B50891"/>
    <w:rsid w:val="00B52BC1"/>
    <w:rsid w:val="00B52EDC"/>
    <w:rsid w:val="00B53D77"/>
    <w:rsid w:val="00B55377"/>
    <w:rsid w:val="00B60DE3"/>
    <w:rsid w:val="00B6216E"/>
    <w:rsid w:val="00B624ED"/>
    <w:rsid w:val="00B638D7"/>
    <w:rsid w:val="00B64BE5"/>
    <w:rsid w:val="00B665E7"/>
    <w:rsid w:val="00B67053"/>
    <w:rsid w:val="00B70C8C"/>
    <w:rsid w:val="00B72FBB"/>
    <w:rsid w:val="00B7467D"/>
    <w:rsid w:val="00B8007E"/>
    <w:rsid w:val="00B80167"/>
    <w:rsid w:val="00B80D74"/>
    <w:rsid w:val="00B8217C"/>
    <w:rsid w:val="00B82DBB"/>
    <w:rsid w:val="00B83D11"/>
    <w:rsid w:val="00B90651"/>
    <w:rsid w:val="00B95A85"/>
    <w:rsid w:val="00B97646"/>
    <w:rsid w:val="00B97762"/>
    <w:rsid w:val="00BA04B1"/>
    <w:rsid w:val="00BA0B33"/>
    <w:rsid w:val="00BA4091"/>
    <w:rsid w:val="00BA44E6"/>
    <w:rsid w:val="00BA59D3"/>
    <w:rsid w:val="00BA6FF7"/>
    <w:rsid w:val="00BA7F5C"/>
    <w:rsid w:val="00BB3CBA"/>
    <w:rsid w:val="00BB6692"/>
    <w:rsid w:val="00BC00F0"/>
    <w:rsid w:val="00BC0556"/>
    <w:rsid w:val="00BC19D7"/>
    <w:rsid w:val="00BC2153"/>
    <w:rsid w:val="00BC2DCD"/>
    <w:rsid w:val="00BC4037"/>
    <w:rsid w:val="00BC62D0"/>
    <w:rsid w:val="00BC68A0"/>
    <w:rsid w:val="00BC6D45"/>
    <w:rsid w:val="00BD00A2"/>
    <w:rsid w:val="00BD2181"/>
    <w:rsid w:val="00BD2A8C"/>
    <w:rsid w:val="00BD43AF"/>
    <w:rsid w:val="00BD5C83"/>
    <w:rsid w:val="00BD7F5A"/>
    <w:rsid w:val="00BE0599"/>
    <w:rsid w:val="00BE42EA"/>
    <w:rsid w:val="00BE7EF7"/>
    <w:rsid w:val="00BF405B"/>
    <w:rsid w:val="00BF53D4"/>
    <w:rsid w:val="00BF5AE0"/>
    <w:rsid w:val="00BF66B0"/>
    <w:rsid w:val="00C00522"/>
    <w:rsid w:val="00C00E48"/>
    <w:rsid w:val="00C02EA6"/>
    <w:rsid w:val="00C03D19"/>
    <w:rsid w:val="00C0543D"/>
    <w:rsid w:val="00C06C0E"/>
    <w:rsid w:val="00C07089"/>
    <w:rsid w:val="00C07894"/>
    <w:rsid w:val="00C1051C"/>
    <w:rsid w:val="00C13EB3"/>
    <w:rsid w:val="00C1401D"/>
    <w:rsid w:val="00C1514D"/>
    <w:rsid w:val="00C15315"/>
    <w:rsid w:val="00C16560"/>
    <w:rsid w:val="00C1700D"/>
    <w:rsid w:val="00C177E5"/>
    <w:rsid w:val="00C20BEA"/>
    <w:rsid w:val="00C21953"/>
    <w:rsid w:val="00C24F11"/>
    <w:rsid w:val="00C25CFB"/>
    <w:rsid w:val="00C26CF8"/>
    <w:rsid w:val="00C35566"/>
    <w:rsid w:val="00C37820"/>
    <w:rsid w:val="00C37B33"/>
    <w:rsid w:val="00C41A5E"/>
    <w:rsid w:val="00C42531"/>
    <w:rsid w:val="00C42C63"/>
    <w:rsid w:val="00C462BF"/>
    <w:rsid w:val="00C471D7"/>
    <w:rsid w:val="00C520A3"/>
    <w:rsid w:val="00C522FC"/>
    <w:rsid w:val="00C52641"/>
    <w:rsid w:val="00C53974"/>
    <w:rsid w:val="00C5690B"/>
    <w:rsid w:val="00C61490"/>
    <w:rsid w:val="00C63061"/>
    <w:rsid w:val="00C66186"/>
    <w:rsid w:val="00C6773D"/>
    <w:rsid w:val="00C679BA"/>
    <w:rsid w:val="00C7013F"/>
    <w:rsid w:val="00C734FA"/>
    <w:rsid w:val="00C7385B"/>
    <w:rsid w:val="00C7409F"/>
    <w:rsid w:val="00C74C1E"/>
    <w:rsid w:val="00C74C5C"/>
    <w:rsid w:val="00C74DA9"/>
    <w:rsid w:val="00C75643"/>
    <w:rsid w:val="00C77BFF"/>
    <w:rsid w:val="00C81CE9"/>
    <w:rsid w:val="00C829B4"/>
    <w:rsid w:val="00C855FD"/>
    <w:rsid w:val="00C85711"/>
    <w:rsid w:val="00C9146C"/>
    <w:rsid w:val="00C916C4"/>
    <w:rsid w:val="00C950FC"/>
    <w:rsid w:val="00C95194"/>
    <w:rsid w:val="00C97AC7"/>
    <w:rsid w:val="00CA1B93"/>
    <w:rsid w:val="00CA3AEE"/>
    <w:rsid w:val="00CA489B"/>
    <w:rsid w:val="00CA4B18"/>
    <w:rsid w:val="00CA59C3"/>
    <w:rsid w:val="00CA5CE6"/>
    <w:rsid w:val="00CA73F2"/>
    <w:rsid w:val="00CA7F97"/>
    <w:rsid w:val="00CB0592"/>
    <w:rsid w:val="00CB1988"/>
    <w:rsid w:val="00CB2E07"/>
    <w:rsid w:val="00CB3453"/>
    <w:rsid w:val="00CB56DA"/>
    <w:rsid w:val="00CC077B"/>
    <w:rsid w:val="00CC2443"/>
    <w:rsid w:val="00CC2653"/>
    <w:rsid w:val="00CC2D5C"/>
    <w:rsid w:val="00CD09D8"/>
    <w:rsid w:val="00CD4C16"/>
    <w:rsid w:val="00CD4E37"/>
    <w:rsid w:val="00CD4F6D"/>
    <w:rsid w:val="00CD580F"/>
    <w:rsid w:val="00CD5F26"/>
    <w:rsid w:val="00CD6907"/>
    <w:rsid w:val="00CD6F40"/>
    <w:rsid w:val="00CD7767"/>
    <w:rsid w:val="00CE2218"/>
    <w:rsid w:val="00CE3A56"/>
    <w:rsid w:val="00CE3EB6"/>
    <w:rsid w:val="00CE588F"/>
    <w:rsid w:val="00CF1A6D"/>
    <w:rsid w:val="00CF2810"/>
    <w:rsid w:val="00CF54BE"/>
    <w:rsid w:val="00CF7897"/>
    <w:rsid w:val="00D02A31"/>
    <w:rsid w:val="00D03167"/>
    <w:rsid w:val="00D03F8D"/>
    <w:rsid w:val="00D04F29"/>
    <w:rsid w:val="00D05BD6"/>
    <w:rsid w:val="00D110D9"/>
    <w:rsid w:val="00D113A3"/>
    <w:rsid w:val="00D11C13"/>
    <w:rsid w:val="00D20D8B"/>
    <w:rsid w:val="00D310B2"/>
    <w:rsid w:val="00D3353A"/>
    <w:rsid w:val="00D361E3"/>
    <w:rsid w:val="00D36222"/>
    <w:rsid w:val="00D36B69"/>
    <w:rsid w:val="00D4003B"/>
    <w:rsid w:val="00D40850"/>
    <w:rsid w:val="00D40DE4"/>
    <w:rsid w:val="00D43A66"/>
    <w:rsid w:val="00D44988"/>
    <w:rsid w:val="00D4591D"/>
    <w:rsid w:val="00D478E6"/>
    <w:rsid w:val="00D478E8"/>
    <w:rsid w:val="00D50183"/>
    <w:rsid w:val="00D5036D"/>
    <w:rsid w:val="00D507A4"/>
    <w:rsid w:val="00D5119C"/>
    <w:rsid w:val="00D51D35"/>
    <w:rsid w:val="00D54930"/>
    <w:rsid w:val="00D60206"/>
    <w:rsid w:val="00D6144E"/>
    <w:rsid w:val="00D61839"/>
    <w:rsid w:val="00D62633"/>
    <w:rsid w:val="00D653FE"/>
    <w:rsid w:val="00D71261"/>
    <w:rsid w:val="00D73C3D"/>
    <w:rsid w:val="00D771B4"/>
    <w:rsid w:val="00D801D9"/>
    <w:rsid w:val="00D8147E"/>
    <w:rsid w:val="00D83043"/>
    <w:rsid w:val="00D8431C"/>
    <w:rsid w:val="00D84894"/>
    <w:rsid w:val="00D852FF"/>
    <w:rsid w:val="00D86558"/>
    <w:rsid w:val="00D879EA"/>
    <w:rsid w:val="00D87CF1"/>
    <w:rsid w:val="00D91273"/>
    <w:rsid w:val="00D91B56"/>
    <w:rsid w:val="00D926D7"/>
    <w:rsid w:val="00D92CC5"/>
    <w:rsid w:val="00D93F65"/>
    <w:rsid w:val="00D9450F"/>
    <w:rsid w:val="00D94BC6"/>
    <w:rsid w:val="00D950A4"/>
    <w:rsid w:val="00D96567"/>
    <w:rsid w:val="00D96801"/>
    <w:rsid w:val="00D9739B"/>
    <w:rsid w:val="00DA25D2"/>
    <w:rsid w:val="00DA3348"/>
    <w:rsid w:val="00DA50BC"/>
    <w:rsid w:val="00DA5B56"/>
    <w:rsid w:val="00DA633A"/>
    <w:rsid w:val="00DB7E49"/>
    <w:rsid w:val="00DC036D"/>
    <w:rsid w:val="00DC0F14"/>
    <w:rsid w:val="00DC2DB5"/>
    <w:rsid w:val="00DC3DBA"/>
    <w:rsid w:val="00DC480B"/>
    <w:rsid w:val="00DC77A8"/>
    <w:rsid w:val="00DC7B1C"/>
    <w:rsid w:val="00DD1DC9"/>
    <w:rsid w:val="00DD2D4E"/>
    <w:rsid w:val="00DD46C5"/>
    <w:rsid w:val="00DD6A71"/>
    <w:rsid w:val="00DD78F9"/>
    <w:rsid w:val="00DE0B17"/>
    <w:rsid w:val="00DE2172"/>
    <w:rsid w:val="00DE37D8"/>
    <w:rsid w:val="00DE401E"/>
    <w:rsid w:val="00DE46A9"/>
    <w:rsid w:val="00DE73DA"/>
    <w:rsid w:val="00DE7F9B"/>
    <w:rsid w:val="00DF07E0"/>
    <w:rsid w:val="00DF09DA"/>
    <w:rsid w:val="00DF1F6E"/>
    <w:rsid w:val="00DF3DDC"/>
    <w:rsid w:val="00DF4B80"/>
    <w:rsid w:val="00E003C1"/>
    <w:rsid w:val="00E0206F"/>
    <w:rsid w:val="00E02FD8"/>
    <w:rsid w:val="00E11544"/>
    <w:rsid w:val="00E12211"/>
    <w:rsid w:val="00E12BEB"/>
    <w:rsid w:val="00E13917"/>
    <w:rsid w:val="00E15F3A"/>
    <w:rsid w:val="00E16281"/>
    <w:rsid w:val="00E17269"/>
    <w:rsid w:val="00E204E9"/>
    <w:rsid w:val="00E207F2"/>
    <w:rsid w:val="00E221C2"/>
    <w:rsid w:val="00E22FE8"/>
    <w:rsid w:val="00E25C4B"/>
    <w:rsid w:val="00E2604C"/>
    <w:rsid w:val="00E30102"/>
    <w:rsid w:val="00E31499"/>
    <w:rsid w:val="00E32170"/>
    <w:rsid w:val="00E33183"/>
    <w:rsid w:val="00E33DB4"/>
    <w:rsid w:val="00E34178"/>
    <w:rsid w:val="00E354BE"/>
    <w:rsid w:val="00E376CE"/>
    <w:rsid w:val="00E377CC"/>
    <w:rsid w:val="00E413FA"/>
    <w:rsid w:val="00E41AB8"/>
    <w:rsid w:val="00E44248"/>
    <w:rsid w:val="00E446EE"/>
    <w:rsid w:val="00E45B63"/>
    <w:rsid w:val="00E466AA"/>
    <w:rsid w:val="00E46C57"/>
    <w:rsid w:val="00E50946"/>
    <w:rsid w:val="00E52243"/>
    <w:rsid w:val="00E53D94"/>
    <w:rsid w:val="00E56B97"/>
    <w:rsid w:val="00E6163B"/>
    <w:rsid w:val="00E627E4"/>
    <w:rsid w:val="00E72021"/>
    <w:rsid w:val="00E745E4"/>
    <w:rsid w:val="00E74F91"/>
    <w:rsid w:val="00E75BEA"/>
    <w:rsid w:val="00E75EF3"/>
    <w:rsid w:val="00E76959"/>
    <w:rsid w:val="00E777FD"/>
    <w:rsid w:val="00E800D0"/>
    <w:rsid w:val="00E801AB"/>
    <w:rsid w:val="00E81212"/>
    <w:rsid w:val="00E8459B"/>
    <w:rsid w:val="00E8677C"/>
    <w:rsid w:val="00E869A3"/>
    <w:rsid w:val="00E90E27"/>
    <w:rsid w:val="00E95C82"/>
    <w:rsid w:val="00E962F5"/>
    <w:rsid w:val="00E97B87"/>
    <w:rsid w:val="00EA0536"/>
    <w:rsid w:val="00EA0831"/>
    <w:rsid w:val="00EA14CA"/>
    <w:rsid w:val="00EA2C86"/>
    <w:rsid w:val="00EA2F71"/>
    <w:rsid w:val="00EA37A2"/>
    <w:rsid w:val="00EA38FD"/>
    <w:rsid w:val="00EA5DD8"/>
    <w:rsid w:val="00EA701B"/>
    <w:rsid w:val="00EA7DD0"/>
    <w:rsid w:val="00EA7F8F"/>
    <w:rsid w:val="00EB046D"/>
    <w:rsid w:val="00EB31D7"/>
    <w:rsid w:val="00EB3275"/>
    <w:rsid w:val="00EB38A7"/>
    <w:rsid w:val="00EB41F6"/>
    <w:rsid w:val="00EB5121"/>
    <w:rsid w:val="00EB56A6"/>
    <w:rsid w:val="00EB5B06"/>
    <w:rsid w:val="00EC06D8"/>
    <w:rsid w:val="00EC337C"/>
    <w:rsid w:val="00EC3472"/>
    <w:rsid w:val="00EC3BBB"/>
    <w:rsid w:val="00EC4E6C"/>
    <w:rsid w:val="00EC5378"/>
    <w:rsid w:val="00EC7F3B"/>
    <w:rsid w:val="00ED0A50"/>
    <w:rsid w:val="00ED3712"/>
    <w:rsid w:val="00ED39EA"/>
    <w:rsid w:val="00ED3D8D"/>
    <w:rsid w:val="00ED3DD4"/>
    <w:rsid w:val="00ED5D82"/>
    <w:rsid w:val="00ED7D8D"/>
    <w:rsid w:val="00EE049D"/>
    <w:rsid w:val="00EE0A2C"/>
    <w:rsid w:val="00EE156E"/>
    <w:rsid w:val="00EE1A20"/>
    <w:rsid w:val="00EE5288"/>
    <w:rsid w:val="00EE547B"/>
    <w:rsid w:val="00EE5F7C"/>
    <w:rsid w:val="00EE6D3E"/>
    <w:rsid w:val="00EE77F1"/>
    <w:rsid w:val="00EF0764"/>
    <w:rsid w:val="00EF3AA8"/>
    <w:rsid w:val="00EF56C9"/>
    <w:rsid w:val="00F05437"/>
    <w:rsid w:val="00F056EA"/>
    <w:rsid w:val="00F07D15"/>
    <w:rsid w:val="00F11BEB"/>
    <w:rsid w:val="00F1400C"/>
    <w:rsid w:val="00F148C9"/>
    <w:rsid w:val="00F149BA"/>
    <w:rsid w:val="00F14EA6"/>
    <w:rsid w:val="00F14FF1"/>
    <w:rsid w:val="00F179A3"/>
    <w:rsid w:val="00F17EED"/>
    <w:rsid w:val="00F26CF2"/>
    <w:rsid w:val="00F27FBD"/>
    <w:rsid w:val="00F301E3"/>
    <w:rsid w:val="00F3031D"/>
    <w:rsid w:val="00F304B6"/>
    <w:rsid w:val="00F3075B"/>
    <w:rsid w:val="00F30D5A"/>
    <w:rsid w:val="00F32E1B"/>
    <w:rsid w:val="00F36064"/>
    <w:rsid w:val="00F36A8F"/>
    <w:rsid w:val="00F376AD"/>
    <w:rsid w:val="00F409B2"/>
    <w:rsid w:val="00F425C9"/>
    <w:rsid w:val="00F44506"/>
    <w:rsid w:val="00F45126"/>
    <w:rsid w:val="00F45EDC"/>
    <w:rsid w:val="00F502FF"/>
    <w:rsid w:val="00F503F3"/>
    <w:rsid w:val="00F50E72"/>
    <w:rsid w:val="00F54AE5"/>
    <w:rsid w:val="00F56C3A"/>
    <w:rsid w:val="00F606F0"/>
    <w:rsid w:val="00F60ED2"/>
    <w:rsid w:val="00F61BE2"/>
    <w:rsid w:val="00F62FBF"/>
    <w:rsid w:val="00F6305C"/>
    <w:rsid w:val="00F66871"/>
    <w:rsid w:val="00F67288"/>
    <w:rsid w:val="00F7017C"/>
    <w:rsid w:val="00F7324E"/>
    <w:rsid w:val="00F736C0"/>
    <w:rsid w:val="00F73BB0"/>
    <w:rsid w:val="00F80777"/>
    <w:rsid w:val="00F83856"/>
    <w:rsid w:val="00F8428F"/>
    <w:rsid w:val="00F90D72"/>
    <w:rsid w:val="00F91626"/>
    <w:rsid w:val="00F94869"/>
    <w:rsid w:val="00F94F05"/>
    <w:rsid w:val="00F95F7D"/>
    <w:rsid w:val="00F97C2B"/>
    <w:rsid w:val="00FA1D0B"/>
    <w:rsid w:val="00FA2FE7"/>
    <w:rsid w:val="00FA6C21"/>
    <w:rsid w:val="00FA7267"/>
    <w:rsid w:val="00FA7E94"/>
    <w:rsid w:val="00FB0721"/>
    <w:rsid w:val="00FB1DB8"/>
    <w:rsid w:val="00FB27E5"/>
    <w:rsid w:val="00FB3FC6"/>
    <w:rsid w:val="00FB591C"/>
    <w:rsid w:val="00FB7374"/>
    <w:rsid w:val="00FB76F9"/>
    <w:rsid w:val="00FB7CBF"/>
    <w:rsid w:val="00FC516B"/>
    <w:rsid w:val="00FD0197"/>
    <w:rsid w:val="00FD0B17"/>
    <w:rsid w:val="00FD1FD5"/>
    <w:rsid w:val="00FD25FE"/>
    <w:rsid w:val="00FD28EA"/>
    <w:rsid w:val="00FD4C21"/>
    <w:rsid w:val="00FD5244"/>
    <w:rsid w:val="00FD7136"/>
    <w:rsid w:val="00FE2FF6"/>
    <w:rsid w:val="00FE5F76"/>
    <w:rsid w:val="00FE656E"/>
    <w:rsid w:val="00FF030B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F737"/>
  <w15:chartTrackingRefBased/>
  <w15:docId w15:val="{4E985A17-85A0-41BE-A33A-745DDB1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36E"/>
    <w:pPr>
      <w:spacing w:after="0" w:line="360" w:lineRule="auto"/>
    </w:pPr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B665E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z w:val="20"/>
      <w:szCs w:val="20"/>
      <w:vertAlign w:val="superscript"/>
    </w:rPr>
  </w:style>
  <w:style w:type="paragraph" w:styleId="FootnoteText">
    <w:name w:val="footnote text"/>
    <w:basedOn w:val="Footer"/>
    <w:link w:val="FootnoteTextChar"/>
    <w:autoRedefine/>
    <w:uiPriority w:val="99"/>
    <w:unhideWhenUsed/>
    <w:rsid w:val="005F09F1"/>
    <w:pPr>
      <w:autoSpaceDE w:val="0"/>
      <w:autoSpaceDN w:val="0"/>
      <w:adjustRightInd w:val="0"/>
      <w:ind w:left="284" w:hanging="284"/>
      <w:jc w:val="both"/>
    </w:pPr>
    <w:rPr>
      <w:rFonts w:cs="Times New Roman"/>
      <w:color w:val="000000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09F1"/>
    <w:rPr>
      <w:rFonts w:asciiTheme="majorBidi" w:hAnsiTheme="majorBidi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13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6E"/>
    <w:rPr>
      <w:rFonts w:asciiTheme="majorBidi" w:hAnsiTheme="maj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1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926D7"/>
    <w:pPr>
      <w:ind w:left="720"/>
      <w:contextualSpacing/>
    </w:pPr>
  </w:style>
  <w:style w:type="table" w:styleId="TableGrid">
    <w:name w:val="Table Grid"/>
    <w:basedOn w:val="TableNormal"/>
    <w:uiPriority w:val="59"/>
    <w:rsid w:val="007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B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2F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FB"/>
    <w:rPr>
      <w:rFonts w:asciiTheme="majorBidi" w:hAnsiTheme="majorBidi"/>
      <w:sz w:val="24"/>
    </w:rPr>
  </w:style>
  <w:style w:type="character" w:styleId="PlaceholderText">
    <w:name w:val="Placeholder Text"/>
    <w:basedOn w:val="DefaultParagraphFont"/>
    <w:uiPriority w:val="99"/>
    <w:semiHidden/>
    <w:rsid w:val="001F21F1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02C3"/>
  </w:style>
  <w:style w:type="character" w:styleId="Hyperlink">
    <w:name w:val="Hyperlink"/>
    <w:basedOn w:val="DefaultParagraphFont"/>
    <w:uiPriority w:val="99"/>
    <w:unhideWhenUsed/>
    <w:rsid w:val="00EB38A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EB38A7"/>
    <w:pPr>
      <w:spacing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B38A7"/>
    <w:rPr>
      <w:rFonts w:ascii="Courier New" w:eastAsia="SimSun" w:hAnsi="Courier New" w:cs="Courier New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641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641"/>
    <w:rPr>
      <w:rFonts w:asciiTheme="majorBidi" w:hAnsi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cmin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cques.poot@waikato.ac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cameron@waikato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F7F3-73C6-444D-A5F4-3AA45102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Waikato Management School</dc:creator>
  <cp:keywords/>
  <dc:description/>
  <cp:lastModifiedBy>silverab71@gmail.com</cp:lastModifiedBy>
  <cp:revision>45</cp:revision>
  <cp:lastPrinted>2018-08-03T23:05:00Z</cp:lastPrinted>
  <dcterms:created xsi:type="dcterms:W3CDTF">2018-08-03T23:00:00Z</dcterms:created>
  <dcterms:modified xsi:type="dcterms:W3CDTF">2018-08-13T05:10:00Z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zotero-version="5.0.49"&gt;&lt;session id="9WkQppQz"/&gt;&lt;style id="http://www.zotero.org/styles/apa" locale="en-GB"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