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9AAFA" w14:textId="77777777" w:rsidR="007714E1" w:rsidRDefault="007714E1" w:rsidP="00184564">
      <w:pPr>
        <w:autoSpaceDE w:val="0"/>
        <w:autoSpaceDN w:val="0"/>
        <w:adjustRightInd w:val="0"/>
        <w:spacing w:line="360" w:lineRule="auto"/>
        <w:jc w:val="center"/>
        <w:rPr>
          <w:rFonts w:asciiTheme="majorBidi" w:hAnsiTheme="majorBidi" w:cstheme="majorBidi"/>
          <w:b/>
          <w:bCs/>
          <w:sz w:val="28"/>
          <w:szCs w:val="28"/>
        </w:rPr>
      </w:pPr>
    </w:p>
    <w:p w14:paraId="72899F5C" w14:textId="77777777" w:rsidR="003756C1" w:rsidRDefault="003756C1" w:rsidP="006215A0">
      <w:pPr>
        <w:pStyle w:val="PlainText"/>
        <w:tabs>
          <w:tab w:val="left" w:pos="284"/>
          <w:tab w:val="left" w:pos="426"/>
        </w:tabs>
        <w:spacing w:line="300" w:lineRule="auto"/>
        <w:jc w:val="center"/>
        <w:rPr>
          <w:rFonts w:ascii="Times New Roman" w:hAnsi="Times New Roman" w:cs="Times New Roman"/>
          <w:b/>
          <w:sz w:val="28"/>
        </w:rPr>
      </w:pPr>
    </w:p>
    <w:p w14:paraId="2F80F9D0" w14:textId="77777777" w:rsidR="00702ECC" w:rsidRDefault="00702ECC" w:rsidP="006215A0">
      <w:pPr>
        <w:pStyle w:val="PlainText"/>
        <w:tabs>
          <w:tab w:val="left" w:pos="284"/>
          <w:tab w:val="left" w:pos="426"/>
        </w:tabs>
        <w:spacing w:line="300" w:lineRule="auto"/>
        <w:jc w:val="center"/>
        <w:rPr>
          <w:rFonts w:ascii="Times New Roman" w:hAnsi="Times New Roman" w:cs="Times New Roman"/>
          <w:b/>
          <w:sz w:val="28"/>
        </w:rPr>
      </w:pPr>
    </w:p>
    <w:p w14:paraId="06B66EE2" w14:textId="77777777" w:rsidR="00702ECC" w:rsidRDefault="00702ECC" w:rsidP="006215A0">
      <w:pPr>
        <w:pStyle w:val="PlainText"/>
        <w:tabs>
          <w:tab w:val="left" w:pos="284"/>
          <w:tab w:val="left" w:pos="426"/>
        </w:tabs>
        <w:spacing w:line="300" w:lineRule="auto"/>
        <w:jc w:val="center"/>
        <w:rPr>
          <w:rFonts w:ascii="Times New Roman" w:hAnsi="Times New Roman" w:cs="Times New Roman"/>
          <w:b/>
          <w:sz w:val="28"/>
        </w:rPr>
      </w:pPr>
    </w:p>
    <w:p w14:paraId="3D5E6DEB" w14:textId="459881C0"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14:paraId="6AABA8EF" w14:textId="77777777" w:rsidR="006215A0" w:rsidRPr="00981515" w:rsidRDefault="006215A0" w:rsidP="006215A0">
      <w:pPr>
        <w:pStyle w:val="PlainText"/>
        <w:tabs>
          <w:tab w:val="left" w:pos="284"/>
          <w:tab w:val="left" w:pos="426"/>
        </w:tabs>
        <w:spacing w:line="300" w:lineRule="auto"/>
        <w:jc w:val="center"/>
        <w:rPr>
          <w:rFonts w:ascii="Times New Roman" w:hAnsi="Times New Roman" w:cs="Times New Roman"/>
          <w:b/>
          <w:sz w:val="14"/>
          <w:szCs w:val="14"/>
        </w:rPr>
      </w:pPr>
    </w:p>
    <w:p w14:paraId="567CCD7D" w14:textId="77777777"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14:paraId="0CE40722" w14:textId="77777777"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14:paraId="22F26B36" w14:textId="77777777"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sz w:val="28"/>
        </w:rPr>
      </w:pPr>
    </w:p>
    <w:p w14:paraId="4907B183" w14:textId="77777777" w:rsidR="006215A0" w:rsidRPr="00D258B1" w:rsidRDefault="006215A0" w:rsidP="006215A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4"/>
          <w:szCs w:val="24"/>
        </w:rPr>
      </w:pPr>
    </w:p>
    <w:p w14:paraId="04546A3F" w14:textId="73D83520" w:rsidR="0000469D" w:rsidRPr="0000469D" w:rsidRDefault="0000469D" w:rsidP="0000469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sidRPr="0000469D">
        <w:rPr>
          <w:rFonts w:ascii="Times New Roman" w:hAnsi="Times New Roman" w:cs="Times New Roman"/>
          <w:b/>
          <w:sz w:val="28"/>
          <w:szCs w:val="28"/>
        </w:rPr>
        <w:t xml:space="preserve">The </w:t>
      </w:r>
      <w:r w:rsidR="0070445A">
        <w:rPr>
          <w:rFonts w:ascii="Times New Roman" w:hAnsi="Times New Roman" w:cs="Times New Roman"/>
          <w:b/>
          <w:sz w:val="28"/>
          <w:szCs w:val="28"/>
        </w:rPr>
        <w:t>E</w:t>
      </w:r>
      <w:r w:rsidRPr="0000469D">
        <w:rPr>
          <w:rFonts w:ascii="Times New Roman" w:hAnsi="Times New Roman" w:cs="Times New Roman"/>
          <w:b/>
          <w:sz w:val="28"/>
          <w:szCs w:val="28"/>
        </w:rPr>
        <w:t xml:space="preserve">stimation and </w:t>
      </w:r>
      <w:r w:rsidR="0070445A">
        <w:rPr>
          <w:rFonts w:ascii="Times New Roman" w:hAnsi="Times New Roman" w:cs="Times New Roman"/>
          <w:b/>
          <w:sz w:val="28"/>
          <w:szCs w:val="28"/>
        </w:rPr>
        <w:t>I</w:t>
      </w:r>
      <w:r w:rsidRPr="0000469D">
        <w:rPr>
          <w:rFonts w:ascii="Times New Roman" w:hAnsi="Times New Roman" w:cs="Times New Roman"/>
          <w:b/>
          <w:sz w:val="28"/>
          <w:szCs w:val="28"/>
        </w:rPr>
        <w:t xml:space="preserve">nterpretation of </w:t>
      </w:r>
      <w:r w:rsidR="0070445A">
        <w:rPr>
          <w:rFonts w:ascii="Times New Roman" w:hAnsi="Times New Roman" w:cs="Times New Roman"/>
          <w:b/>
          <w:sz w:val="28"/>
          <w:szCs w:val="28"/>
        </w:rPr>
        <w:t>C</w:t>
      </w:r>
      <w:r w:rsidRPr="0000469D">
        <w:rPr>
          <w:rFonts w:ascii="Times New Roman" w:hAnsi="Times New Roman" w:cs="Times New Roman"/>
          <w:b/>
          <w:sz w:val="28"/>
          <w:szCs w:val="28"/>
        </w:rPr>
        <w:t xml:space="preserve">oefficients </w:t>
      </w:r>
    </w:p>
    <w:p w14:paraId="750009A6" w14:textId="6094BC59" w:rsidR="00A41F6F" w:rsidRDefault="0000469D" w:rsidP="0000469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sidRPr="0000469D">
        <w:rPr>
          <w:rFonts w:ascii="Times New Roman" w:hAnsi="Times New Roman" w:cs="Times New Roman"/>
          <w:b/>
          <w:sz w:val="28"/>
          <w:szCs w:val="28"/>
        </w:rPr>
        <w:t xml:space="preserve">in </w:t>
      </w:r>
      <w:r w:rsidR="0070445A">
        <w:rPr>
          <w:rFonts w:ascii="Times New Roman" w:hAnsi="Times New Roman" w:cs="Times New Roman"/>
          <w:b/>
          <w:sz w:val="28"/>
          <w:szCs w:val="28"/>
        </w:rPr>
        <w:t>P</w:t>
      </w:r>
      <w:r w:rsidRPr="0000469D">
        <w:rPr>
          <w:rFonts w:ascii="Times New Roman" w:hAnsi="Times New Roman" w:cs="Times New Roman"/>
          <w:b/>
          <w:sz w:val="28"/>
          <w:szCs w:val="28"/>
        </w:rPr>
        <w:t xml:space="preserve">anel </w:t>
      </w:r>
      <w:r w:rsidR="0070445A">
        <w:rPr>
          <w:rFonts w:ascii="Times New Roman" w:hAnsi="Times New Roman" w:cs="Times New Roman"/>
          <w:b/>
          <w:sz w:val="28"/>
          <w:szCs w:val="28"/>
        </w:rPr>
        <w:t>G</w:t>
      </w:r>
      <w:r w:rsidRPr="0000469D">
        <w:rPr>
          <w:rFonts w:ascii="Times New Roman" w:hAnsi="Times New Roman" w:cs="Times New Roman"/>
          <w:b/>
          <w:sz w:val="28"/>
          <w:szCs w:val="28"/>
        </w:rPr>
        <w:t xml:space="preserve">ravity </w:t>
      </w:r>
      <w:r w:rsidR="0070445A">
        <w:rPr>
          <w:rFonts w:ascii="Times New Roman" w:hAnsi="Times New Roman" w:cs="Times New Roman"/>
          <w:b/>
          <w:sz w:val="28"/>
          <w:szCs w:val="28"/>
        </w:rPr>
        <w:t>M</w:t>
      </w:r>
      <w:r w:rsidRPr="0000469D">
        <w:rPr>
          <w:rFonts w:ascii="Times New Roman" w:hAnsi="Times New Roman" w:cs="Times New Roman"/>
          <w:b/>
          <w:sz w:val="28"/>
          <w:szCs w:val="28"/>
        </w:rPr>
        <w:t xml:space="preserve">odels of </w:t>
      </w:r>
      <w:r w:rsidR="0070445A">
        <w:rPr>
          <w:rFonts w:ascii="Times New Roman" w:hAnsi="Times New Roman" w:cs="Times New Roman"/>
          <w:b/>
          <w:sz w:val="28"/>
          <w:szCs w:val="28"/>
        </w:rPr>
        <w:t>M</w:t>
      </w:r>
      <w:r w:rsidRPr="0000469D">
        <w:rPr>
          <w:rFonts w:ascii="Times New Roman" w:hAnsi="Times New Roman" w:cs="Times New Roman"/>
          <w:b/>
          <w:sz w:val="28"/>
          <w:szCs w:val="28"/>
        </w:rPr>
        <w:t>igration</w:t>
      </w:r>
    </w:p>
    <w:p w14:paraId="1E5BFA08" w14:textId="77777777" w:rsidR="0000469D" w:rsidRPr="00C865BE" w:rsidRDefault="0000469D" w:rsidP="0000469D">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4"/>
          <w:szCs w:val="24"/>
        </w:rPr>
      </w:pPr>
    </w:p>
    <w:p w14:paraId="4E39ECF6" w14:textId="32D95184" w:rsidR="006215A0" w:rsidRPr="00D258B1" w:rsidRDefault="006215A0" w:rsidP="006215A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rPr>
      </w:pPr>
      <w:r w:rsidRPr="00D258B1">
        <w:rPr>
          <w:rFonts w:ascii="Times New Roman" w:hAnsi="Times New Roman" w:cs="Times New Roman"/>
          <w:bCs/>
          <w:sz w:val="28"/>
          <w:szCs w:val="28"/>
        </w:rPr>
        <w:t xml:space="preserve">Michael P. </w:t>
      </w:r>
      <w:proofErr w:type="gramStart"/>
      <w:r w:rsidRPr="00D258B1">
        <w:rPr>
          <w:rFonts w:ascii="Times New Roman" w:hAnsi="Times New Roman" w:cs="Times New Roman"/>
          <w:bCs/>
          <w:sz w:val="28"/>
          <w:szCs w:val="28"/>
        </w:rPr>
        <w:t>Cameron</w:t>
      </w:r>
      <w:r w:rsidR="0000469D">
        <w:rPr>
          <w:rFonts w:ascii="Times New Roman" w:hAnsi="Times New Roman" w:cs="Times New Roman"/>
          <w:bCs/>
          <w:sz w:val="28"/>
          <w:szCs w:val="28"/>
        </w:rPr>
        <w:t xml:space="preserve"> </w:t>
      </w:r>
      <w:r w:rsidR="0070445A">
        <w:rPr>
          <w:rFonts w:ascii="Times New Roman" w:hAnsi="Times New Roman" w:cs="Times New Roman"/>
          <w:bCs/>
          <w:sz w:val="28"/>
          <w:szCs w:val="28"/>
        </w:rPr>
        <w:t xml:space="preserve"> </w:t>
      </w:r>
      <w:r w:rsidR="0000469D">
        <w:rPr>
          <w:rFonts w:ascii="Times New Roman" w:hAnsi="Times New Roman" w:cs="Times New Roman"/>
          <w:bCs/>
          <w:sz w:val="28"/>
          <w:szCs w:val="28"/>
        </w:rPr>
        <w:t>and</w:t>
      </w:r>
      <w:proofErr w:type="gramEnd"/>
      <w:r w:rsidR="0000469D">
        <w:rPr>
          <w:rFonts w:ascii="Times New Roman" w:hAnsi="Times New Roman" w:cs="Times New Roman"/>
          <w:bCs/>
          <w:sz w:val="28"/>
          <w:szCs w:val="28"/>
        </w:rPr>
        <w:t xml:space="preserve"> </w:t>
      </w:r>
      <w:r w:rsidR="0070445A">
        <w:rPr>
          <w:rFonts w:ascii="Times New Roman" w:hAnsi="Times New Roman" w:cs="Times New Roman"/>
          <w:bCs/>
          <w:sz w:val="28"/>
          <w:szCs w:val="28"/>
        </w:rPr>
        <w:t xml:space="preserve"> </w:t>
      </w:r>
      <w:r w:rsidR="0000469D">
        <w:rPr>
          <w:rFonts w:ascii="Times New Roman" w:hAnsi="Times New Roman" w:cs="Times New Roman"/>
          <w:bCs/>
          <w:sz w:val="28"/>
          <w:szCs w:val="28"/>
        </w:rPr>
        <w:t xml:space="preserve">Jacques </w:t>
      </w:r>
      <w:proofErr w:type="spellStart"/>
      <w:r w:rsidR="0000469D">
        <w:rPr>
          <w:rFonts w:ascii="Times New Roman" w:hAnsi="Times New Roman" w:cs="Times New Roman"/>
          <w:bCs/>
          <w:sz w:val="28"/>
          <w:szCs w:val="28"/>
        </w:rPr>
        <w:t>Poot</w:t>
      </w:r>
      <w:proofErr w:type="spellEnd"/>
    </w:p>
    <w:p w14:paraId="1F4473F5" w14:textId="77777777" w:rsidR="006215A0" w:rsidRPr="00D258B1" w:rsidRDefault="006215A0" w:rsidP="006215A0">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i/>
          <w:iCs/>
          <w:sz w:val="24"/>
          <w:szCs w:val="24"/>
        </w:rPr>
      </w:pPr>
    </w:p>
    <w:p w14:paraId="202148A2" w14:textId="77777777" w:rsidR="006215A0" w:rsidRPr="00D258B1" w:rsidRDefault="006215A0" w:rsidP="006215A0">
      <w:pPr>
        <w:pStyle w:val="PlainText"/>
        <w:tabs>
          <w:tab w:val="left" w:pos="284"/>
          <w:tab w:val="left" w:pos="426"/>
        </w:tabs>
        <w:spacing w:line="300" w:lineRule="auto"/>
        <w:jc w:val="both"/>
        <w:rPr>
          <w:rFonts w:ascii="Times New Roman" w:hAnsi="Times New Roman" w:cs="Times New Roman"/>
          <w:b/>
        </w:rPr>
      </w:pPr>
    </w:p>
    <w:p w14:paraId="37EC4565" w14:textId="77777777"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bCs/>
          <w:sz w:val="28"/>
        </w:rPr>
      </w:pPr>
    </w:p>
    <w:p w14:paraId="2B5A2636" w14:textId="70E63DF2"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bCs/>
          <w:sz w:val="28"/>
        </w:rPr>
      </w:pPr>
      <w:r>
        <w:rPr>
          <w:rFonts w:ascii="Times New Roman" w:hAnsi="Times New Roman" w:cs="Times New Roman"/>
          <w:b/>
          <w:bCs/>
          <w:sz w:val="28"/>
        </w:rPr>
        <w:t xml:space="preserve">Working Paper in Economics </w:t>
      </w:r>
      <w:r w:rsidR="00C218E7">
        <w:rPr>
          <w:rFonts w:ascii="Times New Roman" w:hAnsi="Times New Roman" w:cs="Times New Roman"/>
          <w:b/>
          <w:bCs/>
          <w:sz w:val="28"/>
        </w:rPr>
        <w:t>1</w:t>
      </w:r>
      <w:r w:rsidR="00EC7F75" w:rsidRPr="00EC7F75">
        <w:rPr>
          <w:rFonts w:ascii="Times New Roman" w:hAnsi="Times New Roman" w:cs="Times New Roman"/>
          <w:b/>
          <w:bCs/>
          <w:sz w:val="28"/>
        </w:rPr>
        <w:t>/1</w:t>
      </w:r>
      <w:r w:rsidR="0000469D">
        <w:rPr>
          <w:rFonts w:ascii="Times New Roman" w:hAnsi="Times New Roman" w:cs="Times New Roman"/>
          <w:b/>
          <w:bCs/>
          <w:sz w:val="28"/>
        </w:rPr>
        <w:t>8</w:t>
      </w:r>
    </w:p>
    <w:p w14:paraId="3C78B9E9" w14:textId="77777777" w:rsidR="006215A0" w:rsidRPr="00D258B1" w:rsidRDefault="006215A0" w:rsidP="006215A0">
      <w:pPr>
        <w:pStyle w:val="PlainText"/>
        <w:tabs>
          <w:tab w:val="left" w:pos="284"/>
          <w:tab w:val="left" w:pos="426"/>
        </w:tabs>
        <w:spacing w:line="300" w:lineRule="auto"/>
        <w:jc w:val="center"/>
        <w:rPr>
          <w:rFonts w:ascii="Times New Roman" w:hAnsi="Times New Roman" w:cs="Times New Roman"/>
          <w:b/>
          <w:bCs/>
          <w:sz w:val="28"/>
        </w:rPr>
      </w:pPr>
    </w:p>
    <w:p w14:paraId="7E8106BE" w14:textId="000C1A96" w:rsidR="006215A0" w:rsidRPr="00D258B1" w:rsidRDefault="0000469D" w:rsidP="006215A0">
      <w:pPr>
        <w:pStyle w:val="PlainText"/>
        <w:tabs>
          <w:tab w:val="left" w:pos="284"/>
          <w:tab w:val="left" w:pos="426"/>
        </w:tabs>
        <w:spacing w:line="300" w:lineRule="auto"/>
        <w:jc w:val="center"/>
        <w:rPr>
          <w:rFonts w:ascii="Times New Roman" w:hAnsi="Times New Roman" w:cs="Times New Roman"/>
          <w:sz w:val="28"/>
        </w:rPr>
      </w:pPr>
      <w:r>
        <w:rPr>
          <w:rFonts w:ascii="Times New Roman" w:hAnsi="Times New Roman" w:cs="Times New Roman"/>
          <w:sz w:val="28"/>
        </w:rPr>
        <w:t>January 2018</w:t>
      </w:r>
    </w:p>
    <w:p w14:paraId="36ECA4D4" w14:textId="77777777" w:rsidR="006215A0" w:rsidRPr="00D258B1" w:rsidRDefault="006215A0" w:rsidP="006215A0">
      <w:pPr>
        <w:pStyle w:val="PlainText"/>
        <w:tabs>
          <w:tab w:val="left" w:pos="284"/>
          <w:tab w:val="left" w:pos="426"/>
        </w:tabs>
        <w:spacing w:line="300" w:lineRule="auto"/>
        <w:jc w:val="center"/>
        <w:rPr>
          <w:rFonts w:ascii="Times New Roman" w:hAnsi="Times New Roman" w:cs="Times New Roman"/>
          <w:sz w:val="28"/>
        </w:rPr>
      </w:pPr>
    </w:p>
    <w:p w14:paraId="4A954EC8" w14:textId="6307F6CF" w:rsidR="006215A0" w:rsidRPr="00BD37FC" w:rsidRDefault="006C4624" w:rsidP="006215A0">
      <w:pPr>
        <w:pStyle w:val="PlainText"/>
        <w:tabs>
          <w:tab w:val="left" w:pos="284"/>
          <w:tab w:val="left" w:pos="426"/>
        </w:tabs>
        <w:spacing w:line="300" w:lineRule="auto"/>
        <w:jc w:val="center"/>
        <w:rPr>
          <w:rFonts w:ascii="Times New Roman" w:hAnsi="Times New Roman" w:cs="Times New Roman"/>
          <w:i/>
          <w:sz w:val="24"/>
          <w:szCs w:val="24"/>
        </w:rPr>
      </w:pPr>
      <w:r w:rsidRPr="00BD37FC">
        <w:rPr>
          <w:rFonts w:ascii="Times New Roman" w:hAnsi="Times New Roman" w:cs="Times New Roman"/>
          <w:i/>
          <w:sz w:val="24"/>
          <w:szCs w:val="24"/>
        </w:rPr>
        <w:t>Corresponding Author</w:t>
      </w:r>
    </w:p>
    <w:p w14:paraId="43943DCA" w14:textId="77777777" w:rsidR="00BD37FC" w:rsidRPr="00BD37FC" w:rsidRDefault="00BD37FC" w:rsidP="006215A0">
      <w:pPr>
        <w:pStyle w:val="PlainText"/>
        <w:tabs>
          <w:tab w:val="left" w:pos="284"/>
          <w:tab w:val="left" w:pos="426"/>
        </w:tabs>
        <w:spacing w:line="300" w:lineRule="auto"/>
        <w:jc w:val="center"/>
        <w:rPr>
          <w:rFonts w:ascii="Times New Roman" w:hAnsi="Times New Roman" w:cs="Times New Roman"/>
          <w:i/>
          <w:sz w:val="24"/>
          <w:szCs w:val="24"/>
        </w:rPr>
      </w:pPr>
    </w:p>
    <w:p w14:paraId="045638F5" w14:textId="1BE4350D" w:rsidR="006215A0" w:rsidRPr="00BD37FC" w:rsidRDefault="00A41F6F" w:rsidP="006215A0">
      <w:pPr>
        <w:pStyle w:val="PlainText"/>
        <w:tabs>
          <w:tab w:val="left" w:pos="284"/>
          <w:tab w:val="left" w:pos="567"/>
        </w:tabs>
        <w:spacing w:line="288"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Michael P. Cameron</w:t>
      </w:r>
    </w:p>
    <w:p w14:paraId="77E916B4" w14:textId="7398D9AF" w:rsidR="006C4624" w:rsidRPr="00BD37FC" w:rsidRDefault="006C4624" w:rsidP="00BD37FC">
      <w:pPr>
        <w:pStyle w:val="PlainText"/>
        <w:tabs>
          <w:tab w:val="left" w:pos="284"/>
          <w:tab w:val="left" w:pos="567"/>
        </w:tabs>
        <w:jc w:val="center"/>
        <w:rPr>
          <w:rFonts w:ascii="Times New Roman" w:hAnsi="Times New Roman" w:cs="Times New Roman"/>
          <w:sz w:val="24"/>
          <w:szCs w:val="24"/>
        </w:rPr>
      </w:pPr>
      <w:r w:rsidRPr="00BD37FC">
        <w:rPr>
          <w:rFonts w:ascii="Times New Roman" w:hAnsi="Times New Roman" w:cs="Times New Roman"/>
          <w:sz w:val="24"/>
          <w:szCs w:val="24"/>
        </w:rPr>
        <w:t>School of Accounting, Finance</w:t>
      </w:r>
      <w:r w:rsidR="00BD37FC">
        <w:rPr>
          <w:rFonts w:ascii="Times New Roman" w:hAnsi="Times New Roman" w:cs="Times New Roman"/>
          <w:sz w:val="24"/>
          <w:szCs w:val="24"/>
        </w:rPr>
        <w:t xml:space="preserve"> </w:t>
      </w:r>
      <w:r w:rsidRPr="00BD37FC">
        <w:rPr>
          <w:rFonts w:ascii="Times New Roman" w:hAnsi="Times New Roman" w:cs="Times New Roman"/>
          <w:sz w:val="24"/>
          <w:szCs w:val="24"/>
        </w:rPr>
        <w:t>and Economics</w:t>
      </w:r>
    </w:p>
    <w:p w14:paraId="4418E696" w14:textId="77777777" w:rsidR="006C4624" w:rsidRPr="00BD37FC" w:rsidRDefault="006C4624" w:rsidP="003756C1">
      <w:pPr>
        <w:pStyle w:val="PlainText"/>
        <w:tabs>
          <w:tab w:val="left" w:pos="284"/>
          <w:tab w:val="left" w:pos="567"/>
        </w:tabs>
        <w:jc w:val="center"/>
        <w:rPr>
          <w:rFonts w:ascii="Times New Roman" w:hAnsi="Times New Roman" w:cs="Times New Roman"/>
          <w:sz w:val="24"/>
          <w:szCs w:val="24"/>
        </w:rPr>
      </w:pPr>
      <w:r w:rsidRPr="00BD37FC">
        <w:rPr>
          <w:rFonts w:ascii="Times New Roman" w:hAnsi="Times New Roman" w:cs="Times New Roman"/>
          <w:sz w:val="24"/>
          <w:szCs w:val="24"/>
        </w:rPr>
        <w:t xml:space="preserve">University of Waikato </w:t>
      </w:r>
    </w:p>
    <w:p w14:paraId="0A52D140" w14:textId="77777777" w:rsidR="006C4624" w:rsidRPr="00BD37FC" w:rsidRDefault="006C4624" w:rsidP="003756C1">
      <w:pPr>
        <w:pStyle w:val="PlainText"/>
        <w:tabs>
          <w:tab w:val="left" w:pos="284"/>
          <w:tab w:val="left" w:pos="567"/>
        </w:tabs>
        <w:jc w:val="center"/>
        <w:rPr>
          <w:rFonts w:ascii="Times New Roman" w:hAnsi="Times New Roman" w:cs="Times New Roman"/>
          <w:sz w:val="24"/>
          <w:szCs w:val="24"/>
        </w:rPr>
      </w:pPr>
      <w:r w:rsidRPr="00BD37FC">
        <w:rPr>
          <w:rFonts w:ascii="Times New Roman" w:hAnsi="Times New Roman" w:cs="Times New Roman"/>
          <w:sz w:val="24"/>
          <w:szCs w:val="24"/>
        </w:rPr>
        <w:t>Private Bag 3105</w:t>
      </w:r>
    </w:p>
    <w:p w14:paraId="2632460A" w14:textId="75A8E6CC" w:rsidR="006C4624" w:rsidRPr="00BD37FC" w:rsidRDefault="006C4624" w:rsidP="003756C1">
      <w:pPr>
        <w:pStyle w:val="PlainText"/>
        <w:tabs>
          <w:tab w:val="left" w:pos="284"/>
          <w:tab w:val="left" w:pos="567"/>
        </w:tabs>
        <w:jc w:val="center"/>
        <w:rPr>
          <w:rFonts w:ascii="Times New Roman" w:hAnsi="Times New Roman" w:cs="Times New Roman"/>
          <w:sz w:val="24"/>
          <w:szCs w:val="24"/>
        </w:rPr>
      </w:pPr>
      <w:r w:rsidRPr="00BD37FC">
        <w:rPr>
          <w:rFonts w:ascii="Times New Roman" w:hAnsi="Times New Roman" w:cs="Times New Roman"/>
          <w:sz w:val="24"/>
          <w:szCs w:val="24"/>
        </w:rPr>
        <w:t>Hamilton</w:t>
      </w:r>
    </w:p>
    <w:p w14:paraId="71B5B38A" w14:textId="59AEBFEF" w:rsidR="006C4624" w:rsidRPr="00BD37FC" w:rsidRDefault="006C4624" w:rsidP="003756C1">
      <w:pPr>
        <w:pStyle w:val="PlainText"/>
        <w:tabs>
          <w:tab w:val="left" w:pos="284"/>
          <w:tab w:val="left" w:pos="567"/>
        </w:tabs>
        <w:jc w:val="center"/>
        <w:rPr>
          <w:rFonts w:ascii="Times New Roman" w:hAnsi="Times New Roman" w:cs="Times New Roman"/>
          <w:sz w:val="24"/>
          <w:szCs w:val="24"/>
        </w:rPr>
      </w:pPr>
      <w:r w:rsidRPr="00BD37FC">
        <w:rPr>
          <w:rFonts w:ascii="Times New Roman" w:hAnsi="Times New Roman" w:cs="Times New Roman"/>
          <w:sz w:val="24"/>
          <w:szCs w:val="24"/>
        </w:rPr>
        <w:t>NEW ZEALAND, 3240</w:t>
      </w:r>
    </w:p>
    <w:p w14:paraId="4E0B0DC6" w14:textId="77777777" w:rsidR="006C4624" w:rsidRPr="0070445A" w:rsidRDefault="006C4624" w:rsidP="006C4624">
      <w:pPr>
        <w:tabs>
          <w:tab w:val="left" w:pos="567"/>
        </w:tabs>
        <w:autoSpaceDE w:val="0"/>
        <w:autoSpaceDN w:val="0"/>
        <w:adjustRightInd w:val="0"/>
        <w:spacing w:line="288" w:lineRule="auto"/>
        <w:rPr>
          <w:rFonts w:asciiTheme="majorBidi" w:hAnsiTheme="majorBidi" w:cstheme="majorBidi"/>
          <w:sz w:val="12"/>
          <w:szCs w:val="12"/>
          <w:lang w:val="es-ES"/>
        </w:rPr>
      </w:pPr>
    </w:p>
    <w:p w14:paraId="7AD3CD31" w14:textId="780772D6" w:rsidR="006215A0" w:rsidRDefault="006C4624" w:rsidP="006215A0">
      <w:pPr>
        <w:tabs>
          <w:tab w:val="left" w:pos="567"/>
        </w:tabs>
        <w:autoSpaceDE w:val="0"/>
        <w:autoSpaceDN w:val="0"/>
        <w:adjustRightInd w:val="0"/>
        <w:spacing w:line="288" w:lineRule="auto"/>
        <w:jc w:val="center"/>
        <w:rPr>
          <w:rFonts w:asciiTheme="majorBidi" w:hAnsiTheme="majorBidi" w:cstheme="majorBidi"/>
          <w:lang w:val="es-ES"/>
        </w:rPr>
      </w:pPr>
      <w:r w:rsidRPr="00BD37FC">
        <w:rPr>
          <w:rFonts w:asciiTheme="majorBidi" w:hAnsiTheme="majorBidi" w:cstheme="majorBidi"/>
          <w:lang w:val="es-ES"/>
        </w:rPr>
        <w:t>Email:</w:t>
      </w:r>
      <w:r w:rsidR="00C6615B">
        <w:rPr>
          <w:rFonts w:asciiTheme="majorBidi" w:hAnsiTheme="majorBidi" w:cstheme="majorBidi"/>
          <w:lang w:val="es-ES"/>
        </w:rPr>
        <w:t xml:space="preserve"> </w:t>
      </w:r>
      <w:r w:rsidR="00C6615B" w:rsidRPr="00C6615B">
        <w:rPr>
          <w:rFonts w:asciiTheme="majorBidi" w:hAnsiTheme="majorBidi" w:cstheme="majorBidi"/>
          <w:lang w:val="es-ES"/>
        </w:rPr>
        <w:t>mcam@waikato.ac.nz</w:t>
      </w:r>
    </w:p>
    <w:p w14:paraId="3D841308" w14:textId="068EBF73" w:rsidR="00C6615B" w:rsidRDefault="00C6615B" w:rsidP="006215A0">
      <w:pPr>
        <w:tabs>
          <w:tab w:val="left" w:pos="567"/>
        </w:tabs>
        <w:autoSpaceDE w:val="0"/>
        <w:autoSpaceDN w:val="0"/>
        <w:adjustRightInd w:val="0"/>
        <w:spacing w:line="288" w:lineRule="auto"/>
        <w:jc w:val="center"/>
        <w:rPr>
          <w:rFonts w:asciiTheme="majorBidi" w:hAnsiTheme="majorBidi" w:cstheme="majorBidi"/>
          <w:lang w:val="es-ES"/>
        </w:rPr>
      </w:pPr>
    </w:p>
    <w:p w14:paraId="1466C466" w14:textId="77777777" w:rsidR="00C6615B" w:rsidRDefault="00C6615B" w:rsidP="00C6615B">
      <w:pPr>
        <w:pStyle w:val="PlainText"/>
        <w:tabs>
          <w:tab w:val="left" w:pos="284"/>
          <w:tab w:val="left" w:pos="567"/>
        </w:tabs>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Jacques Poot</w:t>
      </w:r>
    </w:p>
    <w:p w14:paraId="458934BA" w14:textId="26C4AA45" w:rsidR="00C6615B" w:rsidRDefault="00C6615B" w:rsidP="00C6615B">
      <w:pPr>
        <w:pStyle w:val="PlainText"/>
        <w:tabs>
          <w:tab w:val="left" w:pos="284"/>
          <w:tab w:val="left" w:pos="567"/>
        </w:tabs>
        <w:jc w:val="center"/>
        <w:rPr>
          <w:rFonts w:ascii="Times New Roman" w:hAnsi="Times New Roman" w:cs="Times New Roman"/>
          <w:bCs/>
          <w:sz w:val="24"/>
          <w:szCs w:val="24"/>
          <w:lang w:val="es-ES"/>
        </w:rPr>
      </w:pPr>
      <w:proofErr w:type="spellStart"/>
      <w:r>
        <w:rPr>
          <w:rFonts w:ascii="Times New Roman" w:hAnsi="Times New Roman" w:cs="Times New Roman"/>
          <w:bCs/>
          <w:sz w:val="24"/>
          <w:szCs w:val="24"/>
          <w:lang w:val="es-ES"/>
        </w:rPr>
        <w:t>University</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of</w:t>
      </w:r>
      <w:proofErr w:type="spellEnd"/>
      <w:r>
        <w:rPr>
          <w:rFonts w:ascii="Times New Roman" w:hAnsi="Times New Roman" w:cs="Times New Roman"/>
          <w:bCs/>
          <w:sz w:val="24"/>
          <w:szCs w:val="24"/>
          <w:lang w:val="es-ES"/>
        </w:rPr>
        <w:t xml:space="preserve"> </w:t>
      </w:r>
      <w:proofErr w:type="spellStart"/>
      <w:r>
        <w:rPr>
          <w:rFonts w:ascii="Times New Roman" w:hAnsi="Times New Roman" w:cs="Times New Roman"/>
          <w:bCs/>
          <w:sz w:val="24"/>
          <w:szCs w:val="24"/>
          <w:lang w:val="es-ES"/>
        </w:rPr>
        <w:t>Waikato</w:t>
      </w:r>
      <w:proofErr w:type="spellEnd"/>
    </w:p>
    <w:p w14:paraId="61C4DDD9" w14:textId="77777777" w:rsidR="00C6615B" w:rsidRPr="00C6615B" w:rsidRDefault="00C6615B" w:rsidP="00C6615B">
      <w:pPr>
        <w:pStyle w:val="PlainText"/>
        <w:tabs>
          <w:tab w:val="left" w:pos="284"/>
          <w:tab w:val="left" w:pos="567"/>
        </w:tabs>
        <w:jc w:val="center"/>
        <w:rPr>
          <w:rFonts w:ascii="Times New Roman" w:hAnsi="Times New Roman" w:cs="Times New Roman"/>
          <w:bCs/>
          <w:sz w:val="12"/>
          <w:szCs w:val="12"/>
          <w:lang w:val="es-ES"/>
        </w:rPr>
      </w:pPr>
    </w:p>
    <w:p w14:paraId="2D5358EC" w14:textId="3BB89BD6" w:rsidR="00C6615B" w:rsidRPr="00BD37FC" w:rsidRDefault="00C6615B" w:rsidP="00C6615B">
      <w:pPr>
        <w:tabs>
          <w:tab w:val="left" w:pos="567"/>
        </w:tabs>
        <w:autoSpaceDE w:val="0"/>
        <w:autoSpaceDN w:val="0"/>
        <w:adjustRightInd w:val="0"/>
        <w:spacing w:line="288" w:lineRule="auto"/>
        <w:jc w:val="center"/>
        <w:rPr>
          <w:rFonts w:asciiTheme="majorBidi" w:hAnsiTheme="majorBidi" w:cstheme="majorBidi"/>
          <w:lang w:val="es-ES"/>
        </w:rPr>
      </w:pPr>
      <w:r>
        <w:rPr>
          <w:rFonts w:asciiTheme="majorBidi" w:hAnsiTheme="majorBidi" w:cstheme="majorBidi"/>
          <w:lang w:val="es-ES"/>
        </w:rPr>
        <w:t>Email: jacques.poot</w:t>
      </w:r>
      <w:r w:rsidRPr="00A41F6F">
        <w:rPr>
          <w:rFonts w:asciiTheme="majorBidi" w:hAnsiTheme="majorBidi" w:cstheme="majorBidi"/>
          <w:lang w:val="es-ES"/>
        </w:rPr>
        <w:t>@</w:t>
      </w:r>
      <w:r>
        <w:rPr>
          <w:rFonts w:asciiTheme="majorBidi" w:hAnsiTheme="majorBidi" w:cstheme="majorBidi"/>
          <w:lang w:val="es-ES"/>
        </w:rPr>
        <w:t>waikato.ac.nz</w:t>
      </w:r>
    </w:p>
    <w:p w14:paraId="01271037" w14:textId="0CCC7B20" w:rsidR="006215A0" w:rsidRDefault="006215A0" w:rsidP="006215A0">
      <w:pPr>
        <w:pStyle w:val="PlainText"/>
        <w:tabs>
          <w:tab w:val="left" w:pos="284"/>
          <w:tab w:val="left" w:pos="567"/>
        </w:tabs>
        <w:spacing w:line="288" w:lineRule="auto"/>
        <w:jc w:val="center"/>
        <w:rPr>
          <w:rFonts w:ascii="Times New Roman" w:hAnsi="Times New Roman" w:cs="Times New Roman"/>
          <w:b/>
          <w:bCs/>
          <w:sz w:val="24"/>
          <w:szCs w:val="24"/>
          <w:lang w:val="es-ES"/>
        </w:rPr>
      </w:pPr>
    </w:p>
    <w:p w14:paraId="1B9C2F27" w14:textId="77777777" w:rsidR="00BD37FC" w:rsidRDefault="00BD37FC" w:rsidP="006215A0">
      <w:pPr>
        <w:pStyle w:val="PlainText"/>
        <w:tabs>
          <w:tab w:val="left" w:pos="284"/>
          <w:tab w:val="left" w:pos="567"/>
        </w:tabs>
        <w:spacing w:line="288" w:lineRule="auto"/>
        <w:jc w:val="center"/>
        <w:rPr>
          <w:rFonts w:ascii="Times New Roman" w:hAnsi="Times New Roman" w:cs="Times New Roman"/>
          <w:b/>
          <w:bCs/>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41F6F" w14:paraId="356695FF" w14:textId="7538C02D" w:rsidTr="0000469D">
        <w:tc>
          <w:tcPr>
            <w:tcW w:w="3008" w:type="dxa"/>
          </w:tcPr>
          <w:p w14:paraId="5369E925" w14:textId="77777777" w:rsidR="00A41F6F" w:rsidRPr="003756C1" w:rsidRDefault="00A41F6F" w:rsidP="003756C1">
            <w:pPr>
              <w:pStyle w:val="PlainText"/>
              <w:tabs>
                <w:tab w:val="left" w:pos="284"/>
                <w:tab w:val="left" w:pos="567"/>
              </w:tabs>
              <w:jc w:val="center"/>
              <w:rPr>
                <w:rFonts w:ascii="Times New Roman" w:hAnsi="Times New Roman" w:cs="Times New Roman"/>
                <w:b/>
                <w:bCs/>
                <w:sz w:val="24"/>
                <w:szCs w:val="24"/>
                <w:lang w:val="es-ES"/>
              </w:rPr>
            </w:pPr>
          </w:p>
        </w:tc>
        <w:tc>
          <w:tcPr>
            <w:tcW w:w="3009" w:type="dxa"/>
          </w:tcPr>
          <w:p w14:paraId="2122215C" w14:textId="20410420" w:rsidR="00A41F6F" w:rsidRPr="003756C1" w:rsidRDefault="00A41F6F" w:rsidP="00F32FFF">
            <w:pPr>
              <w:pStyle w:val="PlainText"/>
              <w:tabs>
                <w:tab w:val="left" w:pos="284"/>
                <w:tab w:val="left" w:pos="567"/>
              </w:tabs>
              <w:jc w:val="center"/>
              <w:rPr>
                <w:rFonts w:ascii="Times New Roman" w:hAnsi="Times New Roman" w:cs="Times New Roman"/>
                <w:b/>
                <w:bCs/>
                <w:sz w:val="24"/>
                <w:szCs w:val="24"/>
                <w:lang w:val="es-ES"/>
              </w:rPr>
            </w:pPr>
          </w:p>
        </w:tc>
        <w:tc>
          <w:tcPr>
            <w:tcW w:w="3009" w:type="dxa"/>
          </w:tcPr>
          <w:p w14:paraId="1D318020" w14:textId="46D1EAC5" w:rsidR="00A41F6F" w:rsidRPr="003756C1" w:rsidRDefault="00A41F6F" w:rsidP="00A41F6F">
            <w:pPr>
              <w:pStyle w:val="PlainText"/>
              <w:tabs>
                <w:tab w:val="left" w:pos="284"/>
                <w:tab w:val="left" w:pos="567"/>
              </w:tabs>
              <w:jc w:val="center"/>
              <w:rPr>
                <w:rFonts w:ascii="Times New Roman" w:hAnsi="Times New Roman" w:cs="Times New Roman"/>
                <w:b/>
                <w:bCs/>
                <w:sz w:val="24"/>
                <w:szCs w:val="24"/>
                <w:lang w:val="es-ES"/>
              </w:rPr>
            </w:pPr>
          </w:p>
        </w:tc>
      </w:tr>
    </w:tbl>
    <w:p w14:paraId="0BFE61B4" w14:textId="77777777" w:rsidR="003756C1" w:rsidRDefault="003756C1" w:rsidP="006215A0">
      <w:pPr>
        <w:pStyle w:val="PlainText"/>
        <w:tabs>
          <w:tab w:val="left" w:pos="284"/>
          <w:tab w:val="left" w:pos="567"/>
        </w:tabs>
        <w:spacing w:line="288" w:lineRule="auto"/>
        <w:jc w:val="center"/>
        <w:rPr>
          <w:rFonts w:ascii="Times New Roman" w:hAnsi="Times New Roman" w:cs="Times New Roman"/>
          <w:b/>
          <w:bCs/>
          <w:sz w:val="24"/>
          <w:szCs w:val="24"/>
          <w:lang w:val="es-ES"/>
        </w:rPr>
      </w:pPr>
    </w:p>
    <w:p w14:paraId="52A5D097" w14:textId="77777777" w:rsidR="006215A0" w:rsidRDefault="006215A0" w:rsidP="006215A0">
      <w:pPr>
        <w:pStyle w:val="PlainText"/>
        <w:tabs>
          <w:tab w:val="left" w:pos="284"/>
          <w:tab w:val="left" w:pos="567"/>
        </w:tabs>
        <w:spacing w:line="288" w:lineRule="auto"/>
        <w:jc w:val="center"/>
        <w:rPr>
          <w:rFonts w:ascii="Times New Roman" w:hAnsi="Times New Roman" w:cs="Times New Roman"/>
          <w:b/>
          <w:bCs/>
          <w:sz w:val="24"/>
          <w:szCs w:val="24"/>
          <w:lang w:val="es-ES"/>
        </w:rPr>
      </w:pPr>
    </w:p>
    <w:p w14:paraId="517449C6" w14:textId="2E323392" w:rsidR="006215A0" w:rsidRPr="00C04FEE" w:rsidRDefault="006215A0" w:rsidP="006215A0">
      <w:pPr>
        <w:tabs>
          <w:tab w:val="left" w:pos="567"/>
        </w:tabs>
        <w:autoSpaceDE w:val="0"/>
        <w:autoSpaceDN w:val="0"/>
        <w:adjustRightInd w:val="0"/>
        <w:spacing w:line="288" w:lineRule="auto"/>
        <w:jc w:val="center"/>
        <w:rPr>
          <w:rFonts w:asciiTheme="majorBidi" w:hAnsiTheme="majorBidi" w:cstheme="majorBidi"/>
          <w:lang w:val="es-ES"/>
        </w:rPr>
      </w:pPr>
      <w:r w:rsidRPr="00C04FEE">
        <w:rPr>
          <w:rFonts w:asciiTheme="majorBidi" w:hAnsiTheme="majorBidi" w:cstheme="majorBidi"/>
          <w:lang w:val="es-ES"/>
        </w:rPr>
        <w:t xml:space="preserve"> </w:t>
      </w:r>
    </w:p>
    <w:p w14:paraId="753F04B2" w14:textId="77777777" w:rsidR="006215A0" w:rsidRPr="00C04FEE" w:rsidRDefault="006215A0" w:rsidP="006215A0">
      <w:pPr>
        <w:pStyle w:val="PlainText"/>
        <w:tabs>
          <w:tab w:val="left" w:pos="284"/>
          <w:tab w:val="left" w:pos="567"/>
        </w:tabs>
        <w:spacing w:line="288" w:lineRule="auto"/>
        <w:jc w:val="center"/>
        <w:rPr>
          <w:rFonts w:ascii="Times New Roman" w:hAnsi="Times New Roman" w:cs="Times New Roman"/>
          <w:b/>
          <w:bCs/>
          <w:sz w:val="24"/>
          <w:szCs w:val="24"/>
          <w:lang w:val="es-ES"/>
        </w:rPr>
      </w:pPr>
    </w:p>
    <w:p w14:paraId="59EF2B3B" w14:textId="77777777" w:rsidR="00390F67" w:rsidRDefault="00390F67" w:rsidP="006215A0">
      <w:pPr>
        <w:autoSpaceDE w:val="0"/>
        <w:autoSpaceDN w:val="0"/>
        <w:adjustRightInd w:val="0"/>
        <w:spacing w:before="240" w:line="360" w:lineRule="auto"/>
        <w:jc w:val="center"/>
        <w:rPr>
          <w:rFonts w:asciiTheme="majorBidi" w:hAnsiTheme="majorBidi" w:cstheme="majorBidi"/>
          <w:b/>
          <w:bCs/>
          <w:lang w:val="en-NZ"/>
        </w:rPr>
      </w:pPr>
    </w:p>
    <w:p w14:paraId="6D1EE86F" w14:textId="40C5AF5B" w:rsidR="000E7C1D" w:rsidRDefault="000E7C1D" w:rsidP="000E7C1D">
      <w:pPr>
        <w:tabs>
          <w:tab w:val="left" w:pos="3948"/>
        </w:tabs>
        <w:autoSpaceDE w:val="0"/>
        <w:autoSpaceDN w:val="0"/>
        <w:adjustRightInd w:val="0"/>
        <w:spacing w:before="240" w:line="360" w:lineRule="auto"/>
        <w:rPr>
          <w:rFonts w:asciiTheme="majorBidi" w:hAnsiTheme="majorBidi" w:cstheme="majorBidi"/>
          <w:b/>
          <w:bCs/>
          <w:lang w:val="en-NZ"/>
        </w:rPr>
      </w:pPr>
      <w:r>
        <w:rPr>
          <w:rFonts w:asciiTheme="majorBidi" w:hAnsiTheme="majorBidi" w:cstheme="majorBidi"/>
          <w:b/>
          <w:bCs/>
          <w:lang w:val="en-NZ"/>
        </w:rPr>
        <w:tab/>
      </w:r>
    </w:p>
    <w:p w14:paraId="2DD84970" w14:textId="47A08A86" w:rsidR="00184564" w:rsidRPr="00726832" w:rsidRDefault="00184564" w:rsidP="006215A0">
      <w:pPr>
        <w:autoSpaceDE w:val="0"/>
        <w:autoSpaceDN w:val="0"/>
        <w:adjustRightInd w:val="0"/>
        <w:spacing w:before="240" w:line="360" w:lineRule="auto"/>
        <w:jc w:val="center"/>
        <w:rPr>
          <w:rFonts w:asciiTheme="majorBidi" w:hAnsiTheme="majorBidi" w:cstheme="majorBidi"/>
          <w:b/>
          <w:bCs/>
          <w:lang w:val="en-NZ"/>
        </w:rPr>
      </w:pPr>
      <w:r w:rsidRPr="00726832">
        <w:rPr>
          <w:rFonts w:asciiTheme="majorBidi" w:hAnsiTheme="majorBidi" w:cstheme="majorBidi"/>
          <w:b/>
          <w:bCs/>
          <w:lang w:val="en-NZ"/>
        </w:rPr>
        <w:t>Abstract</w:t>
      </w:r>
    </w:p>
    <w:p w14:paraId="5D862055" w14:textId="042816F0" w:rsidR="00184564" w:rsidRDefault="00F32FFF" w:rsidP="00A41F6F">
      <w:pPr>
        <w:autoSpaceDE w:val="0"/>
        <w:autoSpaceDN w:val="0"/>
        <w:adjustRightInd w:val="0"/>
        <w:spacing w:before="240" w:line="360" w:lineRule="auto"/>
        <w:jc w:val="both"/>
        <w:rPr>
          <w:rFonts w:asciiTheme="majorBidi" w:hAnsiTheme="majorBidi" w:cstheme="majorBidi"/>
          <w:color w:val="222222"/>
          <w:shd w:val="clear" w:color="auto" w:fill="FFFFFF"/>
        </w:rPr>
      </w:pPr>
      <w:r w:rsidRPr="00F32FFF">
        <w:rPr>
          <w:rFonts w:asciiTheme="majorBidi" w:hAnsiTheme="majorBidi" w:cstheme="majorBidi"/>
          <w:color w:val="222222"/>
          <w:shd w:val="clear" w:color="auto" w:fill="FFFFFF"/>
        </w:rPr>
        <w:t>We demonstrate that the conventional OLS and fixed effects estimators of gravity models of migration are biased, and that the interpretation of coefficients in the fixed effects model is typically incorrect. We present a new best linear unbiased estimator for gravity models of migration</w:t>
      </w:r>
      <w:r w:rsidR="00877EC7">
        <w:rPr>
          <w:rFonts w:asciiTheme="majorBidi" w:hAnsiTheme="majorBidi" w:cstheme="majorBidi"/>
          <w:color w:val="222222"/>
          <w:shd w:val="clear" w:color="auto" w:fill="FFFFFF"/>
        </w:rPr>
        <w:t>.</w:t>
      </w:r>
      <w:r w:rsidR="00317827">
        <w:rPr>
          <w:rFonts w:asciiTheme="majorBidi" w:hAnsiTheme="majorBidi" w:cstheme="majorBidi"/>
          <w:color w:val="222222"/>
          <w:shd w:val="clear" w:color="auto" w:fill="FFFFFF"/>
        </w:rPr>
        <w:t xml:space="preserve"> </w:t>
      </w:r>
    </w:p>
    <w:p w14:paraId="55EEF56A" w14:textId="77777777" w:rsidR="0000469D" w:rsidRPr="00FE722E" w:rsidRDefault="0000469D" w:rsidP="00A41F6F">
      <w:pPr>
        <w:autoSpaceDE w:val="0"/>
        <w:autoSpaceDN w:val="0"/>
        <w:adjustRightInd w:val="0"/>
        <w:spacing w:before="240" w:line="360" w:lineRule="auto"/>
        <w:jc w:val="both"/>
        <w:rPr>
          <w:rFonts w:asciiTheme="majorBidi" w:hAnsiTheme="majorBidi" w:cstheme="majorBidi"/>
          <w:color w:val="222222"/>
          <w:shd w:val="clear" w:color="auto" w:fill="FFFFFF"/>
        </w:rPr>
      </w:pPr>
    </w:p>
    <w:p w14:paraId="73CCF8A9" w14:textId="77777777" w:rsidR="006215A0" w:rsidRDefault="006215A0" w:rsidP="006215A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Keywords</w:t>
      </w:r>
    </w:p>
    <w:p w14:paraId="3E6F3FA3" w14:textId="22FCE1DC" w:rsidR="0000469D" w:rsidRDefault="005F4DE5" w:rsidP="006C4624">
      <w:pPr>
        <w:autoSpaceDE w:val="0"/>
        <w:autoSpaceDN w:val="0"/>
        <w:adjustRightInd w:val="0"/>
        <w:jc w:val="center"/>
        <w:rPr>
          <w:rFonts w:asciiTheme="majorBidi" w:hAnsiTheme="majorBidi" w:cstheme="majorBidi"/>
        </w:rPr>
      </w:pPr>
      <w:r>
        <w:rPr>
          <w:rFonts w:asciiTheme="majorBidi" w:hAnsiTheme="majorBidi" w:cstheme="majorBidi"/>
        </w:rPr>
        <w:t>g</w:t>
      </w:r>
      <w:r w:rsidR="0000469D">
        <w:rPr>
          <w:rFonts w:asciiTheme="majorBidi" w:hAnsiTheme="majorBidi" w:cstheme="majorBidi"/>
        </w:rPr>
        <w:t>ross migration flows</w:t>
      </w:r>
    </w:p>
    <w:p w14:paraId="5579C160" w14:textId="0B81EE52" w:rsidR="0000469D" w:rsidRDefault="005F4DE5" w:rsidP="006C4624">
      <w:pPr>
        <w:autoSpaceDE w:val="0"/>
        <w:autoSpaceDN w:val="0"/>
        <w:adjustRightInd w:val="0"/>
        <w:jc w:val="center"/>
        <w:rPr>
          <w:rFonts w:asciiTheme="majorBidi" w:hAnsiTheme="majorBidi" w:cstheme="majorBidi"/>
        </w:rPr>
      </w:pPr>
      <w:r>
        <w:rPr>
          <w:rFonts w:asciiTheme="majorBidi" w:hAnsiTheme="majorBidi" w:cstheme="majorBidi"/>
        </w:rPr>
        <w:t>g</w:t>
      </w:r>
      <w:r w:rsidR="0000469D" w:rsidRPr="0000469D">
        <w:rPr>
          <w:rFonts w:asciiTheme="majorBidi" w:hAnsiTheme="majorBidi" w:cstheme="majorBidi"/>
        </w:rPr>
        <w:t>ravity model</w:t>
      </w:r>
    </w:p>
    <w:p w14:paraId="245465D9" w14:textId="76131782" w:rsidR="00184564" w:rsidRDefault="00A41F6F" w:rsidP="006C4624">
      <w:pPr>
        <w:autoSpaceDE w:val="0"/>
        <w:autoSpaceDN w:val="0"/>
        <w:adjustRightInd w:val="0"/>
        <w:jc w:val="center"/>
        <w:rPr>
          <w:rFonts w:asciiTheme="majorBidi" w:hAnsiTheme="majorBidi" w:cstheme="majorBidi"/>
        </w:rPr>
      </w:pPr>
      <w:r>
        <w:rPr>
          <w:rFonts w:asciiTheme="majorBidi" w:hAnsiTheme="majorBidi" w:cstheme="majorBidi"/>
        </w:rPr>
        <w:t>New Zealand</w:t>
      </w:r>
    </w:p>
    <w:p w14:paraId="473FEA34" w14:textId="104EE1D2" w:rsidR="006215A0" w:rsidRDefault="006215A0" w:rsidP="006215A0">
      <w:pPr>
        <w:autoSpaceDE w:val="0"/>
        <w:autoSpaceDN w:val="0"/>
        <w:adjustRightInd w:val="0"/>
        <w:spacing w:line="360" w:lineRule="auto"/>
        <w:jc w:val="center"/>
        <w:rPr>
          <w:rFonts w:asciiTheme="majorBidi" w:hAnsiTheme="majorBidi" w:cstheme="majorBidi"/>
        </w:rPr>
      </w:pPr>
    </w:p>
    <w:p w14:paraId="3D39E9BD" w14:textId="77777777" w:rsidR="001D08B4" w:rsidRDefault="001D08B4" w:rsidP="006215A0">
      <w:pPr>
        <w:autoSpaceDE w:val="0"/>
        <w:autoSpaceDN w:val="0"/>
        <w:adjustRightInd w:val="0"/>
        <w:spacing w:line="360" w:lineRule="auto"/>
        <w:jc w:val="center"/>
        <w:rPr>
          <w:rFonts w:asciiTheme="majorBidi" w:hAnsiTheme="majorBidi" w:cstheme="majorBidi"/>
        </w:rPr>
      </w:pPr>
    </w:p>
    <w:p w14:paraId="5298B40B" w14:textId="2ACD10CC" w:rsidR="006215A0" w:rsidRDefault="006215A0" w:rsidP="006215A0">
      <w:pPr>
        <w:spacing w:line="300" w:lineRule="auto"/>
        <w:jc w:val="center"/>
        <w:rPr>
          <w:rFonts w:asciiTheme="majorBidi" w:hAnsiTheme="majorBidi"/>
          <w:b/>
          <w:bCs/>
          <w:lang w:val="fr-FR"/>
        </w:rPr>
      </w:pPr>
      <w:r w:rsidRPr="009B0F1C">
        <w:rPr>
          <w:rFonts w:asciiTheme="majorBidi" w:hAnsiTheme="majorBidi"/>
          <w:b/>
          <w:bCs/>
          <w:lang w:val="fr-FR"/>
        </w:rPr>
        <w:t>JEL Classification</w:t>
      </w:r>
    </w:p>
    <w:p w14:paraId="180A246C" w14:textId="77777777" w:rsidR="00A36AAA" w:rsidRPr="00A36AAA" w:rsidRDefault="00A36AAA" w:rsidP="006215A0">
      <w:pPr>
        <w:spacing w:line="300" w:lineRule="auto"/>
        <w:jc w:val="center"/>
        <w:rPr>
          <w:rFonts w:asciiTheme="majorBidi" w:hAnsiTheme="majorBidi"/>
          <w:b/>
          <w:bCs/>
          <w:sz w:val="12"/>
          <w:szCs w:val="12"/>
          <w:lang w:val="fr-FR"/>
        </w:rPr>
      </w:pPr>
    </w:p>
    <w:p w14:paraId="6B7F24B8" w14:textId="2C1F50D6" w:rsidR="007B5AD8" w:rsidRDefault="0000469D" w:rsidP="007B5AD8">
      <w:pPr>
        <w:jc w:val="center"/>
      </w:pPr>
      <w:r>
        <w:t>O15; R23</w:t>
      </w:r>
    </w:p>
    <w:p w14:paraId="486CED92" w14:textId="00900E8F" w:rsidR="007B5AD8" w:rsidRDefault="007B5AD8" w:rsidP="007B5AD8">
      <w:pPr>
        <w:jc w:val="center"/>
      </w:pPr>
    </w:p>
    <w:p w14:paraId="318B4763" w14:textId="57B641F0" w:rsidR="007B5AD8" w:rsidRDefault="007B5AD8" w:rsidP="007B5AD8">
      <w:pPr>
        <w:jc w:val="center"/>
      </w:pPr>
    </w:p>
    <w:p w14:paraId="060C87F5" w14:textId="234A3FE5" w:rsidR="007B5AD8" w:rsidRDefault="007B5AD8" w:rsidP="007B5AD8">
      <w:pPr>
        <w:jc w:val="center"/>
      </w:pPr>
    </w:p>
    <w:p w14:paraId="72820915" w14:textId="44991460" w:rsidR="007B5AD8" w:rsidRDefault="007B5AD8" w:rsidP="007B5AD8">
      <w:pPr>
        <w:jc w:val="center"/>
      </w:pPr>
    </w:p>
    <w:p w14:paraId="2AFEF492" w14:textId="77777777" w:rsidR="007B5AD8" w:rsidRPr="007B5AD8" w:rsidRDefault="007B5AD8" w:rsidP="007B5AD8">
      <w:pPr>
        <w:autoSpaceDE w:val="0"/>
        <w:autoSpaceDN w:val="0"/>
        <w:adjustRightInd w:val="0"/>
        <w:spacing w:line="360" w:lineRule="auto"/>
        <w:jc w:val="center"/>
        <w:rPr>
          <w:rFonts w:asciiTheme="majorBidi" w:hAnsiTheme="majorBidi" w:cstheme="majorBidi"/>
          <w:b/>
          <w:bCs/>
          <w:sz w:val="22"/>
          <w:szCs w:val="22"/>
        </w:rPr>
      </w:pPr>
      <w:r w:rsidRPr="007B5AD8">
        <w:rPr>
          <w:rFonts w:asciiTheme="majorBidi" w:hAnsiTheme="majorBidi" w:cstheme="majorBidi"/>
          <w:b/>
          <w:bCs/>
          <w:sz w:val="22"/>
          <w:szCs w:val="22"/>
        </w:rPr>
        <w:t>Acknowledgements</w:t>
      </w:r>
    </w:p>
    <w:p w14:paraId="11F949C0" w14:textId="77777777" w:rsidR="007B5AD8" w:rsidRPr="007B5AD8" w:rsidRDefault="007B5AD8" w:rsidP="007B5AD8">
      <w:pPr>
        <w:autoSpaceDE w:val="0"/>
        <w:autoSpaceDN w:val="0"/>
        <w:adjustRightInd w:val="0"/>
        <w:spacing w:line="288" w:lineRule="auto"/>
        <w:ind w:hanging="142"/>
        <w:jc w:val="both"/>
        <w:rPr>
          <w:rFonts w:asciiTheme="majorBidi" w:hAnsiTheme="majorBidi" w:cstheme="majorBidi"/>
          <w:color w:val="000000" w:themeColor="text1"/>
          <w:sz w:val="22"/>
          <w:szCs w:val="22"/>
          <w:lang w:val="en-NZ"/>
        </w:rPr>
      </w:pPr>
      <w:r>
        <w:rPr>
          <w:rFonts w:asciiTheme="majorBidi" w:hAnsiTheme="majorBidi" w:cstheme="majorBidi"/>
          <w:color w:val="000000" w:themeColor="text1"/>
          <w:sz w:val="22"/>
          <w:szCs w:val="22"/>
          <w:lang w:val="en-NZ"/>
        </w:rPr>
        <w:tab/>
      </w:r>
      <w:r w:rsidRPr="007B5AD8">
        <w:rPr>
          <w:rFonts w:asciiTheme="majorBidi" w:hAnsiTheme="majorBidi" w:cstheme="majorBidi"/>
          <w:color w:val="000000" w:themeColor="text1"/>
          <w:sz w:val="22"/>
          <w:szCs w:val="22"/>
          <w:lang w:val="en-NZ"/>
        </w:rPr>
        <w:t xml:space="preserve">This research was funded by the Ministry of Business, Innovation and Employment (Grant numbers UOWX1404 and MAUX1206) and by the Royal Society of New Zealand Marsden Fund (Grant number UOW1302). The authors are grateful to </w:t>
      </w:r>
      <w:proofErr w:type="spellStart"/>
      <w:r w:rsidRPr="007B5AD8">
        <w:rPr>
          <w:rFonts w:asciiTheme="majorBidi" w:hAnsiTheme="majorBidi" w:cstheme="majorBidi"/>
          <w:color w:val="000000" w:themeColor="text1"/>
          <w:sz w:val="22"/>
          <w:szCs w:val="22"/>
          <w:lang w:val="en-NZ"/>
        </w:rPr>
        <w:t>Sialupapu</w:t>
      </w:r>
      <w:proofErr w:type="spellEnd"/>
      <w:r w:rsidRPr="007B5AD8">
        <w:rPr>
          <w:rFonts w:asciiTheme="majorBidi" w:hAnsiTheme="majorBidi" w:cstheme="majorBidi"/>
          <w:color w:val="000000" w:themeColor="text1"/>
          <w:sz w:val="22"/>
          <w:szCs w:val="22"/>
          <w:lang w:val="en-NZ"/>
        </w:rPr>
        <w:t xml:space="preserve"> </w:t>
      </w:r>
      <w:proofErr w:type="spellStart"/>
      <w:r w:rsidRPr="007B5AD8">
        <w:rPr>
          <w:rFonts w:asciiTheme="majorBidi" w:hAnsiTheme="majorBidi" w:cstheme="majorBidi"/>
          <w:color w:val="000000" w:themeColor="text1"/>
          <w:sz w:val="22"/>
          <w:szCs w:val="22"/>
          <w:lang w:val="en-NZ"/>
        </w:rPr>
        <w:t>Siameja</w:t>
      </w:r>
      <w:proofErr w:type="spellEnd"/>
      <w:r w:rsidRPr="007B5AD8">
        <w:rPr>
          <w:rFonts w:asciiTheme="majorBidi" w:hAnsiTheme="majorBidi" w:cstheme="majorBidi"/>
          <w:color w:val="000000" w:themeColor="text1"/>
          <w:sz w:val="22"/>
          <w:szCs w:val="22"/>
          <w:lang w:val="en-NZ"/>
        </w:rPr>
        <w:t xml:space="preserve"> and Tobias Dean for excellent research assistance. The usual disclaimer applies.</w:t>
      </w:r>
    </w:p>
    <w:p w14:paraId="238F13E2" w14:textId="77777777" w:rsidR="007B5AD8" w:rsidRDefault="007B5AD8" w:rsidP="007B5AD8">
      <w:pPr>
        <w:autoSpaceDE w:val="0"/>
        <w:autoSpaceDN w:val="0"/>
        <w:adjustRightInd w:val="0"/>
        <w:spacing w:line="360" w:lineRule="auto"/>
        <w:jc w:val="both"/>
        <w:rPr>
          <w:rFonts w:asciiTheme="majorBidi" w:hAnsiTheme="majorBidi" w:cstheme="majorBidi"/>
          <w:b/>
          <w:bCs/>
          <w:highlight w:val="green"/>
        </w:rPr>
      </w:pPr>
    </w:p>
    <w:p w14:paraId="3FAF806A" w14:textId="77777777" w:rsidR="007B5AD8" w:rsidRDefault="007B5AD8" w:rsidP="007B5AD8">
      <w:pPr>
        <w:jc w:val="center"/>
      </w:pPr>
    </w:p>
    <w:p w14:paraId="04DA3792" w14:textId="7AB1D4A4" w:rsidR="007B5AD8" w:rsidRDefault="007B5AD8" w:rsidP="007B5AD8">
      <w:pPr>
        <w:spacing w:after="160" w:line="259" w:lineRule="auto"/>
        <w:rPr>
          <w:rFonts w:asciiTheme="majorBidi" w:hAnsiTheme="majorBidi" w:cstheme="majorBidi"/>
          <w:b/>
          <w:bCs/>
          <w:highlight w:val="green"/>
        </w:rPr>
      </w:pPr>
      <w:r>
        <w:br w:type="page"/>
      </w:r>
    </w:p>
    <w:p w14:paraId="644503DB" w14:textId="6EEBBD6B" w:rsidR="00184564" w:rsidRPr="00DD1737" w:rsidRDefault="00390F67" w:rsidP="005345A2">
      <w:pPr>
        <w:pStyle w:val="Heading1"/>
        <w:numPr>
          <w:ilvl w:val="0"/>
          <w:numId w:val="4"/>
        </w:numPr>
        <w:spacing w:before="0" w:line="288" w:lineRule="auto"/>
        <w:ind w:left="284" w:hanging="284"/>
        <w:rPr>
          <w:sz w:val="24"/>
        </w:rPr>
      </w:pPr>
      <w:r w:rsidRPr="00DD1737">
        <w:rPr>
          <w:sz w:val="24"/>
        </w:rPr>
        <w:lastRenderedPageBreak/>
        <w:t>INTRODUCTION</w:t>
      </w:r>
    </w:p>
    <w:p w14:paraId="4E2FAD05" w14:textId="77777777" w:rsidR="00A41F6F" w:rsidRPr="00A41F6F" w:rsidRDefault="00A41F6F" w:rsidP="00A41F6F">
      <w:pPr>
        <w:rPr>
          <w:sz w:val="12"/>
          <w:szCs w:val="12"/>
        </w:rPr>
      </w:pPr>
    </w:p>
    <w:p w14:paraId="2CF452F9" w14:textId="60EBB152" w:rsidR="0000469D" w:rsidRPr="0000469D" w:rsidRDefault="00F32FFF" w:rsidP="007B5AD8">
      <w:pPr>
        <w:autoSpaceDE w:val="0"/>
        <w:autoSpaceDN w:val="0"/>
        <w:adjustRightInd w:val="0"/>
        <w:spacing w:line="288" w:lineRule="auto"/>
        <w:jc w:val="both"/>
        <w:rPr>
          <w:rFonts w:asciiTheme="majorBidi" w:hAnsiTheme="majorBidi" w:cstheme="majorBidi"/>
        </w:rPr>
      </w:pPr>
      <w:r w:rsidRPr="00F32FFF">
        <w:rPr>
          <w:rFonts w:asciiTheme="majorBidi" w:hAnsiTheme="majorBidi" w:cstheme="majorBidi"/>
        </w:rPr>
        <w:t xml:space="preserve">Greater availability of temporal gross flow data in many types of spatial interaction (trade, migration, tourism, etc.) in recent years has led to fixed effects (FE) panel models becoming the standard approach for the estimation of gravity models, following Anderson and van </w:t>
      </w:r>
      <w:proofErr w:type="spellStart"/>
      <w:r w:rsidRPr="00F32FFF">
        <w:rPr>
          <w:rFonts w:asciiTheme="majorBidi" w:hAnsiTheme="majorBidi" w:cstheme="majorBidi"/>
        </w:rPr>
        <w:t>Wincoop</w:t>
      </w:r>
      <w:proofErr w:type="spellEnd"/>
      <w:r w:rsidRPr="00F32FFF">
        <w:rPr>
          <w:rFonts w:asciiTheme="majorBidi" w:hAnsiTheme="majorBidi" w:cstheme="majorBidi"/>
        </w:rPr>
        <w:t xml:space="preserve"> (2003). This preference for FE models can be attributed to the estimated coefficients in a FE model being consistent and estimable without recourse to the inclusion of multilateral resistance terms (Anderson and van </w:t>
      </w:r>
      <w:proofErr w:type="spellStart"/>
      <w:r w:rsidRPr="00F32FFF">
        <w:rPr>
          <w:rFonts w:asciiTheme="majorBidi" w:hAnsiTheme="majorBidi" w:cstheme="majorBidi"/>
        </w:rPr>
        <w:t>Wincoop</w:t>
      </w:r>
      <w:proofErr w:type="spellEnd"/>
      <w:r w:rsidRPr="00F32FFF">
        <w:rPr>
          <w:rFonts w:asciiTheme="majorBidi" w:hAnsiTheme="majorBidi" w:cstheme="majorBidi"/>
        </w:rPr>
        <w:t>, 2003). Moreover, when compared with ordinary least squares (OLS), FE models eliminate bias arising from standard error clustering when some variables apply only to the origin or the destination, and not both (</w:t>
      </w:r>
      <w:proofErr w:type="spellStart"/>
      <w:r w:rsidRPr="00F32FFF">
        <w:rPr>
          <w:rFonts w:asciiTheme="majorBidi" w:hAnsiTheme="majorBidi" w:cstheme="majorBidi"/>
        </w:rPr>
        <w:t>Feenstra</w:t>
      </w:r>
      <w:proofErr w:type="spellEnd"/>
      <w:r w:rsidRPr="00F32FFF">
        <w:rPr>
          <w:rFonts w:asciiTheme="majorBidi" w:hAnsiTheme="majorBidi" w:cstheme="majorBidi"/>
        </w:rPr>
        <w:t xml:space="preserve">, 2004). </w:t>
      </w:r>
      <w:proofErr w:type="spellStart"/>
      <w:r w:rsidRPr="00F32FFF">
        <w:rPr>
          <w:rFonts w:asciiTheme="majorBidi" w:hAnsiTheme="majorBidi" w:cstheme="majorBidi"/>
        </w:rPr>
        <w:t>Peeters</w:t>
      </w:r>
      <w:proofErr w:type="spellEnd"/>
      <w:r w:rsidRPr="00F32FFF">
        <w:rPr>
          <w:rFonts w:asciiTheme="majorBidi" w:hAnsiTheme="majorBidi" w:cstheme="majorBidi"/>
        </w:rPr>
        <w:t xml:space="preserve"> (2012) has critiqued the OLS and standard FE estimators for their dissimilarity in coefficient point estimates, but despite this critique and those of others (e.g., </w:t>
      </w:r>
      <w:proofErr w:type="spellStart"/>
      <w:r w:rsidRPr="00F32FFF">
        <w:rPr>
          <w:rFonts w:asciiTheme="majorBidi" w:hAnsiTheme="majorBidi" w:cstheme="majorBidi"/>
        </w:rPr>
        <w:t>Etzo</w:t>
      </w:r>
      <w:proofErr w:type="spellEnd"/>
      <w:r w:rsidRPr="00F32FFF">
        <w:rPr>
          <w:rFonts w:asciiTheme="majorBidi" w:hAnsiTheme="majorBidi" w:cstheme="majorBidi"/>
        </w:rPr>
        <w:t>, 2011), FE gravity models continue to be widely used (</w:t>
      </w:r>
      <w:proofErr w:type="spellStart"/>
      <w:r w:rsidRPr="00F32FFF">
        <w:rPr>
          <w:rFonts w:asciiTheme="majorBidi" w:hAnsiTheme="majorBidi" w:cstheme="majorBidi"/>
        </w:rPr>
        <w:t>Lewer</w:t>
      </w:r>
      <w:proofErr w:type="spellEnd"/>
      <w:r w:rsidRPr="00F32FFF">
        <w:rPr>
          <w:rFonts w:asciiTheme="majorBidi" w:hAnsiTheme="majorBidi" w:cstheme="majorBidi"/>
        </w:rPr>
        <w:t xml:space="preserve"> and Van den Berg, 2008; </w:t>
      </w:r>
      <w:proofErr w:type="spellStart"/>
      <w:r w:rsidRPr="00F32FFF">
        <w:rPr>
          <w:rFonts w:asciiTheme="majorBidi" w:hAnsiTheme="majorBidi" w:cstheme="majorBidi"/>
        </w:rPr>
        <w:t>Aldashev</w:t>
      </w:r>
      <w:proofErr w:type="spellEnd"/>
      <w:r w:rsidRPr="00F32FFF">
        <w:rPr>
          <w:rFonts w:asciiTheme="majorBidi" w:hAnsiTheme="majorBidi" w:cstheme="majorBidi"/>
        </w:rPr>
        <w:t xml:space="preserve"> and Dietz, 2012</w:t>
      </w:r>
      <w:r w:rsidR="0000469D" w:rsidRPr="0000469D">
        <w:rPr>
          <w:rFonts w:asciiTheme="majorBidi" w:hAnsiTheme="majorBidi" w:cstheme="majorBidi"/>
        </w:rPr>
        <w:t>).</w:t>
      </w:r>
    </w:p>
    <w:p w14:paraId="2D043C25" w14:textId="77777777" w:rsidR="00AF37B5" w:rsidRDefault="00AF37B5" w:rsidP="0000469D">
      <w:pPr>
        <w:autoSpaceDE w:val="0"/>
        <w:autoSpaceDN w:val="0"/>
        <w:adjustRightInd w:val="0"/>
        <w:spacing w:line="288" w:lineRule="auto"/>
        <w:ind w:firstLine="720"/>
        <w:jc w:val="both"/>
        <w:rPr>
          <w:rFonts w:asciiTheme="majorBidi" w:hAnsiTheme="majorBidi" w:cstheme="majorBidi"/>
        </w:rPr>
      </w:pPr>
    </w:p>
    <w:p w14:paraId="601805DD" w14:textId="54DDD32D" w:rsidR="00A41F6F" w:rsidRDefault="00F32FFF" w:rsidP="0000469D">
      <w:pPr>
        <w:autoSpaceDE w:val="0"/>
        <w:autoSpaceDN w:val="0"/>
        <w:adjustRightInd w:val="0"/>
        <w:spacing w:line="288" w:lineRule="auto"/>
        <w:ind w:firstLine="720"/>
        <w:jc w:val="both"/>
        <w:rPr>
          <w:rFonts w:asciiTheme="majorBidi" w:hAnsiTheme="majorBidi" w:cstheme="majorBidi"/>
        </w:rPr>
      </w:pPr>
      <w:r w:rsidRPr="00F32FFF">
        <w:rPr>
          <w:rFonts w:asciiTheme="majorBidi" w:hAnsiTheme="majorBidi" w:cstheme="majorBidi"/>
        </w:rPr>
        <w:t>In this paper, we first demonstrate that both the conventional OLS estimator of the gravity model and the conventional FE estimator are biased estimators of a spatial interaction data generating process (DGP) with origin and destination time invariant effects. We then show that comparisons of the population size coefficients between OLS and panel FE gravity models are not straightforward. We demonstrate that there should be no expectation that the signs and magnitudes of the coefficients on these models be similar. We then introduce a best linear unbiased estimator for the FE DGP that can be used in gravity model specifications. We illustrate the issue of gravity model estimation with the example of five-yearly internal migration flows between regions of New Zealand over the period 1991-2013</w:t>
      </w:r>
      <w:r w:rsidR="00A41F6F" w:rsidRPr="00A41F6F">
        <w:rPr>
          <w:rFonts w:asciiTheme="majorBidi" w:hAnsiTheme="majorBidi" w:cstheme="majorBidi"/>
        </w:rPr>
        <w:t>.</w:t>
      </w:r>
    </w:p>
    <w:p w14:paraId="4B9CDB95" w14:textId="77777777" w:rsidR="0000469D" w:rsidRDefault="0000469D" w:rsidP="0000469D">
      <w:pPr>
        <w:autoSpaceDE w:val="0"/>
        <w:autoSpaceDN w:val="0"/>
        <w:adjustRightInd w:val="0"/>
        <w:spacing w:line="288" w:lineRule="auto"/>
        <w:ind w:firstLine="720"/>
        <w:jc w:val="both"/>
        <w:rPr>
          <w:rFonts w:asciiTheme="majorBidi" w:hAnsiTheme="majorBidi" w:cstheme="majorBidi"/>
        </w:rPr>
      </w:pPr>
    </w:p>
    <w:p w14:paraId="57F7FCD1" w14:textId="77777777" w:rsidR="00A869C2" w:rsidRPr="00A869C2" w:rsidRDefault="00A869C2" w:rsidP="005345A2">
      <w:pPr>
        <w:autoSpaceDE w:val="0"/>
        <w:autoSpaceDN w:val="0"/>
        <w:adjustRightInd w:val="0"/>
        <w:spacing w:line="288" w:lineRule="auto"/>
        <w:ind w:firstLine="720"/>
        <w:jc w:val="both"/>
        <w:rPr>
          <w:rFonts w:asciiTheme="majorBidi" w:hAnsiTheme="majorBidi" w:cstheme="majorBidi"/>
          <w:sz w:val="12"/>
          <w:szCs w:val="12"/>
        </w:rPr>
      </w:pPr>
    </w:p>
    <w:p w14:paraId="551AF2CD" w14:textId="6617A12C" w:rsidR="00184564" w:rsidRDefault="0000469D" w:rsidP="005345A2">
      <w:pPr>
        <w:pStyle w:val="Heading1"/>
        <w:numPr>
          <w:ilvl w:val="0"/>
          <w:numId w:val="4"/>
        </w:numPr>
        <w:spacing w:before="0" w:line="288" w:lineRule="auto"/>
        <w:ind w:left="284" w:hanging="284"/>
        <w:rPr>
          <w:sz w:val="24"/>
        </w:rPr>
      </w:pPr>
      <w:r>
        <w:rPr>
          <w:sz w:val="24"/>
        </w:rPr>
        <w:t>MODEL SPECIFICATIONS</w:t>
      </w:r>
    </w:p>
    <w:p w14:paraId="38F2B51D" w14:textId="77777777" w:rsidR="00A41F6F" w:rsidRPr="00A41F6F" w:rsidRDefault="00A41F6F" w:rsidP="00A41F6F">
      <w:pPr>
        <w:rPr>
          <w:sz w:val="12"/>
          <w:szCs w:val="12"/>
        </w:rPr>
      </w:pPr>
    </w:p>
    <w:p w14:paraId="5C9E7D03" w14:textId="01941414" w:rsidR="00A41F6F" w:rsidRDefault="00F32FFF" w:rsidP="00A41F6F">
      <w:pPr>
        <w:autoSpaceDE w:val="0"/>
        <w:autoSpaceDN w:val="0"/>
        <w:adjustRightInd w:val="0"/>
        <w:spacing w:line="288" w:lineRule="auto"/>
        <w:jc w:val="both"/>
      </w:pPr>
      <w:r w:rsidRPr="00F32FFF">
        <w:t>Although the gravity model can be augmented to include factors that differ between different regions and over time (</w:t>
      </w:r>
      <w:proofErr w:type="spellStart"/>
      <w:r w:rsidRPr="00F32FFF">
        <w:t>Lewer</w:t>
      </w:r>
      <w:proofErr w:type="spellEnd"/>
      <w:r w:rsidRPr="00F32FFF">
        <w:t xml:space="preserve"> and Van den Berg, 2008), we assume a specification that is expressed in log-linear form and supplemented with origin and destination fixed effects</w:t>
      </w:r>
      <w:r w:rsidR="0000469D">
        <w:t>:</w:t>
      </w:r>
    </w:p>
    <w:p w14:paraId="7C952D61" w14:textId="77777777" w:rsidR="0000469D" w:rsidRDefault="0000469D" w:rsidP="00A41F6F">
      <w:pPr>
        <w:autoSpaceDE w:val="0"/>
        <w:autoSpaceDN w:val="0"/>
        <w:adjustRightInd w:val="0"/>
        <w:spacing w:line="288" w:lineRule="auto"/>
        <w:jc w:val="both"/>
      </w:pPr>
    </w:p>
    <w:p w14:paraId="0714B903" w14:textId="278E4DDD" w:rsidR="0000469D" w:rsidRPr="00100DC9" w:rsidRDefault="002F13C5" w:rsidP="0000469D">
      <w:pPr>
        <w:spacing w:line="360" w:lineRule="auto"/>
        <w:ind w:firstLine="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ij,t</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i,t</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j,t</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ij,t</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ij,t</m:t>
            </m:r>
          </m:sub>
        </m:sSub>
        <m:r>
          <w:rPr>
            <w:rFonts w:ascii="Cambria Math" w:hAnsi="Cambria Math"/>
            <w:sz w:val="22"/>
            <w:szCs w:val="22"/>
          </w:rPr>
          <m:t>; i≠j</m:t>
        </m:r>
      </m:oMath>
      <w:r w:rsidR="0000469D" w:rsidRPr="00100DC9">
        <w:rPr>
          <w:sz w:val="22"/>
          <w:szCs w:val="22"/>
        </w:rPr>
        <w:tab/>
      </w:r>
      <w:r w:rsidR="0000469D" w:rsidRPr="00100DC9">
        <w:rPr>
          <w:sz w:val="22"/>
          <w:szCs w:val="22"/>
        </w:rPr>
        <w:tab/>
      </w:r>
      <w:r w:rsidR="000E7C1D">
        <w:rPr>
          <w:sz w:val="22"/>
          <w:szCs w:val="22"/>
        </w:rPr>
        <w:tab/>
      </w:r>
      <w:r w:rsidR="0000469D" w:rsidRPr="00100DC9">
        <w:rPr>
          <w:sz w:val="22"/>
          <w:szCs w:val="22"/>
        </w:rPr>
        <w:t>(1)</w:t>
      </w:r>
    </w:p>
    <w:p w14:paraId="08A2F27F" w14:textId="77777777" w:rsidR="0000469D" w:rsidRDefault="0000469D" w:rsidP="0000469D">
      <w:pPr>
        <w:autoSpaceDE w:val="0"/>
        <w:autoSpaceDN w:val="0"/>
        <w:adjustRightInd w:val="0"/>
        <w:spacing w:line="288" w:lineRule="auto"/>
        <w:jc w:val="both"/>
        <w:rPr>
          <w:rFonts w:asciiTheme="majorBidi" w:eastAsiaTheme="minorEastAsia" w:hAnsiTheme="majorBidi" w:cstheme="majorBidi"/>
          <w:lang w:val="en-NZ" w:eastAsia="zh-CN"/>
        </w:rPr>
      </w:pPr>
    </w:p>
    <w:p w14:paraId="472EC537" w14:textId="21D30059" w:rsidR="00A41F6F" w:rsidRDefault="00F32FFF" w:rsidP="0000469D">
      <w:pPr>
        <w:autoSpaceDE w:val="0"/>
        <w:autoSpaceDN w:val="0"/>
        <w:adjustRightInd w:val="0"/>
        <w:spacing w:line="288" w:lineRule="auto"/>
        <w:jc w:val="both"/>
        <w:rPr>
          <w:rFonts w:asciiTheme="majorBidi" w:eastAsiaTheme="minorEastAsia" w:hAnsiTheme="majorBidi" w:cstheme="majorBidi"/>
          <w:lang w:val="en-NZ" w:eastAsia="zh-CN"/>
        </w:rPr>
      </w:pPr>
      <w:r w:rsidRPr="00B01438">
        <w:t xml:space="preserve">where </w:t>
      </w:r>
      <w:proofErr w:type="spellStart"/>
      <w:proofErr w:type="gramStart"/>
      <w:r w:rsidRPr="00B01438">
        <w:rPr>
          <w:i/>
        </w:rPr>
        <w:t>M</w:t>
      </w:r>
      <w:r w:rsidRPr="00B01438">
        <w:rPr>
          <w:i/>
          <w:vertAlign w:val="subscript"/>
        </w:rPr>
        <w:t>ij</w:t>
      </w:r>
      <w:r>
        <w:rPr>
          <w:i/>
          <w:vertAlign w:val="subscript"/>
        </w:rPr>
        <w:t>,t</w:t>
      </w:r>
      <w:proofErr w:type="spellEnd"/>
      <w:proofErr w:type="gramEnd"/>
      <w:r w:rsidRPr="00B01438">
        <w:t xml:space="preserve"> is the instantaneous flow </w:t>
      </w:r>
      <w:r>
        <w:t xml:space="preserve">or force </w:t>
      </w:r>
      <w:r w:rsidRPr="00B01438">
        <w:t xml:space="preserve">of gross migration from area </w:t>
      </w:r>
      <w:proofErr w:type="spellStart"/>
      <w:r w:rsidRPr="00B01438">
        <w:rPr>
          <w:i/>
        </w:rPr>
        <w:t>i</w:t>
      </w:r>
      <w:proofErr w:type="spellEnd"/>
      <w:r w:rsidRPr="00B01438">
        <w:t xml:space="preserve"> (the origin) to area</w:t>
      </w:r>
      <w:r w:rsidRPr="00B01438">
        <w:rPr>
          <w:i/>
        </w:rPr>
        <w:t xml:space="preserve"> j</w:t>
      </w:r>
      <w:r w:rsidRPr="00B01438">
        <w:t xml:space="preserve"> (the destination)</w:t>
      </w:r>
      <w:r>
        <w:t xml:space="preserve"> at time </w:t>
      </w:r>
      <w:r w:rsidRPr="001741AC">
        <w:rPr>
          <w:i/>
          <w:iCs/>
        </w:rPr>
        <w:t>t</w:t>
      </w:r>
      <w:r w:rsidRPr="00B01438">
        <w:t xml:space="preserve">, </w:t>
      </w:r>
      <w:proofErr w:type="spellStart"/>
      <w:r w:rsidRPr="00B01438">
        <w:rPr>
          <w:i/>
          <w:iCs/>
        </w:rPr>
        <w:t>i,j</w:t>
      </w:r>
      <w:proofErr w:type="spellEnd"/>
      <w:r w:rsidRPr="00B01438">
        <w:t xml:space="preserve"> = 1,2,…</w:t>
      </w:r>
      <w:r w:rsidRPr="00B01438">
        <w:rPr>
          <w:i/>
          <w:iCs/>
        </w:rPr>
        <w:t>R</w:t>
      </w:r>
      <w:r w:rsidRPr="00B01438">
        <w:t xml:space="preserve">, </w:t>
      </w:r>
      <w:proofErr w:type="spellStart"/>
      <w:r w:rsidRPr="00B01438">
        <w:rPr>
          <w:i/>
        </w:rPr>
        <w:t>P</w:t>
      </w:r>
      <w:r w:rsidRPr="00B01438">
        <w:rPr>
          <w:i/>
          <w:vertAlign w:val="subscript"/>
        </w:rPr>
        <w:t>i</w:t>
      </w:r>
      <w:r>
        <w:rPr>
          <w:i/>
          <w:vertAlign w:val="subscript"/>
        </w:rPr>
        <w:t>,t</w:t>
      </w:r>
      <w:proofErr w:type="spellEnd"/>
      <w:r w:rsidRPr="00B01438">
        <w:t xml:space="preserve"> and </w:t>
      </w:r>
      <w:proofErr w:type="spellStart"/>
      <w:r w:rsidRPr="00B01438">
        <w:rPr>
          <w:i/>
        </w:rPr>
        <w:t>P</w:t>
      </w:r>
      <w:r w:rsidRPr="00B01438">
        <w:rPr>
          <w:i/>
          <w:vertAlign w:val="subscript"/>
        </w:rPr>
        <w:t>j</w:t>
      </w:r>
      <w:r>
        <w:rPr>
          <w:i/>
          <w:vertAlign w:val="subscript"/>
        </w:rPr>
        <w:t>,t</w:t>
      </w:r>
      <w:proofErr w:type="spellEnd"/>
      <w:r w:rsidRPr="00B01438">
        <w:t xml:space="preserve"> the corresponding population stocks in areas</w:t>
      </w:r>
      <w:r w:rsidRPr="00B01438">
        <w:rPr>
          <w:i/>
        </w:rPr>
        <w:t xml:space="preserve"> </w:t>
      </w:r>
      <w:proofErr w:type="spellStart"/>
      <w:r w:rsidRPr="00B01438">
        <w:rPr>
          <w:i/>
        </w:rPr>
        <w:t>i</w:t>
      </w:r>
      <w:proofErr w:type="spellEnd"/>
      <w:r w:rsidRPr="00B01438">
        <w:t xml:space="preserve"> and</w:t>
      </w:r>
      <w:r w:rsidRPr="00B01438">
        <w:rPr>
          <w:i/>
        </w:rPr>
        <w:t xml:space="preserve"> j</w:t>
      </w:r>
      <w:r w:rsidRPr="00B01438">
        <w:t xml:space="preserve"> respectively, </w:t>
      </w:r>
      <w:proofErr w:type="spellStart"/>
      <w:r w:rsidRPr="00B01438">
        <w:rPr>
          <w:i/>
        </w:rPr>
        <w:t>D</w:t>
      </w:r>
      <w:r w:rsidRPr="00B01438">
        <w:rPr>
          <w:i/>
          <w:vertAlign w:val="subscript"/>
        </w:rPr>
        <w:t>ij</w:t>
      </w:r>
      <w:r>
        <w:rPr>
          <w:i/>
          <w:vertAlign w:val="subscript"/>
        </w:rPr>
        <w:t>,t</w:t>
      </w:r>
      <w:proofErr w:type="spellEnd"/>
      <w:r w:rsidRPr="00B01438">
        <w:t xml:space="preserve"> is the distance between</w:t>
      </w:r>
      <w:r w:rsidRPr="00B01438">
        <w:rPr>
          <w:i/>
        </w:rPr>
        <w:t xml:space="preserve"> </w:t>
      </w:r>
      <w:proofErr w:type="spellStart"/>
      <w:r w:rsidRPr="00B01438">
        <w:rPr>
          <w:i/>
        </w:rPr>
        <w:t>i</w:t>
      </w:r>
      <w:proofErr w:type="spellEnd"/>
      <w:r w:rsidRPr="00B01438">
        <w:t xml:space="preserve"> and </w:t>
      </w:r>
      <w:r w:rsidRPr="00B01438">
        <w:rPr>
          <w:i/>
        </w:rPr>
        <w:t>j</w:t>
      </w:r>
      <w:r w:rsidRPr="00B01438">
        <w:t xml:space="preserve">, and </w:t>
      </w:r>
      <w:proofErr w:type="spellStart"/>
      <w:r>
        <w:rPr>
          <w:i/>
        </w:rPr>
        <w:t>γ</w:t>
      </w:r>
      <w:r w:rsidRPr="00B01438">
        <w:rPr>
          <w:i/>
          <w:vertAlign w:val="subscript"/>
        </w:rPr>
        <w:t>i</w:t>
      </w:r>
      <w:proofErr w:type="spellEnd"/>
      <w:r w:rsidRPr="00B01438">
        <w:t xml:space="preserve"> and </w:t>
      </w:r>
      <w:proofErr w:type="spellStart"/>
      <w:r w:rsidRPr="00B01438">
        <w:rPr>
          <w:i/>
        </w:rPr>
        <w:t>φ</w:t>
      </w:r>
      <w:r w:rsidRPr="00B01438">
        <w:rPr>
          <w:i/>
          <w:vertAlign w:val="subscript"/>
        </w:rPr>
        <w:t>j</w:t>
      </w:r>
      <w:proofErr w:type="spellEnd"/>
      <w:r w:rsidRPr="00B01438">
        <w:t xml:space="preserve"> are time-invariant origin and destination-specific fixed effects. The </w:t>
      </w:r>
      <w:r w:rsidRPr="00B01438">
        <w:rPr>
          <w:i/>
        </w:rPr>
        <w:sym w:font="Symbol" w:char="F062"/>
      </w:r>
      <w:r w:rsidRPr="00B01438">
        <w:rPr>
          <w:i/>
          <w:vertAlign w:val="subscript"/>
        </w:rPr>
        <w:t>k</w:t>
      </w:r>
      <w:r w:rsidRPr="00B01438">
        <w:t xml:space="preserve"> (</w:t>
      </w:r>
      <w:r w:rsidRPr="00B01438">
        <w:rPr>
          <w:i/>
          <w:iCs/>
        </w:rPr>
        <w:t>k</w:t>
      </w:r>
      <w:r>
        <w:t>=</w:t>
      </w:r>
      <w:r w:rsidRPr="00B01438">
        <w:t xml:space="preserve">1,2,3) and origin and destination fixed effects are to be estimated, and </w:t>
      </w:r>
      <m:oMath>
        <m:sSub>
          <m:sSubPr>
            <m:ctrlPr>
              <w:rPr>
                <w:rFonts w:ascii="Cambria Math" w:hAnsi="Cambria Math"/>
                <w:i/>
              </w:rPr>
            </m:ctrlPr>
          </m:sSubPr>
          <m:e>
            <m:r>
              <w:rPr>
                <w:rFonts w:ascii="Cambria Math" w:hAnsi="Cambria Math"/>
              </w:rPr>
              <m:t>ε</m:t>
            </m:r>
          </m:e>
          <m:sub>
            <m:r>
              <w:rPr>
                <w:rFonts w:ascii="Cambria Math" w:hAnsi="Cambria Math"/>
              </w:rPr>
              <m:t>ij,t</m:t>
            </m:r>
          </m:sub>
        </m:sSub>
      </m:oMath>
      <w:r w:rsidRPr="00B01438">
        <w:t xml:space="preserve"> is </w:t>
      </w:r>
      <w:r>
        <w:t>a white noise</w:t>
      </w:r>
      <w:r w:rsidRPr="00B01438">
        <w:t xml:space="preserve"> error term. If data were available on instantaneous flows of migration, the Best Linear Unbiased Estimator (BLUE</w:t>
      </w:r>
      <w:r>
        <w:t>) of Equation (1) is OLS with 2</w:t>
      </w:r>
      <w:r w:rsidRPr="00B01438">
        <w:rPr>
          <w:i/>
        </w:rPr>
        <w:t>R</w:t>
      </w:r>
      <w:r w:rsidRPr="00B01438">
        <w:t>-1</w:t>
      </w:r>
      <w:r>
        <w:t xml:space="preserve"> </w:t>
      </w:r>
      <w:r w:rsidRPr="00B01438">
        <w:t>binary dummy variables representing the origin and destination fixed effects. However, considering explicitly the discrete time interval over which migration is measured, Equation (1) becomes</w:t>
      </w:r>
      <w:r w:rsidR="0000469D">
        <w:t>:</w:t>
      </w:r>
      <w:r w:rsidR="00A41F6F" w:rsidRPr="00A41F6F">
        <w:rPr>
          <w:rFonts w:asciiTheme="majorBidi" w:eastAsiaTheme="minorEastAsia" w:hAnsiTheme="majorBidi" w:cstheme="majorBidi"/>
          <w:lang w:val="en-NZ" w:eastAsia="zh-CN"/>
        </w:rPr>
        <w:t xml:space="preserve"> </w:t>
      </w:r>
    </w:p>
    <w:p w14:paraId="197F4009" w14:textId="77777777" w:rsidR="0000469D" w:rsidRPr="00100DC9" w:rsidRDefault="002F13C5" w:rsidP="0000469D">
      <w:pPr>
        <w:spacing w:line="360" w:lineRule="auto"/>
        <w:ind w:left="1440" w:hanging="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ij,t→(t+1)</m:t>
            </m:r>
          </m:sub>
        </m:sSub>
        <m:r>
          <w:rPr>
            <w:rFonts w:ascii="Cambria Math" w:hAnsi="Cambria Math"/>
            <w:sz w:val="22"/>
            <w:szCs w:val="22"/>
          </w:rPr>
          <m:t>; i≠j</m:t>
        </m:r>
      </m:oMath>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t>(2)</w:t>
      </w:r>
    </w:p>
    <w:p w14:paraId="59998AB3" w14:textId="77777777" w:rsidR="00A41F6F" w:rsidRPr="00A41F6F" w:rsidRDefault="00A41F6F"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45AAD08F" w14:textId="0712F390" w:rsidR="0000469D" w:rsidRDefault="00F32FFF"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r w:rsidRPr="00B01438">
        <w:t xml:space="preserve">Hence, Equation </w:t>
      </w:r>
      <w:r>
        <w:t>(</w:t>
      </w:r>
      <w:r w:rsidRPr="00B01438">
        <w:t>1</w:t>
      </w:r>
      <w:r>
        <w:t>)</w:t>
      </w:r>
      <w:r w:rsidRPr="00B01438">
        <w:t xml:space="preserve"> is the cross-sectional limit case, i.e. </w:t>
      </w:r>
      <w:r w:rsidRPr="00B01438">
        <w:rPr>
          <w:i/>
          <w:iCs/>
        </w:rPr>
        <w:t>t</w:t>
      </w:r>
      <w:r w:rsidRPr="00B01438">
        <w:sym w:font="Symbol" w:char="F0AE"/>
      </w:r>
      <w:r w:rsidRPr="00B01438">
        <w:t xml:space="preserve">0, of Equation (2). Now assume, realistically, that the populations of areas </w:t>
      </w:r>
      <w:proofErr w:type="spellStart"/>
      <w:r w:rsidRPr="00B01438">
        <w:rPr>
          <w:i/>
        </w:rPr>
        <w:t>i</w:t>
      </w:r>
      <w:proofErr w:type="spellEnd"/>
      <w:r w:rsidRPr="00B01438">
        <w:t xml:space="preserve"> and </w:t>
      </w:r>
      <w:r w:rsidRPr="00B01438">
        <w:rPr>
          <w:i/>
        </w:rPr>
        <w:t>j</w:t>
      </w:r>
      <w:r w:rsidRPr="00B01438">
        <w:t xml:space="preserve"> are growing at time-varying growth rates. Additionally, we </w:t>
      </w:r>
      <w:r>
        <w:t>assume that</w:t>
      </w:r>
      <w:r w:rsidRPr="00B01438">
        <w:t xml:space="preserve"> </w:t>
      </w:r>
      <w:r w:rsidRPr="00B01438">
        <w:rPr>
          <w:position w:val="-14"/>
        </w:rPr>
        <w:object w:dxaOrig="859" w:dyaOrig="380" w14:anchorId="13401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8.85pt" o:ole="">
            <v:imagedata r:id="rId8" o:title=""/>
          </v:shape>
          <o:OLEObject Type="Embed" ProgID="Equation.3" ShapeID="_x0000_i1025" DrawAspect="Content" ObjectID="_1577608261" r:id="rId9"/>
        </w:object>
      </w:r>
      <w:r w:rsidRPr="00B01438">
        <w:t xml:space="preserve"> is time-invariant (</w:t>
      </w:r>
      <w:proofErr w:type="spellStart"/>
      <w:r w:rsidRPr="00B01438">
        <w:rPr>
          <w:i/>
          <w:iCs/>
        </w:rPr>
        <w:t>D</w:t>
      </w:r>
      <w:r w:rsidRPr="00B01438">
        <w:rPr>
          <w:i/>
          <w:iCs/>
          <w:vertAlign w:val="subscript"/>
        </w:rPr>
        <w:t>ij</w:t>
      </w:r>
      <w:proofErr w:type="spellEnd"/>
      <w:r w:rsidRPr="00B01438">
        <w:t xml:space="preserve">). A major source of bias now arises from estimating regression Equation (2) with cross-sectional or pooled </w:t>
      </w:r>
      <w:r w:rsidRPr="00B01438">
        <w:rPr>
          <w:i/>
        </w:rPr>
        <w:t>(t=</w:t>
      </w:r>
      <w:proofErr w:type="gramStart"/>
      <w:r w:rsidRPr="00B01438">
        <w:rPr>
          <w:iCs/>
        </w:rPr>
        <w:t>1,2</w:t>
      </w:r>
      <w:r w:rsidRPr="00B01438">
        <w:rPr>
          <w:i/>
        </w:rPr>
        <w:t>,…</w:t>
      </w:r>
      <w:proofErr w:type="gramEnd"/>
      <w:r w:rsidRPr="00B01438">
        <w:rPr>
          <w:i/>
        </w:rPr>
        <w:t xml:space="preserve">,T) </w:t>
      </w:r>
      <w:r w:rsidRPr="00B01438">
        <w:t xml:space="preserve">migration flow data </w:t>
      </w:r>
      <w:r w:rsidRPr="00B01438">
        <w:rPr>
          <w:position w:val="-14"/>
        </w:rPr>
        <w:object w:dxaOrig="920" w:dyaOrig="380" w14:anchorId="1D10E733">
          <v:shape id="_x0000_i1026" type="#_x0000_t75" style="width:46.15pt;height:18.85pt" o:ole="">
            <v:imagedata r:id="rId10" o:title=""/>
          </v:shape>
          <o:OLEObject Type="Embed" ProgID="Equation.3" ShapeID="_x0000_i1026" DrawAspect="Content" ObjectID="_1577608262" r:id="rId11"/>
        </w:object>
      </w:r>
      <w:r w:rsidRPr="00B01438">
        <w:t xml:space="preserve">, in which </w:t>
      </w:r>
      <w:r>
        <w:t xml:space="preserve">each </w:t>
      </w:r>
      <w:r w:rsidRPr="00B01438">
        <w:t xml:space="preserve">migration flow matrix corresponds to a relatively long period, while </w:t>
      </w:r>
      <w:r>
        <w:t>the</w:t>
      </w:r>
      <w:r w:rsidRPr="00B01438">
        <w:t xml:space="preserve"> populations </w:t>
      </w:r>
      <w:r w:rsidRPr="00B01438">
        <w:rPr>
          <w:i/>
        </w:rPr>
        <w:t>P</w:t>
      </w:r>
      <w:r w:rsidRPr="00B01438">
        <w:rPr>
          <w:i/>
          <w:vertAlign w:val="subscript"/>
        </w:rPr>
        <w:t>it</w:t>
      </w:r>
      <w:r w:rsidRPr="00B01438">
        <w:t xml:space="preserve"> and </w:t>
      </w:r>
      <w:proofErr w:type="spellStart"/>
      <w:r w:rsidRPr="00B01438">
        <w:rPr>
          <w:i/>
        </w:rPr>
        <w:t>P</w:t>
      </w:r>
      <w:r w:rsidRPr="00B01438">
        <w:rPr>
          <w:i/>
          <w:vertAlign w:val="subscript"/>
        </w:rPr>
        <w:t>jt</w:t>
      </w:r>
      <w:proofErr w:type="spellEnd"/>
      <w:r w:rsidRPr="00B01438">
        <w:t xml:space="preserve"> </w:t>
      </w:r>
      <w:r>
        <w:t xml:space="preserve">are measured </w:t>
      </w:r>
      <w:r w:rsidRPr="00B01438">
        <w:t xml:space="preserve">at the start of the period. Because the size of the origin and destination populations change over the course of the period, the estimated coefficients of Equation (2) are biased estimates of Equation (1). The degree of bias will be relatively small for annual time-steps, but </w:t>
      </w:r>
      <w:r>
        <w:t xml:space="preserve">larger for longer time-steps </w:t>
      </w:r>
      <w:r w:rsidRPr="00B01438">
        <w:t xml:space="preserve">that are common in the migration literature. To reduce this bias, </w:t>
      </w:r>
      <w:r>
        <w:t xml:space="preserve">it is convenient to substitute </w:t>
      </w:r>
      <w:r w:rsidRPr="00B01438">
        <w:t>the geometric average of the population over the time period</w:t>
      </w:r>
      <w:r>
        <w:t>, that is</w:t>
      </w:r>
      <w:r w:rsidR="0000469D">
        <w:rPr>
          <w:rFonts w:asciiTheme="majorBidi" w:eastAsiaTheme="minorEastAsia" w:hAnsiTheme="majorBidi" w:cstheme="majorBidi"/>
          <w:lang w:val="en-NZ" w:eastAsia="zh-CN"/>
        </w:rPr>
        <w:t>:</w:t>
      </w:r>
    </w:p>
    <w:p w14:paraId="3D170B1F" w14:textId="77777777" w:rsidR="0000469D" w:rsidRDefault="0000469D"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172D506B" w14:textId="77777777" w:rsidR="0000469D" w:rsidRPr="00100DC9" w:rsidRDefault="002F13C5" w:rsidP="0000469D">
      <w:pPr>
        <w:spacing w:line="360" w:lineRule="auto"/>
        <w:ind w:firstLine="720"/>
        <w:jc w:val="both"/>
        <w:rPr>
          <w:sz w:val="22"/>
          <w:szCs w:val="22"/>
        </w:rPr>
      </w:pP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k,t→</m:t>
            </m:r>
            <m:d>
              <m:dPr>
                <m:ctrlPr>
                  <w:rPr>
                    <w:rFonts w:ascii="Cambria Math" w:hAnsi="Cambria Math"/>
                    <w:i/>
                    <w:sz w:val="22"/>
                    <w:szCs w:val="22"/>
                  </w:rPr>
                </m:ctrlPr>
              </m:dPr>
              <m:e>
                <m:r>
                  <w:rPr>
                    <w:rFonts w:ascii="Cambria Math" w:hAnsi="Cambria Math"/>
                    <w:sz w:val="22"/>
                    <w:szCs w:val="22"/>
                  </w:rPr>
                  <m:t>t+1</m:t>
                </m:r>
              </m:e>
            </m:d>
          </m:sub>
        </m:sSub>
        <m:r>
          <w:rPr>
            <w:rFonts w:ascii="Cambria Math" w:hAnsi="Cambria Math"/>
            <w:sz w:val="22"/>
            <w:szCs w:val="22"/>
          </w:rPr>
          <m:t>=</m:t>
        </m:r>
        <m:rad>
          <m:radPr>
            <m:degHide m:val="1"/>
            <m:ctrlPr>
              <w:rPr>
                <w:rFonts w:ascii="Cambria Math" w:hAnsi="Cambria Math"/>
                <w:i/>
                <w:sz w:val="22"/>
                <w:szCs w:val="22"/>
              </w:rPr>
            </m:ctrlPr>
          </m:radPr>
          <m:deg/>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k,t</m:t>
                </m:r>
              </m:sub>
            </m:s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m:t>
                </m:r>
                <m:d>
                  <m:dPr>
                    <m:ctrlPr>
                      <w:rPr>
                        <w:rFonts w:ascii="Cambria Math" w:hAnsi="Cambria Math"/>
                        <w:i/>
                        <w:sz w:val="22"/>
                        <w:szCs w:val="22"/>
                      </w:rPr>
                    </m:ctrlPr>
                  </m:dPr>
                  <m:e>
                    <m:r>
                      <w:rPr>
                        <w:rFonts w:ascii="Cambria Math" w:hAnsi="Cambria Math"/>
                        <w:sz w:val="22"/>
                        <w:szCs w:val="22"/>
                      </w:rPr>
                      <m:t>t+1</m:t>
                    </m:r>
                  </m:e>
                </m:d>
              </m:sub>
            </m:sSub>
          </m:e>
        </m:rad>
        <m:r>
          <w:rPr>
            <w:rFonts w:ascii="Cambria Math" w:hAnsi="Cambria Math"/>
            <w:sz w:val="22"/>
            <w:szCs w:val="22"/>
          </w:rPr>
          <m:t>;k∈</m:t>
        </m:r>
        <m:d>
          <m:dPr>
            <m:begChr m:val="{"/>
            <m:endChr m:val="}"/>
            <m:ctrlPr>
              <w:rPr>
                <w:rFonts w:ascii="Cambria Math" w:hAnsi="Cambria Math"/>
                <w:i/>
                <w:sz w:val="22"/>
                <w:szCs w:val="22"/>
              </w:rPr>
            </m:ctrlPr>
          </m:dPr>
          <m:e>
            <m:r>
              <w:rPr>
                <w:rFonts w:ascii="Cambria Math" w:hAnsi="Cambria Math"/>
                <w:sz w:val="22"/>
                <w:szCs w:val="22"/>
              </w:rPr>
              <m:t>i,j</m:t>
            </m:r>
          </m:e>
        </m:d>
      </m:oMath>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t>(3)</w:t>
      </w:r>
    </w:p>
    <w:p w14:paraId="44A9DDAB" w14:textId="77777777" w:rsidR="0000469D" w:rsidRDefault="0000469D" w:rsidP="0000469D">
      <w:pPr>
        <w:autoSpaceDE w:val="0"/>
        <w:autoSpaceDN w:val="0"/>
        <w:adjustRightInd w:val="0"/>
        <w:spacing w:line="288" w:lineRule="auto"/>
        <w:jc w:val="both"/>
        <w:rPr>
          <w:rFonts w:asciiTheme="majorBidi" w:eastAsiaTheme="minorEastAsia" w:hAnsiTheme="majorBidi" w:cstheme="majorBidi"/>
          <w:lang w:val="en-NZ" w:eastAsia="zh-CN"/>
        </w:rPr>
      </w:pPr>
    </w:p>
    <w:p w14:paraId="6850A2C0" w14:textId="3844DB9D" w:rsidR="00A41F6F" w:rsidRDefault="0000469D" w:rsidP="0000469D">
      <w:pPr>
        <w:autoSpaceDE w:val="0"/>
        <w:autoSpaceDN w:val="0"/>
        <w:adjustRightInd w:val="0"/>
        <w:spacing w:line="288" w:lineRule="auto"/>
        <w:jc w:val="both"/>
        <w:rPr>
          <w:rFonts w:asciiTheme="majorBidi" w:eastAsiaTheme="minorEastAsia" w:hAnsiTheme="majorBidi" w:cstheme="majorBidi"/>
          <w:lang w:val="en-NZ" w:eastAsia="zh-CN"/>
        </w:rPr>
      </w:pPr>
      <w:r>
        <w:t>Now, l</w:t>
      </w:r>
      <w:r w:rsidRPr="00B01438">
        <w:t xml:space="preserve">et  </w:t>
      </w:r>
      <w:r w:rsidRPr="00B01438">
        <w:rPr>
          <w:position w:val="-14"/>
        </w:rPr>
        <w:object w:dxaOrig="859" w:dyaOrig="380" w14:anchorId="656C7B3A">
          <v:shape id="_x0000_i1027" type="#_x0000_t75" style="width:42.65pt;height:18.85pt" o:ole="">
            <v:imagedata r:id="rId12" o:title=""/>
          </v:shape>
          <o:OLEObject Type="Embed" ProgID="Equation.3" ShapeID="_x0000_i1027" DrawAspect="Content" ObjectID="_1577608263" r:id="rId13"/>
        </w:object>
      </w:r>
      <w:r w:rsidRPr="00B01438">
        <w:t xml:space="preserve">  refer to the time-varying growth rate of population </w:t>
      </w:r>
      <w:r w:rsidRPr="00B01438">
        <w:rPr>
          <w:i/>
          <w:iCs/>
        </w:rPr>
        <w:t>k</w:t>
      </w:r>
      <w:r w:rsidRPr="00B01438">
        <w:t>. Then</w:t>
      </w:r>
      <w:r>
        <w:t>:</w:t>
      </w:r>
      <w:r w:rsidR="00A41F6F" w:rsidRPr="00A41F6F">
        <w:rPr>
          <w:rFonts w:asciiTheme="majorBidi" w:eastAsiaTheme="minorEastAsia" w:hAnsiTheme="majorBidi" w:cstheme="majorBidi"/>
          <w:lang w:val="en-NZ" w:eastAsia="zh-CN"/>
        </w:rPr>
        <w:t xml:space="preserve"> </w:t>
      </w:r>
    </w:p>
    <w:p w14:paraId="00D305FF" w14:textId="558CD3B2" w:rsidR="00A41F6F" w:rsidRDefault="00A41F6F"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002BC44C" w14:textId="77777777" w:rsidR="0000469D" w:rsidRPr="00100DC9" w:rsidRDefault="002F13C5" w:rsidP="0000469D">
      <w:pPr>
        <w:spacing w:line="360" w:lineRule="auto"/>
        <w:ind w:firstLine="720"/>
        <w:jc w:val="both"/>
        <w:rPr>
          <w:sz w:val="22"/>
          <w:szCs w:val="22"/>
        </w:rPr>
      </w:pP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m:t>
            </m:r>
            <m:d>
              <m:dPr>
                <m:ctrlPr>
                  <w:rPr>
                    <w:rFonts w:ascii="Cambria Math" w:hAnsi="Cambria Math"/>
                    <w:i/>
                    <w:sz w:val="22"/>
                    <w:szCs w:val="22"/>
                  </w:rPr>
                </m:ctrlPr>
              </m:dPr>
              <m:e>
                <m:r>
                  <w:rPr>
                    <w:rFonts w:ascii="Cambria Math" w:hAnsi="Cambria Math"/>
                    <w:sz w:val="22"/>
                    <w:szCs w:val="22"/>
                  </w:rPr>
                  <m:t>t+1</m:t>
                </m:r>
              </m:e>
            </m:d>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k,t</m:t>
            </m:r>
          </m:sub>
        </m:sSub>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k,t→</m:t>
                </m:r>
                <m:d>
                  <m:dPr>
                    <m:ctrlPr>
                      <w:rPr>
                        <w:rFonts w:ascii="Cambria Math" w:hAnsi="Cambria Math"/>
                        <w:i/>
                        <w:sz w:val="22"/>
                        <w:szCs w:val="22"/>
                      </w:rPr>
                    </m:ctrlPr>
                  </m:dPr>
                  <m:e>
                    <m:r>
                      <w:rPr>
                        <w:rFonts w:ascii="Cambria Math" w:hAnsi="Cambria Math"/>
                        <w:sz w:val="22"/>
                        <w:szCs w:val="22"/>
                      </w:rPr>
                      <m:t>t+1</m:t>
                    </m:r>
                  </m:e>
                </m:d>
              </m:sub>
            </m:sSub>
          </m:e>
        </m:d>
        <m:r>
          <w:rPr>
            <w:rFonts w:ascii="Cambria Math" w:hAnsi="Cambria Math"/>
            <w:sz w:val="22"/>
            <w:szCs w:val="22"/>
          </w:rPr>
          <m:t>;k∈</m:t>
        </m:r>
        <m:d>
          <m:dPr>
            <m:begChr m:val="{"/>
            <m:endChr m:val="}"/>
            <m:ctrlPr>
              <w:rPr>
                <w:rFonts w:ascii="Cambria Math" w:hAnsi="Cambria Math"/>
                <w:i/>
                <w:sz w:val="22"/>
                <w:szCs w:val="22"/>
              </w:rPr>
            </m:ctrlPr>
          </m:dPr>
          <m:e>
            <m:r>
              <w:rPr>
                <w:rFonts w:ascii="Cambria Math" w:hAnsi="Cambria Math"/>
                <w:sz w:val="22"/>
                <w:szCs w:val="22"/>
              </w:rPr>
              <m:t>i,j</m:t>
            </m:r>
          </m:e>
        </m:d>
      </m:oMath>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t>(4)</w:t>
      </w:r>
    </w:p>
    <w:p w14:paraId="5EE233EE" w14:textId="77777777" w:rsidR="0000469D" w:rsidRDefault="0000469D" w:rsidP="0000469D">
      <w:pPr>
        <w:autoSpaceDE w:val="0"/>
        <w:autoSpaceDN w:val="0"/>
        <w:adjustRightInd w:val="0"/>
        <w:spacing w:line="288" w:lineRule="auto"/>
        <w:jc w:val="both"/>
        <w:rPr>
          <w:rFonts w:asciiTheme="majorBidi" w:eastAsiaTheme="minorEastAsia" w:hAnsiTheme="majorBidi" w:cstheme="majorBidi"/>
          <w:lang w:val="en-NZ" w:eastAsia="zh-CN"/>
        </w:rPr>
      </w:pPr>
    </w:p>
    <w:p w14:paraId="676BCFB6" w14:textId="754E7B6E" w:rsidR="0000469D" w:rsidRDefault="0000469D" w:rsidP="0000469D">
      <w:pPr>
        <w:autoSpaceDE w:val="0"/>
        <w:autoSpaceDN w:val="0"/>
        <w:adjustRightInd w:val="0"/>
        <w:spacing w:line="288" w:lineRule="auto"/>
        <w:jc w:val="both"/>
      </w:pPr>
      <w:r w:rsidRPr="00B01438">
        <w:t xml:space="preserve">Substituting (4) into (3) </w:t>
      </w:r>
      <w:r>
        <w:t xml:space="preserve">and </w:t>
      </w:r>
      <w:r w:rsidRPr="00B01438">
        <w:t xml:space="preserve">then (3) into (2) </w:t>
      </w:r>
      <w:r>
        <w:t xml:space="preserve">and using that for small </w:t>
      </w:r>
      <w:r w:rsidRPr="00FF17D5">
        <w:rPr>
          <w:i/>
          <w:iCs/>
        </w:rPr>
        <w:t>x</w:t>
      </w:r>
      <w:r>
        <w:t>, ln (1+</w:t>
      </w:r>
      <w:r w:rsidRPr="00FF17D5">
        <w:rPr>
          <w:i/>
          <w:iCs/>
        </w:rPr>
        <w:t>x</w:t>
      </w:r>
      <w:r>
        <w:t xml:space="preserve">) </w:t>
      </w:r>
      <w:r>
        <w:sym w:font="Symbol" w:char="F0BB"/>
      </w:r>
      <w:r>
        <w:t xml:space="preserve"> </w:t>
      </w:r>
      <w:r w:rsidRPr="00FF17D5">
        <w:rPr>
          <w:i/>
          <w:iCs/>
        </w:rPr>
        <w:t>x</w:t>
      </w:r>
      <w:r>
        <w:t xml:space="preserve">, </w:t>
      </w:r>
      <w:r w:rsidRPr="00B01438">
        <w:t>leads to</w:t>
      </w:r>
      <w:r>
        <w:t>:</w:t>
      </w:r>
    </w:p>
    <w:p w14:paraId="3ACC1BC7" w14:textId="3D8F945C" w:rsidR="0000469D" w:rsidRDefault="0000469D" w:rsidP="00A41F6F">
      <w:pPr>
        <w:autoSpaceDE w:val="0"/>
        <w:autoSpaceDN w:val="0"/>
        <w:adjustRightInd w:val="0"/>
        <w:spacing w:line="288" w:lineRule="auto"/>
        <w:ind w:firstLine="720"/>
        <w:jc w:val="both"/>
      </w:pPr>
    </w:p>
    <w:p w14:paraId="3427AA6C" w14:textId="77777777" w:rsidR="0000469D" w:rsidRPr="00100DC9" w:rsidRDefault="002F13C5" w:rsidP="0000469D">
      <w:pPr>
        <w:spacing w:line="360" w:lineRule="auto"/>
        <w:ind w:left="1440" w:hanging="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i,t</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j,t</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i,t→</m:t>
            </m:r>
            <m:d>
              <m:dPr>
                <m:ctrlPr>
                  <w:rPr>
                    <w:rFonts w:ascii="Cambria Math" w:hAnsi="Cambria Math"/>
                    <w:i/>
                    <w:sz w:val="22"/>
                    <w:szCs w:val="22"/>
                  </w:rPr>
                </m:ctrlPr>
              </m:dPr>
              <m:e>
                <m:r>
                  <w:rPr>
                    <w:rFonts w:ascii="Cambria Math" w:hAnsi="Cambria Math"/>
                    <w:sz w:val="22"/>
                    <w:szCs w:val="22"/>
                  </w:rPr>
                  <m:t>t+1</m:t>
                </m:r>
              </m:e>
            </m:d>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j,t→</m:t>
            </m:r>
            <m:d>
              <m:dPr>
                <m:ctrlPr>
                  <w:rPr>
                    <w:rFonts w:ascii="Cambria Math" w:hAnsi="Cambria Math"/>
                    <w:i/>
                    <w:sz w:val="22"/>
                    <w:szCs w:val="22"/>
                  </w:rPr>
                </m:ctrlPr>
              </m:dPr>
              <m:e>
                <m:r>
                  <w:rPr>
                    <w:rFonts w:ascii="Cambria Math" w:hAnsi="Cambria Math"/>
                    <w:sz w:val="22"/>
                    <w:szCs w:val="22"/>
                  </w:rPr>
                  <m:t>t+1</m:t>
                </m:r>
              </m:e>
            </m:d>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ij,t→(t+1)</m:t>
            </m:r>
          </m:sub>
        </m:sSub>
        <m:r>
          <w:rPr>
            <w:rFonts w:ascii="Cambria Math" w:hAnsi="Cambria Math"/>
            <w:sz w:val="22"/>
            <w:szCs w:val="22"/>
          </w:rPr>
          <m:t>; i≠j</m:t>
        </m:r>
      </m:oMath>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t>(5)</w:t>
      </w:r>
    </w:p>
    <w:p w14:paraId="69963D56" w14:textId="77777777" w:rsidR="0000469D" w:rsidRDefault="0000469D" w:rsidP="0000469D">
      <w:pPr>
        <w:autoSpaceDE w:val="0"/>
        <w:autoSpaceDN w:val="0"/>
        <w:adjustRightInd w:val="0"/>
        <w:spacing w:line="288" w:lineRule="auto"/>
        <w:jc w:val="both"/>
      </w:pPr>
    </w:p>
    <w:p w14:paraId="483B5820" w14:textId="3275BB11" w:rsidR="0000469D" w:rsidRDefault="0000469D" w:rsidP="0000469D">
      <w:pPr>
        <w:autoSpaceDE w:val="0"/>
        <w:autoSpaceDN w:val="0"/>
        <w:adjustRightInd w:val="0"/>
        <w:spacing w:line="288" w:lineRule="auto"/>
        <w:jc w:val="both"/>
      </w:pPr>
      <w:r w:rsidRPr="00B01438">
        <w:t xml:space="preserve">We can now compare </w:t>
      </w:r>
      <w:r>
        <w:t xml:space="preserve">this with </w:t>
      </w:r>
      <w:r w:rsidRPr="00B01438">
        <w:t xml:space="preserve">two common estimators of </w:t>
      </w:r>
      <w:r>
        <w:t>the gravity model.</w:t>
      </w:r>
      <w:r w:rsidRPr="00B01438">
        <w:t xml:space="preserve"> The first is the OLS estimator, which assumes the specificatio</w:t>
      </w:r>
      <w:r>
        <w:t>n:</w:t>
      </w:r>
    </w:p>
    <w:p w14:paraId="093CDB11" w14:textId="47D47499" w:rsidR="0000469D" w:rsidRDefault="0000469D"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45B1D3EE" w14:textId="0BD8E97D" w:rsidR="0000469D" w:rsidRPr="00100DC9" w:rsidRDefault="002F13C5" w:rsidP="0000469D">
      <w:pPr>
        <w:spacing w:line="360" w:lineRule="auto"/>
        <w:ind w:firstLine="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1</m:t>
            </m:r>
          </m:sub>
          <m:sup>
            <m:r>
              <w:rPr>
                <w:rFonts w:ascii="Cambria Math" w:hAnsi="Cambria Math"/>
                <w:sz w:val="22"/>
                <w:szCs w:val="22"/>
              </w:rPr>
              <m:t>*</m:t>
            </m:r>
          </m:sup>
        </m:sSubSup>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i,t</m:t>
                </m:r>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2</m:t>
            </m:r>
          </m:sub>
          <m:sup>
            <m:r>
              <w:rPr>
                <w:rFonts w:ascii="Cambria Math" w:hAnsi="Cambria Math"/>
                <w:sz w:val="22"/>
                <w:szCs w:val="22"/>
              </w:rPr>
              <m:t>*</m:t>
            </m:r>
          </m:sup>
        </m:sSubSup>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j,t</m:t>
                </m:r>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3</m:t>
            </m:r>
          </m:sub>
          <m:sup>
            <m:r>
              <w:rPr>
                <w:rFonts w:ascii="Cambria Math" w:hAnsi="Cambria Math"/>
                <w:sz w:val="22"/>
                <w:szCs w:val="22"/>
              </w:rPr>
              <m:t>*</m:t>
            </m:r>
          </m:sup>
        </m:sSubSup>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m:t>
                </m:r>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ε</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up>
            <m:r>
              <w:rPr>
                <w:rFonts w:ascii="Cambria Math" w:hAnsi="Cambria Math"/>
                <w:sz w:val="22"/>
                <w:szCs w:val="22"/>
              </w:rPr>
              <m:t>*</m:t>
            </m:r>
          </m:sup>
        </m:sSubSup>
      </m:oMath>
      <w:r w:rsidR="0000469D" w:rsidRPr="00100DC9">
        <w:rPr>
          <w:sz w:val="22"/>
          <w:szCs w:val="22"/>
        </w:rPr>
        <w:tab/>
      </w:r>
      <w:r w:rsidR="0000469D" w:rsidRPr="00100DC9">
        <w:rPr>
          <w:sz w:val="22"/>
          <w:szCs w:val="22"/>
        </w:rPr>
        <w:tab/>
      </w:r>
      <w:r w:rsidR="0000469D" w:rsidRPr="00100DC9">
        <w:rPr>
          <w:sz w:val="22"/>
          <w:szCs w:val="22"/>
        </w:rPr>
        <w:tab/>
      </w:r>
      <w:r w:rsidR="000E7C1D">
        <w:rPr>
          <w:sz w:val="22"/>
          <w:szCs w:val="22"/>
        </w:rPr>
        <w:tab/>
      </w:r>
      <w:r w:rsidR="0000469D" w:rsidRPr="00100DC9">
        <w:rPr>
          <w:sz w:val="22"/>
          <w:szCs w:val="22"/>
        </w:rPr>
        <w:t>(6)</w:t>
      </w:r>
    </w:p>
    <w:p w14:paraId="3D17835B" w14:textId="77777777" w:rsidR="0000469D" w:rsidRDefault="0000469D" w:rsidP="0000469D">
      <w:pPr>
        <w:autoSpaceDE w:val="0"/>
        <w:autoSpaceDN w:val="0"/>
        <w:adjustRightInd w:val="0"/>
        <w:spacing w:line="288" w:lineRule="auto"/>
        <w:jc w:val="both"/>
        <w:rPr>
          <w:rFonts w:asciiTheme="majorBidi" w:eastAsiaTheme="minorEastAsia" w:hAnsiTheme="majorBidi" w:cstheme="majorBidi"/>
          <w:lang w:val="en-NZ" w:eastAsia="zh-CN"/>
        </w:rPr>
      </w:pPr>
    </w:p>
    <w:p w14:paraId="6C6B3746" w14:textId="189C3E87" w:rsidR="0000469D" w:rsidRDefault="0000469D" w:rsidP="0000469D">
      <w:pPr>
        <w:autoSpaceDE w:val="0"/>
        <w:autoSpaceDN w:val="0"/>
        <w:adjustRightInd w:val="0"/>
        <w:spacing w:line="288" w:lineRule="auto"/>
        <w:jc w:val="both"/>
      </w:pPr>
      <w:r w:rsidRPr="00B01438">
        <w:t>and the second is the FE estimator which assumes the specification</w:t>
      </w:r>
      <w:r>
        <w:t>:</w:t>
      </w:r>
    </w:p>
    <w:p w14:paraId="7387F45B" w14:textId="489DBEF3" w:rsidR="0000469D" w:rsidRDefault="0000469D"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2A6A7C1F" w14:textId="3139D379" w:rsidR="0000469D" w:rsidRPr="00100DC9" w:rsidRDefault="002F13C5" w:rsidP="0000469D">
      <w:pPr>
        <w:spacing w:line="360" w:lineRule="auto"/>
        <w:ind w:left="1440" w:hanging="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1</m:t>
            </m:r>
          </m:sub>
          <m:sup>
            <m:r>
              <w:rPr>
                <w:rFonts w:ascii="Cambria Math" w:hAnsi="Cambria Math"/>
                <w:sz w:val="22"/>
                <w:szCs w:val="22"/>
              </w:rPr>
              <m:t>'</m:t>
            </m:r>
          </m:sup>
        </m:sSubSup>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i,t</m:t>
                </m:r>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2</m:t>
            </m:r>
          </m:sub>
          <m:sup>
            <m:r>
              <w:rPr>
                <w:rFonts w:ascii="Cambria Math" w:hAnsi="Cambria Math"/>
                <w:sz w:val="22"/>
                <w:szCs w:val="22"/>
              </w:rPr>
              <m:t>'</m:t>
            </m:r>
          </m:sup>
        </m:sSubSup>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j,t</m:t>
                </m:r>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β</m:t>
            </m:r>
          </m:e>
          <m:sub>
            <m:r>
              <w:rPr>
                <w:rFonts w:ascii="Cambria Math" w:hAnsi="Cambria Math"/>
                <w:sz w:val="22"/>
                <w:szCs w:val="22"/>
              </w:rPr>
              <m:t>3</m:t>
            </m:r>
          </m:sub>
          <m:sup>
            <m:r>
              <w:rPr>
                <w:rFonts w:ascii="Cambria Math" w:hAnsi="Cambria Math"/>
                <w:sz w:val="22"/>
                <w:szCs w:val="22"/>
              </w:rPr>
              <m:t>'</m:t>
            </m:r>
          </m:sup>
        </m:sSubSup>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m:t>
                </m:r>
              </m:sub>
            </m:sSub>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γ</m:t>
            </m:r>
          </m:e>
          <m:sub>
            <m:r>
              <w:rPr>
                <w:rFonts w:ascii="Cambria Math" w:hAnsi="Cambria Math"/>
                <w:sz w:val="22"/>
                <w:szCs w:val="22"/>
              </w:rPr>
              <m:t>i</m:t>
            </m:r>
          </m:sub>
          <m:sup>
            <m:r>
              <w:rPr>
                <w:rFonts w:ascii="Cambria Math" w:hAnsi="Cambria Math"/>
                <w:sz w:val="22"/>
                <w:szCs w:val="22"/>
              </w:rPr>
              <m:t>'</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φ</m:t>
            </m:r>
          </m:e>
          <m:sub>
            <m:r>
              <w:rPr>
                <w:rFonts w:ascii="Cambria Math" w:hAnsi="Cambria Math"/>
                <w:sz w:val="22"/>
                <w:szCs w:val="22"/>
              </w:rPr>
              <m:t>j</m:t>
            </m:r>
          </m:sub>
          <m:sup>
            <m:r>
              <w:rPr>
                <w:rFonts w:ascii="Cambria Math" w:hAnsi="Cambria Math"/>
                <w:sz w:val="22"/>
                <w:szCs w:val="22"/>
              </w:rPr>
              <m:t>'</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ε</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up>
            <m:r>
              <w:rPr>
                <w:rFonts w:ascii="Cambria Math" w:hAnsi="Cambria Math"/>
                <w:sz w:val="22"/>
                <w:szCs w:val="22"/>
              </w:rPr>
              <m:t>'</m:t>
            </m:r>
          </m:sup>
        </m:sSubSup>
      </m:oMath>
      <w:r w:rsidR="0000469D" w:rsidRPr="00100DC9">
        <w:rPr>
          <w:sz w:val="22"/>
          <w:szCs w:val="22"/>
        </w:rPr>
        <w:tab/>
      </w:r>
      <w:r w:rsidR="0000469D" w:rsidRPr="00100DC9">
        <w:rPr>
          <w:sz w:val="22"/>
          <w:szCs w:val="22"/>
        </w:rPr>
        <w:tab/>
      </w:r>
      <w:r w:rsidR="000E7C1D">
        <w:rPr>
          <w:sz w:val="22"/>
          <w:szCs w:val="22"/>
        </w:rPr>
        <w:tab/>
      </w:r>
      <w:r w:rsidR="0000469D" w:rsidRPr="00100DC9">
        <w:rPr>
          <w:sz w:val="22"/>
          <w:szCs w:val="22"/>
        </w:rPr>
        <w:t>(7)</w:t>
      </w:r>
    </w:p>
    <w:p w14:paraId="66B3573A" w14:textId="635C30B6" w:rsidR="0000469D" w:rsidRDefault="0000469D"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43687343" w14:textId="77777777" w:rsidR="00100DC9" w:rsidRDefault="00100DC9" w:rsidP="00A41F6F">
      <w:pPr>
        <w:autoSpaceDE w:val="0"/>
        <w:autoSpaceDN w:val="0"/>
        <w:adjustRightInd w:val="0"/>
        <w:spacing w:line="288" w:lineRule="auto"/>
        <w:ind w:firstLine="720"/>
        <w:jc w:val="both"/>
      </w:pPr>
    </w:p>
    <w:p w14:paraId="477FA50B" w14:textId="77777777" w:rsidR="00A36AAA" w:rsidRDefault="00A36AAA" w:rsidP="00A41F6F">
      <w:pPr>
        <w:autoSpaceDE w:val="0"/>
        <w:autoSpaceDN w:val="0"/>
        <w:adjustRightInd w:val="0"/>
        <w:spacing w:line="288" w:lineRule="auto"/>
        <w:ind w:firstLine="720"/>
        <w:jc w:val="both"/>
      </w:pPr>
    </w:p>
    <w:p w14:paraId="62C593ED" w14:textId="7092B6E7" w:rsidR="0000469D" w:rsidRDefault="00F32FFF" w:rsidP="00A41F6F">
      <w:pPr>
        <w:autoSpaceDE w:val="0"/>
        <w:autoSpaceDN w:val="0"/>
        <w:adjustRightInd w:val="0"/>
        <w:spacing w:line="288" w:lineRule="auto"/>
        <w:ind w:firstLine="720"/>
        <w:jc w:val="both"/>
      </w:pPr>
      <w:r w:rsidRPr="00B01438">
        <w:lastRenderedPageBreak/>
        <w:t xml:space="preserve">It is clear that both estimators are biased estimators of the parameters of the “true” </w:t>
      </w:r>
      <w:r>
        <w:t>DGP</w:t>
      </w:r>
      <w:r w:rsidRPr="00B01438">
        <w:t xml:space="preserve"> described by </w:t>
      </w:r>
      <w:r>
        <w:t>Equation (5)</w:t>
      </w:r>
      <w:r w:rsidRPr="00B01438">
        <w:t xml:space="preserve">. In fact, given that </w:t>
      </w:r>
      <w:r w:rsidRPr="00B01438">
        <w:rPr>
          <w:position w:val="-14"/>
        </w:rPr>
        <w:object w:dxaOrig="800" w:dyaOrig="380" w14:anchorId="686158D1">
          <v:shape id="_x0000_i1028" type="#_x0000_t75" style="width:40.55pt;height:18.85pt" o:ole="">
            <v:imagedata r:id="rId14" o:title=""/>
          </v:shape>
          <o:OLEObject Type="Embed" ProgID="Equation.3" ShapeID="_x0000_i1028" DrawAspect="Content" ObjectID="_1577608264" r:id="rId15"/>
        </w:object>
      </w:r>
      <w:r w:rsidRPr="00B01438">
        <w:t xml:space="preserve">, the geometric average of </w:t>
      </w:r>
      <w:r w:rsidRPr="00B01438">
        <w:rPr>
          <w:position w:val="-14"/>
        </w:rPr>
        <w:object w:dxaOrig="360" w:dyaOrig="380" w14:anchorId="79992F00">
          <v:shape id="_x0000_i1029" type="#_x0000_t75" style="width:18.15pt;height:18.85pt" o:ole="">
            <v:imagedata r:id="rId16" o:title=""/>
          </v:shape>
          <o:OLEObject Type="Embed" ProgID="Equation.3" ShapeID="_x0000_i1029" DrawAspect="Content" ObjectID="_1577608265" r:id="rId17"/>
        </w:object>
      </w:r>
      <w:r w:rsidRPr="00B01438">
        <w:t xml:space="preserve"> and </w:t>
      </w:r>
      <w:r w:rsidRPr="00B01438">
        <w:rPr>
          <w:position w:val="-14"/>
        </w:rPr>
        <w:object w:dxaOrig="520" w:dyaOrig="380" w14:anchorId="04AD147B">
          <v:shape id="_x0000_i1030" type="#_x0000_t75" style="width:25.85pt;height:18.85pt" o:ole="">
            <v:imagedata r:id="rId18" o:title=""/>
          </v:shape>
          <o:OLEObject Type="Embed" ProgID="Equation.3" ShapeID="_x0000_i1030" DrawAspect="Content" ObjectID="_1577608266" r:id="rId19"/>
        </w:object>
      </w:r>
      <w:r w:rsidRPr="00B01438">
        <w:t xml:space="preserve">is also </w:t>
      </w:r>
      <w:r>
        <w:t>a white noise</w:t>
      </w:r>
      <w:r w:rsidRPr="00B01438">
        <w:t xml:space="preserve"> error term (in the assumed absence of temporal autocorrelation), it is straightforward to directly estimate</w:t>
      </w:r>
      <w:r>
        <w:t xml:space="preserve"> Equation</w:t>
      </w:r>
      <w:r w:rsidRPr="00B01438">
        <w:t xml:space="preserve"> (5) by restricted least squares (RLS). This simply requires the assumption that the time-varying population growth rates are exogenous</w:t>
      </w:r>
      <w:r>
        <w:t>. This assumption is plausible because</w:t>
      </w:r>
      <w:r w:rsidRPr="00B01438">
        <w:t xml:space="preserve"> </w:t>
      </w:r>
      <w:r>
        <w:t xml:space="preserve">there is no correlation between </w:t>
      </w:r>
      <w:r w:rsidRPr="00B01438">
        <w:t xml:space="preserve">gross migration </w:t>
      </w:r>
      <w:r w:rsidRPr="003F58E9">
        <w:rPr>
          <w:i/>
          <w:iCs/>
        </w:rPr>
        <w:t>levels</w:t>
      </w:r>
      <w:r>
        <w:t xml:space="preserve"> </w:t>
      </w:r>
      <w:r w:rsidRPr="00B01438">
        <w:t xml:space="preserve">and </w:t>
      </w:r>
      <w:r>
        <w:t xml:space="preserve">net migration or population growth </w:t>
      </w:r>
      <w:r w:rsidRPr="003F58E9">
        <w:rPr>
          <w:i/>
          <w:iCs/>
        </w:rPr>
        <w:t>rates</w:t>
      </w:r>
      <w:r>
        <w:t xml:space="preserve">, even though gross inward (outward) migration is positively (negatively) correlated with net migration, see </w:t>
      </w:r>
      <w:proofErr w:type="spellStart"/>
      <w:r>
        <w:t>Vias</w:t>
      </w:r>
      <w:proofErr w:type="spellEnd"/>
      <w:r>
        <w:t xml:space="preserve"> (2001). Given the assumption of white noise errors, the RLS estimator is BLUE (Greene, 2017</w:t>
      </w:r>
      <w:r w:rsidR="0000469D">
        <w:t>).</w:t>
      </w:r>
    </w:p>
    <w:p w14:paraId="49E31732" w14:textId="77777777" w:rsidR="00A36AAA" w:rsidRPr="00A36AAA" w:rsidRDefault="00A36AAA" w:rsidP="00A41F6F">
      <w:pPr>
        <w:autoSpaceDE w:val="0"/>
        <w:autoSpaceDN w:val="0"/>
        <w:adjustRightInd w:val="0"/>
        <w:spacing w:line="288" w:lineRule="auto"/>
        <w:ind w:firstLine="720"/>
        <w:jc w:val="both"/>
        <w:rPr>
          <w:sz w:val="20"/>
          <w:szCs w:val="20"/>
        </w:rPr>
      </w:pPr>
    </w:p>
    <w:p w14:paraId="6A3262C3" w14:textId="67C69F88" w:rsidR="0000469D" w:rsidRDefault="0000469D" w:rsidP="00A41F6F">
      <w:pPr>
        <w:autoSpaceDE w:val="0"/>
        <w:autoSpaceDN w:val="0"/>
        <w:adjustRightInd w:val="0"/>
        <w:spacing w:line="288" w:lineRule="auto"/>
        <w:ind w:firstLine="720"/>
        <w:jc w:val="both"/>
      </w:pPr>
      <w:r>
        <w:t>The</w:t>
      </w:r>
      <w:r w:rsidRPr="00B01438">
        <w:t xml:space="preserve"> (log) population at any</w:t>
      </w:r>
      <w:r>
        <w:t xml:space="preserve"> point in time</w:t>
      </w:r>
      <w:r w:rsidRPr="00B01438">
        <w:t xml:space="preserve"> is a function of the initial population and the population growth rate</w:t>
      </w:r>
      <w:r>
        <w:t>:</w:t>
      </w:r>
    </w:p>
    <w:p w14:paraId="3E5C9AE8" w14:textId="77777777" w:rsidR="0000469D" w:rsidRDefault="0000469D"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5B9D8FF4" w14:textId="3C9F3AE7" w:rsidR="0000469D" w:rsidRPr="00100DC9" w:rsidRDefault="002F13C5" w:rsidP="0000469D">
      <w:pPr>
        <w:spacing w:line="360" w:lineRule="auto"/>
        <w:ind w:firstLine="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k,t</m:t>
                </m:r>
              </m:sub>
            </m:sSub>
          </m:e>
        </m:func>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k,0</m:t>
                </m:r>
              </m:sub>
            </m:sSub>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τ=0</m:t>
            </m:r>
          </m:sub>
          <m:sup>
            <m:r>
              <w:rPr>
                <w:rFonts w:ascii="Cambria Math" w:hAnsi="Cambria Math"/>
                <w:sz w:val="22"/>
                <w:szCs w:val="22"/>
              </w:rPr>
              <m:t>(t-1)</m:t>
            </m:r>
          </m:sup>
          <m:e>
            <m:func>
              <m:funcPr>
                <m:ctrlPr>
                  <w:rPr>
                    <w:rFonts w:ascii="Cambria Math" w:hAnsi="Cambria Math"/>
                    <w:i/>
                    <w:sz w:val="22"/>
                    <w:szCs w:val="22"/>
                  </w:rPr>
                </m:ctrlPr>
              </m:funcPr>
              <m:fName>
                <m:r>
                  <m:rPr>
                    <m:sty m:val="p"/>
                  </m:rPr>
                  <w:rPr>
                    <w:rFonts w:ascii="Cambria Math" w:hAnsi="Cambria Math"/>
                    <w:sz w:val="22"/>
                    <w:szCs w:val="22"/>
                  </w:rPr>
                  <m:t>ln</m:t>
                </m:r>
              </m:fName>
              <m:e>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k,τ→</m:t>
                        </m:r>
                        <m:d>
                          <m:dPr>
                            <m:ctrlPr>
                              <w:rPr>
                                <w:rFonts w:ascii="Cambria Math" w:hAnsi="Cambria Math"/>
                                <w:i/>
                                <w:sz w:val="22"/>
                                <w:szCs w:val="22"/>
                              </w:rPr>
                            </m:ctrlPr>
                          </m:dPr>
                          <m:e>
                            <m:r>
                              <w:rPr>
                                <w:rFonts w:ascii="Cambria Math" w:hAnsi="Cambria Math"/>
                                <w:sz w:val="22"/>
                                <w:szCs w:val="22"/>
                              </w:rPr>
                              <m:t>τ+1</m:t>
                            </m:r>
                          </m:e>
                        </m:d>
                      </m:sub>
                    </m:sSub>
                  </m:e>
                </m:d>
              </m:e>
            </m:func>
          </m:e>
        </m:nary>
        <m:r>
          <w:rPr>
            <w:rFonts w:ascii="Cambria Math" w:hAnsi="Cambria Math"/>
            <w:sz w:val="22"/>
            <w:szCs w:val="22"/>
          </w:rPr>
          <m:t>;k∈</m:t>
        </m:r>
        <m:d>
          <m:dPr>
            <m:begChr m:val="{"/>
            <m:endChr m:val="}"/>
            <m:ctrlPr>
              <w:rPr>
                <w:rFonts w:ascii="Cambria Math" w:hAnsi="Cambria Math"/>
                <w:i/>
                <w:sz w:val="22"/>
                <w:szCs w:val="22"/>
              </w:rPr>
            </m:ctrlPr>
          </m:dPr>
          <m:e>
            <m:r>
              <w:rPr>
                <w:rFonts w:ascii="Cambria Math" w:hAnsi="Cambria Math"/>
                <w:sz w:val="22"/>
                <w:szCs w:val="22"/>
              </w:rPr>
              <m:t>i,j</m:t>
            </m:r>
          </m:e>
        </m:d>
      </m:oMath>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E7C1D">
        <w:rPr>
          <w:sz w:val="22"/>
          <w:szCs w:val="22"/>
        </w:rPr>
        <w:tab/>
      </w:r>
      <w:r w:rsidR="0000469D" w:rsidRPr="00100DC9">
        <w:rPr>
          <w:sz w:val="22"/>
          <w:szCs w:val="22"/>
        </w:rPr>
        <w:t>(8)</w:t>
      </w:r>
    </w:p>
    <w:p w14:paraId="64A65E93" w14:textId="77777777" w:rsidR="0000469D" w:rsidRDefault="0000469D" w:rsidP="00A41F6F">
      <w:pPr>
        <w:autoSpaceDE w:val="0"/>
        <w:autoSpaceDN w:val="0"/>
        <w:adjustRightInd w:val="0"/>
        <w:spacing w:line="288" w:lineRule="auto"/>
        <w:ind w:firstLine="720"/>
        <w:jc w:val="both"/>
        <w:rPr>
          <w:rFonts w:asciiTheme="majorBidi" w:eastAsiaTheme="minorEastAsia" w:hAnsiTheme="majorBidi" w:cstheme="majorBidi"/>
          <w:lang w:val="en-NZ" w:eastAsia="zh-CN"/>
        </w:rPr>
      </w:pPr>
    </w:p>
    <w:p w14:paraId="75C23A6B" w14:textId="77777777" w:rsidR="0000469D" w:rsidRPr="00B01438" w:rsidRDefault="0000469D" w:rsidP="0000469D">
      <w:pPr>
        <w:spacing w:line="360" w:lineRule="auto"/>
        <w:jc w:val="both"/>
      </w:pPr>
      <w:r w:rsidRPr="00B01438">
        <w:t>Substituting (8) into (</w:t>
      </w:r>
      <w:r>
        <w:t>5</w:t>
      </w:r>
      <w:r w:rsidRPr="00B01438">
        <w:t>) gives:</w:t>
      </w:r>
    </w:p>
    <w:p w14:paraId="374804D2" w14:textId="7CD897AD" w:rsidR="0000469D" w:rsidRPr="00100DC9" w:rsidRDefault="002F13C5" w:rsidP="0000469D">
      <w:pPr>
        <w:spacing w:line="360" w:lineRule="auto"/>
        <w:ind w:left="1440" w:hanging="720"/>
        <w:jc w:val="both"/>
        <w:rPr>
          <w:sz w:val="22"/>
          <w:szCs w:val="22"/>
        </w:rPr>
      </w:pPr>
      <m:oMath>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ij,t→</m:t>
                </m:r>
                <m:d>
                  <m:dPr>
                    <m:ctrlPr>
                      <w:rPr>
                        <w:rFonts w:ascii="Cambria Math" w:hAnsi="Cambria Math"/>
                        <w:i/>
                        <w:sz w:val="22"/>
                        <w:szCs w:val="22"/>
                      </w:rPr>
                    </m:ctrlPr>
                  </m:dPr>
                  <m:e>
                    <m:r>
                      <w:rPr>
                        <w:rFonts w:ascii="Cambria Math" w:hAnsi="Cambria Math"/>
                        <w:sz w:val="22"/>
                        <w:szCs w:val="22"/>
                      </w:rPr>
                      <m:t>t+1</m:t>
                    </m:r>
                  </m:e>
                </m:d>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i,0</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j,0</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func>
          <m:funcPr>
            <m:ctrlPr>
              <w:rPr>
                <w:rFonts w:ascii="Cambria Math" w:hAnsi="Cambria Math"/>
                <w:i/>
                <w:sz w:val="22"/>
                <w:szCs w:val="22"/>
              </w:rPr>
            </m:ctrlPr>
          </m:funcPr>
          <m:fName>
            <m:r>
              <m:rPr>
                <m:sty m:val="p"/>
              </m:rPr>
              <w:rPr>
                <w:rFonts w:ascii="Cambria Math" w:hAnsi="Cambria Math"/>
                <w:sz w:val="22"/>
                <w:szCs w:val="22"/>
              </w:rPr>
              <m:t>ln</m:t>
            </m:r>
          </m:fName>
          <m:e>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ij</m:t>
                </m:r>
              </m:sub>
            </m:sSub>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τ=0</m:t>
                </m:r>
              </m:sub>
              <m:sup>
                <m:d>
                  <m:dPr>
                    <m:ctrlPr>
                      <w:rPr>
                        <w:rFonts w:ascii="Cambria Math" w:hAnsi="Cambria Math"/>
                        <w:i/>
                        <w:sz w:val="22"/>
                        <w:szCs w:val="22"/>
                      </w:rPr>
                    </m:ctrlPr>
                  </m:dPr>
                  <m:e>
                    <m:r>
                      <w:rPr>
                        <w:rFonts w:ascii="Cambria Math" w:hAnsi="Cambria Math"/>
                        <w:sz w:val="22"/>
                        <w:szCs w:val="22"/>
                      </w:rPr>
                      <m:t>t-1</m:t>
                    </m:r>
                  </m:e>
                </m:d>
              </m:sup>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i,τ→</m:t>
                    </m:r>
                    <m:d>
                      <m:dPr>
                        <m:ctrlPr>
                          <w:rPr>
                            <w:rFonts w:ascii="Cambria Math" w:hAnsi="Cambria Math"/>
                            <w:i/>
                            <w:sz w:val="22"/>
                            <w:szCs w:val="22"/>
                          </w:rPr>
                        </m:ctrlPr>
                      </m:dPr>
                      <m:e>
                        <m:r>
                          <w:rPr>
                            <w:rFonts w:ascii="Cambria Math" w:hAnsi="Cambria Math"/>
                            <w:sz w:val="22"/>
                            <w:szCs w:val="22"/>
                          </w:rPr>
                          <m:t>τ+1</m:t>
                        </m:r>
                      </m:e>
                    </m:d>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i,t→</m:t>
                    </m:r>
                    <m:d>
                      <m:dPr>
                        <m:ctrlPr>
                          <w:rPr>
                            <w:rFonts w:ascii="Cambria Math" w:hAnsi="Cambria Math"/>
                            <w:i/>
                            <w:sz w:val="22"/>
                            <w:szCs w:val="22"/>
                          </w:rPr>
                        </m:ctrlPr>
                      </m:dPr>
                      <m:e>
                        <m:r>
                          <w:rPr>
                            <w:rFonts w:ascii="Cambria Math" w:hAnsi="Cambria Math"/>
                            <w:sz w:val="22"/>
                            <w:szCs w:val="22"/>
                          </w:rPr>
                          <m:t>t+1</m:t>
                        </m:r>
                      </m:e>
                    </m:d>
                  </m:sub>
                </m:sSub>
              </m:e>
            </m:nary>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τ=0</m:t>
                </m:r>
              </m:sub>
              <m:sup>
                <m:d>
                  <m:dPr>
                    <m:ctrlPr>
                      <w:rPr>
                        <w:rFonts w:ascii="Cambria Math" w:hAnsi="Cambria Math"/>
                        <w:i/>
                        <w:sz w:val="22"/>
                        <w:szCs w:val="22"/>
                      </w:rPr>
                    </m:ctrlPr>
                  </m:dPr>
                  <m:e>
                    <m:r>
                      <w:rPr>
                        <w:rFonts w:ascii="Cambria Math" w:hAnsi="Cambria Math"/>
                        <w:sz w:val="22"/>
                        <w:szCs w:val="22"/>
                      </w:rPr>
                      <m:t>t-1</m:t>
                    </m:r>
                  </m:e>
                </m:d>
              </m:sup>
              <m:e>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j,t→</m:t>
                    </m:r>
                    <m:d>
                      <m:dPr>
                        <m:ctrlPr>
                          <w:rPr>
                            <w:rFonts w:ascii="Cambria Math" w:hAnsi="Cambria Math"/>
                            <w:i/>
                            <w:sz w:val="22"/>
                            <w:szCs w:val="22"/>
                          </w:rPr>
                        </m:ctrlPr>
                      </m:dPr>
                      <m:e>
                        <m:r>
                          <w:rPr>
                            <w:rFonts w:ascii="Cambria Math" w:hAnsi="Cambria Math"/>
                            <w:sz w:val="22"/>
                            <w:szCs w:val="22"/>
                          </w:rPr>
                          <m:t>t+1</m:t>
                        </m:r>
                      </m:e>
                    </m:d>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j,t→</m:t>
                    </m:r>
                    <m:d>
                      <m:dPr>
                        <m:ctrlPr>
                          <w:rPr>
                            <w:rFonts w:ascii="Cambria Math" w:hAnsi="Cambria Math"/>
                            <w:i/>
                            <w:sz w:val="22"/>
                            <w:szCs w:val="22"/>
                          </w:rPr>
                        </m:ctrlPr>
                      </m:dPr>
                      <m:e>
                        <m:r>
                          <w:rPr>
                            <w:rFonts w:ascii="Cambria Math" w:hAnsi="Cambria Math"/>
                            <w:sz w:val="22"/>
                            <w:szCs w:val="22"/>
                          </w:rPr>
                          <m:t>t+1</m:t>
                        </m:r>
                      </m:e>
                    </m:d>
                  </m:sub>
                </m:sSub>
              </m:e>
            </m:nary>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ij,t→(t+1)</m:t>
            </m:r>
          </m:sub>
        </m:sSub>
        <m:r>
          <w:rPr>
            <w:rFonts w:ascii="Cambria Math" w:hAnsi="Cambria Math"/>
            <w:sz w:val="22"/>
            <w:szCs w:val="22"/>
          </w:rPr>
          <m:t>; i≠j</m:t>
        </m:r>
      </m:oMath>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00469D" w:rsidRPr="00100DC9">
        <w:rPr>
          <w:sz w:val="22"/>
          <w:szCs w:val="22"/>
        </w:rPr>
        <w:tab/>
      </w:r>
      <w:r w:rsidR="00100DC9">
        <w:rPr>
          <w:sz w:val="22"/>
          <w:szCs w:val="22"/>
        </w:rPr>
        <w:tab/>
      </w:r>
      <w:r w:rsidR="00100DC9">
        <w:rPr>
          <w:sz w:val="22"/>
          <w:szCs w:val="22"/>
        </w:rPr>
        <w:tab/>
      </w:r>
      <w:r w:rsidR="00100DC9">
        <w:rPr>
          <w:sz w:val="22"/>
          <w:szCs w:val="22"/>
        </w:rPr>
        <w:tab/>
      </w:r>
      <w:r w:rsidR="00100DC9">
        <w:rPr>
          <w:sz w:val="22"/>
          <w:szCs w:val="22"/>
        </w:rPr>
        <w:tab/>
      </w:r>
      <w:r w:rsidR="000E7C1D">
        <w:rPr>
          <w:sz w:val="22"/>
          <w:szCs w:val="22"/>
        </w:rPr>
        <w:tab/>
      </w:r>
      <w:r w:rsidR="0000469D" w:rsidRPr="00100DC9">
        <w:rPr>
          <w:sz w:val="22"/>
          <w:szCs w:val="22"/>
        </w:rPr>
        <w:t>(9)</w:t>
      </w:r>
    </w:p>
    <w:p w14:paraId="1ABFFA6A" w14:textId="1B0B9121" w:rsidR="0000469D" w:rsidRDefault="00F32FFF" w:rsidP="0000469D">
      <w:pPr>
        <w:autoSpaceDE w:val="0"/>
        <w:autoSpaceDN w:val="0"/>
        <w:adjustRightInd w:val="0"/>
        <w:spacing w:line="288" w:lineRule="auto"/>
        <w:ind w:firstLine="720"/>
        <w:jc w:val="both"/>
      </w:pPr>
      <w:r>
        <w:t>S</w:t>
      </w:r>
      <w:r w:rsidRPr="00B01438">
        <w:t xml:space="preserve">ince </w:t>
      </w:r>
      <w:r w:rsidRPr="00B01438">
        <w:rPr>
          <w:i/>
        </w:rPr>
        <w:t>P</w:t>
      </w:r>
      <w:r w:rsidRPr="00B01438">
        <w:rPr>
          <w:i/>
          <w:vertAlign w:val="subscript"/>
        </w:rPr>
        <w:t>i,</w:t>
      </w:r>
      <w:r>
        <w:rPr>
          <w:vertAlign w:val="subscript"/>
        </w:rPr>
        <w:t>0</w:t>
      </w:r>
      <w:r w:rsidRPr="00B01438">
        <w:t xml:space="preserve"> and </w:t>
      </w:r>
      <w:r w:rsidRPr="00B01438">
        <w:rPr>
          <w:i/>
        </w:rPr>
        <w:t>P</w:t>
      </w:r>
      <w:r w:rsidRPr="00B01438">
        <w:rPr>
          <w:i/>
          <w:vertAlign w:val="subscript"/>
        </w:rPr>
        <w:t>j,</w:t>
      </w:r>
      <w:r>
        <w:rPr>
          <w:vertAlign w:val="subscript"/>
        </w:rPr>
        <w:t>0</w:t>
      </w:r>
      <w:r w:rsidRPr="00B01438">
        <w:t xml:space="preserve"> </w:t>
      </w:r>
      <w:r>
        <w:t>in Equation (9) are</w:t>
      </w:r>
      <w:r w:rsidRPr="00B01438">
        <w:t xml:space="preserve"> fixed and time-invariant, they form part of the fixed effects in the </w:t>
      </w:r>
      <w:r>
        <w:t>FE</w:t>
      </w:r>
      <w:r w:rsidRPr="00B01438">
        <w:t xml:space="preserve"> regression. </w:t>
      </w:r>
      <w:r>
        <w:t>Therefore</w:t>
      </w:r>
      <w:r w:rsidRPr="00B01438">
        <w:t xml:space="preserve"> the coefficients </w:t>
      </w:r>
      <w:r w:rsidRPr="00B01438">
        <w:rPr>
          <w:i/>
        </w:rPr>
        <w:t>β</w:t>
      </w:r>
      <w:r w:rsidRPr="00412C6E">
        <w:rPr>
          <w:vertAlign w:val="subscript"/>
        </w:rPr>
        <w:t>1</w:t>
      </w:r>
      <w:r w:rsidRPr="00412C6E">
        <w:t xml:space="preserve"> </w:t>
      </w:r>
      <w:r w:rsidRPr="00B01438">
        <w:t xml:space="preserve">and </w:t>
      </w:r>
      <w:r w:rsidRPr="00B01438">
        <w:rPr>
          <w:i/>
        </w:rPr>
        <w:t>β</w:t>
      </w:r>
      <w:r w:rsidRPr="00412C6E">
        <w:rPr>
          <w:vertAlign w:val="subscript"/>
        </w:rPr>
        <w:t>2</w:t>
      </w:r>
      <w:r w:rsidRPr="00B01438">
        <w:t xml:space="preserve"> in </w:t>
      </w:r>
      <w:r>
        <w:t xml:space="preserve">Equation (9) </w:t>
      </w:r>
      <w:r w:rsidRPr="00B01438">
        <w:t xml:space="preserve">should be interpreted as relating to the effect of the population growth rates </w:t>
      </w:r>
      <w:proofErr w:type="spellStart"/>
      <w:r w:rsidRPr="00B01438">
        <w:rPr>
          <w:i/>
        </w:rPr>
        <w:t>g</w:t>
      </w:r>
      <w:r w:rsidRPr="00B01438">
        <w:rPr>
          <w:i/>
          <w:vertAlign w:val="subscript"/>
        </w:rPr>
        <w:t>i</w:t>
      </w:r>
      <w:proofErr w:type="spellEnd"/>
      <w:r w:rsidRPr="00B01438">
        <w:t xml:space="preserve"> and </w:t>
      </w:r>
      <w:proofErr w:type="spellStart"/>
      <w:r w:rsidRPr="00B01438">
        <w:rPr>
          <w:i/>
        </w:rPr>
        <w:t>g</w:t>
      </w:r>
      <w:r w:rsidRPr="00B01438">
        <w:rPr>
          <w:i/>
          <w:vertAlign w:val="subscript"/>
        </w:rPr>
        <w:t>j</w:t>
      </w:r>
      <w:proofErr w:type="spellEnd"/>
      <w:r>
        <w:t xml:space="preserve">. Because the choice of the base year is arbitrary, this shows that the effect of population scale in Equation (7) is also subsumed in the fixed effect and the estimated coefficients </w:t>
      </w: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oMath>
      <w:r>
        <w:t xml:space="preserve"> and </w:t>
      </w:r>
      <m:oMath>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oMath>
      <w:r>
        <w:t xml:space="preserve"> reflect the impact of the population growth rates. This is in contrast with the </w:t>
      </w:r>
      <w:r w:rsidRPr="00B01438">
        <w:t>OLS model</w:t>
      </w:r>
      <w:r>
        <w:t xml:space="preserve"> of Equation (6)</w:t>
      </w:r>
      <w:r w:rsidRPr="00B01438">
        <w:t xml:space="preserve"> where </w:t>
      </w:r>
      <w:r>
        <w:t xml:space="preserve">the corresponding coefficients </w:t>
      </w:r>
      <w:r w:rsidRPr="00B01438">
        <w:t xml:space="preserve">relate to the effect of population </w:t>
      </w:r>
      <w:r>
        <w:t>levels</w:t>
      </w:r>
      <w:r w:rsidRPr="00B01438">
        <w:t xml:space="preserve">. This highlights that the coefficients in the OLS model are </w:t>
      </w:r>
      <w:r w:rsidRPr="00B01438">
        <w:rPr>
          <w:i/>
        </w:rPr>
        <w:t>not</w:t>
      </w:r>
      <w:r w:rsidRPr="00B01438">
        <w:t xml:space="preserve"> directly comparable to the coefficients from a </w:t>
      </w:r>
      <w:r>
        <w:t>FE</w:t>
      </w:r>
      <w:r w:rsidRPr="00B01438">
        <w:t xml:space="preserve"> model</w:t>
      </w:r>
      <w:r w:rsidR="0000469D">
        <w:t>.</w:t>
      </w:r>
    </w:p>
    <w:p w14:paraId="1D538B3C" w14:textId="77777777" w:rsidR="00AF37B5" w:rsidRPr="00A36AAA" w:rsidRDefault="00AF37B5" w:rsidP="0000469D">
      <w:pPr>
        <w:autoSpaceDE w:val="0"/>
        <w:autoSpaceDN w:val="0"/>
        <w:adjustRightInd w:val="0"/>
        <w:spacing w:line="288" w:lineRule="auto"/>
        <w:ind w:firstLine="720"/>
        <w:jc w:val="both"/>
        <w:rPr>
          <w:sz w:val="20"/>
          <w:szCs w:val="20"/>
        </w:rPr>
      </w:pPr>
    </w:p>
    <w:p w14:paraId="0C05DCA9" w14:textId="63D7E9ED" w:rsidR="0000469D" w:rsidRPr="00B01438" w:rsidRDefault="00F32FFF" w:rsidP="0000469D">
      <w:pPr>
        <w:autoSpaceDE w:val="0"/>
        <w:autoSpaceDN w:val="0"/>
        <w:adjustRightInd w:val="0"/>
        <w:spacing w:line="288" w:lineRule="auto"/>
        <w:ind w:firstLine="720"/>
        <w:jc w:val="both"/>
      </w:pPr>
      <w:r w:rsidRPr="00B01438">
        <w:t>In the simple OLS specification o</w:t>
      </w:r>
      <w:r>
        <w:t>f the gravity model [Equation (6</w:t>
      </w:r>
      <w:r w:rsidRPr="00B01438">
        <w:t xml:space="preserve">)], the expected sign on the coefficients </w:t>
      </w:r>
      <w:r w:rsidRPr="00B01438">
        <w:rPr>
          <w:i/>
        </w:rPr>
        <w:t>β</w:t>
      </w:r>
      <w:r w:rsidRPr="00B01438">
        <w:rPr>
          <w:i/>
          <w:vertAlign w:val="subscript"/>
        </w:rPr>
        <w:t>1</w:t>
      </w:r>
      <w:r w:rsidRPr="00B01438">
        <w:t xml:space="preserve"> and </w:t>
      </w:r>
      <w:r w:rsidRPr="00B01438">
        <w:rPr>
          <w:i/>
        </w:rPr>
        <w:t>β</w:t>
      </w:r>
      <w:r w:rsidRPr="00B01438">
        <w:rPr>
          <w:i/>
          <w:vertAlign w:val="subscript"/>
        </w:rPr>
        <w:t>2</w:t>
      </w:r>
      <w:r w:rsidRPr="00B01438">
        <w:t xml:space="preserve"> is positive. However, in the </w:t>
      </w:r>
      <w:r>
        <w:t>FE</w:t>
      </w:r>
      <w:r w:rsidRPr="00B01438">
        <w:t xml:space="preserve"> specification in </w:t>
      </w:r>
      <w:r>
        <w:t xml:space="preserve">Equation </w:t>
      </w:r>
      <w:r w:rsidRPr="00B01438">
        <w:t>(</w:t>
      </w:r>
      <w:r>
        <w:t>7</w:t>
      </w:r>
      <w:r w:rsidRPr="00B01438">
        <w:t xml:space="preserve">), there is no </w:t>
      </w:r>
      <w:r w:rsidRPr="00B01438">
        <w:rPr>
          <w:i/>
        </w:rPr>
        <w:t>a priori</w:t>
      </w:r>
      <w:r w:rsidRPr="00B01438">
        <w:t xml:space="preserve"> reason to believe that the </w:t>
      </w:r>
      <w:r>
        <w:t xml:space="preserve">estimates of </w:t>
      </w:r>
      <w:r w:rsidRPr="00B01438">
        <w:t xml:space="preserve">coefficients </w:t>
      </w: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oMath>
      <w:r w:rsidRPr="00B01438">
        <w:t xml:space="preserve"> and </w:t>
      </w:r>
      <m:oMath>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oMath>
      <w:r w:rsidRPr="00B01438">
        <w:t xml:space="preserve"> should </w:t>
      </w:r>
      <w:r>
        <w:t xml:space="preserve">both </w:t>
      </w:r>
      <w:r w:rsidRPr="00B01438">
        <w:t xml:space="preserve">be positive. </w:t>
      </w:r>
      <w:r>
        <w:t xml:space="preserve">For a given propensity to migrate (e.g. linked to the age structure of the population), faster population growth will imply higher outward migration levels, i.e. a positive estimate of </w:t>
      </w: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m:t>
            </m:r>
          </m:sup>
        </m:sSubSup>
      </m:oMath>
      <w:r>
        <w:t xml:space="preserve">. This is mostly a demographic effect. On the other hand, faster population growth may not necessarily imply relatively higher inward migration levels. The outcome would depend on a range of economic factors such as job growth, resource constraints and the corresponding prices (particularly of housing), and on the source of the population growth (natural increase, international migration, etc.). Consequently, the estimate of </w:t>
      </w:r>
      <m:oMath>
        <m:sSubSup>
          <m:sSubSupPr>
            <m:ctrlPr>
              <w:rPr>
                <w:rFonts w:ascii="Cambria Math" w:hAnsi="Cambria Math"/>
                <w:i/>
              </w:rPr>
            </m:ctrlPr>
          </m:sSubSupPr>
          <m:e>
            <m:r>
              <w:rPr>
                <w:rFonts w:ascii="Cambria Math" w:hAnsi="Cambria Math"/>
              </w:rPr>
              <m:t>β</m:t>
            </m:r>
          </m:e>
          <m:sub>
            <m:r>
              <w:rPr>
                <w:rFonts w:ascii="Cambria Math" w:hAnsi="Cambria Math"/>
              </w:rPr>
              <m:t>2</m:t>
            </m:r>
          </m:sub>
          <m:sup>
            <m:r>
              <w:rPr>
                <w:rFonts w:ascii="Cambria Math" w:hAnsi="Cambria Math"/>
              </w:rPr>
              <m:t>'</m:t>
            </m:r>
          </m:sup>
        </m:sSubSup>
      </m:oMath>
      <w:r>
        <w:t xml:space="preserve"> is not necessarily positiv</w:t>
      </w:r>
      <w:r w:rsidR="00A36AAA">
        <w:t>e.</w:t>
      </w:r>
    </w:p>
    <w:p w14:paraId="57EEE8D4" w14:textId="30920421" w:rsidR="00F32FFF" w:rsidRDefault="00F32FFF" w:rsidP="0000469D">
      <w:pPr>
        <w:spacing w:line="360" w:lineRule="auto"/>
        <w:jc w:val="both"/>
        <w:rPr>
          <w:rFonts w:asciiTheme="majorBidi" w:hAnsiTheme="majorBidi" w:cstheme="majorBidi"/>
          <w:highlight w:val="cyan"/>
        </w:rPr>
      </w:pPr>
      <w:r>
        <w:rPr>
          <w:rFonts w:asciiTheme="majorBidi" w:hAnsiTheme="majorBidi" w:cstheme="majorBidi"/>
          <w:highlight w:val="cyan"/>
        </w:rPr>
        <w:br w:type="page"/>
      </w:r>
    </w:p>
    <w:p w14:paraId="57D5C9C5" w14:textId="46FA822B" w:rsidR="00184564" w:rsidRPr="00A6111F" w:rsidRDefault="00A6111F" w:rsidP="005345A2">
      <w:pPr>
        <w:pStyle w:val="Heading1"/>
        <w:numPr>
          <w:ilvl w:val="0"/>
          <w:numId w:val="4"/>
        </w:numPr>
        <w:spacing w:before="0" w:line="288" w:lineRule="auto"/>
        <w:ind w:left="284" w:hanging="284"/>
        <w:rPr>
          <w:rFonts w:eastAsiaTheme="minorEastAsia"/>
          <w:sz w:val="24"/>
          <w:lang w:val="en-NZ" w:eastAsia="zh-CN"/>
        </w:rPr>
      </w:pPr>
      <w:r w:rsidRPr="00A6111F">
        <w:rPr>
          <w:sz w:val="24"/>
        </w:rPr>
        <w:lastRenderedPageBreak/>
        <w:t>RESULTS</w:t>
      </w:r>
    </w:p>
    <w:p w14:paraId="6B987253" w14:textId="77777777" w:rsidR="00A869C2" w:rsidRPr="00A6111F" w:rsidRDefault="00A869C2" w:rsidP="005345A2">
      <w:pPr>
        <w:pStyle w:val="NormalWeb"/>
        <w:spacing w:before="0" w:beforeAutospacing="0" w:after="0" w:afterAutospacing="0" w:line="288" w:lineRule="auto"/>
        <w:jc w:val="both"/>
        <w:rPr>
          <w:rFonts w:asciiTheme="majorBidi" w:eastAsiaTheme="minorEastAsia" w:hAnsiTheme="majorBidi" w:cstheme="majorBidi"/>
          <w:b/>
          <w:bCs/>
          <w:sz w:val="6"/>
          <w:szCs w:val="6"/>
        </w:rPr>
      </w:pPr>
    </w:p>
    <w:p w14:paraId="62EDEFBD" w14:textId="77777777" w:rsidR="00A869C2" w:rsidRPr="00A869C2" w:rsidRDefault="00A869C2" w:rsidP="005345A2">
      <w:pPr>
        <w:pStyle w:val="NormalWeb"/>
        <w:spacing w:before="0" w:beforeAutospacing="0" w:after="0" w:afterAutospacing="0" w:line="288" w:lineRule="auto"/>
        <w:jc w:val="both"/>
        <w:rPr>
          <w:rFonts w:asciiTheme="majorBidi" w:eastAsiaTheme="minorEastAsia" w:hAnsiTheme="majorBidi" w:cstheme="majorBidi"/>
          <w:sz w:val="6"/>
          <w:szCs w:val="6"/>
        </w:rPr>
      </w:pPr>
    </w:p>
    <w:p w14:paraId="7EB008D5" w14:textId="59EF0286" w:rsidR="00A6111F" w:rsidRDefault="00F32FFF" w:rsidP="00A6111F">
      <w:pPr>
        <w:spacing w:line="288" w:lineRule="auto"/>
        <w:jc w:val="both"/>
        <w:rPr>
          <w:rFonts w:asciiTheme="majorBidi" w:eastAsiaTheme="minorEastAsia" w:hAnsiTheme="majorBidi" w:cstheme="majorBidi"/>
          <w:lang w:val="en-NZ" w:eastAsia="zh-CN"/>
        </w:rPr>
      </w:pPr>
      <w:r w:rsidRPr="00B01438">
        <w:rPr>
          <w:rFonts w:asciiTheme="majorBidi" w:hAnsiTheme="majorBidi" w:cstheme="majorBidi"/>
        </w:rPr>
        <w:t>We test our interpretations using data from migration flows</w:t>
      </w:r>
      <w:r>
        <w:rPr>
          <w:rFonts w:asciiTheme="majorBidi" w:hAnsiTheme="majorBidi" w:cstheme="majorBidi"/>
        </w:rPr>
        <w:t xml:space="preserve"> between the sixteen regions of</w:t>
      </w:r>
      <w:r w:rsidRPr="00B01438">
        <w:rPr>
          <w:rFonts w:asciiTheme="majorBidi" w:hAnsiTheme="majorBidi" w:cstheme="majorBidi"/>
        </w:rPr>
        <w:t xml:space="preserve"> New Zealand. Inter-regional migration data w</w:t>
      </w:r>
      <w:r>
        <w:rPr>
          <w:rFonts w:asciiTheme="majorBidi" w:hAnsiTheme="majorBidi" w:cstheme="majorBidi"/>
        </w:rPr>
        <w:t>ere</w:t>
      </w:r>
      <w:r w:rsidRPr="00B01438">
        <w:rPr>
          <w:rFonts w:asciiTheme="majorBidi" w:hAnsiTheme="majorBidi" w:cstheme="majorBidi"/>
        </w:rPr>
        <w:t xml:space="preserve"> obtained from the Census of Population and Dwellings</w:t>
      </w:r>
      <w:r>
        <w:rPr>
          <w:rFonts w:asciiTheme="majorBidi" w:hAnsiTheme="majorBidi" w:cstheme="majorBidi"/>
        </w:rPr>
        <w:t xml:space="preserve"> (1996, 2001, 2006 and 2013),</w:t>
      </w:r>
      <w:r w:rsidRPr="00B01438">
        <w:rPr>
          <w:rFonts w:asciiTheme="majorBidi" w:hAnsiTheme="majorBidi" w:cstheme="majorBidi"/>
        </w:rPr>
        <w:t xml:space="preserve"> based on self-reported region of residence five years previously. Responses that were unidentifiable or not</w:t>
      </w:r>
      <w:r>
        <w:rPr>
          <w:rFonts w:asciiTheme="majorBidi" w:hAnsiTheme="majorBidi" w:cstheme="majorBidi"/>
        </w:rPr>
        <w:t xml:space="preserve"> </w:t>
      </w:r>
      <w:r w:rsidRPr="00B01438">
        <w:rPr>
          <w:rFonts w:asciiTheme="majorBidi" w:hAnsiTheme="majorBidi" w:cstheme="majorBidi"/>
        </w:rPr>
        <w:t>elsewhere classified were distributed proportional to valid responses (including non-movers), while the few zero-cou</w:t>
      </w:r>
      <w:r>
        <w:rPr>
          <w:rFonts w:asciiTheme="majorBidi" w:hAnsiTheme="majorBidi" w:cstheme="majorBidi"/>
        </w:rPr>
        <w:t>nt flows were increased by one</w:t>
      </w:r>
      <w:r w:rsidRPr="00B01438">
        <w:rPr>
          <w:rFonts w:asciiTheme="majorBidi" w:hAnsiTheme="majorBidi" w:cstheme="majorBidi"/>
        </w:rPr>
        <w:t xml:space="preserve">. This provides 960 observations of the dependent variable. Population numbers were taken from the Estimated Usually Resident Population at 30 June in each year. Distances between each region were population-weighted straight line distances (based on the 2013 population distribution). </w:t>
      </w:r>
      <w:r>
        <w:rPr>
          <w:rFonts w:asciiTheme="majorBidi" w:hAnsiTheme="majorBidi" w:cstheme="majorBidi"/>
        </w:rPr>
        <w:t>A</w:t>
      </w:r>
      <w:r w:rsidRPr="00B01438">
        <w:rPr>
          <w:rFonts w:asciiTheme="majorBidi" w:hAnsiTheme="majorBidi" w:cstheme="majorBidi"/>
        </w:rPr>
        <w:t xml:space="preserve">dditional dummy variable controls were included for contiguity of regions, and for flows between the </w:t>
      </w:r>
      <w:r>
        <w:rPr>
          <w:rFonts w:asciiTheme="majorBidi" w:hAnsiTheme="majorBidi" w:cstheme="majorBidi"/>
        </w:rPr>
        <w:t>two main islands</w:t>
      </w:r>
      <w:r w:rsidRPr="00B01438">
        <w:rPr>
          <w:rFonts w:asciiTheme="majorBidi" w:hAnsiTheme="majorBidi" w:cstheme="majorBidi"/>
        </w:rPr>
        <w:t xml:space="preserve"> of New Zealand.</w:t>
      </w:r>
      <w:r>
        <w:rPr>
          <w:rFonts w:asciiTheme="majorBidi" w:hAnsiTheme="majorBidi" w:cstheme="majorBidi"/>
        </w:rPr>
        <w:t xml:space="preserve"> </w:t>
      </w:r>
      <w:r w:rsidRPr="00B01438">
        <w:rPr>
          <w:rFonts w:asciiTheme="majorBidi" w:hAnsiTheme="majorBidi" w:cstheme="majorBidi"/>
        </w:rPr>
        <w:t xml:space="preserve">We implement </w:t>
      </w:r>
      <w:r>
        <w:rPr>
          <w:rFonts w:asciiTheme="majorBidi" w:hAnsiTheme="majorBidi" w:cstheme="majorBidi"/>
        </w:rPr>
        <w:t>BLUE,</w:t>
      </w:r>
      <w:r w:rsidRPr="00B01438">
        <w:rPr>
          <w:rFonts w:asciiTheme="majorBidi" w:hAnsiTheme="majorBidi" w:cstheme="majorBidi"/>
        </w:rPr>
        <w:t xml:space="preserve"> OLS</w:t>
      </w:r>
      <w:r>
        <w:rPr>
          <w:rFonts w:asciiTheme="majorBidi" w:hAnsiTheme="majorBidi" w:cstheme="majorBidi"/>
        </w:rPr>
        <w:t>, and</w:t>
      </w:r>
      <w:r w:rsidRPr="00B01438">
        <w:rPr>
          <w:rFonts w:asciiTheme="majorBidi" w:hAnsiTheme="majorBidi" w:cstheme="majorBidi"/>
        </w:rPr>
        <w:t xml:space="preserve"> FE</w:t>
      </w:r>
      <w:r>
        <w:rPr>
          <w:rFonts w:asciiTheme="majorBidi" w:hAnsiTheme="majorBidi" w:cstheme="majorBidi"/>
        </w:rPr>
        <w:t xml:space="preserve"> </w:t>
      </w:r>
      <w:r w:rsidRPr="00B01438">
        <w:rPr>
          <w:rFonts w:asciiTheme="majorBidi" w:hAnsiTheme="majorBidi" w:cstheme="majorBidi"/>
        </w:rPr>
        <w:t>regressions</w:t>
      </w:r>
      <w:r>
        <w:rPr>
          <w:rFonts w:asciiTheme="majorBidi" w:hAnsiTheme="majorBidi" w:cstheme="majorBidi"/>
        </w:rPr>
        <w:t>,</w:t>
      </w:r>
      <w:r w:rsidRPr="00B01438">
        <w:rPr>
          <w:rFonts w:asciiTheme="majorBidi" w:hAnsiTheme="majorBidi" w:cstheme="majorBidi"/>
        </w:rPr>
        <w:t xml:space="preserve"> equivalent to Equations (5), (6), and (7)</w:t>
      </w:r>
      <w:r>
        <w:rPr>
          <w:rFonts w:asciiTheme="majorBidi" w:hAnsiTheme="majorBidi" w:cstheme="majorBidi"/>
        </w:rPr>
        <w:t xml:space="preserve"> respectively, as well as FE re-specified in growth rates as in Equation </w:t>
      </w:r>
      <w:r w:rsidR="0000469D" w:rsidRPr="0000469D">
        <w:rPr>
          <w:rFonts w:asciiTheme="majorBidi" w:eastAsiaTheme="minorEastAsia" w:hAnsiTheme="majorBidi" w:cstheme="majorBidi"/>
          <w:lang w:val="en-NZ" w:eastAsia="zh-CN"/>
        </w:rPr>
        <w:t>(9)</w:t>
      </w:r>
      <w:r w:rsidR="00A6111F" w:rsidRPr="00A6111F">
        <w:rPr>
          <w:rFonts w:asciiTheme="majorBidi" w:eastAsiaTheme="minorEastAsia" w:hAnsiTheme="majorBidi" w:cstheme="majorBidi"/>
          <w:lang w:val="en-NZ" w:eastAsia="zh-CN"/>
        </w:rPr>
        <w:t xml:space="preserve">. </w:t>
      </w:r>
    </w:p>
    <w:p w14:paraId="6818CA49" w14:textId="77777777" w:rsidR="00AF37B5" w:rsidRDefault="00AF37B5" w:rsidP="00A6111F">
      <w:pPr>
        <w:spacing w:line="288" w:lineRule="auto"/>
        <w:jc w:val="both"/>
        <w:rPr>
          <w:rFonts w:asciiTheme="majorBidi" w:eastAsiaTheme="minorEastAsia" w:hAnsiTheme="majorBidi" w:cstheme="majorBidi"/>
          <w:lang w:val="en-NZ" w:eastAsia="zh-CN"/>
        </w:rPr>
      </w:pPr>
    </w:p>
    <w:p w14:paraId="424FD9E0" w14:textId="103F8B49" w:rsidR="00A6111F" w:rsidRDefault="0000469D" w:rsidP="00A6111F">
      <w:pPr>
        <w:spacing w:line="288" w:lineRule="auto"/>
        <w:ind w:firstLine="720"/>
        <w:jc w:val="both"/>
        <w:rPr>
          <w:rFonts w:asciiTheme="majorBidi" w:eastAsiaTheme="minorEastAsia" w:hAnsiTheme="majorBidi" w:cstheme="majorBidi"/>
          <w:lang w:val="en-NZ" w:eastAsia="zh-CN"/>
        </w:rPr>
      </w:pPr>
      <w:r w:rsidRPr="0000469D">
        <w:rPr>
          <w:rFonts w:asciiTheme="majorBidi" w:eastAsiaTheme="minorEastAsia" w:hAnsiTheme="majorBidi" w:cstheme="majorBidi"/>
          <w:lang w:val="en-NZ" w:eastAsia="zh-CN"/>
        </w:rPr>
        <w:t>Table 1 presents the results of our regression models, excluding control variables and fixed effects. Column (1) contains the results for the OLS specification, equivalent to Equation (6), Column (2) is the FE specification of Equation (7), Column (3) corresponds to the growth rates specification of Equation (9), and Column (4) is the BLUE estimator (given the assumed DGP) of Equation (5)</w:t>
      </w:r>
      <w:r w:rsidR="00A6111F" w:rsidRPr="00A6111F">
        <w:rPr>
          <w:rFonts w:asciiTheme="majorBidi" w:eastAsiaTheme="minorEastAsia" w:hAnsiTheme="majorBidi" w:cstheme="majorBidi"/>
          <w:lang w:val="en-NZ" w:eastAsia="zh-CN"/>
        </w:rPr>
        <w:t>.</w:t>
      </w:r>
    </w:p>
    <w:p w14:paraId="28162621" w14:textId="30C95750" w:rsidR="0000469D" w:rsidRDefault="0000469D" w:rsidP="00A6111F">
      <w:pPr>
        <w:spacing w:line="288" w:lineRule="auto"/>
        <w:ind w:firstLine="720"/>
        <w:jc w:val="both"/>
        <w:rPr>
          <w:rFonts w:asciiTheme="majorBidi" w:eastAsiaTheme="minorEastAsia" w:hAnsiTheme="majorBidi" w:cstheme="majorBidi"/>
          <w:lang w:val="en-NZ" w:eastAsia="zh-CN"/>
        </w:rPr>
      </w:pPr>
    </w:p>
    <w:p w14:paraId="0711CF2D" w14:textId="628C117C" w:rsidR="0000469D" w:rsidRDefault="0000469D" w:rsidP="00C218E7">
      <w:pPr>
        <w:jc w:val="center"/>
        <w:rPr>
          <w:b/>
          <w:sz w:val="22"/>
          <w:szCs w:val="22"/>
        </w:rPr>
      </w:pPr>
      <w:r w:rsidRPr="00C218E7">
        <w:rPr>
          <w:b/>
          <w:sz w:val="22"/>
          <w:szCs w:val="22"/>
        </w:rPr>
        <w:t>Table 1:</w:t>
      </w:r>
      <w:r w:rsidR="00C218E7">
        <w:rPr>
          <w:b/>
          <w:sz w:val="22"/>
          <w:szCs w:val="22"/>
        </w:rPr>
        <w:t xml:space="preserve"> </w:t>
      </w:r>
      <w:r w:rsidRPr="00C218E7">
        <w:rPr>
          <w:b/>
          <w:sz w:val="22"/>
          <w:szCs w:val="22"/>
        </w:rPr>
        <w:t xml:space="preserve"> Regression </w:t>
      </w:r>
      <w:r w:rsidR="00C218E7">
        <w:rPr>
          <w:b/>
          <w:sz w:val="22"/>
          <w:szCs w:val="22"/>
        </w:rPr>
        <w:t>R</w:t>
      </w:r>
      <w:r w:rsidRPr="00C218E7">
        <w:rPr>
          <w:b/>
          <w:sz w:val="22"/>
          <w:szCs w:val="22"/>
        </w:rPr>
        <w:t>esults</w:t>
      </w:r>
    </w:p>
    <w:p w14:paraId="3287A734" w14:textId="77777777" w:rsidR="00100DC9" w:rsidRPr="00100DC9" w:rsidRDefault="00100DC9" w:rsidP="00C218E7">
      <w:pPr>
        <w:jc w:val="center"/>
        <w:rPr>
          <w:b/>
          <w:sz w:val="8"/>
          <w:szCs w:val="8"/>
        </w:rPr>
      </w:pPr>
    </w:p>
    <w:tbl>
      <w:tblPr>
        <w:tblW w:w="9242" w:type="dxa"/>
        <w:tblBorders>
          <w:top w:val="single" w:sz="4" w:space="0" w:color="auto"/>
          <w:bottom w:val="single" w:sz="4" w:space="0" w:color="auto"/>
        </w:tblBorders>
        <w:tblLook w:val="04A0" w:firstRow="1" w:lastRow="0" w:firstColumn="1" w:lastColumn="0" w:noHBand="0" w:noVBand="1"/>
      </w:tblPr>
      <w:tblGrid>
        <w:gridCol w:w="1848"/>
        <w:gridCol w:w="1848"/>
        <w:gridCol w:w="1849"/>
        <w:gridCol w:w="1848"/>
        <w:gridCol w:w="1849"/>
      </w:tblGrid>
      <w:tr w:rsidR="0000469D" w:rsidRPr="00C218E7" w14:paraId="1A3AEB53" w14:textId="77777777" w:rsidTr="00C218E7">
        <w:tc>
          <w:tcPr>
            <w:tcW w:w="1848" w:type="dxa"/>
            <w:tcBorders>
              <w:top w:val="single" w:sz="4" w:space="0" w:color="auto"/>
              <w:bottom w:val="single" w:sz="4" w:space="0" w:color="auto"/>
            </w:tcBorders>
            <w:shd w:val="clear" w:color="auto" w:fill="auto"/>
            <w:vAlign w:val="center"/>
          </w:tcPr>
          <w:p w14:paraId="7CC4543F" w14:textId="77777777" w:rsidR="0000469D" w:rsidRPr="00C218E7" w:rsidRDefault="0000469D" w:rsidP="000E7C1D">
            <w:pPr>
              <w:jc w:val="center"/>
              <w:rPr>
                <w:sz w:val="22"/>
                <w:szCs w:val="22"/>
              </w:rPr>
            </w:pPr>
            <w:r w:rsidRPr="00C218E7">
              <w:rPr>
                <w:bCs/>
                <w:sz w:val="22"/>
                <w:szCs w:val="22"/>
              </w:rPr>
              <w:t>Model</w:t>
            </w:r>
          </w:p>
        </w:tc>
        <w:tc>
          <w:tcPr>
            <w:tcW w:w="1848" w:type="dxa"/>
            <w:tcBorders>
              <w:top w:val="single" w:sz="4" w:space="0" w:color="auto"/>
              <w:bottom w:val="single" w:sz="4" w:space="0" w:color="auto"/>
            </w:tcBorders>
            <w:shd w:val="clear" w:color="auto" w:fill="auto"/>
            <w:vAlign w:val="center"/>
          </w:tcPr>
          <w:p w14:paraId="12E0F804" w14:textId="77777777" w:rsidR="0000469D" w:rsidRPr="00C218E7" w:rsidRDefault="0000469D" w:rsidP="000E7C1D">
            <w:pPr>
              <w:jc w:val="center"/>
              <w:rPr>
                <w:bCs/>
                <w:sz w:val="22"/>
                <w:szCs w:val="22"/>
              </w:rPr>
            </w:pPr>
            <w:r w:rsidRPr="00C218E7">
              <w:rPr>
                <w:bCs/>
                <w:sz w:val="22"/>
                <w:szCs w:val="22"/>
              </w:rPr>
              <w:t>(1)</w:t>
            </w:r>
          </w:p>
          <w:p w14:paraId="5B976022" w14:textId="77777777" w:rsidR="0000469D" w:rsidRPr="00C218E7" w:rsidRDefault="0000469D" w:rsidP="000E7C1D">
            <w:pPr>
              <w:jc w:val="center"/>
              <w:rPr>
                <w:sz w:val="22"/>
                <w:szCs w:val="22"/>
              </w:rPr>
            </w:pPr>
            <w:r w:rsidRPr="00C218E7">
              <w:rPr>
                <w:bCs/>
                <w:sz w:val="22"/>
                <w:szCs w:val="22"/>
              </w:rPr>
              <w:t>OLS</w:t>
            </w:r>
          </w:p>
        </w:tc>
        <w:tc>
          <w:tcPr>
            <w:tcW w:w="1849" w:type="dxa"/>
            <w:tcBorders>
              <w:top w:val="single" w:sz="4" w:space="0" w:color="auto"/>
              <w:bottom w:val="single" w:sz="4" w:space="0" w:color="auto"/>
            </w:tcBorders>
            <w:shd w:val="clear" w:color="auto" w:fill="auto"/>
            <w:vAlign w:val="center"/>
          </w:tcPr>
          <w:p w14:paraId="594FD869" w14:textId="77777777" w:rsidR="0000469D" w:rsidRPr="00C218E7" w:rsidRDefault="0000469D" w:rsidP="000E7C1D">
            <w:pPr>
              <w:jc w:val="center"/>
              <w:rPr>
                <w:bCs/>
                <w:sz w:val="22"/>
                <w:szCs w:val="22"/>
              </w:rPr>
            </w:pPr>
            <w:r w:rsidRPr="00C218E7">
              <w:rPr>
                <w:bCs/>
                <w:sz w:val="22"/>
                <w:szCs w:val="22"/>
              </w:rPr>
              <w:t>(2)</w:t>
            </w:r>
          </w:p>
          <w:p w14:paraId="672E08BD" w14:textId="77777777" w:rsidR="0000469D" w:rsidRPr="00C218E7" w:rsidRDefault="0000469D" w:rsidP="000E7C1D">
            <w:pPr>
              <w:jc w:val="center"/>
              <w:rPr>
                <w:sz w:val="22"/>
                <w:szCs w:val="22"/>
              </w:rPr>
            </w:pPr>
            <w:r w:rsidRPr="00C218E7">
              <w:rPr>
                <w:bCs/>
                <w:sz w:val="22"/>
                <w:szCs w:val="22"/>
              </w:rPr>
              <w:t>FE</w:t>
            </w:r>
          </w:p>
        </w:tc>
        <w:tc>
          <w:tcPr>
            <w:tcW w:w="1848" w:type="dxa"/>
            <w:tcBorders>
              <w:top w:val="single" w:sz="4" w:space="0" w:color="auto"/>
              <w:bottom w:val="single" w:sz="4" w:space="0" w:color="auto"/>
            </w:tcBorders>
            <w:shd w:val="clear" w:color="auto" w:fill="auto"/>
            <w:vAlign w:val="center"/>
          </w:tcPr>
          <w:p w14:paraId="6C121745" w14:textId="77777777" w:rsidR="0000469D" w:rsidRPr="00C218E7" w:rsidRDefault="0000469D" w:rsidP="000E7C1D">
            <w:pPr>
              <w:jc w:val="center"/>
              <w:rPr>
                <w:bCs/>
                <w:sz w:val="22"/>
                <w:szCs w:val="22"/>
              </w:rPr>
            </w:pPr>
            <w:r w:rsidRPr="00C218E7">
              <w:rPr>
                <w:bCs/>
                <w:sz w:val="22"/>
                <w:szCs w:val="22"/>
              </w:rPr>
              <w:t>(3)</w:t>
            </w:r>
          </w:p>
          <w:p w14:paraId="0D139F64" w14:textId="011DA0DB" w:rsidR="0000469D" w:rsidRPr="00C218E7" w:rsidRDefault="0000469D" w:rsidP="000E7C1D">
            <w:pPr>
              <w:jc w:val="center"/>
              <w:rPr>
                <w:bCs/>
                <w:sz w:val="22"/>
                <w:szCs w:val="22"/>
              </w:rPr>
            </w:pPr>
            <w:r w:rsidRPr="00C218E7">
              <w:rPr>
                <w:bCs/>
                <w:sz w:val="22"/>
                <w:szCs w:val="22"/>
              </w:rPr>
              <w:t xml:space="preserve">FE </w:t>
            </w:r>
            <w:r w:rsidRPr="00C218E7">
              <w:rPr>
                <w:bCs/>
                <w:sz w:val="22"/>
                <w:szCs w:val="22"/>
              </w:rPr>
              <w:br/>
              <w:t>(</w:t>
            </w:r>
            <w:r w:rsidR="00100DC9">
              <w:rPr>
                <w:bCs/>
                <w:sz w:val="22"/>
                <w:szCs w:val="22"/>
              </w:rPr>
              <w:t>G</w:t>
            </w:r>
            <w:r w:rsidRPr="00C218E7">
              <w:rPr>
                <w:bCs/>
                <w:sz w:val="22"/>
                <w:szCs w:val="22"/>
              </w:rPr>
              <w:t xml:space="preserve">rowth </w:t>
            </w:r>
            <w:r w:rsidR="00100DC9">
              <w:rPr>
                <w:bCs/>
                <w:sz w:val="22"/>
                <w:szCs w:val="22"/>
              </w:rPr>
              <w:t>R</w:t>
            </w:r>
            <w:r w:rsidRPr="00C218E7">
              <w:rPr>
                <w:bCs/>
                <w:sz w:val="22"/>
                <w:szCs w:val="22"/>
              </w:rPr>
              <w:t>ates)</w:t>
            </w:r>
          </w:p>
        </w:tc>
        <w:tc>
          <w:tcPr>
            <w:tcW w:w="1849" w:type="dxa"/>
            <w:tcBorders>
              <w:top w:val="single" w:sz="4" w:space="0" w:color="auto"/>
              <w:bottom w:val="single" w:sz="4" w:space="0" w:color="auto"/>
            </w:tcBorders>
            <w:vAlign w:val="center"/>
          </w:tcPr>
          <w:p w14:paraId="44D67367" w14:textId="77777777" w:rsidR="0000469D" w:rsidRPr="00C218E7" w:rsidRDefault="0000469D" w:rsidP="000E7C1D">
            <w:pPr>
              <w:jc w:val="center"/>
              <w:rPr>
                <w:bCs/>
                <w:sz w:val="22"/>
                <w:szCs w:val="22"/>
              </w:rPr>
            </w:pPr>
            <w:r w:rsidRPr="00C218E7">
              <w:rPr>
                <w:bCs/>
                <w:sz w:val="22"/>
                <w:szCs w:val="22"/>
              </w:rPr>
              <w:t>(4)</w:t>
            </w:r>
          </w:p>
          <w:p w14:paraId="72161978" w14:textId="77777777" w:rsidR="0000469D" w:rsidRPr="00C218E7" w:rsidRDefault="0000469D" w:rsidP="000E7C1D">
            <w:pPr>
              <w:jc w:val="center"/>
              <w:rPr>
                <w:bCs/>
                <w:sz w:val="22"/>
                <w:szCs w:val="22"/>
              </w:rPr>
            </w:pPr>
            <w:r w:rsidRPr="00C218E7">
              <w:rPr>
                <w:bCs/>
                <w:sz w:val="22"/>
                <w:szCs w:val="22"/>
              </w:rPr>
              <w:t>BLUE</w:t>
            </w:r>
          </w:p>
          <w:p w14:paraId="46DB9E7E" w14:textId="77777777" w:rsidR="0000469D" w:rsidRDefault="0000469D" w:rsidP="000E7C1D">
            <w:pPr>
              <w:jc w:val="center"/>
              <w:rPr>
                <w:bCs/>
                <w:sz w:val="22"/>
                <w:szCs w:val="22"/>
              </w:rPr>
            </w:pPr>
            <w:r w:rsidRPr="00C218E7">
              <w:rPr>
                <w:bCs/>
                <w:sz w:val="22"/>
                <w:szCs w:val="22"/>
              </w:rPr>
              <w:t>(RLS)</w:t>
            </w:r>
          </w:p>
          <w:p w14:paraId="54DC15BE" w14:textId="38844F1B" w:rsidR="00A36AAA" w:rsidRPr="00C218E7" w:rsidRDefault="00A36AAA" w:rsidP="000E7C1D">
            <w:pPr>
              <w:jc w:val="center"/>
              <w:rPr>
                <w:bCs/>
                <w:sz w:val="22"/>
                <w:szCs w:val="22"/>
              </w:rPr>
            </w:pPr>
          </w:p>
        </w:tc>
      </w:tr>
      <w:tr w:rsidR="0000469D" w:rsidRPr="00C218E7" w14:paraId="1B109164" w14:textId="77777777" w:rsidTr="00C218E7">
        <w:tc>
          <w:tcPr>
            <w:tcW w:w="1848" w:type="dxa"/>
            <w:tcBorders>
              <w:top w:val="single" w:sz="4" w:space="0" w:color="auto"/>
            </w:tcBorders>
            <w:shd w:val="clear" w:color="auto" w:fill="auto"/>
            <w:vAlign w:val="center"/>
          </w:tcPr>
          <w:p w14:paraId="616285B3" w14:textId="77777777" w:rsidR="0000469D" w:rsidRPr="00C218E7" w:rsidRDefault="0000469D" w:rsidP="000E7C1D">
            <w:pPr>
              <w:jc w:val="center"/>
              <w:rPr>
                <w:sz w:val="22"/>
                <w:szCs w:val="22"/>
              </w:rPr>
            </w:pPr>
            <w:proofErr w:type="spellStart"/>
            <w:r w:rsidRPr="00C218E7">
              <w:rPr>
                <w:i/>
                <w:iCs/>
                <w:sz w:val="22"/>
                <w:szCs w:val="22"/>
              </w:rPr>
              <w:t>lnP</w:t>
            </w:r>
            <w:r w:rsidRPr="00C218E7">
              <w:rPr>
                <w:i/>
                <w:iCs/>
                <w:sz w:val="22"/>
                <w:szCs w:val="22"/>
                <w:vertAlign w:val="subscript"/>
              </w:rPr>
              <w:t>i</w:t>
            </w:r>
            <w:proofErr w:type="spellEnd"/>
          </w:p>
        </w:tc>
        <w:tc>
          <w:tcPr>
            <w:tcW w:w="1848" w:type="dxa"/>
            <w:tcBorders>
              <w:top w:val="single" w:sz="4" w:space="0" w:color="auto"/>
            </w:tcBorders>
            <w:shd w:val="clear" w:color="auto" w:fill="auto"/>
            <w:vAlign w:val="center"/>
          </w:tcPr>
          <w:p w14:paraId="1BB006DC" w14:textId="77777777" w:rsidR="0000469D" w:rsidRPr="00C218E7" w:rsidRDefault="0000469D" w:rsidP="00100DC9">
            <w:pPr>
              <w:tabs>
                <w:tab w:val="decimal" w:pos="610"/>
              </w:tabs>
              <w:rPr>
                <w:sz w:val="22"/>
                <w:szCs w:val="22"/>
              </w:rPr>
            </w:pPr>
            <w:r w:rsidRPr="00C218E7">
              <w:rPr>
                <w:sz w:val="22"/>
                <w:szCs w:val="22"/>
              </w:rPr>
              <w:t>0.818</w:t>
            </w:r>
            <w:r w:rsidRPr="00C218E7">
              <w:rPr>
                <w:sz w:val="22"/>
                <w:szCs w:val="22"/>
                <w:vertAlign w:val="superscript"/>
              </w:rPr>
              <w:t>***</w:t>
            </w:r>
          </w:p>
          <w:p w14:paraId="4B03EFCD" w14:textId="77777777" w:rsidR="0000469D" w:rsidRPr="00C218E7" w:rsidRDefault="0000469D" w:rsidP="00100DC9">
            <w:pPr>
              <w:tabs>
                <w:tab w:val="decimal" w:pos="610"/>
              </w:tabs>
              <w:rPr>
                <w:sz w:val="22"/>
                <w:szCs w:val="22"/>
              </w:rPr>
            </w:pPr>
            <w:r w:rsidRPr="00C218E7">
              <w:rPr>
                <w:sz w:val="22"/>
                <w:szCs w:val="22"/>
              </w:rPr>
              <w:t>(0.016)</w:t>
            </w:r>
          </w:p>
        </w:tc>
        <w:tc>
          <w:tcPr>
            <w:tcW w:w="1849" w:type="dxa"/>
            <w:tcBorders>
              <w:top w:val="single" w:sz="4" w:space="0" w:color="auto"/>
            </w:tcBorders>
            <w:shd w:val="clear" w:color="auto" w:fill="auto"/>
            <w:vAlign w:val="center"/>
          </w:tcPr>
          <w:p w14:paraId="7113690E" w14:textId="77777777" w:rsidR="0000469D" w:rsidRPr="00C218E7" w:rsidRDefault="0000469D" w:rsidP="00100DC9">
            <w:pPr>
              <w:tabs>
                <w:tab w:val="decimal" w:pos="595"/>
              </w:tabs>
              <w:rPr>
                <w:sz w:val="22"/>
                <w:szCs w:val="22"/>
              </w:rPr>
            </w:pPr>
            <w:r w:rsidRPr="00C218E7">
              <w:rPr>
                <w:sz w:val="22"/>
                <w:szCs w:val="22"/>
              </w:rPr>
              <w:t>0.974</w:t>
            </w:r>
            <w:r w:rsidRPr="00C218E7">
              <w:rPr>
                <w:sz w:val="22"/>
                <w:szCs w:val="22"/>
                <w:vertAlign w:val="superscript"/>
              </w:rPr>
              <w:t>***</w:t>
            </w:r>
          </w:p>
          <w:p w14:paraId="10B23945" w14:textId="77777777" w:rsidR="0000469D" w:rsidRPr="00C218E7" w:rsidRDefault="0000469D" w:rsidP="00100DC9">
            <w:pPr>
              <w:tabs>
                <w:tab w:val="decimal" w:pos="595"/>
              </w:tabs>
              <w:rPr>
                <w:sz w:val="22"/>
                <w:szCs w:val="22"/>
              </w:rPr>
            </w:pPr>
            <w:r w:rsidRPr="00C218E7">
              <w:rPr>
                <w:sz w:val="22"/>
                <w:szCs w:val="22"/>
              </w:rPr>
              <w:t>(0.206)</w:t>
            </w:r>
          </w:p>
        </w:tc>
        <w:tc>
          <w:tcPr>
            <w:tcW w:w="1848" w:type="dxa"/>
            <w:tcBorders>
              <w:top w:val="single" w:sz="4" w:space="0" w:color="auto"/>
            </w:tcBorders>
            <w:shd w:val="clear" w:color="auto" w:fill="auto"/>
            <w:vAlign w:val="center"/>
          </w:tcPr>
          <w:p w14:paraId="204BD739" w14:textId="77777777" w:rsidR="0000469D" w:rsidRPr="00C218E7" w:rsidRDefault="0000469D" w:rsidP="00100DC9">
            <w:pPr>
              <w:tabs>
                <w:tab w:val="decimal" w:pos="587"/>
              </w:tabs>
              <w:rPr>
                <w:sz w:val="22"/>
                <w:szCs w:val="22"/>
              </w:rPr>
            </w:pPr>
            <w:r w:rsidRPr="00C218E7">
              <w:rPr>
                <w:sz w:val="22"/>
                <w:szCs w:val="22"/>
              </w:rPr>
              <w:t>-</w:t>
            </w:r>
          </w:p>
        </w:tc>
        <w:tc>
          <w:tcPr>
            <w:tcW w:w="1849" w:type="dxa"/>
            <w:tcBorders>
              <w:top w:val="single" w:sz="4" w:space="0" w:color="auto"/>
            </w:tcBorders>
            <w:vAlign w:val="center"/>
          </w:tcPr>
          <w:p w14:paraId="188C604E" w14:textId="77777777" w:rsidR="0000469D" w:rsidRPr="00C218E7" w:rsidRDefault="0000469D" w:rsidP="00100DC9">
            <w:pPr>
              <w:tabs>
                <w:tab w:val="decimal" w:pos="580"/>
              </w:tabs>
              <w:rPr>
                <w:sz w:val="22"/>
                <w:szCs w:val="22"/>
              </w:rPr>
            </w:pPr>
            <w:r w:rsidRPr="00C218E7">
              <w:rPr>
                <w:sz w:val="22"/>
                <w:szCs w:val="22"/>
              </w:rPr>
              <w:t>0.666</w:t>
            </w:r>
            <w:r w:rsidRPr="00C218E7">
              <w:rPr>
                <w:sz w:val="22"/>
                <w:szCs w:val="22"/>
                <w:vertAlign w:val="superscript"/>
              </w:rPr>
              <w:t>***</w:t>
            </w:r>
          </w:p>
          <w:p w14:paraId="5C574575" w14:textId="77777777" w:rsidR="0000469D" w:rsidRPr="00C218E7" w:rsidRDefault="0000469D" w:rsidP="00100DC9">
            <w:pPr>
              <w:tabs>
                <w:tab w:val="decimal" w:pos="580"/>
              </w:tabs>
              <w:rPr>
                <w:sz w:val="22"/>
                <w:szCs w:val="22"/>
              </w:rPr>
            </w:pPr>
            <w:r w:rsidRPr="00C218E7">
              <w:rPr>
                <w:sz w:val="22"/>
                <w:szCs w:val="22"/>
              </w:rPr>
              <w:t>(0.141)</w:t>
            </w:r>
          </w:p>
        </w:tc>
      </w:tr>
      <w:tr w:rsidR="0000469D" w:rsidRPr="00C218E7" w14:paraId="63B63148" w14:textId="77777777" w:rsidTr="00C218E7">
        <w:tc>
          <w:tcPr>
            <w:tcW w:w="1848" w:type="dxa"/>
            <w:shd w:val="clear" w:color="auto" w:fill="auto"/>
            <w:vAlign w:val="center"/>
          </w:tcPr>
          <w:p w14:paraId="65A674C7" w14:textId="77777777" w:rsidR="0000469D" w:rsidRPr="00C218E7" w:rsidRDefault="0000469D" w:rsidP="000E7C1D">
            <w:pPr>
              <w:jc w:val="center"/>
              <w:rPr>
                <w:sz w:val="22"/>
                <w:szCs w:val="22"/>
              </w:rPr>
            </w:pPr>
            <w:proofErr w:type="spellStart"/>
            <w:r w:rsidRPr="00C218E7">
              <w:rPr>
                <w:i/>
                <w:iCs/>
                <w:sz w:val="22"/>
                <w:szCs w:val="22"/>
              </w:rPr>
              <w:t>lnP</w:t>
            </w:r>
            <w:r w:rsidRPr="00C218E7">
              <w:rPr>
                <w:i/>
                <w:iCs/>
                <w:sz w:val="22"/>
                <w:szCs w:val="22"/>
                <w:vertAlign w:val="subscript"/>
              </w:rPr>
              <w:t>j</w:t>
            </w:r>
            <w:proofErr w:type="spellEnd"/>
          </w:p>
        </w:tc>
        <w:tc>
          <w:tcPr>
            <w:tcW w:w="1848" w:type="dxa"/>
            <w:shd w:val="clear" w:color="auto" w:fill="auto"/>
            <w:vAlign w:val="center"/>
          </w:tcPr>
          <w:p w14:paraId="3DDAF320" w14:textId="77777777" w:rsidR="0000469D" w:rsidRPr="00C218E7" w:rsidRDefault="0000469D" w:rsidP="00100DC9">
            <w:pPr>
              <w:tabs>
                <w:tab w:val="decimal" w:pos="610"/>
              </w:tabs>
              <w:rPr>
                <w:sz w:val="22"/>
                <w:szCs w:val="22"/>
              </w:rPr>
            </w:pPr>
            <w:r w:rsidRPr="00C218E7">
              <w:rPr>
                <w:sz w:val="22"/>
                <w:szCs w:val="22"/>
              </w:rPr>
              <w:t>0.803</w:t>
            </w:r>
            <w:r w:rsidRPr="00C218E7">
              <w:rPr>
                <w:sz w:val="22"/>
                <w:szCs w:val="22"/>
                <w:vertAlign w:val="superscript"/>
              </w:rPr>
              <w:t>***</w:t>
            </w:r>
          </w:p>
          <w:p w14:paraId="13ADDDA2" w14:textId="77777777" w:rsidR="0000469D" w:rsidRPr="00C218E7" w:rsidRDefault="0000469D" w:rsidP="00100DC9">
            <w:pPr>
              <w:tabs>
                <w:tab w:val="decimal" w:pos="610"/>
              </w:tabs>
              <w:rPr>
                <w:sz w:val="22"/>
                <w:szCs w:val="22"/>
              </w:rPr>
            </w:pPr>
            <w:r w:rsidRPr="00C218E7">
              <w:rPr>
                <w:sz w:val="22"/>
                <w:szCs w:val="22"/>
              </w:rPr>
              <w:t>(0.016)</w:t>
            </w:r>
          </w:p>
        </w:tc>
        <w:tc>
          <w:tcPr>
            <w:tcW w:w="1849" w:type="dxa"/>
            <w:shd w:val="clear" w:color="auto" w:fill="auto"/>
            <w:vAlign w:val="center"/>
          </w:tcPr>
          <w:p w14:paraId="101C3C83" w14:textId="77777777" w:rsidR="0000469D" w:rsidRPr="00C218E7" w:rsidRDefault="0000469D" w:rsidP="00100DC9">
            <w:pPr>
              <w:tabs>
                <w:tab w:val="decimal" w:pos="595"/>
              </w:tabs>
              <w:rPr>
                <w:sz w:val="22"/>
                <w:szCs w:val="22"/>
              </w:rPr>
            </w:pPr>
            <w:r w:rsidRPr="00C218E7">
              <w:rPr>
                <w:sz w:val="22"/>
                <w:szCs w:val="22"/>
              </w:rPr>
              <w:t>-0.782</w:t>
            </w:r>
            <w:r w:rsidRPr="00C218E7">
              <w:rPr>
                <w:sz w:val="22"/>
                <w:szCs w:val="22"/>
                <w:vertAlign w:val="superscript"/>
              </w:rPr>
              <w:t>***</w:t>
            </w:r>
          </w:p>
          <w:p w14:paraId="264A2AF5" w14:textId="77777777" w:rsidR="0000469D" w:rsidRPr="00C218E7" w:rsidRDefault="0000469D" w:rsidP="00100DC9">
            <w:pPr>
              <w:tabs>
                <w:tab w:val="decimal" w:pos="595"/>
              </w:tabs>
              <w:rPr>
                <w:sz w:val="22"/>
                <w:szCs w:val="22"/>
              </w:rPr>
            </w:pPr>
            <w:r w:rsidRPr="00C218E7">
              <w:rPr>
                <w:sz w:val="22"/>
                <w:szCs w:val="22"/>
              </w:rPr>
              <w:t>(0.214)</w:t>
            </w:r>
          </w:p>
        </w:tc>
        <w:tc>
          <w:tcPr>
            <w:tcW w:w="1848" w:type="dxa"/>
            <w:shd w:val="clear" w:color="auto" w:fill="auto"/>
            <w:vAlign w:val="center"/>
          </w:tcPr>
          <w:p w14:paraId="065EC9C8" w14:textId="77777777" w:rsidR="0000469D" w:rsidRPr="00C218E7" w:rsidRDefault="0000469D" w:rsidP="00100DC9">
            <w:pPr>
              <w:tabs>
                <w:tab w:val="decimal" w:pos="587"/>
              </w:tabs>
              <w:rPr>
                <w:sz w:val="22"/>
                <w:szCs w:val="22"/>
              </w:rPr>
            </w:pPr>
            <w:r w:rsidRPr="00C218E7">
              <w:rPr>
                <w:sz w:val="22"/>
                <w:szCs w:val="22"/>
              </w:rPr>
              <w:t>-</w:t>
            </w:r>
          </w:p>
        </w:tc>
        <w:tc>
          <w:tcPr>
            <w:tcW w:w="1849" w:type="dxa"/>
            <w:vAlign w:val="center"/>
          </w:tcPr>
          <w:p w14:paraId="7D6FA9C9" w14:textId="77777777" w:rsidR="0000469D" w:rsidRPr="00C218E7" w:rsidRDefault="0000469D" w:rsidP="00100DC9">
            <w:pPr>
              <w:tabs>
                <w:tab w:val="decimal" w:pos="580"/>
              </w:tabs>
              <w:rPr>
                <w:sz w:val="22"/>
                <w:szCs w:val="22"/>
              </w:rPr>
            </w:pPr>
            <w:r w:rsidRPr="00C218E7">
              <w:rPr>
                <w:sz w:val="22"/>
                <w:szCs w:val="22"/>
              </w:rPr>
              <w:t>-0.531</w:t>
            </w:r>
            <w:r w:rsidRPr="00C218E7">
              <w:rPr>
                <w:sz w:val="22"/>
                <w:szCs w:val="22"/>
                <w:vertAlign w:val="superscript"/>
              </w:rPr>
              <w:t>***</w:t>
            </w:r>
          </w:p>
          <w:p w14:paraId="3FD183B3" w14:textId="77777777" w:rsidR="0000469D" w:rsidRPr="00C218E7" w:rsidRDefault="0000469D" w:rsidP="00100DC9">
            <w:pPr>
              <w:tabs>
                <w:tab w:val="decimal" w:pos="580"/>
              </w:tabs>
              <w:rPr>
                <w:sz w:val="22"/>
                <w:szCs w:val="22"/>
              </w:rPr>
            </w:pPr>
            <w:r w:rsidRPr="00C218E7">
              <w:rPr>
                <w:sz w:val="22"/>
                <w:szCs w:val="22"/>
              </w:rPr>
              <w:t>(0.147)</w:t>
            </w:r>
          </w:p>
        </w:tc>
      </w:tr>
      <w:tr w:rsidR="0000469D" w:rsidRPr="00C218E7" w14:paraId="0CA5BBB1" w14:textId="77777777" w:rsidTr="00C218E7">
        <w:tc>
          <w:tcPr>
            <w:tcW w:w="1848" w:type="dxa"/>
            <w:shd w:val="clear" w:color="auto" w:fill="auto"/>
            <w:vAlign w:val="center"/>
          </w:tcPr>
          <w:p w14:paraId="5F8D8D64" w14:textId="77777777" w:rsidR="0000469D" w:rsidRPr="00C218E7" w:rsidRDefault="0000469D" w:rsidP="000E7C1D">
            <w:pPr>
              <w:jc w:val="center"/>
              <w:rPr>
                <w:sz w:val="22"/>
                <w:szCs w:val="22"/>
              </w:rPr>
            </w:pPr>
            <w:proofErr w:type="spellStart"/>
            <w:r w:rsidRPr="00C218E7">
              <w:rPr>
                <w:i/>
                <w:iCs/>
                <w:sz w:val="22"/>
                <w:szCs w:val="22"/>
              </w:rPr>
              <w:t>g</w:t>
            </w:r>
            <w:r w:rsidRPr="00C218E7">
              <w:rPr>
                <w:i/>
                <w:iCs/>
                <w:sz w:val="22"/>
                <w:szCs w:val="22"/>
                <w:vertAlign w:val="subscript"/>
              </w:rPr>
              <w:t>i</w:t>
            </w:r>
            <w:proofErr w:type="spellEnd"/>
          </w:p>
        </w:tc>
        <w:tc>
          <w:tcPr>
            <w:tcW w:w="1848" w:type="dxa"/>
            <w:shd w:val="clear" w:color="auto" w:fill="auto"/>
            <w:vAlign w:val="center"/>
          </w:tcPr>
          <w:p w14:paraId="5476274B" w14:textId="77777777" w:rsidR="0000469D" w:rsidRPr="00C218E7" w:rsidRDefault="0000469D" w:rsidP="00100DC9">
            <w:pPr>
              <w:tabs>
                <w:tab w:val="decimal" w:pos="610"/>
              </w:tabs>
              <w:rPr>
                <w:sz w:val="22"/>
                <w:szCs w:val="22"/>
              </w:rPr>
            </w:pPr>
            <w:r w:rsidRPr="00C218E7">
              <w:rPr>
                <w:sz w:val="22"/>
                <w:szCs w:val="22"/>
              </w:rPr>
              <w:t>-</w:t>
            </w:r>
          </w:p>
        </w:tc>
        <w:tc>
          <w:tcPr>
            <w:tcW w:w="1849" w:type="dxa"/>
            <w:shd w:val="clear" w:color="auto" w:fill="auto"/>
            <w:vAlign w:val="center"/>
          </w:tcPr>
          <w:p w14:paraId="53CE4CA6" w14:textId="77777777" w:rsidR="0000469D" w:rsidRPr="00C218E7" w:rsidRDefault="0000469D" w:rsidP="00100DC9">
            <w:pPr>
              <w:tabs>
                <w:tab w:val="decimal" w:pos="595"/>
              </w:tabs>
              <w:rPr>
                <w:sz w:val="22"/>
                <w:szCs w:val="22"/>
              </w:rPr>
            </w:pPr>
            <w:r w:rsidRPr="00C218E7">
              <w:rPr>
                <w:sz w:val="22"/>
                <w:szCs w:val="22"/>
              </w:rPr>
              <w:t>-</w:t>
            </w:r>
          </w:p>
        </w:tc>
        <w:tc>
          <w:tcPr>
            <w:tcW w:w="1848" w:type="dxa"/>
            <w:shd w:val="clear" w:color="auto" w:fill="auto"/>
            <w:vAlign w:val="center"/>
          </w:tcPr>
          <w:p w14:paraId="2C5F656E" w14:textId="77777777" w:rsidR="0000469D" w:rsidRPr="00C218E7" w:rsidRDefault="0000469D" w:rsidP="00100DC9">
            <w:pPr>
              <w:tabs>
                <w:tab w:val="decimal" w:pos="587"/>
              </w:tabs>
              <w:rPr>
                <w:sz w:val="22"/>
                <w:szCs w:val="22"/>
              </w:rPr>
            </w:pPr>
            <w:r w:rsidRPr="00C218E7">
              <w:rPr>
                <w:sz w:val="22"/>
                <w:szCs w:val="22"/>
              </w:rPr>
              <w:t>1.051</w:t>
            </w:r>
            <w:r w:rsidRPr="00C218E7">
              <w:rPr>
                <w:sz w:val="22"/>
                <w:szCs w:val="22"/>
                <w:vertAlign w:val="superscript"/>
              </w:rPr>
              <w:t>***</w:t>
            </w:r>
          </w:p>
          <w:p w14:paraId="62C300BB" w14:textId="77777777" w:rsidR="0000469D" w:rsidRPr="00C218E7" w:rsidRDefault="0000469D" w:rsidP="00100DC9">
            <w:pPr>
              <w:tabs>
                <w:tab w:val="decimal" w:pos="587"/>
              </w:tabs>
              <w:rPr>
                <w:sz w:val="22"/>
                <w:szCs w:val="22"/>
              </w:rPr>
            </w:pPr>
            <w:r w:rsidRPr="00C218E7">
              <w:rPr>
                <w:sz w:val="22"/>
                <w:szCs w:val="22"/>
              </w:rPr>
              <w:t>(0.228)</w:t>
            </w:r>
          </w:p>
        </w:tc>
        <w:tc>
          <w:tcPr>
            <w:tcW w:w="1849" w:type="dxa"/>
            <w:vAlign w:val="center"/>
          </w:tcPr>
          <w:p w14:paraId="6DFFE29E" w14:textId="77777777" w:rsidR="0000469D" w:rsidRPr="00C218E7" w:rsidRDefault="0000469D" w:rsidP="00100DC9">
            <w:pPr>
              <w:tabs>
                <w:tab w:val="decimal" w:pos="580"/>
              </w:tabs>
              <w:rPr>
                <w:sz w:val="22"/>
                <w:szCs w:val="22"/>
              </w:rPr>
            </w:pPr>
            <w:r w:rsidRPr="00C218E7">
              <w:rPr>
                <w:sz w:val="22"/>
                <w:szCs w:val="22"/>
              </w:rPr>
              <w:t>-</w:t>
            </w:r>
          </w:p>
        </w:tc>
      </w:tr>
      <w:tr w:rsidR="0000469D" w:rsidRPr="00C218E7" w14:paraId="6465AC43" w14:textId="77777777" w:rsidTr="00C218E7">
        <w:tc>
          <w:tcPr>
            <w:tcW w:w="1848" w:type="dxa"/>
            <w:shd w:val="clear" w:color="auto" w:fill="auto"/>
            <w:vAlign w:val="center"/>
          </w:tcPr>
          <w:p w14:paraId="4D1E252E" w14:textId="77777777" w:rsidR="0000469D" w:rsidRPr="00C218E7" w:rsidRDefault="0000469D" w:rsidP="000E7C1D">
            <w:pPr>
              <w:jc w:val="center"/>
              <w:rPr>
                <w:sz w:val="22"/>
                <w:szCs w:val="22"/>
              </w:rPr>
            </w:pPr>
            <w:proofErr w:type="spellStart"/>
            <w:r w:rsidRPr="00C218E7">
              <w:rPr>
                <w:i/>
                <w:iCs/>
                <w:sz w:val="22"/>
                <w:szCs w:val="22"/>
              </w:rPr>
              <w:t>g</w:t>
            </w:r>
            <w:r w:rsidRPr="00C218E7">
              <w:rPr>
                <w:i/>
                <w:iCs/>
                <w:sz w:val="22"/>
                <w:szCs w:val="22"/>
                <w:vertAlign w:val="subscript"/>
              </w:rPr>
              <w:t>j</w:t>
            </w:r>
            <w:proofErr w:type="spellEnd"/>
          </w:p>
        </w:tc>
        <w:tc>
          <w:tcPr>
            <w:tcW w:w="1848" w:type="dxa"/>
            <w:shd w:val="clear" w:color="auto" w:fill="auto"/>
            <w:vAlign w:val="center"/>
          </w:tcPr>
          <w:p w14:paraId="1885322D" w14:textId="77777777" w:rsidR="0000469D" w:rsidRPr="00C218E7" w:rsidRDefault="0000469D" w:rsidP="00100DC9">
            <w:pPr>
              <w:tabs>
                <w:tab w:val="decimal" w:pos="610"/>
              </w:tabs>
              <w:rPr>
                <w:sz w:val="22"/>
                <w:szCs w:val="22"/>
              </w:rPr>
            </w:pPr>
            <w:r w:rsidRPr="00C218E7">
              <w:rPr>
                <w:sz w:val="22"/>
                <w:szCs w:val="22"/>
              </w:rPr>
              <w:t>-</w:t>
            </w:r>
          </w:p>
        </w:tc>
        <w:tc>
          <w:tcPr>
            <w:tcW w:w="1849" w:type="dxa"/>
            <w:shd w:val="clear" w:color="auto" w:fill="auto"/>
            <w:vAlign w:val="center"/>
          </w:tcPr>
          <w:p w14:paraId="48E2A15E" w14:textId="77777777" w:rsidR="0000469D" w:rsidRPr="00C218E7" w:rsidRDefault="0000469D" w:rsidP="00100DC9">
            <w:pPr>
              <w:tabs>
                <w:tab w:val="decimal" w:pos="595"/>
              </w:tabs>
              <w:rPr>
                <w:sz w:val="22"/>
                <w:szCs w:val="22"/>
              </w:rPr>
            </w:pPr>
            <w:r w:rsidRPr="00C218E7">
              <w:rPr>
                <w:sz w:val="22"/>
                <w:szCs w:val="22"/>
              </w:rPr>
              <w:t>-</w:t>
            </w:r>
          </w:p>
        </w:tc>
        <w:tc>
          <w:tcPr>
            <w:tcW w:w="1848" w:type="dxa"/>
            <w:shd w:val="clear" w:color="auto" w:fill="auto"/>
            <w:vAlign w:val="center"/>
          </w:tcPr>
          <w:p w14:paraId="395575C1" w14:textId="77777777" w:rsidR="0000469D" w:rsidRPr="00C218E7" w:rsidRDefault="0000469D" w:rsidP="00100DC9">
            <w:pPr>
              <w:tabs>
                <w:tab w:val="decimal" w:pos="587"/>
              </w:tabs>
              <w:rPr>
                <w:sz w:val="22"/>
                <w:szCs w:val="22"/>
              </w:rPr>
            </w:pPr>
            <w:r w:rsidRPr="00C218E7">
              <w:rPr>
                <w:sz w:val="22"/>
                <w:szCs w:val="22"/>
              </w:rPr>
              <w:t>-0.824</w:t>
            </w:r>
            <w:r w:rsidRPr="00C218E7">
              <w:rPr>
                <w:sz w:val="22"/>
                <w:szCs w:val="22"/>
                <w:vertAlign w:val="superscript"/>
              </w:rPr>
              <w:t>***</w:t>
            </w:r>
          </w:p>
          <w:p w14:paraId="1E934874" w14:textId="77777777" w:rsidR="0000469D" w:rsidRPr="00C218E7" w:rsidRDefault="0000469D" w:rsidP="00100DC9">
            <w:pPr>
              <w:tabs>
                <w:tab w:val="decimal" w:pos="587"/>
              </w:tabs>
              <w:rPr>
                <w:sz w:val="22"/>
                <w:szCs w:val="22"/>
              </w:rPr>
            </w:pPr>
            <w:r w:rsidRPr="00C218E7">
              <w:rPr>
                <w:sz w:val="22"/>
                <w:szCs w:val="22"/>
              </w:rPr>
              <w:t>(0.228)</w:t>
            </w:r>
          </w:p>
        </w:tc>
        <w:tc>
          <w:tcPr>
            <w:tcW w:w="1849" w:type="dxa"/>
            <w:vAlign w:val="center"/>
          </w:tcPr>
          <w:p w14:paraId="134F4DBB" w14:textId="77777777" w:rsidR="0000469D" w:rsidRPr="00C218E7" w:rsidRDefault="0000469D" w:rsidP="00100DC9">
            <w:pPr>
              <w:tabs>
                <w:tab w:val="decimal" w:pos="580"/>
              </w:tabs>
              <w:rPr>
                <w:sz w:val="22"/>
                <w:szCs w:val="22"/>
              </w:rPr>
            </w:pPr>
            <w:r w:rsidRPr="00C218E7">
              <w:rPr>
                <w:sz w:val="22"/>
                <w:szCs w:val="22"/>
              </w:rPr>
              <w:t>-</w:t>
            </w:r>
          </w:p>
        </w:tc>
      </w:tr>
      <w:tr w:rsidR="0000469D" w:rsidRPr="00C218E7" w14:paraId="019B8046" w14:textId="77777777" w:rsidTr="00C218E7">
        <w:tc>
          <w:tcPr>
            <w:tcW w:w="1848" w:type="dxa"/>
            <w:shd w:val="clear" w:color="auto" w:fill="auto"/>
            <w:vAlign w:val="center"/>
          </w:tcPr>
          <w:p w14:paraId="2B8E826C" w14:textId="77777777" w:rsidR="0000469D" w:rsidRPr="00C218E7" w:rsidRDefault="0000469D" w:rsidP="000E7C1D">
            <w:pPr>
              <w:jc w:val="center"/>
              <w:rPr>
                <w:sz w:val="22"/>
                <w:szCs w:val="22"/>
              </w:rPr>
            </w:pPr>
            <w:proofErr w:type="spellStart"/>
            <w:r w:rsidRPr="00C218E7">
              <w:rPr>
                <w:i/>
                <w:iCs/>
                <w:sz w:val="22"/>
                <w:szCs w:val="22"/>
              </w:rPr>
              <w:t>lnD</w:t>
            </w:r>
            <w:r w:rsidRPr="00C218E7">
              <w:rPr>
                <w:i/>
                <w:iCs/>
                <w:sz w:val="22"/>
                <w:szCs w:val="22"/>
                <w:vertAlign w:val="subscript"/>
              </w:rPr>
              <w:t>ij</w:t>
            </w:r>
            <w:proofErr w:type="spellEnd"/>
          </w:p>
        </w:tc>
        <w:tc>
          <w:tcPr>
            <w:tcW w:w="1848" w:type="dxa"/>
            <w:shd w:val="clear" w:color="auto" w:fill="auto"/>
            <w:vAlign w:val="center"/>
          </w:tcPr>
          <w:p w14:paraId="152E3B49" w14:textId="77777777" w:rsidR="0000469D" w:rsidRPr="00C218E7" w:rsidRDefault="0000469D" w:rsidP="00100DC9">
            <w:pPr>
              <w:tabs>
                <w:tab w:val="decimal" w:pos="610"/>
              </w:tabs>
              <w:rPr>
                <w:sz w:val="22"/>
                <w:szCs w:val="22"/>
              </w:rPr>
            </w:pPr>
            <w:r w:rsidRPr="00C218E7">
              <w:rPr>
                <w:sz w:val="22"/>
                <w:szCs w:val="22"/>
              </w:rPr>
              <w:t>-0.503</w:t>
            </w:r>
            <w:r w:rsidRPr="00C218E7">
              <w:rPr>
                <w:sz w:val="22"/>
                <w:szCs w:val="22"/>
                <w:vertAlign w:val="superscript"/>
              </w:rPr>
              <w:t>***</w:t>
            </w:r>
          </w:p>
          <w:p w14:paraId="29A50F07" w14:textId="77777777" w:rsidR="0000469D" w:rsidRPr="00C218E7" w:rsidRDefault="0000469D" w:rsidP="00100DC9">
            <w:pPr>
              <w:tabs>
                <w:tab w:val="decimal" w:pos="610"/>
              </w:tabs>
              <w:rPr>
                <w:sz w:val="22"/>
                <w:szCs w:val="22"/>
              </w:rPr>
            </w:pPr>
            <w:r w:rsidRPr="00C218E7">
              <w:rPr>
                <w:sz w:val="22"/>
                <w:szCs w:val="22"/>
              </w:rPr>
              <w:t>(0.035)</w:t>
            </w:r>
          </w:p>
        </w:tc>
        <w:tc>
          <w:tcPr>
            <w:tcW w:w="1849" w:type="dxa"/>
            <w:shd w:val="clear" w:color="auto" w:fill="auto"/>
            <w:vAlign w:val="center"/>
          </w:tcPr>
          <w:p w14:paraId="3C3E392A" w14:textId="77777777" w:rsidR="0000469D" w:rsidRPr="00C218E7" w:rsidRDefault="0000469D" w:rsidP="00100DC9">
            <w:pPr>
              <w:tabs>
                <w:tab w:val="decimal" w:pos="595"/>
              </w:tabs>
              <w:rPr>
                <w:sz w:val="22"/>
                <w:szCs w:val="22"/>
              </w:rPr>
            </w:pPr>
            <w:r w:rsidRPr="00C218E7">
              <w:rPr>
                <w:sz w:val="22"/>
                <w:szCs w:val="22"/>
              </w:rPr>
              <w:t>-0.782</w:t>
            </w:r>
            <w:r w:rsidRPr="00C218E7">
              <w:rPr>
                <w:sz w:val="22"/>
                <w:szCs w:val="22"/>
                <w:vertAlign w:val="superscript"/>
              </w:rPr>
              <w:t>***</w:t>
            </w:r>
          </w:p>
          <w:p w14:paraId="3A23CDE2" w14:textId="77777777" w:rsidR="0000469D" w:rsidRPr="00C218E7" w:rsidRDefault="0000469D" w:rsidP="00100DC9">
            <w:pPr>
              <w:tabs>
                <w:tab w:val="decimal" w:pos="595"/>
              </w:tabs>
              <w:rPr>
                <w:sz w:val="22"/>
                <w:szCs w:val="22"/>
              </w:rPr>
            </w:pPr>
            <w:r w:rsidRPr="00C218E7">
              <w:rPr>
                <w:sz w:val="22"/>
                <w:szCs w:val="22"/>
              </w:rPr>
              <w:t>(0.038)</w:t>
            </w:r>
          </w:p>
        </w:tc>
        <w:tc>
          <w:tcPr>
            <w:tcW w:w="1848" w:type="dxa"/>
            <w:shd w:val="clear" w:color="auto" w:fill="auto"/>
            <w:vAlign w:val="center"/>
          </w:tcPr>
          <w:p w14:paraId="0A9E37D6" w14:textId="77777777" w:rsidR="0000469D" w:rsidRPr="00C218E7" w:rsidRDefault="0000469D" w:rsidP="00100DC9">
            <w:pPr>
              <w:tabs>
                <w:tab w:val="decimal" w:pos="587"/>
              </w:tabs>
              <w:rPr>
                <w:sz w:val="22"/>
                <w:szCs w:val="22"/>
              </w:rPr>
            </w:pPr>
            <w:r w:rsidRPr="00C218E7">
              <w:rPr>
                <w:sz w:val="22"/>
                <w:szCs w:val="22"/>
              </w:rPr>
              <w:t>-0.782</w:t>
            </w:r>
            <w:r w:rsidRPr="00C218E7">
              <w:rPr>
                <w:sz w:val="22"/>
                <w:szCs w:val="22"/>
                <w:vertAlign w:val="superscript"/>
              </w:rPr>
              <w:t>***</w:t>
            </w:r>
          </w:p>
          <w:p w14:paraId="72D0D352" w14:textId="77777777" w:rsidR="0000469D" w:rsidRPr="00C218E7" w:rsidRDefault="0000469D" w:rsidP="00100DC9">
            <w:pPr>
              <w:tabs>
                <w:tab w:val="decimal" w:pos="587"/>
              </w:tabs>
              <w:rPr>
                <w:sz w:val="22"/>
                <w:szCs w:val="22"/>
              </w:rPr>
            </w:pPr>
            <w:r w:rsidRPr="00C218E7">
              <w:rPr>
                <w:sz w:val="22"/>
                <w:szCs w:val="22"/>
              </w:rPr>
              <w:t>(0.033)</w:t>
            </w:r>
          </w:p>
        </w:tc>
        <w:tc>
          <w:tcPr>
            <w:tcW w:w="1849" w:type="dxa"/>
            <w:vAlign w:val="center"/>
          </w:tcPr>
          <w:p w14:paraId="5047F509" w14:textId="77777777" w:rsidR="0000469D" w:rsidRPr="00C218E7" w:rsidRDefault="0000469D" w:rsidP="00100DC9">
            <w:pPr>
              <w:tabs>
                <w:tab w:val="decimal" w:pos="580"/>
              </w:tabs>
              <w:rPr>
                <w:sz w:val="22"/>
                <w:szCs w:val="22"/>
              </w:rPr>
            </w:pPr>
            <w:r w:rsidRPr="00C218E7">
              <w:rPr>
                <w:sz w:val="22"/>
                <w:szCs w:val="22"/>
              </w:rPr>
              <w:t>-0.782</w:t>
            </w:r>
            <w:r w:rsidRPr="00C218E7">
              <w:rPr>
                <w:sz w:val="22"/>
                <w:szCs w:val="22"/>
                <w:vertAlign w:val="superscript"/>
              </w:rPr>
              <w:t>***</w:t>
            </w:r>
          </w:p>
          <w:p w14:paraId="73904B09" w14:textId="77777777" w:rsidR="0000469D" w:rsidRPr="00C218E7" w:rsidRDefault="0000469D" w:rsidP="00100DC9">
            <w:pPr>
              <w:tabs>
                <w:tab w:val="decimal" w:pos="580"/>
              </w:tabs>
              <w:rPr>
                <w:sz w:val="22"/>
                <w:szCs w:val="22"/>
              </w:rPr>
            </w:pPr>
            <w:r w:rsidRPr="00C218E7">
              <w:rPr>
                <w:sz w:val="22"/>
                <w:szCs w:val="22"/>
              </w:rPr>
              <w:t>(0.038)</w:t>
            </w:r>
          </w:p>
        </w:tc>
      </w:tr>
      <w:tr w:rsidR="0000469D" w:rsidRPr="00C218E7" w14:paraId="6CBE8CF9" w14:textId="77777777" w:rsidTr="00C218E7">
        <w:tc>
          <w:tcPr>
            <w:tcW w:w="1848" w:type="dxa"/>
            <w:shd w:val="clear" w:color="auto" w:fill="auto"/>
            <w:vAlign w:val="center"/>
          </w:tcPr>
          <w:p w14:paraId="4594B567" w14:textId="77777777" w:rsidR="0000469D" w:rsidRPr="00C218E7" w:rsidRDefault="0000469D" w:rsidP="000E7C1D">
            <w:pPr>
              <w:jc w:val="center"/>
              <w:rPr>
                <w:sz w:val="22"/>
                <w:szCs w:val="22"/>
              </w:rPr>
            </w:pPr>
            <w:r w:rsidRPr="00C218E7">
              <w:rPr>
                <w:sz w:val="22"/>
                <w:szCs w:val="22"/>
              </w:rPr>
              <w:t>Adj. R</w:t>
            </w:r>
            <w:r w:rsidRPr="00C218E7">
              <w:rPr>
                <w:sz w:val="22"/>
                <w:szCs w:val="22"/>
                <w:vertAlign w:val="superscript"/>
              </w:rPr>
              <w:t>2</w:t>
            </w:r>
          </w:p>
        </w:tc>
        <w:tc>
          <w:tcPr>
            <w:tcW w:w="1848" w:type="dxa"/>
            <w:shd w:val="clear" w:color="auto" w:fill="auto"/>
            <w:vAlign w:val="center"/>
          </w:tcPr>
          <w:p w14:paraId="74FFFE31" w14:textId="77777777" w:rsidR="0000469D" w:rsidRPr="00C218E7" w:rsidRDefault="0000469D" w:rsidP="00100DC9">
            <w:pPr>
              <w:tabs>
                <w:tab w:val="decimal" w:pos="610"/>
              </w:tabs>
              <w:rPr>
                <w:sz w:val="22"/>
                <w:szCs w:val="22"/>
              </w:rPr>
            </w:pPr>
            <w:r w:rsidRPr="00C218E7">
              <w:rPr>
                <w:sz w:val="22"/>
                <w:szCs w:val="22"/>
              </w:rPr>
              <w:t>0.888</w:t>
            </w:r>
          </w:p>
        </w:tc>
        <w:tc>
          <w:tcPr>
            <w:tcW w:w="1849" w:type="dxa"/>
            <w:shd w:val="clear" w:color="auto" w:fill="auto"/>
            <w:vAlign w:val="center"/>
          </w:tcPr>
          <w:p w14:paraId="1BC797F0" w14:textId="77777777" w:rsidR="0000469D" w:rsidRPr="00C218E7" w:rsidRDefault="0000469D" w:rsidP="00100DC9">
            <w:pPr>
              <w:tabs>
                <w:tab w:val="decimal" w:pos="595"/>
              </w:tabs>
              <w:rPr>
                <w:sz w:val="22"/>
                <w:szCs w:val="22"/>
              </w:rPr>
            </w:pPr>
            <w:r w:rsidRPr="00C218E7">
              <w:rPr>
                <w:sz w:val="22"/>
                <w:szCs w:val="22"/>
              </w:rPr>
              <w:t>0.948</w:t>
            </w:r>
          </w:p>
        </w:tc>
        <w:tc>
          <w:tcPr>
            <w:tcW w:w="1848" w:type="dxa"/>
            <w:shd w:val="clear" w:color="auto" w:fill="auto"/>
            <w:vAlign w:val="center"/>
          </w:tcPr>
          <w:p w14:paraId="531C88A9" w14:textId="77777777" w:rsidR="0000469D" w:rsidRPr="00C218E7" w:rsidRDefault="0000469D" w:rsidP="00100DC9">
            <w:pPr>
              <w:tabs>
                <w:tab w:val="decimal" w:pos="587"/>
              </w:tabs>
              <w:rPr>
                <w:sz w:val="22"/>
                <w:szCs w:val="22"/>
              </w:rPr>
            </w:pPr>
            <w:r w:rsidRPr="00C218E7">
              <w:rPr>
                <w:sz w:val="22"/>
                <w:szCs w:val="22"/>
              </w:rPr>
              <w:t>0.948</w:t>
            </w:r>
          </w:p>
        </w:tc>
        <w:tc>
          <w:tcPr>
            <w:tcW w:w="1849" w:type="dxa"/>
            <w:vAlign w:val="center"/>
          </w:tcPr>
          <w:p w14:paraId="08B39743" w14:textId="77777777" w:rsidR="0000469D" w:rsidRPr="00C218E7" w:rsidRDefault="0000469D" w:rsidP="00100DC9">
            <w:pPr>
              <w:tabs>
                <w:tab w:val="decimal" w:pos="580"/>
              </w:tabs>
              <w:rPr>
                <w:sz w:val="22"/>
                <w:szCs w:val="22"/>
              </w:rPr>
            </w:pPr>
            <w:r w:rsidRPr="00C218E7">
              <w:rPr>
                <w:sz w:val="22"/>
                <w:szCs w:val="22"/>
              </w:rPr>
              <w:t>-</w:t>
            </w:r>
          </w:p>
        </w:tc>
      </w:tr>
    </w:tbl>
    <w:p w14:paraId="024E85FA" w14:textId="77777777" w:rsidR="00A36AAA" w:rsidRPr="00A36AAA" w:rsidRDefault="00A36AAA" w:rsidP="0000469D">
      <w:pPr>
        <w:rPr>
          <w:i/>
          <w:sz w:val="6"/>
          <w:szCs w:val="6"/>
        </w:rPr>
      </w:pPr>
    </w:p>
    <w:p w14:paraId="77C67B3E" w14:textId="291E1669" w:rsidR="0000469D" w:rsidRPr="00C218E7" w:rsidRDefault="00C218E7" w:rsidP="0000469D">
      <w:pPr>
        <w:rPr>
          <w:sz w:val="20"/>
          <w:szCs w:val="20"/>
        </w:rPr>
      </w:pPr>
      <w:r>
        <w:rPr>
          <w:i/>
          <w:sz w:val="20"/>
          <w:szCs w:val="20"/>
        </w:rPr>
        <w:t xml:space="preserve">Note: </w:t>
      </w:r>
      <w:r w:rsidR="0000469D" w:rsidRPr="00C218E7">
        <w:rPr>
          <w:sz w:val="20"/>
          <w:szCs w:val="20"/>
        </w:rPr>
        <w:t xml:space="preserve">Robust standard errors in parentheses; </w:t>
      </w:r>
      <w:r w:rsidR="0000469D" w:rsidRPr="00C218E7">
        <w:rPr>
          <w:i/>
          <w:sz w:val="20"/>
          <w:szCs w:val="20"/>
        </w:rPr>
        <w:t>n</w:t>
      </w:r>
      <w:r w:rsidR="0000469D" w:rsidRPr="00C218E7">
        <w:rPr>
          <w:sz w:val="20"/>
          <w:szCs w:val="20"/>
        </w:rPr>
        <w:t xml:space="preserve">=960; </w:t>
      </w:r>
      <w:r w:rsidR="0000469D" w:rsidRPr="00C218E7">
        <w:rPr>
          <w:sz w:val="20"/>
          <w:szCs w:val="20"/>
          <w:vertAlign w:val="superscript"/>
        </w:rPr>
        <w:t>***</w:t>
      </w:r>
      <w:r w:rsidR="0000469D" w:rsidRPr="00C218E7">
        <w:rPr>
          <w:sz w:val="20"/>
          <w:szCs w:val="20"/>
        </w:rPr>
        <w:t xml:space="preserve"> </w:t>
      </w:r>
      <w:r w:rsidR="0000469D" w:rsidRPr="00C218E7">
        <w:rPr>
          <w:i/>
          <w:sz w:val="20"/>
          <w:szCs w:val="20"/>
        </w:rPr>
        <w:t>p</w:t>
      </w:r>
      <w:r w:rsidR="0000469D" w:rsidRPr="00C218E7">
        <w:rPr>
          <w:sz w:val="20"/>
          <w:szCs w:val="20"/>
        </w:rPr>
        <w:t xml:space="preserve">&lt;0.01; </w:t>
      </w:r>
      <w:r w:rsidR="0000469D" w:rsidRPr="00C218E7">
        <w:rPr>
          <w:sz w:val="20"/>
          <w:szCs w:val="20"/>
          <w:vertAlign w:val="superscript"/>
        </w:rPr>
        <w:t>**</w:t>
      </w:r>
      <w:r w:rsidR="0000469D" w:rsidRPr="00C218E7">
        <w:rPr>
          <w:sz w:val="20"/>
          <w:szCs w:val="20"/>
        </w:rPr>
        <w:t xml:space="preserve"> </w:t>
      </w:r>
      <w:r w:rsidR="0000469D" w:rsidRPr="00C218E7">
        <w:rPr>
          <w:i/>
          <w:sz w:val="20"/>
          <w:szCs w:val="20"/>
        </w:rPr>
        <w:t>p</w:t>
      </w:r>
      <w:r w:rsidR="0000469D" w:rsidRPr="00C218E7">
        <w:rPr>
          <w:sz w:val="20"/>
          <w:szCs w:val="20"/>
        </w:rPr>
        <w:t xml:space="preserve">&lt;0.05; </w:t>
      </w:r>
      <w:r w:rsidR="0000469D" w:rsidRPr="00C218E7">
        <w:rPr>
          <w:sz w:val="20"/>
          <w:szCs w:val="20"/>
          <w:vertAlign w:val="superscript"/>
        </w:rPr>
        <w:t>*</w:t>
      </w:r>
      <w:r w:rsidR="0000469D" w:rsidRPr="00C218E7">
        <w:rPr>
          <w:sz w:val="20"/>
          <w:szCs w:val="20"/>
        </w:rPr>
        <w:t xml:space="preserve"> </w:t>
      </w:r>
      <w:r w:rsidR="0000469D" w:rsidRPr="00C218E7">
        <w:rPr>
          <w:i/>
          <w:sz w:val="20"/>
          <w:szCs w:val="20"/>
        </w:rPr>
        <w:t>p</w:t>
      </w:r>
      <w:r w:rsidR="0000469D" w:rsidRPr="00C218E7">
        <w:rPr>
          <w:sz w:val="20"/>
          <w:szCs w:val="20"/>
        </w:rPr>
        <w:t>&lt;0.1.</w:t>
      </w:r>
    </w:p>
    <w:p w14:paraId="37276F94" w14:textId="77777777" w:rsidR="0000469D" w:rsidRPr="00A6111F" w:rsidRDefault="0000469D" w:rsidP="00A6111F">
      <w:pPr>
        <w:spacing w:line="288" w:lineRule="auto"/>
        <w:ind w:firstLine="720"/>
        <w:jc w:val="both"/>
        <w:rPr>
          <w:rFonts w:asciiTheme="majorBidi" w:eastAsiaTheme="minorEastAsia" w:hAnsiTheme="majorBidi" w:cstheme="majorBidi"/>
          <w:lang w:val="en-NZ" w:eastAsia="zh-CN"/>
        </w:rPr>
      </w:pPr>
    </w:p>
    <w:p w14:paraId="3BB537FC" w14:textId="77777777" w:rsidR="00100DC9" w:rsidRDefault="00100DC9" w:rsidP="0000469D">
      <w:pPr>
        <w:spacing w:line="288" w:lineRule="auto"/>
        <w:ind w:firstLine="720"/>
        <w:jc w:val="both"/>
        <w:rPr>
          <w:rFonts w:asciiTheme="majorBidi" w:eastAsiaTheme="minorEastAsia" w:hAnsiTheme="majorBidi" w:cstheme="majorBidi"/>
          <w:lang w:val="en-NZ" w:eastAsia="zh-CN"/>
        </w:rPr>
      </w:pPr>
    </w:p>
    <w:p w14:paraId="18DF2081" w14:textId="7280366F" w:rsidR="0000469D" w:rsidRDefault="0000469D" w:rsidP="0000469D">
      <w:pPr>
        <w:spacing w:line="288" w:lineRule="auto"/>
        <w:ind w:firstLine="720"/>
        <w:jc w:val="both"/>
        <w:rPr>
          <w:rFonts w:asciiTheme="majorBidi" w:eastAsiaTheme="minorEastAsia" w:hAnsiTheme="majorBidi" w:cstheme="majorBidi"/>
          <w:lang w:val="en-NZ" w:eastAsia="zh-CN"/>
        </w:rPr>
      </w:pPr>
      <w:r w:rsidRPr="0000469D">
        <w:rPr>
          <w:rFonts w:asciiTheme="majorBidi" w:eastAsiaTheme="minorEastAsia" w:hAnsiTheme="majorBidi" w:cstheme="majorBidi"/>
          <w:lang w:val="en-NZ" w:eastAsia="zh-CN"/>
        </w:rPr>
        <w:t xml:space="preserve">All coefficients in Table 1 are highly statistically significant. Comparing the coefficients between the OLS (1) and FE (2) models highlights one substantial difference – the coefficient on the destination population is positive and statistically significant in the OLS specification, but negative and statistically significant in the FE specification. This change in coefficients could be construed as demonstrating a lack of robustness in the estimates. However, based on the exposition of our specification earlier, it is clear that the coefficients on population </w:t>
      </w:r>
      <w:r w:rsidRPr="0000469D">
        <w:rPr>
          <w:rFonts w:asciiTheme="majorBidi" w:eastAsiaTheme="minorEastAsia" w:hAnsiTheme="majorBidi" w:cstheme="majorBidi"/>
          <w:lang w:val="en-NZ" w:eastAsia="zh-CN"/>
        </w:rPr>
        <w:lastRenderedPageBreak/>
        <w:t>variables cannot be compared directly. The negative sign on population in the FE specification simply suggests that higher population growth rates in the destination are associated with smaller migration flows. As described above, our results are consistent with inward migration being constrained, perhaps by unavailability of a suitable quantity of affordable housing for migrants, or competition between internal and international in-migrants for the housing that is available. Moreover, this result is consistent with the model in Column (3), where the model is re-specified in growth rates. The results in column (4) for the BLUE estimator demonstrate the degree of bias in the OLS and FE estimators for the DGP in Equation (5) – the coefficients on population are much smaller with the BLUE estimator, suggesting that other estimators substantially over-state the effect of population on migration</w:t>
      </w:r>
      <w:r w:rsidR="00A6111F" w:rsidRPr="00A6111F">
        <w:rPr>
          <w:rFonts w:asciiTheme="majorBidi" w:eastAsiaTheme="minorEastAsia" w:hAnsiTheme="majorBidi" w:cstheme="majorBidi"/>
          <w:lang w:val="en-NZ" w:eastAsia="zh-CN"/>
        </w:rPr>
        <w:t>.</w:t>
      </w:r>
    </w:p>
    <w:p w14:paraId="0EEB7FCD" w14:textId="77777777" w:rsidR="0000469D" w:rsidRPr="0000469D" w:rsidRDefault="0000469D" w:rsidP="0000469D">
      <w:pPr>
        <w:spacing w:line="288" w:lineRule="auto"/>
        <w:ind w:firstLine="720"/>
        <w:jc w:val="both"/>
        <w:rPr>
          <w:rFonts w:asciiTheme="majorBidi" w:eastAsiaTheme="minorEastAsia" w:hAnsiTheme="majorBidi" w:cstheme="majorBidi"/>
          <w:lang w:val="en-NZ" w:eastAsia="zh-CN"/>
        </w:rPr>
      </w:pPr>
    </w:p>
    <w:p w14:paraId="599C51C3" w14:textId="7C2CBAF1" w:rsidR="00184564" w:rsidRPr="009651E4" w:rsidRDefault="0000469D" w:rsidP="009651E4">
      <w:pPr>
        <w:pStyle w:val="Heading1"/>
        <w:numPr>
          <w:ilvl w:val="0"/>
          <w:numId w:val="4"/>
        </w:numPr>
        <w:spacing w:line="360" w:lineRule="auto"/>
        <w:ind w:left="284" w:hanging="284"/>
        <w:rPr>
          <w:sz w:val="24"/>
          <w:lang w:val="en-NZ"/>
        </w:rPr>
      </w:pPr>
      <w:r>
        <w:rPr>
          <w:sz w:val="24"/>
          <w:lang w:val="en-NZ"/>
        </w:rPr>
        <w:t>CONCLUSION</w:t>
      </w:r>
    </w:p>
    <w:p w14:paraId="04668D3F" w14:textId="1B02768A" w:rsidR="00A6111F" w:rsidRDefault="00F32FFF" w:rsidP="00A6111F">
      <w:pPr>
        <w:autoSpaceDE w:val="0"/>
        <w:autoSpaceDN w:val="0"/>
        <w:adjustRightInd w:val="0"/>
        <w:spacing w:line="288" w:lineRule="auto"/>
        <w:jc w:val="both"/>
        <w:rPr>
          <w:rFonts w:asciiTheme="majorBidi" w:hAnsiTheme="majorBidi" w:cstheme="majorBidi"/>
          <w:color w:val="000000" w:themeColor="text1"/>
          <w:lang w:val="en-NZ"/>
        </w:rPr>
      </w:pPr>
      <w:proofErr w:type="spellStart"/>
      <w:r w:rsidRPr="00B01438">
        <w:rPr>
          <w:rFonts w:asciiTheme="majorBidi" w:hAnsiTheme="majorBidi"/>
        </w:rPr>
        <w:t>Peeters</w:t>
      </w:r>
      <w:proofErr w:type="spellEnd"/>
      <w:r w:rsidRPr="00B01438">
        <w:rPr>
          <w:rFonts w:asciiTheme="majorBidi" w:hAnsiTheme="majorBidi"/>
        </w:rPr>
        <w:t xml:space="preserve"> (2012) critique</w:t>
      </w:r>
      <w:r>
        <w:rPr>
          <w:rFonts w:asciiTheme="majorBidi" w:hAnsiTheme="majorBidi"/>
        </w:rPr>
        <w:t>d</w:t>
      </w:r>
      <w:r w:rsidRPr="00B01438">
        <w:rPr>
          <w:rFonts w:asciiTheme="majorBidi" w:hAnsiTheme="majorBidi"/>
        </w:rPr>
        <w:t xml:space="preserve"> the OLS and </w:t>
      </w:r>
      <w:r>
        <w:rPr>
          <w:rFonts w:asciiTheme="majorBidi" w:hAnsiTheme="majorBidi"/>
        </w:rPr>
        <w:t>FE</w:t>
      </w:r>
      <w:r w:rsidRPr="00B01438">
        <w:rPr>
          <w:rFonts w:asciiTheme="majorBidi" w:hAnsiTheme="majorBidi"/>
        </w:rPr>
        <w:t xml:space="preserve"> estimators for their dissimilarity in </w:t>
      </w:r>
      <w:r>
        <w:rPr>
          <w:rFonts w:asciiTheme="majorBidi" w:hAnsiTheme="majorBidi"/>
        </w:rPr>
        <w:t xml:space="preserve">the point estimates of the population </w:t>
      </w:r>
      <w:r w:rsidRPr="00B01438">
        <w:rPr>
          <w:rFonts w:asciiTheme="majorBidi" w:hAnsiTheme="majorBidi"/>
        </w:rPr>
        <w:t>coefficient</w:t>
      </w:r>
      <w:r>
        <w:rPr>
          <w:rFonts w:asciiTheme="majorBidi" w:hAnsiTheme="majorBidi"/>
        </w:rPr>
        <w:t>s</w:t>
      </w:r>
      <w:r w:rsidRPr="00B01438">
        <w:rPr>
          <w:rFonts w:asciiTheme="majorBidi" w:hAnsiTheme="majorBidi"/>
        </w:rPr>
        <w:t>. However, as demonstrated in this paper, there is no a priori reason to expect the</w:t>
      </w:r>
      <w:r>
        <w:rPr>
          <w:rFonts w:asciiTheme="majorBidi" w:hAnsiTheme="majorBidi"/>
        </w:rPr>
        <w:t>se</w:t>
      </w:r>
      <w:r w:rsidRPr="00B01438">
        <w:rPr>
          <w:rFonts w:asciiTheme="majorBidi" w:hAnsiTheme="majorBidi"/>
        </w:rPr>
        <w:t xml:space="preserve"> coefficients to hold the same sign</w:t>
      </w:r>
      <w:r>
        <w:rPr>
          <w:rFonts w:asciiTheme="majorBidi" w:hAnsiTheme="majorBidi"/>
        </w:rPr>
        <w:t>. The</w:t>
      </w:r>
      <w:r w:rsidRPr="00B01438">
        <w:rPr>
          <w:rFonts w:asciiTheme="majorBidi" w:hAnsiTheme="majorBidi"/>
        </w:rPr>
        <w:t xml:space="preserve"> coefficients in OLS and </w:t>
      </w:r>
      <w:r>
        <w:rPr>
          <w:rFonts w:asciiTheme="majorBidi" w:hAnsiTheme="majorBidi"/>
        </w:rPr>
        <w:t>FE</w:t>
      </w:r>
      <w:r w:rsidRPr="00B01438">
        <w:rPr>
          <w:rFonts w:asciiTheme="majorBidi" w:hAnsiTheme="majorBidi"/>
        </w:rPr>
        <w:t xml:space="preserve"> models must be interpreted differently. </w:t>
      </w:r>
      <w:r>
        <w:rPr>
          <w:rFonts w:asciiTheme="majorBidi" w:hAnsiTheme="majorBidi"/>
        </w:rPr>
        <w:t>This misinterpretation is relatively common</w:t>
      </w:r>
      <w:r w:rsidRPr="00B01438">
        <w:rPr>
          <w:rFonts w:asciiTheme="majorBidi" w:hAnsiTheme="majorBidi"/>
        </w:rPr>
        <w:t xml:space="preserve">. For instance, the unexpected sign on employment in </w:t>
      </w:r>
      <w:proofErr w:type="spellStart"/>
      <w:r w:rsidRPr="00B01438">
        <w:rPr>
          <w:rFonts w:asciiTheme="majorBidi" w:hAnsiTheme="majorBidi"/>
        </w:rPr>
        <w:t>Aldashev</w:t>
      </w:r>
      <w:proofErr w:type="spellEnd"/>
      <w:r w:rsidRPr="00B01438">
        <w:rPr>
          <w:rFonts w:asciiTheme="majorBidi" w:hAnsiTheme="majorBidi"/>
        </w:rPr>
        <w:t xml:space="preserve"> and Dietz (2014), and the change in coefficient signs between OLS and </w:t>
      </w:r>
      <w:r>
        <w:rPr>
          <w:rFonts w:asciiTheme="majorBidi" w:hAnsiTheme="majorBidi"/>
        </w:rPr>
        <w:t>FE models</w:t>
      </w:r>
      <w:r w:rsidRPr="00B01438">
        <w:rPr>
          <w:rFonts w:asciiTheme="majorBidi" w:hAnsiTheme="majorBidi"/>
        </w:rPr>
        <w:t xml:space="preserve"> in Ramos and </w:t>
      </w:r>
      <w:proofErr w:type="spellStart"/>
      <w:r w:rsidRPr="00B01438">
        <w:rPr>
          <w:rFonts w:asciiTheme="majorBidi" w:hAnsiTheme="majorBidi"/>
        </w:rPr>
        <w:t>Surinach</w:t>
      </w:r>
      <w:proofErr w:type="spellEnd"/>
      <w:r w:rsidRPr="00B01438">
        <w:rPr>
          <w:rFonts w:asciiTheme="majorBidi" w:hAnsiTheme="majorBidi"/>
        </w:rPr>
        <w:t xml:space="preserve"> (201</w:t>
      </w:r>
      <w:r>
        <w:rPr>
          <w:rFonts w:asciiTheme="majorBidi" w:hAnsiTheme="majorBidi"/>
        </w:rPr>
        <w:t>7</w:t>
      </w:r>
      <w:r w:rsidRPr="00B01438">
        <w:rPr>
          <w:rFonts w:asciiTheme="majorBidi" w:hAnsiTheme="majorBidi"/>
        </w:rPr>
        <w:t xml:space="preserve">) can be explained </w:t>
      </w:r>
      <w:r>
        <w:rPr>
          <w:rFonts w:asciiTheme="majorBidi" w:hAnsiTheme="majorBidi"/>
        </w:rPr>
        <w:t>in this way</w:t>
      </w:r>
      <w:r w:rsidRPr="00B01438">
        <w:rPr>
          <w:rFonts w:asciiTheme="majorBidi" w:hAnsiTheme="majorBidi"/>
        </w:rPr>
        <w:t xml:space="preserve">. Moreover, we have shown that the standard OLS and </w:t>
      </w:r>
      <w:r>
        <w:rPr>
          <w:rFonts w:asciiTheme="majorBidi" w:hAnsiTheme="majorBidi"/>
        </w:rPr>
        <w:t>FE</w:t>
      </w:r>
      <w:r w:rsidRPr="00B01438">
        <w:rPr>
          <w:rFonts w:asciiTheme="majorBidi" w:hAnsiTheme="majorBidi"/>
        </w:rPr>
        <w:t xml:space="preserve"> models lead to biased coefficients on population compared with a BLUE estimato</w:t>
      </w:r>
      <w:bookmarkStart w:id="0" w:name="_GoBack"/>
      <w:bookmarkEnd w:id="0"/>
      <w:r w:rsidRPr="00B01438">
        <w:rPr>
          <w:rFonts w:asciiTheme="majorBidi" w:hAnsiTheme="majorBidi"/>
        </w:rPr>
        <w:t>r</w:t>
      </w:r>
      <w:r>
        <w:rPr>
          <w:rFonts w:asciiTheme="majorBidi" w:hAnsiTheme="majorBidi"/>
        </w:rPr>
        <w:t xml:space="preserve"> of a DGP with fixed effects. </w:t>
      </w:r>
      <w:r w:rsidRPr="00B01438">
        <w:rPr>
          <w:rFonts w:asciiTheme="majorBidi" w:hAnsiTheme="majorBidi"/>
        </w:rPr>
        <w:t xml:space="preserve">These results have significance not only for the estimation and interpretation of the coefficients </w:t>
      </w:r>
      <w:r>
        <w:rPr>
          <w:rFonts w:asciiTheme="majorBidi" w:hAnsiTheme="majorBidi"/>
        </w:rPr>
        <w:t>of</w:t>
      </w:r>
      <w:r w:rsidRPr="00B01438">
        <w:rPr>
          <w:rFonts w:asciiTheme="majorBidi" w:hAnsiTheme="majorBidi"/>
        </w:rPr>
        <w:t xml:space="preserve"> gravity models </w:t>
      </w:r>
      <w:r>
        <w:rPr>
          <w:rFonts w:asciiTheme="majorBidi" w:hAnsiTheme="majorBidi"/>
        </w:rPr>
        <w:t xml:space="preserve">in </w:t>
      </w:r>
      <w:r w:rsidRPr="00B01438">
        <w:rPr>
          <w:rFonts w:asciiTheme="majorBidi" w:hAnsiTheme="majorBidi"/>
        </w:rPr>
        <w:t xml:space="preserve">the migration literature, but also in the </w:t>
      </w:r>
      <w:r>
        <w:rPr>
          <w:rFonts w:asciiTheme="majorBidi" w:hAnsiTheme="majorBidi"/>
        </w:rPr>
        <w:t>literature on trade</w:t>
      </w:r>
      <w:r w:rsidR="0000469D" w:rsidRPr="0000469D">
        <w:rPr>
          <w:rFonts w:asciiTheme="majorBidi" w:hAnsiTheme="majorBidi" w:cstheme="majorBidi"/>
          <w:color w:val="000000" w:themeColor="text1"/>
          <w:lang w:val="en-NZ"/>
        </w:rPr>
        <w:t>.</w:t>
      </w:r>
    </w:p>
    <w:p w14:paraId="1948C0CC" w14:textId="43D58ACA" w:rsidR="0078381C" w:rsidRDefault="0078381C" w:rsidP="003D1ED5">
      <w:pPr>
        <w:autoSpaceDE w:val="0"/>
        <w:autoSpaceDN w:val="0"/>
        <w:adjustRightInd w:val="0"/>
        <w:spacing w:line="288" w:lineRule="auto"/>
        <w:ind w:firstLine="720"/>
        <w:jc w:val="both"/>
        <w:rPr>
          <w:rFonts w:asciiTheme="majorBidi" w:hAnsiTheme="majorBidi" w:cstheme="majorBidi"/>
          <w:color w:val="00B0F0"/>
          <w:lang w:val="en-NZ"/>
        </w:rPr>
      </w:pPr>
    </w:p>
    <w:p w14:paraId="4AC9046B" w14:textId="77777777" w:rsidR="005303C3" w:rsidRDefault="005303C3" w:rsidP="00184564">
      <w:pPr>
        <w:autoSpaceDE w:val="0"/>
        <w:autoSpaceDN w:val="0"/>
        <w:adjustRightInd w:val="0"/>
        <w:spacing w:line="360" w:lineRule="auto"/>
        <w:jc w:val="both"/>
        <w:rPr>
          <w:rFonts w:asciiTheme="majorBidi" w:hAnsiTheme="majorBidi" w:cstheme="majorBidi"/>
          <w:b/>
          <w:bCs/>
          <w:highlight w:val="green"/>
        </w:rPr>
      </w:pPr>
    </w:p>
    <w:p w14:paraId="28BB5356" w14:textId="49A3C491" w:rsidR="00184564" w:rsidRPr="00726832" w:rsidRDefault="00184564" w:rsidP="00184564">
      <w:pPr>
        <w:autoSpaceDE w:val="0"/>
        <w:autoSpaceDN w:val="0"/>
        <w:adjustRightInd w:val="0"/>
        <w:spacing w:line="360" w:lineRule="auto"/>
        <w:jc w:val="both"/>
        <w:rPr>
          <w:rFonts w:asciiTheme="majorBidi" w:hAnsiTheme="majorBidi" w:cstheme="majorBidi"/>
          <w:b/>
          <w:bCs/>
        </w:rPr>
      </w:pPr>
      <w:r w:rsidRPr="005303C3">
        <w:rPr>
          <w:rFonts w:asciiTheme="majorBidi" w:hAnsiTheme="majorBidi" w:cstheme="majorBidi"/>
          <w:b/>
          <w:bCs/>
        </w:rPr>
        <w:t>References</w:t>
      </w:r>
    </w:p>
    <w:p w14:paraId="099EA85D" w14:textId="46AE92DD" w:rsidR="0000469D" w:rsidRPr="0000469D" w:rsidRDefault="00184564" w:rsidP="0000469D">
      <w:pPr>
        <w:pStyle w:val="Bibliography"/>
        <w:spacing w:line="240" w:lineRule="auto"/>
        <w:ind w:left="567" w:hanging="567"/>
        <w:rPr>
          <w:sz w:val="22"/>
          <w:szCs w:val="22"/>
          <w:lang w:val="en-NZ"/>
        </w:rPr>
      </w:pPr>
      <w:r w:rsidRPr="00EC7F75">
        <w:rPr>
          <w:rFonts w:asciiTheme="majorBidi" w:hAnsiTheme="majorBidi" w:cstheme="majorBidi"/>
          <w:sz w:val="22"/>
          <w:szCs w:val="22"/>
        </w:rPr>
        <w:fldChar w:fldCharType="begin"/>
      </w:r>
      <w:r w:rsidR="00DA25F4" w:rsidRPr="00EC7F75">
        <w:rPr>
          <w:rFonts w:asciiTheme="majorBidi" w:hAnsiTheme="majorBidi" w:cstheme="majorBidi"/>
          <w:sz w:val="22"/>
          <w:szCs w:val="22"/>
        </w:rPr>
        <w:instrText xml:space="preserve"> ADDIN ZOTERO_BIBL {"custom":[]} CSL_BIBLIOGRAPHY </w:instrText>
      </w:r>
      <w:r w:rsidRPr="00EC7F75">
        <w:rPr>
          <w:rFonts w:asciiTheme="majorBidi" w:hAnsiTheme="majorBidi" w:cstheme="majorBidi"/>
          <w:sz w:val="22"/>
          <w:szCs w:val="22"/>
        </w:rPr>
        <w:fldChar w:fldCharType="separate"/>
      </w:r>
      <w:r w:rsidR="0000469D" w:rsidRPr="0000469D">
        <w:rPr>
          <w:rFonts w:eastAsiaTheme="minorEastAsia"/>
          <w:lang w:val="en-NZ" w:eastAsia="zh-CN"/>
        </w:rPr>
        <w:t xml:space="preserve"> </w:t>
      </w:r>
      <w:r w:rsidR="0000469D" w:rsidRPr="0000469D">
        <w:rPr>
          <w:sz w:val="22"/>
          <w:szCs w:val="22"/>
          <w:lang w:val="en-NZ"/>
        </w:rPr>
        <w:t xml:space="preserve">Aldashev, A., and Dietz, B. (2014). Economic and spatial determinants of interregional migration in Kazakhstan, </w:t>
      </w:r>
      <w:r w:rsidR="0000469D" w:rsidRPr="0000469D">
        <w:rPr>
          <w:i/>
          <w:sz w:val="22"/>
          <w:szCs w:val="22"/>
          <w:lang w:val="en-NZ"/>
        </w:rPr>
        <w:t xml:space="preserve">Economic Systems </w:t>
      </w:r>
      <w:r w:rsidR="0000469D" w:rsidRPr="0000469D">
        <w:rPr>
          <w:sz w:val="22"/>
          <w:szCs w:val="22"/>
          <w:lang w:val="en-NZ"/>
        </w:rPr>
        <w:t>38(3), 379-396.</w:t>
      </w:r>
    </w:p>
    <w:p w14:paraId="26ADB8AD" w14:textId="77777777" w:rsidR="0000469D" w:rsidRPr="0000469D" w:rsidRDefault="0000469D" w:rsidP="0000469D">
      <w:pPr>
        <w:pStyle w:val="Bibliography"/>
        <w:spacing w:line="240" w:lineRule="auto"/>
        <w:ind w:left="567" w:hanging="567"/>
        <w:rPr>
          <w:sz w:val="22"/>
          <w:szCs w:val="22"/>
          <w:lang w:val="en-NZ"/>
        </w:rPr>
      </w:pPr>
      <w:r w:rsidRPr="0000469D">
        <w:rPr>
          <w:sz w:val="22"/>
          <w:szCs w:val="22"/>
          <w:lang w:val="en-NZ"/>
        </w:rPr>
        <w:t xml:space="preserve">Anderson, J.E, and van Wincoop, E. (2003). Gravity with gravitas: A solution to the border puzzle, </w:t>
      </w:r>
      <w:r w:rsidRPr="0000469D">
        <w:rPr>
          <w:i/>
          <w:sz w:val="22"/>
          <w:szCs w:val="22"/>
          <w:lang w:val="en-NZ"/>
        </w:rPr>
        <w:t>American Economic Review</w:t>
      </w:r>
      <w:r w:rsidRPr="0000469D">
        <w:rPr>
          <w:sz w:val="22"/>
          <w:szCs w:val="22"/>
          <w:lang w:val="en-NZ"/>
        </w:rPr>
        <w:t xml:space="preserve"> 93(1), 170-192.</w:t>
      </w:r>
    </w:p>
    <w:p w14:paraId="719283DC" w14:textId="77777777" w:rsidR="0000469D" w:rsidRPr="0000469D" w:rsidRDefault="0000469D" w:rsidP="0000469D">
      <w:pPr>
        <w:pStyle w:val="Bibliography"/>
        <w:spacing w:line="240" w:lineRule="auto"/>
        <w:ind w:left="567" w:hanging="567"/>
        <w:rPr>
          <w:sz w:val="22"/>
          <w:szCs w:val="22"/>
          <w:lang w:val="en-NZ"/>
        </w:rPr>
      </w:pPr>
      <w:r w:rsidRPr="0000469D">
        <w:rPr>
          <w:sz w:val="22"/>
          <w:szCs w:val="22"/>
          <w:lang w:val="en-NZ"/>
        </w:rPr>
        <w:t xml:space="preserve">Etzo, I. (2011). The determinants of the recent interregional migration flows in Italy: A panel data analysis, </w:t>
      </w:r>
      <w:r w:rsidRPr="0000469D">
        <w:rPr>
          <w:i/>
          <w:sz w:val="22"/>
          <w:szCs w:val="22"/>
          <w:lang w:val="en-NZ"/>
        </w:rPr>
        <w:t>Journal of Regional Science</w:t>
      </w:r>
      <w:r w:rsidRPr="0000469D">
        <w:rPr>
          <w:sz w:val="22"/>
          <w:szCs w:val="22"/>
          <w:lang w:val="en-NZ"/>
        </w:rPr>
        <w:t xml:space="preserve"> 51(5), 946-966.</w:t>
      </w:r>
    </w:p>
    <w:p w14:paraId="1CD985E9" w14:textId="77777777" w:rsidR="0000469D" w:rsidRPr="0000469D" w:rsidRDefault="0000469D" w:rsidP="0000469D">
      <w:pPr>
        <w:pStyle w:val="Bibliography"/>
        <w:spacing w:line="240" w:lineRule="auto"/>
        <w:ind w:left="567" w:hanging="567"/>
        <w:rPr>
          <w:sz w:val="22"/>
          <w:szCs w:val="22"/>
          <w:lang w:val="en-NZ"/>
        </w:rPr>
      </w:pPr>
      <w:r w:rsidRPr="0000469D">
        <w:rPr>
          <w:sz w:val="22"/>
          <w:szCs w:val="22"/>
          <w:lang w:val="en-NZ"/>
        </w:rPr>
        <w:t xml:space="preserve">Feenstra, R.C. (2004). </w:t>
      </w:r>
      <w:r w:rsidRPr="0000469D">
        <w:rPr>
          <w:i/>
          <w:sz w:val="22"/>
          <w:szCs w:val="22"/>
          <w:lang w:val="en-NZ"/>
        </w:rPr>
        <w:t>Advanced international trade: Theory and evidence</w:t>
      </w:r>
      <w:r w:rsidRPr="0000469D">
        <w:rPr>
          <w:sz w:val="22"/>
          <w:szCs w:val="22"/>
          <w:lang w:val="en-NZ"/>
        </w:rPr>
        <w:t>. Princeton, NJ: Princeton University Press.</w:t>
      </w:r>
    </w:p>
    <w:p w14:paraId="223C78C3" w14:textId="77777777" w:rsidR="00F32FFF" w:rsidRDefault="00F32FFF" w:rsidP="0000469D">
      <w:pPr>
        <w:pStyle w:val="Bibliography"/>
        <w:spacing w:line="240" w:lineRule="auto"/>
        <w:ind w:left="567" w:hanging="567"/>
        <w:rPr>
          <w:sz w:val="22"/>
          <w:szCs w:val="22"/>
          <w:lang w:val="en-NZ"/>
        </w:rPr>
      </w:pPr>
      <w:r w:rsidRPr="00F32FFF">
        <w:rPr>
          <w:sz w:val="22"/>
          <w:szCs w:val="22"/>
          <w:lang w:val="en-NZ"/>
        </w:rPr>
        <w:t xml:space="preserve">Greene, W.H. (2017). </w:t>
      </w:r>
      <w:r w:rsidRPr="00F32FFF">
        <w:rPr>
          <w:i/>
          <w:sz w:val="22"/>
          <w:szCs w:val="22"/>
          <w:lang w:val="en-NZ"/>
        </w:rPr>
        <w:t>Econometric Analysis. 8th edition</w:t>
      </w:r>
      <w:r w:rsidRPr="00F32FFF">
        <w:rPr>
          <w:sz w:val="22"/>
          <w:szCs w:val="22"/>
          <w:lang w:val="en-NZ"/>
        </w:rPr>
        <w:t>. New York: Pearson.</w:t>
      </w:r>
    </w:p>
    <w:p w14:paraId="5FF30034" w14:textId="35553E1C" w:rsidR="0000469D" w:rsidRPr="0000469D" w:rsidRDefault="0000469D" w:rsidP="0000469D">
      <w:pPr>
        <w:pStyle w:val="Bibliography"/>
        <w:spacing w:line="240" w:lineRule="auto"/>
        <w:ind w:left="567" w:hanging="567"/>
        <w:rPr>
          <w:sz w:val="22"/>
          <w:szCs w:val="22"/>
          <w:lang w:val="en-NZ"/>
        </w:rPr>
      </w:pPr>
      <w:r w:rsidRPr="0000469D">
        <w:rPr>
          <w:sz w:val="22"/>
          <w:szCs w:val="22"/>
          <w:lang w:val="en-NZ"/>
        </w:rPr>
        <w:t xml:space="preserve">Lewer, J.J., and Van den Berg, H. (2008). A gravity model of immigration, </w:t>
      </w:r>
      <w:r w:rsidRPr="0000469D">
        <w:rPr>
          <w:i/>
          <w:sz w:val="22"/>
          <w:szCs w:val="22"/>
          <w:lang w:val="en-NZ"/>
        </w:rPr>
        <w:t>Economics Letters</w:t>
      </w:r>
      <w:r w:rsidRPr="0000469D">
        <w:rPr>
          <w:sz w:val="22"/>
          <w:szCs w:val="22"/>
          <w:lang w:val="en-NZ"/>
        </w:rPr>
        <w:t xml:space="preserve"> 99, 164-167.</w:t>
      </w:r>
    </w:p>
    <w:p w14:paraId="085BAC73" w14:textId="77777777" w:rsidR="0000469D" w:rsidRPr="0000469D" w:rsidRDefault="0000469D" w:rsidP="0000469D">
      <w:pPr>
        <w:pStyle w:val="Bibliography"/>
        <w:spacing w:line="240" w:lineRule="auto"/>
        <w:ind w:left="567" w:hanging="567"/>
        <w:rPr>
          <w:sz w:val="22"/>
          <w:szCs w:val="22"/>
          <w:lang w:val="en-NZ"/>
        </w:rPr>
      </w:pPr>
      <w:r w:rsidRPr="0000469D">
        <w:rPr>
          <w:sz w:val="22"/>
          <w:szCs w:val="22"/>
          <w:lang w:val="en-NZ"/>
        </w:rPr>
        <w:t xml:space="preserve">Peeters, L. (2012). Gravity and spatial structure: The case of interstate migration in Mexico, </w:t>
      </w:r>
      <w:r w:rsidRPr="0000469D">
        <w:rPr>
          <w:i/>
          <w:sz w:val="22"/>
          <w:szCs w:val="22"/>
          <w:lang w:val="en-NZ"/>
        </w:rPr>
        <w:t>Journal of Regional Science</w:t>
      </w:r>
      <w:r w:rsidRPr="0000469D">
        <w:rPr>
          <w:sz w:val="22"/>
          <w:szCs w:val="22"/>
          <w:lang w:val="en-NZ"/>
        </w:rPr>
        <w:t xml:space="preserve"> 52(5), 829-856.</w:t>
      </w:r>
    </w:p>
    <w:p w14:paraId="3FF37E49" w14:textId="77777777" w:rsidR="0000469D" w:rsidRPr="0000469D" w:rsidRDefault="0000469D" w:rsidP="0000469D">
      <w:pPr>
        <w:pStyle w:val="Bibliography"/>
        <w:spacing w:line="240" w:lineRule="auto"/>
        <w:ind w:left="567" w:hanging="567"/>
        <w:rPr>
          <w:sz w:val="22"/>
          <w:szCs w:val="22"/>
          <w:lang w:val="en-NZ"/>
        </w:rPr>
      </w:pPr>
      <w:r w:rsidRPr="0000469D">
        <w:rPr>
          <w:sz w:val="22"/>
          <w:szCs w:val="22"/>
          <w:lang w:val="en-NZ"/>
        </w:rPr>
        <w:t xml:space="preserve">Ramos, R., and Surinach, J. (2017). A gravity model of migration between ENC and EU. </w:t>
      </w:r>
      <w:r w:rsidRPr="0000469D">
        <w:rPr>
          <w:i/>
          <w:sz w:val="22"/>
          <w:szCs w:val="22"/>
          <w:lang w:val="en-NZ"/>
        </w:rPr>
        <w:t>Tijdschrift voor Economische en Sociale Geografie</w:t>
      </w:r>
      <w:r w:rsidRPr="0000469D">
        <w:rPr>
          <w:sz w:val="22"/>
          <w:szCs w:val="22"/>
          <w:lang w:val="en-NZ"/>
        </w:rPr>
        <w:t xml:space="preserve"> 108(1), 21-35.</w:t>
      </w:r>
    </w:p>
    <w:p w14:paraId="7B408D6F" w14:textId="6417E5EA" w:rsidR="0000469D" w:rsidRPr="0000469D" w:rsidRDefault="0000469D" w:rsidP="0000469D">
      <w:pPr>
        <w:pStyle w:val="Bibliography"/>
        <w:spacing w:line="240" w:lineRule="auto"/>
        <w:ind w:left="567" w:hanging="567"/>
        <w:jc w:val="both"/>
        <w:rPr>
          <w:sz w:val="22"/>
          <w:szCs w:val="22"/>
        </w:rPr>
      </w:pPr>
      <w:r w:rsidRPr="0000469D">
        <w:rPr>
          <w:sz w:val="22"/>
          <w:szCs w:val="22"/>
        </w:rPr>
        <w:t xml:space="preserve">Vias, A.C. (2001). Reevaluating the relationship between in-, out-, and net migration for non-metropolitan counties: an update on Beale’s u-shaped curve, </w:t>
      </w:r>
      <w:r w:rsidRPr="0000469D">
        <w:rPr>
          <w:i/>
          <w:iCs/>
          <w:sz w:val="22"/>
          <w:szCs w:val="22"/>
        </w:rPr>
        <w:t>Geographical Analysis</w:t>
      </w:r>
      <w:r w:rsidRPr="0000469D">
        <w:rPr>
          <w:sz w:val="22"/>
          <w:szCs w:val="22"/>
        </w:rPr>
        <w:t xml:space="preserve"> 33(3), </w:t>
      </w:r>
      <w:r w:rsidR="00AF37B5">
        <w:rPr>
          <w:sz w:val="22"/>
          <w:szCs w:val="22"/>
        </w:rPr>
        <w:br/>
      </w:r>
      <w:r w:rsidRPr="0000469D">
        <w:rPr>
          <w:sz w:val="22"/>
          <w:szCs w:val="22"/>
        </w:rPr>
        <w:t>228-246.</w:t>
      </w:r>
    </w:p>
    <w:p w14:paraId="726D7CBD" w14:textId="1F3C7EC8" w:rsidR="003F042B" w:rsidRPr="00EC7F75" w:rsidRDefault="00184564" w:rsidP="0000469D">
      <w:pPr>
        <w:autoSpaceDE w:val="0"/>
        <w:autoSpaceDN w:val="0"/>
        <w:adjustRightInd w:val="0"/>
        <w:jc w:val="both"/>
        <w:rPr>
          <w:rFonts w:asciiTheme="majorBidi" w:hAnsiTheme="majorBidi" w:cstheme="majorBidi"/>
          <w:sz w:val="22"/>
          <w:szCs w:val="22"/>
        </w:rPr>
      </w:pPr>
      <w:r w:rsidRPr="00EC7F75">
        <w:rPr>
          <w:rFonts w:asciiTheme="majorBidi" w:hAnsiTheme="majorBidi" w:cstheme="majorBidi"/>
          <w:sz w:val="22"/>
          <w:szCs w:val="22"/>
        </w:rPr>
        <w:fldChar w:fldCharType="end"/>
      </w:r>
    </w:p>
    <w:sectPr w:rsidR="003F042B" w:rsidRPr="00EC7F75" w:rsidSect="00C218E7">
      <w:headerReference w:type="default" r:id="rId20"/>
      <w:footerReference w:type="default" r:id="rId2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C1D9E" w14:textId="77777777" w:rsidR="00942B92" w:rsidRDefault="00942B92" w:rsidP="003F127E">
      <w:r>
        <w:separator/>
      </w:r>
    </w:p>
  </w:endnote>
  <w:endnote w:type="continuationSeparator" w:id="0">
    <w:p w14:paraId="1867E5E8" w14:textId="77777777" w:rsidR="00942B92" w:rsidRDefault="00942B92" w:rsidP="003F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818587"/>
      <w:docPartObj>
        <w:docPartGallery w:val="Page Numbers (Bottom of Page)"/>
        <w:docPartUnique/>
      </w:docPartObj>
    </w:sdtPr>
    <w:sdtEndPr>
      <w:rPr>
        <w:noProof/>
      </w:rPr>
    </w:sdtEndPr>
    <w:sdtContent>
      <w:p w14:paraId="3245AEEC" w14:textId="4C7EDB0E" w:rsidR="007714E1" w:rsidRDefault="007714E1">
        <w:pPr>
          <w:pStyle w:val="Footer"/>
          <w:jc w:val="center"/>
        </w:pPr>
        <w:r>
          <w:fldChar w:fldCharType="begin"/>
        </w:r>
        <w:r>
          <w:instrText xml:space="preserve"> PAGE   \* MERGEFORMAT </w:instrText>
        </w:r>
        <w:r>
          <w:fldChar w:fldCharType="separate"/>
        </w:r>
        <w:r w:rsidR="00A36AAA">
          <w:rPr>
            <w:noProof/>
          </w:rPr>
          <w:t>7</w:t>
        </w:r>
        <w:r>
          <w:rPr>
            <w:noProof/>
          </w:rPr>
          <w:fldChar w:fldCharType="end"/>
        </w:r>
      </w:p>
    </w:sdtContent>
  </w:sdt>
  <w:p w14:paraId="365469E7" w14:textId="77777777" w:rsidR="007714E1" w:rsidRDefault="0077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48007" w14:textId="77777777" w:rsidR="00942B92" w:rsidRDefault="00942B92" w:rsidP="003F127E">
      <w:r>
        <w:separator/>
      </w:r>
    </w:p>
  </w:footnote>
  <w:footnote w:type="continuationSeparator" w:id="0">
    <w:p w14:paraId="0AB42DDB" w14:textId="77777777" w:rsidR="00942B92" w:rsidRDefault="00942B92" w:rsidP="003F1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FB98" w14:textId="454CE4F4" w:rsidR="007714E1" w:rsidRPr="003F127E" w:rsidRDefault="007714E1" w:rsidP="006D1657">
    <w:pPr>
      <w:pStyle w:val="Header"/>
      <w:jc w:val="right"/>
      <w:rPr>
        <w:color w:val="7F7F7F" w:themeColor="text1" w:themeTint="80"/>
        <w:lang w:val="it-IT"/>
      </w:rPr>
    </w:pPr>
  </w:p>
  <w:p w14:paraId="5F4CBAA0" w14:textId="77777777" w:rsidR="007714E1" w:rsidRPr="003F127E" w:rsidRDefault="007714E1">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223"/>
    <w:multiLevelType w:val="hybridMultilevel"/>
    <w:tmpl w:val="615EB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F66"/>
    <w:multiLevelType w:val="multilevel"/>
    <w:tmpl w:val="ECE224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85A7A77"/>
    <w:multiLevelType w:val="hybridMultilevel"/>
    <w:tmpl w:val="4B7C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B1FE6"/>
    <w:multiLevelType w:val="hybridMultilevel"/>
    <w:tmpl w:val="53CC4D3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3454BC6"/>
    <w:multiLevelType w:val="hybridMultilevel"/>
    <w:tmpl w:val="FCEC80A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ctiveWritingStyle w:appName="MSWord" w:lang="fr-FR" w:vendorID="64" w:dllVersion="6" w:nlCheck="1" w:checkStyle="1"/>
  <w:activeWritingStyle w:appName="MSWord" w:lang="en-US" w:vendorID="64" w:dllVersion="6" w:nlCheck="1" w:checkStyle="1"/>
  <w:activeWritingStyle w:appName="MSWord" w:lang="en-NZ" w:vendorID="64" w:dllVersion="6" w:nlCheck="1" w:checkStyle="1"/>
  <w:activeWritingStyle w:appName="MSWord" w:lang="en-US" w:vendorID="64" w:dllVersion="0" w:nlCheck="1" w:checkStyle="0"/>
  <w:activeWritingStyle w:appName="MSWord" w:lang="es-ES" w:vendorID="64" w:dllVersion="6" w:nlCheck="1" w:checkStyle="0"/>
  <w:activeWritingStyle w:appName="MSWord" w:lang="en-NZ"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NZ"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D6"/>
    <w:rsid w:val="00000857"/>
    <w:rsid w:val="0000113A"/>
    <w:rsid w:val="0000469D"/>
    <w:rsid w:val="0000644C"/>
    <w:rsid w:val="00015157"/>
    <w:rsid w:val="0001606F"/>
    <w:rsid w:val="000165C9"/>
    <w:rsid w:val="0002659B"/>
    <w:rsid w:val="00032601"/>
    <w:rsid w:val="0003403A"/>
    <w:rsid w:val="000353AE"/>
    <w:rsid w:val="000518DB"/>
    <w:rsid w:val="00053E6B"/>
    <w:rsid w:val="00062BA6"/>
    <w:rsid w:val="00074360"/>
    <w:rsid w:val="000905BB"/>
    <w:rsid w:val="00092C58"/>
    <w:rsid w:val="000A23EE"/>
    <w:rsid w:val="000B205D"/>
    <w:rsid w:val="000B669D"/>
    <w:rsid w:val="000C1EA8"/>
    <w:rsid w:val="000C7B3A"/>
    <w:rsid w:val="000D0DD8"/>
    <w:rsid w:val="000D2EF8"/>
    <w:rsid w:val="000E7AA2"/>
    <w:rsid w:val="000E7BF5"/>
    <w:rsid w:val="000E7C1D"/>
    <w:rsid w:val="000F236E"/>
    <w:rsid w:val="00100DC9"/>
    <w:rsid w:val="001035E3"/>
    <w:rsid w:val="001045A4"/>
    <w:rsid w:val="00107235"/>
    <w:rsid w:val="00110092"/>
    <w:rsid w:val="001119DB"/>
    <w:rsid w:val="00112699"/>
    <w:rsid w:val="00117602"/>
    <w:rsid w:val="00117D25"/>
    <w:rsid w:val="00125D3D"/>
    <w:rsid w:val="00126F70"/>
    <w:rsid w:val="00132CCC"/>
    <w:rsid w:val="00137BA9"/>
    <w:rsid w:val="00140202"/>
    <w:rsid w:val="00142699"/>
    <w:rsid w:val="00144A76"/>
    <w:rsid w:val="00157BFC"/>
    <w:rsid w:val="001647F7"/>
    <w:rsid w:val="00170C48"/>
    <w:rsid w:val="00181EAE"/>
    <w:rsid w:val="00184564"/>
    <w:rsid w:val="00197E78"/>
    <w:rsid w:val="001A40E6"/>
    <w:rsid w:val="001A6E83"/>
    <w:rsid w:val="001B00D5"/>
    <w:rsid w:val="001B62C7"/>
    <w:rsid w:val="001B6D77"/>
    <w:rsid w:val="001D08B4"/>
    <w:rsid w:val="001D37AE"/>
    <w:rsid w:val="001D7157"/>
    <w:rsid w:val="001E00D7"/>
    <w:rsid w:val="001E240F"/>
    <w:rsid w:val="001E66A7"/>
    <w:rsid w:val="001F5B82"/>
    <w:rsid w:val="001F60C6"/>
    <w:rsid w:val="001F61F4"/>
    <w:rsid w:val="002009DC"/>
    <w:rsid w:val="00205CAF"/>
    <w:rsid w:val="00207721"/>
    <w:rsid w:val="0021077C"/>
    <w:rsid w:val="00231797"/>
    <w:rsid w:val="00241BDD"/>
    <w:rsid w:val="00251383"/>
    <w:rsid w:val="00255085"/>
    <w:rsid w:val="00260B65"/>
    <w:rsid w:val="0026693B"/>
    <w:rsid w:val="00283AC7"/>
    <w:rsid w:val="00284FEE"/>
    <w:rsid w:val="00295332"/>
    <w:rsid w:val="002B14B4"/>
    <w:rsid w:val="002B2D83"/>
    <w:rsid w:val="002C0400"/>
    <w:rsid w:val="002C6EBA"/>
    <w:rsid w:val="002E1D4B"/>
    <w:rsid w:val="002E3961"/>
    <w:rsid w:val="002E42C0"/>
    <w:rsid w:val="002E6BA3"/>
    <w:rsid w:val="002F13C5"/>
    <w:rsid w:val="00312D94"/>
    <w:rsid w:val="003136A2"/>
    <w:rsid w:val="00317827"/>
    <w:rsid w:val="00330664"/>
    <w:rsid w:val="00333772"/>
    <w:rsid w:val="00337559"/>
    <w:rsid w:val="00337844"/>
    <w:rsid w:val="003525C5"/>
    <w:rsid w:val="003553FB"/>
    <w:rsid w:val="003756C1"/>
    <w:rsid w:val="00376ACF"/>
    <w:rsid w:val="00382710"/>
    <w:rsid w:val="00390F67"/>
    <w:rsid w:val="00394715"/>
    <w:rsid w:val="003954B3"/>
    <w:rsid w:val="003A7EF1"/>
    <w:rsid w:val="003B7747"/>
    <w:rsid w:val="003C31E4"/>
    <w:rsid w:val="003D1ED5"/>
    <w:rsid w:val="003E25F0"/>
    <w:rsid w:val="003E6418"/>
    <w:rsid w:val="003E7EC0"/>
    <w:rsid w:val="003F042B"/>
    <w:rsid w:val="003F127E"/>
    <w:rsid w:val="003F575E"/>
    <w:rsid w:val="003F7445"/>
    <w:rsid w:val="004035FF"/>
    <w:rsid w:val="00434F39"/>
    <w:rsid w:val="00442869"/>
    <w:rsid w:val="00450471"/>
    <w:rsid w:val="00462E4F"/>
    <w:rsid w:val="004675FB"/>
    <w:rsid w:val="00467A3B"/>
    <w:rsid w:val="00471F12"/>
    <w:rsid w:val="004762C0"/>
    <w:rsid w:val="00493D87"/>
    <w:rsid w:val="00496269"/>
    <w:rsid w:val="004A5D51"/>
    <w:rsid w:val="004E1DE8"/>
    <w:rsid w:val="004E5EF9"/>
    <w:rsid w:val="004E6BA4"/>
    <w:rsid w:val="004F30F5"/>
    <w:rsid w:val="004F54E1"/>
    <w:rsid w:val="004F62B2"/>
    <w:rsid w:val="004F6E7F"/>
    <w:rsid w:val="00514FDF"/>
    <w:rsid w:val="00523E87"/>
    <w:rsid w:val="005247E1"/>
    <w:rsid w:val="00525BED"/>
    <w:rsid w:val="005303C3"/>
    <w:rsid w:val="00532D9F"/>
    <w:rsid w:val="005345A2"/>
    <w:rsid w:val="0054260E"/>
    <w:rsid w:val="00547F4E"/>
    <w:rsid w:val="005521B9"/>
    <w:rsid w:val="0056126B"/>
    <w:rsid w:val="00563FD7"/>
    <w:rsid w:val="00567668"/>
    <w:rsid w:val="005831CE"/>
    <w:rsid w:val="00590672"/>
    <w:rsid w:val="00593FB5"/>
    <w:rsid w:val="005A1FF5"/>
    <w:rsid w:val="005A5804"/>
    <w:rsid w:val="005C3E44"/>
    <w:rsid w:val="005C56F6"/>
    <w:rsid w:val="005D40AA"/>
    <w:rsid w:val="005D514C"/>
    <w:rsid w:val="005E534B"/>
    <w:rsid w:val="005F2E82"/>
    <w:rsid w:val="005F4DE5"/>
    <w:rsid w:val="00604A2B"/>
    <w:rsid w:val="006113FF"/>
    <w:rsid w:val="00612198"/>
    <w:rsid w:val="00613532"/>
    <w:rsid w:val="00613A99"/>
    <w:rsid w:val="00614DA2"/>
    <w:rsid w:val="006204DC"/>
    <w:rsid w:val="00620949"/>
    <w:rsid w:val="0062138F"/>
    <w:rsid w:val="006215A0"/>
    <w:rsid w:val="00626E23"/>
    <w:rsid w:val="006307B0"/>
    <w:rsid w:val="00635113"/>
    <w:rsid w:val="00641932"/>
    <w:rsid w:val="00643751"/>
    <w:rsid w:val="00644312"/>
    <w:rsid w:val="00646C8C"/>
    <w:rsid w:val="00647B82"/>
    <w:rsid w:val="00653636"/>
    <w:rsid w:val="00676299"/>
    <w:rsid w:val="00686B7C"/>
    <w:rsid w:val="00696684"/>
    <w:rsid w:val="006A0C4B"/>
    <w:rsid w:val="006B34D4"/>
    <w:rsid w:val="006C17D5"/>
    <w:rsid w:val="006C4624"/>
    <w:rsid w:val="006D1657"/>
    <w:rsid w:val="006D1D42"/>
    <w:rsid w:val="006D2BA0"/>
    <w:rsid w:val="006D33A6"/>
    <w:rsid w:val="006D3E1E"/>
    <w:rsid w:val="006E5536"/>
    <w:rsid w:val="006F3DAE"/>
    <w:rsid w:val="006F51F4"/>
    <w:rsid w:val="006F77BB"/>
    <w:rsid w:val="00702ECC"/>
    <w:rsid w:val="0070445A"/>
    <w:rsid w:val="00712517"/>
    <w:rsid w:val="00722B7F"/>
    <w:rsid w:val="00726832"/>
    <w:rsid w:val="007449D3"/>
    <w:rsid w:val="0076757A"/>
    <w:rsid w:val="007714E1"/>
    <w:rsid w:val="007753E1"/>
    <w:rsid w:val="0078381C"/>
    <w:rsid w:val="007A1D90"/>
    <w:rsid w:val="007A45CD"/>
    <w:rsid w:val="007A6AB8"/>
    <w:rsid w:val="007B5AD8"/>
    <w:rsid w:val="007C2BA8"/>
    <w:rsid w:val="007D4F04"/>
    <w:rsid w:val="007D6D81"/>
    <w:rsid w:val="007E3EA7"/>
    <w:rsid w:val="00805FA6"/>
    <w:rsid w:val="00822FE2"/>
    <w:rsid w:val="00823A79"/>
    <w:rsid w:val="00823D04"/>
    <w:rsid w:val="008403FC"/>
    <w:rsid w:val="00841DF0"/>
    <w:rsid w:val="00846627"/>
    <w:rsid w:val="0085007D"/>
    <w:rsid w:val="008558AD"/>
    <w:rsid w:val="0087015A"/>
    <w:rsid w:val="00877EC7"/>
    <w:rsid w:val="00893908"/>
    <w:rsid w:val="008A539F"/>
    <w:rsid w:val="008A677F"/>
    <w:rsid w:val="008C0B96"/>
    <w:rsid w:val="008C5B90"/>
    <w:rsid w:val="008D1EA7"/>
    <w:rsid w:val="008D3EAA"/>
    <w:rsid w:val="008E1FD3"/>
    <w:rsid w:val="008E2F8F"/>
    <w:rsid w:val="008E70F4"/>
    <w:rsid w:val="008F1875"/>
    <w:rsid w:val="008F2446"/>
    <w:rsid w:val="008F6421"/>
    <w:rsid w:val="009018F2"/>
    <w:rsid w:val="00931DF5"/>
    <w:rsid w:val="00931E54"/>
    <w:rsid w:val="00934691"/>
    <w:rsid w:val="009407A7"/>
    <w:rsid w:val="00942B92"/>
    <w:rsid w:val="00944058"/>
    <w:rsid w:val="00956FB2"/>
    <w:rsid w:val="009579F8"/>
    <w:rsid w:val="009651E4"/>
    <w:rsid w:val="00971218"/>
    <w:rsid w:val="00987556"/>
    <w:rsid w:val="009B346C"/>
    <w:rsid w:val="009B7A9A"/>
    <w:rsid w:val="009C1786"/>
    <w:rsid w:val="009D6E8A"/>
    <w:rsid w:val="009E28D6"/>
    <w:rsid w:val="00A132AB"/>
    <w:rsid w:val="00A15956"/>
    <w:rsid w:val="00A178F7"/>
    <w:rsid w:val="00A36AAA"/>
    <w:rsid w:val="00A41F6F"/>
    <w:rsid w:val="00A42517"/>
    <w:rsid w:val="00A50A83"/>
    <w:rsid w:val="00A50FB5"/>
    <w:rsid w:val="00A6111F"/>
    <w:rsid w:val="00A613C6"/>
    <w:rsid w:val="00A628F0"/>
    <w:rsid w:val="00A64E48"/>
    <w:rsid w:val="00A65EA0"/>
    <w:rsid w:val="00A7351C"/>
    <w:rsid w:val="00A869C2"/>
    <w:rsid w:val="00A9288E"/>
    <w:rsid w:val="00A9444D"/>
    <w:rsid w:val="00A966A6"/>
    <w:rsid w:val="00AB47DB"/>
    <w:rsid w:val="00AC295E"/>
    <w:rsid w:val="00AD2760"/>
    <w:rsid w:val="00AD2F5B"/>
    <w:rsid w:val="00AD3011"/>
    <w:rsid w:val="00AD6D12"/>
    <w:rsid w:val="00AE08D1"/>
    <w:rsid w:val="00AE571B"/>
    <w:rsid w:val="00AF12B6"/>
    <w:rsid w:val="00AF37B5"/>
    <w:rsid w:val="00B053DF"/>
    <w:rsid w:val="00B14BAE"/>
    <w:rsid w:val="00B34A42"/>
    <w:rsid w:val="00B56DF9"/>
    <w:rsid w:val="00B77A8C"/>
    <w:rsid w:val="00B85D0B"/>
    <w:rsid w:val="00BA5D8A"/>
    <w:rsid w:val="00BA7AF3"/>
    <w:rsid w:val="00BB0E06"/>
    <w:rsid w:val="00BB2498"/>
    <w:rsid w:val="00BD005C"/>
    <w:rsid w:val="00BD37FC"/>
    <w:rsid w:val="00BE0923"/>
    <w:rsid w:val="00BE3409"/>
    <w:rsid w:val="00BE5932"/>
    <w:rsid w:val="00BE5C1E"/>
    <w:rsid w:val="00BF401E"/>
    <w:rsid w:val="00C04063"/>
    <w:rsid w:val="00C218E7"/>
    <w:rsid w:val="00C35C97"/>
    <w:rsid w:val="00C475D5"/>
    <w:rsid w:val="00C6615B"/>
    <w:rsid w:val="00C70577"/>
    <w:rsid w:val="00C716E0"/>
    <w:rsid w:val="00C80E81"/>
    <w:rsid w:val="00C83056"/>
    <w:rsid w:val="00CA18E0"/>
    <w:rsid w:val="00CA5971"/>
    <w:rsid w:val="00CA6D3E"/>
    <w:rsid w:val="00CB1C8A"/>
    <w:rsid w:val="00CB24EB"/>
    <w:rsid w:val="00CC1DBF"/>
    <w:rsid w:val="00CC30DC"/>
    <w:rsid w:val="00CD7D17"/>
    <w:rsid w:val="00CE0028"/>
    <w:rsid w:val="00CE7300"/>
    <w:rsid w:val="00CF4439"/>
    <w:rsid w:val="00D03661"/>
    <w:rsid w:val="00D235A6"/>
    <w:rsid w:val="00D427F7"/>
    <w:rsid w:val="00D518AA"/>
    <w:rsid w:val="00D518DA"/>
    <w:rsid w:val="00D51D9A"/>
    <w:rsid w:val="00D609CE"/>
    <w:rsid w:val="00D653CC"/>
    <w:rsid w:val="00D70DDD"/>
    <w:rsid w:val="00D77BDA"/>
    <w:rsid w:val="00D809C8"/>
    <w:rsid w:val="00D86E5A"/>
    <w:rsid w:val="00D94D4F"/>
    <w:rsid w:val="00D97ECA"/>
    <w:rsid w:val="00DA25F4"/>
    <w:rsid w:val="00DA601F"/>
    <w:rsid w:val="00DB365A"/>
    <w:rsid w:val="00DB39AE"/>
    <w:rsid w:val="00DD1737"/>
    <w:rsid w:val="00DE0D42"/>
    <w:rsid w:val="00DE39A1"/>
    <w:rsid w:val="00DE47F7"/>
    <w:rsid w:val="00DE4AAC"/>
    <w:rsid w:val="00DE52B4"/>
    <w:rsid w:val="00DF2602"/>
    <w:rsid w:val="00DF33B3"/>
    <w:rsid w:val="00DF39ED"/>
    <w:rsid w:val="00E1249B"/>
    <w:rsid w:val="00E213DB"/>
    <w:rsid w:val="00E24B93"/>
    <w:rsid w:val="00E30A59"/>
    <w:rsid w:val="00E37ED9"/>
    <w:rsid w:val="00E576A9"/>
    <w:rsid w:val="00E62ABE"/>
    <w:rsid w:val="00E73CDF"/>
    <w:rsid w:val="00E75E2B"/>
    <w:rsid w:val="00E82D1A"/>
    <w:rsid w:val="00E873C9"/>
    <w:rsid w:val="00E9786C"/>
    <w:rsid w:val="00EA51D6"/>
    <w:rsid w:val="00EB5672"/>
    <w:rsid w:val="00EB697A"/>
    <w:rsid w:val="00EC5FF7"/>
    <w:rsid w:val="00EC7F75"/>
    <w:rsid w:val="00ED3E80"/>
    <w:rsid w:val="00ED5116"/>
    <w:rsid w:val="00EF081E"/>
    <w:rsid w:val="00F02A9E"/>
    <w:rsid w:val="00F05029"/>
    <w:rsid w:val="00F079DE"/>
    <w:rsid w:val="00F14716"/>
    <w:rsid w:val="00F21A48"/>
    <w:rsid w:val="00F230BA"/>
    <w:rsid w:val="00F32FFF"/>
    <w:rsid w:val="00F37AD7"/>
    <w:rsid w:val="00F439B0"/>
    <w:rsid w:val="00F57D5C"/>
    <w:rsid w:val="00F61796"/>
    <w:rsid w:val="00F75DF1"/>
    <w:rsid w:val="00F777DF"/>
    <w:rsid w:val="00F85BBE"/>
    <w:rsid w:val="00FB4703"/>
    <w:rsid w:val="00FB5DED"/>
    <w:rsid w:val="00FC212A"/>
    <w:rsid w:val="00FC28AC"/>
    <w:rsid w:val="00FD3AB2"/>
    <w:rsid w:val="00FD598F"/>
    <w:rsid w:val="00FD639D"/>
    <w:rsid w:val="00FD779F"/>
    <w:rsid w:val="00FE722E"/>
    <w:rsid w:val="00FF1A1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E30D6A4"/>
  <w15:chartTrackingRefBased/>
  <w15:docId w15:val="{766F02B0-8A37-4D49-9220-4B021DB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1D6"/>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EA51D6"/>
    <w:pPr>
      <w:keepNext/>
      <w:keepLines/>
      <w:spacing w:before="24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DD1737"/>
    <w:pPr>
      <w:keepNext/>
      <w:keepLines/>
      <w:spacing w:before="40"/>
      <w:outlineLvl w:val="1"/>
    </w:pPr>
    <w:rPr>
      <w:rFonts w:eastAsiaTheme="majorEastAsia" w:cstheme="majorBidi"/>
      <w:b/>
      <w:i/>
      <w:iCs/>
      <w:color w:val="000000" w:themeColor="text1"/>
      <w:szCs w:val="26"/>
    </w:rPr>
  </w:style>
  <w:style w:type="paragraph" w:styleId="Heading3">
    <w:name w:val="heading 3"/>
    <w:basedOn w:val="Normal"/>
    <w:next w:val="Normal"/>
    <w:link w:val="Heading3Char"/>
    <w:uiPriority w:val="9"/>
    <w:unhideWhenUsed/>
    <w:qFormat/>
    <w:rsid w:val="00170C4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D6"/>
    <w:rPr>
      <w:rFonts w:asciiTheme="majorBidi" w:eastAsiaTheme="majorEastAsia" w:hAnsiTheme="majorBidi" w:cstheme="majorBidi"/>
      <w:b/>
      <w:sz w:val="28"/>
      <w:szCs w:val="32"/>
      <w:lang w:val="en-US" w:eastAsia="en-US"/>
    </w:rPr>
  </w:style>
  <w:style w:type="table" w:styleId="TableGrid">
    <w:name w:val="Table Grid"/>
    <w:basedOn w:val="TableNormal"/>
    <w:uiPriority w:val="59"/>
    <w:rsid w:val="00EA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A51D6"/>
    <w:pPr>
      <w:spacing w:line="480" w:lineRule="auto"/>
      <w:ind w:left="720" w:hanging="720"/>
    </w:pPr>
  </w:style>
  <w:style w:type="paragraph" w:styleId="Header">
    <w:name w:val="header"/>
    <w:basedOn w:val="Normal"/>
    <w:link w:val="HeaderChar"/>
    <w:uiPriority w:val="99"/>
    <w:unhideWhenUsed/>
    <w:rsid w:val="003F127E"/>
    <w:pPr>
      <w:tabs>
        <w:tab w:val="center" w:pos="4513"/>
        <w:tab w:val="right" w:pos="9026"/>
      </w:tabs>
    </w:pPr>
  </w:style>
  <w:style w:type="character" w:customStyle="1" w:styleId="HeaderChar">
    <w:name w:val="Header Char"/>
    <w:basedOn w:val="DefaultParagraphFont"/>
    <w:link w:val="Header"/>
    <w:uiPriority w:val="99"/>
    <w:rsid w:val="003F127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3F127E"/>
    <w:pPr>
      <w:tabs>
        <w:tab w:val="center" w:pos="4513"/>
        <w:tab w:val="right" w:pos="9026"/>
      </w:tabs>
    </w:pPr>
  </w:style>
  <w:style w:type="character" w:customStyle="1" w:styleId="FooterChar">
    <w:name w:val="Footer Char"/>
    <w:basedOn w:val="DefaultParagraphFont"/>
    <w:link w:val="Footer"/>
    <w:uiPriority w:val="99"/>
    <w:rsid w:val="003F127E"/>
    <w:rPr>
      <w:rFonts w:ascii="Times New Roman" w:eastAsia="Times New Roman" w:hAnsi="Times New Roman" w:cs="Times New Roman"/>
      <w:sz w:val="24"/>
      <w:szCs w:val="24"/>
      <w:lang w:val="en-US" w:eastAsia="en-US"/>
    </w:rPr>
  </w:style>
  <w:style w:type="paragraph" w:styleId="NormalWeb">
    <w:name w:val="Normal (Web)"/>
    <w:basedOn w:val="Normal"/>
    <w:unhideWhenUsed/>
    <w:rsid w:val="002E1D4B"/>
    <w:pPr>
      <w:spacing w:before="100" w:beforeAutospacing="1" w:after="100" w:afterAutospacing="1"/>
    </w:pPr>
    <w:rPr>
      <w:lang w:val="en-NZ" w:eastAsia="zh-CN"/>
    </w:rPr>
  </w:style>
  <w:style w:type="paragraph" w:styleId="FootnoteText">
    <w:name w:val="footnote text"/>
    <w:basedOn w:val="Normal"/>
    <w:link w:val="FootnoteTextChar"/>
    <w:uiPriority w:val="99"/>
    <w:semiHidden/>
    <w:unhideWhenUsed/>
    <w:rsid w:val="002E1D4B"/>
    <w:rPr>
      <w:sz w:val="20"/>
      <w:szCs w:val="20"/>
      <w:lang w:val="en-NZ" w:eastAsia="zh-CN"/>
    </w:rPr>
  </w:style>
  <w:style w:type="character" w:customStyle="1" w:styleId="FootnoteTextChar">
    <w:name w:val="Footnote Text Char"/>
    <w:basedOn w:val="DefaultParagraphFont"/>
    <w:link w:val="FootnoteText"/>
    <w:uiPriority w:val="99"/>
    <w:semiHidden/>
    <w:rsid w:val="002E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E1D4B"/>
    <w:rPr>
      <w:vertAlign w:val="superscript"/>
    </w:rPr>
  </w:style>
  <w:style w:type="paragraph" w:styleId="Caption">
    <w:name w:val="caption"/>
    <w:basedOn w:val="Normal"/>
    <w:next w:val="Normal"/>
    <w:uiPriority w:val="35"/>
    <w:unhideWhenUsed/>
    <w:qFormat/>
    <w:rsid w:val="002E1D4B"/>
    <w:pPr>
      <w:spacing w:after="200"/>
    </w:pPr>
    <w:rPr>
      <w:i/>
      <w:iCs/>
      <w:color w:val="44546A" w:themeColor="text2"/>
      <w:sz w:val="18"/>
      <w:szCs w:val="18"/>
      <w:lang w:val="en-NZ" w:eastAsia="zh-CN"/>
    </w:rPr>
  </w:style>
  <w:style w:type="character" w:customStyle="1" w:styleId="Heading3Char">
    <w:name w:val="Heading 3 Char"/>
    <w:basedOn w:val="DefaultParagraphFont"/>
    <w:link w:val="Heading3"/>
    <w:uiPriority w:val="9"/>
    <w:rsid w:val="00170C48"/>
    <w:rPr>
      <w:rFonts w:asciiTheme="majorHAnsi" w:eastAsiaTheme="majorEastAsia" w:hAnsiTheme="majorHAnsi" w:cstheme="majorBidi"/>
      <w:color w:val="1F4D78" w:themeColor="accent1" w:themeShade="7F"/>
      <w:sz w:val="24"/>
      <w:szCs w:val="24"/>
      <w:lang w:val="en-US" w:eastAsia="en-US"/>
    </w:rPr>
  </w:style>
  <w:style w:type="character" w:customStyle="1" w:styleId="apple-converted-space">
    <w:name w:val="apple-converted-space"/>
    <w:basedOn w:val="DefaultParagraphFont"/>
    <w:rsid w:val="00170C48"/>
  </w:style>
  <w:style w:type="character" w:styleId="Emphasis">
    <w:name w:val="Emphasis"/>
    <w:basedOn w:val="DefaultParagraphFont"/>
    <w:uiPriority w:val="20"/>
    <w:qFormat/>
    <w:rsid w:val="00170C48"/>
    <w:rPr>
      <w:i/>
      <w:iCs/>
    </w:rPr>
  </w:style>
  <w:style w:type="character" w:styleId="Hyperlink">
    <w:name w:val="Hyperlink"/>
    <w:basedOn w:val="DefaultParagraphFont"/>
    <w:uiPriority w:val="99"/>
    <w:unhideWhenUsed/>
    <w:rsid w:val="001F60C6"/>
    <w:rPr>
      <w:color w:val="0000FF"/>
      <w:u w:val="single"/>
    </w:rPr>
  </w:style>
  <w:style w:type="paragraph" w:styleId="BalloonText">
    <w:name w:val="Balloon Text"/>
    <w:basedOn w:val="Normal"/>
    <w:link w:val="BalloonTextChar"/>
    <w:uiPriority w:val="99"/>
    <w:semiHidden/>
    <w:unhideWhenUsed/>
    <w:rsid w:val="001F6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0C6"/>
    <w:rPr>
      <w:rFonts w:ascii="Segoe UI" w:eastAsia="Times New Roman" w:hAnsi="Segoe UI" w:cs="Segoe UI"/>
      <w:sz w:val="18"/>
      <w:szCs w:val="18"/>
      <w:lang w:val="en-US" w:eastAsia="en-US"/>
    </w:rPr>
  </w:style>
  <w:style w:type="character" w:styleId="CommentReference">
    <w:name w:val="annotation reference"/>
    <w:basedOn w:val="DefaultParagraphFont"/>
    <w:uiPriority w:val="99"/>
    <w:semiHidden/>
    <w:unhideWhenUsed/>
    <w:rsid w:val="001F60C6"/>
    <w:rPr>
      <w:sz w:val="16"/>
      <w:szCs w:val="16"/>
    </w:rPr>
  </w:style>
  <w:style w:type="paragraph" w:styleId="CommentText">
    <w:name w:val="annotation text"/>
    <w:basedOn w:val="Normal"/>
    <w:link w:val="CommentTextChar"/>
    <w:uiPriority w:val="99"/>
    <w:semiHidden/>
    <w:unhideWhenUsed/>
    <w:rsid w:val="001F60C6"/>
    <w:rPr>
      <w:sz w:val="20"/>
      <w:szCs w:val="20"/>
    </w:rPr>
  </w:style>
  <w:style w:type="character" w:customStyle="1" w:styleId="CommentTextChar">
    <w:name w:val="Comment Text Char"/>
    <w:basedOn w:val="DefaultParagraphFont"/>
    <w:link w:val="CommentText"/>
    <w:uiPriority w:val="99"/>
    <w:semiHidden/>
    <w:rsid w:val="001F60C6"/>
    <w:rPr>
      <w:rFonts w:ascii="Times New Roman" w:eastAsia="Times New Roman" w:hAnsi="Times New Roman" w:cs="Times New Roman"/>
      <w:sz w:val="20"/>
      <w:szCs w:val="20"/>
      <w:lang w:val="en-US" w:eastAsia="en-US"/>
    </w:rPr>
  </w:style>
  <w:style w:type="paragraph" w:customStyle="1" w:styleId="xl63">
    <w:name w:val="xl63"/>
    <w:basedOn w:val="Normal"/>
    <w:rsid w:val="001F60C6"/>
    <w:pPr>
      <w:spacing w:before="100" w:beforeAutospacing="1" w:after="100" w:afterAutospacing="1"/>
      <w:jc w:val="center"/>
      <w:textAlignment w:val="center"/>
    </w:pPr>
    <w:rPr>
      <w:lang w:val="en-NZ" w:eastAsia="zh-CN"/>
    </w:rPr>
  </w:style>
  <w:style w:type="paragraph" w:customStyle="1" w:styleId="xl64">
    <w:name w:val="xl64"/>
    <w:basedOn w:val="Normal"/>
    <w:rsid w:val="001F60C6"/>
    <w:pPr>
      <w:spacing w:before="100" w:beforeAutospacing="1" w:after="100" w:afterAutospacing="1"/>
      <w:textAlignment w:val="center"/>
    </w:pPr>
    <w:rPr>
      <w:lang w:val="en-NZ" w:eastAsia="zh-CN"/>
    </w:rPr>
  </w:style>
  <w:style w:type="paragraph" w:customStyle="1" w:styleId="xl65">
    <w:name w:val="xl65"/>
    <w:basedOn w:val="Normal"/>
    <w:rsid w:val="001F6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NZ" w:eastAsia="zh-CN"/>
    </w:rPr>
  </w:style>
  <w:style w:type="paragraph" w:customStyle="1" w:styleId="xl66">
    <w:name w:val="xl66"/>
    <w:basedOn w:val="Normal"/>
    <w:rsid w:val="001F60C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NZ" w:eastAsia="zh-CN"/>
    </w:rPr>
  </w:style>
  <w:style w:type="paragraph" w:customStyle="1" w:styleId="xl67">
    <w:name w:val="xl67"/>
    <w:basedOn w:val="Normal"/>
    <w:rsid w:val="001F60C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NZ" w:eastAsia="zh-CN"/>
    </w:rPr>
  </w:style>
  <w:style w:type="paragraph" w:customStyle="1" w:styleId="xl68">
    <w:name w:val="xl68"/>
    <w:basedOn w:val="Normal"/>
    <w:rsid w:val="001F60C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lang w:val="en-NZ" w:eastAsia="zh-CN"/>
    </w:rPr>
  </w:style>
  <w:style w:type="paragraph" w:customStyle="1" w:styleId="xl69">
    <w:name w:val="xl69"/>
    <w:basedOn w:val="Normal"/>
    <w:rsid w:val="001F60C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NZ" w:eastAsia="zh-CN"/>
    </w:rPr>
  </w:style>
  <w:style w:type="paragraph" w:customStyle="1" w:styleId="xl70">
    <w:name w:val="xl70"/>
    <w:basedOn w:val="Normal"/>
    <w:rsid w:val="001F6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NZ" w:eastAsia="zh-CN"/>
    </w:rPr>
  </w:style>
  <w:style w:type="paragraph" w:customStyle="1" w:styleId="xl71">
    <w:name w:val="xl71"/>
    <w:basedOn w:val="Normal"/>
    <w:rsid w:val="001F60C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NZ" w:eastAsia="zh-CN"/>
    </w:rPr>
  </w:style>
  <w:style w:type="paragraph" w:customStyle="1" w:styleId="xl72">
    <w:name w:val="xl72"/>
    <w:basedOn w:val="Normal"/>
    <w:rsid w:val="001F60C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NZ" w:eastAsia="zh-CN"/>
    </w:rPr>
  </w:style>
  <w:style w:type="paragraph" w:customStyle="1" w:styleId="xl73">
    <w:name w:val="xl73"/>
    <w:basedOn w:val="Normal"/>
    <w:rsid w:val="001F6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NZ" w:eastAsia="zh-CN"/>
    </w:rPr>
  </w:style>
  <w:style w:type="paragraph" w:customStyle="1" w:styleId="xl74">
    <w:name w:val="xl74"/>
    <w:basedOn w:val="Normal"/>
    <w:rsid w:val="001F60C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NZ" w:eastAsia="zh-CN"/>
    </w:rPr>
  </w:style>
  <w:style w:type="paragraph" w:customStyle="1" w:styleId="xl75">
    <w:name w:val="xl75"/>
    <w:basedOn w:val="Normal"/>
    <w:rsid w:val="001F60C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NZ" w:eastAsia="zh-CN"/>
    </w:rPr>
  </w:style>
  <w:style w:type="paragraph" w:customStyle="1" w:styleId="xl76">
    <w:name w:val="xl76"/>
    <w:basedOn w:val="Normal"/>
    <w:rsid w:val="001F6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NZ" w:eastAsia="zh-CN"/>
    </w:rPr>
  </w:style>
  <w:style w:type="paragraph" w:customStyle="1" w:styleId="xl77">
    <w:name w:val="xl77"/>
    <w:basedOn w:val="Normal"/>
    <w:rsid w:val="001F60C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NZ" w:eastAsia="zh-CN"/>
    </w:rPr>
  </w:style>
  <w:style w:type="paragraph" w:customStyle="1" w:styleId="xl78">
    <w:name w:val="xl78"/>
    <w:basedOn w:val="Normal"/>
    <w:rsid w:val="001F60C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NZ" w:eastAsia="zh-CN"/>
    </w:rPr>
  </w:style>
  <w:style w:type="paragraph" w:customStyle="1" w:styleId="xl79">
    <w:name w:val="xl79"/>
    <w:basedOn w:val="Normal"/>
    <w:rsid w:val="001F60C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0000"/>
      <w:sz w:val="20"/>
      <w:szCs w:val="20"/>
      <w:lang w:val="en-NZ" w:eastAsia="zh-CN"/>
    </w:rPr>
  </w:style>
  <w:style w:type="paragraph" w:customStyle="1" w:styleId="xl80">
    <w:name w:val="xl80"/>
    <w:basedOn w:val="Normal"/>
    <w:rsid w:val="001F60C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n-NZ" w:eastAsia="zh-CN"/>
    </w:rPr>
  </w:style>
  <w:style w:type="paragraph" w:customStyle="1" w:styleId="xl81">
    <w:name w:val="xl81"/>
    <w:basedOn w:val="Normal"/>
    <w:rsid w:val="001F60C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n-NZ" w:eastAsia="zh-CN"/>
    </w:rPr>
  </w:style>
  <w:style w:type="paragraph" w:customStyle="1" w:styleId="xl82">
    <w:name w:val="xl82"/>
    <w:basedOn w:val="Normal"/>
    <w:rsid w:val="001F60C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n-NZ" w:eastAsia="zh-CN"/>
    </w:rPr>
  </w:style>
  <w:style w:type="paragraph" w:customStyle="1" w:styleId="xl83">
    <w:name w:val="xl83"/>
    <w:basedOn w:val="Normal"/>
    <w:rsid w:val="001F60C6"/>
    <w:pPr>
      <w:pBdr>
        <w:top w:val="single" w:sz="4" w:space="0" w:color="auto"/>
        <w:left w:val="single" w:sz="8" w:space="0" w:color="auto"/>
        <w:bottom w:val="single" w:sz="4" w:space="0" w:color="auto"/>
        <w:right w:val="double" w:sz="6" w:space="0" w:color="auto"/>
      </w:pBdr>
      <w:spacing w:before="100" w:beforeAutospacing="1" w:after="100" w:afterAutospacing="1"/>
      <w:textAlignment w:val="center"/>
    </w:pPr>
    <w:rPr>
      <w:color w:val="000000"/>
      <w:sz w:val="20"/>
      <w:szCs w:val="20"/>
      <w:lang w:val="en-NZ" w:eastAsia="zh-CN"/>
    </w:rPr>
  </w:style>
  <w:style w:type="paragraph" w:customStyle="1" w:styleId="xl84">
    <w:name w:val="xl84"/>
    <w:basedOn w:val="Normal"/>
    <w:rsid w:val="001F60C6"/>
    <w:pPr>
      <w:pBdr>
        <w:top w:val="single" w:sz="4" w:space="0" w:color="auto"/>
        <w:left w:val="single" w:sz="8" w:space="0" w:color="auto"/>
        <w:bottom w:val="single" w:sz="4" w:space="0" w:color="auto"/>
        <w:right w:val="double" w:sz="6" w:space="0" w:color="auto"/>
      </w:pBdr>
      <w:spacing w:before="100" w:beforeAutospacing="1" w:after="100" w:afterAutospacing="1"/>
      <w:textAlignment w:val="center"/>
    </w:pPr>
    <w:rPr>
      <w:lang w:val="en-NZ" w:eastAsia="zh-CN"/>
    </w:rPr>
  </w:style>
  <w:style w:type="paragraph" w:customStyle="1" w:styleId="xl85">
    <w:name w:val="xl85"/>
    <w:basedOn w:val="Normal"/>
    <w:rsid w:val="001F60C6"/>
    <w:pPr>
      <w:pBdr>
        <w:top w:val="single" w:sz="4" w:space="0" w:color="auto"/>
        <w:left w:val="single" w:sz="8" w:space="0" w:color="auto"/>
        <w:bottom w:val="single" w:sz="4" w:space="0" w:color="auto"/>
      </w:pBdr>
      <w:spacing w:before="100" w:beforeAutospacing="1" w:after="100" w:afterAutospacing="1"/>
      <w:textAlignment w:val="center"/>
    </w:pPr>
    <w:rPr>
      <w:lang w:val="en-NZ" w:eastAsia="zh-CN"/>
    </w:rPr>
  </w:style>
  <w:style w:type="paragraph" w:customStyle="1" w:styleId="xl86">
    <w:name w:val="xl86"/>
    <w:basedOn w:val="Normal"/>
    <w:rsid w:val="001F60C6"/>
    <w:pPr>
      <w:pBdr>
        <w:top w:val="single" w:sz="4" w:space="0" w:color="auto"/>
        <w:left w:val="single" w:sz="8" w:space="0" w:color="auto"/>
        <w:bottom w:val="single" w:sz="4" w:space="0" w:color="auto"/>
      </w:pBdr>
      <w:spacing w:before="100" w:beforeAutospacing="1" w:after="100" w:afterAutospacing="1"/>
      <w:textAlignment w:val="center"/>
    </w:pPr>
    <w:rPr>
      <w:color w:val="000000"/>
      <w:sz w:val="20"/>
      <w:szCs w:val="20"/>
      <w:lang w:val="en-NZ" w:eastAsia="zh-CN"/>
    </w:rPr>
  </w:style>
  <w:style w:type="paragraph" w:customStyle="1" w:styleId="xl87">
    <w:name w:val="xl87"/>
    <w:basedOn w:val="Normal"/>
    <w:rsid w:val="001F60C6"/>
    <w:pPr>
      <w:pBdr>
        <w:top w:val="single" w:sz="4" w:space="0" w:color="auto"/>
        <w:left w:val="single" w:sz="8" w:space="0" w:color="auto"/>
        <w:bottom w:val="single" w:sz="8" w:space="0" w:color="auto"/>
      </w:pBdr>
      <w:spacing w:before="100" w:beforeAutospacing="1" w:after="100" w:afterAutospacing="1"/>
      <w:textAlignment w:val="center"/>
    </w:pPr>
    <w:rPr>
      <w:lang w:val="en-NZ" w:eastAsia="zh-CN"/>
    </w:rPr>
  </w:style>
  <w:style w:type="paragraph" w:customStyle="1" w:styleId="xl88">
    <w:name w:val="xl88"/>
    <w:basedOn w:val="Normal"/>
    <w:rsid w:val="001F60C6"/>
    <w:pPr>
      <w:pBdr>
        <w:top w:val="single" w:sz="4" w:space="0" w:color="auto"/>
        <w:left w:val="single" w:sz="8" w:space="0" w:color="auto"/>
        <w:bottom w:val="single" w:sz="4" w:space="0" w:color="auto"/>
      </w:pBdr>
      <w:spacing w:before="100" w:beforeAutospacing="1" w:after="100" w:afterAutospacing="1"/>
      <w:textAlignment w:val="center"/>
    </w:pPr>
    <w:rPr>
      <w:b/>
      <w:bCs/>
      <w:lang w:val="en-NZ" w:eastAsia="zh-CN"/>
    </w:rPr>
  </w:style>
  <w:style w:type="paragraph" w:customStyle="1" w:styleId="xl89">
    <w:name w:val="xl89"/>
    <w:basedOn w:val="Normal"/>
    <w:rsid w:val="001F60C6"/>
    <w:pPr>
      <w:pBdr>
        <w:top w:val="single" w:sz="8" w:space="0" w:color="auto"/>
        <w:left w:val="single" w:sz="8" w:space="0" w:color="auto"/>
        <w:bottom w:val="single" w:sz="4" w:space="0" w:color="auto"/>
        <w:right w:val="double" w:sz="6" w:space="0" w:color="auto"/>
      </w:pBdr>
      <w:spacing w:before="100" w:beforeAutospacing="1" w:after="100" w:afterAutospacing="1"/>
      <w:jc w:val="center"/>
      <w:textAlignment w:val="center"/>
    </w:pPr>
    <w:rPr>
      <w:lang w:val="en-NZ" w:eastAsia="zh-CN"/>
    </w:rPr>
  </w:style>
  <w:style w:type="paragraph" w:customStyle="1" w:styleId="xl90">
    <w:name w:val="xl90"/>
    <w:basedOn w:val="Normal"/>
    <w:rsid w:val="001F60C6"/>
    <w:pPr>
      <w:pBdr>
        <w:top w:val="single" w:sz="4" w:space="0" w:color="auto"/>
        <w:left w:val="single" w:sz="8" w:space="0" w:color="auto"/>
        <w:bottom w:val="single" w:sz="4" w:space="0" w:color="auto"/>
        <w:right w:val="double" w:sz="6" w:space="0" w:color="auto"/>
      </w:pBdr>
      <w:spacing w:before="100" w:beforeAutospacing="1" w:after="100" w:afterAutospacing="1"/>
      <w:jc w:val="center"/>
      <w:textAlignment w:val="center"/>
    </w:pPr>
    <w:rPr>
      <w:lang w:val="en-NZ" w:eastAsia="zh-CN"/>
    </w:rPr>
  </w:style>
  <w:style w:type="paragraph" w:customStyle="1" w:styleId="xl91">
    <w:name w:val="xl91"/>
    <w:basedOn w:val="Normal"/>
    <w:rsid w:val="001F60C6"/>
    <w:pPr>
      <w:pBdr>
        <w:top w:val="single" w:sz="4" w:space="0" w:color="auto"/>
        <w:left w:val="single" w:sz="8" w:space="0" w:color="auto"/>
        <w:bottom w:val="single" w:sz="4" w:space="0" w:color="auto"/>
        <w:right w:val="double" w:sz="6" w:space="0" w:color="auto"/>
      </w:pBdr>
      <w:spacing w:before="100" w:beforeAutospacing="1" w:after="100" w:afterAutospacing="1"/>
      <w:textAlignment w:val="center"/>
    </w:pPr>
    <w:rPr>
      <w:b/>
      <w:bCs/>
      <w:lang w:val="en-NZ" w:eastAsia="zh-CN"/>
    </w:rPr>
  </w:style>
  <w:style w:type="character" w:customStyle="1" w:styleId="gmail-apple-converted-space">
    <w:name w:val="gmail-apple-converted-space"/>
    <w:basedOn w:val="DefaultParagraphFont"/>
    <w:rsid w:val="00184564"/>
  </w:style>
  <w:style w:type="paragraph" w:styleId="CommentSubject">
    <w:name w:val="annotation subject"/>
    <w:basedOn w:val="CommentText"/>
    <w:next w:val="CommentText"/>
    <w:link w:val="CommentSubjectChar"/>
    <w:uiPriority w:val="99"/>
    <w:semiHidden/>
    <w:unhideWhenUsed/>
    <w:rsid w:val="00337844"/>
    <w:rPr>
      <w:b/>
      <w:bCs/>
    </w:rPr>
  </w:style>
  <w:style w:type="character" w:customStyle="1" w:styleId="CommentSubjectChar">
    <w:name w:val="Comment Subject Char"/>
    <w:basedOn w:val="CommentTextChar"/>
    <w:link w:val="CommentSubject"/>
    <w:uiPriority w:val="99"/>
    <w:semiHidden/>
    <w:rsid w:val="00337844"/>
    <w:rPr>
      <w:rFonts w:ascii="Times New Roman" w:eastAsia="Times New Roman" w:hAnsi="Times New Roman" w:cs="Times New Roman"/>
      <w:b/>
      <w:bCs/>
      <w:sz w:val="20"/>
      <w:szCs w:val="20"/>
      <w:lang w:val="en-US" w:eastAsia="en-US"/>
    </w:rPr>
  </w:style>
  <w:style w:type="paragraph" w:styleId="ListParagraph">
    <w:name w:val="List Paragraph"/>
    <w:basedOn w:val="Normal"/>
    <w:uiPriority w:val="34"/>
    <w:qFormat/>
    <w:rsid w:val="00DD1737"/>
    <w:pPr>
      <w:ind w:left="720"/>
      <w:contextualSpacing/>
    </w:pPr>
  </w:style>
  <w:style w:type="character" w:customStyle="1" w:styleId="Heading2Char">
    <w:name w:val="Heading 2 Char"/>
    <w:basedOn w:val="DefaultParagraphFont"/>
    <w:link w:val="Heading2"/>
    <w:uiPriority w:val="9"/>
    <w:rsid w:val="00DD1737"/>
    <w:rPr>
      <w:rFonts w:ascii="Times New Roman" w:eastAsiaTheme="majorEastAsia" w:hAnsi="Times New Roman" w:cstheme="majorBidi"/>
      <w:b/>
      <w:i/>
      <w:iCs/>
      <w:color w:val="000000" w:themeColor="text1"/>
      <w:sz w:val="24"/>
      <w:szCs w:val="26"/>
      <w:lang w:val="en-US" w:eastAsia="en-US"/>
    </w:rPr>
  </w:style>
  <w:style w:type="character" w:styleId="EndnoteReference">
    <w:name w:val="endnote reference"/>
    <w:basedOn w:val="DefaultParagraphFont"/>
    <w:uiPriority w:val="99"/>
    <w:semiHidden/>
    <w:unhideWhenUsed/>
    <w:rsid w:val="00A50A83"/>
    <w:rPr>
      <w:vertAlign w:val="superscript"/>
    </w:rPr>
  </w:style>
  <w:style w:type="paragraph" w:styleId="PlainText">
    <w:name w:val="Plain Text"/>
    <w:basedOn w:val="Normal"/>
    <w:link w:val="PlainTextChar"/>
    <w:uiPriority w:val="99"/>
    <w:rsid w:val="006215A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6215A0"/>
    <w:rPr>
      <w:rFonts w:ascii="Courier New" w:eastAsia="SimSun" w:hAnsi="Courier New" w:cs="Courier New"/>
      <w:sz w:val="20"/>
      <w:szCs w:val="20"/>
      <w:lang w:val="en-US"/>
    </w:rPr>
  </w:style>
  <w:style w:type="character" w:styleId="UnresolvedMention">
    <w:name w:val="Unresolved Mention"/>
    <w:basedOn w:val="DefaultParagraphFont"/>
    <w:uiPriority w:val="99"/>
    <w:semiHidden/>
    <w:unhideWhenUsed/>
    <w:rsid w:val="00C661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527">
      <w:bodyDiv w:val="1"/>
      <w:marLeft w:val="0"/>
      <w:marRight w:val="0"/>
      <w:marTop w:val="0"/>
      <w:marBottom w:val="0"/>
      <w:divBdr>
        <w:top w:val="none" w:sz="0" w:space="0" w:color="auto"/>
        <w:left w:val="none" w:sz="0" w:space="0" w:color="auto"/>
        <w:bottom w:val="none" w:sz="0" w:space="0" w:color="auto"/>
        <w:right w:val="none" w:sz="0" w:space="0" w:color="auto"/>
      </w:divBdr>
    </w:div>
    <w:div w:id="122624487">
      <w:bodyDiv w:val="1"/>
      <w:marLeft w:val="0"/>
      <w:marRight w:val="0"/>
      <w:marTop w:val="0"/>
      <w:marBottom w:val="0"/>
      <w:divBdr>
        <w:top w:val="none" w:sz="0" w:space="0" w:color="auto"/>
        <w:left w:val="none" w:sz="0" w:space="0" w:color="auto"/>
        <w:bottom w:val="none" w:sz="0" w:space="0" w:color="auto"/>
        <w:right w:val="none" w:sz="0" w:space="0" w:color="auto"/>
      </w:divBdr>
    </w:div>
    <w:div w:id="255292538">
      <w:bodyDiv w:val="1"/>
      <w:marLeft w:val="0"/>
      <w:marRight w:val="0"/>
      <w:marTop w:val="0"/>
      <w:marBottom w:val="0"/>
      <w:divBdr>
        <w:top w:val="none" w:sz="0" w:space="0" w:color="auto"/>
        <w:left w:val="none" w:sz="0" w:space="0" w:color="auto"/>
        <w:bottom w:val="none" w:sz="0" w:space="0" w:color="auto"/>
        <w:right w:val="none" w:sz="0" w:space="0" w:color="auto"/>
      </w:divBdr>
    </w:div>
    <w:div w:id="373582626">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56632414">
      <w:bodyDiv w:val="1"/>
      <w:marLeft w:val="0"/>
      <w:marRight w:val="0"/>
      <w:marTop w:val="0"/>
      <w:marBottom w:val="0"/>
      <w:divBdr>
        <w:top w:val="none" w:sz="0" w:space="0" w:color="auto"/>
        <w:left w:val="none" w:sz="0" w:space="0" w:color="auto"/>
        <w:bottom w:val="none" w:sz="0" w:space="0" w:color="auto"/>
        <w:right w:val="none" w:sz="0" w:space="0" w:color="auto"/>
      </w:divBdr>
    </w:div>
    <w:div w:id="788015566">
      <w:bodyDiv w:val="1"/>
      <w:marLeft w:val="0"/>
      <w:marRight w:val="0"/>
      <w:marTop w:val="0"/>
      <w:marBottom w:val="0"/>
      <w:divBdr>
        <w:top w:val="none" w:sz="0" w:space="0" w:color="auto"/>
        <w:left w:val="none" w:sz="0" w:space="0" w:color="auto"/>
        <w:bottom w:val="none" w:sz="0" w:space="0" w:color="auto"/>
        <w:right w:val="none" w:sz="0" w:space="0" w:color="auto"/>
      </w:divBdr>
    </w:div>
    <w:div w:id="827013279">
      <w:bodyDiv w:val="1"/>
      <w:marLeft w:val="0"/>
      <w:marRight w:val="0"/>
      <w:marTop w:val="0"/>
      <w:marBottom w:val="0"/>
      <w:divBdr>
        <w:top w:val="none" w:sz="0" w:space="0" w:color="auto"/>
        <w:left w:val="none" w:sz="0" w:space="0" w:color="auto"/>
        <w:bottom w:val="none" w:sz="0" w:space="0" w:color="auto"/>
        <w:right w:val="none" w:sz="0" w:space="0" w:color="auto"/>
      </w:divBdr>
    </w:div>
    <w:div w:id="955873046">
      <w:bodyDiv w:val="1"/>
      <w:marLeft w:val="0"/>
      <w:marRight w:val="0"/>
      <w:marTop w:val="0"/>
      <w:marBottom w:val="0"/>
      <w:divBdr>
        <w:top w:val="none" w:sz="0" w:space="0" w:color="auto"/>
        <w:left w:val="none" w:sz="0" w:space="0" w:color="auto"/>
        <w:bottom w:val="none" w:sz="0" w:space="0" w:color="auto"/>
        <w:right w:val="none" w:sz="0" w:space="0" w:color="auto"/>
      </w:divBdr>
    </w:div>
    <w:div w:id="1093473212">
      <w:bodyDiv w:val="1"/>
      <w:marLeft w:val="0"/>
      <w:marRight w:val="0"/>
      <w:marTop w:val="0"/>
      <w:marBottom w:val="0"/>
      <w:divBdr>
        <w:top w:val="none" w:sz="0" w:space="0" w:color="auto"/>
        <w:left w:val="none" w:sz="0" w:space="0" w:color="auto"/>
        <w:bottom w:val="none" w:sz="0" w:space="0" w:color="auto"/>
        <w:right w:val="none" w:sz="0" w:space="0" w:color="auto"/>
      </w:divBdr>
    </w:div>
    <w:div w:id="1127700867">
      <w:bodyDiv w:val="1"/>
      <w:marLeft w:val="0"/>
      <w:marRight w:val="0"/>
      <w:marTop w:val="0"/>
      <w:marBottom w:val="0"/>
      <w:divBdr>
        <w:top w:val="none" w:sz="0" w:space="0" w:color="auto"/>
        <w:left w:val="none" w:sz="0" w:space="0" w:color="auto"/>
        <w:bottom w:val="none" w:sz="0" w:space="0" w:color="auto"/>
        <w:right w:val="none" w:sz="0" w:space="0" w:color="auto"/>
      </w:divBdr>
    </w:div>
    <w:div w:id="1157958152">
      <w:bodyDiv w:val="1"/>
      <w:marLeft w:val="0"/>
      <w:marRight w:val="0"/>
      <w:marTop w:val="0"/>
      <w:marBottom w:val="0"/>
      <w:divBdr>
        <w:top w:val="none" w:sz="0" w:space="0" w:color="auto"/>
        <w:left w:val="none" w:sz="0" w:space="0" w:color="auto"/>
        <w:bottom w:val="none" w:sz="0" w:space="0" w:color="auto"/>
        <w:right w:val="none" w:sz="0" w:space="0" w:color="auto"/>
      </w:divBdr>
    </w:div>
    <w:div w:id="1209604324">
      <w:bodyDiv w:val="1"/>
      <w:marLeft w:val="0"/>
      <w:marRight w:val="0"/>
      <w:marTop w:val="0"/>
      <w:marBottom w:val="0"/>
      <w:divBdr>
        <w:top w:val="none" w:sz="0" w:space="0" w:color="auto"/>
        <w:left w:val="none" w:sz="0" w:space="0" w:color="auto"/>
        <w:bottom w:val="none" w:sz="0" w:space="0" w:color="auto"/>
        <w:right w:val="none" w:sz="0" w:space="0" w:color="auto"/>
      </w:divBdr>
    </w:div>
    <w:div w:id="1282764754">
      <w:bodyDiv w:val="1"/>
      <w:marLeft w:val="0"/>
      <w:marRight w:val="0"/>
      <w:marTop w:val="0"/>
      <w:marBottom w:val="0"/>
      <w:divBdr>
        <w:top w:val="none" w:sz="0" w:space="0" w:color="auto"/>
        <w:left w:val="none" w:sz="0" w:space="0" w:color="auto"/>
        <w:bottom w:val="none" w:sz="0" w:space="0" w:color="auto"/>
        <w:right w:val="none" w:sz="0" w:space="0" w:color="auto"/>
      </w:divBdr>
    </w:div>
    <w:div w:id="1507477909">
      <w:bodyDiv w:val="1"/>
      <w:marLeft w:val="0"/>
      <w:marRight w:val="0"/>
      <w:marTop w:val="0"/>
      <w:marBottom w:val="0"/>
      <w:divBdr>
        <w:top w:val="none" w:sz="0" w:space="0" w:color="auto"/>
        <w:left w:val="none" w:sz="0" w:space="0" w:color="auto"/>
        <w:bottom w:val="none" w:sz="0" w:space="0" w:color="auto"/>
        <w:right w:val="none" w:sz="0" w:space="0" w:color="auto"/>
      </w:divBdr>
    </w:div>
    <w:div w:id="1898320954">
      <w:bodyDiv w:val="1"/>
      <w:marLeft w:val="0"/>
      <w:marRight w:val="0"/>
      <w:marTop w:val="0"/>
      <w:marBottom w:val="0"/>
      <w:divBdr>
        <w:top w:val="none" w:sz="0" w:space="0" w:color="auto"/>
        <w:left w:val="none" w:sz="0" w:space="0" w:color="auto"/>
        <w:bottom w:val="none" w:sz="0" w:space="0" w:color="auto"/>
        <w:right w:val="none" w:sz="0" w:space="0" w:color="auto"/>
      </w:divBdr>
    </w:div>
    <w:div w:id="1912155797">
      <w:bodyDiv w:val="1"/>
      <w:marLeft w:val="0"/>
      <w:marRight w:val="0"/>
      <w:marTop w:val="0"/>
      <w:marBottom w:val="0"/>
      <w:divBdr>
        <w:top w:val="none" w:sz="0" w:space="0" w:color="auto"/>
        <w:left w:val="none" w:sz="0" w:space="0" w:color="auto"/>
        <w:bottom w:val="none" w:sz="0" w:space="0" w:color="auto"/>
        <w:right w:val="none" w:sz="0" w:space="0" w:color="auto"/>
      </w:divBdr>
    </w:div>
    <w:div w:id="2042513968">
      <w:bodyDiv w:val="1"/>
      <w:marLeft w:val="0"/>
      <w:marRight w:val="0"/>
      <w:marTop w:val="0"/>
      <w:marBottom w:val="0"/>
      <w:divBdr>
        <w:top w:val="none" w:sz="0" w:space="0" w:color="auto"/>
        <w:left w:val="none" w:sz="0" w:space="0" w:color="auto"/>
        <w:bottom w:val="none" w:sz="0" w:space="0" w:color="auto"/>
        <w:right w:val="none" w:sz="0" w:space="0" w:color="auto"/>
      </w:divBdr>
    </w:div>
    <w:div w:id="2098089265">
      <w:bodyDiv w:val="1"/>
      <w:marLeft w:val="0"/>
      <w:marRight w:val="0"/>
      <w:marTop w:val="0"/>
      <w:marBottom w:val="0"/>
      <w:divBdr>
        <w:top w:val="none" w:sz="0" w:space="0" w:color="auto"/>
        <w:left w:val="none" w:sz="0" w:space="0" w:color="auto"/>
        <w:bottom w:val="none" w:sz="0" w:space="0" w:color="auto"/>
        <w:right w:val="none" w:sz="0" w:space="0" w:color="auto"/>
      </w:divBdr>
    </w:div>
    <w:div w:id="21022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1F3C-CFCD-4BB5-B23F-59CB90E0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silverab71@gmail.com</cp:lastModifiedBy>
  <cp:revision>12</cp:revision>
  <cp:lastPrinted>2017-11-20T05:31:00Z</cp:lastPrinted>
  <dcterms:created xsi:type="dcterms:W3CDTF">2018-01-07T19:03:00Z</dcterms:created>
  <dcterms:modified xsi:type="dcterms:W3CDTF">2018-01-15T22:44:00Z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zotero-version="5.0.28"&gt;&lt;session id="yjTXmN9Q"/&gt;&lt;style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