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theme/themeOverride10.xml" ContentType="application/vnd.openxmlformats-officedocument.themeOverride+xml"/>
  <Override PartName="/word/charts/chart13.xml" ContentType="application/vnd.openxmlformats-officedocument.drawingml.chart+xml"/>
  <Override PartName="/word/theme/themeOverride11.xml" ContentType="application/vnd.openxmlformats-officedocument.themeOverride+xml"/>
  <Override PartName="/word/charts/chart14.xml" ContentType="application/vnd.openxmlformats-officedocument.drawingml.chart+xml"/>
  <Override PartName="/word/theme/themeOverride1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40E" w:rsidRDefault="001E540E" w:rsidP="003B30EE">
      <w:pPr>
        <w:pStyle w:val="PlainText"/>
        <w:tabs>
          <w:tab w:val="left" w:pos="284"/>
          <w:tab w:val="left" w:pos="426"/>
        </w:tabs>
        <w:spacing w:line="300" w:lineRule="auto"/>
        <w:jc w:val="center"/>
        <w:rPr>
          <w:rFonts w:ascii="Times New Roman" w:hAnsi="Times New Roman" w:cs="Times New Roman"/>
          <w:b/>
          <w:sz w:val="28"/>
        </w:rPr>
      </w:pPr>
    </w:p>
    <w:p w:rsidR="001E540E" w:rsidRDefault="001E540E" w:rsidP="003B30EE">
      <w:pPr>
        <w:pStyle w:val="PlainText"/>
        <w:tabs>
          <w:tab w:val="left" w:pos="284"/>
          <w:tab w:val="left" w:pos="426"/>
        </w:tabs>
        <w:spacing w:line="300" w:lineRule="auto"/>
        <w:jc w:val="center"/>
        <w:rPr>
          <w:rFonts w:ascii="Times New Roman" w:hAnsi="Times New Roman" w:cs="Times New Roman"/>
          <w:b/>
          <w:sz w:val="28"/>
        </w:rPr>
      </w:pPr>
    </w:p>
    <w:p w:rsidR="003B30EE" w:rsidRPr="00D258B1" w:rsidRDefault="003B30EE" w:rsidP="003B30EE">
      <w:pPr>
        <w:pStyle w:val="PlainText"/>
        <w:tabs>
          <w:tab w:val="left" w:pos="284"/>
          <w:tab w:val="left" w:pos="426"/>
        </w:tabs>
        <w:spacing w:line="300" w:lineRule="auto"/>
        <w:jc w:val="center"/>
        <w:rPr>
          <w:rFonts w:ascii="Times New Roman" w:hAnsi="Times New Roman" w:cs="Times New Roman"/>
          <w:b/>
          <w:sz w:val="28"/>
        </w:rPr>
      </w:pPr>
      <w:r w:rsidRPr="00D258B1">
        <w:rPr>
          <w:rFonts w:ascii="Times New Roman" w:hAnsi="Times New Roman" w:cs="Times New Roman"/>
          <w:b/>
          <w:sz w:val="28"/>
        </w:rPr>
        <w:t>UNIVERSITY OF WAIKATO</w:t>
      </w:r>
    </w:p>
    <w:p w:rsidR="003B30EE" w:rsidRPr="00981515" w:rsidRDefault="003B30EE" w:rsidP="003B30EE">
      <w:pPr>
        <w:pStyle w:val="PlainText"/>
        <w:tabs>
          <w:tab w:val="left" w:pos="284"/>
          <w:tab w:val="left" w:pos="426"/>
        </w:tabs>
        <w:spacing w:line="300" w:lineRule="auto"/>
        <w:jc w:val="center"/>
        <w:rPr>
          <w:rFonts w:ascii="Times New Roman" w:hAnsi="Times New Roman" w:cs="Times New Roman"/>
          <w:b/>
          <w:sz w:val="14"/>
          <w:szCs w:val="14"/>
        </w:rPr>
      </w:pPr>
    </w:p>
    <w:p w:rsidR="003B30EE" w:rsidRPr="00D258B1" w:rsidRDefault="003B30EE" w:rsidP="003B30EE">
      <w:pPr>
        <w:pStyle w:val="PlainText"/>
        <w:tabs>
          <w:tab w:val="left" w:pos="284"/>
          <w:tab w:val="left" w:pos="426"/>
        </w:tabs>
        <w:spacing w:line="300" w:lineRule="auto"/>
        <w:jc w:val="center"/>
        <w:rPr>
          <w:rFonts w:ascii="Times New Roman" w:hAnsi="Times New Roman" w:cs="Times New Roman"/>
          <w:b/>
          <w:sz w:val="28"/>
        </w:rPr>
      </w:pPr>
      <w:smartTag w:uri="urn:schemas-microsoft-com:office:smarttags" w:element="City">
        <w:smartTag w:uri="urn:schemas-microsoft-com:office:smarttags" w:element="place">
          <w:r w:rsidRPr="00D258B1">
            <w:rPr>
              <w:rFonts w:ascii="Times New Roman" w:hAnsi="Times New Roman" w:cs="Times New Roman"/>
              <w:b/>
              <w:sz w:val="28"/>
            </w:rPr>
            <w:t>Hamilton</w:t>
          </w:r>
        </w:smartTag>
      </w:smartTag>
    </w:p>
    <w:p w:rsidR="003B30EE" w:rsidRPr="00D258B1" w:rsidRDefault="003B30EE" w:rsidP="003B30EE">
      <w:pPr>
        <w:pStyle w:val="PlainText"/>
        <w:tabs>
          <w:tab w:val="left" w:pos="284"/>
          <w:tab w:val="left" w:pos="426"/>
        </w:tabs>
        <w:spacing w:line="300" w:lineRule="auto"/>
        <w:jc w:val="center"/>
        <w:rPr>
          <w:rFonts w:ascii="Times New Roman" w:hAnsi="Times New Roman" w:cs="Times New Roman"/>
          <w:b/>
          <w:sz w:val="28"/>
        </w:rPr>
      </w:pPr>
      <w:smartTag w:uri="urn:schemas-microsoft-com:office:smarttags" w:element="country-region">
        <w:smartTag w:uri="urn:schemas-microsoft-com:office:smarttags" w:element="place">
          <w:r w:rsidRPr="00D258B1">
            <w:rPr>
              <w:rFonts w:ascii="Times New Roman" w:hAnsi="Times New Roman" w:cs="Times New Roman"/>
              <w:b/>
              <w:sz w:val="28"/>
            </w:rPr>
            <w:t>New Zealand</w:t>
          </w:r>
        </w:smartTag>
      </w:smartTag>
    </w:p>
    <w:p w:rsidR="003B30EE" w:rsidRPr="00D258B1" w:rsidRDefault="003B30EE" w:rsidP="003B30EE">
      <w:pPr>
        <w:pStyle w:val="PlainText"/>
        <w:tabs>
          <w:tab w:val="left" w:pos="284"/>
          <w:tab w:val="left" w:pos="426"/>
        </w:tabs>
        <w:spacing w:line="300" w:lineRule="auto"/>
        <w:jc w:val="center"/>
        <w:rPr>
          <w:rFonts w:ascii="Times New Roman" w:hAnsi="Times New Roman" w:cs="Times New Roman"/>
          <w:b/>
          <w:sz w:val="28"/>
        </w:rPr>
      </w:pPr>
    </w:p>
    <w:p w:rsidR="003B30EE" w:rsidRPr="00C02E72" w:rsidRDefault="003B30EE" w:rsidP="003B30E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8"/>
          <w:szCs w:val="28"/>
        </w:rPr>
      </w:pPr>
    </w:p>
    <w:p w:rsidR="003B30EE" w:rsidRDefault="005E3A7A" w:rsidP="003B30E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8"/>
          <w:szCs w:val="28"/>
        </w:rPr>
      </w:pPr>
      <w:r>
        <w:rPr>
          <w:rFonts w:ascii="Times New Roman" w:hAnsi="Times New Roman" w:cs="Times New Roman"/>
          <w:b/>
          <w:sz w:val="28"/>
          <w:szCs w:val="28"/>
        </w:rPr>
        <w:t>Prospect Theory and Earnings Manipulation:</w:t>
      </w:r>
    </w:p>
    <w:p w:rsidR="00C46D6B" w:rsidRDefault="005E3A7A" w:rsidP="003B30E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8"/>
          <w:szCs w:val="28"/>
        </w:rPr>
      </w:pPr>
      <w:r>
        <w:rPr>
          <w:rFonts w:ascii="Times New Roman" w:hAnsi="Times New Roman" w:cs="Times New Roman"/>
          <w:b/>
          <w:sz w:val="28"/>
          <w:szCs w:val="28"/>
        </w:rPr>
        <w:t xml:space="preserve">Examination of </w:t>
      </w:r>
      <w:r w:rsidR="00F46D6F">
        <w:rPr>
          <w:rFonts w:ascii="Times New Roman" w:hAnsi="Times New Roman" w:cs="Times New Roman"/>
          <w:b/>
          <w:sz w:val="28"/>
          <w:szCs w:val="28"/>
        </w:rPr>
        <w:t xml:space="preserve">the </w:t>
      </w:r>
      <w:r>
        <w:rPr>
          <w:rFonts w:ascii="Times New Roman" w:hAnsi="Times New Roman" w:cs="Times New Roman"/>
          <w:b/>
          <w:sz w:val="28"/>
          <w:szCs w:val="28"/>
        </w:rPr>
        <w:t xml:space="preserve">Non-Uniform Relationship </w:t>
      </w:r>
    </w:p>
    <w:p w:rsidR="00C46D6B" w:rsidRDefault="005E3A7A" w:rsidP="003B30E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8"/>
          <w:szCs w:val="28"/>
        </w:rPr>
      </w:pPr>
      <w:r>
        <w:rPr>
          <w:rFonts w:ascii="Times New Roman" w:hAnsi="Times New Roman" w:cs="Times New Roman"/>
          <w:b/>
          <w:sz w:val="28"/>
          <w:szCs w:val="28"/>
        </w:rPr>
        <w:t xml:space="preserve">between Earnings Manipulation and Stock Returns </w:t>
      </w:r>
    </w:p>
    <w:p w:rsidR="003B30EE" w:rsidRDefault="005E3A7A" w:rsidP="003B30E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28"/>
          <w:szCs w:val="28"/>
        </w:rPr>
      </w:pPr>
      <w:r>
        <w:rPr>
          <w:rFonts w:ascii="Times New Roman" w:hAnsi="Times New Roman" w:cs="Times New Roman"/>
          <w:b/>
          <w:sz w:val="28"/>
          <w:szCs w:val="28"/>
        </w:rPr>
        <w:t>Using Quantile Regression</w:t>
      </w:r>
    </w:p>
    <w:p w:rsidR="00C46D6B" w:rsidRPr="00C46D6B" w:rsidRDefault="00C46D6B" w:rsidP="003B30E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
          <w:sz w:val="16"/>
          <w:szCs w:val="16"/>
        </w:rPr>
      </w:pPr>
    </w:p>
    <w:p w:rsidR="003B30EE" w:rsidRPr="00D258B1" w:rsidRDefault="003B30EE" w:rsidP="003B30E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Cs/>
          <w:sz w:val="28"/>
          <w:szCs w:val="28"/>
        </w:rPr>
      </w:pPr>
      <w:r>
        <w:rPr>
          <w:rFonts w:ascii="Times New Roman" w:hAnsi="Times New Roman" w:cs="Times New Roman"/>
          <w:bCs/>
          <w:sz w:val="28"/>
          <w:szCs w:val="28"/>
        </w:rPr>
        <w:t xml:space="preserve">Leon Li  and  </w:t>
      </w:r>
      <w:proofErr w:type="spellStart"/>
      <w:r>
        <w:rPr>
          <w:rFonts w:ascii="Times New Roman" w:hAnsi="Times New Roman" w:cs="Times New Roman"/>
          <w:bCs/>
          <w:sz w:val="28"/>
          <w:szCs w:val="28"/>
        </w:rPr>
        <w:t>Nen</w:t>
      </w:r>
      <w:proofErr w:type="spellEnd"/>
      <w:r>
        <w:rPr>
          <w:rFonts w:ascii="Times New Roman" w:hAnsi="Times New Roman" w:cs="Times New Roman"/>
          <w:bCs/>
          <w:sz w:val="28"/>
          <w:szCs w:val="28"/>
        </w:rPr>
        <w:t>-Chen Richard Hwang</w:t>
      </w:r>
    </w:p>
    <w:p w:rsidR="003B30EE" w:rsidRPr="00D258B1" w:rsidRDefault="003B30EE" w:rsidP="003B30E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00" w:lineRule="auto"/>
        <w:jc w:val="center"/>
        <w:rPr>
          <w:rFonts w:ascii="Times New Roman" w:hAnsi="Times New Roman" w:cs="Times New Roman"/>
          <w:bCs/>
          <w:i/>
          <w:iCs/>
          <w:sz w:val="24"/>
          <w:szCs w:val="24"/>
        </w:rPr>
      </w:pPr>
    </w:p>
    <w:p w:rsidR="003B30EE" w:rsidRPr="00D258B1" w:rsidRDefault="003B30EE" w:rsidP="003B30EE">
      <w:pPr>
        <w:pStyle w:val="PlainText"/>
        <w:tabs>
          <w:tab w:val="left" w:pos="284"/>
          <w:tab w:val="left" w:pos="426"/>
        </w:tabs>
        <w:spacing w:line="300" w:lineRule="auto"/>
        <w:jc w:val="both"/>
        <w:rPr>
          <w:rFonts w:ascii="Times New Roman" w:hAnsi="Times New Roman" w:cs="Times New Roman"/>
          <w:b/>
        </w:rPr>
      </w:pPr>
    </w:p>
    <w:p w:rsidR="003B30EE" w:rsidRPr="00D258B1" w:rsidRDefault="003B30EE" w:rsidP="003B30EE">
      <w:pPr>
        <w:pStyle w:val="PlainText"/>
        <w:tabs>
          <w:tab w:val="left" w:pos="284"/>
          <w:tab w:val="left" w:pos="426"/>
        </w:tabs>
        <w:spacing w:line="300" w:lineRule="auto"/>
        <w:jc w:val="center"/>
        <w:rPr>
          <w:rFonts w:ascii="Times New Roman" w:hAnsi="Times New Roman" w:cs="Times New Roman"/>
          <w:b/>
          <w:bCs/>
          <w:sz w:val="28"/>
        </w:rPr>
      </w:pPr>
    </w:p>
    <w:p w:rsidR="003B30EE" w:rsidRPr="00D258B1" w:rsidRDefault="003B30EE" w:rsidP="003B30EE">
      <w:pPr>
        <w:pStyle w:val="PlainText"/>
        <w:tabs>
          <w:tab w:val="left" w:pos="284"/>
          <w:tab w:val="left" w:pos="426"/>
        </w:tabs>
        <w:spacing w:line="300" w:lineRule="auto"/>
        <w:jc w:val="center"/>
        <w:rPr>
          <w:rFonts w:ascii="Times New Roman" w:hAnsi="Times New Roman" w:cs="Times New Roman"/>
          <w:b/>
          <w:bCs/>
          <w:sz w:val="28"/>
        </w:rPr>
      </w:pPr>
      <w:r>
        <w:rPr>
          <w:rFonts w:ascii="Times New Roman" w:hAnsi="Times New Roman" w:cs="Times New Roman"/>
          <w:b/>
          <w:bCs/>
          <w:sz w:val="28"/>
        </w:rPr>
        <w:t>Working Paper in Economics 25/17</w:t>
      </w:r>
    </w:p>
    <w:p w:rsidR="003B30EE" w:rsidRPr="00D258B1" w:rsidRDefault="003B30EE" w:rsidP="003B30EE">
      <w:pPr>
        <w:pStyle w:val="PlainText"/>
        <w:tabs>
          <w:tab w:val="left" w:pos="284"/>
          <w:tab w:val="left" w:pos="426"/>
        </w:tabs>
        <w:spacing w:line="300" w:lineRule="auto"/>
        <w:jc w:val="center"/>
        <w:rPr>
          <w:rFonts w:ascii="Times New Roman" w:hAnsi="Times New Roman" w:cs="Times New Roman"/>
          <w:b/>
          <w:bCs/>
          <w:sz w:val="28"/>
        </w:rPr>
      </w:pPr>
    </w:p>
    <w:p w:rsidR="003B30EE" w:rsidRDefault="003B30EE" w:rsidP="003B30EE">
      <w:pPr>
        <w:pStyle w:val="PlainText"/>
        <w:tabs>
          <w:tab w:val="left" w:pos="284"/>
          <w:tab w:val="left" w:pos="426"/>
        </w:tabs>
        <w:spacing w:line="300" w:lineRule="auto"/>
        <w:jc w:val="center"/>
        <w:rPr>
          <w:rFonts w:ascii="Times New Roman" w:hAnsi="Times New Roman" w:cs="Times New Roman"/>
          <w:sz w:val="28"/>
        </w:rPr>
      </w:pPr>
      <w:r>
        <w:rPr>
          <w:rFonts w:ascii="Times New Roman" w:hAnsi="Times New Roman" w:cs="Times New Roman"/>
          <w:sz w:val="28"/>
        </w:rPr>
        <w:t xml:space="preserve">October </w:t>
      </w:r>
      <w:r w:rsidRPr="00D258B1">
        <w:rPr>
          <w:rFonts w:ascii="Times New Roman" w:hAnsi="Times New Roman" w:cs="Times New Roman"/>
          <w:sz w:val="28"/>
        </w:rPr>
        <w:t>201</w:t>
      </w:r>
      <w:r>
        <w:rPr>
          <w:rFonts w:ascii="Times New Roman" w:hAnsi="Times New Roman" w:cs="Times New Roman"/>
          <w:sz w:val="28"/>
        </w:rPr>
        <w:t>7</w:t>
      </w:r>
    </w:p>
    <w:p w:rsidR="001E540E" w:rsidRDefault="001E540E" w:rsidP="003B30EE">
      <w:pPr>
        <w:pStyle w:val="PlainText"/>
        <w:tabs>
          <w:tab w:val="left" w:pos="284"/>
          <w:tab w:val="left" w:pos="426"/>
        </w:tabs>
        <w:spacing w:line="300" w:lineRule="auto"/>
        <w:jc w:val="center"/>
        <w:rPr>
          <w:rFonts w:ascii="Times New Roman" w:hAnsi="Times New Roman" w:cs="Times New Roman"/>
          <w:sz w:val="28"/>
        </w:rPr>
      </w:pPr>
    </w:p>
    <w:p w:rsidR="001E540E" w:rsidRDefault="001E540E" w:rsidP="003B30EE">
      <w:pPr>
        <w:pStyle w:val="PlainText"/>
        <w:tabs>
          <w:tab w:val="left" w:pos="284"/>
          <w:tab w:val="left" w:pos="426"/>
        </w:tabs>
        <w:spacing w:line="300" w:lineRule="auto"/>
        <w:jc w:val="center"/>
        <w:rPr>
          <w:rFonts w:ascii="Times New Roman" w:hAnsi="Times New Roman" w:cs="Times New Roman"/>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1E540E" w:rsidTr="001E540E">
        <w:tc>
          <w:tcPr>
            <w:tcW w:w="4621" w:type="dxa"/>
          </w:tcPr>
          <w:p w:rsidR="001E540E" w:rsidRPr="001E540E" w:rsidRDefault="001E540E" w:rsidP="001E540E">
            <w:pPr>
              <w:pStyle w:val="PlainText"/>
              <w:tabs>
                <w:tab w:val="left" w:pos="284"/>
                <w:tab w:val="left" w:pos="426"/>
              </w:tabs>
              <w:spacing w:line="300" w:lineRule="auto"/>
              <w:jc w:val="center"/>
              <w:rPr>
                <w:rFonts w:ascii="Times New Roman" w:hAnsi="Times New Roman" w:cs="Times New Roman"/>
                <w:i/>
                <w:sz w:val="24"/>
                <w:szCs w:val="24"/>
              </w:rPr>
            </w:pPr>
            <w:r w:rsidRPr="001E540E">
              <w:rPr>
                <w:rFonts w:ascii="Times New Roman" w:hAnsi="Times New Roman" w:cs="Times New Roman"/>
                <w:i/>
                <w:sz w:val="24"/>
                <w:szCs w:val="24"/>
              </w:rPr>
              <w:t>Corresponding Author</w:t>
            </w:r>
          </w:p>
          <w:p w:rsidR="001E540E" w:rsidRPr="001E540E" w:rsidRDefault="001E540E" w:rsidP="001E540E">
            <w:pPr>
              <w:pStyle w:val="PlainText"/>
              <w:tabs>
                <w:tab w:val="left" w:pos="284"/>
                <w:tab w:val="left" w:pos="426"/>
              </w:tabs>
              <w:spacing w:line="300" w:lineRule="auto"/>
              <w:jc w:val="center"/>
              <w:rPr>
                <w:rFonts w:ascii="Times New Roman" w:hAnsi="Times New Roman" w:cs="Times New Roman"/>
                <w:b/>
                <w:bCs/>
                <w:sz w:val="24"/>
                <w:szCs w:val="24"/>
              </w:rPr>
            </w:pPr>
            <w:r w:rsidRPr="001E540E">
              <w:rPr>
                <w:rFonts w:ascii="Times New Roman" w:hAnsi="Times New Roman" w:cs="Times New Roman"/>
                <w:b/>
                <w:bCs/>
                <w:sz w:val="24"/>
                <w:szCs w:val="24"/>
              </w:rPr>
              <w:t>Leon Li</w:t>
            </w:r>
          </w:p>
          <w:p w:rsidR="001E540E" w:rsidRPr="001E540E" w:rsidRDefault="001E540E" w:rsidP="001E540E">
            <w:pPr>
              <w:pStyle w:val="PlainText"/>
              <w:tabs>
                <w:tab w:val="left" w:pos="284"/>
                <w:tab w:val="left" w:pos="426"/>
              </w:tabs>
              <w:jc w:val="center"/>
              <w:rPr>
                <w:rFonts w:ascii="Times New Roman" w:hAnsi="Times New Roman" w:cs="Times New Roman"/>
                <w:sz w:val="24"/>
                <w:szCs w:val="24"/>
              </w:rPr>
            </w:pPr>
            <w:r w:rsidRPr="001E540E">
              <w:rPr>
                <w:rFonts w:ascii="Times New Roman" w:hAnsi="Times New Roman" w:cs="Times New Roman"/>
                <w:sz w:val="24"/>
                <w:szCs w:val="24"/>
              </w:rPr>
              <w:t xml:space="preserve">School of Accounting, Finance </w:t>
            </w:r>
          </w:p>
          <w:p w:rsidR="001E540E" w:rsidRPr="001E540E" w:rsidRDefault="001E540E" w:rsidP="001E540E">
            <w:pPr>
              <w:pStyle w:val="PlainText"/>
              <w:tabs>
                <w:tab w:val="left" w:pos="284"/>
                <w:tab w:val="left" w:pos="426"/>
              </w:tabs>
              <w:jc w:val="center"/>
              <w:rPr>
                <w:rFonts w:ascii="Times New Roman" w:hAnsi="Times New Roman" w:cs="Times New Roman"/>
                <w:sz w:val="24"/>
                <w:szCs w:val="24"/>
              </w:rPr>
            </w:pPr>
            <w:r w:rsidRPr="001E540E">
              <w:rPr>
                <w:rFonts w:ascii="Times New Roman" w:hAnsi="Times New Roman" w:cs="Times New Roman"/>
                <w:sz w:val="24"/>
                <w:szCs w:val="24"/>
              </w:rPr>
              <w:t>and Economics</w:t>
            </w:r>
          </w:p>
          <w:p w:rsidR="001E540E" w:rsidRPr="001E540E" w:rsidRDefault="001E540E" w:rsidP="001E540E">
            <w:pPr>
              <w:pStyle w:val="PlainText"/>
              <w:tabs>
                <w:tab w:val="left" w:pos="284"/>
                <w:tab w:val="left" w:pos="426"/>
              </w:tabs>
              <w:jc w:val="center"/>
              <w:rPr>
                <w:rFonts w:ascii="Times New Roman" w:hAnsi="Times New Roman" w:cs="Times New Roman"/>
                <w:sz w:val="24"/>
                <w:szCs w:val="24"/>
              </w:rPr>
            </w:pPr>
            <w:r w:rsidRPr="001E540E">
              <w:rPr>
                <w:rFonts w:ascii="Times New Roman" w:hAnsi="Times New Roman" w:cs="Times New Roman"/>
                <w:sz w:val="24"/>
                <w:szCs w:val="24"/>
              </w:rPr>
              <w:t xml:space="preserve">University of Waikato </w:t>
            </w:r>
          </w:p>
          <w:p w:rsidR="001E540E" w:rsidRPr="001E540E" w:rsidRDefault="001E540E" w:rsidP="001E540E">
            <w:pPr>
              <w:pStyle w:val="PlainText"/>
              <w:tabs>
                <w:tab w:val="left" w:pos="284"/>
                <w:tab w:val="left" w:pos="426"/>
              </w:tabs>
              <w:jc w:val="center"/>
              <w:rPr>
                <w:rFonts w:ascii="Times New Roman" w:hAnsi="Times New Roman" w:cs="Times New Roman"/>
                <w:sz w:val="24"/>
                <w:szCs w:val="24"/>
              </w:rPr>
            </w:pPr>
            <w:r w:rsidRPr="001E540E">
              <w:rPr>
                <w:rFonts w:ascii="Times New Roman" w:hAnsi="Times New Roman" w:cs="Times New Roman"/>
                <w:sz w:val="24"/>
                <w:szCs w:val="24"/>
              </w:rPr>
              <w:t>Private Bag 3105</w:t>
            </w:r>
          </w:p>
          <w:p w:rsidR="001E540E" w:rsidRPr="001E540E" w:rsidRDefault="001E540E" w:rsidP="001E540E">
            <w:pPr>
              <w:pStyle w:val="PlainText"/>
              <w:tabs>
                <w:tab w:val="left" w:pos="284"/>
                <w:tab w:val="left" w:pos="426"/>
              </w:tabs>
              <w:jc w:val="center"/>
              <w:rPr>
                <w:rFonts w:ascii="Times New Roman" w:hAnsi="Times New Roman" w:cs="Times New Roman"/>
                <w:sz w:val="24"/>
                <w:szCs w:val="24"/>
              </w:rPr>
            </w:pPr>
            <w:r w:rsidRPr="001E540E">
              <w:rPr>
                <w:rFonts w:ascii="Times New Roman" w:hAnsi="Times New Roman" w:cs="Times New Roman"/>
                <w:sz w:val="24"/>
                <w:szCs w:val="24"/>
              </w:rPr>
              <w:t>Hamilton 3240</w:t>
            </w:r>
          </w:p>
          <w:p w:rsidR="001E540E" w:rsidRPr="001E540E" w:rsidRDefault="001E540E" w:rsidP="001E540E">
            <w:pPr>
              <w:pStyle w:val="PlainText"/>
              <w:tabs>
                <w:tab w:val="left" w:pos="284"/>
                <w:tab w:val="left" w:pos="426"/>
              </w:tabs>
              <w:jc w:val="center"/>
              <w:rPr>
                <w:rFonts w:ascii="Times New Roman" w:hAnsi="Times New Roman" w:cs="Times New Roman"/>
                <w:sz w:val="24"/>
                <w:szCs w:val="24"/>
              </w:rPr>
            </w:pPr>
            <w:r w:rsidRPr="001E540E">
              <w:rPr>
                <w:rFonts w:ascii="Times New Roman" w:hAnsi="Times New Roman" w:cs="Times New Roman"/>
                <w:sz w:val="24"/>
                <w:szCs w:val="24"/>
              </w:rPr>
              <w:t>NEW ZEALAND</w:t>
            </w:r>
          </w:p>
          <w:p w:rsidR="001E540E" w:rsidRPr="001E540E" w:rsidRDefault="001E540E" w:rsidP="001E540E">
            <w:pPr>
              <w:adjustRightInd w:val="0"/>
              <w:snapToGrid w:val="0"/>
              <w:spacing w:line="288" w:lineRule="auto"/>
              <w:jc w:val="center"/>
            </w:pPr>
          </w:p>
          <w:p w:rsidR="001E540E" w:rsidRPr="001E540E" w:rsidRDefault="001E540E" w:rsidP="001E540E">
            <w:pPr>
              <w:adjustRightInd w:val="0"/>
              <w:snapToGrid w:val="0"/>
              <w:spacing w:line="288" w:lineRule="auto"/>
              <w:jc w:val="center"/>
            </w:pPr>
            <w:r w:rsidRPr="001E540E">
              <w:t xml:space="preserve">Phone: </w:t>
            </w:r>
            <w:r w:rsidRPr="001E540E">
              <w:rPr>
                <w:rFonts w:hint="eastAsia"/>
              </w:rPr>
              <w:t>+64</w:t>
            </w:r>
            <w:r w:rsidRPr="001E540E">
              <w:t xml:space="preserve"> (0)</w:t>
            </w:r>
            <w:r w:rsidRPr="001E540E">
              <w:rPr>
                <w:rFonts w:hint="eastAsia"/>
              </w:rPr>
              <w:t>7</w:t>
            </w:r>
            <w:r w:rsidRPr="001E540E">
              <w:t xml:space="preserve"> </w:t>
            </w:r>
            <w:r w:rsidRPr="001E540E">
              <w:rPr>
                <w:rFonts w:hint="eastAsia"/>
              </w:rPr>
              <w:t>856</w:t>
            </w:r>
            <w:r w:rsidRPr="001E540E">
              <w:t xml:space="preserve"> </w:t>
            </w:r>
            <w:r w:rsidRPr="001E540E">
              <w:rPr>
                <w:rFonts w:hint="eastAsia"/>
              </w:rPr>
              <w:t>2889</w:t>
            </w:r>
            <w:r w:rsidRPr="001E540E">
              <w:t xml:space="preserve"> </w:t>
            </w:r>
            <w:proofErr w:type="spellStart"/>
            <w:r w:rsidRPr="001E540E">
              <w:t>Extn</w:t>
            </w:r>
            <w:proofErr w:type="spellEnd"/>
            <w:r w:rsidRPr="001E540E">
              <w:t xml:space="preserve"> </w:t>
            </w:r>
            <w:r w:rsidRPr="001E540E">
              <w:rPr>
                <w:rFonts w:hint="eastAsia"/>
              </w:rPr>
              <w:t>5650</w:t>
            </w:r>
          </w:p>
          <w:p w:rsidR="001E540E" w:rsidRPr="001E540E" w:rsidRDefault="001E540E" w:rsidP="001E540E">
            <w:pPr>
              <w:pStyle w:val="PlainText"/>
              <w:tabs>
                <w:tab w:val="left" w:pos="284"/>
                <w:tab w:val="left" w:pos="426"/>
              </w:tabs>
              <w:spacing w:line="300" w:lineRule="auto"/>
              <w:jc w:val="center"/>
              <w:rPr>
                <w:rFonts w:ascii="Times New Roman" w:hAnsi="Times New Roman" w:cs="Times New Roman"/>
                <w:sz w:val="12"/>
                <w:szCs w:val="12"/>
              </w:rPr>
            </w:pPr>
          </w:p>
          <w:p w:rsidR="001E540E" w:rsidRPr="001E540E" w:rsidRDefault="001E540E" w:rsidP="001E540E">
            <w:pPr>
              <w:pStyle w:val="PlainText"/>
              <w:tabs>
                <w:tab w:val="left" w:pos="284"/>
                <w:tab w:val="left" w:pos="426"/>
              </w:tabs>
              <w:spacing w:line="300" w:lineRule="auto"/>
              <w:jc w:val="center"/>
              <w:rPr>
                <w:rFonts w:ascii="Times New Roman" w:hAnsi="Times New Roman" w:cs="Times New Roman"/>
                <w:sz w:val="24"/>
                <w:szCs w:val="24"/>
                <w:lang w:val="en-NZ"/>
              </w:rPr>
            </w:pPr>
            <w:r w:rsidRPr="001E540E">
              <w:rPr>
                <w:rFonts w:ascii="Times New Roman" w:hAnsi="Times New Roman" w:cs="Times New Roman"/>
                <w:sz w:val="24"/>
                <w:szCs w:val="24"/>
                <w:lang w:val="en-NZ"/>
              </w:rPr>
              <w:t xml:space="preserve"> Email: leonli@waikato.ac.nz</w:t>
            </w:r>
          </w:p>
          <w:p w:rsidR="001E540E" w:rsidRPr="001E540E" w:rsidRDefault="001E540E" w:rsidP="003B30EE">
            <w:pPr>
              <w:pStyle w:val="PlainText"/>
              <w:tabs>
                <w:tab w:val="left" w:pos="284"/>
                <w:tab w:val="left" w:pos="426"/>
              </w:tabs>
              <w:spacing w:line="300" w:lineRule="auto"/>
              <w:jc w:val="center"/>
              <w:rPr>
                <w:rFonts w:ascii="Times New Roman" w:hAnsi="Times New Roman" w:cs="Times New Roman"/>
                <w:i/>
                <w:iCs/>
                <w:sz w:val="24"/>
                <w:szCs w:val="24"/>
              </w:rPr>
            </w:pPr>
          </w:p>
        </w:tc>
        <w:tc>
          <w:tcPr>
            <w:tcW w:w="4622" w:type="dxa"/>
          </w:tcPr>
          <w:p w:rsidR="001E540E" w:rsidRPr="001E540E" w:rsidRDefault="001E540E" w:rsidP="001E540E">
            <w:pPr>
              <w:adjustRightInd w:val="0"/>
              <w:snapToGrid w:val="0"/>
              <w:jc w:val="center"/>
            </w:pPr>
          </w:p>
          <w:p w:rsidR="001E540E" w:rsidRPr="001E540E" w:rsidRDefault="001E540E" w:rsidP="001E540E">
            <w:pPr>
              <w:adjustRightInd w:val="0"/>
              <w:snapToGrid w:val="0"/>
              <w:spacing w:line="300" w:lineRule="auto"/>
              <w:jc w:val="center"/>
              <w:rPr>
                <w:b/>
              </w:rPr>
            </w:pPr>
            <w:proofErr w:type="spellStart"/>
            <w:r w:rsidRPr="001E540E">
              <w:rPr>
                <w:b/>
              </w:rPr>
              <w:t>Nen</w:t>
            </w:r>
            <w:proofErr w:type="spellEnd"/>
            <w:r w:rsidRPr="001E540E">
              <w:rPr>
                <w:b/>
              </w:rPr>
              <w:t>-Chen Richard Hwang</w:t>
            </w:r>
          </w:p>
          <w:p w:rsidR="001E540E" w:rsidRPr="001E540E" w:rsidRDefault="001E540E" w:rsidP="001E540E">
            <w:pPr>
              <w:adjustRightInd w:val="0"/>
              <w:snapToGrid w:val="0"/>
              <w:jc w:val="center"/>
              <w:rPr>
                <w:sz w:val="6"/>
                <w:szCs w:val="6"/>
              </w:rPr>
            </w:pPr>
          </w:p>
          <w:p w:rsidR="001E540E" w:rsidRPr="001E540E" w:rsidRDefault="001E540E" w:rsidP="001E540E">
            <w:pPr>
              <w:adjustRightInd w:val="0"/>
              <w:snapToGrid w:val="0"/>
              <w:jc w:val="center"/>
            </w:pPr>
            <w:r w:rsidRPr="001E540E">
              <w:t xml:space="preserve">Department of Accounting </w:t>
            </w:r>
          </w:p>
          <w:p w:rsidR="001E540E" w:rsidRPr="001E540E" w:rsidRDefault="001E540E" w:rsidP="001E540E">
            <w:pPr>
              <w:adjustRightInd w:val="0"/>
              <w:snapToGrid w:val="0"/>
              <w:jc w:val="center"/>
            </w:pPr>
            <w:r w:rsidRPr="001E540E">
              <w:t>and Finance</w:t>
            </w:r>
          </w:p>
          <w:p w:rsidR="001E540E" w:rsidRPr="001E540E" w:rsidRDefault="001E540E" w:rsidP="001E540E">
            <w:pPr>
              <w:adjustRightInd w:val="0"/>
              <w:snapToGrid w:val="0"/>
              <w:jc w:val="center"/>
            </w:pPr>
            <w:r w:rsidRPr="001E540E">
              <w:t>California State University, San Marcos</w:t>
            </w:r>
          </w:p>
          <w:p w:rsidR="001E540E" w:rsidRPr="001E540E" w:rsidRDefault="001E540E" w:rsidP="001E540E">
            <w:pPr>
              <w:adjustRightInd w:val="0"/>
              <w:snapToGrid w:val="0"/>
              <w:jc w:val="center"/>
            </w:pPr>
            <w:r w:rsidRPr="001E540E">
              <w:t>San Marcos</w:t>
            </w:r>
          </w:p>
          <w:p w:rsidR="001E540E" w:rsidRPr="001E540E" w:rsidRDefault="001E540E" w:rsidP="001E540E">
            <w:pPr>
              <w:adjustRightInd w:val="0"/>
              <w:snapToGrid w:val="0"/>
              <w:jc w:val="center"/>
            </w:pPr>
            <w:r w:rsidRPr="001E540E">
              <w:t>California 92096-0001</w:t>
            </w:r>
          </w:p>
          <w:p w:rsidR="001E540E" w:rsidRPr="001E540E" w:rsidRDefault="001E540E" w:rsidP="001E540E">
            <w:pPr>
              <w:adjustRightInd w:val="0"/>
              <w:snapToGrid w:val="0"/>
              <w:jc w:val="center"/>
            </w:pPr>
            <w:r w:rsidRPr="001E540E">
              <w:t>UNITED STATES OF AMERICA</w:t>
            </w:r>
          </w:p>
          <w:p w:rsidR="001E540E" w:rsidRPr="001E540E" w:rsidRDefault="001E540E" w:rsidP="001E540E">
            <w:pPr>
              <w:adjustRightInd w:val="0"/>
              <w:snapToGrid w:val="0"/>
              <w:jc w:val="center"/>
            </w:pPr>
          </w:p>
          <w:p w:rsidR="001E540E" w:rsidRPr="001E540E" w:rsidRDefault="001E540E" w:rsidP="001E540E">
            <w:pPr>
              <w:adjustRightInd w:val="0"/>
              <w:snapToGrid w:val="0"/>
              <w:jc w:val="center"/>
            </w:pPr>
            <w:r w:rsidRPr="001E540E">
              <w:t>Phone: +1-760-750-4220</w:t>
            </w:r>
          </w:p>
          <w:p w:rsidR="001E540E" w:rsidRPr="001E540E" w:rsidRDefault="001E540E" w:rsidP="001E540E">
            <w:pPr>
              <w:adjustRightInd w:val="0"/>
              <w:snapToGrid w:val="0"/>
              <w:jc w:val="center"/>
            </w:pPr>
          </w:p>
          <w:p w:rsidR="001E540E" w:rsidRPr="001E540E" w:rsidRDefault="001E540E" w:rsidP="001E540E">
            <w:pPr>
              <w:adjustRightInd w:val="0"/>
              <w:snapToGrid w:val="0"/>
              <w:jc w:val="center"/>
              <w:rPr>
                <w:lang w:val="pt-BR"/>
              </w:rPr>
            </w:pPr>
            <w:r w:rsidRPr="001E540E">
              <w:rPr>
                <w:lang w:val="pt-BR"/>
              </w:rPr>
              <w:t>Email: hwang@csusm.edu</w:t>
            </w:r>
          </w:p>
          <w:p w:rsidR="001E540E" w:rsidRPr="001E540E" w:rsidRDefault="001E540E" w:rsidP="001E540E">
            <w:pPr>
              <w:spacing w:line="300" w:lineRule="auto"/>
              <w:jc w:val="center"/>
              <w:rPr>
                <w:rFonts w:asciiTheme="majorBidi" w:hAnsiTheme="majorBidi"/>
                <w:b/>
                <w:bCs/>
              </w:rPr>
            </w:pPr>
          </w:p>
          <w:p w:rsidR="001E540E" w:rsidRPr="001E540E" w:rsidRDefault="001E540E" w:rsidP="003B30EE">
            <w:pPr>
              <w:pStyle w:val="PlainText"/>
              <w:tabs>
                <w:tab w:val="left" w:pos="284"/>
                <w:tab w:val="left" w:pos="426"/>
              </w:tabs>
              <w:spacing w:line="300" w:lineRule="auto"/>
              <w:jc w:val="center"/>
              <w:rPr>
                <w:rFonts w:ascii="Times New Roman" w:hAnsi="Times New Roman" w:cs="Times New Roman"/>
                <w:i/>
                <w:iCs/>
                <w:sz w:val="24"/>
                <w:szCs w:val="24"/>
              </w:rPr>
            </w:pPr>
          </w:p>
        </w:tc>
      </w:tr>
    </w:tbl>
    <w:p w:rsidR="003B30EE" w:rsidRDefault="003B30EE" w:rsidP="003B30EE">
      <w:pPr>
        <w:pStyle w:val="PlainText"/>
        <w:tabs>
          <w:tab w:val="left" w:pos="284"/>
          <w:tab w:val="left" w:pos="426"/>
        </w:tabs>
        <w:spacing w:line="300" w:lineRule="auto"/>
        <w:jc w:val="center"/>
        <w:rPr>
          <w:rFonts w:ascii="Times New Roman" w:hAnsi="Times New Roman" w:cs="Times New Roman"/>
          <w:i/>
          <w:iCs/>
          <w:sz w:val="24"/>
          <w:szCs w:val="24"/>
        </w:rPr>
      </w:pPr>
    </w:p>
    <w:p w:rsidR="003B30EE" w:rsidRPr="00D258B1" w:rsidRDefault="003B30EE" w:rsidP="003B30EE">
      <w:pPr>
        <w:pStyle w:val="PlainText"/>
        <w:tabs>
          <w:tab w:val="left" w:pos="284"/>
          <w:tab w:val="left" w:pos="426"/>
        </w:tabs>
        <w:jc w:val="center"/>
        <w:rPr>
          <w:rFonts w:ascii="Times New Roman" w:hAnsi="Times New Roman" w:cs="Times New Roman"/>
          <w:sz w:val="24"/>
          <w:szCs w:val="24"/>
        </w:rPr>
      </w:pPr>
    </w:p>
    <w:p w:rsidR="003B30EE" w:rsidRDefault="003B30EE" w:rsidP="003B30EE">
      <w:pPr>
        <w:spacing w:line="300" w:lineRule="auto"/>
        <w:jc w:val="center"/>
        <w:rPr>
          <w:rFonts w:asciiTheme="majorBidi" w:hAnsiTheme="majorBidi"/>
          <w:b/>
          <w:bCs/>
        </w:rPr>
      </w:pPr>
    </w:p>
    <w:p w:rsidR="001E540E" w:rsidRDefault="001E540E" w:rsidP="001E540E">
      <w:pPr>
        <w:pStyle w:val="PlainText"/>
        <w:tabs>
          <w:tab w:val="left" w:pos="284"/>
          <w:tab w:val="left" w:pos="426"/>
        </w:tabs>
        <w:spacing w:line="300" w:lineRule="auto"/>
        <w:jc w:val="center"/>
        <w:rPr>
          <w:rFonts w:ascii="Times New Roman" w:hAnsi="Times New Roman" w:cs="Times New Roman"/>
          <w:b/>
          <w:sz w:val="28"/>
        </w:rPr>
      </w:pPr>
    </w:p>
    <w:p w:rsidR="003B30EE" w:rsidRDefault="003B30EE" w:rsidP="003B30EE">
      <w:pPr>
        <w:spacing w:line="300" w:lineRule="auto"/>
        <w:jc w:val="center"/>
        <w:rPr>
          <w:rFonts w:asciiTheme="majorBidi" w:hAnsiTheme="majorBidi"/>
          <w:b/>
          <w:bCs/>
        </w:rPr>
      </w:pPr>
    </w:p>
    <w:p w:rsidR="003B30EE" w:rsidRDefault="003B30EE" w:rsidP="003B30EE">
      <w:pPr>
        <w:spacing w:line="300" w:lineRule="auto"/>
        <w:jc w:val="center"/>
        <w:rPr>
          <w:rFonts w:asciiTheme="majorBidi" w:hAnsiTheme="majorBidi"/>
          <w:b/>
          <w:bCs/>
        </w:rPr>
      </w:pPr>
    </w:p>
    <w:p w:rsidR="003B30EE" w:rsidRDefault="003B30EE" w:rsidP="003B30EE">
      <w:pPr>
        <w:spacing w:line="300" w:lineRule="auto"/>
        <w:jc w:val="center"/>
        <w:rPr>
          <w:rFonts w:asciiTheme="majorBidi" w:hAnsiTheme="majorBidi"/>
          <w:b/>
          <w:bCs/>
        </w:rPr>
      </w:pPr>
    </w:p>
    <w:p w:rsidR="003B30EE" w:rsidRDefault="003B30EE" w:rsidP="003B30EE">
      <w:pPr>
        <w:spacing w:line="300" w:lineRule="auto"/>
        <w:jc w:val="center"/>
        <w:rPr>
          <w:rFonts w:asciiTheme="majorBidi" w:hAnsiTheme="majorBidi"/>
          <w:b/>
          <w:bCs/>
        </w:rPr>
      </w:pPr>
      <w:r w:rsidRPr="009B0F1C">
        <w:rPr>
          <w:rFonts w:asciiTheme="majorBidi" w:hAnsiTheme="majorBidi"/>
          <w:b/>
          <w:bCs/>
        </w:rPr>
        <w:t>Abstract</w:t>
      </w:r>
    </w:p>
    <w:p w:rsidR="003B30EE" w:rsidRPr="0085165C" w:rsidRDefault="003B30EE" w:rsidP="003B30EE">
      <w:pPr>
        <w:spacing w:line="300" w:lineRule="auto"/>
        <w:jc w:val="center"/>
        <w:rPr>
          <w:rFonts w:asciiTheme="majorBidi" w:hAnsiTheme="majorBidi"/>
          <w:b/>
          <w:bCs/>
          <w:sz w:val="12"/>
          <w:szCs w:val="12"/>
        </w:rPr>
      </w:pPr>
    </w:p>
    <w:p w:rsidR="003B30EE" w:rsidRPr="001875F3" w:rsidRDefault="003B30EE" w:rsidP="003B30EE">
      <w:pPr>
        <w:spacing w:line="360" w:lineRule="auto"/>
        <w:jc w:val="both"/>
      </w:pPr>
      <w:r w:rsidRPr="00E62C35">
        <w:rPr>
          <w:rFonts w:eastAsia="PMingLiU"/>
          <w:kern w:val="0"/>
        </w:rPr>
        <w:t xml:space="preserve">Using the </w:t>
      </w:r>
      <w:r w:rsidRPr="00E62C35">
        <w:t>prospect theory as a research framework, this paper</w:t>
      </w:r>
      <w:r w:rsidRPr="00E62C35">
        <w:rPr>
          <w:rFonts w:eastAsia="PMingLiU"/>
          <w:kern w:val="0"/>
        </w:rPr>
        <w:t xml:space="preserve"> makes contributions by </w:t>
      </w:r>
      <w:r w:rsidRPr="006015D3">
        <w:rPr>
          <w:rFonts w:eastAsia="PMingLiU"/>
          <w:kern w:val="0"/>
        </w:rPr>
        <w:t>demonstrating that managerial risk preference and stock return may</w:t>
      </w:r>
      <w:r w:rsidRPr="006015D3">
        <w:rPr>
          <w:rFonts w:hint="eastAsia"/>
          <w:kern w:val="0"/>
        </w:rPr>
        <w:t xml:space="preserve"> influenc</w:t>
      </w:r>
      <w:r w:rsidRPr="006015D3">
        <w:rPr>
          <w:kern w:val="0"/>
        </w:rPr>
        <w:t>e a firm’s</w:t>
      </w:r>
      <w:r w:rsidRPr="006015D3">
        <w:rPr>
          <w:rFonts w:hint="eastAsia"/>
          <w:kern w:val="0"/>
        </w:rPr>
        <w:t xml:space="preserve"> </w:t>
      </w:r>
      <w:r w:rsidRPr="006015D3">
        <w:rPr>
          <w:rFonts w:eastAsia="PMingLiU"/>
          <w:kern w:val="0"/>
        </w:rPr>
        <w:t xml:space="preserve">earnings manipulation behavior. Specifically, this study argues that corporate executives may develop risk-averting </w:t>
      </w:r>
      <w:r w:rsidRPr="006015D3">
        <w:rPr>
          <w:rFonts w:hint="eastAsia"/>
          <w:kern w:val="0"/>
        </w:rPr>
        <w:t xml:space="preserve">(risk-seeking) </w:t>
      </w:r>
      <w:r w:rsidRPr="006015D3">
        <w:rPr>
          <w:rFonts w:eastAsia="PMingLiU"/>
          <w:kern w:val="0"/>
        </w:rPr>
        <w:t xml:space="preserve">attitudes because of </w:t>
      </w:r>
      <w:r w:rsidRPr="006015D3">
        <w:rPr>
          <w:rFonts w:hint="eastAsia"/>
          <w:kern w:val="0"/>
        </w:rPr>
        <w:t>high and positive (low and negative) stock returns</w:t>
      </w:r>
      <w:r w:rsidRPr="006015D3">
        <w:rPr>
          <w:kern w:val="0"/>
        </w:rPr>
        <w:t>.</w:t>
      </w:r>
      <w:r>
        <w:rPr>
          <w:kern w:val="0"/>
        </w:rPr>
        <w:t xml:space="preserve"> </w:t>
      </w:r>
      <w:r w:rsidRPr="006015D3">
        <w:rPr>
          <w:kern w:val="0"/>
        </w:rPr>
        <w:t xml:space="preserve">Under this scenario, managers </w:t>
      </w:r>
      <w:r w:rsidRPr="006015D3">
        <w:rPr>
          <w:rFonts w:eastAsia="PMingLiU"/>
          <w:kern w:val="0"/>
        </w:rPr>
        <w:t xml:space="preserve">may decide to actively </w:t>
      </w:r>
      <w:r w:rsidRPr="00AC641A">
        <w:rPr>
          <w:rFonts w:eastAsia="PMingLiU"/>
          <w:kern w:val="0"/>
        </w:rPr>
        <w:t xml:space="preserve">manage </w:t>
      </w:r>
      <w:r w:rsidRPr="00515F92">
        <w:rPr>
          <w:rFonts w:eastAsia="PMingLiU"/>
          <w:kern w:val="0"/>
        </w:rPr>
        <w:t xml:space="preserve">the reported earnings in order to </w:t>
      </w:r>
      <w:r w:rsidRPr="00515F92">
        <w:rPr>
          <w:rFonts w:hint="eastAsia"/>
          <w:kern w:val="0"/>
        </w:rPr>
        <w:t>preserve gain (gamble on loss)</w:t>
      </w:r>
      <w:r w:rsidRPr="00016673">
        <w:rPr>
          <w:kern w:val="0"/>
        </w:rPr>
        <w:t xml:space="preserve"> on stock returns</w:t>
      </w:r>
      <w:r w:rsidRPr="006015D3">
        <w:rPr>
          <w:kern w:val="0"/>
        </w:rPr>
        <w:t xml:space="preserve">. On the other hand, firm executives may not actively manipulate their reported incomes when experiencing average and close-to-zero stock returns. </w:t>
      </w:r>
      <w:r w:rsidRPr="00C87AE0">
        <w:rPr>
          <w:color w:val="000000"/>
        </w:rPr>
        <w:t xml:space="preserve">Using </w:t>
      </w:r>
      <w:r>
        <w:rPr>
          <w:color w:val="000000"/>
        </w:rPr>
        <w:t>q</w:t>
      </w:r>
      <w:r w:rsidRPr="00C87AE0">
        <w:rPr>
          <w:color w:val="000000"/>
        </w:rPr>
        <w:t xml:space="preserve">uantile </w:t>
      </w:r>
      <w:r>
        <w:rPr>
          <w:color w:val="000000"/>
        </w:rPr>
        <w:t>r</w:t>
      </w:r>
      <w:r w:rsidRPr="00C87AE0">
        <w:rPr>
          <w:color w:val="000000"/>
        </w:rPr>
        <w:t xml:space="preserve">egression </w:t>
      </w:r>
      <w:r>
        <w:rPr>
          <w:color w:val="000000"/>
        </w:rPr>
        <w:t xml:space="preserve">method to examine </w:t>
      </w:r>
      <w:r w:rsidRPr="006015D3">
        <w:rPr>
          <w:kern w:val="0"/>
        </w:rPr>
        <w:t xml:space="preserve">the relation between earnings manipulation and stock returns, </w:t>
      </w:r>
      <w:r>
        <w:rPr>
          <w:kern w:val="0"/>
        </w:rPr>
        <w:t xml:space="preserve">this study </w:t>
      </w:r>
      <w:r w:rsidRPr="00E62C35">
        <w:rPr>
          <w:kern w:val="0"/>
        </w:rPr>
        <w:t>find</w:t>
      </w:r>
      <w:r>
        <w:rPr>
          <w:kern w:val="0"/>
        </w:rPr>
        <w:t>s</w:t>
      </w:r>
      <w:r w:rsidRPr="00E62C35">
        <w:rPr>
          <w:kern w:val="0"/>
        </w:rPr>
        <w:t xml:space="preserve"> that there is a significantly positive (negative) relation between earnings manipulation and stock returns at the high (low) stock returns quantiles. </w:t>
      </w:r>
      <w:r>
        <w:rPr>
          <w:kern w:val="0"/>
        </w:rPr>
        <w:t>A</w:t>
      </w:r>
      <w:r w:rsidRPr="006015D3">
        <w:rPr>
          <w:kern w:val="0"/>
        </w:rPr>
        <w:t>s predicated</w:t>
      </w:r>
      <w:r w:rsidRPr="00E62C35">
        <w:rPr>
          <w:kern w:val="0"/>
        </w:rPr>
        <w:t xml:space="preserve">, such </w:t>
      </w:r>
      <w:r>
        <w:rPr>
          <w:kern w:val="0"/>
        </w:rPr>
        <w:t>relation</w:t>
      </w:r>
      <w:r w:rsidRPr="00E62C35">
        <w:rPr>
          <w:kern w:val="0"/>
        </w:rPr>
        <w:t xml:space="preserve"> is not significant at the middle range of stock returns. To </w:t>
      </w:r>
      <w:r w:rsidRPr="00E62C35">
        <w:t xml:space="preserve">ensure the findings </w:t>
      </w:r>
      <w:r>
        <w:t>reported</w:t>
      </w:r>
      <w:r w:rsidRPr="00E62C35">
        <w:t xml:space="preserve"> in this study are robust,</w:t>
      </w:r>
      <w:r w:rsidRPr="00E62C35">
        <w:rPr>
          <w:kern w:val="0"/>
        </w:rPr>
        <w:t xml:space="preserve"> we conduct several tests</w:t>
      </w:r>
      <w:r w:rsidRPr="00E62C35">
        <w:t xml:space="preserve">. </w:t>
      </w:r>
      <w:r>
        <w:t>In conclusion</w:t>
      </w:r>
      <w:r w:rsidRPr="00E62C35">
        <w:t>, we offer po</w:t>
      </w:r>
      <w:r w:rsidRPr="000E2A2F">
        <w:t>licy implications to regulators.</w:t>
      </w:r>
    </w:p>
    <w:p w:rsidR="003B30EE" w:rsidRDefault="003B30EE" w:rsidP="003B30EE">
      <w:pPr>
        <w:widowControl/>
        <w:adjustRightInd w:val="0"/>
        <w:snapToGrid w:val="0"/>
        <w:spacing w:after="120"/>
        <w:rPr>
          <w:b/>
        </w:rPr>
      </w:pPr>
    </w:p>
    <w:p w:rsidR="001E540E" w:rsidRDefault="001E540E" w:rsidP="003B30EE">
      <w:pPr>
        <w:widowControl/>
        <w:adjustRightInd w:val="0"/>
        <w:snapToGrid w:val="0"/>
        <w:spacing w:after="12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3B30EE" w:rsidRPr="00F42B1D" w:rsidTr="00F85192">
        <w:trPr>
          <w:trHeight w:val="1860"/>
        </w:trPr>
        <w:tc>
          <w:tcPr>
            <w:tcW w:w="9416" w:type="dxa"/>
          </w:tcPr>
          <w:p w:rsidR="003B30EE" w:rsidRPr="008E5108" w:rsidRDefault="003B30EE" w:rsidP="003B30EE">
            <w:pPr>
              <w:widowControl/>
              <w:adjustRightInd w:val="0"/>
              <w:snapToGrid w:val="0"/>
              <w:spacing w:after="120"/>
              <w:jc w:val="center"/>
              <w:rPr>
                <w:b/>
              </w:rPr>
            </w:pPr>
            <w:r w:rsidRPr="008E5108">
              <w:rPr>
                <w:b/>
              </w:rPr>
              <w:t>Keywords</w:t>
            </w:r>
          </w:p>
          <w:p w:rsidR="003B30EE" w:rsidRDefault="003B30EE" w:rsidP="00851921">
            <w:pPr>
              <w:widowControl/>
              <w:adjustRightInd w:val="0"/>
              <w:snapToGrid w:val="0"/>
              <w:jc w:val="center"/>
            </w:pPr>
            <w:r>
              <w:t>prospect theory</w:t>
            </w:r>
          </w:p>
          <w:p w:rsidR="003B30EE" w:rsidRDefault="003B30EE" w:rsidP="00851921">
            <w:pPr>
              <w:widowControl/>
              <w:adjustRightInd w:val="0"/>
              <w:snapToGrid w:val="0"/>
              <w:jc w:val="center"/>
            </w:pPr>
            <w:r>
              <w:t>quantile regression</w:t>
            </w:r>
          </w:p>
          <w:p w:rsidR="003B30EE" w:rsidRDefault="003B30EE" w:rsidP="00851921">
            <w:pPr>
              <w:widowControl/>
              <w:adjustRightInd w:val="0"/>
              <w:snapToGrid w:val="0"/>
              <w:jc w:val="center"/>
            </w:pPr>
            <w:r w:rsidRPr="008E5108">
              <w:t>earnings manipulation</w:t>
            </w:r>
          </w:p>
          <w:p w:rsidR="003B30EE" w:rsidRDefault="003B30EE" w:rsidP="00851921">
            <w:pPr>
              <w:widowControl/>
              <w:adjustRightInd w:val="0"/>
              <w:snapToGrid w:val="0"/>
              <w:jc w:val="center"/>
            </w:pPr>
            <w:r>
              <w:t>stock return</w:t>
            </w:r>
          </w:p>
          <w:p w:rsidR="003B30EE" w:rsidRPr="008E5108" w:rsidRDefault="003B30EE" w:rsidP="00851921">
            <w:pPr>
              <w:widowControl/>
              <w:adjustRightInd w:val="0"/>
              <w:snapToGrid w:val="0"/>
              <w:jc w:val="center"/>
              <w:rPr>
                <w:b/>
              </w:rPr>
            </w:pPr>
            <w:r w:rsidRPr="008E5108">
              <w:t>discretionary accruals</w:t>
            </w:r>
          </w:p>
          <w:p w:rsidR="003B30EE" w:rsidRDefault="003B30EE" w:rsidP="00F85192">
            <w:pPr>
              <w:widowControl/>
              <w:adjustRightInd w:val="0"/>
              <w:snapToGrid w:val="0"/>
              <w:spacing w:after="120"/>
              <w:rPr>
                <w:b/>
              </w:rPr>
            </w:pPr>
          </w:p>
          <w:p w:rsidR="003B30EE" w:rsidRPr="008E5108" w:rsidRDefault="003B30EE" w:rsidP="003B30EE">
            <w:pPr>
              <w:widowControl/>
              <w:adjustRightInd w:val="0"/>
              <w:snapToGrid w:val="0"/>
              <w:spacing w:after="120"/>
              <w:jc w:val="center"/>
              <w:rPr>
                <w:b/>
              </w:rPr>
            </w:pPr>
            <w:r>
              <w:rPr>
                <w:b/>
              </w:rPr>
              <w:t>JEL C</w:t>
            </w:r>
            <w:r w:rsidRPr="008E5108">
              <w:rPr>
                <w:b/>
              </w:rPr>
              <w:t>lassification</w:t>
            </w:r>
          </w:p>
          <w:p w:rsidR="003B30EE" w:rsidRPr="008E5108" w:rsidRDefault="003B30EE" w:rsidP="003B30EE">
            <w:pPr>
              <w:widowControl/>
              <w:adjustRightInd w:val="0"/>
              <w:snapToGrid w:val="0"/>
              <w:spacing w:after="120"/>
              <w:jc w:val="center"/>
              <w:rPr>
                <w:b/>
              </w:rPr>
            </w:pPr>
            <w:r w:rsidRPr="008E5108">
              <w:t>G12; G32</w:t>
            </w:r>
          </w:p>
          <w:p w:rsidR="003B30EE" w:rsidRDefault="003B30EE" w:rsidP="00F85192">
            <w:pPr>
              <w:widowControl/>
              <w:adjustRightInd w:val="0"/>
              <w:snapToGrid w:val="0"/>
              <w:spacing w:after="120"/>
              <w:rPr>
                <w:b/>
              </w:rPr>
            </w:pPr>
          </w:p>
          <w:p w:rsidR="003B30EE" w:rsidRPr="008E5108" w:rsidRDefault="003B30EE" w:rsidP="003B30EE">
            <w:pPr>
              <w:widowControl/>
              <w:adjustRightInd w:val="0"/>
              <w:snapToGrid w:val="0"/>
              <w:spacing w:after="120"/>
              <w:jc w:val="center"/>
              <w:rPr>
                <w:b/>
              </w:rPr>
            </w:pPr>
            <w:r w:rsidRPr="008E5108">
              <w:rPr>
                <w:b/>
              </w:rPr>
              <w:t>Data Availability</w:t>
            </w:r>
          </w:p>
          <w:p w:rsidR="003B30EE" w:rsidRPr="008E5108" w:rsidRDefault="003B30EE" w:rsidP="003B30EE">
            <w:pPr>
              <w:widowControl/>
              <w:adjustRightInd w:val="0"/>
              <w:snapToGrid w:val="0"/>
              <w:spacing w:after="120"/>
              <w:jc w:val="center"/>
            </w:pPr>
            <w:r w:rsidRPr="008E5108">
              <w:t>Data analyzed in the study are collected from the public sources.</w:t>
            </w:r>
          </w:p>
          <w:p w:rsidR="003B30EE" w:rsidRPr="008E5108" w:rsidRDefault="003B30EE" w:rsidP="00F85192">
            <w:pPr>
              <w:adjustRightInd w:val="0"/>
              <w:snapToGrid w:val="0"/>
              <w:spacing w:after="120"/>
              <w:rPr>
                <w:b/>
              </w:rPr>
            </w:pPr>
          </w:p>
        </w:tc>
      </w:tr>
    </w:tbl>
    <w:p w:rsidR="003B30EE" w:rsidRPr="00F42B1D" w:rsidRDefault="003B30EE" w:rsidP="003B30EE">
      <w:pPr>
        <w:widowControl/>
        <w:adjustRightInd w:val="0"/>
        <w:snapToGrid w:val="0"/>
        <w:spacing w:after="120"/>
        <w:rPr>
          <w:b/>
        </w:rPr>
      </w:pPr>
    </w:p>
    <w:p w:rsidR="003B30EE" w:rsidRDefault="003B30EE">
      <w:pPr>
        <w:widowControl/>
        <w:spacing w:after="160" w:line="259" w:lineRule="auto"/>
        <w:rPr>
          <w:b/>
          <w:color w:val="000000"/>
          <w:sz w:val="28"/>
          <w:szCs w:val="28"/>
        </w:rPr>
      </w:pPr>
    </w:p>
    <w:p w:rsidR="00F42B1D" w:rsidRDefault="00F42B1D" w:rsidP="00F42B1D">
      <w:pPr>
        <w:widowControl/>
        <w:adjustRightInd w:val="0"/>
        <w:snapToGrid w:val="0"/>
        <w:spacing w:after="120"/>
        <w:rPr>
          <w:b/>
        </w:rPr>
      </w:pPr>
    </w:p>
    <w:p w:rsidR="00933268" w:rsidRDefault="00933268">
      <w:pPr>
        <w:widowControl/>
        <w:spacing w:after="160" w:line="259" w:lineRule="auto"/>
        <w:rPr>
          <w:b/>
          <w:color w:val="000000"/>
          <w:sz w:val="28"/>
          <w:szCs w:val="28"/>
        </w:rPr>
      </w:pPr>
      <w:r>
        <w:rPr>
          <w:b/>
          <w:color w:val="000000"/>
          <w:sz w:val="28"/>
          <w:szCs w:val="28"/>
        </w:rPr>
        <w:br w:type="page"/>
      </w:r>
    </w:p>
    <w:p w:rsidR="009D4200" w:rsidRPr="008126EB" w:rsidRDefault="00851921" w:rsidP="00851921">
      <w:pPr>
        <w:widowControl/>
        <w:spacing w:after="160" w:line="259" w:lineRule="auto"/>
        <w:rPr>
          <w:b/>
        </w:rPr>
      </w:pPr>
      <w:bookmarkStart w:id="0" w:name="_GoBack"/>
      <w:bookmarkEnd w:id="0"/>
      <w:r>
        <w:rPr>
          <w:b/>
          <w:color w:val="000000"/>
          <w:sz w:val="28"/>
          <w:szCs w:val="28"/>
        </w:rPr>
        <w:lastRenderedPageBreak/>
        <w:t>1</w:t>
      </w:r>
      <w:r w:rsidR="009D4200" w:rsidRPr="008126EB">
        <w:rPr>
          <w:b/>
        </w:rPr>
        <w:t>. Introduction</w:t>
      </w:r>
    </w:p>
    <w:p w:rsidR="009D4200" w:rsidRDefault="00AB3659" w:rsidP="00FE1E17">
      <w:pPr>
        <w:widowControl/>
        <w:autoSpaceDE w:val="0"/>
        <w:autoSpaceDN w:val="0"/>
        <w:adjustRightInd w:val="0"/>
        <w:snapToGrid w:val="0"/>
        <w:spacing w:line="288" w:lineRule="auto"/>
        <w:jc w:val="both"/>
        <w:rPr>
          <w:kern w:val="0"/>
        </w:rPr>
      </w:pPr>
      <w:r>
        <w:t>This study</w:t>
      </w:r>
      <w:r w:rsidR="00040BDB" w:rsidRPr="008126EB">
        <w:t xml:space="preserve"> postulate</w:t>
      </w:r>
      <w:r>
        <w:t>s</w:t>
      </w:r>
      <w:r w:rsidR="00040BDB" w:rsidRPr="008126EB">
        <w:t xml:space="preserve"> that </w:t>
      </w:r>
      <w:r w:rsidR="00F04578">
        <w:t xml:space="preserve">the degree of </w:t>
      </w:r>
      <w:r w:rsidR="00040BDB" w:rsidRPr="008126EB">
        <w:t xml:space="preserve">earnings </w:t>
      </w:r>
      <w:r w:rsidR="004918A1">
        <w:t>manipulation</w:t>
      </w:r>
      <w:r w:rsidR="0000376B">
        <w:t xml:space="preserve"> depends on </w:t>
      </w:r>
      <w:r w:rsidR="006015D3">
        <w:t xml:space="preserve">managerial </w:t>
      </w:r>
      <w:r w:rsidR="0000376B">
        <w:t xml:space="preserve">risk preference. </w:t>
      </w:r>
      <w:r w:rsidR="008E5108">
        <w:t xml:space="preserve">Specifically, </w:t>
      </w:r>
      <w:r w:rsidR="006015D3" w:rsidRPr="008126EB">
        <w:t xml:space="preserve">when firms enjoy gains or </w:t>
      </w:r>
      <w:r w:rsidR="006015D3">
        <w:t>suffer from</w:t>
      </w:r>
      <w:r w:rsidR="006015D3" w:rsidRPr="008126EB">
        <w:t xml:space="preserve"> losses</w:t>
      </w:r>
      <w:r w:rsidR="006015D3">
        <w:t xml:space="preserve">, </w:t>
      </w:r>
      <w:r w:rsidR="0000376B">
        <w:t xml:space="preserve">corporate </w:t>
      </w:r>
      <w:r w:rsidR="006015D3">
        <w:t xml:space="preserve">executives </w:t>
      </w:r>
      <w:r w:rsidR="0000376B">
        <w:t xml:space="preserve">have </w:t>
      </w:r>
      <w:r w:rsidR="008E5108">
        <w:t xml:space="preserve">higher </w:t>
      </w:r>
      <w:r w:rsidR="0000376B">
        <w:t xml:space="preserve">incentives to manipulate </w:t>
      </w:r>
      <w:r w:rsidR="0000376B" w:rsidRPr="0000376B">
        <w:t xml:space="preserve">earnings </w:t>
      </w:r>
      <w:r w:rsidR="008E5108">
        <w:t>than experienc</w:t>
      </w:r>
      <w:r w:rsidR="006015D3">
        <w:t>ing</w:t>
      </w:r>
      <w:r w:rsidR="008E5108">
        <w:t xml:space="preserve"> average returns </w:t>
      </w:r>
      <w:r w:rsidR="00040BDB" w:rsidRPr="008126EB">
        <w:t xml:space="preserve">in </w:t>
      </w:r>
      <w:r w:rsidR="00040BDB">
        <w:t>capital</w:t>
      </w:r>
      <w:r w:rsidR="00040BDB" w:rsidRPr="008126EB">
        <w:t xml:space="preserve"> markets.</w:t>
      </w:r>
      <w:r w:rsidR="00296321" w:rsidRPr="004C5973">
        <w:t xml:space="preserve"> To examine th</w:t>
      </w:r>
      <w:r w:rsidR="008D4DB6">
        <w:t xml:space="preserve">is </w:t>
      </w:r>
      <w:r w:rsidR="006015D3">
        <w:t>relation</w:t>
      </w:r>
      <w:r w:rsidR="00296321" w:rsidRPr="004C5973">
        <w:t xml:space="preserve">, we adopt </w:t>
      </w:r>
      <w:r w:rsidR="00F04578">
        <w:t xml:space="preserve">the </w:t>
      </w:r>
      <w:r w:rsidR="00296321" w:rsidRPr="004C5973">
        <w:t xml:space="preserve">prospect </w:t>
      </w:r>
      <w:r w:rsidR="00F04578">
        <w:t>t</w:t>
      </w:r>
      <w:r w:rsidR="00296321" w:rsidRPr="004C5973">
        <w:t>heory</w:t>
      </w:r>
      <w:r w:rsidR="00E42477">
        <w:t>,</w:t>
      </w:r>
      <w:r w:rsidR="00296321" w:rsidRPr="004C5973">
        <w:t xml:space="preserve"> as the research framework</w:t>
      </w:r>
      <w:r w:rsidR="00E42477">
        <w:t>,</w:t>
      </w:r>
      <w:r w:rsidR="007756B5">
        <w:t xml:space="preserve"> because it </w:t>
      </w:r>
      <w:r w:rsidR="00296321" w:rsidRPr="004C5973">
        <w:t xml:space="preserve">provides a theoretical foundation for </w:t>
      </w:r>
      <w:r w:rsidR="00E42477">
        <w:t>our analysis</w:t>
      </w:r>
      <w:r w:rsidR="00040BDB">
        <w:t>.</w:t>
      </w:r>
      <w:r w:rsidR="00296321" w:rsidRPr="004C5973">
        <w:t xml:space="preserve"> </w:t>
      </w:r>
      <w:r w:rsidR="006015D3">
        <w:t>A</w:t>
      </w:r>
      <w:r w:rsidR="006015D3" w:rsidRPr="008126EB">
        <w:t>pplying</w:t>
      </w:r>
      <w:r w:rsidR="006015D3">
        <w:t xml:space="preserve"> the</w:t>
      </w:r>
      <w:r w:rsidR="006015D3" w:rsidRPr="008126EB">
        <w:t xml:space="preserve"> quantile regression (QR)</w:t>
      </w:r>
      <w:r w:rsidR="006015D3">
        <w:t xml:space="preserve"> and m</w:t>
      </w:r>
      <w:r w:rsidR="00017D24" w:rsidRPr="008126EB">
        <w:t>easuring gains and losses</w:t>
      </w:r>
      <w:r w:rsidR="004C1621" w:rsidRPr="008126EB">
        <w:t xml:space="preserve"> </w:t>
      </w:r>
      <w:r w:rsidR="007032F6">
        <w:t>according to</w:t>
      </w:r>
      <w:r w:rsidR="007756B5">
        <w:t xml:space="preserve"> the </w:t>
      </w:r>
      <w:r w:rsidR="006015D3">
        <w:t xml:space="preserve">stock </w:t>
      </w:r>
      <w:r w:rsidR="004918A1">
        <w:t>returns</w:t>
      </w:r>
      <w:r w:rsidR="00040BDB">
        <w:t xml:space="preserve">, </w:t>
      </w:r>
      <w:r w:rsidR="006015D3">
        <w:t xml:space="preserve">this </w:t>
      </w:r>
      <w:r w:rsidR="00AB457E">
        <w:t>study</w:t>
      </w:r>
      <w:r w:rsidR="00603815" w:rsidRPr="008126EB">
        <w:t xml:space="preserve"> </w:t>
      </w:r>
      <w:r w:rsidR="002B7F74">
        <w:t>show</w:t>
      </w:r>
      <w:r w:rsidR="00AB457E">
        <w:t>s</w:t>
      </w:r>
      <w:r w:rsidR="006015D3">
        <w:t xml:space="preserve"> that </w:t>
      </w:r>
      <w:r w:rsidR="009D4200" w:rsidRPr="008126EB">
        <w:rPr>
          <w:kern w:val="0"/>
        </w:rPr>
        <w:t xml:space="preserve">the </w:t>
      </w:r>
      <w:r w:rsidR="002B7F74">
        <w:rPr>
          <w:kern w:val="0"/>
        </w:rPr>
        <w:t>relation</w:t>
      </w:r>
      <w:r w:rsidR="00E42477">
        <w:t xml:space="preserve"> between </w:t>
      </w:r>
      <w:r w:rsidR="00C473A3">
        <w:t>earnings manipulation</w:t>
      </w:r>
      <w:r w:rsidR="00E42477">
        <w:t xml:space="preserve"> and stock returns</w:t>
      </w:r>
      <w:r w:rsidR="009D4200" w:rsidRPr="008126EB">
        <w:rPr>
          <w:kern w:val="0"/>
        </w:rPr>
        <w:t xml:space="preserve"> is non-uniform and </w:t>
      </w:r>
      <w:r w:rsidR="007756B5">
        <w:rPr>
          <w:kern w:val="0"/>
        </w:rPr>
        <w:t xml:space="preserve">it </w:t>
      </w:r>
      <w:r w:rsidR="009D4200" w:rsidRPr="008126EB">
        <w:rPr>
          <w:kern w:val="0"/>
        </w:rPr>
        <w:t xml:space="preserve">varies </w:t>
      </w:r>
      <w:r w:rsidR="00AB457E">
        <w:rPr>
          <w:kern w:val="0"/>
        </w:rPr>
        <w:t>significantly</w:t>
      </w:r>
      <w:r w:rsidR="00B3483F">
        <w:rPr>
          <w:kern w:val="0"/>
        </w:rPr>
        <w:t xml:space="preserve"> </w:t>
      </w:r>
      <w:r w:rsidR="004918A1">
        <w:rPr>
          <w:kern w:val="0"/>
        </w:rPr>
        <w:t>across various qu</w:t>
      </w:r>
      <w:r w:rsidR="009D4200" w:rsidRPr="008126EB">
        <w:rPr>
          <w:kern w:val="0"/>
        </w:rPr>
        <w:t xml:space="preserve">antiles of </w:t>
      </w:r>
      <w:r w:rsidR="00E42477">
        <w:rPr>
          <w:kern w:val="0"/>
        </w:rPr>
        <w:t>the latter</w:t>
      </w:r>
      <w:r w:rsidR="009D4200" w:rsidRPr="008126EB">
        <w:rPr>
          <w:kern w:val="0"/>
        </w:rPr>
        <w:t xml:space="preserve">. </w:t>
      </w:r>
      <w:r w:rsidR="006015D3">
        <w:rPr>
          <w:kern w:val="0"/>
        </w:rPr>
        <w:t>As predicted</w:t>
      </w:r>
      <w:r w:rsidR="008E5108">
        <w:rPr>
          <w:kern w:val="0"/>
        </w:rPr>
        <w:t xml:space="preserve">, </w:t>
      </w:r>
      <w:r w:rsidR="009D4200" w:rsidRPr="008126EB">
        <w:rPr>
          <w:kern w:val="0"/>
        </w:rPr>
        <w:t xml:space="preserve">this relation is </w:t>
      </w:r>
      <w:r w:rsidR="001E1933">
        <w:rPr>
          <w:kern w:val="0"/>
        </w:rPr>
        <w:t xml:space="preserve">more </w:t>
      </w:r>
      <w:r w:rsidR="00B3483F">
        <w:rPr>
          <w:kern w:val="0"/>
        </w:rPr>
        <w:t xml:space="preserve">pronounced </w:t>
      </w:r>
      <w:r w:rsidR="009D4200" w:rsidRPr="008126EB">
        <w:rPr>
          <w:kern w:val="0"/>
        </w:rPr>
        <w:t>in the tail</w:t>
      </w:r>
      <w:r w:rsidR="004918A1">
        <w:rPr>
          <w:kern w:val="0"/>
        </w:rPr>
        <w:t xml:space="preserve"> region</w:t>
      </w:r>
      <w:r w:rsidR="00B97C07">
        <w:rPr>
          <w:kern w:val="0"/>
        </w:rPr>
        <w:t>s</w:t>
      </w:r>
      <w:r w:rsidR="004918A1">
        <w:rPr>
          <w:kern w:val="0"/>
        </w:rPr>
        <w:t xml:space="preserve"> </w:t>
      </w:r>
      <w:r w:rsidR="001E1933">
        <w:rPr>
          <w:kern w:val="0"/>
        </w:rPr>
        <w:t xml:space="preserve">than the central </w:t>
      </w:r>
      <w:r w:rsidR="004918A1">
        <w:rPr>
          <w:kern w:val="0"/>
        </w:rPr>
        <w:t xml:space="preserve">region </w:t>
      </w:r>
      <w:r w:rsidR="004918A1" w:rsidRPr="008126EB">
        <w:rPr>
          <w:kern w:val="0"/>
        </w:rPr>
        <w:t>of the stock return</w:t>
      </w:r>
      <w:r w:rsidR="004918A1">
        <w:rPr>
          <w:kern w:val="0"/>
        </w:rPr>
        <w:t>s</w:t>
      </w:r>
      <w:r w:rsidR="009D4200" w:rsidRPr="008126EB">
        <w:rPr>
          <w:kern w:val="0"/>
        </w:rPr>
        <w:t xml:space="preserve">. </w:t>
      </w:r>
      <w:r w:rsidR="00A02780">
        <w:rPr>
          <w:kern w:val="0"/>
        </w:rPr>
        <w:t>T</w:t>
      </w:r>
      <w:r w:rsidR="00B97C07">
        <w:rPr>
          <w:kern w:val="0"/>
        </w:rPr>
        <w:t xml:space="preserve">hese </w:t>
      </w:r>
      <w:r w:rsidR="004918A1">
        <w:rPr>
          <w:kern w:val="0"/>
        </w:rPr>
        <w:t>result</w:t>
      </w:r>
      <w:r w:rsidR="00B97C07">
        <w:rPr>
          <w:kern w:val="0"/>
        </w:rPr>
        <w:t>s</w:t>
      </w:r>
      <w:r w:rsidR="00B3483F">
        <w:rPr>
          <w:kern w:val="0"/>
        </w:rPr>
        <w:t xml:space="preserve"> </w:t>
      </w:r>
      <w:r w:rsidR="00B97C07">
        <w:rPr>
          <w:kern w:val="0"/>
        </w:rPr>
        <w:t xml:space="preserve">demonstrate </w:t>
      </w:r>
      <w:r w:rsidR="0046330C" w:rsidRPr="008126EB">
        <w:rPr>
          <w:kern w:val="0"/>
        </w:rPr>
        <w:t xml:space="preserve">that </w:t>
      </w:r>
      <w:r w:rsidR="00637FEF">
        <w:rPr>
          <w:kern w:val="0"/>
        </w:rPr>
        <w:t xml:space="preserve">corporate </w:t>
      </w:r>
      <w:r w:rsidR="00B3483F">
        <w:rPr>
          <w:kern w:val="0"/>
        </w:rPr>
        <w:t>executives</w:t>
      </w:r>
      <w:r w:rsidR="00B3483F" w:rsidRPr="00BD21AA">
        <w:rPr>
          <w:kern w:val="0"/>
        </w:rPr>
        <w:t xml:space="preserve"> </w:t>
      </w:r>
      <w:r w:rsidR="00575EE4">
        <w:rPr>
          <w:rFonts w:hint="eastAsia"/>
          <w:kern w:val="0"/>
        </w:rPr>
        <w:t xml:space="preserve">are </w:t>
      </w:r>
      <w:r w:rsidR="00BF09B6">
        <w:rPr>
          <w:kern w:val="0"/>
        </w:rPr>
        <w:t xml:space="preserve">more </w:t>
      </w:r>
      <w:r w:rsidR="004918A1">
        <w:rPr>
          <w:kern w:val="0"/>
        </w:rPr>
        <w:t>inclined</w:t>
      </w:r>
      <w:r w:rsidR="00BF09B6">
        <w:rPr>
          <w:kern w:val="0"/>
        </w:rPr>
        <w:t xml:space="preserve"> to </w:t>
      </w:r>
      <w:r w:rsidR="00637FEF">
        <w:rPr>
          <w:kern w:val="0"/>
        </w:rPr>
        <w:t>take advantages of</w:t>
      </w:r>
      <w:r w:rsidR="002E7D01" w:rsidRPr="00BD21AA">
        <w:rPr>
          <w:kern w:val="0"/>
        </w:rPr>
        <w:t xml:space="preserve"> </w:t>
      </w:r>
      <w:r w:rsidR="00C473A3">
        <w:rPr>
          <w:kern w:val="0"/>
        </w:rPr>
        <w:t>earnings manipulation</w:t>
      </w:r>
      <w:r w:rsidR="00BD21AA" w:rsidRPr="00BD21AA">
        <w:rPr>
          <w:kern w:val="0"/>
        </w:rPr>
        <w:t xml:space="preserve"> </w:t>
      </w:r>
      <w:r w:rsidR="004918A1">
        <w:rPr>
          <w:kern w:val="0"/>
        </w:rPr>
        <w:t xml:space="preserve">tactic </w:t>
      </w:r>
      <w:r w:rsidR="00E42477">
        <w:rPr>
          <w:kern w:val="0"/>
        </w:rPr>
        <w:t>to</w:t>
      </w:r>
      <w:r w:rsidR="00BD21AA" w:rsidRPr="00BD21AA">
        <w:rPr>
          <w:kern w:val="0"/>
        </w:rPr>
        <w:t xml:space="preserve"> preserve gains </w:t>
      </w:r>
      <w:r w:rsidR="00B3483F">
        <w:rPr>
          <w:kern w:val="0"/>
        </w:rPr>
        <w:t xml:space="preserve">when </w:t>
      </w:r>
      <w:r w:rsidR="00B3483F" w:rsidRPr="0070390A">
        <w:rPr>
          <w:rFonts w:eastAsia="PMingLiU"/>
          <w:kern w:val="0"/>
        </w:rPr>
        <w:t xml:space="preserve">enjoying high stock returns </w:t>
      </w:r>
      <w:r w:rsidR="00BD21AA" w:rsidRPr="00BD21AA">
        <w:rPr>
          <w:kern w:val="0"/>
        </w:rPr>
        <w:t xml:space="preserve">or </w:t>
      </w:r>
      <w:r w:rsidR="00E42477">
        <w:rPr>
          <w:kern w:val="0"/>
        </w:rPr>
        <w:t xml:space="preserve">to </w:t>
      </w:r>
      <w:r w:rsidR="004918A1">
        <w:rPr>
          <w:kern w:val="0"/>
        </w:rPr>
        <w:t>gamble</w:t>
      </w:r>
      <w:r w:rsidR="002E7D01" w:rsidRPr="00BD21AA">
        <w:rPr>
          <w:kern w:val="0"/>
        </w:rPr>
        <w:t xml:space="preserve"> </w:t>
      </w:r>
      <w:r w:rsidR="00BD21AA" w:rsidRPr="00BD21AA">
        <w:rPr>
          <w:kern w:val="0"/>
        </w:rPr>
        <w:t>on losses</w:t>
      </w:r>
      <w:r w:rsidR="00BF09B6">
        <w:rPr>
          <w:kern w:val="0"/>
        </w:rPr>
        <w:t xml:space="preserve"> </w:t>
      </w:r>
      <w:r w:rsidR="00BD2C06">
        <w:rPr>
          <w:kern w:val="0"/>
        </w:rPr>
        <w:t xml:space="preserve">when </w:t>
      </w:r>
      <w:r w:rsidR="00B3483F" w:rsidRPr="0070390A">
        <w:rPr>
          <w:rFonts w:eastAsia="PMingLiU"/>
          <w:kern w:val="0"/>
        </w:rPr>
        <w:t>suffering from low stock returns</w:t>
      </w:r>
      <w:r w:rsidR="00A02780" w:rsidRPr="00A02780">
        <w:rPr>
          <w:kern w:val="0"/>
        </w:rPr>
        <w:t xml:space="preserve"> </w:t>
      </w:r>
      <w:r w:rsidR="00A02780">
        <w:rPr>
          <w:kern w:val="0"/>
        </w:rPr>
        <w:t>than experiencing the average returns</w:t>
      </w:r>
      <w:r w:rsidR="00BD21AA" w:rsidRPr="00BD21AA">
        <w:rPr>
          <w:kern w:val="0"/>
        </w:rPr>
        <w:t xml:space="preserve">.  </w:t>
      </w:r>
    </w:p>
    <w:p w:rsidR="006E7F22" w:rsidRPr="008126EB" w:rsidRDefault="006E7F22" w:rsidP="00FE1E17">
      <w:pPr>
        <w:widowControl/>
        <w:autoSpaceDE w:val="0"/>
        <w:autoSpaceDN w:val="0"/>
        <w:adjustRightInd w:val="0"/>
        <w:snapToGrid w:val="0"/>
        <w:spacing w:line="288" w:lineRule="auto"/>
        <w:jc w:val="both"/>
        <w:rPr>
          <w:kern w:val="0"/>
        </w:rPr>
      </w:pPr>
    </w:p>
    <w:p w:rsidR="008B4B8A" w:rsidRDefault="006C2B12" w:rsidP="00FE1E17">
      <w:pPr>
        <w:pStyle w:val="NormalWeb"/>
        <w:adjustRightInd w:val="0"/>
        <w:snapToGrid w:val="0"/>
        <w:spacing w:before="0" w:beforeAutospacing="0" w:after="0" w:afterAutospacing="0" w:line="288" w:lineRule="auto"/>
        <w:ind w:firstLine="709"/>
        <w:jc w:val="both"/>
      </w:pPr>
      <w:r w:rsidRPr="00BA1921">
        <w:t>D</w:t>
      </w:r>
      <w:r w:rsidR="00F04578" w:rsidRPr="00BA1921">
        <w:t xml:space="preserve">ifferent from prior </w:t>
      </w:r>
      <w:r w:rsidR="00C473A3">
        <w:t xml:space="preserve">earnings </w:t>
      </w:r>
      <w:r w:rsidR="006015D3">
        <w:t>management studies</w:t>
      </w:r>
      <w:r w:rsidR="00AB457E">
        <w:t xml:space="preserve">, </w:t>
      </w:r>
      <w:r w:rsidR="006015D3">
        <w:t>we</w:t>
      </w:r>
      <w:r w:rsidR="00775A19" w:rsidRPr="00BA1921">
        <w:t xml:space="preserve"> </w:t>
      </w:r>
      <w:r w:rsidR="00A02780" w:rsidRPr="00BA1921">
        <w:t>tak</w:t>
      </w:r>
      <w:r w:rsidR="00A02780">
        <w:t xml:space="preserve">e </w:t>
      </w:r>
      <w:r w:rsidR="006015D3">
        <w:t xml:space="preserve">managerial </w:t>
      </w:r>
      <w:r w:rsidR="00A02780" w:rsidRPr="00BA1921">
        <w:t xml:space="preserve">risk </w:t>
      </w:r>
      <w:r w:rsidR="006015D3">
        <w:t xml:space="preserve">preference </w:t>
      </w:r>
      <w:r w:rsidR="00A02780" w:rsidRPr="00BA1921">
        <w:t xml:space="preserve">into </w:t>
      </w:r>
      <w:r w:rsidR="001048B7">
        <w:t>consideration</w:t>
      </w:r>
      <w:r w:rsidR="00A02780" w:rsidRPr="00BA1921">
        <w:t xml:space="preserve"> </w:t>
      </w:r>
      <w:r w:rsidR="00A02780">
        <w:t xml:space="preserve">and </w:t>
      </w:r>
      <w:r w:rsidR="00B97C07" w:rsidRPr="00BA1921">
        <w:t>build arguments according to the prospect theory</w:t>
      </w:r>
      <w:r w:rsidR="001048B7">
        <w:t xml:space="preserve">. Examining </w:t>
      </w:r>
      <w:r w:rsidR="007756B5" w:rsidRPr="00BA1921">
        <w:t>the</w:t>
      </w:r>
      <w:r w:rsidRPr="00BA1921">
        <w:t xml:space="preserve"> </w:t>
      </w:r>
      <w:r w:rsidR="007032F6">
        <w:t>relation</w:t>
      </w:r>
      <w:r w:rsidR="007032F6" w:rsidRPr="00BA1921">
        <w:t xml:space="preserve"> </w:t>
      </w:r>
      <w:r w:rsidR="00BD21AA" w:rsidRPr="00BA1921">
        <w:t xml:space="preserve">between </w:t>
      </w:r>
      <w:r w:rsidR="00637FEF">
        <w:t xml:space="preserve">the degree of </w:t>
      </w:r>
      <w:r w:rsidR="00BD21AA" w:rsidRPr="00BA1921">
        <w:t xml:space="preserve">earnings </w:t>
      </w:r>
      <w:r w:rsidR="007032F6">
        <w:t>manipulation</w:t>
      </w:r>
      <w:r w:rsidR="007032F6" w:rsidRPr="00BA1921">
        <w:t xml:space="preserve"> </w:t>
      </w:r>
      <w:r w:rsidR="00BD21AA" w:rsidRPr="00BA1921">
        <w:t>and</w:t>
      </w:r>
      <w:r w:rsidR="00637FEF">
        <w:t xml:space="preserve"> the </w:t>
      </w:r>
      <w:r w:rsidR="00BD21AA" w:rsidRPr="00BA1921">
        <w:t>stock returns</w:t>
      </w:r>
      <w:r w:rsidR="001048B7">
        <w:t>, t</w:t>
      </w:r>
      <w:r w:rsidR="00A02780">
        <w:t>he study</w:t>
      </w:r>
      <w:r w:rsidR="002D32AB" w:rsidRPr="00BA1921">
        <w:t xml:space="preserve"> </w:t>
      </w:r>
      <w:r w:rsidR="00BF09B6" w:rsidRPr="00BA1921">
        <w:t>point</w:t>
      </w:r>
      <w:r w:rsidR="00AB457E">
        <w:t>s</w:t>
      </w:r>
      <w:r w:rsidR="00BF09B6" w:rsidRPr="00BA1921">
        <w:t xml:space="preserve"> out </w:t>
      </w:r>
      <w:r w:rsidR="00040BDB" w:rsidRPr="00BA1921">
        <w:t xml:space="preserve">that </w:t>
      </w:r>
      <w:r w:rsidRPr="00BA1921">
        <w:t xml:space="preserve">corporate executives may </w:t>
      </w:r>
      <w:r w:rsidR="001048B7">
        <w:t>engage in</w:t>
      </w:r>
      <w:r w:rsidR="001048B7" w:rsidRPr="00BA1921">
        <w:t xml:space="preserve"> </w:t>
      </w:r>
      <w:r w:rsidR="00467F14">
        <w:t>risk-averting</w:t>
      </w:r>
      <w:r w:rsidRPr="00BA1921">
        <w:t xml:space="preserve"> </w:t>
      </w:r>
      <w:r w:rsidR="001048B7">
        <w:t>(risk-seeking) behavior</w:t>
      </w:r>
      <w:r w:rsidR="001048B7" w:rsidRPr="00BA1921">
        <w:t xml:space="preserve"> </w:t>
      </w:r>
      <w:r w:rsidR="00F96C33" w:rsidRPr="00BA1921">
        <w:t xml:space="preserve">when experiencing gains </w:t>
      </w:r>
      <w:r w:rsidR="001048B7">
        <w:t>(losses)</w:t>
      </w:r>
      <w:r w:rsidR="001F4BC3" w:rsidRPr="00BA1921">
        <w:t xml:space="preserve">. </w:t>
      </w:r>
      <w:r w:rsidR="00C87AE0">
        <w:t xml:space="preserve">Moreover, we argue that </w:t>
      </w:r>
      <w:r w:rsidR="00C473A3">
        <w:t>earnings manipulation</w:t>
      </w:r>
      <w:r w:rsidR="008B4B8A" w:rsidRPr="00BA1921">
        <w:t xml:space="preserve"> </w:t>
      </w:r>
      <w:r w:rsidR="002D32AB" w:rsidRPr="00BA1921">
        <w:t>could</w:t>
      </w:r>
      <w:r w:rsidR="008E0A60" w:rsidRPr="00BA1921">
        <w:t xml:space="preserve"> either</w:t>
      </w:r>
      <w:r w:rsidR="002D32AB" w:rsidRPr="00BA1921">
        <w:t xml:space="preserve"> be </w:t>
      </w:r>
      <w:r w:rsidR="00775A19" w:rsidRPr="00BA1921">
        <w:t xml:space="preserve">a </w:t>
      </w:r>
      <w:r w:rsidR="008B4B8A" w:rsidRPr="00BA1921">
        <w:t>low</w:t>
      </w:r>
      <w:r w:rsidR="00BF09B6" w:rsidRPr="00BA1921">
        <w:t>-</w:t>
      </w:r>
      <w:r w:rsidR="002D32AB" w:rsidRPr="00BA1921">
        <w:t xml:space="preserve">risk </w:t>
      </w:r>
      <w:r w:rsidR="008B4B8A" w:rsidRPr="00BA1921">
        <w:t xml:space="preserve">or </w:t>
      </w:r>
      <w:r w:rsidR="00775A19" w:rsidRPr="00BA1921">
        <w:t xml:space="preserve">a </w:t>
      </w:r>
      <w:r w:rsidR="00BF09B6" w:rsidRPr="00BA1921">
        <w:t>high-</w:t>
      </w:r>
      <w:r w:rsidR="008B4B8A" w:rsidRPr="00BA1921">
        <w:t>risk strategy</w:t>
      </w:r>
      <w:r w:rsidR="001048B7">
        <w:t xml:space="preserve"> from </w:t>
      </w:r>
      <w:r w:rsidR="00007220">
        <w:t>corporate executives’</w:t>
      </w:r>
      <w:r w:rsidR="001048B7">
        <w:t xml:space="preserve"> perspectives</w:t>
      </w:r>
      <w:r w:rsidR="00C87AE0">
        <w:t>. In specific</w:t>
      </w:r>
      <w:r w:rsidR="00BD2C06" w:rsidRPr="00BA1921">
        <w:t>,</w:t>
      </w:r>
      <w:r w:rsidR="00EF7BB5" w:rsidRPr="00BA1921">
        <w:t xml:space="preserve"> </w:t>
      </w:r>
      <w:r w:rsidR="001048B7">
        <w:t xml:space="preserve">this tactic </w:t>
      </w:r>
      <w:r w:rsidR="00BF09B6" w:rsidRPr="00BA1921">
        <w:t>c</w:t>
      </w:r>
      <w:r w:rsidR="001048B7">
        <w:t>ould</w:t>
      </w:r>
      <w:r w:rsidR="00A7779E" w:rsidRPr="00BA1921">
        <w:t xml:space="preserve"> </w:t>
      </w:r>
      <w:r w:rsidR="00BF09B6" w:rsidRPr="00BA1921">
        <w:t xml:space="preserve">be a low-risk strategy if </w:t>
      </w:r>
      <w:r w:rsidR="001F4BC3" w:rsidRPr="00BA1921">
        <w:t xml:space="preserve">managers </w:t>
      </w:r>
      <w:r w:rsidR="00007220">
        <w:t xml:space="preserve">plan to </w:t>
      </w:r>
      <w:r w:rsidR="00BF09B6" w:rsidRPr="00BA1921">
        <w:t xml:space="preserve">use this tool </w:t>
      </w:r>
      <w:r w:rsidR="008E0A60" w:rsidRPr="00BA1921">
        <w:t xml:space="preserve">to </w:t>
      </w:r>
      <w:r w:rsidR="00040BDB" w:rsidRPr="00BA1921">
        <w:t xml:space="preserve">meet market expectation </w:t>
      </w:r>
      <w:r w:rsidR="007756B5" w:rsidRPr="00BA1921">
        <w:t xml:space="preserve">on earnings </w:t>
      </w:r>
      <w:r w:rsidR="00040BDB" w:rsidRPr="00BA1921">
        <w:t>or to beat analyst forecasts</w:t>
      </w:r>
      <w:r w:rsidR="00BD21AA" w:rsidRPr="00BA1921">
        <w:t>.</w:t>
      </w:r>
      <w:r w:rsidR="008B4B8A" w:rsidRPr="00BA1921">
        <w:t xml:space="preserve"> </w:t>
      </w:r>
      <w:r w:rsidR="001048B7">
        <w:t>On the other hand</w:t>
      </w:r>
      <w:r w:rsidR="001F4BC3" w:rsidRPr="00BA1921">
        <w:t xml:space="preserve">, </w:t>
      </w:r>
      <w:r w:rsidR="001048B7">
        <w:t>such behavior</w:t>
      </w:r>
      <w:r w:rsidR="00B23A11">
        <w:t xml:space="preserve"> </w:t>
      </w:r>
      <w:r w:rsidR="001048B7" w:rsidRPr="00BA1921">
        <w:t>c</w:t>
      </w:r>
      <w:r w:rsidR="001048B7">
        <w:t xml:space="preserve">ould </w:t>
      </w:r>
      <w:r w:rsidR="00BF09B6" w:rsidRPr="00BA1921">
        <w:t>be a high</w:t>
      </w:r>
      <w:r w:rsidR="00EF7BB5" w:rsidRPr="00BA1921">
        <w:t>-</w:t>
      </w:r>
      <w:r w:rsidR="00BF09B6" w:rsidRPr="00BA1921">
        <w:t xml:space="preserve">risk </w:t>
      </w:r>
      <w:r w:rsidR="00637FEF">
        <w:t>undertaking</w:t>
      </w:r>
      <w:r w:rsidR="00BF09B6" w:rsidRPr="00BA1921">
        <w:t xml:space="preserve"> </w:t>
      </w:r>
      <w:r w:rsidR="001048B7">
        <w:t>if</w:t>
      </w:r>
      <w:r w:rsidR="001048B7" w:rsidRPr="00BA1921">
        <w:t xml:space="preserve"> </w:t>
      </w:r>
      <w:r w:rsidR="00007220">
        <w:t>firm management anticipate that they</w:t>
      </w:r>
      <w:r w:rsidR="00007220" w:rsidRPr="00BA1921">
        <w:t xml:space="preserve"> </w:t>
      </w:r>
      <w:r w:rsidR="00007220">
        <w:t xml:space="preserve">would be punished when </w:t>
      </w:r>
      <w:r w:rsidR="001048B7">
        <w:t xml:space="preserve">earnings management activities </w:t>
      </w:r>
      <w:r w:rsidR="00007220">
        <w:t>have been discovered by market participants</w:t>
      </w:r>
      <w:r w:rsidR="007E5466" w:rsidRPr="00BA1921">
        <w:t xml:space="preserve">. </w:t>
      </w:r>
      <w:r w:rsidR="002E7D01" w:rsidRPr="00BA1921">
        <w:t xml:space="preserve">As </w:t>
      </w:r>
      <w:r w:rsidR="00F51E10" w:rsidRPr="00BA1921">
        <w:t>Hall (2000) document</w:t>
      </w:r>
      <w:r w:rsidR="00007220">
        <w:t>s</w:t>
      </w:r>
      <w:r w:rsidR="002E7D01" w:rsidRPr="00BA1921">
        <w:t xml:space="preserve">, </w:t>
      </w:r>
      <w:r w:rsidR="00007220">
        <w:t>equity shares have been incorporated</w:t>
      </w:r>
      <w:r w:rsidR="00007220" w:rsidRPr="00007220">
        <w:t xml:space="preserve"> </w:t>
      </w:r>
      <w:r w:rsidR="00007220">
        <w:t xml:space="preserve">in employment contracts to incentivize </w:t>
      </w:r>
      <w:r w:rsidR="007032F6" w:rsidRPr="00BA1921">
        <w:t>corporate executives</w:t>
      </w:r>
      <w:r w:rsidR="00F51E10" w:rsidRPr="00BA1921">
        <w:t xml:space="preserve">. </w:t>
      </w:r>
      <w:r w:rsidR="00007220">
        <w:rPr>
          <w:lang w:eastAsia="zh-TW"/>
        </w:rPr>
        <w:t>A</w:t>
      </w:r>
      <w:r w:rsidR="00BA1921" w:rsidRPr="00BA1921">
        <w:rPr>
          <w:lang w:eastAsia="zh-TW"/>
        </w:rPr>
        <w:t>s the agents of business entities,</w:t>
      </w:r>
      <w:r w:rsidR="000412CB" w:rsidRPr="00BA1921">
        <w:t xml:space="preserve"> </w:t>
      </w:r>
      <w:r w:rsidR="00007220">
        <w:t xml:space="preserve">one would expect that these managers </w:t>
      </w:r>
      <w:r w:rsidR="000412CB" w:rsidRPr="00BA1921">
        <w:t xml:space="preserve">would </w:t>
      </w:r>
      <w:r w:rsidR="002E7D01" w:rsidRPr="00BA1921">
        <w:t xml:space="preserve">pay close attention to </w:t>
      </w:r>
      <w:r w:rsidR="000412CB" w:rsidRPr="00BA1921">
        <w:t>stock returns</w:t>
      </w:r>
      <w:r w:rsidR="00007220">
        <w:t xml:space="preserve">, as market reactions will influence </w:t>
      </w:r>
      <w:r w:rsidR="00CA2506" w:rsidRPr="00BA1921">
        <w:t>the value of their equity compensation. More</w:t>
      </w:r>
      <w:r w:rsidR="00711E53">
        <w:t xml:space="preserve"> importantly, </w:t>
      </w:r>
      <w:r w:rsidR="00F96C33" w:rsidRPr="00BA1921">
        <w:t xml:space="preserve">we </w:t>
      </w:r>
      <w:r w:rsidR="002D32AB" w:rsidRPr="00BA1921">
        <w:t xml:space="preserve">assume that </w:t>
      </w:r>
      <w:r w:rsidR="0093187C">
        <w:t>firm</w:t>
      </w:r>
      <w:r w:rsidR="0093187C" w:rsidRPr="00BA1921">
        <w:t xml:space="preserve"> </w:t>
      </w:r>
      <w:r w:rsidR="002E7D01" w:rsidRPr="00BA1921">
        <w:t xml:space="preserve">executives </w:t>
      </w:r>
      <w:r w:rsidR="002D32AB" w:rsidRPr="00BA1921">
        <w:t>may</w:t>
      </w:r>
      <w:r w:rsidR="00DF4445" w:rsidRPr="00BA1921">
        <w:t xml:space="preserve"> </w:t>
      </w:r>
      <w:r w:rsidR="00554D3A" w:rsidRPr="00BA1921">
        <w:t xml:space="preserve">take </w:t>
      </w:r>
      <w:r w:rsidR="00467F14">
        <w:t>risk-averting</w:t>
      </w:r>
      <w:r w:rsidR="00BD21AA" w:rsidRPr="00BA1921">
        <w:t xml:space="preserve"> </w:t>
      </w:r>
      <w:r w:rsidR="00711E53">
        <w:t xml:space="preserve">approach </w:t>
      </w:r>
      <w:r w:rsidR="00BD21AA" w:rsidRPr="00BA1921">
        <w:t>when experiencing gain</w:t>
      </w:r>
      <w:r w:rsidR="00711E53">
        <w:t>s</w:t>
      </w:r>
      <w:r w:rsidR="00BD21AA" w:rsidRPr="00BA1921">
        <w:t xml:space="preserve"> </w:t>
      </w:r>
      <w:r w:rsidR="00711E53">
        <w:t xml:space="preserve">in the stock markets. On the other hand, top management </w:t>
      </w:r>
      <w:r w:rsidR="00711E53" w:rsidRPr="00BA1921">
        <w:t xml:space="preserve">may </w:t>
      </w:r>
      <w:r w:rsidR="00711E53">
        <w:t xml:space="preserve">engage in risk-seeking behavior when encountering </w:t>
      </w:r>
      <w:r w:rsidR="00BD21AA" w:rsidRPr="00BA1921">
        <w:t>loss</w:t>
      </w:r>
      <w:r w:rsidR="00711E53">
        <w:t>es in capital markets</w:t>
      </w:r>
      <w:r w:rsidR="00DF4445" w:rsidRPr="00BA1921">
        <w:t>.</w:t>
      </w:r>
      <w:r w:rsidR="00F96C33" w:rsidRPr="00BA1921">
        <w:t xml:space="preserve"> </w:t>
      </w:r>
      <w:r w:rsidR="00711E53">
        <w:t>Following these arguments</w:t>
      </w:r>
      <w:r w:rsidR="0093187C">
        <w:t xml:space="preserve">, </w:t>
      </w:r>
      <w:r w:rsidR="00BD2C06" w:rsidRPr="00BA1921">
        <w:t xml:space="preserve">we </w:t>
      </w:r>
      <w:r w:rsidR="002D32AB" w:rsidRPr="00BA1921">
        <w:t xml:space="preserve">predict </w:t>
      </w:r>
      <w:r w:rsidR="00BD21AA" w:rsidRPr="00BA1921">
        <w:t xml:space="preserve">that </w:t>
      </w:r>
      <w:r w:rsidR="00711E53">
        <w:t>the degree of earnings management could</w:t>
      </w:r>
      <w:r w:rsidR="00711E53" w:rsidRPr="00BA1921">
        <w:t xml:space="preserve"> </w:t>
      </w:r>
      <w:r w:rsidR="00711E53">
        <w:t xml:space="preserve">be contingent upon </w:t>
      </w:r>
      <w:r w:rsidR="00711E53" w:rsidRPr="00BA1921">
        <w:t xml:space="preserve">the regions of the stock returns </w:t>
      </w:r>
      <w:r w:rsidR="00711E53">
        <w:t xml:space="preserve">and </w:t>
      </w:r>
      <w:r w:rsidR="00A02780">
        <w:t>the relation</w:t>
      </w:r>
      <w:r w:rsidR="00A02780" w:rsidRPr="00BA1921">
        <w:t xml:space="preserve"> </w:t>
      </w:r>
      <w:r w:rsidR="00E37D2D" w:rsidRPr="00BA1921">
        <w:t xml:space="preserve">between </w:t>
      </w:r>
      <w:r w:rsidR="00C473A3">
        <w:t>earnings manipulation</w:t>
      </w:r>
      <w:r w:rsidR="00E37D2D" w:rsidRPr="00BA1921">
        <w:t xml:space="preserve"> and stock returns </w:t>
      </w:r>
      <w:r w:rsidR="00711E53">
        <w:t xml:space="preserve">could be </w:t>
      </w:r>
      <w:r w:rsidR="00B23A11" w:rsidRPr="00BA1921">
        <w:t>non-uniform</w:t>
      </w:r>
      <w:r w:rsidR="00BD21AA" w:rsidRPr="00BA1921">
        <w:t>.</w:t>
      </w:r>
    </w:p>
    <w:p w:rsidR="00403A8F" w:rsidRPr="00BA1921" w:rsidRDefault="00403A8F" w:rsidP="00FE1E17">
      <w:pPr>
        <w:pStyle w:val="NormalWeb"/>
        <w:adjustRightInd w:val="0"/>
        <w:snapToGrid w:val="0"/>
        <w:spacing w:before="0" w:beforeAutospacing="0" w:after="0" w:afterAutospacing="0" w:line="288" w:lineRule="auto"/>
        <w:ind w:firstLine="709"/>
        <w:jc w:val="both"/>
      </w:pPr>
    </w:p>
    <w:p w:rsidR="003E43FA" w:rsidRDefault="00E37D2D" w:rsidP="00FE1E17">
      <w:pPr>
        <w:widowControl/>
        <w:adjustRightInd w:val="0"/>
        <w:snapToGrid w:val="0"/>
        <w:spacing w:line="288" w:lineRule="auto"/>
        <w:ind w:firstLine="709"/>
        <w:jc w:val="both"/>
        <w:rPr>
          <w:kern w:val="0"/>
          <w:lang w:eastAsia="zh-CN"/>
        </w:rPr>
      </w:pPr>
      <w:r>
        <w:t xml:space="preserve">To examine </w:t>
      </w:r>
      <w:r w:rsidR="00AB457E">
        <w:t>th</w:t>
      </w:r>
      <w:r w:rsidR="00711E53">
        <w:t xml:space="preserve">is </w:t>
      </w:r>
      <w:r>
        <w:t>research inquiry, we adopt t</w:t>
      </w:r>
      <w:r w:rsidR="00B4740C">
        <w:t xml:space="preserve">he </w:t>
      </w:r>
      <w:r w:rsidR="00657D39" w:rsidRPr="008126EB">
        <w:t xml:space="preserve">QR </w:t>
      </w:r>
      <w:r w:rsidR="00EF7BB5">
        <w:t>approach</w:t>
      </w:r>
      <w:r w:rsidR="00EF7BB5" w:rsidRPr="008126EB">
        <w:t xml:space="preserve"> </w:t>
      </w:r>
      <w:r>
        <w:t>(</w:t>
      </w:r>
      <w:proofErr w:type="spellStart"/>
      <w:r w:rsidR="00657D39" w:rsidRPr="008126EB">
        <w:t>Koenker</w:t>
      </w:r>
      <w:proofErr w:type="spellEnd"/>
      <w:r w:rsidR="00657D39" w:rsidRPr="008126EB">
        <w:t xml:space="preserve"> and Bassett</w:t>
      </w:r>
      <w:r w:rsidR="00000CB5">
        <w:t xml:space="preserve"> </w:t>
      </w:r>
      <w:r w:rsidR="00657D39" w:rsidRPr="008126EB">
        <w:t xml:space="preserve">1978). </w:t>
      </w:r>
      <w:r w:rsidR="00C35690">
        <w:t xml:space="preserve">As </w:t>
      </w:r>
      <w:r w:rsidR="001E64C9">
        <w:t xml:space="preserve">documented </w:t>
      </w:r>
      <w:r w:rsidR="00BD2C06">
        <w:t>in the literature</w:t>
      </w:r>
      <w:r w:rsidR="00C35690">
        <w:t>, t</w:t>
      </w:r>
      <w:r w:rsidR="00C35690" w:rsidRPr="00C35690">
        <w:t xml:space="preserve">he ordinary least squares (OLS) </w:t>
      </w:r>
      <w:r w:rsidR="00C35690">
        <w:t>and</w:t>
      </w:r>
      <w:r w:rsidR="00C35690" w:rsidRPr="00C35690">
        <w:t xml:space="preserve"> least-sum of absolute deviations (LAD) </w:t>
      </w:r>
      <w:r w:rsidR="00CB452C">
        <w:t>methods</w:t>
      </w:r>
      <w:r w:rsidR="00C35690">
        <w:t xml:space="preserve"> </w:t>
      </w:r>
      <w:r w:rsidR="00CB452C">
        <w:t xml:space="preserve">share </w:t>
      </w:r>
      <w:r w:rsidR="00C35690">
        <w:t>the</w:t>
      </w:r>
      <w:r w:rsidR="00CB452C" w:rsidRPr="00CB452C">
        <w:t xml:space="preserve"> </w:t>
      </w:r>
      <w:r w:rsidR="001E64C9">
        <w:t xml:space="preserve">same </w:t>
      </w:r>
      <w:r w:rsidR="00C35690">
        <w:t xml:space="preserve">limitation of constant coefficients. </w:t>
      </w:r>
      <w:r w:rsidR="00A02780">
        <w:t>Hence</w:t>
      </w:r>
      <w:r w:rsidR="00C35690">
        <w:t xml:space="preserve">, </w:t>
      </w:r>
      <w:r w:rsidR="001E64C9">
        <w:t>the</w:t>
      </w:r>
      <w:r w:rsidR="001E64C9" w:rsidRPr="00C35690">
        <w:t xml:space="preserve"> </w:t>
      </w:r>
      <w:r w:rsidR="00C35690" w:rsidRPr="00C35690">
        <w:t>inferences</w:t>
      </w:r>
      <w:r w:rsidR="00C35690">
        <w:t xml:space="preserve"> </w:t>
      </w:r>
      <w:r w:rsidR="00CB452C">
        <w:t xml:space="preserve">made according to </w:t>
      </w:r>
      <w:r w:rsidR="00DE5A52">
        <w:t>the</w:t>
      </w:r>
      <w:r w:rsidR="001E64C9">
        <w:t xml:space="preserve">se two statistical methods </w:t>
      </w:r>
      <w:r w:rsidR="00BD2C06">
        <w:t>only</w:t>
      </w:r>
      <w:r w:rsidR="00C35690">
        <w:t xml:space="preserve"> </w:t>
      </w:r>
      <w:r w:rsidR="00CB452C">
        <w:t>reflect</w:t>
      </w:r>
      <w:r w:rsidR="00C35690">
        <w:t xml:space="preserve"> the conditional </w:t>
      </w:r>
      <w:r w:rsidR="00C35690" w:rsidRPr="00C35690">
        <w:t xml:space="preserve">mean </w:t>
      </w:r>
      <w:r w:rsidR="00C35690">
        <w:t xml:space="preserve">and medium </w:t>
      </w:r>
      <w:r w:rsidR="00C35690" w:rsidRPr="00C35690">
        <w:t xml:space="preserve">distribution of </w:t>
      </w:r>
      <w:r w:rsidR="00C35690">
        <w:t xml:space="preserve">the dependent variable. </w:t>
      </w:r>
      <w:r w:rsidR="001E64C9">
        <w:t>Consequently</w:t>
      </w:r>
      <w:r w:rsidR="00DE5A52">
        <w:t xml:space="preserve">, the </w:t>
      </w:r>
      <w:r w:rsidR="00647210">
        <w:t xml:space="preserve">estimation results obtained with the OLS and LAD </w:t>
      </w:r>
      <w:r w:rsidR="00711E53">
        <w:t xml:space="preserve">are </w:t>
      </w:r>
      <w:r w:rsidR="00C35690" w:rsidRPr="00C35690">
        <w:t xml:space="preserve">not fully representative of </w:t>
      </w:r>
      <w:r w:rsidR="00975AA9">
        <w:rPr>
          <w:rFonts w:hint="eastAsia"/>
        </w:rPr>
        <w:t xml:space="preserve">the </w:t>
      </w:r>
      <w:r w:rsidR="00711E53">
        <w:t>relation</w:t>
      </w:r>
      <w:r w:rsidR="00711E53">
        <w:rPr>
          <w:rFonts w:hint="eastAsia"/>
        </w:rPr>
        <w:t xml:space="preserve"> </w:t>
      </w:r>
      <w:r w:rsidR="00CB452C">
        <w:t>between</w:t>
      </w:r>
      <w:r w:rsidR="00975AA9">
        <w:rPr>
          <w:rFonts w:hint="eastAsia"/>
        </w:rPr>
        <w:t xml:space="preserve"> </w:t>
      </w:r>
      <w:r w:rsidR="00C473A3">
        <w:t>earnings manipulation</w:t>
      </w:r>
      <w:r w:rsidR="00C35690" w:rsidRPr="00C35690">
        <w:t xml:space="preserve"> </w:t>
      </w:r>
      <w:r w:rsidR="00975AA9">
        <w:rPr>
          <w:rFonts w:hint="eastAsia"/>
        </w:rPr>
        <w:t>and returns</w:t>
      </w:r>
      <w:r>
        <w:t xml:space="preserve"> on equity shares</w:t>
      </w:r>
      <w:r w:rsidR="00975AA9">
        <w:rPr>
          <w:rFonts w:hint="eastAsia"/>
        </w:rPr>
        <w:t xml:space="preserve"> </w:t>
      </w:r>
      <w:r w:rsidR="00C35690" w:rsidRPr="00C35690">
        <w:t>outside of the central region of return distribution</w:t>
      </w:r>
      <w:r w:rsidR="00DE5A52">
        <w:t xml:space="preserve">. </w:t>
      </w:r>
      <w:r w:rsidR="00657D39" w:rsidRPr="008126EB">
        <w:rPr>
          <w:kern w:val="0"/>
          <w:lang w:eastAsia="zh-CN"/>
        </w:rPr>
        <w:lastRenderedPageBreak/>
        <w:t>Instead of relying on the</w:t>
      </w:r>
      <w:r w:rsidR="0056063A" w:rsidRPr="008126EB">
        <w:rPr>
          <w:kern w:val="0"/>
          <w:lang w:eastAsia="zh-CN"/>
        </w:rPr>
        <w:t>se</w:t>
      </w:r>
      <w:r w:rsidR="00657D39" w:rsidRPr="008126EB">
        <w:rPr>
          <w:kern w:val="0"/>
          <w:lang w:eastAsia="zh-CN"/>
        </w:rPr>
        <w:t xml:space="preserve"> traditional econometric methods, </w:t>
      </w:r>
      <w:r w:rsidR="00AB457E">
        <w:rPr>
          <w:kern w:val="0"/>
          <w:lang w:eastAsia="zh-CN"/>
        </w:rPr>
        <w:t>this study</w:t>
      </w:r>
      <w:r w:rsidR="00657D39" w:rsidRPr="008126EB">
        <w:rPr>
          <w:kern w:val="0"/>
          <w:lang w:eastAsia="zh-CN"/>
        </w:rPr>
        <w:t xml:space="preserve"> embrace</w:t>
      </w:r>
      <w:r w:rsidR="00AB457E">
        <w:rPr>
          <w:kern w:val="0"/>
          <w:lang w:eastAsia="zh-CN"/>
        </w:rPr>
        <w:t>s</w:t>
      </w:r>
      <w:r w:rsidR="00657D39" w:rsidRPr="008126EB">
        <w:rPr>
          <w:kern w:val="0"/>
          <w:lang w:eastAsia="zh-CN"/>
        </w:rPr>
        <w:t xml:space="preserve"> </w:t>
      </w:r>
      <w:r w:rsidR="00B4740C">
        <w:rPr>
          <w:kern w:val="0"/>
          <w:lang w:eastAsia="zh-CN"/>
        </w:rPr>
        <w:t xml:space="preserve">the </w:t>
      </w:r>
      <w:r w:rsidR="00657D39" w:rsidRPr="008126EB">
        <w:rPr>
          <w:kern w:val="0"/>
          <w:lang w:eastAsia="zh-CN"/>
        </w:rPr>
        <w:t xml:space="preserve">QR because it </w:t>
      </w:r>
      <w:r>
        <w:rPr>
          <w:kern w:val="0"/>
          <w:lang w:eastAsia="zh-CN"/>
        </w:rPr>
        <w:t>can be used</w:t>
      </w:r>
      <w:r w:rsidR="00B9587A">
        <w:rPr>
          <w:kern w:val="0"/>
          <w:lang w:eastAsia="zh-CN"/>
        </w:rPr>
        <w:t xml:space="preserve"> </w:t>
      </w:r>
      <w:r w:rsidR="00657D39" w:rsidRPr="008126EB">
        <w:rPr>
          <w:kern w:val="0"/>
          <w:lang w:eastAsia="zh-CN"/>
        </w:rPr>
        <w:t xml:space="preserve">to </w:t>
      </w:r>
      <w:r w:rsidR="00AF67B9">
        <w:rPr>
          <w:kern w:val="0"/>
          <w:lang w:eastAsia="zh-CN"/>
        </w:rPr>
        <w:t>evaluate</w:t>
      </w:r>
      <w:r w:rsidR="00657D39" w:rsidRPr="008126EB">
        <w:rPr>
          <w:kern w:val="0"/>
          <w:lang w:eastAsia="zh-CN"/>
        </w:rPr>
        <w:t xml:space="preserve"> the </w:t>
      </w:r>
      <w:r w:rsidR="00AF67B9">
        <w:rPr>
          <w:kern w:val="0"/>
          <w:lang w:eastAsia="zh-CN"/>
        </w:rPr>
        <w:t>relation</w:t>
      </w:r>
      <w:r w:rsidR="00DE5A52">
        <w:rPr>
          <w:kern w:val="0"/>
          <w:lang w:eastAsia="zh-CN"/>
        </w:rPr>
        <w:t xml:space="preserve"> </w:t>
      </w:r>
      <w:r w:rsidR="00A7779E">
        <w:rPr>
          <w:kern w:val="0"/>
          <w:lang w:eastAsia="zh-CN"/>
        </w:rPr>
        <w:t xml:space="preserve">between </w:t>
      </w:r>
      <w:r w:rsidR="00711E53">
        <w:rPr>
          <w:kern w:val="0"/>
          <w:lang w:eastAsia="zh-CN"/>
        </w:rPr>
        <w:t xml:space="preserve">the degree of </w:t>
      </w:r>
      <w:r w:rsidR="00C473A3">
        <w:rPr>
          <w:kern w:val="0"/>
          <w:lang w:eastAsia="zh-CN"/>
        </w:rPr>
        <w:t>earnings manipulation</w:t>
      </w:r>
      <w:r w:rsidR="00A7779E">
        <w:rPr>
          <w:kern w:val="0"/>
          <w:lang w:eastAsia="zh-CN"/>
        </w:rPr>
        <w:t xml:space="preserve"> and </w:t>
      </w:r>
      <w:r w:rsidR="00711E53">
        <w:rPr>
          <w:kern w:val="0"/>
          <w:lang w:eastAsia="zh-CN"/>
        </w:rPr>
        <w:t xml:space="preserve">magnitude of stock </w:t>
      </w:r>
      <w:r w:rsidR="00A7779E">
        <w:rPr>
          <w:kern w:val="0"/>
          <w:lang w:eastAsia="zh-CN"/>
        </w:rPr>
        <w:t xml:space="preserve">returns </w:t>
      </w:r>
      <w:r w:rsidR="00657D39" w:rsidRPr="008126EB">
        <w:rPr>
          <w:kern w:val="0"/>
          <w:lang w:eastAsia="zh-CN"/>
        </w:rPr>
        <w:t xml:space="preserve">across the </w:t>
      </w:r>
      <w:r w:rsidR="009143E3">
        <w:rPr>
          <w:kern w:val="0"/>
          <w:lang w:eastAsia="zh-CN"/>
        </w:rPr>
        <w:t xml:space="preserve">entire </w:t>
      </w:r>
      <w:r>
        <w:rPr>
          <w:kern w:val="0"/>
          <w:lang w:eastAsia="zh-CN"/>
        </w:rPr>
        <w:t>range</w:t>
      </w:r>
      <w:r w:rsidRPr="008126EB">
        <w:rPr>
          <w:kern w:val="0"/>
          <w:lang w:eastAsia="zh-CN"/>
        </w:rPr>
        <w:t xml:space="preserve"> </w:t>
      </w:r>
      <w:r w:rsidR="00657D39" w:rsidRPr="008126EB">
        <w:rPr>
          <w:kern w:val="0"/>
          <w:lang w:eastAsia="zh-CN"/>
        </w:rPr>
        <w:t xml:space="preserve">of </w:t>
      </w:r>
      <w:r w:rsidR="00A7779E">
        <w:rPr>
          <w:kern w:val="0"/>
          <w:lang w:eastAsia="zh-CN"/>
        </w:rPr>
        <w:t>the latter</w:t>
      </w:r>
      <w:r w:rsidR="00657D39" w:rsidRPr="008126EB">
        <w:rPr>
          <w:kern w:val="0"/>
          <w:lang w:eastAsia="zh-CN"/>
        </w:rPr>
        <w:t xml:space="preserve">. </w:t>
      </w:r>
      <w:r w:rsidR="00B9587A">
        <w:rPr>
          <w:kern w:val="0"/>
          <w:lang w:eastAsia="zh-CN"/>
        </w:rPr>
        <w:t xml:space="preserve">More importantly, </w:t>
      </w:r>
      <w:r w:rsidR="00B4740C">
        <w:rPr>
          <w:kern w:val="0"/>
          <w:lang w:eastAsia="zh-CN"/>
        </w:rPr>
        <w:t>the</w:t>
      </w:r>
      <w:r w:rsidR="00B52BD6" w:rsidRPr="008126EB">
        <w:rPr>
          <w:kern w:val="0"/>
          <w:lang w:eastAsia="zh-CN"/>
        </w:rPr>
        <w:t xml:space="preserve"> </w:t>
      </w:r>
      <w:r w:rsidR="009B3424" w:rsidRPr="008126EB">
        <w:rPr>
          <w:kern w:val="0"/>
          <w:lang w:eastAsia="zh-CN"/>
        </w:rPr>
        <w:t xml:space="preserve">QR </w:t>
      </w:r>
      <w:r w:rsidR="00711E53">
        <w:rPr>
          <w:kern w:val="0"/>
          <w:lang w:eastAsia="zh-CN"/>
        </w:rPr>
        <w:t xml:space="preserve">method </w:t>
      </w:r>
      <w:r w:rsidR="009143E3">
        <w:rPr>
          <w:kern w:val="0"/>
          <w:lang w:eastAsia="zh-CN"/>
        </w:rPr>
        <w:t xml:space="preserve">provides a tool </w:t>
      </w:r>
      <w:r w:rsidR="00711E53">
        <w:rPr>
          <w:kern w:val="0"/>
          <w:lang w:eastAsia="zh-CN"/>
        </w:rPr>
        <w:t xml:space="preserve">for us </w:t>
      </w:r>
      <w:r w:rsidR="00B52BD6" w:rsidRPr="008126EB">
        <w:rPr>
          <w:kern w:val="0"/>
          <w:lang w:eastAsia="zh-CN"/>
        </w:rPr>
        <w:t xml:space="preserve">to </w:t>
      </w:r>
      <w:r w:rsidR="00657D39" w:rsidRPr="008126EB">
        <w:rPr>
          <w:kern w:val="0"/>
          <w:lang w:eastAsia="zh-CN"/>
        </w:rPr>
        <w:t xml:space="preserve">explore whether corporate executives </w:t>
      </w:r>
      <w:r w:rsidR="00C62EFD">
        <w:rPr>
          <w:kern w:val="0"/>
          <w:lang w:eastAsia="zh-CN"/>
        </w:rPr>
        <w:t>have</w:t>
      </w:r>
      <w:r w:rsidR="00C62EFD" w:rsidRPr="008126EB">
        <w:rPr>
          <w:kern w:val="0"/>
          <w:lang w:eastAsia="zh-CN"/>
        </w:rPr>
        <w:t xml:space="preserve"> </w:t>
      </w:r>
      <w:r w:rsidR="00657D39" w:rsidRPr="008126EB">
        <w:rPr>
          <w:kern w:val="0"/>
          <w:lang w:eastAsia="zh-CN"/>
        </w:rPr>
        <w:t xml:space="preserve">different </w:t>
      </w:r>
      <w:r w:rsidR="00B9587A">
        <w:rPr>
          <w:kern w:val="0"/>
          <w:lang w:eastAsia="zh-CN"/>
        </w:rPr>
        <w:t xml:space="preserve">inclinations of </w:t>
      </w:r>
      <w:r w:rsidR="00657D39" w:rsidRPr="008126EB">
        <w:rPr>
          <w:kern w:val="0"/>
          <w:lang w:eastAsia="zh-CN"/>
        </w:rPr>
        <w:t xml:space="preserve">earnings </w:t>
      </w:r>
      <w:r w:rsidR="00AF67B9">
        <w:rPr>
          <w:kern w:val="0"/>
          <w:lang w:eastAsia="zh-CN"/>
        </w:rPr>
        <w:t>manipulation</w:t>
      </w:r>
      <w:r w:rsidR="00657D39" w:rsidRPr="008126EB">
        <w:rPr>
          <w:kern w:val="0"/>
          <w:lang w:eastAsia="zh-CN"/>
        </w:rPr>
        <w:t xml:space="preserve"> in the tail regions of </w:t>
      </w:r>
      <w:r w:rsidR="001E64C9">
        <w:rPr>
          <w:kern w:val="0"/>
          <w:lang w:eastAsia="zh-CN"/>
        </w:rPr>
        <w:t>stock</w:t>
      </w:r>
      <w:r w:rsidR="001E64C9" w:rsidRPr="008126EB">
        <w:rPr>
          <w:kern w:val="0"/>
          <w:lang w:eastAsia="zh-CN"/>
        </w:rPr>
        <w:t xml:space="preserve"> </w:t>
      </w:r>
      <w:r w:rsidR="00657D39" w:rsidRPr="008126EB">
        <w:rPr>
          <w:kern w:val="0"/>
          <w:lang w:eastAsia="zh-CN"/>
        </w:rPr>
        <w:t>returns.</w:t>
      </w:r>
    </w:p>
    <w:p w:rsidR="00403A8F" w:rsidRPr="008126EB" w:rsidRDefault="00403A8F" w:rsidP="00FE1E17">
      <w:pPr>
        <w:widowControl/>
        <w:adjustRightInd w:val="0"/>
        <w:snapToGrid w:val="0"/>
        <w:spacing w:line="288" w:lineRule="auto"/>
        <w:ind w:firstLine="709"/>
        <w:jc w:val="both"/>
      </w:pPr>
    </w:p>
    <w:p w:rsidR="003E43FA" w:rsidRDefault="00AF67B9" w:rsidP="00FE1E17">
      <w:pPr>
        <w:widowControl/>
        <w:adjustRightInd w:val="0"/>
        <w:snapToGrid w:val="0"/>
        <w:spacing w:line="288" w:lineRule="auto"/>
        <w:ind w:firstLineChars="295" w:firstLine="708"/>
        <w:jc w:val="both"/>
      </w:pPr>
      <w:r>
        <w:rPr>
          <w:kern w:val="0"/>
        </w:rPr>
        <w:t xml:space="preserve">This study </w:t>
      </w:r>
      <w:r w:rsidR="00657D39" w:rsidRPr="008126EB">
        <w:rPr>
          <w:kern w:val="0"/>
        </w:rPr>
        <w:t>use</w:t>
      </w:r>
      <w:r>
        <w:rPr>
          <w:kern w:val="0"/>
        </w:rPr>
        <w:t>s</w:t>
      </w:r>
      <w:r w:rsidR="00657D39" w:rsidRPr="008126EB">
        <w:rPr>
          <w:kern w:val="0"/>
        </w:rPr>
        <w:t xml:space="preserve"> the absolute value of discretionary accruals (</w:t>
      </w:r>
      <w:r w:rsidR="00C46D6B">
        <w:rPr>
          <w:kern w:val="0"/>
        </w:rPr>
        <w:t>that is,</w:t>
      </w:r>
      <w:r w:rsidR="00B9587A">
        <w:rPr>
          <w:kern w:val="0"/>
        </w:rPr>
        <w:t xml:space="preserve"> </w:t>
      </w:r>
      <w:r w:rsidR="00657D39" w:rsidRPr="008126EB">
        <w:rPr>
          <w:kern w:val="0"/>
        </w:rPr>
        <w:t>|</w:t>
      </w:r>
      <w:r w:rsidR="00657D39" w:rsidRPr="008126EB">
        <w:rPr>
          <w:i/>
          <w:kern w:val="0"/>
        </w:rPr>
        <w:t>DA</w:t>
      </w:r>
      <w:r w:rsidR="00657D39" w:rsidRPr="008126EB">
        <w:rPr>
          <w:kern w:val="0"/>
        </w:rPr>
        <w:t xml:space="preserve">|) </w:t>
      </w:r>
      <w:r>
        <w:rPr>
          <w:kern w:val="0"/>
        </w:rPr>
        <w:t>t</w:t>
      </w:r>
      <w:r w:rsidRPr="008126EB">
        <w:rPr>
          <w:kern w:val="0"/>
        </w:rPr>
        <w:t xml:space="preserve">o </w:t>
      </w:r>
      <w:r>
        <w:rPr>
          <w:kern w:val="0"/>
        </w:rPr>
        <w:t>gauge</w:t>
      </w:r>
      <w:r w:rsidRPr="008126EB">
        <w:rPr>
          <w:kern w:val="0"/>
        </w:rPr>
        <w:t xml:space="preserve"> </w:t>
      </w:r>
      <w:r>
        <w:rPr>
          <w:kern w:val="0"/>
        </w:rPr>
        <w:t xml:space="preserve">the </w:t>
      </w:r>
      <w:r w:rsidR="00647210">
        <w:rPr>
          <w:kern w:val="0"/>
        </w:rPr>
        <w:t>degree</w:t>
      </w:r>
      <w:r>
        <w:rPr>
          <w:kern w:val="0"/>
        </w:rPr>
        <w:t xml:space="preserve"> of </w:t>
      </w:r>
      <w:r w:rsidR="00E37D2D">
        <w:rPr>
          <w:kern w:val="0"/>
        </w:rPr>
        <w:t xml:space="preserve">manipulation on the reported </w:t>
      </w:r>
      <w:r>
        <w:rPr>
          <w:kern w:val="0"/>
        </w:rPr>
        <w:t>earnings</w:t>
      </w:r>
      <w:r w:rsidR="00657D39" w:rsidRPr="008126EB">
        <w:rPr>
          <w:kern w:val="0"/>
        </w:rPr>
        <w:t xml:space="preserve">. </w:t>
      </w:r>
      <w:r w:rsidR="000210E1">
        <w:rPr>
          <w:kern w:val="0"/>
        </w:rPr>
        <w:t>As</w:t>
      </w:r>
      <w:r w:rsidR="00657D39" w:rsidRPr="008126EB">
        <w:rPr>
          <w:kern w:val="0"/>
        </w:rPr>
        <w:t xml:space="preserve"> </w:t>
      </w:r>
      <w:r w:rsidR="00E37D2D">
        <w:rPr>
          <w:kern w:val="0"/>
        </w:rPr>
        <w:t>shown in the</w:t>
      </w:r>
      <w:r w:rsidR="00E37D2D" w:rsidRPr="008126EB">
        <w:rPr>
          <w:kern w:val="0"/>
        </w:rPr>
        <w:t xml:space="preserve"> </w:t>
      </w:r>
      <w:r w:rsidR="00657D39" w:rsidRPr="008126EB">
        <w:rPr>
          <w:kern w:val="0"/>
        </w:rPr>
        <w:t>literature, increasing |</w:t>
      </w:r>
      <w:r w:rsidR="00657D39" w:rsidRPr="008126EB">
        <w:rPr>
          <w:i/>
          <w:kern w:val="0"/>
        </w:rPr>
        <w:t>DA</w:t>
      </w:r>
      <w:r w:rsidR="00657D39" w:rsidRPr="008126EB">
        <w:rPr>
          <w:kern w:val="0"/>
        </w:rPr>
        <w:t>| implies a high</w:t>
      </w:r>
      <w:r w:rsidR="007C62E4" w:rsidRPr="008126EB">
        <w:rPr>
          <w:kern w:val="0"/>
        </w:rPr>
        <w:t>er</w:t>
      </w:r>
      <w:r w:rsidR="00657D39" w:rsidRPr="008126EB">
        <w:rPr>
          <w:kern w:val="0"/>
        </w:rPr>
        <w:t xml:space="preserve"> </w:t>
      </w:r>
      <w:r w:rsidR="00E37D2D">
        <w:rPr>
          <w:kern w:val="0"/>
        </w:rPr>
        <w:t>level</w:t>
      </w:r>
      <w:r w:rsidR="00E37D2D" w:rsidRPr="008126EB">
        <w:rPr>
          <w:kern w:val="0"/>
        </w:rPr>
        <w:t xml:space="preserve"> </w:t>
      </w:r>
      <w:r w:rsidR="00657D39" w:rsidRPr="008126EB">
        <w:rPr>
          <w:kern w:val="0"/>
        </w:rPr>
        <w:t xml:space="preserve">of </w:t>
      </w:r>
      <w:r w:rsidR="00E37D2D">
        <w:rPr>
          <w:kern w:val="0"/>
        </w:rPr>
        <w:t>manipulation on the reported income</w:t>
      </w:r>
      <w:r w:rsidR="000210E1">
        <w:rPr>
          <w:kern w:val="0"/>
        </w:rPr>
        <w:t>,</w:t>
      </w:r>
      <w:r w:rsidR="00657D39" w:rsidRPr="008126EB">
        <w:rPr>
          <w:kern w:val="0"/>
        </w:rPr>
        <w:t xml:space="preserve"> and vice versa</w:t>
      </w:r>
      <w:r w:rsidR="00594243" w:rsidRPr="008126EB">
        <w:rPr>
          <w:kern w:val="0"/>
        </w:rPr>
        <w:t xml:space="preserve"> (</w:t>
      </w:r>
      <w:r w:rsidR="00C46D6B">
        <w:rPr>
          <w:kern w:val="0"/>
        </w:rPr>
        <w:t>for example,</w:t>
      </w:r>
      <w:r w:rsidR="00594243" w:rsidRPr="008126EB">
        <w:rPr>
          <w:kern w:val="0"/>
        </w:rPr>
        <w:t xml:space="preserve"> </w:t>
      </w:r>
      <w:proofErr w:type="spellStart"/>
      <w:r w:rsidR="00C46D6B">
        <w:rPr>
          <w:kern w:val="0"/>
        </w:rPr>
        <w:t>Leuz</w:t>
      </w:r>
      <w:proofErr w:type="spellEnd"/>
      <w:r w:rsidR="00C46D6B">
        <w:rPr>
          <w:kern w:val="0"/>
        </w:rPr>
        <w:t xml:space="preserve">, Nanda and </w:t>
      </w:r>
      <w:proofErr w:type="spellStart"/>
      <w:r w:rsidR="00C46D6B">
        <w:rPr>
          <w:kern w:val="0"/>
        </w:rPr>
        <w:t>Wysocki</w:t>
      </w:r>
      <w:proofErr w:type="spellEnd"/>
      <w:r w:rsidR="00C46D6B">
        <w:rPr>
          <w:kern w:val="0"/>
        </w:rPr>
        <w:t xml:space="preserve"> 2003,</w:t>
      </w:r>
      <w:r w:rsidR="00AE7F8E" w:rsidRPr="008126EB">
        <w:rPr>
          <w:kern w:val="0"/>
        </w:rPr>
        <w:t xml:space="preserve"> </w:t>
      </w:r>
      <w:r w:rsidR="00C46D6B">
        <w:rPr>
          <w:kern w:val="0"/>
        </w:rPr>
        <w:t xml:space="preserve">Myers, Myers and Omer 2003 and </w:t>
      </w:r>
      <w:proofErr w:type="spellStart"/>
      <w:r w:rsidR="00C46D6B">
        <w:rPr>
          <w:kern w:val="0"/>
        </w:rPr>
        <w:t>Jiraporn</w:t>
      </w:r>
      <w:proofErr w:type="spellEnd"/>
      <w:r w:rsidR="00C46D6B">
        <w:rPr>
          <w:kern w:val="0"/>
        </w:rPr>
        <w:t>, Miller, Yoon and Kim</w:t>
      </w:r>
      <w:r w:rsidR="00594243" w:rsidRPr="008126EB">
        <w:rPr>
          <w:kern w:val="0"/>
        </w:rPr>
        <w:t xml:space="preserve"> 2008). </w:t>
      </w:r>
      <w:r w:rsidR="00E07E59">
        <w:rPr>
          <w:kern w:val="0"/>
        </w:rPr>
        <w:t xml:space="preserve">As to the </w:t>
      </w:r>
      <w:r w:rsidR="00E37D2D" w:rsidRPr="008126EB">
        <w:rPr>
          <w:kern w:val="0"/>
        </w:rPr>
        <w:t>annual stock returns (</w:t>
      </w:r>
      <w:r w:rsidR="00E37D2D" w:rsidRPr="008126EB">
        <w:rPr>
          <w:i/>
          <w:kern w:val="0"/>
        </w:rPr>
        <w:t>RETURN</w:t>
      </w:r>
      <w:r w:rsidR="00E37D2D" w:rsidRPr="008126EB">
        <w:rPr>
          <w:kern w:val="0"/>
        </w:rPr>
        <w:t>)</w:t>
      </w:r>
      <w:r w:rsidR="00E07E59">
        <w:rPr>
          <w:kern w:val="0"/>
        </w:rPr>
        <w:t xml:space="preserve">, we </w:t>
      </w:r>
      <w:r w:rsidR="00872075">
        <w:rPr>
          <w:kern w:val="0"/>
        </w:rPr>
        <w:t>obtain th</w:t>
      </w:r>
      <w:r w:rsidR="00AB457E">
        <w:rPr>
          <w:kern w:val="0"/>
        </w:rPr>
        <w:t>ese</w:t>
      </w:r>
      <w:r w:rsidR="00872075">
        <w:rPr>
          <w:kern w:val="0"/>
        </w:rPr>
        <w:t xml:space="preserve"> value</w:t>
      </w:r>
      <w:r w:rsidR="00AB457E">
        <w:rPr>
          <w:kern w:val="0"/>
        </w:rPr>
        <w:t>s</w:t>
      </w:r>
      <w:r w:rsidR="00E07E59">
        <w:rPr>
          <w:kern w:val="0"/>
        </w:rPr>
        <w:t xml:space="preserve"> by calculating </w:t>
      </w:r>
      <w:r w:rsidR="00E104D8">
        <w:rPr>
          <w:kern w:val="0"/>
        </w:rPr>
        <w:t xml:space="preserve">the </w:t>
      </w:r>
      <w:r w:rsidR="00657D39" w:rsidRPr="008126EB">
        <w:rPr>
          <w:kern w:val="0"/>
        </w:rPr>
        <w:t xml:space="preserve">compounded monthly returns </w:t>
      </w:r>
      <w:r w:rsidR="00872075">
        <w:rPr>
          <w:kern w:val="0"/>
        </w:rPr>
        <w:t xml:space="preserve">on share equity </w:t>
      </w:r>
      <w:r w:rsidR="00657D39" w:rsidRPr="008126EB">
        <w:rPr>
          <w:kern w:val="0"/>
        </w:rPr>
        <w:t xml:space="preserve">over a 12-month period ending </w:t>
      </w:r>
      <w:r w:rsidR="00C8622D">
        <w:rPr>
          <w:kern w:val="0"/>
        </w:rPr>
        <w:t>three</w:t>
      </w:r>
      <w:r w:rsidR="00C8622D" w:rsidRPr="008126EB">
        <w:rPr>
          <w:kern w:val="0"/>
        </w:rPr>
        <w:t xml:space="preserve"> </w:t>
      </w:r>
      <w:r w:rsidR="00657D39" w:rsidRPr="008126EB">
        <w:rPr>
          <w:kern w:val="0"/>
        </w:rPr>
        <w:t xml:space="preserve">months after the closing of the </w:t>
      </w:r>
      <w:r w:rsidR="00E104D8">
        <w:rPr>
          <w:kern w:val="0"/>
        </w:rPr>
        <w:t>reporting</w:t>
      </w:r>
      <w:r w:rsidR="00657D39" w:rsidRPr="008126EB">
        <w:rPr>
          <w:kern w:val="0"/>
        </w:rPr>
        <w:t xml:space="preserve"> </w:t>
      </w:r>
      <w:r w:rsidR="00872075">
        <w:rPr>
          <w:kern w:val="0"/>
        </w:rPr>
        <w:t>period</w:t>
      </w:r>
      <w:r w:rsidR="00657D39" w:rsidRPr="008126EB">
        <w:rPr>
          <w:kern w:val="0"/>
        </w:rPr>
        <w:t>.</w:t>
      </w:r>
      <w:r w:rsidR="00957208">
        <w:rPr>
          <w:kern w:val="0"/>
        </w:rPr>
        <w:t xml:space="preserve"> </w:t>
      </w:r>
      <w:r w:rsidR="00AB457E">
        <w:rPr>
          <w:kern w:val="0"/>
        </w:rPr>
        <w:t>While</w:t>
      </w:r>
      <w:r w:rsidR="00957208">
        <w:rPr>
          <w:kern w:val="0"/>
        </w:rPr>
        <w:t xml:space="preserve"> </w:t>
      </w:r>
      <w:r w:rsidR="00657D39" w:rsidRPr="008126EB">
        <w:rPr>
          <w:kern w:val="0"/>
        </w:rPr>
        <w:t>analy</w:t>
      </w:r>
      <w:r w:rsidR="00957208">
        <w:rPr>
          <w:kern w:val="0"/>
        </w:rPr>
        <w:t>z</w:t>
      </w:r>
      <w:r w:rsidR="00AB457E">
        <w:rPr>
          <w:kern w:val="0"/>
        </w:rPr>
        <w:t>ing</w:t>
      </w:r>
      <w:r w:rsidR="00957208">
        <w:rPr>
          <w:kern w:val="0"/>
        </w:rPr>
        <w:t xml:space="preserve"> </w:t>
      </w:r>
      <w:r w:rsidR="00957208" w:rsidRPr="008126EB">
        <w:rPr>
          <w:kern w:val="0"/>
        </w:rPr>
        <w:t>20,350 firm–year observations</w:t>
      </w:r>
      <w:r w:rsidR="00957208">
        <w:rPr>
          <w:kern w:val="0"/>
        </w:rPr>
        <w:t xml:space="preserve"> </w:t>
      </w:r>
      <w:r w:rsidR="00E07E59">
        <w:rPr>
          <w:kern w:val="0"/>
        </w:rPr>
        <w:t>collected</w:t>
      </w:r>
      <w:r w:rsidR="00E07E59" w:rsidRPr="008126EB">
        <w:rPr>
          <w:kern w:val="0"/>
        </w:rPr>
        <w:t xml:space="preserve"> </w:t>
      </w:r>
      <w:r w:rsidR="00957208" w:rsidRPr="008126EB">
        <w:rPr>
          <w:kern w:val="0"/>
        </w:rPr>
        <w:t>from 2,290 non</w:t>
      </w:r>
      <w:r w:rsidR="00957208">
        <w:rPr>
          <w:kern w:val="0"/>
        </w:rPr>
        <w:t>-</w:t>
      </w:r>
      <w:r w:rsidR="00957208" w:rsidRPr="008126EB">
        <w:rPr>
          <w:kern w:val="0"/>
        </w:rPr>
        <w:t xml:space="preserve">financial </w:t>
      </w:r>
      <w:r w:rsidR="00957208">
        <w:rPr>
          <w:kern w:val="0"/>
        </w:rPr>
        <w:t xml:space="preserve">U.S. </w:t>
      </w:r>
      <w:r w:rsidR="00957208" w:rsidRPr="008126EB">
        <w:rPr>
          <w:kern w:val="0"/>
        </w:rPr>
        <w:t>companies between 1992 and 20</w:t>
      </w:r>
      <w:r w:rsidR="00957208">
        <w:rPr>
          <w:kern w:val="0"/>
        </w:rPr>
        <w:t>10</w:t>
      </w:r>
      <w:r w:rsidR="00AB457E">
        <w:rPr>
          <w:kern w:val="0"/>
        </w:rPr>
        <w:t>, we control the following factors</w:t>
      </w:r>
      <w:r w:rsidR="00E104D8">
        <w:rPr>
          <w:kern w:val="0"/>
        </w:rPr>
        <w:t>: (1) market condition</w:t>
      </w:r>
      <w:r w:rsidR="00AB457E">
        <w:rPr>
          <w:kern w:val="0"/>
        </w:rPr>
        <w:t>, measured</w:t>
      </w:r>
      <w:r w:rsidR="00E104D8">
        <w:rPr>
          <w:kern w:val="0"/>
        </w:rPr>
        <w:t xml:space="preserve"> by </w:t>
      </w:r>
      <w:r w:rsidR="00657D39" w:rsidRPr="008126EB">
        <w:rPr>
          <w:kern w:val="0"/>
        </w:rPr>
        <w:t xml:space="preserve">the annual returns of S&amp;P 500 companies, (2) </w:t>
      </w:r>
      <w:r w:rsidR="00FA7DCD">
        <w:rPr>
          <w:rFonts w:hint="eastAsia"/>
          <w:kern w:val="0"/>
        </w:rPr>
        <w:t xml:space="preserve">size of </w:t>
      </w:r>
      <w:r w:rsidR="00657D39" w:rsidRPr="008126EB">
        <w:rPr>
          <w:kern w:val="0"/>
        </w:rPr>
        <w:t>firm</w:t>
      </w:r>
      <w:r w:rsidR="00AB457E">
        <w:rPr>
          <w:kern w:val="0"/>
        </w:rPr>
        <w:t>, calculated</w:t>
      </w:r>
      <w:r w:rsidR="00657D39" w:rsidRPr="008126EB">
        <w:rPr>
          <w:kern w:val="0"/>
        </w:rPr>
        <w:t xml:space="preserve"> </w:t>
      </w:r>
      <w:r w:rsidR="00E104D8">
        <w:rPr>
          <w:kern w:val="0"/>
        </w:rPr>
        <w:t xml:space="preserve">by </w:t>
      </w:r>
      <w:r w:rsidR="00657D39" w:rsidRPr="008126EB">
        <w:rPr>
          <w:kern w:val="0"/>
        </w:rPr>
        <w:t xml:space="preserve">the natural </w:t>
      </w:r>
      <w:r w:rsidR="00657D39" w:rsidRPr="008126EB">
        <w:rPr>
          <w:rStyle w:val="tgc"/>
          <w:bCs/>
        </w:rPr>
        <w:t>logarithm</w:t>
      </w:r>
      <w:r w:rsidR="00657D39" w:rsidRPr="008126EB">
        <w:rPr>
          <w:kern w:val="0"/>
        </w:rPr>
        <w:t xml:space="preserve"> of </w:t>
      </w:r>
      <w:r w:rsidR="00E104D8">
        <w:rPr>
          <w:kern w:val="0"/>
        </w:rPr>
        <w:t xml:space="preserve">a firm’s </w:t>
      </w:r>
      <w:r w:rsidR="00657D39" w:rsidRPr="008126EB">
        <w:rPr>
          <w:kern w:val="0"/>
        </w:rPr>
        <w:t xml:space="preserve">total assets, (3) </w:t>
      </w:r>
      <w:r w:rsidR="000B5DE2">
        <w:rPr>
          <w:kern w:val="0"/>
        </w:rPr>
        <w:t>growth opportunities</w:t>
      </w:r>
      <w:r w:rsidR="00657D39" w:rsidRPr="008126EB">
        <w:rPr>
          <w:kern w:val="0"/>
        </w:rPr>
        <w:t xml:space="preserve"> </w:t>
      </w:r>
      <w:r w:rsidR="00872075">
        <w:rPr>
          <w:kern w:val="0"/>
        </w:rPr>
        <w:t>available to the studied firm</w:t>
      </w:r>
      <w:r w:rsidR="00AB457E">
        <w:rPr>
          <w:kern w:val="0"/>
        </w:rPr>
        <w:t xml:space="preserve">, </w:t>
      </w:r>
      <w:r w:rsidR="00872075">
        <w:rPr>
          <w:kern w:val="0"/>
        </w:rPr>
        <w:t xml:space="preserve"> </w:t>
      </w:r>
      <w:r w:rsidR="00657D39" w:rsidRPr="008126EB">
        <w:rPr>
          <w:kern w:val="0"/>
        </w:rPr>
        <w:t>comput</w:t>
      </w:r>
      <w:r w:rsidR="00AB457E">
        <w:rPr>
          <w:kern w:val="0"/>
        </w:rPr>
        <w:t xml:space="preserve">ed by </w:t>
      </w:r>
      <w:r w:rsidR="00657D39" w:rsidRPr="008126EB">
        <w:rPr>
          <w:kern w:val="0"/>
        </w:rPr>
        <w:t xml:space="preserve">the </w:t>
      </w:r>
      <w:r w:rsidR="00872075">
        <w:rPr>
          <w:kern w:val="0"/>
        </w:rPr>
        <w:t xml:space="preserve">ratio  between </w:t>
      </w:r>
      <w:r w:rsidR="00657D39" w:rsidRPr="008126EB">
        <w:rPr>
          <w:kern w:val="0"/>
        </w:rPr>
        <w:t>market</w:t>
      </w:r>
      <w:r w:rsidR="00FA7DCD">
        <w:rPr>
          <w:rFonts w:hint="eastAsia"/>
          <w:kern w:val="0"/>
        </w:rPr>
        <w:t xml:space="preserve"> </w:t>
      </w:r>
      <w:r w:rsidR="00872075">
        <w:rPr>
          <w:kern w:val="0"/>
        </w:rPr>
        <w:t>value and</w:t>
      </w:r>
      <w:r w:rsidR="00872075">
        <w:rPr>
          <w:rFonts w:hint="eastAsia"/>
          <w:kern w:val="0"/>
        </w:rPr>
        <w:t xml:space="preserve"> </w:t>
      </w:r>
      <w:r w:rsidR="00657D39" w:rsidRPr="008126EB">
        <w:rPr>
          <w:kern w:val="0"/>
        </w:rPr>
        <w:t xml:space="preserve">book </w:t>
      </w:r>
      <w:r w:rsidR="00FA7DCD">
        <w:rPr>
          <w:rFonts w:hint="eastAsia"/>
          <w:kern w:val="0"/>
        </w:rPr>
        <w:t xml:space="preserve">value </w:t>
      </w:r>
      <w:r w:rsidR="00657D39" w:rsidRPr="008126EB">
        <w:rPr>
          <w:kern w:val="0"/>
        </w:rPr>
        <w:t>of equity</w:t>
      </w:r>
      <w:r w:rsidR="008F3BA9">
        <w:rPr>
          <w:kern w:val="0"/>
        </w:rPr>
        <w:t xml:space="preserve"> shares</w:t>
      </w:r>
      <w:r w:rsidR="00657D39" w:rsidRPr="008126EB">
        <w:rPr>
          <w:kern w:val="0"/>
        </w:rPr>
        <w:t>, and (4) momentum factor</w:t>
      </w:r>
      <w:r w:rsidR="00AB457E">
        <w:rPr>
          <w:kern w:val="0"/>
        </w:rPr>
        <w:t xml:space="preserve">, accounted </w:t>
      </w:r>
      <w:r w:rsidR="002040B8">
        <w:rPr>
          <w:kern w:val="0"/>
        </w:rPr>
        <w:t xml:space="preserve">by </w:t>
      </w:r>
      <w:r w:rsidR="00657D39" w:rsidRPr="008126EB">
        <w:rPr>
          <w:kern w:val="0"/>
        </w:rPr>
        <w:t>the</w:t>
      </w:r>
      <w:r w:rsidR="003C00A4">
        <w:rPr>
          <w:kern w:val="0"/>
        </w:rPr>
        <w:t xml:space="preserve"> amount of</w:t>
      </w:r>
      <w:r w:rsidR="00657D39" w:rsidRPr="008126EB">
        <w:rPr>
          <w:kern w:val="0"/>
        </w:rPr>
        <w:t xml:space="preserve"> lagged stock return. </w:t>
      </w:r>
      <w:r w:rsidR="00957208">
        <w:rPr>
          <w:kern w:val="0"/>
        </w:rPr>
        <w:t>Employing the QR method,</w:t>
      </w:r>
      <w:r w:rsidR="00957208" w:rsidDel="00957208">
        <w:rPr>
          <w:kern w:val="0"/>
        </w:rPr>
        <w:t xml:space="preserve"> </w:t>
      </w:r>
      <w:r w:rsidR="00AB457E">
        <w:rPr>
          <w:kern w:val="0"/>
        </w:rPr>
        <w:t>these</w:t>
      </w:r>
      <w:r w:rsidR="00657D39" w:rsidRPr="008126EB">
        <w:rPr>
          <w:kern w:val="0"/>
        </w:rPr>
        <w:t xml:space="preserve"> observations </w:t>
      </w:r>
      <w:r w:rsidR="00AB457E">
        <w:rPr>
          <w:kern w:val="0"/>
        </w:rPr>
        <w:t xml:space="preserve">are divided </w:t>
      </w:r>
      <w:r w:rsidR="00657D39" w:rsidRPr="008126EB">
        <w:rPr>
          <w:kern w:val="0"/>
        </w:rPr>
        <w:t xml:space="preserve">into 19 distinct quantiles with an increment of </w:t>
      </w:r>
      <w:r w:rsidR="00C46D6B">
        <w:rPr>
          <w:kern w:val="0"/>
        </w:rPr>
        <w:t>five percent</w:t>
      </w:r>
      <w:r w:rsidR="00657D39" w:rsidRPr="008126EB">
        <w:rPr>
          <w:kern w:val="0"/>
        </w:rPr>
        <w:t xml:space="preserve"> between quantiles.</w:t>
      </w:r>
      <w:r w:rsidR="00B30857" w:rsidRPr="00B30857">
        <w:rPr>
          <w:rStyle w:val="FootnoteReference"/>
        </w:rPr>
        <w:t xml:space="preserve"> </w:t>
      </w:r>
    </w:p>
    <w:p w:rsidR="00403A8F" w:rsidRPr="008126EB" w:rsidRDefault="00403A8F" w:rsidP="00FE1E17">
      <w:pPr>
        <w:widowControl/>
        <w:adjustRightInd w:val="0"/>
        <w:snapToGrid w:val="0"/>
        <w:spacing w:line="288" w:lineRule="auto"/>
        <w:ind w:firstLineChars="295" w:firstLine="708"/>
        <w:jc w:val="both"/>
        <w:rPr>
          <w:kern w:val="0"/>
        </w:rPr>
      </w:pPr>
    </w:p>
    <w:p w:rsidR="00657D39" w:rsidRDefault="00E546F5" w:rsidP="00FE1E17">
      <w:pPr>
        <w:widowControl/>
        <w:adjustRightInd w:val="0"/>
        <w:snapToGrid w:val="0"/>
        <w:spacing w:line="288" w:lineRule="auto"/>
        <w:ind w:firstLine="709"/>
        <w:jc w:val="both"/>
        <w:rPr>
          <w:kern w:val="0"/>
        </w:rPr>
      </w:pPr>
      <w:r>
        <w:rPr>
          <w:kern w:val="0"/>
        </w:rPr>
        <w:t xml:space="preserve">To ensure the robustness of empirical evidence reported in the study, </w:t>
      </w:r>
      <w:r w:rsidR="002040B8">
        <w:rPr>
          <w:kern w:val="0"/>
        </w:rPr>
        <w:t xml:space="preserve">we conduct several </w:t>
      </w:r>
      <w:r>
        <w:rPr>
          <w:kern w:val="0"/>
        </w:rPr>
        <w:t>additional</w:t>
      </w:r>
      <w:r w:rsidR="00957208">
        <w:rPr>
          <w:kern w:val="0"/>
        </w:rPr>
        <w:t xml:space="preserve"> tests</w:t>
      </w:r>
      <w:r w:rsidR="002040B8">
        <w:rPr>
          <w:kern w:val="0"/>
        </w:rPr>
        <w:t xml:space="preserve">. </w:t>
      </w:r>
      <w:r w:rsidR="00EB2933">
        <w:rPr>
          <w:kern w:val="0"/>
        </w:rPr>
        <w:t>First, we</w:t>
      </w:r>
      <w:r w:rsidR="00594243" w:rsidRPr="008126EB">
        <w:rPr>
          <w:kern w:val="0"/>
        </w:rPr>
        <w:t xml:space="preserve"> </w:t>
      </w:r>
      <w:r w:rsidR="002040B8">
        <w:rPr>
          <w:kern w:val="0"/>
        </w:rPr>
        <w:t>split</w:t>
      </w:r>
      <w:r w:rsidR="00657D39" w:rsidRPr="008126EB">
        <w:rPr>
          <w:kern w:val="0"/>
        </w:rPr>
        <w:t xml:space="preserve"> the </w:t>
      </w:r>
      <w:r w:rsidR="002040B8">
        <w:rPr>
          <w:kern w:val="0"/>
        </w:rPr>
        <w:t>studied</w:t>
      </w:r>
      <w:r w:rsidR="00657D39" w:rsidRPr="008126EB">
        <w:rPr>
          <w:kern w:val="0"/>
        </w:rPr>
        <w:t xml:space="preserve"> firms </w:t>
      </w:r>
      <w:r w:rsidR="00585485">
        <w:rPr>
          <w:kern w:val="0"/>
        </w:rPr>
        <w:t>in</w:t>
      </w:r>
      <w:r w:rsidR="00A02780">
        <w:rPr>
          <w:kern w:val="0"/>
        </w:rPr>
        <w:t>to</w:t>
      </w:r>
      <w:r w:rsidR="00585485">
        <w:rPr>
          <w:kern w:val="0"/>
        </w:rPr>
        <w:t xml:space="preserve"> two groups</w:t>
      </w:r>
      <w:r w:rsidR="00ED5DC8">
        <w:rPr>
          <w:rFonts w:hint="eastAsia"/>
          <w:kern w:val="0"/>
        </w:rPr>
        <w:t xml:space="preserve">: </w:t>
      </w:r>
      <w:r w:rsidR="00957208">
        <w:rPr>
          <w:kern w:val="0"/>
        </w:rPr>
        <w:t>(1) f</w:t>
      </w:r>
      <w:r w:rsidR="00957208">
        <w:rPr>
          <w:rFonts w:hint="eastAsia"/>
          <w:kern w:val="0"/>
        </w:rPr>
        <w:t xml:space="preserve">irms </w:t>
      </w:r>
      <w:r w:rsidR="00ED5DC8">
        <w:rPr>
          <w:rFonts w:hint="eastAsia"/>
          <w:kern w:val="0"/>
        </w:rPr>
        <w:t>having</w:t>
      </w:r>
      <w:r w:rsidR="00657D39" w:rsidRPr="008126EB">
        <w:rPr>
          <w:kern w:val="0"/>
        </w:rPr>
        <w:t xml:space="preserve"> </w:t>
      </w:r>
      <w:r w:rsidR="00ED5DC8">
        <w:rPr>
          <w:kern w:val="0"/>
        </w:rPr>
        <w:t>high</w:t>
      </w:r>
      <w:r w:rsidR="00ED5DC8">
        <w:rPr>
          <w:rFonts w:hint="eastAsia"/>
          <w:kern w:val="0"/>
        </w:rPr>
        <w:t xml:space="preserve"> level of </w:t>
      </w:r>
      <w:r w:rsidR="00657D39" w:rsidRPr="008126EB">
        <w:rPr>
          <w:kern w:val="0"/>
        </w:rPr>
        <w:t>equity-based compensation</w:t>
      </w:r>
      <w:r w:rsidR="00957208">
        <w:rPr>
          <w:kern w:val="0"/>
        </w:rPr>
        <w:t xml:space="preserve"> and (2)</w:t>
      </w:r>
      <w:r w:rsidR="002040B8" w:rsidRPr="002040B8">
        <w:rPr>
          <w:kern w:val="0"/>
        </w:rPr>
        <w:t xml:space="preserve"> </w:t>
      </w:r>
      <w:r w:rsidR="00ED5DC8">
        <w:rPr>
          <w:rFonts w:hint="eastAsia"/>
          <w:kern w:val="0"/>
        </w:rPr>
        <w:t xml:space="preserve">firms having </w:t>
      </w:r>
      <w:r w:rsidR="002040B8" w:rsidRPr="008126EB">
        <w:rPr>
          <w:kern w:val="0"/>
        </w:rPr>
        <w:t>low</w:t>
      </w:r>
      <w:r w:rsidR="00657D39" w:rsidRPr="008126EB">
        <w:rPr>
          <w:kern w:val="0"/>
        </w:rPr>
        <w:t xml:space="preserve"> </w:t>
      </w:r>
      <w:r w:rsidR="00ED5DC8">
        <w:rPr>
          <w:rFonts w:hint="eastAsia"/>
          <w:kern w:val="0"/>
        </w:rPr>
        <w:t xml:space="preserve">level of </w:t>
      </w:r>
      <w:r w:rsidR="002040B8" w:rsidRPr="008126EB">
        <w:rPr>
          <w:kern w:val="0"/>
        </w:rPr>
        <w:t>equity-based compensation</w:t>
      </w:r>
      <w:r w:rsidR="00957208">
        <w:rPr>
          <w:kern w:val="0"/>
        </w:rPr>
        <w:t xml:space="preserve">. This test allows us </w:t>
      </w:r>
      <w:r w:rsidR="00594243" w:rsidRPr="008126EB">
        <w:rPr>
          <w:kern w:val="0"/>
        </w:rPr>
        <w:t xml:space="preserve">to discern </w:t>
      </w:r>
      <w:r w:rsidR="00957208">
        <w:rPr>
          <w:kern w:val="0"/>
        </w:rPr>
        <w:t>the</w:t>
      </w:r>
      <w:r w:rsidR="00957208" w:rsidRPr="008126EB">
        <w:rPr>
          <w:kern w:val="0"/>
        </w:rPr>
        <w:t xml:space="preserve"> </w:t>
      </w:r>
      <w:r w:rsidR="00594243" w:rsidRPr="008126EB">
        <w:rPr>
          <w:kern w:val="0"/>
        </w:rPr>
        <w:t>moderat</w:t>
      </w:r>
      <w:r w:rsidR="003B6AA5">
        <w:rPr>
          <w:kern w:val="0"/>
        </w:rPr>
        <w:t>ing</w:t>
      </w:r>
      <w:r w:rsidR="00594243" w:rsidRPr="008126EB">
        <w:rPr>
          <w:kern w:val="0"/>
        </w:rPr>
        <w:t xml:space="preserve"> effect </w:t>
      </w:r>
      <w:r w:rsidR="00957208">
        <w:rPr>
          <w:kern w:val="0"/>
        </w:rPr>
        <w:t xml:space="preserve">of </w:t>
      </w:r>
      <w:r w:rsidR="00957208" w:rsidRPr="008126EB">
        <w:rPr>
          <w:kern w:val="0"/>
        </w:rPr>
        <w:t>equity</w:t>
      </w:r>
      <w:r w:rsidR="00872075">
        <w:rPr>
          <w:kern w:val="0"/>
        </w:rPr>
        <w:t>-based</w:t>
      </w:r>
      <w:r w:rsidR="00957208" w:rsidRPr="008126EB">
        <w:rPr>
          <w:kern w:val="0"/>
        </w:rPr>
        <w:t xml:space="preserve"> compensation</w:t>
      </w:r>
      <w:r w:rsidR="00957208">
        <w:rPr>
          <w:kern w:val="0"/>
        </w:rPr>
        <w:t xml:space="preserve"> </w:t>
      </w:r>
      <w:r w:rsidR="002040B8">
        <w:rPr>
          <w:kern w:val="0"/>
        </w:rPr>
        <w:t xml:space="preserve">on the </w:t>
      </w:r>
      <w:r w:rsidR="00A02780">
        <w:rPr>
          <w:kern w:val="0"/>
        </w:rPr>
        <w:t xml:space="preserve">relation </w:t>
      </w:r>
      <w:r w:rsidR="002040B8">
        <w:rPr>
          <w:kern w:val="0"/>
        </w:rPr>
        <w:t xml:space="preserve">between </w:t>
      </w:r>
      <w:r w:rsidR="00872075">
        <w:rPr>
          <w:kern w:val="0"/>
        </w:rPr>
        <w:t xml:space="preserve">the degree of </w:t>
      </w:r>
      <w:r w:rsidR="00585485" w:rsidRPr="008126EB">
        <w:rPr>
          <w:kern w:val="0"/>
        </w:rPr>
        <w:t xml:space="preserve">earnings </w:t>
      </w:r>
      <w:r w:rsidR="00872075">
        <w:rPr>
          <w:kern w:val="0"/>
        </w:rPr>
        <w:t>manipulation</w:t>
      </w:r>
      <w:r w:rsidR="00872075" w:rsidRPr="008126EB">
        <w:rPr>
          <w:kern w:val="0"/>
        </w:rPr>
        <w:t xml:space="preserve"> </w:t>
      </w:r>
      <w:r w:rsidR="002040B8">
        <w:rPr>
          <w:kern w:val="0"/>
        </w:rPr>
        <w:t xml:space="preserve">and </w:t>
      </w:r>
      <w:r w:rsidR="00872075">
        <w:rPr>
          <w:kern w:val="0"/>
        </w:rPr>
        <w:t xml:space="preserve">returns on </w:t>
      </w:r>
      <w:r w:rsidR="008F3BA9">
        <w:rPr>
          <w:kern w:val="0"/>
        </w:rPr>
        <w:t xml:space="preserve">equity </w:t>
      </w:r>
      <w:r w:rsidR="00872075">
        <w:rPr>
          <w:kern w:val="0"/>
        </w:rPr>
        <w:t>share</w:t>
      </w:r>
      <w:r w:rsidR="008F3BA9">
        <w:rPr>
          <w:kern w:val="0"/>
        </w:rPr>
        <w:t>s</w:t>
      </w:r>
      <w:r w:rsidR="00123CFA">
        <w:rPr>
          <w:kern w:val="0"/>
        </w:rPr>
        <w:t xml:space="preserve"> (referred as </w:t>
      </w:r>
      <w:r w:rsidR="00123CFA" w:rsidRPr="008126EB">
        <w:rPr>
          <w:rFonts w:hint="eastAsia"/>
        </w:rPr>
        <w:t>|</w:t>
      </w:r>
      <w:r w:rsidR="00123CFA" w:rsidRPr="008126EB">
        <w:rPr>
          <w:i/>
        </w:rPr>
        <w:t>DA</w:t>
      </w:r>
      <w:r w:rsidR="00123CFA" w:rsidRPr="008126EB">
        <w:rPr>
          <w:rFonts w:hint="eastAsia"/>
          <w:i/>
        </w:rPr>
        <w:t>|</w:t>
      </w:r>
      <w:r w:rsidR="00123CFA">
        <w:t>–</w:t>
      </w:r>
      <w:r w:rsidR="00123CFA" w:rsidRPr="008126EB">
        <w:rPr>
          <w:rFonts w:hint="eastAsia"/>
          <w:i/>
        </w:rPr>
        <w:t>RETURN</w:t>
      </w:r>
      <w:r w:rsidR="00123CFA">
        <w:t xml:space="preserve"> hereafter)</w:t>
      </w:r>
      <w:r w:rsidR="00657D39" w:rsidRPr="008126EB">
        <w:rPr>
          <w:kern w:val="0"/>
        </w:rPr>
        <w:t xml:space="preserve">. </w:t>
      </w:r>
      <w:r w:rsidR="00594243" w:rsidRPr="008126EB">
        <w:rPr>
          <w:kern w:val="0"/>
        </w:rPr>
        <w:t>Then</w:t>
      </w:r>
      <w:r w:rsidR="00657D39" w:rsidRPr="008126EB">
        <w:rPr>
          <w:kern w:val="0"/>
        </w:rPr>
        <w:t xml:space="preserve">, we investigate whether </w:t>
      </w:r>
      <w:r w:rsidR="00C72F18" w:rsidRPr="008126EB">
        <w:rPr>
          <w:kern w:val="0"/>
        </w:rPr>
        <w:t>the empirical</w:t>
      </w:r>
      <w:r w:rsidR="00657D39" w:rsidRPr="008126EB">
        <w:rPr>
          <w:kern w:val="0"/>
        </w:rPr>
        <w:t xml:space="preserve"> </w:t>
      </w:r>
      <w:r w:rsidR="002040B8">
        <w:rPr>
          <w:kern w:val="0"/>
        </w:rPr>
        <w:t>findings demonstrated in this research</w:t>
      </w:r>
      <w:r w:rsidR="00CB6B4F">
        <w:rPr>
          <w:kern w:val="0"/>
        </w:rPr>
        <w:t xml:space="preserve"> </w:t>
      </w:r>
      <w:r w:rsidR="00657D39" w:rsidRPr="008126EB">
        <w:rPr>
          <w:kern w:val="0"/>
        </w:rPr>
        <w:t xml:space="preserve">are sensitive to firm </w:t>
      </w:r>
      <w:r w:rsidR="00957A59" w:rsidRPr="008126EB">
        <w:rPr>
          <w:rFonts w:eastAsia="PMingLiU" w:hint="eastAsia"/>
          <w:kern w:val="0"/>
        </w:rPr>
        <w:t>performance</w:t>
      </w:r>
      <w:r w:rsidR="002040B8" w:rsidRPr="002040B8">
        <w:rPr>
          <w:kern w:val="0"/>
        </w:rPr>
        <w:t xml:space="preserve"> </w:t>
      </w:r>
      <w:r w:rsidR="002040B8" w:rsidRPr="008126EB">
        <w:rPr>
          <w:kern w:val="0"/>
        </w:rPr>
        <w:t>measure</w:t>
      </w:r>
      <w:r w:rsidR="00657D39" w:rsidRPr="008126EB">
        <w:rPr>
          <w:kern w:val="0"/>
        </w:rPr>
        <w:t xml:space="preserve">. </w:t>
      </w:r>
      <w:r w:rsidR="00C72F18" w:rsidRPr="008126EB">
        <w:rPr>
          <w:kern w:val="0"/>
        </w:rPr>
        <w:t>To address this concern</w:t>
      </w:r>
      <w:r w:rsidR="00657D39" w:rsidRPr="008126EB">
        <w:rPr>
          <w:kern w:val="0"/>
        </w:rPr>
        <w:t>, we replace</w:t>
      </w:r>
      <w:r w:rsidR="003C00A4">
        <w:rPr>
          <w:kern w:val="0"/>
        </w:rPr>
        <w:t xml:space="preserve"> stock returns</w:t>
      </w:r>
      <w:r w:rsidR="00657D39" w:rsidRPr="008126EB">
        <w:rPr>
          <w:kern w:val="0"/>
        </w:rPr>
        <w:t xml:space="preserve"> by Tobin’s </w:t>
      </w:r>
      <w:r w:rsidR="00657D39" w:rsidRPr="008126EB">
        <w:rPr>
          <w:i/>
          <w:kern w:val="0"/>
        </w:rPr>
        <w:t>Q</w:t>
      </w:r>
      <w:r w:rsidR="00657D39" w:rsidRPr="008126EB">
        <w:rPr>
          <w:kern w:val="0"/>
        </w:rPr>
        <w:t xml:space="preserve">. </w:t>
      </w:r>
      <w:r w:rsidR="00C72F18" w:rsidRPr="008126EB">
        <w:rPr>
          <w:kern w:val="0"/>
        </w:rPr>
        <w:t>Further</w:t>
      </w:r>
      <w:r w:rsidR="00EB2933">
        <w:rPr>
          <w:kern w:val="0"/>
        </w:rPr>
        <w:t>more</w:t>
      </w:r>
      <w:r w:rsidR="00C72F18" w:rsidRPr="008126EB">
        <w:rPr>
          <w:kern w:val="0"/>
        </w:rPr>
        <w:t>, w</w:t>
      </w:r>
      <w:r w:rsidR="00657D39" w:rsidRPr="008126EB">
        <w:rPr>
          <w:kern w:val="0"/>
        </w:rPr>
        <w:t xml:space="preserve">e </w:t>
      </w:r>
      <w:r w:rsidR="00957208">
        <w:rPr>
          <w:kern w:val="0"/>
        </w:rPr>
        <w:t>modify</w:t>
      </w:r>
      <w:r w:rsidR="00957208" w:rsidRPr="008126EB">
        <w:rPr>
          <w:kern w:val="0"/>
        </w:rPr>
        <w:t xml:space="preserve"> </w:t>
      </w:r>
      <w:r w:rsidR="00657D39" w:rsidRPr="008126EB">
        <w:rPr>
          <w:kern w:val="0"/>
        </w:rPr>
        <w:t>the specification of regression models by including both year and industry dummies</w:t>
      </w:r>
      <w:r w:rsidR="00C3255A">
        <w:rPr>
          <w:kern w:val="0"/>
        </w:rPr>
        <w:t xml:space="preserve">. These specifications allow us </w:t>
      </w:r>
      <w:r w:rsidR="00657D39" w:rsidRPr="008126EB">
        <w:rPr>
          <w:kern w:val="0"/>
        </w:rPr>
        <w:t xml:space="preserve">to explore the effect of market condition </w:t>
      </w:r>
      <w:r w:rsidR="00585485">
        <w:rPr>
          <w:kern w:val="0"/>
        </w:rPr>
        <w:t xml:space="preserve">across years </w:t>
      </w:r>
      <w:r w:rsidR="00657D39" w:rsidRPr="008126EB">
        <w:rPr>
          <w:kern w:val="0"/>
        </w:rPr>
        <w:t xml:space="preserve">and </w:t>
      </w:r>
      <w:r w:rsidR="009143E3" w:rsidRPr="008126EB">
        <w:rPr>
          <w:kern w:val="0"/>
        </w:rPr>
        <w:t>industri</w:t>
      </w:r>
      <w:r w:rsidR="009143E3">
        <w:rPr>
          <w:kern w:val="0"/>
        </w:rPr>
        <w:t>es</w:t>
      </w:r>
      <w:r w:rsidR="00657D39" w:rsidRPr="008126EB">
        <w:rPr>
          <w:kern w:val="0"/>
        </w:rPr>
        <w:t xml:space="preserve">. </w:t>
      </w:r>
      <w:r w:rsidR="00A02780">
        <w:rPr>
          <w:kern w:val="0"/>
        </w:rPr>
        <w:t xml:space="preserve">Also, we </w:t>
      </w:r>
      <w:r w:rsidR="00197E85">
        <w:rPr>
          <w:kern w:val="0"/>
        </w:rPr>
        <w:t>take</w:t>
      </w:r>
      <w:r w:rsidR="00197E85" w:rsidRPr="008126EB">
        <w:rPr>
          <w:kern w:val="0"/>
        </w:rPr>
        <w:t xml:space="preserve"> </w:t>
      </w:r>
      <w:r w:rsidR="00657D39" w:rsidRPr="008126EB">
        <w:rPr>
          <w:kern w:val="0"/>
        </w:rPr>
        <w:t xml:space="preserve">the </w:t>
      </w:r>
      <w:r w:rsidR="00197E85">
        <w:rPr>
          <w:kern w:val="0"/>
        </w:rPr>
        <w:t>positive versus negative manipulation of the reported income</w:t>
      </w:r>
      <w:r w:rsidR="00657D39" w:rsidRPr="008126EB">
        <w:rPr>
          <w:kern w:val="0"/>
        </w:rPr>
        <w:t xml:space="preserve"> into account</w:t>
      </w:r>
      <w:r>
        <w:rPr>
          <w:kern w:val="0"/>
        </w:rPr>
        <w:t>,</w:t>
      </w:r>
      <w:r w:rsidR="00657D39" w:rsidRPr="008126EB">
        <w:rPr>
          <w:kern w:val="0"/>
        </w:rPr>
        <w:t xml:space="preserve"> </w:t>
      </w:r>
      <w:r>
        <w:rPr>
          <w:kern w:val="0"/>
        </w:rPr>
        <w:t>since</w:t>
      </w:r>
      <w:r w:rsidR="00C3255A" w:rsidRPr="008126EB">
        <w:rPr>
          <w:kern w:val="0"/>
        </w:rPr>
        <w:t xml:space="preserve"> </w:t>
      </w:r>
      <w:r>
        <w:rPr>
          <w:kern w:val="0"/>
        </w:rPr>
        <w:t xml:space="preserve">corporate </w:t>
      </w:r>
      <w:r w:rsidR="00C3255A" w:rsidRPr="008126EB">
        <w:rPr>
          <w:kern w:val="0"/>
        </w:rPr>
        <w:t xml:space="preserve">executives may </w:t>
      </w:r>
      <w:r w:rsidR="00C3255A">
        <w:rPr>
          <w:kern w:val="0"/>
        </w:rPr>
        <w:t>adjust</w:t>
      </w:r>
      <w:r w:rsidR="00C3255A" w:rsidRPr="008126EB">
        <w:rPr>
          <w:kern w:val="0"/>
        </w:rPr>
        <w:t xml:space="preserve"> </w:t>
      </w:r>
      <w:r w:rsidR="00C3255A">
        <w:rPr>
          <w:kern w:val="0"/>
        </w:rPr>
        <w:t>the reported income upward or downward</w:t>
      </w:r>
      <w:r w:rsidR="00657D39" w:rsidRPr="008126EB">
        <w:rPr>
          <w:kern w:val="0"/>
        </w:rPr>
        <w:t xml:space="preserve">. </w:t>
      </w:r>
      <w:r>
        <w:rPr>
          <w:kern w:val="0"/>
        </w:rPr>
        <w:t>Moreover</w:t>
      </w:r>
      <w:r w:rsidR="00EB2933">
        <w:rPr>
          <w:kern w:val="0"/>
        </w:rPr>
        <w:t xml:space="preserve">, </w:t>
      </w:r>
      <w:r w:rsidR="00657D39" w:rsidRPr="008126EB">
        <w:rPr>
          <w:kern w:val="0"/>
        </w:rPr>
        <w:t xml:space="preserve">we divide </w:t>
      </w:r>
      <w:r w:rsidR="00B26438" w:rsidRPr="008126EB">
        <w:rPr>
          <w:kern w:val="0"/>
        </w:rPr>
        <w:t xml:space="preserve">data </w:t>
      </w:r>
      <w:r w:rsidR="00657D39" w:rsidRPr="008126EB">
        <w:rPr>
          <w:kern w:val="0"/>
        </w:rPr>
        <w:t>into</w:t>
      </w:r>
      <w:r w:rsidR="00585485">
        <w:rPr>
          <w:kern w:val="0"/>
        </w:rPr>
        <w:t xml:space="preserve"> two sub-periods, </w:t>
      </w:r>
      <w:r w:rsidR="00657D39" w:rsidRPr="008126EB">
        <w:rPr>
          <w:kern w:val="0"/>
        </w:rPr>
        <w:t>pr</w:t>
      </w:r>
      <w:r w:rsidR="00B26438" w:rsidRPr="008126EB">
        <w:rPr>
          <w:kern w:val="0"/>
        </w:rPr>
        <w:t xml:space="preserve">e- </w:t>
      </w:r>
      <w:r w:rsidR="00585485">
        <w:rPr>
          <w:kern w:val="0"/>
        </w:rPr>
        <w:t>versus</w:t>
      </w:r>
      <w:r w:rsidR="00585485" w:rsidRPr="008126EB">
        <w:rPr>
          <w:kern w:val="0"/>
        </w:rPr>
        <w:t xml:space="preserve"> </w:t>
      </w:r>
      <w:r w:rsidR="00B26438" w:rsidRPr="008126EB">
        <w:rPr>
          <w:kern w:val="0"/>
        </w:rPr>
        <w:t>post-S</w:t>
      </w:r>
      <w:r w:rsidR="00657D39" w:rsidRPr="008126EB">
        <w:rPr>
          <w:kern w:val="0"/>
        </w:rPr>
        <w:t>arbanes Oxley Act (SOX)</w:t>
      </w:r>
      <w:r w:rsidR="009143E3">
        <w:rPr>
          <w:kern w:val="0"/>
        </w:rPr>
        <w:t xml:space="preserve"> to</w:t>
      </w:r>
      <w:r w:rsidR="003C00A4">
        <w:rPr>
          <w:kern w:val="0"/>
        </w:rPr>
        <w:t xml:space="preserve"> </w:t>
      </w:r>
      <w:r w:rsidR="00585485">
        <w:rPr>
          <w:kern w:val="0"/>
        </w:rPr>
        <w:t>find out</w:t>
      </w:r>
      <w:r w:rsidR="00585485" w:rsidRPr="008126EB">
        <w:rPr>
          <w:kern w:val="0"/>
        </w:rPr>
        <w:t xml:space="preserve"> </w:t>
      </w:r>
      <w:r w:rsidR="00EB2933" w:rsidRPr="008126EB">
        <w:rPr>
          <w:kern w:val="0"/>
        </w:rPr>
        <w:t xml:space="preserve">whether </w:t>
      </w:r>
      <w:r w:rsidR="00585485">
        <w:rPr>
          <w:kern w:val="0"/>
        </w:rPr>
        <w:t xml:space="preserve">the </w:t>
      </w:r>
      <w:r w:rsidR="009143E3">
        <w:rPr>
          <w:kern w:val="0"/>
        </w:rPr>
        <w:t xml:space="preserve">reported </w:t>
      </w:r>
      <w:r w:rsidR="00EB2933" w:rsidRPr="008126EB">
        <w:rPr>
          <w:kern w:val="0"/>
        </w:rPr>
        <w:t xml:space="preserve">results are driven by </w:t>
      </w:r>
      <w:r w:rsidR="00585485" w:rsidRPr="008126EB">
        <w:rPr>
          <w:kern w:val="0"/>
        </w:rPr>
        <w:t xml:space="preserve">the financial reporting </w:t>
      </w:r>
      <w:r w:rsidR="00585485">
        <w:rPr>
          <w:kern w:val="0"/>
        </w:rPr>
        <w:t xml:space="preserve">and </w:t>
      </w:r>
      <w:r w:rsidR="00EB2933" w:rsidRPr="008126EB">
        <w:rPr>
          <w:kern w:val="0"/>
        </w:rPr>
        <w:t>regulat</w:t>
      </w:r>
      <w:r w:rsidR="00585485">
        <w:rPr>
          <w:kern w:val="0"/>
        </w:rPr>
        <w:t xml:space="preserve">ory </w:t>
      </w:r>
      <w:r w:rsidR="00EB2933" w:rsidRPr="008126EB">
        <w:rPr>
          <w:kern w:val="0"/>
        </w:rPr>
        <w:t>environment</w:t>
      </w:r>
      <w:r w:rsidR="00657D39" w:rsidRPr="008126EB">
        <w:rPr>
          <w:kern w:val="0"/>
        </w:rPr>
        <w:t xml:space="preserve">. Finally, we </w:t>
      </w:r>
      <w:r w:rsidR="009143E3">
        <w:rPr>
          <w:kern w:val="0"/>
        </w:rPr>
        <w:t>take care of</w:t>
      </w:r>
      <w:r w:rsidR="009143E3" w:rsidRPr="008126EB">
        <w:rPr>
          <w:kern w:val="0"/>
        </w:rPr>
        <w:t xml:space="preserve"> </w:t>
      </w:r>
      <w:r w:rsidR="00B26438" w:rsidRPr="008126EB">
        <w:rPr>
          <w:kern w:val="0"/>
        </w:rPr>
        <w:t xml:space="preserve">data </w:t>
      </w:r>
      <w:r w:rsidR="00657D39" w:rsidRPr="008126EB">
        <w:t>outliers and potential measurement error</w:t>
      </w:r>
      <w:r w:rsidR="00770F1B" w:rsidRPr="008126EB">
        <w:t xml:space="preserve"> </w:t>
      </w:r>
      <w:r w:rsidR="00657D39" w:rsidRPr="008126EB">
        <w:t xml:space="preserve">in </w:t>
      </w:r>
      <w:r w:rsidR="008678DE">
        <w:rPr>
          <w:i/>
          <w:kern w:val="0"/>
        </w:rPr>
        <w:t>DA</w:t>
      </w:r>
      <w:r w:rsidR="008678DE" w:rsidRPr="008126EB">
        <w:t xml:space="preserve"> </w:t>
      </w:r>
      <w:r w:rsidR="00657D39" w:rsidRPr="008126EB">
        <w:t>estimation</w:t>
      </w:r>
      <w:r w:rsidR="00657D39" w:rsidRPr="008126EB">
        <w:rPr>
          <w:kern w:val="0"/>
        </w:rPr>
        <w:t xml:space="preserve">. The results of these tests </w:t>
      </w:r>
      <w:r w:rsidR="00C72F18" w:rsidRPr="008126EB">
        <w:rPr>
          <w:kern w:val="0"/>
        </w:rPr>
        <w:t>demonstrate</w:t>
      </w:r>
      <w:r w:rsidR="00657D39" w:rsidRPr="008126EB">
        <w:rPr>
          <w:kern w:val="0"/>
        </w:rPr>
        <w:t xml:space="preserve"> that</w:t>
      </w:r>
      <w:r w:rsidR="003B6AA5">
        <w:rPr>
          <w:kern w:val="0"/>
        </w:rPr>
        <w:t xml:space="preserve"> the</w:t>
      </w:r>
      <w:r w:rsidR="00657D39" w:rsidRPr="008126EB">
        <w:rPr>
          <w:kern w:val="0"/>
        </w:rPr>
        <w:t xml:space="preserve"> </w:t>
      </w:r>
      <w:r>
        <w:rPr>
          <w:kern w:val="0"/>
        </w:rPr>
        <w:t xml:space="preserve">empirical </w:t>
      </w:r>
      <w:r w:rsidR="00657D39" w:rsidRPr="008126EB">
        <w:rPr>
          <w:kern w:val="0"/>
        </w:rPr>
        <w:t xml:space="preserve">findings </w:t>
      </w:r>
      <w:r w:rsidR="00A02780">
        <w:rPr>
          <w:kern w:val="0"/>
        </w:rPr>
        <w:t>reported</w:t>
      </w:r>
      <w:r w:rsidR="00A02780" w:rsidRPr="008126EB">
        <w:rPr>
          <w:kern w:val="0"/>
        </w:rPr>
        <w:t xml:space="preserve"> </w:t>
      </w:r>
      <w:r w:rsidR="00657D39" w:rsidRPr="008126EB">
        <w:rPr>
          <w:kern w:val="0"/>
        </w:rPr>
        <w:t>in th</w:t>
      </w:r>
      <w:r w:rsidR="003B6AA5">
        <w:rPr>
          <w:kern w:val="0"/>
        </w:rPr>
        <w:t>is</w:t>
      </w:r>
      <w:r w:rsidR="00657D39" w:rsidRPr="008126EB">
        <w:rPr>
          <w:kern w:val="0"/>
        </w:rPr>
        <w:t xml:space="preserve"> study are robust.</w:t>
      </w:r>
    </w:p>
    <w:p w:rsidR="00403A8F" w:rsidRPr="008126EB" w:rsidRDefault="00403A8F" w:rsidP="00FE1E17">
      <w:pPr>
        <w:widowControl/>
        <w:adjustRightInd w:val="0"/>
        <w:snapToGrid w:val="0"/>
        <w:spacing w:line="288" w:lineRule="auto"/>
        <w:ind w:firstLine="709"/>
        <w:jc w:val="both"/>
        <w:rPr>
          <w:kern w:val="0"/>
        </w:rPr>
      </w:pPr>
    </w:p>
    <w:p w:rsidR="004146A3" w:rsidRDefault="008A44B0" w:rsidP="00FE1E17">
      <w:pPr>
        <w:widowControl/>
        <w:adjustRightInd w:val="0"/>
        <w:snapToGrid w:val="0"/>
        <w:spacing w:line="288" w:lineRule="auto"/>
        <w:ind w:firstLineChars="295" w:firstLine="708"/>
        <w:jc w:val="both"/>
        <w:rPr>
          <w:kern w:val="0"/>
        </w:rPr>
      </w:pPr>
      <w:r w:rsidRPr="008126EB">
        <w:rPr>
          <w:kern w:val="0"/>
        </w:rPr>
        <w:t xml:space="preserve">The remainder of this </w:t>
      </w:r>
      <w:r w:rsidR="00FD150B">
        <w:rPr>
          <w:kern w:val="0"/>
        </w:rPr>
        <w:t>study</w:t>
      </w:r>
      <w:r w:rsidRPr="008126EB">
        <w:rPr>
          <w:kern w:val="0"/>
        </w:rPr>
        <w:t xml:space="preserve"> </w:t>
      </w:r>
      <w:r w:rsidR="00197E85">
        <w:rPr>
          <w:kern w:val="0"/>
        </w:rPr>
        <w:t>is divided into several sections</w:t>
      </w:r>
      <w:r w:rsidRPr="008126EB">
        <w:rPr>
          <w:kern w:val="0"/>
        </w:rPr>
        <w:t xml:space="preserve">. </w:t>
      </w:r>
      <w:r w:rsidR="00B26438" w:rsidRPr="008126EB">
        <w:rPr>
          <w:kern w:val="0"/>
        </w:rPr>
        <w:t>Section 2</w:t>
      </w:r>
      <w:r w:rsidR="00FD150B">
        <w:rPr>
          <w:kern w:val="0"/>
        </w:rPr>
        <w:t xml:space="preserve"> </w:t>
      </w:r>
      <w:r w:rsidR="00B26438" w:rsidRPr="008126EB">
        <w:rPr>
          <w:kern w:val="0"/>
        </w:rPr>
        <w:t>r</w:t>
      </w:r>
      <w:r w:rsidRPr="008126EB">
        <w:rPr>
          <w:kern w:val="0"/>
        </w:rPr>
        <w:t>eview</w:t>
      </w:r>
      <w:r w:rsidR="00FD150B">
        <w:rPr>
          <w:kern w:val="0"/>
        </w:rPr>
        <w:t>s</w:t>
      </w:r>
      <w:r w:rsidRPr="008126EB">
        <w:rPr>
          <w:kern w:val="0"/>
        </w:rPr>
        <w:t xml:space="preserve"> the literature and develop</w:t>
      </w:r>
      <w:r w:rsidR="00FD150B">
        <w:rPr>
          <w:kern w:val="0"/>
        </w:rPr>
        <w:t>s</w:t>
      </w:r>
      <w:r w:rsidRPr="008126EB">
        <w:rPr>
          <w:kern w:val="0"/>
        </w:rPr>
        <w:t xml:space="preserve"> research inquiries. </w:t>
      </w:r>
      <w:r w:rsidR="00B26438" w:rsidRPr="008126EB">
        <w:rPr>
          <w:kern w:val="0"/>
        </w:rPr>
        <w:t>Section 3</w:t>
      </w:r>
      <w:r w:rsidR="00197E85">
        <w:rPr>
          <w:kern w:val="0"/>
        </w:rPr>
        <w:t xml:space="preserve"> discusse</w:t>
      </w:r>
      <w:r w:rsidR="00FD150B">
        <w:rPr>
          <w:kern w:val="0"/>
        </w:rPr>
        <w:t xml:space="preserve">s </w:t>
      </w:r>
      <w:r w:rsidRPr="008126EB">
        <w:rPr>
          <w:kern w:val="0"/>
        </w:rPr>
        <w:t xml:space="preserve">the econometric </w:t>
      </w:r>
      <w:r w:rsidR="00A15157">
        <w:rPr>
          <w:kern w:val="0"/>
        </w:rPr>
        <w:t>approaches</w:t>
      </w:r>
      <w:r w:rsidRPr="008126EB">
        <w:rPr>
          <w:kern w:val="0"/>
        </w:rPr>
        <w:t xml:space="preserve">. </w:t>
      </w:r>
      <w:r w:rsidR="00B26438" w:rsidRPr="008126EB">
        <w:rPr>
          <w:kern w:val="0"/>
        </w:rPr>
        <w:t>Section 4</w:t>
      </w:r>
      <w:r w:rsidR="00197E85">
        <w:rPr>
          <w:kern w:val="0"/>
        </w:rPr>
        <w:t xml:space="preserve"> outlines </w:t>
      </w:r>
      <w:r w:rsidRPr="008126EB">
        <w:rPr>
          <w:kern w:val="0"/>
        </w:rPr>
        <w:t>sample</w:t>
      </w:r>
      <w:r w:rsidR="00FD150B">
        <w:rPr>
          <w:kern w:val="0"/>
        </w:rPr>
        <w:t>s</w:t>
      </w:r>
      <w:r w:rsidRPr="008126EB">
        <w:rPr>
          <w:kern w:val="0"/>
        </w:rPr>
        <w:t xml:space="preserve">, variables, and </w:t>
      </w:r>
      <w:r w:rsidR="00A15157">
        <w:rPr>
          <w:kern w:val="0"/>
        </w:rPr>
        <w:t xml:space="preserve">empirical </w:t>
      </w:r>
      <w:r w:rsidRPr="008126EB">
        <w:rPr>
          <w:kern w:val="0"/>
        </w:rPr>
        <w:t xml:space="preserve">models. </w:t>
      </w:r>
      <w:r w:rsidR="00B26438" w:rsidRPr="008126EB">
        <w:rPr>
          <w:kern w:val="0"/>
        </w:rPr>
        <w:t>Section 5</w:t>
      </w:r>
      <w:r w:rsidR="00FD150B">
        <w:rPr>
          <w:kern w:val="0"/>
        </w:rPr>
        <w:t xml:space="preserve"> shows </w:t>
      </w:r>
      <w:r w:rsidRPr="008126EB">
        <w:rPr>
          <w:kern w:val="0"/>
        </w:rPr>
        <w:t xml:space="preserve">the results </w:t>
      </w:r>
      <w:r w:rsidR="00FD150B">
        <w:rPr>
          <w:kern w:val="0"/>
        </w:rPr>
        <w:t xml:space="preserve">of </w:t>
      </w:r>
      <w:r w:rsidR="00197E85">
        <w:rPr>
          <w:kern w:val="0"/>
        </w:rPr>
        <w:lastRenderedPageBreak/>
        <w:t xml:space="preserve">empirical </w:t>
      </w:r>
      <w:r w:rsidR="00FD150B">
        <w:rPr>
          <w:kern w:val="0"/>
        </w:rPr>
        <w:t xml:space="preserve">investigations </w:t>
      </w:r>
      <w:r w:rsidRPr="008126EB">
        <w:rPr>
          <w:kern w:val="0"/>
        </w:rPr>
        <w:t>and discuss</w:t>
      </w:r>
      <w:r w:rsidR="00FD150B">
        <w:rPr>
          <w:kern w:val="0"/>
        </w:rPr>
        <w:t>es</w:t>
      </w:r>
      <w:r w:rsidRPr="008126EB">
        <w:rPr>
          <w:kern w:val="0"/>
        </w:rPr>
        <w:t xml:space="preserve"> </w:t>
      </w:r>
      <w:r w:rsidR="00FD150B">
        <w:rPr>
          <w:kern w:val="0"/>
        </w:rPr>
        <w:t>their</w:t>
      </w:r>
      <w:r w:rsidRPr="008126EB">
        <w:rPr>
          <w:kern w:val="0"/>
        </w:rPr>
        <w:t xml:space="preserve"> implications. </w:t>
      </w:r>
      <w:r w:rsidR="00B26438" w:rsidRPr="008126EB">
        <w:rPr>
          <w:kern w:val="0"/>
        </w:rPr>
        <w:t>Section 6</w:t>
      </w:r>
      <w:r w:rsidR="00FD150B">
        <w:rPr>
          <w:kern w:val="0"/>
        </w:rPr>
        <w:t xml:space="preserve"> reports the </w:t>
      </w:r>
      <w:r w:rsidRPr="008126EB">
        <w:rPr>
          <w:kern w:val="0"/>
        </w:rPr>
        <w:t xml:space="preserve">findings </w:t>
      </w:r>
      <w:r w:rsidR="00197E85">
        <w:rPr>
          <w:kern w:val="0"/>
        </w:rPr>
        <w:t>of</w:t>
      </w:r>
      <w:r w:rsidR="00FD150B">
        <w:rPr>
          <w:kern w:val="0"/>
        </w:rPr>
        <w:t xml:space="preserve"> </w:t>
      </w:r>
      <w:r w:rsidRPr="008126EB">
        <w:rPr>
          <w:kern w:val="0"/>
        </w:rPr>
        <w:t xml:space="preserve">robustness tests. </w:t>
      </w:r>
      <w:r w:rsidR="00FD150B" w:rsidRPr="008126EB">
        <w:rPr>
          <w:kern w:val="0"/>
        </w:rPr>
        <w:t>Section 7</w:t>
      </w:r>
      <w:r w:rsidR="00197E85">
        <w:rPr>
          <w:kern w:val="0"/>
        </w:rPr>
        <w:t xml:space="preserve"> summaries and conclude </w:t>
      </w:r>
      <w:r w:rsidRPr="008126EB">
        <w:rPr>
          <w:kern w:val="0"/>
        </w:rPr>
        <w:t>th</w:t>
      </w:r>
      <w:r w:rsidR="00FD150B">
        <w:rPr>
          <w:kern w:val="0"/>
        </w:rPr>
        <w:t>is research</w:t>
      </w:r>
      <w:r w:rsidRPr="008126EB">
        <w:rPr>
          <w:kern w:val="0"/>
        </w:rPr>
        <w:t>.</w:t>
      </w:r>
      <w:r w:rsidR="00E1066E">
        <w:rPr>
          <w:kern w:val="0"/>
        </w:rPr>
        <w:t xml:space="preserve"> </w:t>
      </w:r>
    </w:p>
    <w:p w:rsidR="000F47F0" w:rsidRDefault="000F47F0" w:rsidP="00FE1E17">
      <w:pPr>
        <w:widowControl/>
        <w:adjustRightInd w:val="0"/>
        <w:snapToGrid w:val="0"/>
        <w:spacing w:line="288" w:lineRule="auto"/>
        <w:ind w:firstLineChars="295" w:firstLine="708"/>
        <w:jc w:val="both"/>
        <w:rPr>
          <w:kern w:val="0"/>
        </w:rPr>
      </w:pPr>
    </w:p>
    <w:p w:rsidR="004146A3" w:rsidRDefault="00691B4A" w:rsidP="00FE1E17">
      <w:pPr>
        <w:widowControl/>
        <w:adjustRightInd w:val="0"/>
        <w:snapToGrid w:val="0"/>
        <w:spacing w:line="288" w:lineRule="auto"/>
        <w:jc w:val="both"/>
        <w:rPr>
          <w:b/>
          <w:kern w:val="0"/>
        </w:rPr>
      </w:pPr>
      <w:r w:rsidRPr="008126EB">
        <w:rPr>
          <w:b/>
          <w:kern w:val="0"/>
        </w:rPr>
        <w:t xml:space="preserve">2. </w:t>
      </w:r>
      <w:r w:rsidRPr="00EA4E2E">
        <w:rPr>
          <w:b/>
          <w:kern w:val="0"/>
        </w:rPr>
        <w:t>Literature</w:t>
      </w:r>
      <w:r w:rsidR="00C46D6B">
        <w:rPr>
          <w:b/>
          <w:kern w:val="0"/>
        </w:rPr>
        <w:t xml:space="preserve"> Review and Research D</w:t>
      </w:r>
      <w:r w:rsidRPr="008126EB">
        <w:rPr>
          <w:b/>
          <w:kern w:val="0"/>
        </w:rPr>
        <w:t>evelopment</w:t>
      </w:r>
    </w:p>
    <w:p w:rsidR="000F47F0" w:rsidRPr="000F47F0" w:rsidRDefault="000F47F0" w:rsidP="00FE1E17">
      <w:pPr>
        <w:widowControl/>
        <w:adjustRightInd w:val="0"/>
        <w:snapToGrid w:val="0"/>
        <w:spacing w:line="288" w:lineRule="auto"/>
        <w:jc w:val="both"/>
        <w:rPr>
          <w:b/>
          <w:kern w:val="0"/>
          <w:sz w:val="12"/>
          <w:szCs w:val="12"/>
        </w:rPr>
      </w:pPr>
    </w:p>
    <w:p w:rsidR="004146A3" w:rsidRPr="000F47F0" w:rsidRDefault="007301C5" w:rsidP="00FE1E17">
      <w:pPr>
        <w:widowControl/>
        <w:adjustRightInd w:val="0"/>
        <w:snapToGrid w:val="0"/>
        <w:spacing w:line="288" w:lineRule="auto"/>
        <w:jc w:val="both"/>
        <w:rPr>
          <w:b/>
          <w:kern w:val="0"/>
        </w:rPr>
      </w:pPr>
      <w:r w:rsidRPr="000F47F0">
        <w:rPr>
          <w:b/>
          <w:kern w:val="0"/>
        </w:rPr>
        <w:t xml:space="preserve">2.1 </w:t>
      </w:r>
      <w:r w:rsidR="00C46D6B">
        <w:rPr>
          <w:b/>
          <w:kern w:val="0"/>
        </w:rPr>
        <w:t>Studies on Management’s Incentives for Earnings M</w:t>
      </w:r>
      <w:r w:rsidRPr="000F47F0">
        <w:rPr>
          <w:b/>
          <w:kern w:val="0"/>
        </w:rPr>
        <w:t>anipulation</w:t>
      </w:r>
    </w:p>
    <w:p w:rsidR="000F47F0" w:rsidRPr="000F47F0" w:rsidRDefault="000F47F0" w:rsidP="00403A8F">
      <w:pPr>
        <w:widowControl/>
        <w:adjustRightInd w:val="0"/>
        <w:snapToGrid w:val="0"/>
        <w:spacing w:line="288" w:lineRule="auto"/>
        <w:jc w:val="both"/>
        <w:rPr>
          <w:kern w:val="0"/>
          <w:sz w:val="6"/>
          <w:szCs w:val="6"/>
        </w:rPr>
      </w:pPr>
    </w:p>
    <w:p w:rsidR="002D7A7E" w:rsidRDefault="002D7A7E" w:rsidP="00403A8F">
      <w:pPr>
        <w:widowControl/>
        <w:adjustRightInd w:val="0"/>
        <w:snapToGrid w:val="0"/>
        <w:spacing w:line="288" w:lineRule="auto"/>
        <w:jc w:val="both"/>
        <w:rPr>
          <w:kern w:val="0"/>
        </w:rPr>
      </w:pPr>
      <w:r w:rsidRPr="002D7A7E">
        <w:rPr>
          <w:kern w:val="0"/>
        </w:rPr>
        <w:t xml:space="preserve">Corporate executives have incentives to manage the reported earnings and such activities tend to create market reactions. </w:t>
      </w:r>
      <w:r w:rsidR="004456F7">
        <w:rPr>
          <w:kern w:val="0"/>
        </w:rPr>
        <w:t>In specific, s</w:t>
      </w:r>
      <w:r w:rsidR="004456F7" w:rsidRPr="004456F7">
        <w:rPr>
          <w:kern w:val="0"/>
        </w:rPr>
        <w:t>ince investors may prefer to invest in firms with steady earnings, the literature has well documented that corporate executives may develop earnings management strategies in order to avoid earnings surprises (</w:t>
      </w:r>
      <w:r w:rsidR="00C46D6B">
        <w:rPr>
          <w:kern w:val="0"/>
        </w:rPr>
        <w:t>for example, Payne and Robb 2000, Brown 2001</w:t>
      </w:r>
      <w:r w:rsidR="004456F7" w:rsidRPr="004456F7">
        <w:rPr>
          <w:kern w:val="0"/>
        </w:rPr>
        <w:t xml:space="preserve"> </w:t>
      </w:r>
      <w:r w:rsidR="00C46D6B">
        <w:rPr>
          <w:kern w:val="0"/>
        </w:rPr>
        <w:t xml:space="preserve">and </w:t>
      </w:r>
      <w:proofErr w:type="spellStart"/>
      <w:r w:rsidR="004456F7" w:rsidRPr="004456F7">
        <w:rPr>
          <w:kern w:val="0"/>
        </w:rPr>
        <w:t>Burgstahler</w:t>
      </w:r>
      <w:proofErr w:type="spellEnd"/>
      <w:r w:rsidR="004456F7" w:rsidRPr="004456F7">
        <w:rPr>
          <w:kern w:val="0"/>
        </w:rPr>
        <w:t xml:space="preserve"> and Eames 2001). Moreover, investors tend to reward firms for meeting or beating earnings expectations. Therefore, corporate executives are likely to manage the reported earnings in order to meet or beat these expectations (</w:t>
      </w:r>
      <w:r w:rsidR="00C46D6B">
        <w:rPr>
          <w:kern w:val="0"/>
        </w:rPr>
        <w:t>for example,</w:t>
      </w:r>
      <w:r w:rsidR="004456F7" w:rsidRPr="004456F7">
        <w:rPr>
          <w:kern w:val="0"/>
        </w:rPr>
        <w:t xml:space="preserve"> </w:t>
      </w:r>
      <w:proofErr w:type="spellStart"/>
      <w:r w:rsidR="004456F7" w:rsidRPr="004456F7">
        <w:rPr>
          <w:kern w:val="0"/>
        </w:rPr>
        <w:t>Bartov</w:t>
      </w:r>
      <w:proofErr w:type="spellEnd"/>
      <w:r w:rsidR="004456F7" w:rsidRPr="004456F7">
        <w:rPr>
          <w:kern w:val="0"/>
        </w:rPr>
        <w:t xml:space="preserve"> </w:t>
      </w:r>
      <w:r w:rsidR="00C46D6B">
        <w:rPr>
          <w:i/>
          <w:kern w:val="0"/>
        </w:rPr>
        <w:t>et al.</w:t>
      </w:r>
      <w:r w:rsidR="00C46D6B">
        <w:rPr>
          <w:kern w:val="0"/>
        </w:rPr>
        <w:t xml:space="preserve"> 2002, Skinner and Sloan</w:t>
      </w:r>
      <w:r w:rsidR="004456F7" w:rsidRPr="004456F7">
        <w:rPr>
          <w:kern w:val="0"/>
        </w:rPr>
        <w:t xml:space="preserve"> 2002). Matsumoto (2002) reports that managers of firms with higher institutional ownership, greater reliance on implicit claims with their stakeholders, and higher value-relevance of earnings are more likely to engage in earnings manipulations than entities without such characteristics.</w:t>
      </w:r>
      <w:r w:rsidR="004456F7">
        <w:rPr>
          <w:kern w:val="0"/>
        </w:rPr>
        <w:t xml:space="preserve"> </w:t>
      </w:r>
      <w:proofErr w:type="spellStart"/>
      <w:r w:rsidRPr="004456F7">
        <w:rPr>
          <w:kern w:val="0"/>
          <w:lang w:val="en-NZ"/>
        </w:rPr>
        <w:t>Frankela</w:t>
      </w:r>
      <w:proofErr w:type="spellEnd"/>
      <w:r w:rsidRPr="004456F7">
        <w:rPr>
          <w:kern w:val="0"/>
          <w:lang w:val="en-NZ"/>
        </w:rPr>
        <w:t xml:space="preserve"> </w:t>
      </w:r>
      <w:r w:rsidR="00C46D6B">
        <w:rPr>
          <w:i/>
          <w:kern w:val="0"/>
        </w:rPr>
        <w:t>et al.</w:t>
      </w:r>
      <w:r w:rsidR="00C46D6B" w:rsidRPr="004456F7">
        <w:rPr>
          <w:kern w:val="0"/>
        </w:rPr>
        <w:t xml:space="preserve"> </w:t>
      </w:r>
      <w:r w:rsidRPr="002D7A7E">
        <w:rPr>
          <w:kern w:val="0"/>
        </w:rPr>
        <w:t xml:space="preserve">(2002) document that there is a relation between earnings management and market reactions caused by the disclosure of audit fees. In addition, several studies show that mandatory adoption of IFRS may </w:t>
      </w:r>
      <w:r w:rsidR="00223E44">
        <w:rPr>
          <w:kern w:val="0"/>
        </w:rPr>
        <w:t xml:space="preserve">affect </w:t>
      </w:r>
      <w:r w:rsidRPr="002D7A7E">
        <w:rPr>
          <w:kern w:val="0"/>
        </w:rPr>
        <w:t>executives</w:t>
      </w:r>
      <w:r w:rsidR="00223E44">
        <w:rPr>
          <w:kern w:val="0"/>
        </w:rPr>
        <w:t>’ incentives</w:t>
      </w:r>
      <w:r w:rsidRPr="002D7A7E">
        <w:rPr>
          <w:kern w:val="0"/>
        </w:rPr>
        <w:t xml:space="preserve"> to engage in earnings manipulation (</w:t>
      </w:r>
      <w:r w:rsidR="00C46D6B">
        <w:rPr>
          <w:kern w:val="0"/>
        </w:rPr>
        <w:t>for example,</w:t>
      </w:r>
      <w:r w:rsidRPr="002D7A7E">
        <w:rPr>
          <w:kern w:val="0"/>
        </w:rPr>
        <w:t xml:space="preserve"> Chen </w:t>
      </w:r>
      <w:r w:rsidR="00C46D6B">
        <w:rPr>
          <w:i/>
          <w:kern w:val="0"/>
        </w:rPr>
        <w:t>et al.</w:t>
      </w:r>
      <w:r w:rsidR="00C46D6B" w:rsidRPr="004456F7">
        <w:rPr>
          <w:kern w:val="0"/>
        </w:rPr>
        <w:t xml:space="preserve"> </w:t>
      </w:r>
      <w:r w:rsidRPr="002D7A7E">
        <w:rPr>
          <w:kern w:val="0"/>
        </w:rPr>
        <w:t xml:space="preserve">2010; Horton </w:t>
      </w:r>
      <w:r w:rsidR="00C46D6B">
        <w:rPr>
          <w:i/>
          <w:kern w:val="0"/>
        </w:rPr>
        <w:t>et al.</w:t>
      </w:r>
      <w:r w:rsidR="00C46D6B" w:rsidRPr="004456F7">
        <w:rPr>
          <w:kern w:val="0"/>
        </w:rPr>
        <w:t xml:space="preserve"> </w:t>
      </w:r>
      <w:r w:rsidRPr="002D7A7E">
        <w:rPr>
          <w:kern w:val="0"/>
        </w:rPr>
        <w:t xml:space="preserve">2012; Ahmed </w:t>
      </w:r>
      <w:r w:rsidR="00C46D6B">
        <w:rPr>
          <w:i/>
          <w:kern w:val="0"/>
        </w:rPr>
        <w:t>et al.</w:t>
      </w:r>
      <w:r w:rsidR="00C46D6B" w:rsidRPr="004456F7">
        <w:rPr>
          <w:kern w:val="0"/>
        </w:rPr>
        <w:t xml:space="preserve"> </w:t>
      </w:r>
      <w:r w:rsidRPr="002D7A7E">
        <w:rPr>
          <w:kern w:val="0"/>
        </w:rPr>
        <w:t xml:space="preserve">2013). </w:t>
      </w:r>
    </w:p>
    <w:p w:rsidR="00403A8F" w:rsidRPr="002D7A7E" w:rsidRDefault="00403A8F" w:rsidP="00403A8F">
      <w:pPr>
        <w:widowControl/>
        <w:adjustRightInd w:val="0"/>
        <w:snapToGrid w:val="0"/>
        <w:spacing w:line="288" w:lineRule="auto"/>
        <w:jc w:val="both"/>
        <w:rPr>
          <w:kern w:val="0"/>
        </w:rPr>
      </w:pPr>
    </w:p>
    <w:p w:rsidR="002D7A7E" w:rsidRDefault="002D7A7E" w:rsidP="00FE1E17">
      <w:pPr>
        <w:widowControl/>
        <w:adjustRightInd w:val="0"/>
        <w:snapToGrid w:val="0"/>
        <w:spacing w:line="288" w:lineRule="auto"/>
        <w:ind w:firstLineChars="295" w:firstLine="708"/>
        <w:jc w:val="both"/>
        <w:rPr>
          <w:kern w:val="0"/>
        </w:rPr>
      </w:pPr>
      <w:r w:rsidRPr="002D7A7E">
        <w:rPr>
          <w:kern w:val="0"/>
        </w:rPr>
        <w:t xml:space="preserve">In spite of the empirical insights provided in prior studies, it is unclear whether corporate executives would develop earnings </w:t>
      </w:r>
      <w:r w:rsidR="004456F7">
        <w:rPr>
          <w:kern w:val="0"/>
        </w:rPr>
        <w:t>manipulation</w:t>
      </w:r>
      <w:r w:rsidRPr="002D7A7E">
        <w:rPr>
          <w:kern w:val="0"/>
        </w:rPr>
        <w:t xml:space="preserve"> strategies when firms experience various levels of stock returns and whether such strategy is symmetric when firms encounter gains or loss in t</w:t>
      </w:r>
      <w:r w:rsidR="00C46D6B">
        <w:rPr>
          <w:kern w:val="0"/>
        </w:rPr>
        <w:t xml:space="preserve">he markets. Referring to </w:t>
      </w:r>
      <w:proofErr w:type="spellStart"/>
      <w:r w:rsidR="00C46D6B">
        <w:rPr>
          <w:kern w:val="0"/>
        </w:rPr>
        <w:t>Bartov</w:t>
      </w:r>
      <w:proofErr w:type="spellEnd"/>
      <w:r w:rsidRPr="002D7A7E">
        <w:rPr>
          <w:kern w:val="0"/>
        </w:rPr>
        <w:t xml:space="preserve"> </w:t>
      </w:r>
      <w:r w:rsidR="00C46D6B">
        <w:rPr>
          <w:i/>
          <w:kern w:val="0"/>
        </w:rPr>
        <w:t>et al.</w:t>
      </w:r>
      <w:r w:rsidR="00C46D6B" w:rsidRPr="004456F7">
        <w:rPr>
          <w:kern w:val="0"/>
        </w:rPr>
        <w:t xml:space="preserve"> </w:t>
      </w:r>
      <w:r w:rsidRPr="002D7A7E">
        <w:rPr>
          <w:kern w:val="0"/>
        </w:rPr>
        <w:t>(2002), Matsumoto (2002) and Skinner and Sloan (2002), they have indicated that markets may have asymmetric responses to earnings surprises. In particular, their studies show that growth firms tend to suffer larger stock price decline when reporting negative earnings surprises. Consequently, executives working for these firms may have higher level of incentives to manipulate reported earnings than firms without such characteristics. Building on these studies, this study explores the relation between the degree of earnings manipulation and the level of stock returns. In particular, we take managerial risk preference into account and postulate that corporate executives would have higher incentives to manipulate earnings firms when enjoying gains or suffering from losses than those experience average returns in capital markets. To examine this relation, we adopt the prospect theory as the research framework.</w:t>
      </w:r>
    </w:p>
    <w:p w:rsidR="00403A8F" w:rsidRDefault="00403A8F" w:rsidP="00FE1E17">
      <w:pPr>
        <w:widowControl/>
        <w:adjustRightInd w:val="0"/>
        <w:snapToGrid w:val="0"/>
        <w:spacing w:line="288" w:lineRule="auto"/>
        <w:ind w:firstLineChars="295" w:firstLine="708"/>
        <w:jc w:val="both"/>
        <w:rPr>
          <w:kern w:val="0"/>
        </w:rPr>
      </w:pPr>
    </w:p>
    <w:p w:rsidR="006D1784" w:rsidRPr="000F47F0" w:rsidRDefault="006D1784" w:rsidP="00FE1E17">
      <w:pPr>
        <w:widowControl/>
        <w:adjustRightInd w:val="0"/>
        <w:snapToGrid w:val="0"/>
        <w:spacing w:line="288" w:lineRule="auto"/>
        <w:jc w:val="both"/>
        <w:rPr>
          <w:b/>
          <w:bCs/>
          <w:iCs/>
          <w:kern w:val="0"/>
        </w:rPr>
      </w:pPr>
      <w:r w:rsidRPr="000F47F0">
        <w:rPr>
          <w:b/>
          <w:bCs/>
          <w:iCs/>
          <w:kern w:val="0"/>
        </w:rPr>
        <w:t xml:space="preserve">2.2 </w:t>
      </w:r>
      <w:r w:rsidR="00C46D6B">
        <w:rPr>
          <w:b/>
          <w:bCs/>
          <w:iCs/>
          <w:kern w:val="0"/>
        </w:rPr>
        <w:t xml:space="preserve"> </w:t>
      </w:r>
      <w:r w:rsidRPr="000F47F0">
        <w:rPr>
          <w:b/>
          <w:bCs/>
          <w:iCs/>
          <w:kern w:val="0"/>
        </w:rPr>
        <w:t>Prospec</w:t>
      </w:r>
      <w:r w:rsidR="00C46D6B">
        <w:rPr>
          <w:b/>
          <w:bCs/>
          <w:iCs/>
          <w:kern w:val="0"/>
        </w:rPr>
        <w:t>t T</w:t>
      </w:r>
      <w:r w:rsidRPr="000F47F0">
        <w:rPr>
          <w:b/>
          <w:bCs/>
          <w:iCs/>
          <w:kern w:val="0"/>
        </w:rPr>
        <w:t>heory</w:t>
      </w:r>
    </w:p>
    <w:p w:rsidR="000F47F0" w:rsidRPr="000F47F0" w:rsidRDefault="000F47F0" w:rsidP="00403A8F">
      <w:pPr>
        <w:widowControl/>
        <w:adjustRightInd w:val="0"/>
        <w:snapToGrid w:val="0"/>
        <w:spacing w:line="288" w:lineRule="auto"/>
        <w:jc w:val="both"/>
        <w:rPr>
          <w:bCs/>
          <w:iCs/>
          <w:kern w:val="0"/>
          <w:sz w:val="6"/>
          <w:szCs w:val="6"/>
        </w:rPr>
      </w:pPr>
    </w:p>
    <w:p w:rsidR="006D1784" w:rsidRDefault="006D1784" w:rsidP="00403A8F">
      <w:pPr>
        <w:widowControl/>
        <w:adjustRightInd w:val="0"/>
        <w:snapToGrid w:val="0"/>
        <w:spacing w:line="288" w:lineRule="auto"/>
        <w:jc w:val="both"/>
        <w:rPr>
          <w:bCs/>
          <w:iCs/>
          <w:kern w:val="0"/>
        </w:rPr>
      </w:pPr>
      <w:r w:rsidRPr="006D1784">
        <w:rPr>
          <w:bCs/>
          <w:iCs/>
          <w:kern w:val="0"/>
        </w:rPr>
        <w:t>Referring to the literature, researchers have applied the prospect theory extensively to investigate individuals’ decision-making under risks (</w:t>
      </w:r>
      <w:r w:rsidR="00C46D6B">
        <w:rPr>
          <w:bCs/>
          <w:iCs/>
          <w:kern w:val="0"/>
        </w:rPr>
        <w:t>for example, Gomes 2005,</w:t>
      </w:r>
      <w:r w:rsidRPr="006D1784">
        <w:rPr>
          <w:bCs/>
          <w:iCs/>
          <w:kern w:val="0"/>
        </w:rPr>
        <w:t xml:space="preserve"> Levy </w:t>
      </w:r>
      <w:r w:rsidRPr="00C46D6B">
        <w:rPr>
          <w:bCs/>
          <w:i/>
          <w:iCs/>
          <w:kern w:val="0"/>
        </w:rPr>
        <w:t>et al.,</w:t>
      </w:r>
      <w:r w:rsidR="00C46D6B">
        <w:rPr>
          <w:bCs/>
          <w:iCs/>
          <w:kern w:val="0"/>
        </w:rPr>
        <w:t xml:space="preserve"> 2012, </w:t>
      </w:r>
      <w:proofErr w:type="spellStart"/>
      <w:r w:rsidRPr="006D1784">
        <w:rPr>
          <w:bCs/>
          <w:iCs/>
          <w:kern w:val="0"/>
        </w:rPr>
        <w:t>Kairies</w:t>
      </w:r>
      <w:proofErr w:type="spellEnd"/>
      <w:r w:rsidRPr="006D1784">
        <w:rPr>
          <w:bCs/>
          <w:iCs/>
          <w:kern w:val="0"/>
        </w:rPr>
        <w:t xml:space="preserve">-Schwarz </w:t>
      </w:r>
      <w:r w:rsidRPr="00C46D6B">
        <w:rPr>
          <w:bCs/>
          <w:i/>
          <w:iCs/>
          <w:kern w:val="0"/>
        </w:rPr>
        <w:t>et al.,</w:t>
      </w:r>
      <w:r w:rsidRPr="006D1784">
        <w:rPr>
          <w:bCs/>
          <w:iCs/>
          <w:kern w:val="0"/>
        </w:rPr>
        <w:t xml:space="preserve"> 2017). As </w:t>
      </w:r>
      <w:proofErr w:type="spellStart"/>
      <w:r w:rsidRPr="006D1784">
        <w:rPr>
          <w:bCs/>
          <w:iCs/>
          <w:kern w:val="0"/>
        </w:rPr>
        <w:t>Kahneman</w:t>
      </w:r>
      <w:proofErr w:type="spellEnd"/>
      <w:r w:rsidRPr="006D1784">
        <w:rPr>
          <w:bCs/>
          <w:iCs/>
          <w:kern w:val="0"/>
        </w:rPr>
        <w:t xml:space="preserve"> and </w:t>
      </w:r>
      <w:proofErr w:type="spellStart"/>
      <w:r w:rsidRPr="006D1784">
        <w:rPr>
          <w:bCs/>
          <w:iCs/>
          <w:kern w:val="0"/>
        </w:rPr>
        <w:t>Tversky</w:t>
      </w:r>
      <w:proofErr w:type="spellEnd"/>
      <w:r w:rsidRPr="006D1784">
        <w:rPr>
          <w:bCs/>
          <w:iCs/>
          <w:kern w:val="0"/>
        </w:rPr>
        <w:t xml:space="preserve"> (1979) point out, individuals value gains and losses differently. More importantly, their risk preferences are asymmetric </w:t>
      </w:r>
      <w:r w:rsidRPr="006D1784">
        <w:rPr>
          <w:bCs/>
          <w:iCs/>
          <w:kern w:val="0"/>
        </w:rPr>
        <w:lastRenderedPageBreak/>
        <w:t>when encountering gains and losses. In general, people are less likely to gamble on gains but more willing to bet on losses. Thus, individuals are inclined to act conservatively to preserve winning/gain situations. However, they are likely to bet when encountering losing/loss scenarios.</w:t>
      </w:r>
    </w:p>
    <w:p w:rsidR="000F47F0" w:rsidRPr="006D1784" w:rsidRDefault="000F47F0" w:rsidP="00403A8F">
      <w:pPr>
        <w:widowControl/>
        <w:adjustRightInd w:val="0"/>
        <w:snapToGrid w:val="0"/>
        <w:spacing w:line="288" w:lineRule="auto"/>
        <w:jc w:val="both"/>
        <w:rPr>
          <w:bCs/>
          <w:iCs/>
          <w:kern w:val="0"/>
        </w:rPr>
      </w:pPr>
    </w:p>
    <w:p w:rsidR="006D1784" w:rsidRDefault="006D1784" w:rsidP="00FE1E17">
      <w:pPr>
        <w:widowControl/>
        <w:adjustRightInd w:val="0"/>
        <w:snapToGrid w:val="0"/>
        <w:spacing w:line="288" w:lineRule="auto"/>
        <w:ind w:firstLineChars="295" w:firstLine="708"/>
        <w:jc w:val="both"/>
        <w:rPr>
          <w:bCs/>
          <w:iCs/>
          <w:kern w:val="0"/>
        </w:rPr>
      </w:pPr>
      <w:r w:rsidRPr="006D1784">
        <w:rPr>
          <w:bCs/>
          <w:iCs/>
          <w:kern w:val="0"/>
        </w:rPr>
        <w:t xml:space="preserve">Following </w:t>
      </w:r>
      <w:r w:rsidR="008200A8">
        <w:rPr>
          <w:bCs/>
          <w:iCs/>
          <w:kern w:val="0"/>
        </w:rPr>
        <w:t xml:space="preserve">the </w:t>
      </w:r>
      <w:r w:rsidRPr="006D1784">
        <w:rPr>
          <w:bCs/>
          <w:iCs/>
          <w:kern w:val="0"/>
        </w:rPr>
        <w:t>arguments made in the prospect theory, researchers have conducted studies to examine individuals’ choices among alternatives involving risks. Many support the predictions stipulated in the theory (</w:t>
      </w:r>
      <w:r w:rsidR="00C46D6B">
        <w:rPr>
          <w:bCs/>
          <w:iCs/>
          <w:kern w:val="0"/>
        </w:rPr>
        <w:t xml:space="preserve">for example, </w:t>
      </w:r>
      <w:proofErr w:type="spellStart"/>
      <w:r w:rsidR="00C46D6B">
        <w:rPr>
          <w:bCs/>
          <w:iCs/>
          <w:kern w:val="0"/>
        </w:rPr>
        <w:t>Lehner</w:t>
      </w:r>
      <w:proofErr w:type="spellEnd"/>
      <w:r w:rsidR="00C46D6B">
        <w:rPr>
          <w:bCs/>
          <w:iCs/>
          <w:kern w:val="0"/>
        </w:rPr>
        <w:t xml:space="preserve"> 2000 and </w:t>
      </w:r>
      <w:proofErr w:type="spellStart"/>
      <w:r w:rsidR="00C46D6B">
        <w:rPr>
          <w:bCs/>
          <w:iCs/>
          <w:kern w:val="0"/>
        </w:rPr>
        <w:t>Kliger</w:t>
      </w:r>
      <w:proofErr w:type="spellEnd"/>
      <w:r w:rsidR="00C46D6B">
        <w:rPr>
          <w:bCs/>
          <w:iCs/>
          <w:kern w:val="0"/>
        </w:rPr>
        <w:t xml:space="preserve"> and </w:t>
      </w:r>
      <w:proofErr w:type="spellStart"/>
      <w:r w:rsidR="00C46D6B">
        <w:rPr>
          <w:bCs/>
          <w:iCs/>
          <w:kern w:val="0"/>
        </w:rPr>
        <w:t>Tsur</w:t>
      </w:r>
      <w:proofErr w:type="spellEnd"/>
      <w:r w:rsidRPr="006D1784">
        <w:rPr>
          <w:bCs/>
          <w:iCs/>
          <w:kern w:val="0"/>
        </w:rPr>
        <w:t xml:space="preserve"> 2011), while others reject the notions proposed in the framework (</w:t>
      </w:r>
      <w:r w:rsidR="00C46D6B">
        <w:rPr>
          <w:bCs/>
          <w:iCs/>
          <w:kern w:val="0"/>
        </w:rPr>
        <w:t>for example,</w:t>
      </w:r>
      <w:r w:rsidRPr="006D1784">
        <w:rPr>
          <w:bCs/>
          <w:iCs/>
          <w:kern w:val="0"/>
        </w:rPr>
        <w:t xml:space="preserve"> </w:t>
      </w:r>
      <w:proofErr w:type="spellStart"/>
      <w:r w:rsidRPr="006D1784">
        <w:rPr>
          <w:bCs/>
          <w:iCs/>
          <w:kern w:val="0"/>
        </w:rPr>
        <w:t>Battalio</w:t>
      </w:r>
      <w:proofErr w:type="spellEnd"/>
      <w:r w:rsidRPr="006D1784">
        <w:rPr>
          <w:bCs/>
          <w:iCs/>
          <w:kern w:val="0"/>
        </w:rPr>
        <w:t xml:space="preserve"> </w:t>
      </w:r>
      <w:r w:rsidR="00C46D6B">
        <w:rPr>
          <w:i/>
          <w:kern w:val="0"/>
        </w:rPr>
        <w:t>et al.</w:t>
      </w:r>
      <w:r w:rsidR="00C46D6B" w:rsidRPr="004456F7">
        <w:rPr>
          <w:kern w:val="0"/>
        </w:rPr>
        <w:t xml:space="preserve"> </w:t>
      </w:r>
      <w:r w:rsidR="00C46D6B">
        <w:rPr>
          <w:bCs/>
          <w:iCs/>
          <w:kern w:val="0"/>
        </w:rPr>
        <w:t xml:space="preserve">1990, Miller and </w:t>
      </w:r>
      <w:proofErr w:type="spellStart"/>
      <w:r w:rsidR="00C46D6B">
        <w:rPr>
          <w:bCs/>
          <w:iCs/>
          <w:kern w:val="0"/>
        </w:rPr>
        <w:t>Bromiley</w:t>
      </w:r>
      <w:proofErr w:type="spellEnd"/>
      <w:r w:rsidRPr="006D1784">
        <w:rPr>
          <w:bCs/>
          <w:iCs/>
          <w:kern w:val="0"/>
        </w:rPr>
        <w:t xml:space="preserve"> 199</w:t>
      </w:r>
      <w:r w:rsidR="00C46D6B">
        <w:rPr>
          <w:bCs/>
          <w:iCs/>
          <w:kern w:val="0"/>
        </w:rPr>
        <w:t>0 and Levy and Levy</w:t>
      </w:r>
      <w:r w:rsidRPr="006D1784">
        <w:rPr>
          <w:bCs/>
          <w:iCs/>
          <w:kern w:val="0"/>
        </w:rPr>
        <w:t xml:space="preserve"> 2002). For example, </w:t>
      </w:r>
      <w:proofErr w:type="spellStart"/>
      <w:r w:rsidRPr="006D1784">
        <w:rPr>
          <w:bCs/>
          <w:iCs/>
          <w:kern w:val="0"/>
        </w:rPr>
        <w:t>Shefrin</w:t>
      </w:r>
      <w:proofErr w:type="spellEnd"/>
      <w:r w:rsidRPr="006D1784">
        <w:rPr>
          <w:bCs/>
          <w:iCs/>
          <w:kern w:val="0"/>
        </w:rPr>
        <w:t xml:space="preserve"> and </w:t>
      </w:r>
      <w:proofErr w:type="spellStart"/>
      <w:r w:rsidRPr="006D1784">
        <w:rPr>
          <w:bCs/>
          <w:iCs/>
          <w:kern w:val="0"/>
        </w:rPr>
        <w:t>Statman</w:t>
      </w:r>
      <w:proofErr w:type="spellEnd"/>
      <w:r w:rsidRPr="006D1784">
        <w:rPr>
          <w:bCs/>
          <w:iCs/>
          <w:kern w:val="0"/>
        </w:rPr>
        <w:t xml:space="preserve"> (1985) and Ferris </w:t>
      </w:r>
      <w:r w:rsidR="00C46D6B">
        <w:rPr>
          <w:i/>
          <w:kern w:val="0"/>
        </w:rPr>
        <w:t>et al.</w:t>
      </w:r>
      <w:r w:rsidRPr="006D1784">
        <w:rPr>
          <w:bCs/>
          <w:iCs/>
          <w:kern w:val="0"/>
        </w:rPr>
        <w:t xml:space="preserve"> (1988) use the prospect theory to examine the disposition effect. </w:t>
      </w:r>
      <w:proofErr w:type="spellStart"/>
      <w:r w:rsidRPr="006D1784">
        <w:rPr>
          <w:bCs/>
          <w:iCs/>
          <w:kern w:val="0"/>
        </w:rPr>
        <w:t>Fiegenbaum</w:t>
      </w:r>
      <w:proofErr w:type="spellEnd"/>
      <w:r w:rsidRPr="006D1784">
        <w:rPr>
          <w:bCs/>
          <w:iCs/>
          <w:kern w:val="0"/>
        </w:rPr>
        <w:t xml:space="preserve"> (1990) and Sinha (1994) re-examine the risk-return relation based on </w:t>
      </w:r>
      <w:r w:rsidR="008200A8">
        <w:rPr>
          <w:bCs/>
          <w:iCs/>
          <w:kern w:val="0"/>
        </w:rPr>
        <w:t xml:space="preserve">the </w:t>
      </w:r>
      <w:r w:rsidRPr="006D1784">
        <w:rPr>
          <w:bCs/>
          <w:iCs/>
          <w:kern w:val="0"/>
        </w:rPr>
        <w:t xml:space="preserve">prospect theory. </w:t>
      </w:r>
      <w:proofErr w:type="spellStart"/>
      <w:r w:rsidRPr="006D1784">
        <w:rPr>
          <w:bCs/>
          <w:iCs/>
          <w:kern w:val="0"/>
        </w:rPr>
        <w:t>Benartzi</w:t>
      </w:r>
      <w:proofErr w:type="spellEnd"/>
      <w:r w:rsidRPr="006D1784">
        <w:rPr>
          <w:bCs/>
          <w:iCs/>
          <w:kern w:val="0"/>
        </w:rPr>
        <w:t xml:space="preserve"> and </w:t>
      </w:r>
      <w:proofErr w:type="spellStart"/>
      <w:r w:rsidRPr="006D1784">
        <w:rPr>
          <w:bCs/>
          <w:iCs/>
          <w:kern w:val="0"/>
        </w:rPr>
        <w:t>Thaler</w:t>
      </w:r>
      <w:proofErr w:type="spellEnd"/>
      <w:r w:rsidRPr="006D1784">
        <w:rPr>
          <w:bCs/>
          <w:iCs/>
          <w:kern w:val="0"/>
        </w:rPr>
        <w:t xml:space="preserve"> (1995) demonstrate that this theory is useful in explaining the equity premium puzzle. Moreover, </w:t>
      </w:r>
      <w:proofErr w:type="spellStart"/>
      <w:r w:rsidRPr="006D1784">
        <w:rPr>
          <w:bCs/>
          <w:iCs/>
          <w:kern w:val="0"/>
        </w:rPr>
        <w:t>Barberis</w:t>
      </w:r>
      <w:proofErr w:type="spellEnd"/>
      <w:r w:rsidRPr="006D1784">
        <w:rPr>
          <w:bCs/>
          <w:iCs/>
          <w:kern w:val="0"/>
        </w:rPr>
        <w:t xml:space="preserve"> </w:t>
      </w:r>
      <w:r w:rsidR="00C46D6B">
        <w:rPr>
          <w:i/>
          <w:kern w:val="0"/>
        </w:rPr>
        <w:t>et al.</w:t>
      </w:r>
      <w:r w:rsidR="00C46D6B" w:rsidRPr="004456F7">
        <w:rPr>
          <w:kern w:val="0"/>
        </w:rPr>
        <w:t xml:space="preserve"> </w:t>
      </w:r>
      <w:r w:rsidRPr="006D1784">
        <w:rPr>
          <w:bCs/>
          <w:iCs/>
          <w:kern w:val="0"/>
        </w:rPr>
        <w:t xml:space="preserve">(2001), Zhang and </w:t>
      </w:r>
      <w:proofErr w:type="spellStart"/>
      <w:r w:rsidRPr="006D1784">
        <w:rPr>
          <w:bCs/>
          <w:iCs/>
          <w:kern w:val="0"/>
        </w:rPr>
        <w:t>Semmler</w:t>
      </w:r>
      <w:proofErr w:type="spellEnd"/>
      <w:r w:rsidRPr="006D1784">
        <w:rPr>
          <w:bCs/>
          <w:iCs/>
          <w:kern w:val="0"/>
        </w:rPr>
        <w:t xml:space="preserve"> (2009), and Levy </w:t>
      </w:r>
      <w:r w:rsidR="00C46D6B">
        <w:rPr>
          <w:i/>
          <w:kern w:val="0"/>
        </w:rPr>
        <w:t>et al.</w:t>
      </w:r>
      <w:r w:rsidR="00C46D6B" w:rsidRPr="004456F7">
        <w:rPr>
          <w:kern w:val="0"/>
        </w:rPr>
        <w:t xml:space="preserve"> </w:t>
      </w:r>
      <w:r w:rsidRPr="006D1784">
        <w:rPr>
          <w:bCs/>
          <w:iCs/>
          <w:kern w:val="0"/>
        </w:rPr>
        <w:t xml:space="preserve">(2012) articulate that the prospect theory can be implemented to investigate the consequences of asset pricing. </w:t>
      </w:r>
      <w:r w:rsidR="008200A8">
        <w:rPr>
          <w:bCs/>
          <w:iCs/>
          <w:kern w:val="0"/>
        </w:rPr>
        <w:t xml:space="preserve">Also, </w:t>
      </w:r>
      <w:r w:rsidRPr="006D1784">
        <w:rPr>
          <w:bCs/>
          <w:iCs/>
          <w:kern w:val="0"/>
        </w:rPr>
        <w:t xml:space="preserve">Levy and Levy (2004) employ this theory to examine the implications of the Markowitz portfolio theory (1952), while Gomes (2005) use this theoretical framework to explore the implications of trading volume.  </w:t>
      </w:r>
    </w:p>
    <w:p w:rsidR="00403A8F" w:rsidRPr="006D1784" w:rsidRDefault="00403A8F" w:rsidP="00FE1E17">
      <w:pPr>
        <w:widowControl/>
        <w:adjustRightInd w:val="0"/>
        <w:snapToGrid w:val="0"/>
        <w:spacing w:line="288" w:lineRule="auto"/>
        <w:ind w:firstLineChars="295" w:firstLine="708"/>
        <w:jc w:val="both"/>
        <w:rPr>
          <w:bCs/>
          <w:iCs/>
          <w:kern w:val="0"/>
        </w:rPr>
      </w:pPr>
    </w:p>
    <w:p w:rsidR="006D1784" w:rsidRDefault="006D1784" w:rsidP="00FE1E17">
      <w:pPr>
        <w:widowControl/>
        <w:adjustRightInd w:val="0"/>
        <w:snapToGrid w:val="0"/>
        <w:spacing w:line="288" w:lineRule="auto"/>
        <w:ind w:firstLineChars="295" w:firstLine="708"/>
        <w:jc w:val="both"/>
        <w:rPr>
          <w:bCs/>
          <w:iCs/>
          <w:kern w:val="0"/>
        </w:rPr>
      </w:pPr>
      <w:r w:rsidRPr="006D1784">
        <w:rPr>
          <w:bCs/>
          <w:iCs/>
          <w:kern w:val="0"/>
        </w:rPr>
        <w:t>Building on the extant literature, this study postulates that corporate executives may develop a strategy and use earnings manipulation as a tool to manage income when facing gains or losses</w:t>
      </w:r>
      <w:r w:rsidR="008200A8">
        <w:rPr>
          <w:bCs/>
          <w:iCs/>
          <w:kern w:val="0"/>
        </w:rPr>
        <w:t xml:space="preserve"> in capital markets</w:t>
      </w:r>
      <w:r w:rsidRPr="006D1784">
        <w:rPr>
          <w:bCs/>
          <w:iCs/>
          <w:kern w:val="0"/>
        </w:rPr>
        <w:t xml:space="preserve">. Specifically, managers are inclined to act conservatively by taking risk-averting route </w:t>
      </w:r>
      <w:r w:rsidR="008200A8" w:rsidRPr="006D1784">
        <w:rPr>
          <w:bCs/>
          <w:iCs/>
          <w:kern w:val="0"/>
        </w:rPr>
        <w:t>when encountering gains</w:t>
      </w:r>
      <w:r w:rsidR="00AD4E77">
        <w:rPr>
          <w:bCs/>
          <w:iCs/>
          <w:kern w:val="0"/>
        </w:rPr>
        <w:t xml:space="preserve">. They probably would </w:t>
      </w:r>
      <w:r w:rsidRPr="006D1784">
        <w:rPr>
          <w:bCs/>
          <w:iCs/>
          <w:kern w:val="0"/>
        </w:rPr>
        <w:t xml:space="preserve">behave aggressively by taking risk-seeking approach </w:t>
      </w:r>
      <w:r w:rsidR="008200A8">
        <w:rPr>
          <w:bCs/>
          <w:iCs/>
          <w:kern w:val="0"/>
        </w:rPr>
        <w:t>when experiencing</w:t>
      </w:r>
      <w:r w:rsidRPr="006D1784">
        <w:rPr>
          <w:bCs/>
          <w:iCs/>
          <w:kern w:val="0"/>
        </w:rPr>
        <w:t xml:space="preserve"> losses. </w:t>
      </w:r>
      <w:r w:rsidR="008200A8">
        <w:rPr>
          <w:bCs/>
          <w:iCs/>
          <w:kern w:val="0"/>
        </w:rPr>
        <w:t xml:space="preserve">Because corporate executives may develop strategies on earnings </w:t>
      </w:r>
      <w:r w:rsidR="004456F7">
        <w:rPr>
          <w:bCs/>
          <w:iCs/>
          <w:kern w:val="0"/>
        </w:rPr>
        <w:t>manipulation</w:t>
      </w:r>
      <w:r w:rsidR="008200A8">
        <w:rPr>
          <w:bCs/>
          <w:iCs/>
          <w:kern w:val="0"/>
        </w:rPr>
        <w:t xml:space="preserve"> and such strategies </w:t>
      </w:r>
      <w:r w:rsidR="00AD4E77">
        <w:rPr>
          <w:bCs/>
          <w:iCs/>
          <w:kern w:val="0"/>
        </w:rPr>
        <w:t>could</w:t>
      </w:r>
      <w:r w:rsidR="008200A8">
        <w:rPr>
          <w:bCs/>
          <w:iCs/>
          <w:kern w:val="0"/>
        </w:rPr>
        <w:t xml:space="preserve"> be </w:t>
      </w:r>
      <w:r w:rsidR="00AD4E77">
        <w:rPr>
          <w:bCs/>
          <w:iCs/>
          <w:kern w:val="0"/>
        </w:rPr>
        <w:t>a</w:t>
      </w:r>
      <w:r w:rsidR="008200A8">
        <w:rPr>
          <w:bCs/>
          <w:iCs/>
          <w:kern w:val="0"/>
        </w:rPr>
        <w:t xml:space="preserve">symmetric when firms experience gains </w:t>
      </w:r>
      <w:r w:rsidR="00AD4E77">
        <w:rPr>
          <w:bCs/>
          <w:iCs/>
          <w:kern w:val="0"/>
        </w:rPr>
        <w:t>or</w:t>
      </w:r>
      <w:r w:rsidR="008200A8">
        <w:rPr>
          <w:bCs/>
          <w:iCs/>
          <w:kern w:val="0"/>
        </w:rPr>
        <w:t xml:space="preserve"> losses in capital markets</w:t>
      </w:r>
      <w:r w:rsidR="00AD4E77">
        <w:rPr>
          <w:bCs/>
          <w:iCs/>
          <w:kern w:val="0"/>
        </w:rPr>
        <w:t>,</w:t>
      </w:r>
      <w:r w:rsidR="008200A8">
        <w:rPr>
          <w:bCs/>
          <w:iCs/>
          <w:kern w:val="0"/>
        </w:rPr>
        <w:t xml:space="preserve"> </w:t>
      </w:r>
      <w:r w:rsidRPr="006D1784">
        <w:rPr>
          <w:bCs/>
          <w:iCs/>
          <w:kern w:val="0"/>
        </w:rPr>
        <w:t xml:space="preserve">the prospect theory offers a theoretical foundation for us to examine the non-uniform earnings manipulation behavior </w:t>
      </w:r>
      <w:r w:rsidR="008200A8">
        <w:rPr>
          <w:bCs/>
          <w:iCs/>
          <w:kern w:val="0"/>
        </w:rPr>
        <w:t xml:space="preserve">engaged by the </w:t>
      </w:r>
      <w:r w:rsidRPr="006D1784">
        <w:rPr>
          <w:bCs/>
          <w:iCs/>
          <w:kern w:val="0"/>
        </w:rPr>
        <w:t>corporate executives</w:t>
      </w:r>
      <w:r w:rsidR="00AD4E77">
        <w:rPr>
          <w:bCs/>
          <w:iCs/>
          <w:kern w:val="0"/>
        </w:rPr>
        <w:t xml:space="preserve"> at different regions of stock returns</w:t>
      </w:r>
      <w:r w:rsidRPr="006D1784">
        <w:rPr>
          <w:bCs/>
          <w:iCs/>
          <w:kern w:val="0"/>
        </w:rPr>
        <w:t>.</w:t>
      </w:r>
    </w:p>
    <w:p w:rsidR="00403A8F" w:rsidRDefault="00403A8F" w:rsidP="00FE1E17">
      <w:pPr>
        <w:widowControl/>
        <w:adjustRightInd w:val="0"/>
        <w:snapToGrid w:val="0"/>
        <w:spacing w:line="288" w:lineRule="auto"/>
        <w:ind w:firstLineChars="295" w:firstLine="708"/>
        <w:jc w:val="both"/>
        <w:rPr>
          <w:bCs/>
          <w:iCs/>
          <w:kern w:val="0"/>
        </w:rPr>
      </w:pPr>
    </w:p>
    <w:p w:rsidR="000D0C3B" w:rsidRDefault="000D0C3B" w:rsidP="00FE1E17">
      <w:pPr>
        <w:widowControl/>
        <w:adjustRightInd w:val="0"/>
        <w:snapToGrid w:val="0"/>
        <w:spacing w:line="288" w:lineRule="auto"/>
        <w:jc w:val="both"/>
        <w:rPr>
          <w:b/>
        </w:rPr>
      </w:pPr>
    </w:p>
    <w:p w:rsidR="00691B4A" w:rsidRPr="000F47F0" w:rsidRDefault="00691B4A" w:rsidP="00FE1E17">
      <w:pPr>
        <w:widowControl/>
        <w:adjustRightInd w:val="0"/>
        <w:snapToGrid w:val="0"/>
        <w:spacing w:line="288" w:lineRule="auto"/>
        <w:jc w:val="both"/>
        <w:rPr>
          <w:b/>
        </w:rPr>
      </w:pPr>
      <w:r w:rsidRPr="000F47F0">
        <w:rPr>
          <w:b/>
        </w:rPr>
        <w:t>2.</w:t>
      </w:r>
      <w:r w:rsidR="006D1784" w:rsidRPr="000F47F0">
        <w:rPr>
          <w:rFonts w:hint="eastAsia"/>
          <w:b/>
        </w:rPr>
        <w:t>3</w:t>
      </w:r>
      <w:r w:rsidR="00C46D6B">
        <w:rPr>
          <w:b/>
        </w:rPr>
        <w:t xml:space="preserve"> Research D</w:t>
      </w:r>
      <w:r w:rsidRPr="000F47F0">
        <w:rPr>
          <w:b/>
        </w:rPr>
        <w:t>evelopment</w:t>
      </w:r>
    </w:p>
    <w:p w:rsidR="000F47F0" w:rsidRPr="000F47F0" w:rsidRDefault="000F47F0" w:rsidP="00403A8F">
      <w:pPr>
        <w:widowControl/>
        <w:adjustRightInd w:val="0"/>
        <w:snapToGrid w:val="0"/>
        <w:spacing w:line="288" w:lineRule="auto"/>
        <w:jc w:val="both"/>
        <w:rPr>
          <w:sz w:val="6"/>
          <w:szCs w:val="6"/>
        </w:rPr>
      </w:pPr>
    </w:p>
    <w:p w:rsidR="003E43FA" w:rsidRDefault="00E86D99" w:rsidP="00403A8F">
      <w:pPr>
        <w:widowControl/>
        <w:adjustRightInd w:val="0"/>
        <w:snapToGrid w:val="0"/>
        <w:spacing w:line="288" w:lineRule="auto"/>
        <w:jc w:val="both"/>
      </w:pPr>
      <w:r>
        <w:t xml:space="preserve">This section </w:t>
      </w:r>
      <w:r w:rsidRPr="008126EB">
        <w:t>develop</w:t>
      </w:r>
      <w:r>
        <w:t>s</w:t>
      </w:r>
      <w:r w:rsidRPr="008126EB">
        <w:t xml:space="preserve"> research question</w:t>
      </w:r>
      <w:r>
        <w:t>s</w:t>
      </w:r>
      <w:r w:rsidRPr="008126EB">
        <w:t xml:space="preserve"> </w:t>
      </w:r>
      <w:r w:rsidR="00CA52D7">
        <w:t>based on</w:t>
      </w:r>
      <w:r w:rsidRPr="008126EB">
        <w:t xml:space="preserve"> the </w:t>
      </w:r>
      <w:r>
        <w:t xml:space="preserve">prospect </w:t>
      </w:r>
      <w:r w:rsidRPr="008126EB">
        <w:t>theory.</w:t>
      </w:r>
      <w:r>
        <w:t xml:space="preserve"> </w:t>
      </w:r>
      <w:r w:rsidR="00CA52D7">
        <w:t xml:space="preserve">As documented in the </w:t>
      </w:r>
      <w:r w:rsidR="00C57335" w:rsidRPr="008126EB">
        <w:t>literature</w:t>
      </w:r>
      <w:r w:rsidR="00CA52D7">
        <w:t xml:space="preserve">, </w:t>
      </w:r>
      <w:r w:rsidR="00C57335" w:rsidRPr="008126EB">
        <w:t xml:space="preserve">corporate executives </w:t>
      </w:r>
      <w:r w:rsidR="00A122D2">
        <w:t xml:space="preserve">have incentives to </w:t>
      </w:r>
      <w:r w:rsidR="00C57335" w:rsidRPr="008126EB">
        <w:t xml:space="preserve">manipulate </w:t>
      </w:r>
      <w:r w:rsidR="00CA52D7">
        <w:t>the reported income</w:t>
      </w:r>
      <w:r w:rsidR="00CA52D7" w:rsidRPr="008126EB">
        <w:t xml:space="preserve"> </w:t>
      </w:r>
      <w:r w:rsidR="00C57335" w:rsidRPr="008126EB">
        <w:t>(</w:t>
      </w:r>
      <w:r w:rsidR="00221B17">
        <w:t xml:space="preserve">for example, </w:t>
      </w:r>
      <w:proofErr w:type="spellStart"/>
      <w:r w:rsidR="00221B17">
        <w:t>Dechow</w:t>
      </w:r>
      <w:proofErr w:type="spellEnd"/>
      <w:r w:rsidR="00221B17">
        <w:t xml:space="preserve"> and Skinner 2000 and </w:t>
      </w:r>
      <w:proofErr w:type="spellStart"/>
      <w:r w:rsidR="00C57335" w:rsidRPr="008126EB">
        <w:t>Kirsche</w:t>
      </w:r>
      <w:r w:rsidR="00221B17">
        <w:t>nheiter</w:t>
      </w:r>
      <w:proofErr w:type="spellEnd"/>
      <w:r w:rsidR="00221B17">
        <w:t xml:space="preserve"> and </w:t>
      </w:r>
      <w:proofErr w:type="spellStart"/>
      <w:r w:rsidR="00221B17">
        <w:t>Melumad</w:t>
      </w:r>
      <w:proofErr w:type="spellEnd"/>
      <w:r w:rsidR="00C57335" w:rsidRPr="008126EB">
        <w:t xml:space="preserve"> 2002). For example, executives </w:t>
      </w:r>
      <w:r w:rsidR="00CA52D7">
        <w:t xml:space="preserve">can </w:t>
      </w:r>
      <w:r w:rsidR="00CA52D7" w:rsidRPr="008126EB">
        <w:t>mak</w:t>
      </w:r>
      <w:r w:rsidR="00CA52D7">
        <w:t xml:space="preserve">e </w:t>
      </w:r>
      <w:r w:rsidR="00CA52D7" w:rsidRPr="008126EB">
        <w:t>adjustments to</w:t>
      </w:r>
      <w:r w:rsidR="00CA52D7">
        <w:t xml:space="preserve"> </w:t>
      </w:r>
      <w:r w:rsidR="00CA52D7" w:rsidRPr="008126EB">
        <w:t>net income</w:t>
      </w:r>
      <w:r w:rsidR="00CA52D7">
        <w:t>s</w:t>
      </w:r>
      <w:r w:rsidR="00CA52D7" w:rsidRPr="008126EB">
        <w:t xml:space="preserve"> </w:t>
      </w:r>
      <w:r w:rsidR="00CA52D7">
        <w:t xml:space="preserve">in order </w:t>
      </w:r>
      <w:r w:rsidR="00BA7489">
        <w:t xml:space="preserve">to </w:t>
      </w:r>
      <w:r w:rsidR="00C57335" w:rsidRPr="008126EB">
        <w:t xml:space="preserve">avoid reporting a larger earnings surprise. </w:t>
      </w:r>
      <w:r w:rsidR="00F8105D">
        <w:t>T</w:t>
      </w:r>
      <w:r w:rsidR="00C57335" w:rsidRPr="008126EB">
        <w:t xml:space="preserve">his </w:t>
      </w:r>
      <w:r w:rsidR="00CA52D7">
        <w:t>action</w:t>
      </w:r>
      <w:r w:rsidR="00CA52D7" w:rsidRPr="008126EB">
        <w:t xml:space="preserve"> </w:t>
      </w:r>
      <w:r w:rsidR="00C57335" w:rsidRPr="008126EB">
        <w:rPr>
          <w:kern w:val="0"/>
        </w:rPr>
        <w:t>mitigates the potential negative effect caused by lower inferred earnings precision on stock returns (</w:t>
      </w:r>
      <w:r w:rsidR="00221B17">
        <w:rPr>
          <w:kern w:val="0"/>
        </w:rPr>
        <w:t xml:space="preserve">for example, </w:t>
      </w:r>
      <w:proofErr w:type="spellStart"/>
      <w:r w:rsidR="00221B17">
        <w:rPr>
          <w:kern w:val="0"/>
        </w:rPr>
        <w:t>Trueman</w:t>
      </w:r>
      <w:proofErr w:type="spellEnd"/>
      <w:r w:rsidR="00221B17">
        <w:rPr>
          <w:kern w:val="0"/>
        </w:rPr>
        <w:t xml:space="preserve"> and Titman 1988 and </w:t>
      </w:r>
      <w:proofErr w:type="spellStart"/>
      <w:r w:rsidR="00221B17">
        <w:rPr>
          <w:kern w:val="0"/>
        </w:rPr>
        <w:t>Subramanyam</w:t>
      </w:r>
      <w:proofErr w:type="spellEnd"/>
      <w:r w:rsidR="00C57335" w:rsidRPr="008126EB">
        <w:rPr>
          <w:kern w:val="0"/>
        </w:rPr>
        <w:t xml:space="preserve"> 1996)</w:t>
      </w:r>
      <w:r w:rsidR="00C57335" w:rsidRPr="008126EB">
        <w:t xml:space="preserve">. Similarly, earnings manipulation </w:t>
      </w:r>
      <w:r w:rsidR="00507A8F">
        <w:t xml:space="preserve">also </w:t>
      </w:r>
      <w:r w:rsidR="00C57335" w:rsidRPr="008126EB">
        <w:t xml:space="preserve">offers opportunities for executives to demonstrate a “desirable” stream of profits for future periods. </w:t>
      </w:r>
      <w:r w:rsidR="00CA52D7" w:rsidRPr="008126EB">
        <w:t>While</w:t>
      </w:r>
      <w:r w:rsidR="00CA52D7">
        <w:t xml:space="preserve"> the </w:t>
      </w:r>
      <w:r w:rsidR="00D87077">
        <w:t xml:space="preserve">literature </w:t>
      </w:r>
      <w:r w:rsidR="00A122D2">
        <w:t xml:space="preserve">has </w:t>
      </w:r>
      <w:r w:rsidR="009920A0" w:rsidRPr="008126EB">
        <w:t>show</w:t>
      </w:r>
      <w:r w:rsidR="00A122D2">
        <w:t>ed</w:t>
      </w:r>
      <w:r w:rsidR="009920A0" w:rsidRPr="008126EB">
        <w:t xml:space="preserve"> </w:t>
      </w:r>
      <w:r w:rsidR="00A122D2">
        <w:t xml:space="preserve">several factors which may influence </w:t>
      </w:r>
      <w:r w:rsidR="00AD4E77">
        <w:t xml:space="preserve">how </w:t>
      </w:r>
      <w:r w:rsidR="00A122D2">
        <w:t xml:space="preserve">managers take action </w:t>
      </w:r>
      <w:r w:rsidR="002548CE">
        <w:t>to manipulate</w:t>
      </w:r>
      <w:r w:rsidR="00AD4E77">
        <w:t xml:space="preserve"> </w:t>
      </w:r>
      <w:r w:rsidR="00A122D2">
        <w:t>earnings,</w:t>
      </w:r>
      <w:r w:rsidR="00691B4A" w:rsidRPr="008126EB">
        <w:t xml:space="preserve"> none have explicitly </w:t>
      </w:r>
      <w:r w:rsidR="00CA52D7">
        <w:t>consider</w:t>
      </w:r>
      <w:r w:rsidR="00320967">
        <w:t>ed</w:t>
      </w:r>
      <w:r w:rsidR="00CA52D7" w:rsidRPr="008126EB">
        <w:t xml:space="preserve"> </w:t>
      </w:r>
      <w:r w:rsidR="00691B4A" w:rsidRPr="008126EB">
        <w:t>individuals’ risk preference</w:t>
      </w:r>
      <w:r w:rsidR="00BA7489">
        <w:t>, as the driver of their behavior</w:t>
      </w:r>
      <w:r w:rsidR="00691B4A" w:rsidRPr="008126EB">
        <w:t xml:space="preserve">. </w:t>
      </w:r>
      <w:r w:rsidR="00BA7489">
        <w:t>In particular</w:t>
      </w:r>
      <w:r w:rsidR="00C57335" w:rsidRPr="008126EB">
        <w:t xml:space="preserve">, </w:t>
      </w:r>
      <w:r w:rsidR="001672E8" w:rsidRPr="00BA1921">
        <w:lastRenderedPageBreak/>
        <w:t>researchers</w:t>
      </w:r>
      <w:r w:rsidR="006C537E" w:rsidRPr="00BA1921">
        <w:t xml:space="preserve"> </w:t>
      </w:r>
      <w:r w:rsidR="009920A0" w:rsidRPr="00BA1921">
        <w:t xml:space="preserve">have yet </w:t>
      </w:r>
      <w:r w:rsidR="006B4450" w:rsidRPr="00BA1921">
        <w:t xml:space="preserve">to </w:t>
      </w:r>
      <w:r w:rsidR="006732AD">
        <w:t>explore</w:t>
      </w:r>
      <w:r w:rsidR="006C537E" w:rsidRPr="00BA1921">
        <w:t xml:space="preserve"> </w:t>
      </w:r>
      <w:r w:rsidR="00691B4A" w:rsidRPr="00BA1921">
        <w:t>th</w:t>
      </w:r>
      <w:r w:rsidR="00335B2A" w:rsidRPr="00BA1921">
        <w:rPr>
          <w:rFonts w:hint="eastAsia"/>
        </w:rPr>
        <w:t xml:space="preserve">e </w:t>
      </w:r>
      <w:r w:rsidR="00A122D2">
        <w:t>non</w:t>
      </w:r>
      <w:r w:rsidR="00AD4E77">
        <w:t>-</w:t>
      </w:r>
      <w:r w:rsidR="00A122D2">
        <w:t xml:space="preserve">linear relation between </w:t>
      </w:r>
      <w:r w:rsidR="00C473A3">
        <w:rPr>
          <w:rFonts w:hint="eastAsia"/>
        </w:rPr>
        <w:t>earnings manipulation</w:t>
      </w:r>
      <w:r w:rsidR="00A122D2">
        <w:t>s</w:t>
      </w:r>
      <w:r w:rsidR="00335B2A" w:rsidRPr="00BA1921">
        <w:rPr>
          <w:rFonts w:hint="eastAsia"/>
        </w:rPr>
        <w:t xml:space="preserve"> </w:t>
      </w:r>
      <w:r w:rsidR="00A122D2">
        <w:t xml:space="preserve">and stock returns </w:t>
      </w:r>
      <w:r w:rsidR="00AD4E77">
        <w:t>because of</w:t>
      </w:r>
      <w:r w:rsidR="00A122D2">
        <w:t xml:space="preserve"> managers’ asymmetric risk preference.</w:t>
      </w:r>
      <w:r w:rsidR="00691B4A" w:rsidRPr="00BA1921">
        <w:rPr>
          <w:rStyle w:val="FootnoteReference"/>
        </w:rPr>
        <w:footnoteReference w:id="1"/>
      </w:r>
    </w:p>
    <w:p w:rsidR="000F47F0" w:rsidRPr="00BA1921" w:rsidRDefault="000F47F0" w:rsidP="00403A8F">
      <w:pPr>
        <w:widowControl/>
        <w:adjustRightInd w:val="0"/>
        <w:snapToGrid w:val="0"/>
        <w:spacing w:line="288" w:lineRule="auto"/>
        <w:jc w:val="both"/>
      </w:pPr>
    </w:p>
    <w:p w:rsidR="005E1B83" w:rsidRDefault="003D0273" w:rsidP="00FE1E17">
      <w:pPr>
        <w:widowControl/>
        <w:adjustRightInd w:val="0"/>
        <w:snapToGrid w:val="0"/>
        <w:spacing w:line="288" w:lineRule="auto"/>
        <w:ind w:firstLine="709"/>
        <w:jc w:val="both"/>
      </w:pPr>
      <w:r w:rsidRPr="00BA1921">
        <w:t xml:space="preserve">To </w:t>
      </w:r>
      <w:r w:rsidR="00CA52D7">
        <w:t>make up</w:t>
      </w:r>
      <w:r w:rsidR="00CA52D7" w:rsidRPr="00BA1921">
        <w:t xml:space="preserve"> </w:t>
      </w:r>
      <w:r w:rsidRPr="00BA1921">
        <w:t xml:space="preserve">this void in the literature, </w:t>
      </w:r>
      <w:r w:rsidR="00BA7489">
        <w:t>this study</w:t>
      </w:r>
      <w:r w:rsidRPr="00BA1921">
        <w:t xml:space="preserve"> </w:t>
      </w:r>
      <w:r w:rsidR="006C537E" w:rsidRPr="00BA1921">
        <w:t>consider</w:t>
      </w:r>
      <w:r w:rsidR="00BA7489">
        <w:t>s</w:t>
      </w:r>
      <w:r w:rsidR="00691B4A" w:rsidRPr="00BA1921">
        <w:t xml:space="preserve"> individuals’ risk preference</w:t>
      </w:r>
      <w:r w:rsidRPr="00BA1921">
        <w:t xml:space="preserve"> </w:t>
      </w:r>
      <w:r w:rsidR="007B1526" w:rsidRPr="00BA1921">
        <w:t>according to the prospect theory</w:t>
      </w:r>
      <w:r w:rsidR="00691B4A" w:rsidRPr="00BA1921">
        <w:t xml:space="preserve">. </w:t>
      </w:r>
      <w:r w:rsidR="00AD6976" w:rsidRPr="00BA1921">
        <w:t>O</w:t>
      </w:r>
      <w:r w:rsidR="00AD6976" w:rsidRPr="00BA1921">
        <w:rPr>
          <w:rFonts w:hint="eastAsia"/>
        </w:rPr>
        <w:t xml:space="preserve">ur arguments are presented as follows. First, </w:t>
      </w:r>
      <w:r w:rsidR="00AF70F1">
        <w:t xml:space="preserve">it is </w:t>
      </w:r>
      <w:r w:rsidR="00CA52D7">
        <w:t xml:space="preserve">a prevalent practice to </w:t>
      </w:r>
      <w:r w:rsidR="006B4450" w:rsidRPr="00BA1921">
        <w:t>includ</w:t>
      </w:r>
      <w:r w:rsidR="00AF70F1">
        <w:t xml:space="preserve">e </w:t>
      </w:r>
      <w:r w:rsidR="00AD6976" w:rsidRPr="00BA1921">
        <w:rPr>
          <w:rFonts w:hint="eastAsia"/>
        </w:rPr>
        <w:t>s</w:t>
      </w:r>
      <w:r w:rsidR="00AD6976" w:rsidRPr="00BA1921">
        <w:t xml:space="preserve">alary, benefits, </w:t>
      </w:r>
      <w:r w:rsidR="006732AD">
        <w:t xml:space="preserve">performance </w:t>
      </w:r>
      <w:r w:rsidR="00AD6976" w:rsidRPr="00BA1921">
        <w:t xml:space="preserve">bonus and </w:t>
      </w:r>
      <w:r w:rsidR="00AD6976" w:rsidRPr="00BA1921">
        <w:rPr>
          <w:rFonts w:hint="eastAsia"/>
        </w:rPr>
        <w:t>equity</w:t>
      </w:r>
      <w:r w:rsidR="00AD6976" w:rsidRPr="00BA1921">
        <w:t>-based incentive</w:t>
      </w:r>
      <w:r w:rsidR="006732AD">
        <w:t>s</w:t>
      </w:r>
      <w:r w:rsidR="00AD6976" w:rsidRPr="00BA1921">
        <w:t xml:space="preserve"> </w:t>
      </w:r>
      <w:r w:rsidR="00CA52D7">
        <w:t>in executive contracts</w:t>
      </w:r>
      <w:r w:rsidR="00AD6976" w:rsidRPr="00BA1921">
        <w:t>.</w:t>
      </w:r>
      <w:r w:rsidR="00AD6976" w:rsidRPr="00BA1921">
        <w:rPr>
          <w:rFonts w:hint="eastAsia"/>
        </w:rPr>
        <w:t xml:space="preserve"> </w:t>
      </w:r>
      <w:r w:rsidR="00CA52D7">
        <w:t>More importantly</w:t>
      </w:r>
      <w:r w:rsidR="006B4450" w:rsidRPr="00BA1921">
        <w:t xml:space="preserve">, </w:t>
      </w:r>
      <w:r w:rsidR="00AF70F1" w:rsidRPr="00BA1921">
        <w:t>e</w:t>
      </w:r>
      <w:r w:rsidR="00AF70F1" w:rsidRPr="00BA1921">
        <w:rPr>
          <w:rFonts w:hint="eastAsia"/>
        </w:rPr>
        <w:t>quity</w:t>
      </w:r>
      <w:r w:rsidR="00AF70F1" w:rsidRPr="00BA1921">
        <w:t xml:space="preserve">-based </w:t>
      </w:r>
      <w:r w:rsidR="00AF70F1">
        <w:t xml:space="preserve">incentives have become </w:t>
      </w:r>
      <w:r w:rsidR="00CA52D7">
        <w:t xml:space="preserve">a </w:t>
      </w:r>
      <w:r w:rsidR="00AF70F1">
        <w:t xml:space="preserve">popular </w:t>
      </w:r>
      <w:r w:rsidR="00CA52D7">
        <w:t xml:space="preserve">component of </w:t>
      </w:r>
      <w:r w:rsidR="006732AD">
        <w:t>CEO</w:t>
      </w:r>
      <w:r w:rsidR="00AF70F1">
        <w:t xml:space="preserve">s’ </w:t>
      </w:r>
      <w:r w:rsidR="00CA52D7">
        <w:t xml:space="preserve">compensation </w:t>
      </w:r>
      <w:r w:rsidR="00ED6F82">
        <w:t xml:space="preserve">package </w:t>
      </w:r>
      <w:r w:rsidR="00AD6976" w:rsidRPr="00BA1921">
        <w:rPr>
          <w:rFonts w:hint="eastAsia"/>
        </w:rPr>
        <w:t>(</w:t>
      </w:r>
      <w:r w:rsidR="00AD6976" w:rsidRPr="00BA1921">
        <w:t xml:space="preserve">Brick </w:t>
      </w:r>
      <w:r w:rsidR="00AD6976" w:rsidRPr="00221B17">
        <w:rPr>
          <w:i/>
        </w:rPr>
        <w:t>et al.</w:t>
      </w:r>
      <w:r w:rsidR="00AD6976" w:rsidRPr="00BA1921">
        <w:rPr>
          <w:rFonts w:hint="eastAsia"/>
        </w:rPr>
        <w:t xml:space="preserve"> </w:t>
      </w:r>
      <w:r w:rsidR="00AD6976" w:rsidRPr="00BA1921">
        <w:t>2006</w:t>
      </w:r>
      <w:r w:rsidR="00221B17">
        <w:t xml:space="preserve">, </w:t>
      </w:r>
      <w:proofErr w:type="spellStart"/>
      <w:r w:rsidR="00AD6976" w:rsidRPr="00BA1921">
        <w:t>Larcker</w:t>
      </w:r>
      <w:proofErr w:type="spellEnd"/>
      <w:r w:rsidR="00AD6976" w:rsidRPr="00BA1921">
        <w:t xml:space="preserve"> </w:t>
      </w:r>
      <w:r w:rsidR="00AD6976" w:rsidRPr="00221B17">
        <w:rPr>
          <w:i/>
        </w:rPr>
        <w:t>et al.</w:t>
      </w:r>
      <w:r w:rsidR="00AD6976" w:rsidRPr="00BA1921">
        <w:rPr>
          <w:rFonts w:hint="eastAsia"/>
        </w:rPr>
        <w:t xml:space="preserve"> </w:t>
      </w:r>
      <w:r w:rsidR="00AD6976" w:rsidRPr="00BA1921">
        <w:t>2007</w:t>
      </w:r>
      <w:r w:rsidR="00AD6976" w:rsidRPr="00BA1921">
        <w:rPr>
          <w:rFonts w:hint="eastAsia"/>
        </w:rPr>
        <w:t xml:space="preserve"> </w:t>
      </w:r>
      <w:r w:rsidR="00221B17">
        <w:t xml:space="preserve">and </w:t>
      </w:r>
      <w:proofErr w:type="spellStart"/>
      <w:r w:rsidR="00AD6976" w:rsidRPr="00BA1921">
        <w:t>Aboody</w:t>
      </w:r>
      <w:proofErr w:type="spellEnd"/>
      <w:r w:rsidR="00AD6976" w:rsidRPr="00BA1921">
        <w:t xml:space="preserve"> </w:t>
      </w:r>
      <w:r w:rsidR="00AD6976" w:rsidRPr="00221B17">
        <w:rPr>
          <w:i/>
        </w:rPr>
        <w:t>et al.</w:t>
      </w:r>
      <w:r w:rsidR="00AD6976" w:rsidRPr="00221B17">
        <w:rPr>
          <w:rFonts w:hint="eastAsia"/>
          <w:i/>
        </w:rPr>
        <w:t>,</w:t>
      </w:r>
      <w:r w:rsidR="00AD6976" w:rsidRPr="00BA1921">
        <w:rPr>
          <w:rFonts w:hint="eastAsia"/>
        </w:rPr>
        <w:t xml:space="preserve"> </w:t>
      </w:r>
      <w:r w:rsidR="00AD6976" w:rsidRPr="00BA1921">
        <w:t>2010</w:t>
      </w:r>
      <w:r w:rsidR="00AD6976" w:rsidRPr="00BA1921">
        <w:rPr>
          <w:rFonts w:hint="eastAsia"/>
        </w:rPr>
        <w:t>)</w:t>
      </w:r>
      <w:r w:rsidR="00AD6976" w:rsidRPr="00BA1921">
        <w:t>.</w:t>
      </w:r>
      <w:r w:rsidR="00AD6976" w:rsidRPr="00BA1921">
        <w:rPr>
          <w:rFonts w:hint="eastAsia"/>
        </w:rPr>
        <w:t xml:space="preserve"> </w:t>
      </w:r>
      <w:r w:rsidR="00ED6F82" w:rsidRPr="007E38AC">
        <w:t>Because of its weight</w:t>
      </w:r>
      <w:r w:rsidR="00AD6976" w:rsidRPr="007E38AC">
        <w:rPr>
          <w:rFonts w:hint="eastAsia"/>
        </w:rPr>
        <w:t xml:space="preserve">, executives </w:t>
      </w:r>
      <w:r w:rsidR="006B4450" w:rsidRPr="007E38AC">
        <w:t xml:space="preserve">may </w:t>
      </w:r>
      <w:r w:rsidR="008F3BA9" w:rsidRPr="007E38AC">
        <w:t xml:space="preserve">consider stock </w:t>
      </w:r>
      <w:r w:rsidR="00ED6F82" w:rsidRPr="007E38AC">
        <w:t>returns</w:t>
      </w:r>
      <w:r w:rsidR="00BA7489" w:rsidRPr="007E38AC">
        <w:t xml:space="preserve">, a performance indicator, </w:t>
      </w:r>
      <w:r w:rsidR="00ED6F82" w:rsidRPr="007E38AC">
        <w:t>as</w:t>
      </w:r>
      <w:r w:rsidR="00ED6F82" w:rsidRPr="007E38AC">
        <w:rPr>
          <w:rFonts w:hint="eastAsia"/>
        </w:rPr>
        <w:t xml:space="preserve"> </w:t>
      </w:r>
      <w:r w:rsidR="00BA7489" w:rsidRPr="007E38AC">
        <w:t>part</w:t>
      </w:r>
      <w:r w:rsidR="00AD6976" w:rsidRPr="007E38AC">
        <w:rPr>
          <w:rFonts w:hint="eastAsia"/>
        </w:rPr>
        <w:t xml:space="preserve"> of the </w:t>
      </w:r>
      <w:r w:rsidR="00E70F90" w:rsidRPr="007E38AC">
        <w:rPr>
          <w:rFonts w:hint="eastAsia"/>
        </w:rPr>
        <w:t xml:space="preserve">equity-based </w:t>
      </w:r>
      <w:r w:rsidR="00AD6976" w:rsidRPr="007E38AC">
        <w:rPr>
          <w:rFonts w:hint="eastAsia"/>
        </w:rPr>
        <w:t xml:space="preserve">compensation </w:t>
      </w:r>
      <w:r w:rsidR="008F3BA9" w:rsidRPr="007E38AC">
        <w:t>specified in the employment contracts</w:t>
      </w:r>
      <w:r w:rsidR="00E70F90" w:rsidRPr="007E38AC">
        <w:rPr>
          <w:rFonts w:hint="eastAsia"/>
        </w:rPr>
        <w:t>.</w:t>
      </w:r>
      <w:r w:rsidR="00E70F90" w:rsidRPr="00BA1921">
        <w:rPr>
          <w:rFonts w:hint="eastAsia"/>
        </w:rPr>
        <w:t xml:space="preserve"> </w:t>
      </w:r>
    </w:p>
    <w:p w:rsidR="005E1B83" w:rsidRDefault="005E1B83" w:rsidP="00FE1E17">
      <w:pPr>
        <w:widowControl/>
        <w:adjustRightInd w:val="0"/>
        <w:snapToGrid w:val="0"/>
        <w:spacing w:line="288" w:lineRule="auto"/>
        <w:ind w:firstLine="709"/>
        <w:jc w:val="both"/>
      </w:pPr>
    </w:p>
    <w:p w:rsidR="00B76290" w:rsidRDefault="00E70F90" w:rsidP="00FE1E17">
      <w:pPr>
        <w:widowControl/>
        <w:adjustRightInd w:val="0"/>
        <w:snapToGrid w:val="0"/>
        <w:spacing w:line="288" w:lineRule="auto"/>
        <w:ind w:firstLine="709"/>
        <w:jc w:val="both"/>
      </w:pPr>
      <w:r w:rsidRPr="00BA1921">
        <w:rPr>
          <w:rFonts w:hint="eastAsia"/>
        </w:rPr>
        <w:t>Second</w:t>
      </w:r>
      <w:r w:rsidR="005E1B83">
        <w:t>ly</w:t>
      </w:r>
      <w:r w:rsidRPr="00BA1921">
        <w:rPr>
          <w:rFonts w:hint="eastAsia"/>
        </w:rPr>
        <w:t xml:space="preserve">, </w:t>
      </w:r>
      <w:r w:rsidR="00CE06A8" w:rsidRPr="00BA1921">
        <w:t xml:space="preserve">earnings </w:t>
      </w:r>
      <w:r w:rsidR="00BB300D">
        <w:t>manipulation</w:t>
      </w:r>
      <w:r w:rsidR="00CE06A8" w:rsidRPr="00BA1921">
        <w:t xml:space="preserve"> c</w:t>
      </w:r>
      <w:r w:rsidR="00D87077" w:rsidRPr="00BA1921">
        <w:t xml:space="preserve">an </w:t>
      </w:r>
      <w:r w:rsidR="00CE06A8" w:rsidRPr="00BA1921">
        <w:t xml:space="preserve">be either </w:t>
      </w:r>
      <w:r w:rsidR="00D21D14" w:rsidRPr="00BA1921">
        <w:t xml:space="preserve">a </w:t>
      </w:r>
      <w:r w:rsidR="00CE06A8" w:rsidRPr="00BA1921">
        <w:t>safe or risky</w:t>
      </w:r>
      <w:r w:rsidR="00D21D14" w:rsidRPr="00BA1921">
        <w:t xml:space="preserve"> strategy</w:t>
      </w:r>
      <w:r w:rsidR="00CE06A8" w:rsidRPr="00BA1921">
        <w:t xml:space="preserve">. </w:t>
      </w:r>
      <w:r w:rsidR="00ED6F82">
        <w:t>As</w:t>
      </w:r>
      <w:r w:rsidR="00ED6F82" w:rsidRPr="00CE06A8">
        <w:t xml:space="preserve"> </w:t>
      </w:r>
      <w:r w:rsidR="00622ADC">
        <w:t>companies enjoy positive</w:t>
      </w:r>
      <w:r w:rsidR="00D87077">
        <w:t xml:space="preserve"> </w:t>
      </w:r>
      <w:r w:rsidR="00622ADC">
        <w:t>returns</w:t>
      </w:r>
      <w:r w:rsidR="00BB300D">
        <w:t xml:space="preserve"> on equity shares</w:t>
      </w:r>
      <w:r w:rsidR="00622ADC">
        <w:t xml:space="preserve">, </w:t>
      </w:r>
      <w:r w:rsidR="00CE06A8" w:rsidRPr="00CE06A8">
        <w:t xml:space="preserve">executives </w:t>
      </w:r>
      <w:r w:rsidR="00622ADC">
        <w:t xml:space="preserve">may </w:t>
      </w:r>
      <w:r w:rsidR="00CE06A8" w:rsidRPr="00CE06A8">
        <w:t xml:space="preserve">manage </w:t>
      </w:r>
      <w:r w:rsidR="00D21D14">
        <w:t xml:space="preserve">the </w:t>
      </w:r>
      <w:r w:rsidR="00CE06A8" w:rsidRPr="00CE06A8">
        <w:t xml:space="preserve">reported </w:t>
      </w:r>
      <w:r w:rsidR="008F3BA9">
        <w:t xml:space="preserve">income either to </w:t>
      </w:r>
      <w:r w:rsidR="00CE06A8" w:rsidRPr="00CE06A8">
        <w:t xml:space="preserve">meet </w:t>
      </w:r>
      <w:r w:rsidR="008F3BA9">
        <w:t xml:space="preserve">market </w:t>
      </w:r>
      <w:r w:rsidR="00CE06A8" w:rsidRPr="00CE06A8">
        <w:t>expectation</w:t>
      </w:r>
      <w:r w:rsidR="007B1526">
        <w:t>s</w:t>
      </w:r>
      <w:r w:rsidR="00CE06A8" w:rsidRPr="00CE06A8">
        <w:t xml:space="preserve"> and beat analyst forecast</w:t>
      </w:r>
      <w:r w:rsidR="007B1526">
        <w:t>s</w:t>
      </w:r>
      <w:r w:rsidR="00622ADC">
        <w:t xml:space="preserve">. </w:t>
      </w:r>
      <w:r w:rsidR="00ED6F82">
        <w:t>Under this scenario,</w:t>
      </w:r>
      <w:r w:rsidR="00622ADC" w:rsidRPr="00CE06A8">
        <w:t xml:space="preserve"> </w:t>
      </w:r>
      <w:r w:rsidR="00622ADC">
        <w:t xml:space="preserve">earnings </w:t>
      </w:r>
      <w:r w:rsidR="00BB300D">
        <w:t>manipulation</w:t>
      </w:r>
      <w:r w:rsidR="00622ADC" w:rsidRPr="00CE06A8">
        <w:t xml:space="preserve"> c</w:t>
      </w:r>
      <w:r w:rsidR="00622ADC">
        <w:t>an</w:t>
      </w:r>
      <w:r w:rsidR="00622ADC" w:rsidRPr="00CE06A8">
        <w:t xml:space="preserve"> </w:t>
      </w:r>
      <w:r w:rsidR="00CE06A8" w:rsidRPr="00CE06A8">
        <w:t xml:space="preserve">be </w:t>
      </w:r>
      <w:r w:rsidR="006A2064">
        <w:t>a safe</w:t>
      </w:r>
      <w:r w:rsidR="00D21D14">
        <w:t xml:space="preserve"> </w:t>
      </w:r>
      <w:r w:rsidR="00CE06A8" w:rsidRPr="00CE06A8">
        <w:t>strategy</w:t>
      </w:r>
      <w:r w:rsidR="000002C6">
        <w:t xml:space="preserve"> because it helps </w:t>
      </w:r>
      <w:r w:rsidR="007B1526">
        <w:t xml:space="preserve">managers </w:t>
      </w:r>
      <w:r w:rsidR="00D21D14">
        <w:t>preserve gains in the market</w:t>
      </w:r>
      <w:r w:rsidR="00CE06A8" w:rsidRPr="00CE06A8">
        <w:t xml:space="preserve">. </w:t>
      </w:r>
      <w:r w:rsidR="008F3BA9">
        <w:t>Similarly</w:t>
      </w:r>
      <w:r w:rsidR="00AF70F1">
        <w:t xml:space="preserve">, </w:t>
      </w:r>
      <w:r w:rsidR="00622ADC">
        <w:t xml:space="preserve">managers may manipulate the </w:t>
      </w:r>
      <w:r w:rsidR="00622ADC" w:rsidRPr="00CE06A8">
        <w:t xml:space="preserve">reported earnings to </w:t>
      </w:r>
      <w:r w:rsidR="00622ADC">
        <w:t>correct market perceptions</w:t>
      </w:r>
      <w:r w:rsidR="00ED6F82" w:rsidRPr="00ED6F82">
        <w:t xml:space="preserve"> </w:t>
      </w:r>
      <w:r w:rsidR="00ED6F82">
        <w:t>when</w:t>
      </w:r>
      <w:r w:rsidR="00ED6F82" w:rsidRPr="00CE06A8">
        <w:t xml:space="preserve"> </w:t>
      </w:r>
      <w:r w:rsidR="00ED6F82">
        <w:t>suffering from losses</w:t>
      </w:r>
      <w:r w:rsidR="00622ADC">
        <w:t xml:space="preserve">. </w:t>
      </w:r>
      <w:r w:rsidR="00ED6F82">
        <w:t xml:space="preserve">In this case, manipulating the reported income </w:t>
      </w:r>
      <w:r w:rsidR="00622ADC">
        <w:t xml:space="preserve">becomes </w:t>
      </w:r>
      <w:r w:rsidR="00D21D14">
        <w:t xml:space="preserve">a </w:t>
      </w:r>
      <w:r w:rsidR="00CE06A8" w:rsidRPr="00CE06A8">
        <w:t xml:space="preserve">risky </w:t>
      </w:r>
      <w:r w:rsidR="00D21D14">
        <w:t xml:space="preserve">undertaking </w:t>
      </w:r>
      <w:r w:rsidR="00CE06A8" w:rsidRPr="00CE06A8">
        <w:t>for managers</w:t>
      </w:r>
      <w:r w:rsidR="00D21D14">
        <w:t xml:space="preserve"> </w:t>
      </w:r>
      <w:r w:rsidR="00D87077">
        <w:t xml:space="preserve">because </w:t>
      </w:r>
      <w:r w:rsidR="00D21D14">
        <w:t xml:space="preserve">it </w:t>
      </w:r>
      <w:r w:rsidR="006A2064">
        <w:t xml:space="preserve">may </w:t>
      </w:r>
      <w:r w:rsidR="00D21D14">
        <w:t xml:space="preserve">deepen losses in the </w:t>
      </w:r>
      <w:r w:rsidR="00D87077">
        <w:t xml:space="preserve">capital </w:t>
      </w:r>
      <w:r w:rsidR="00D21D14">
        <w:t>market</w:t>
      </w:r>
      <w:r w:rsidR="002548CE">
        <w:t xml:space="preserve"> if market investors detect </w:t>
      </w:r>
      <w:r w:rsidR="00743BC9">
        <w:t xml:space="preserve">it </w:t>
      </w:r>
      <w:r w:rsidR="002548CE">
        <w:t xml:space="preserve">and punish </w:t>
      </w:r>
      <w:r w:rsidR="00743BC9">
        <w:t xml:space="preserve">firms accordingly. </w:t>
      </w:r>
      <w:r w:rsidR="00AD4E77">
        <w:t xml:space="preserve">Taking these </w:t>
      </w:r>
      <w:r w:rsidR="00ED6F82">
        <w:t xml:space="preserve">arguments </w:t>
      </w:r>
      <w:r w:rsidR="00AD4E77">
        <w:t xml:space="preserve">together, it </w:t>
      </w:r>
      <w:r w:rsidR="00ED6F82">
        <w:t>provide</w:t>
      </w:r>
      <w:r w:rsidR="00AD4E77">
        <w:t>s</w:t>
      </w:r>
      <w:r w:rsidR="00ED6F82">
        <w:t xml:space="preserve"> a foundation to support our </w:t>
      </w:r>
      <w:r w:rsidR="00AF70F1">
        <w:t xml:space="preserve">conjecture </w:t>
      </w:r>
      <w:r w:rsidR="00AD4E77">
        <w:t>regarding</w:t>
      </w:r>
      <w:r w:rsidR="00ED6F82">
        <w:t xml:space="preserve"> </w:t>
      </w:r>
      <w:r w:rsidR="00AF70F1">
        <w:t xml:space="preserve">the </w:t>
      </w:r>
      <w:r w:rsidR="00161197">
        <w:rPr>
          <w:rFonts w:hint="eastAsia"/>
        </w:rPr>
        <w:t>association</w:t>
      </w:r>
      <w:r w:rsidR="00622ADC">
        <w:rPr>
          <w:kern w:val="0"/>
        </w:rPr>
        <w:t xml:space="preserve"> </w:t>
      </w:r>
      <w:r w:rsidR="001A0D7D">
        <w:rPr>
          <w:kern w:val="0"/>
        </w:rPr>
        <w:t xml:space="preserve">between </w:t>
      </w:r>
      <w:r w:rsidR="008F3BA9">
        <w:rPr>
          <w:kern w:val="0"/>
        </w:rPr>
        <w:t xml:space="preserve">the </w:t>
      </w:r>
      <w:r w:rsidR="00AD4E77">
        <w:rPr>
          <w:kern w:val="0"/>
        </w:rPr>
        <w:t xml:space="preserve">degree </w:t>
      </w:r>
      <w:r w:rsidR="008F3BA9">
        <w:rPr>
          <w:kern w:val="0"/>
        </w:rPr>
        <w:t xml:space="preserve">of </w:t>
      </w:r>
      <w:r w:rsidR="001A0D7D">
        <w:rPr>
          <w:kern w:val="0"/>
        </w:rPr>
        <w:t xml:space="preserve">earnings </w:t>
      </w:r>
      <w:r w:rsidR="00BB300D">
        <w:rPr>
          <w:kern w:val="0"/>
        </w:rPr>
        <w:t xml:space="preserve">manipulation </w:t>
      </w:r>
      <w:r w:rsidR="001A0D7D">
        <w:rPr>
          <w:kern w:val="0"/>
        </w:rPr>
        <w:t xml:space="preserve">and </w:t>
      </w:r>
      <w:r w:rsidR="00AD4E77">
        <w:rPr>
          <w:kern w:val="0"/>
        </w:rPr>
        <w:t xml:space="preserve">the level of </w:t>
      </w:r>
      <w:r w:rsidR="008F3BA9">
        <w:rPr>
          <w:kern w:val="0"/>
        </w:rPr>
        <w:t>returns on firm’s equity shares</w:t>
      </w:r>
      <w:r w:rsidR="00ED6F82">
        <w:rPr>
          <w:kern w:val="0"/>
        </w:rPr>
        <w:t>. That is, the relation</w:t>
      </w:r>
      <w:r w:rsidR="00ED6F82">
        <w:t xml:space="preserve"> between these two elements could be contingent upon </w:t>
      </w:r>
      <w:r w:rsidR="00622ADC">
        <w:t>whether firms</w:t>
      </w:r>
      <w:r w:rsidR="009920A0" w:rsidRPr="008126EB">
        <w:t xml:space="preserve"> experienc</w:t>
      </w:r>
      <w:r w:rsidR="00C66FC5">
        <w:t>ing</w:t>
      </w:r>
      <w:r w:rsidR="00830A86" w:rsidRPr="008126EB">
        <w:t xml:space="preserve"> </w:t>
      </w:r>
      <w:r w:rsidR="00AB5FA2">
        <w:rPr>
          <w:rFonts w:hint="eastAsia"/>
        </w:rPr>
        <w:t>positive</w:t>
      </w:r>
      <w:r w:rsidR="00AB5FA2" w:rsidRPr="008126EB">
        <w:t xml:space="preserve"> </w:t>
      </w:r>
      <w:r w:rsidR="00622ADC">
        <w:t>or</w:t>
      </w:r>
      <w:r w:rsidR="00622ADC" w:rsidRPr="008126EB">
        <w:t xml:space="preserve"> </w:t>
      </w:r>
      <w:r w:rsidR="00AB5FA2">
        <w:rPr>
          <w:rFonts w:hint="eastAsia"/>
        </w:rPr>
        <w:t>negative</w:t>
      </w:r>
      <w:r w:rsidR="00691B4A" w:rsidRPr="008126EB">
        <w:t xml:space="preserve"> stock </w:t>
      </w:r>
      <w:r w:rsidR="00D21D14">
        <w:t>returns</w:t>
      </w:r>
      <w:r w:rsidR="00ED6F82">
        <w:t xml:space="preserve"> in the market</w:t>
      </w:r>
      <w:r w:rsidR="00B26438" w:rsidRPr="008126EB">
        <w:t xml:space="preserve">. </w:t>
      </w:r>
    </w:p>
    <w:p w:rsidR="00403A8F" w:rsidRDefault="00403A8F" w:rsidP="00FE1E17">
      <w:pPr>
        <w:widowControl/>
        <w:adjustRightInd w:val="0"/>
        <w:snapToGrid w:val="0"/>
        <w:spacing w:line="288" w:lineRule="auto"/>
        <w:ind w:firstLine="709"/>
        <w:jc w:val="both"/>
      </w:pPr>
    </w:p>
    <w:p w:rsidR="00B76290" w:rsidRDefault="00F70AC7" w:rsidP="00FE1E17">
      <w:pPr>
        <w:widowControl/>
        <w:adjustRightInd w:val="0"/>
        <w:snapToGrid w:val="0"/>
        <w:spacing w:line="288" w:lineRule="auto"/>
        <w:ind w:firstLine="709"/>
        <w:jc w:val="both"/>
      </w:pPr>
      <w:r>
        <w:t>In this study,</w:t>
      </w:r>
      <w:r w:rsidR="007B1526">
        <w:t xml:space="preserve"> we postulate that </w:t>
      </w:r>
      <w:r w:rsidR="00691B4A" w:rsidRPr="008126EB">
        <w:t>firm manage</w:t>
      </w:r>
      <w:r w:rsidR="00B76290">
        <w:rPr>
          <w:rFonts w:hint="eastAsia"/>
        </w:rPr>
        <w:t>rs</w:t>
      </w:r>
      <w:r w:rsidR="00691B4A" w:rsidRPr="008126EB">
        <w:t xml:space="preserve"> may </w:t>
      </w:r>
      <w:r w:rsidR="0050579C">
        <w:t>develop</w:t>
      </w:r>
      <w:r w:rsidR="0050579C" w:rsidRPr="008126EB">
        <w:t xml:space="preserve"> </w:t>
      </w:r>
      <w:r w:rsidR="00467F14">
        <w:t>risk-averting</w:t>
      </w:r>
      <w:r w:rsidR="0050579C">
        <w:t xml:space="preserve"> </w:t>
      </w:r>
      <w:r w:rsidR="00DE4CCE">
        <w:t>mentality</w:t>
      </w:r>
      <w:r w:rsidR="00DE4CCE" w:rsidRPr="008126EB">
        <w:t xml:space="preserve"> </w:t>
      </w:r>
      <w:r w:rsidR="00691B4A" w:rsidRPr="008126EB">
        <w:t>wh</w:t>
      </w:r>
      <w:r w:rsidR="00457793">
        <w:t>en</w:t>
      </w:r>
      <w:r w:rsidR="000035F1" w:rsidRPr="008126EB">
        <w:t xml:space="preserve"> </w:t>
      </w:r>
      <w:r w:rsidR="00691B4A" w:rsidRPr="008126EB">
        <w:t xml:space="preserve">firms enjoy positive and higher than average stock returns. </w:t>
      </w:r>
      <w:r w:rsidR="003D0273">
        <w:t xml:space="preserve">By managing </w:t>
      </w:r>
      <w:r w:rsidR="006A2064">
        <w:t xml:space="preserve">the reported </w:t>
      </w:r>
      <w:r>
        <w:t>income</w:t>
      </w:r>
      <w:r w:rsidR="006A2064">
        <w:t xml:space="preserve">, </w:t>
      </w:r>
      <w:r w:rsidR="00691B4A" w:rsidRPr="008126EB">
        <w:t xml:space="preserve">shareholders </w:t>
      </w:r>
      <w:r w:rsidR="003D0273">
        <w:t xml:space="preserve">are likely to welcome this </w:t>
      </w:r>
      <w:r w:rsidR="00926CFF">
        <w:t xml:space="preserve">good </w:t>
      </w:r>
      <w:r w:rsidR="00AD4E77">
        <w:t xml:space="preserve">corporate </w:t>
      </w:r>
      <w:r w:rsidR="003D0273">
        <w:t xml:space="preserve">news and </w:t>
      </w:r>
      <w:r w:rsidR="00691B4A" w:rsidRPr="008126EB">
        <w:t xml:space="preserve">continue rewarding </w:t>
      </w:r>
      <w:r w:rsidR="00457793">
        <w:t>firms</w:t>
      </w:r>
      <w:r w:rsidR="00691B4A" w:rsidRPr="008126EB">
        <w:t xml:space="preserve"> with superior stock returns. Hence, </w:t>
      </w:r>
      <w:r w:rsidR="00467F14">
        <w:t>risk-averting</w:t>
      </w:r>
      <w:r w:rsidR="00F71DFC">
        <w:t xml:space="preserve"> </w:t>
      </w:r>
      <w:r w:rsidR="00D87077">
        <w:t>executives</w:t>
      </w:r>
      <w:r w:rsidR="00D87077" w:rsidRPr="008126EB">
        <w:t xml:space="preserve"> </w:t>
      </w:r>
      <w:r w:rsidR="00926CFF">
        <w:t>work</w:t>
      </w:r>
      <w:r>
        <w:t>ing</w:t>
      </w:r>
      <w:r w:rsidR="00926CFF">
        <w:t xml:space="preserve"> for</w:t>
      </w:r>
      <w:r w:rsidR="00C66FC5">
        <w:t xml:space="preserve"> </w:t>
      </w:r>
      <w:r w:rsidR="00C66FC5" w:rsidRPr="00C66FC5">
        <w:t xml:space="preserve">firms </w:t>
      </w:r>
      <w:r>
        <w:t>with</w:t>
      </w:r>
      <w:r w:rsidRPr="00C66FC5">
        <w:t xml:space="preserve"> </w:t>
      </w:r>
      <w:r w:rsidR="00926CFF" w:rsidRPr="00C66FC5">
        <w:t xml:space="preserve">positive </w:t>
      </w:r>
      <w:r w:rsidR="00926CFF" w:rsidRPr="008126EB">
        <w:t>and higher than average stock returns</w:t>
      </w:r>
      <w:r w:rsidR="00926CFF" w:rsidRPr="00C66FC5" w:rsidDel="00926CFF">
        <w:t xml:space="preserve"> </w:t>
      </w:r>
      <w:r w:rsidR="00C66FC5" w:rsidRPr="00C66FC5">
        <w:t xml:space="preserve">(or </w:t>
      </w:r>
      <w:r w:rsidR="00926CFF">
        <w:t xml:space="preserve">a </w:t>
      </w:r>
      <w:r w:rsidR="00926CFF" w:rsidRPr="00C66FC5">
        <w:t>large rise in price</w:t>
      </w:r>
      <w:r w:rsidR="00C66FC5" w:rsidRPr="00C66FC5">
        <w:t>)</w:t>
      </w:r>
      <w:r w:rsidR="00C66FC5">
        <w:t xml:space="preserve"> </w:t>
      </w:r>
      <w:r>
        <w:t xml:space="preserve">may perceive </w:t>
      </w:r>
      <w:r w:rsidR="00C473A3">
        <w:t>earnings manipulation</w:t>
      </w:r>
      <w:r>
        <w:t xml:space="preserve"> as </w:t>
      </w:r>
      <w:r w:rsidR="006A2064">
        <w:t>a low-risk strategy</w:t>
      </w:r>
      <w:r w:rsidR="00691B4A" w:rsidRPr="008126EB">
        <w:rPr>
          <w:rFonts w:hint="eastAsia"/>
        </w:rPr>
        <w:t xml:space="preserve">. </w:t>
      </w:r>
      <w:r>
        <w:t>As such</w:t>
      </w:r>
      <w:r w:rsidR="00DE4CCE">
        <w:t xml:space="preserve">, </w:t>
      </w:r>
      <w:r w:rsidR="00B76290" w:rsidRPr="00B76290">
        <w:t xml:space="preserve">the </w:t>
      </w:r>
      <w:r w:rsidR="00926CFF">
        <w:t xml:space="preserve">degree of </w:t>
      </w:r>
      <w:r w:rsidR="00C473A3">
        <w:t>earnings manipulation</w:t>
      </w:r>
      <w:r w:rsidR="00926CFF">
        <w:t xml:space="preserve"> would be </w:t>
      </w:r>
      <w:r w:rsidR="00B76290" w:rsidRPr="00B76290">
        <w:t xml:space="preserve">more </w:t>
      </w:r>
      <w:r w:rsidR="005B79C8">
        <w:t>pronounced</w:t>
      </w:r>
      <w:r w:rsidR="005B79C8">
        <w:rPr>
          <w:rFonts w:hint="eastAsia"/>
        </w:rPr>
        <w:t xml:space="preserve"> </w:t>
      </w:r>
      <w:r w:rsidR="00B76290" w:rsidRPr="00B76290">
        <w:t>(</w:t>
      </w:r>
      <w:r w:rsidR="00221B17">
        <w:t>for example,</w:t>
      </w:r>
      <w:r w:rsidR="00B76290" w:rsidRPr="00B76290">
        <w:t xml:space="preserve"> |</w:t>
      </w:r>
      <w:r w:rsidR="00B76290" w:rsidRPr="0050579C">
        <w:rPr>
          <w:i/>
        </w:rPr>
        <w:t>DA</w:t>
      </w:r>
      <w:r w:rsidR="00B76290" w:rsidRPr="00B76290">
        <w:t xml:space="preserve">| </w:t>
      </w:r>
      <w:r w:rsidR="00926CFF">
        <w:t>would increase</w:t>
      </w:r>
      <w:r w:rsidR="00926CFF" w:rsidRPr="00B76290">
        <w:t xml:space="preserve"> </w:t>
      </w:r>
      <w:r w:rsidR="00B76290" w:rsidRPr="00B76290">
        <w:t xml:space="preserve">from 2% to </w:t>
      </w:r>
      <w:r w:rsidR="00B76290">
        <w:rPr>
          <w:rFonts w:hint="eastAsia"/>
        </w:rPr>
        <w:t>4</w:t>
      </w:r>
      <w:r w:rsidR="00B76290" w:rsidRPr="00B76290">
        <w:t>%)</w:t>
      </w:r>
      <w:r w:rsidR="00DE4CCE" w:rsidRPr="00DE4CCE">
        <w:t xml:space="preserve"> </w:t>
      </w:r>
      <w:r w:rsidR="00DE4CCE">
        <w:t xml:space="preserve">when stock return becomes </w:t>
      </w:r>
      <w:r w:rsidR="00AD4E77">
        <w:t xml:space="preserve">increasingly </w:t>
      </w:r>
      <w:r w:rsidR="00DE4CCE" w:rsidRPr="00B76290">
        <w:t>positive (</w:t>
      </w:r>
      <w:r w:rsidR="00221B17">
        <w:t>for example,</w:t>
      </w:r>
      <w:r w:rsidR="00DE4CCE" w:rsidRPr="00B76290">
        <w:t xml:space="preserve"> </w:t>
      </w:r>
      <w:r w:rsidR="001B6853">
        <w:t xml:space="preserve">increase </w:t>
      </w:r>
      <w:r w:rsidR="00DE4CCE">
        <w:t xml:space="preserve">from </w:t>
      </w:r>
      <w:r w:rsidR="00DE4CCE" w:rsidRPr="00B76290">
        <w:t xml:space="preserve">2% to </w:t>
      </w:r>
      <w:r w:rsidR="00DE4CCE">
        <w:rPr>
          <w:rFonts w:hint="eastAsia"/>
        </w:rPr>
        <w:t>4</w:t>
      </w:r>
      <w:r w:rsidR="00DE4CCE" w:rsidRPr="00B76290">
        <w:t>%)</w:t>
      </w:r>
      <w:r w:rsidR="00B76290" w:rsidRPr="00B76290">
        <w:t>. Th</w:t>
      </w:r>
      <w:r w:rsidR="00DE4CCE">
        <w:t xml:space="preserve">us, we predict that </w:t>
      </w:r>
      <w:r w:rsidR="00926CFF">
        <w:t xml:space="preserve">there is </w:t>
      </w:r>
      <w:r w:rsidR="00B76290" w:rsidRPr="00B76290">
        <w:t xml:space="preserve">a positive </w:t>
      </w:r>
      <w:r w:rsidR="00060B07" w:rsidRPr="008126EB">
        <w:rPr>
          <w:rFonts w:hint="eastAsia"/>
        </w:rPr>
        <w:t>|</w:t>
      </w:r>
      <w:r w:rsidR="00060B07" w:rsidRPr="008126EB">
        <w:rPr>
          <w:i/>
        </w:rPr>
        <w:t>DA</w:t>
      </w:r>
      <w:r w:rsidR="00060B07" w:rsidRPr="008126EB">
        <w:rPr>
          <w:rFonts w:hint="eastAsia"/>
          <w:i/>
        </w:rPr>
        <w:t>|</w:t>
      </w:r>
      <w:r w:rsidR="00060B07">
        <w:t>–</w:t>
      </w:r>
      <w:r w:rsidR="00060B07" w:rsidRPr="008126EB">
        <w:rPr>
          <w:rFonts w:hint="eastAsia"/>
          <w:i/>
        </w:rPr>
        <w:t>RETURN</w:t>
      </w:r>
      <w:r w:rsidR="00060B07" w:rsidRPr="00B76290">
        <w:t xml:space="preserve"> </w:t>
      </w:r>
      <w:r w:rsidR="00B76290" w:rsidRPr="00B76290">
        <w:t xml:space="preserve">relation </w:t>
      </w:r>
      <w:r w:rsidR="00DE4CCE" w:rsidRPr="008126EB">
        <w:t>wh</w:t>
      </w:r>
      <w:r w:rsidR="00DE4CCE">
        <w:t>en</w:t>
      </w:r>
      <w:r w:rsidR="00DE4CCE" w:rsidRPr="008126EB">
        <w:t xml:space="preserve"> firms enjoy positive and higher than average stock returns</w:t>
      </w:r>
      <w:r w:rsidR="00DE4CCE" w:rsidRPr="00B76290">
        <w:t xml:space="preserve"> </w:t>
      </w:r>
      <w:r w:rsidR="00B76290" w:rsidRPr="00B76290">
        <w:t xml:space="preserve">(i.e., an increase in stock return from 2% to </w:t>
      </w:r>
      <w:r w:rsidR="00B76290">
        <w:rPr>
          <w:rFonts w:hint="eastAsia"/>
        </w:rPr>
        <w:t>4</w:t>
      </w:r>
      <w:r w:rsidR="00B76290" w:rsidRPr="00B76290">
        <w:t xml:space="preserve">% </w:t>
      </w:r>
      <w:r w:rsidR="00926CFF">
        <w:t xml:space="preserve">would </w:t>
      </w:r>
      <w:r w:rsidR="00B76290" w:rsidRPr="00B76290">
        <w:t>associate with an increase in |</w:t>
      </w:r>
      <w:r w:rsidR="00B76290" w:rsidRPr="0050579C">
        <w:rPr>
          <w:i/>
        </w:rPr>
        <w:t>DA</w:t>
      </w:r>
      <w:r w:rsidR="00B76290" w:rsidRPr="00B76290">
        <w:t xml:space="preserve">| from 2% to </w:t>
      </w:r>
      <w:r w:rsidR="00B76290">
        <w:rPr>
          <w:rFonts w:hint="eastAsia"/>
        </w:rPr>
        <w:t>4</w:t>
      </w:r>
      <w:r w:rsidR="00B76290" w:rsidRPr="00B76290">
        <w:t>%).</w:t>
      </w:r>
    </w:p>
    <w:p w:rsidR="00164F2B" w:rsidRDefault="008A4783" w:rsidP="00FE1E17">
      <w:pPr>
        <w:widowControl/>
        <w:adjustRightInd w:val="0"/>
        <w:snapToGrid w:val="0"/>
        <w:spacing w:line="288" w:lineRule="auto"/>
        <w:ind w:firstLine="709"/>
        <w:jc w:val="both"/>
      </w:pPr>
      <w:r w:rsidRPr="008A4783">
        <w:lastRenderedPageBreak/>
        <w:t xml:space="preserve">On the other hand, executives may embrace risk-seeking </w:t>
      </w:r>
      <w:r w:rsidR="00561F13">
        <w:t>behavior</w:t>
      </w:r>
      <w:r w:rsidRPr="008A4783">
        <w:t xml:space="preserve"> when suffering from negative and lower than average stock returns. Managing earnings aggressively under this scenario becomes a high-risk strategy because executives may use these tactics to gamble on losses. </w:t>
      </w:r>
      <w:r>
        <w:t>Moreover</w:t>
      </w:r>
      <w:r w:rsidR="00DE4CCE">
        <w:t xml:space="preserve">, </w:t>
      </w:r>
      <w:r w:rsidR="00BE3501">
        <w:t xml:space="preserve">this study </w:t>
      </w:r>
      <w:r>
        <w:t>argue</w:t>
      </w:r>
      <w:r w:rsidR="00BE3501">
        <w:t>s</w:t>
      </w:r>
      <w:r>
        <w:t xml:space="preserve"> that </w:t>
      </w:r>
      <w:r w:rsidR="00DE4CCE" w:rsidRPr="00B76290">
        <w:t>the</w:t>
      </w:r>
      <w:r w:rsidR="00DE4CCE">
        <w:t xml:space="preserve"> degree of earnings </w:t>
      </w:r>
      <w:r w:rsidR="00F87804">
        <w:t xml:space="preserve">manipulation </w:t>
      </w:r>
      <w:r w:rsidR="00DE4CCE">
        <w:t xml:space="preserve">would increase </w:t>
      </w:r>
      <w:r w:rsidR="00DE4CCE" w:rsidRPr="00B76290">
        <w:t>(</w:t>
      </w:r>
      <w:r w:rsidR="00221B17">
        <w:t>for example,</w:t>
      </w:r>
      <w:r w:rsidR="00DE4CCE" w:rsidRPr="00B76290">
        <w:t xml:space="preserve"> |</w:t>
      </w:r>
      <w:r w:rsidR="00DE4CCE" w:rsidRPr="00164F2B">
        <w:rPr>
          <w:i/>
        </w:rPr>
        <w:t>DA</w:t>
      </w:r>
      <w:r w:rsidR="00DE4CCE" w:rsidRPr="00B76290">
        <w:t xml:space="preserve">| </w:t>
      </w:r>
      <w:r w:rsidR="00DE4CCE">
        <w:t>would go up</w:t>
      </w:r>
      <w:r w:rsidR="00DE4CCE" w:rsidRPr="00B76290">
        <w:t xml:space="preserve"> from 2% to </w:t>
      </w:r>
      <w:r w:rsidR="00DE4CCE">
        <w:rPr>
          <w:rFonts w:hint="eastAsia"/>
        </w:rPr>
        <w:t>4</w:t>
      </w:r>
      <w:r w:rsidR="00DE4CCE" w:rsidRPr="00B76290">
        <w:t>%)</w:t>
      </w:r>
      <w:r w:rsidR="00DE4CCE">
        <w:t xml:space="preserve"> when </w:t>
      </w:r>
      <w:r w:rsidR="0050579C">
        <w:t xml:space="preserve">stock returns become more </w:t>
      </w:r>
      <w:r w:rsidR="00B76290" w:rsidRPr="00B76290">
        <w:t>negative (</w:t>
      </w:r>
      <w:r w:rsidR="00221B17">
        <w:t>for example,</w:t>
      </w:r>
      <w:r w:rsidR="00B76290" w:rsidRPr="00B76290">
        <w:t xml:space="preserve"> </w:t>
      </w:r>
      <w:r w:rsidR="001B6853">
        <w:t xml:space="preserve">drop </w:t>
      </w:r>
      <w:r w:rsidR="0050579C">
        <w:t xml:space="preserve">from </w:t>
      </w:r>
      <w:r w:rsidR="00B76290" w:rsidRPr="00B76290">
        <w:t>-2% to -</w:t>
      </w:r>
      <w:r w:rsidR="00B76290">
        <w:rPr>
          <w:rFonts w:hint="eastAsia"/>
        </w:rPr>
        <w:t>4</w:t>
      </w:r>
      <w:r w:rsidR="00B76290" w:rsidRPr="00B76290">
        <w:t xml:space="preserve">%). </w:t>
      </w:r>
      <w:r w:rsidR="00F70AC7">
        <w:t>Following these logics</w:t>
      </w:r>
      <w:r w:rsidR="0050579C" w:rsidRPr="00B76290">
        <w:t xml:space="preserve">, </w:t>
      </w:r>
      <w:r w:rsidR="0050579C">
        <w:t xml:space="preserve">we </w:t>
      </w:r>
      <w:r w:rsidR="00F70AC7">
        <w:t xml:space="preserve">anticipate </w:t>
      </w:r>
      <w:r w:rsidR="0050579C">
        <w:t xml:space="preserve">that there is </w:t>
      </w:r>
      <w:r w:rsidR="0050579C" w:rsidRPr="00B76290">
        <w:t xml:space="preserve">a </w:t>
      </w:r>
      <w:r w:rsidR="0050579C">
        <w:t>negative</w:t>
      </w:r>
      <w:r w:rsidR="0050579C" w:rsidRPr="00B76290">
        <w:t xml:space="preserve"> </w:t>
      </w:r>
      <w:r w:rsidR="00060B07" w:rsidRPr="008126EB">
        <w:rPr>
          <w:rFonts w:hint="eastAsia"/>
        </w:rPr>
        <w:t>|</w:t>
      </w:r>
      <w:r w:rsidR="00060B07" w:rsidRPr="008126EB">
        <w:rPr>
          <w:i/>
        </w:rPr>
        <w:t>DA</w:t>
      </w:r>
      <w:r w:rsidR="00060B07" w:rsidRPr="008126EB">
        <w:rPr>
          <w:rFonts w:hint="eastAsia"/>
          <w:i/>
        </w:rPr>
        <w:t>|</w:t>
      </w:r>
      <w:r w:rsidR="00060B07">
        <w:t>–</w:t>
      </w:r>
      <w:r w:rsidR="00060B07" w:rsidRPr="008126EB">
        <w:rPr>
          <w:rFonts w:hint="eastAsia"/>
          <w:i/>
        </w:rPr>
        <w:t>RETURN</w:t>
      </w:r>
      <w:r w:rsidR="00060B07" w:rsidRPr="00B76290">
        <w:t xml:space="preserve"> </w:t>
      </w:r>
      <w:r w:rsidR="0050579C" w:rsidRPr="00B76290">
        <w:t>relation</w:t>
      </w:r>
      <w:r w:rsidR="001B6853" w:rsidRPr="001B6853">
        <w:t xml:space="preserve"> </w:t>
      </w:r>
      <w:r w:rsidR="001B6853" w:rsidRPr="008126EB">
        <w:t>wh</w:t>
      </w:r>
      <w:r w:rsidR="001B6853">
        <w:t>en</w:t>
      </w:r>
      <w:r w:rsidR="001B6853" w:rsidRPr="008126EB">
        <w:t xml:space="preserve"> firms </w:t>
      </w:r>
      <w:r w:rsidR="001B6853">
        <w:t xml:space="preserve">suffer from negative and lower </w:t>
      </w:r>
      <w:r w:rsidR="001B6853" w:rsidRPr="008126EB">
        <w:t>than average stock returns</w:t>
      </w:r>
      <w:r w:rsidR="0050579C" w:rsidRPr="00B76290">
        <w:t xml:space="preserve"> </w:t>
      </w:r>
      <w:r w:rsidR="0050579C">
        <w:t xml:space="preserve">(i.e., a decrease </w:t>
      </w:r>
      <w:r w:rsidR="0050579C" w:rsidRPr="00B76290">
        <w:t>in stock return from</w:t>
      </w:r>
      <w:r w:rsidR="00B667B8">
        <w:rPr>
          <w:rFonts w:hint="eastAsia"/>
        </w:rPr>
        <w:t xml:space="preserve"> </w:t>
      </w:r>
      <w:r w:rsidR="0050579C">
        <w:t>-</w:t>
      </w:r>
      <w:r w:rsidR="0050579C" w:rsidRPr="00B76290">
        <w:t xml:space="preserve">2% to </w:t>
      </w:r>
      <w:r w:rsidR="0050579C">
        <w:t>-</w:t>
      </w:r>
      <w:r w:rsidR="0050579C">
        <w:rPr>
          <w:rFonts w:hint="eastAsia"/>
        </w:rPr>
        <w:t>4</w:t>
      </w:r>
      <w:r w:rsidR="0050579C" w:rsidRPr="00B76290">
        <w:t xml:space="preserve">% </w:t>
      </w:r>
      <w:r w:rsidR="0050579C">
        <w:t xml:space="preserve">would </w:t>
      </w:r>
      <w:r w:rsidR="0050579C" w:rsidRPr="00B76290">
        <w:t>associate with an increase in |</w:t>
      </w:r>
      <w:r w:rsidR="0050579C" w:rsidRPr="0050579C">
        <w:rPr>
          <w:i/>
        </w:rPr>
        <w:t>DA</w:t>
      </w:r>
      <w:r w:rsidR="0050579C" w:rsidRPr="00B76290">
        <w:t xml:space="preserve">| from 2% to </w:t>
      </w:r>
      <w:r w:rsidR="0050579C">
        <w:rPr>
          <w:rFonts w:hint="eastAsia"/>
        </w:rPr>
        <w:t>4</w:t>
      </w:r>
      <w:r w:rsidR="0050579C" w:rsidRPr="00B76290">
        <w:t>%).</w:t>
      </w:r>
    </w:p>
    <w:p w:rsidR="00403A8F" w:rsidRDefault="00403A8F" w:rsidP="00FE1E17">
      <w:pPr>
        <w:widowControl/>
        <w:adjustRightInd w:val="0"/>
        <w:snapToGrid w:val="0"/>
        <w:spacing w:line="288" w:lineRule="auto"/>
        <w:ind w:firstLine="709"/>
        <w:jc w:val="both"/>
      </w:pPr>
    </w:p>
    <w:p w:rsidR="00691B4A" w:rsidRDefault="007B1526" w:rsidP="00FE1E17">
      <w:pPr>
        <w:widowControl/>
        <w:adjustRightInd w:val="0"/>
        <w:snapToGrid w:val="0"/>
        <w:spacing w:line="288" w:lineRule="auto"/>
        <w:ind w:firstLine="709"/>
        <w:jc w:val="both"/>
      </w:pPr>
      <w:r>
        <w:t>Comparing</w:t>
      </w:r>
      <w:r w:rsidR="00164F2B">
        <w:t xml:space="preserve"> to </w:t>
      </w:r>
      <w:r w:rsidR="00BE3501">
        <w:t xml:space="preserve">scenarios </w:t>
      </w:r>
      <w:r>
        <w:t>in the tail regions of stock returns</w:t>
      </w:r>
      <w:r w:rsidR="00164F2B">
        <w:t xml:space="preserve">, </w:t>
      </w:r>
      <w:r w:rsidR="00561F13">
        <w:t>executives</w:t>
      </w:r>
      <w:r w:rsidR="001B6853">
        <w:t xml:space="preserve"> working for firms </w:t>
      </w:r>
      <w:r w:rsidR="00B76290" w:rsidRPr="00B76290">
        <w:t>experiencing close-to-zero stock return</w:t>
      </w:r>
      <w:r w:rsidR="00164F2B">
        <w:t xml:space="preserve">s are unlikely to </w:t>
      </w:r>
      <w:r w:rsidR="001B6853">
        <w:t xml:space="preserve">engage in </w:t>
      </w:r>
      <w:r w:rsidR="00164F2B">
        <w:t xml:space="preserve">high </w:t>
      </w:r>
      <w:r w:rsidR="00AF70F1">
        <w:t>degree</w:t>
      </w:r>
      <w:r w:rsidR="00164F2B">
        <w:t xml:space="preserve"> of </w:t>
      </w:r>
      <w:r w:rsidR="002B608F">
        <w:t xml:space="preserve">income </w:t>
      </w:r>
      <w:r w:rsidR="00AF70F1">
        <w:t>manipulation</w:t>
      </w:r>
      <w:r w:rsidR="00164F2B">
        <w:t xml:space="preserve">. Therefore, </w:t>
      </w:r>
      <w:r w:rsidR="00F70AC7">
        <w:t xml:space="preserve">we expect </w:t>
      </w:r>
      <w:r>
        <w:t xml:space="preserve">that </w:t>
      </w:r>
      <w:r w:rsidR="00164F2B" w:rsidRPr="008126EB">
        <w:rPr>
          <w:rFonts w:hint="eastAsia"/>
        </w:rPr>
        <w:t>|</w:t>
      </w:r>
      <w:r w:rsidR="00164F2B" w:rsidRPr="008126EB">
        <w:rPr>
          <w:i/>
        </w:rPr>
        <w:t>DA</w:t>
      </w:r>
      <w:r w:rsidR="00164F2B" w:rsidRPr="008126EB">
        <w:rPr>
          <w:rFonts w:hint="eastAsia"/>
          <w:i/>
        </w:rPr>
        <w:t>|</w:t>
      </w:r>
      <w:r w:rsidR="00164F2B">
        <w:t>–</w:t>
      </w:r>
      <w:r w:rsidR="00164F2B" w:rsidRPr="008126EB">
        <w:rPr>
          <w:rFonts w:hint="eastAsia"/>
          <w:i/>
        </w:rPr>
        <w:t>RETURN</w:t>
      </w:r>
      <w:r w:rsidR="00164F2B">
        <w:t xml:space="preserve"> </w:t>
      </w:r>
      <w:r w:rsidR="00164F2B" w:rsidRPr="008126EB">
        <w:rPr>
          <w:kern w:val="0"/>
        </w:rPr>
        <w:t>relation</w:t>
      </w:r>
      <w:r w:rsidR="00164F2B">
        <w:rPr>
          <w:kern w:val="0"/>
        </w:rPr>
        <w:t xml:space="preserve"> would not be evident</w:t>
      </w:r>
      <w:r w:rsidR="001B6853">
        <w:rPr>
          <w:kern w:val="0"/>
        </w:rPr>
        <w:t xml:space="preserve"> </w:t>
      </w:r>
      <w:r w:rsidR="002B608F">
        <w:rPr>
          <w:kern w:val="0"/>
        </w:rPr>
        <w:t>in the central region of stock returns distribution</w:t>
      </w:r>
      <w:r w:rsidR="00561F13">
        <w:rPr>
          <w:kern w:val="0"/>
        </w:rPr>
        <w:t xml:space="preserve"> </w:t>
      </w:r>
      <w:r w:rsidR="00BE3501">
        <w:rPr>
          <w:kern w:val="0"/>
        </w:rPr>
        <w:t xml:space="preserve">since </w:t>
      </w:r>
      <w:r w:rsidR="002B608F">
        <w:t xml:space="preserve">executives </w:t>
      </w:r>
      <w:r w:rsidR="00561F13">
        <w:t xml:space="preserve">probably </w:t>
      </w:r>
      <w:r w:rsidR="002B608F">
        <w:t xml:space="preserve">would become </w:t>
      </w:r>
      <w:r w:rsidR="002B608F">
        <w:rPr>
          <w:rFonts w:hint="eastAsia"/>
        </w:rPr>
        <w:t>risk-</w:t>
      </w:r>
      <w:r w:rsidR="002B608F">
        <w:t>natural</w:t>
      </w:r>
      <w:r w:rsidR="00BE3501">
        <w:t>. Thus, they</w:t>
      </w:r>
      <w:r w:rsidR="002B608F">
        <w:rPr>
          <w:rFonts w:hint="eastAsia"/>
        </w:rPr>
        <w:t xml:space="preserve"> </w:t>
      </w:r>
      <w:r w:rsidR="002B608F">
        <w:t>may</w:t>
      </w:r>
      <w:r w:rsidR="00F70AC7">
        <w:t xml:space="preserve"> not </w:t>
      </w:r>
      <w:r w:rsidR="001B6853">
        <w:t xml:space="preserve">manage </w:t>
      </w:r>
      <w:r>
        <w:t xml:space="preserve">the reported </w:t>
      </w:r>
      <w:r w:rsidR="00B76290" w:rsidRPr="00B76290">
        <w:t>earnings</w:t>
      </w:r>
      <w:r w:rsidR="00F70AC7" w:rsidRPr="00F70AC7">
        <w:t xml:space="preserve"> </w:t>
      </w:r>
      <w:r w:rsidR="00F70AC7">
        <w:t>aggressively</w:t>
      </w:r>
      <w:r w:rsidR="00B76290" w:rsidRPr="00B76290">
        <w:t xml:space="preserve">. </w:t>
      </w:r>
      <w:r w:rsidR="002B608F">
        <w:t>Taking these discussions together, firm</w:t>
      </w:r>
      <w:r>
        <w:t xml:space="preserve"> </w:t>
      </w:r>
      <w:r w:rsidR="00691B4A" w:rsidRPr="008126EB">
        <w:rPr>
          <w:rFonts w:hint="eastAsia"/>
        </w:rPr>
        <w:t xml:space="preserve">executives </w:t>
      </w:r>
      <w:r w:rsidR="00691B4A" w:rsidRPr="008126EB">
        <w:t xml:space="preserve">may leverage </w:t>
      </w:r>
      <w:r w:rsidR="00C473A3">
        <w:rPr>
          <w:rFonts w:hint="eastAsia"/>
        </w:rPr>
        <w:t>earnings manipulation</w:t>
      </w:r>
      <w:r w:rsidR="00691B4A" w:rsidRPr="008126EB">
        <w:rPr>
          <w:rFonts w:hint="eastAsia"/>
        </w:rPr>
        <w:t xml:space="preserve"> </w:t>
      </w:r>
      <w:r w:rsidR="00F71DFC">
        <w:t xml:space="preserve">either </w:t>
      </w:r>
      <w:r w:rsidR="00691B4A" w:rsidRPr="008126EB">
        <w:t>to</w:t>
      </w:r>
      <w:r w:rsidR="00691B4A" w:rsidRPr="008126EB">
        <w:rPr>
          <w:rFonts w:hint="eastAsia"/>
        </w:rPr>
        <w:t xml:space="preserve"> </w:t>
      </w:r>
      <w:r w:rsidR="000035F1" w:rsidRPr="008126EB">
        <w:t>preserve</w:t>
      </w:r>
      <w:r w:rsidR="00691B4A" w:rsidRPr="008126EB">
        <w:rPr>
          <w:rFonts w:hint="eastAsia"/>
        </w:rPr>
        <w:t xml:space="preserve"> gains or </w:t>
      </w:r>
      <w:r w:rsidR="000035F1" w:rsidRPr="008126EB">
        <w:t xml:space="preserve">to </w:t>
      </w:r>
      <w:r w:rsidR="00691B4A" w:rsidRPr="008126EB">
        <w:rPr>
          <w:rFonts w:hint="eastAsia"/>
        </w:rPr>
        <w:t>gamble on losses</w:t>
      </w:r>
      <w:r w:rsidR="002B608F">
        <w:t xml:space="preserve"> </w:t>
      </w:r>
      <w:r w:rsidR="00691B4A" w:rsidRPr="008126EB">
        <w:t xml:space="preserve">and extent of </w:t>
      </w:r>
      <w:r w:rsidR="002B608F">
        <w:t xml:space="preserve">such </w:t>
      </w:r>
      <w:r w:rsidR="00691B4A" w:rsidRPr="008126EB">
        <w:t xml:space="preserve">manipulation </w:t>
      </w:r>
      <w:r w:rsidR="002B608F">
        <w:t xml:space="preserve">may </w:t>
      </w:r>
      <w:r w:rsidR="001B6853">
        <w:t>associate with</w:t>
      </w:r>
      <w:r w:rsidR="00691B4A" w:rsidRPr="008126EB">
        <w:rPr>
          <w:rFonts w:hint="eastAsia"/>
        </w:rPr>
        <w:t xml:space="preserve"> </w:t>
      </w:r>
      <w:r w:rsidR="00691B4A" w:rsidRPr="008126EB">
        <w:t>firm</w:t>
      </w:r>
      <w:r w:rsidR="00F71DFC">
        <w:t>’s</w:t>
      </w:r>
      <w:r w:rsidR="00691B4A" w:rsidRPr="008126EB">
        <w:t xml:space="preserve"> stock </w:t>
      </w:r>
      <w:r w:rsidR="00691B4A" w:rsidRPr="008126EB">
        <w:rPr>
          <w:rFonts w:hint="eastAsia"/>
        </w:rPr>
        <w:t>return</w:t>
      </w:r>
      <w:r w:rsidR="00691B4A" w:rsidRPr="008126EB">
        <w:t>s</w:t>
      </w:r>
      <w:r w:rsidR="003D0273">
        <w:t xml:space="preserve">. </w:t>
      </w:r>
      <w:r w:rsidR="00A614BF">
        <w:t>S</w:t>
      </w:r>
      <w:r w:rsidR="003D0273">
        <w:t xml:space="preserve">pecifically, </w:t>
      </w:r>
      <w:r w:rsidR="0016394A">
        <w:t xml:space="preserve">the </w:t>
      </w:r>
      <w:r w:rsidR="0016394A" w:rsidRPr="008126EB">
        <w:rPr>
          <w:rFonts w:hint="eastAsia"/>
        </w:rPr>
        <w:t>|</w:t>
      </w:r>
      <w:r w:rsidR="0016394A" w:rsidRPr="008126EB">
        <w:rPr>
          <w:i/>
        </w:rPr>
        <w:t>DA</w:t>
      </w:r>
      <w:r w:rsidR="0016394A" w:rsidRPr="008126EB">
        <w:rPr>
          <w:rFonts w:hint="eastAsia"/>
          <w:i/>
        </w:rPr>
        <w:t>|</w:t>
      </w:r>
      <w:r w:rsidR="0016394A">
        <w:t>–</w:t>
      </w:r>
      <w:r w:rsidR="0016394A" w:rsidRPr="008126EB">
        <w:rPr>
          <w:rFonts w:hint="eastAsia"/>
          <w:i/>
        </w:rPr>
        <w:t>RETURN</w:t>
      </w:r>
      <w:r w:rsidR="0016394A">
        <w:t xml:space="preserve"> </w:t>
      </w:r>
      <w:r w:rsidR="0016394A" w:rsidRPr="008126EB">
        <w:rPr>
          <w:kern w:val="0"/>
        </w:rPr>
        <w:t>relation</w:t>
      </w:r>
      <w:r w:rsidR="0016394A" w:rsidDel="0016394A">
        <w:t xml:space="preserve"> </w:t>
      </w:r>
      <w:r w:rsidR="005B79C8">
        <w:rPr>
          <w:rFonts w:hint="eastAsia"/>
        </w:rPr>
        <w:t xml:space="preserve">is positive (negative) when the </w:t>
      </w:r>
      <w:r w:rsidR="0016394A">
        <w:t>stock return</w:t>
      </w:r>
      <w:r w:rsidR="0016394A">
        <w:rPr>
          <w:rFonts w:hint="eastAsia"/>
        </w:rPr>
        <w:t xml:space="preserve"> </w:t>
      </w:r>
      <w:r w:rsidR="005B79C8">
        <w:rPr>
          <w:rFonts w:hint="eastAsia"/>
        </w:rPr>
        <w:t xml:space="preserve">is high and positive (low and negative). </w:t>
      </w:r>
      <w:r w:rsidR="00BE3501">
        <w:t xml:space="preserve">Because </w:t>
      </w:r>
      <w:r w:rsidR="00A614BF">
        <w:t xml:space="preserve">the predicted </w:t>
      </w:r>
      <w:r w:rsidR="00A614BF" w:rsidRPr="008D4DB6">
        <w:rPr>
          <w:i/>
          <w:iCs/>
        </w:rPr>
        <w:t>|DA|–RETURN</w:t>
      </w:r>
      <w:r w:rsidR="00A614BF" w:rsidRPr="001A0D7D">
        <w:t xml:space="preserve"> </w:t>
      </w:r>
      <w:r w:rsidR="00A614BF">
        <w:t xml:space="preserve">relation is </w:t>
      </w:r>
      <w:r w:rsidR="001A0D7D">
        <w:t>non-uniform</w:t>
      </w:r>
      <w:r w:rsidR="00A614BF" w:rsidRPr="00A614BF">
        <w:t xml:space="preserve">, </w:t>
      </w:r>
      <w:r w:rsidR="000935A5" w:rsidRPr="00E70F90">
        <w:rPr>
          <w:iCs/>
        </w:rPr>
        <w:t>the association between these two elements</w:t>
      </w:r>
      <w:r w:rsidR="00A614BF">
        <w:rPr>
          <w:i/>
          <w:iCs/>
        </w:rPr>
        <w:t xml:space="preserve"> </w:t>
      </w:r>
      <w:r w:rsidR="00136563">
        <w:t xml:space="preserve">is consistent with </w:t>
      </w:r>
      <w:r w:rsidR="002B608F">
        <w:t xml:space="preserve">what has been outlined in </w:t>
      </w:r>
      <w:r w:rsidR="00136563">
        <w:t xml:space="preserve">the prospect theory. </w:t>
      </w:r>
    </w:p>
    <w:p w:rsidR="00403A8F" w:rsidRPr="008126EB" w:rsidRDefault="00403A8F" w:rsidP="00FE1E17">
      <w:pPr>
        <w:widowControl/>
        <w:adjustRightInd w:val="0"/>
        <w:snapToGrid w:val="0"/>
        <w:spacing w:line="288" w:lineRule="auto"/>
        <w:ind w:firstLine="709"/>
        <w:jc w:val="both"/>
      </w:pPr>
    </w:p>
    <w:p w:rsidR="00691B4A" w:rsidRPr="008126EB" w:rsidRDefault="00691B4A" w:rsidP="00FE1E17">
      <w:pPr>
        <w:keepNext/>
        <w:widowControl/>
        <w:adjustRightInd w:val="0"/>
        <w:snapToGrid w:val="0"/>
        <w:spacing w:line="288" w:lineRule="auto"/>
        <w:rPr>
          <w:b/>
        </w:rPr>
      </w:pPr>
      <w:r w:rsidRPr="008126EB">
        <w:rPr>
          <w:b/>
        </w:rPr>
        <w:t xml:space="preserve">3. </w:t>
      </w:r>
      <w:r w:rsidR="005E1B83">
        <w:rPr>
          <w:b/>
        </w:rPr>
        <w:t xml:space="preserve"> </w:t>
      </w:r>
      <w:r w:rsidRPr="004E4307">
        <w:rPr>
          <w:rFonts w:hint="eastAsia"/>
          <w:b/>
        </w:rPr>
        <w:t>Econometric</w:t>
      </w:r>
      <w:r w:rsidR="000F47F0">
        <w:rPr>
          <w:b/>
        </w:rPr>
        <w:t xml:space="preserve"> M</w:t>
      </w:r>
      <w:r w:rsidRPr="008126EB">
        <w:rPr>
          <w:b/>
        </w:rPr>
        <w:t>odels</w:t>
      </w:r>
    </w:p>
    <w:p w:rsidR="000F47F0" w:rsidRPr="000F47F0" w:rsidRDefault="000F47F0" w:rsidP="00403A8F">
      <w:pPr>
        <w:widowControl/>
        <w:adjustRightInd w:val="0"/>
        <w:snapToGrid w:val="0"/>
        <w:spacing w:line="288" w:lineRule="auto"/>
        <w:jc w:val="both"/>
        <w:rPr>
          <w:sz w:val="12"/>
          <w:szCs w:val="12"/>
        </w:rPr>
      </w:pPr>
    </w:p>
    <w:p w:rsidR="003E43FA" w:rsidRDefault="00284BAF" w:rsidP="00403A8F">
      <w:pPr>
        <w:widowControl/>
        <w:adjustRightInd w:val="0"/>
        <w:snapToGrid w:val="0"/>
        <w:spacing w:line="288" w:lineRule="auto"/>
        <w:jc w:val="both"/>
      </w:pPr>
      <w:r>
        <w:t>T</w:t>
      </w:r>
      <w:r w:rsidRPr="008126EB">
        <w:t xml:space="preserve">o </w:t>
      </w:r>
      <w:r w:rsidR="00962012">
        <w:t>test</w:t>
      </w:r>
      <w:r w:rsidRPr="008126EB">
        <w:t xml:space="preserve"> </w:t>
      </w:r>
      <w:r w:rsidR="00215FF9">
        <w:t xml:space="preserve">the </w:t>
      </w:r>
      <w:r w:rsidR="00136563">
        <w:t xml:space="preserve">non-uniform </w:t>
      </w:r>
      <w:r w:rsidR="00215FF9" w:rsidRPr="008126EB">
        <w:rPr>
          <w:rFonts w:hint="eastAsia"/>
        </w:rPr>
        <w:t>|</w:t>
      </w:r>
      <w:r w:rsidR="00215FF9" w:rsidRPr="008126EB">
        <w:rPr>
          <w:i/>
        </w:rPr>
        <w:t>DA</w:t>
      </w:r>
      <w:r w:rsidR="00215FF9" w:rsidRPr="008126EB">
        <w:rPr>
          <w:rFonts w:hint="eastAsia"/>
          <w:i/>
        </w:rPr>
        <w:t>|</w:t>
      </w:r>
      <w:r w:rsidR="00215FF9">
        <w:t>–</w:t>
      </w:r>
      <w:r w:rsidR="00215FF9" w:rsidRPr="008126EB">
        <w:rPr>
          <w:rFonts w:hint="eastAsia"/>
          <w:i/>
        </w:rPr>
        <w:t>RETURN</w:t>
      </w:r>
      <w:r w:rsidR="00215FF9">
        <w:t xml:space="preserve"> </w:t>
      </w:r>
      <w:r w:rsidR="00215FF9" w:rsidRPr="008126EB">
        <w:rPr>
          <w:kern w:val="0"/>
        </w:rPr>
        <w:t>relation</w:t>
      </w:r>
      <w:r w:rsidR="00962012">
        <w:rPr>
          <w:kern w:val="0"/>
        </w:rPr>
        <w:t xml:space="preserve"> across different </w:t>
      </w:r>
      <w:r w:rsidR="003E6D69">
        <w:rPr>
          <w:kern w:val="0"/>
        </w:rPr>
        <w:t xml:space="preserve">regions </w:t>
      </w:r>
      <w:r w:rsidR="00962012">
        <w:rPr>
          <w:kern w:val="0"/>
        </w:rPr>
        <w:t>of stock returns</w:t>
      </w:r>
      <w:r w:rsidR="000035F1" w:rsidRPr="008126EB">
        <w:t xml:space="preserve">, </w:t>
      </w:r>
      <w:r w:rsidR="00691B4A" w:rsidRPr="008126EB">
        <w:t xml:space="preserve">researchers </w:t>
      </w:r>
      <w:r w:rsidR="003E6D69">
        <w:t>have adopted</w:t>
      </w:r>
      <w:r w:rsidR="00691B4A" w:rsidRPr="008126EB">
        <w:t xml:space="preserve"> a two-step estimate procedure. </w:t>
      </w:r>
      <w:r w:rsidR="004E4307">
        <w:t xml:space="preserve">This </w:t>
      </w:r>
      <w:r w:rsidR="00691B4A" w:rsidRPr="008126EB">
        <w:t>procedure</w:t>
      </w:r>
      <w:r w:rsidR="004E4307">
        <w:t xml:space="preserve"> allows </w:t>
      </w:r>
      <w:r w:rsidR="00691B4A" w:rsidRPr="008126EB">
        <w:t>researchers to partition the entire pool of samples</w:t>
      </w:r>
      <w:r w:rsidR="003E6D69">
        <w:t xml:space="preserve"> </w:t>
      </w:r>
      <w:r w:rsidR="00691B4A" w:rsidRPr="008126EB">
        <w:t xml:space="preserve">according to the </w:t>
      </w:r>
      <w:r w:rsidR="00962012">
        <w:t xml:space="preserve">magnitude (or sign) </w:t>
      </w:r>
      <w:r w:rsidR="00691B4A" w:rsidRPr="008126EB">
        <w:t xml:space="preserve">of </w:t>
      </w:r>
      <w:r w:rsidR="00691B4A" w:rsidRPr="008126EB">
        <w:rPr>
          <w:rFonts w:hint="eastAsia"/>
        </w:rPr>
        <w:t>stock return</w:t>
      </w:r>
      <w:r w:rsidR="00691B4A" w:rsidRPr="008126EB">
        <w:t>s</w:t>
      </w:r>
      <w:r w:rsidR="003E6D69">
        <w:t xml:space="preserve"> and then </w:t>
      </w:r>
      <w:r w:rsidR="00962012">
        <w:t xml:space="preserve">apply the OLS or LAD to each partitioned segment </w:t>
      </w:r>
      <w:r w:rsidR="003E6D69">
        <w:t xml:space="preserve">in order to make a </w:t>
      </w:r>
      <w:r w:rsidR="00962012">
        <w:t xml:space="preserve">comparative analysis among different data groups. </w:t>
      </w:r>
      <w:r w:rsidR="003E6D69">
        <w:t>T</w:t>
      </w:r>
      <w:r w:rsidR="00962012" w:rsidRPr="00962012">
        <w:t>h</w:t>
      </w:r>
      <w:r w:rsidR="003E6D69">
        <w:t xml:space="preserve">is </w:t>
      </w:r>
      <w:r w:rsidR="00962012">
        <w:t xml:space="preserve">exogenous data </w:t>
      </w:r>
      <w:r w:rsidR="00962012" w:rsidRPr="00962012">
        <w:t>partition</w:t>
      </w:r>
      <w:r w:rsidR="00962012">
        <w:t xml:space="preserve">ing process </w:t>
      </w:r>
      <w:r w:rsidR="00962012" w:rsidRPr="00962012">
        <w:t xml:space="preserve">may </w:t>
      </w:r>
      <w:r w:rsidR="00690DBE">
        <w:t xml:space="preserve">lead to </w:t>
      </w:r>
      <w:r w:rsidR="00962012" w:rsidRPr="00962012">
        <w:t xml:space="preserve">invalid </w:t>
      </w:r>
      <w:r w:rsidR="00690DBE">
        <w:t>outcome</w:t>
      </w:r>
      <w:r w:rsidR="00962012" w:rsidRPr="00962012">
        <w:t xml:space="preserve">s </w:t>
      </w:r>
      <w:r w:rsidR="00690DBE">
        <w:t xml:space="preserve">driven by </w:t>
      </w:r>
      <w:r w:rsidR="00962012">
        <w:t xml:space="preserve">the </w:t>
      </w:r>
      <w:r w:rsidR="00690DBE">
        <w:t>“</w:t>
      </w:r>
      <w:r w:rsidR="00962012" w:rsidRPr="00962012">
        <w:t>truncat</w:t>
      </w:r>
      <w:r w:rsidR="00690DBE">
        <w:t>ed</w:t>
      </w:r>
      <w:r w:rsidR="00690DBE" w:rsidRPr="00690DBE">
        <w:t xml:space="preserve"> </w:t>
      </w:r>
      <w:r w:rsidR="00690DBE" w:rsidRPr="00962012">
        <w:t>sample</w:t>
      </w:r>
      <w:r w:rsidR="00690DBE">
        <w:t>s</w:t>
      </w:r>
      <w:r w:rsidR="00962012" w:rsidRPr="00962012">
        <w:t>”</w:t>
      </w:r>
      <w:r w:rsidR="00962012">
        <w:t xml:space="preserve"> </w:t>
      </w:r>
      <w:r w:rsidR="00690DBE">
        <w:t>issue</w:t>
      </w:r>
      <w:r w:rsidR="003E6D69">
        <w:t xml:space="preserve"> (</w:t>
      </w:r>
      <w:r w:rsidR="00962012" w:rsidRPr="00962012">
        <w:t>Heckman 1979).</w:t>
      </w:r>
      <w:r w:rsidR="00962012">
        <w:t xml:space="preserve"> </w:t>
      </w:r>
      <w:r w:rsidR="003E6D69">
        <w:t>In this study, w</w:t>
      </w:r>
      <w:r w:rsidR="003E6D69">
        <w:rPr>
          <w:rFonts w:hint="eastAsia"/>
        </w:rPr>
        <w:t xml:space="preserve">e </w:t>
      </w:r>
      <w:r w:rsidR="009975CC">
        <w:rPr>
          <w:rFonts w:hint="eastAsia"/>
        </w:rPr>
        <w:t xml:space="preserve">argue </w:t>
      </w:r>
      <w:r w:rsidR="00930C0E">
        <w:t xml:space="preserve">that </w:t>
      </w:r>
      <w:r w:rsidR="00FE4306">
        <w:t xml:space="preserve">the </w:t>
      </w:r>
      <w:r w:rsidR="00FE4306" w:rsidRPr="008126EB">
        <w:rPr>
          <w:rFonts w:hint="eastAsia"/>
        </w:rPr>
        <w:t>|</w:t>
      </w:r>
      <w:r w:rsidR="00FE4306" w:rsidRPr="008126EB">
        <w:rPr>
          <w:i/>
        </w:rPr>
        <w:t>DA</w:t>
      </w:r>
      <w:r w:rsidR="00FE4306" w:rsidRPr="008126EB">
        <w:rPr>
          <w:rFonts w:hint="eastAsia"/>
          <w:i/>
        </w:rPr>
        <w:t>|</w:t>
      </w:r>
      <w:r w:rsidR="00FE4306">
        <w:t>–</w:t>
      </w:r>
      <w:r w:rsidR="00FE4306" w:rsidRPr="008126EB">
        <w:rPr>
          <w:rFonts w:hint="eastAsia"/>
          <w:i/>
        </w:rPr>
        <w:t>RETURN</w:t>
      </w:r>
      <w:r w:rsidR="00FE4306">
        <w:t xml:space="preserve"> </w:t>
      </w:r>
      <w:r w:rsidR="00FE4306" w:rsidRPr="008126EB">
        <w:rPr>
          <w:kern w:val="0"/>
        </w:rPr>
        <w:t>relation</w:t>
      </w:r>
      <w:r w:rsidR="00691B4A" w:rsidRPr="008126EB">
        <w:t xml:space="preserve"> should be analyzed </w:t>
      </w:r>
      <w:r w:rsidR="00690DBE">
        <w:t xml:space="preserve">by </w:t>
      </w:r>
      <w:r w:rsidR="00690DBE" w:rsidRPr="008126EB">
        <w:t>segment</w:t>
      </w:r>
      <w:r w:rsidR="00690DBE">
        <w:t xml:space="preserve">ing samples </w:t>
      </w:r>
      <w:r w:rsidR="003E2959">
        <w:t xml:space="preserve">and </w:t>
      </w:r>
      <w:r w:rsidR="00691B4A" w:rsidRPr="008126EB">
        <w:t xml:space="preserve">such </w:t>
      </w:r>
      <w:r w:rsidR="0096395E" w:rsidRPr="008126EB">
        <w:t xml:space="preserve">a </w:t>
      </w:r>
      <w:r w:rsidR="00691B4A" w:rsidRPr="008126EB">
        <w:t>relation is conditional on rise</w:t>
      </w:r>
      <w:r w:rsidR="005621EA" w:rsidRPr="008126EB">
        <w:t>s</w:t>
      </w:r>
      <w:r w:rsidR="00691B4A" w:rsidRPr="008126EB">
        <w:t xml:space="preserve"> or fall</w:t>
      </w:r>
      <w:r w:rsidR="005621EA" w:rsidRPr="008126EB">
        <w:t>s</w:t>
      </w:r>
      <w:r w:rsidR="00691B4A" w:rsidRPr="008126EB">
        <w:t xml:space="preserve"> </w:t>
      </w:r>
      <w:r w:rsidR="00FE4306">
        <w:t>of</w:t>
      </w:r>
      <w:r w:rsidR="00691B4A" w:rsidRPr="008126EB">
        <w:t xml:space="preserve"> stock returns</w:t>
      </w:r>
      <w:r w:rsidR="00691B4A" w:rsidRPr="008126EB">
        <w:rPr>
          <w:rFonts w:hint="eastAsia"/>
        </w:rPr>
        <w:t>.</w:t>
      </w:r>
      <w:r w:rsidR="00691B4A" w:rsidRPr="008126EB">
        <w:t xml:space="preserve"> </w:t>
      </w:r>
      <w:r w:rsidR="004E4307">
        <w:t>Hence</w:t>
      </w:r>
      <w:r w:rsidR="003E2959">
        <w:t xml:space="preserve">, </w:t>
      </w:r>
      <w:r w:rsidR="003E2959" w:rsidRPr="003E2959">
        <w:t>the sample segmentation and relation should be analyzed jointly</w:t>
      </w:r>
      <w:r w:rsidR="003E2959">
        <w:t xml:space="preserve">. </w:t>
      </w:r>
      <w:r w:rsidR="00691B4A" w:rsidRPr="008126EB">
        <w:t xml:space="preserve">Since neither </w:t>
      </w:r>
      <w:r w:rsidR="004211FB">
        <w:t xml:space="preserve">the </w:t>
      </w:r>
      <w:r w:rsidR="00691B4A" w:rsidRPr="008126EB">
        <w:t xml:space="preserve">OLS nor LAD fulfills this prerequisite, we </w:t>
      </w:r>
      <w:r w:rsidR="00AA7359">
        <w:t>adopt</w:t>
      </w:r>
      <w:r w:rsidR="00AA7359" w:rsidRPr="008126EB">
        <w:t xml:space="preserve"> </w:t>
      </w:r>
      <w:r w:rsidR="00691B4A" w:rsidRPr="008126EB">
        <w:t xml:space="preserve">the QR approach. </w:t>
      </w:r>
      <w:r w:rsidR="009E782A">
        <w:t xml:space="preserve">In the following discussions, </w:t>
      </w:r>
      <w:r w:rsidR="00691B4A" w:rsidRPr="008126EB">
        <w:t>we</w:t>
      </w:r>
      <w:r w:rsidR="00FE4306">
        <w:t xml:space="preserve"> </w:t>
      </w:r>
      <w:r w:rsidR="00CD49B6">
        <w:t>introduce the QR</w:t>
      </w:r>
      <w:r w:rsidR="00626BC5">
        <w:rPr>
          <w:rFonts w:hint="eastAsia"/>
        </w:rPr>
        <w:t>,</w:t>
      </w:r>
      <w:r w:rsidR="003E6D69">
        <w:t xml:space="preserve"> highlight </w:t>
      </w:r>
      <w:r w:rsidR="00691B4A" w:rsidRPr="008126EB">
        <w:t xml:space="preserve">the differences between </w:t>
      </w:r>
      <w:r w:rsidR="004211FB">
        <w:t xml:space="preserve">the </w:t>
      </w:r>
      <w:r w:rsidR="00691B4A" w:rsidRPr="008126EB">
        <w:t>OLS</w:t>
      </w:r>
      <w:r w:rsidR="00FE4306">
        <w:t>/LAD</w:t>
      </w:r>
      <w:r w:rsidR="00691B4A" w:rsidRPr="008126EB">
        <w:t xml:space="preserve"> and QR models</w:t>
      </w:r>
      <w:r w:rsidR="003E6D69">
        <w:t>,</w:t>
      </w:r>
      <w:r w:rsidR="00691B4A" w:rsidRPr="008126EB">
        <w:t xml:space="preserve"> and </w:t>
      </w:r>
      <w:r w:rsidR="003E6D69">
        <w:t xml:space="preserve">then </w:t>
      </w:r>
      <w:r w:rsidR="009E782A">
        <w:t xml:space="preserve">explain </w:t>
      </w:r>
      <w:r w:rsidR="00691B4A" w:rsidRPr="008126EB">
        <w:t>why employ</w:t>
      </w:r>
      <w:r w:rsidR="003D3020" w:rsidRPr="008126EB">
        <w:t>ing</w:t>
      </w:r>
      <w:r w:rsidR="00691B4A" w:rsidRPr="008126EB">
        <w:t xml:space="preserve"> </w:t>
      </w:r>
      <w:r w:rsidR="00985D92">
        <w:t xml:space="preserve">the </w:t>
      </w:r>
      <w:r w:rsidR="00691B4A" w:rsidRPr="008126EB">
        <w:t xml:space="preserve">QR </w:t>
      </w:r>
      <w:r w:rsidR="00AA7359">
        <w:t xml:space="preserve">method </w:t>
      </w:r>
      <w:r w:rsidR="003D3020" w:rsidRPr="008126EB">
        <w:t xml:space="preserve">is </w:t>
      </w:r>
      <w:r w:rsidR="003E6D69">
        <w:t>proper</w:t>
      </w:r>
      <w:r w:rsidR="003E6D69" w:rsidRPr="008126EB">
        <w:t xml:space="preserve"> </w:t>
      </w:r>
      <w:r w:rsidR="003E6D69">
        <w:t xml:space="preserve">when investigating our </w:t>
      </w:r>
      <w:r w:rsidR="00AA7359">
        <w:t xml:space="preserve">research </w:t>
      </w:r>
      <w:r w:rsidR="00691B4A" w:rsidRPr="008126EB">
        <w:t>inquiries.</w:t>
      </w:r>
    </w:p>
    <w:p w:rsidR="00403A8F" w:rsidRPr="000F47F0" w:rsidRDefault="00403A8F" w:rsidP="00403A8F">
      <w:pPr>
        <w:widowControl/>
        <w:adjustRightInd w:val="0"/>
        <w:snapToGrid w:val="0"/>
        <w:spacing w:line="288" w:lineRule="auto"/>
        <w:jc w:val="both"/>
      </w:pPr>
    </w:p>
    <w:p w:rsidR="0026275B" w:rsidRPr="000F47F0" w:rsidRDefault="00221B17" w:rsidP="00FE1E17">
      <w:pPr>
        <w:keepNext/>
        <w:widowControl/>
        <w:adjustRightInd w:val="0"/>
        <w:snapToGrid w:val="0"/>
        <w:spacing w:line="288" w:lineRule="auto"/>
        <w:rPr>
          <w:b/>
        </w:rPr>
      </w:pPr>
      <w:r>
        <w:rPr>
          <w:b/>
        </w:rPr>
        <w:t>3.1 QR M</w:t>
      </w:r>
      <w:r w:rsidR="0026275B" w:rsidRPr="000F47F0">
        <w:rPr>
          <w:b/>
        </w:rPr>
        <w:t>odel</w:t>
      </w:r>
    </w:p>
    <w:p w:rsidR="000F47F0" w:rsidRPr="000F47F0" w:rsidRDefault="000F47F0" w:rsidP="000F47F0">
      <w:pPr>
        <w:widowControl/>
        <w:adjustRightInd w:val="0"/>
        <w:snapToGrid w:val="0"/>
        <w:spacing w:line="288" w:lineRule="auto"/>
        <w:jc w:val="both"/>
        <w:rPr>
          <w:sz w:val="6"/>
          <w:szCs w:val="6"/>
        </w:rPr>
      </w:pPr>
    </w:p>
    <w:p w:rsidR="00F42D4B" w:rsidRDefault="00F42D4B" w:rsidP="000F47F0">
      <w:pPr>
        <w:widowControl/>
        <w:adjustRightInd w:val="0"/>
        <w:snapToGrid w:val="0"/>
        <w:spacing w:line="288" w:lineRule="auto"/>
        <w:jc w:val="both"/>
      </w:pPr>
      <w:r>
        <w:t>T</w:t>
      </w:r>
      <w:r w:rsidR="00690DBE">
        <w:t xml:space="preserve">o discuss how </w:t>
      </w:r>
      <w:r>
        <w:t xml:space="preserve">QR </w:t>
      </w:r>
      <w:r w:rsidR="00221B17">
        <w:t>works, we</w:t>
      </w:r>
      <w:r w:rsidR="00690DBE">
        <w:t xml:space="preserve"> start with</w:t>
      </w:r>
    </w:p>
    <w:p w:rsidR="000F47F0" w:rsidRPr="000D0C3B" w:rsidRDefault="000F47F0" w:rsidP="000D0C3B">
      <w:pPr>
        <w:widowControl/>
        <w:adjustRightInd w:val="0"/>
        <w:snapToGrid w:val="0"/>
        <w:spacing w:line="288" w:lineRule="auto"/>
        <w:ind w:firstLineChars="295" w:firstLine="472"/>
        <w:jc w:val="both"/>
        <w:rPr>
          <w:sz w:val="16"/>
          <w:szCs w:val="16"/>
        </w:rPr>
      </w:pPr>
    </w:p>
    <w:p w:rsidR="0026275B" w:rsidRPr="00403A8F" w:rsidRDefault="0026275B" w:rsidP="00FE1E17">
      <w:pPr>
        <w:widowControl/>
        <w:spacing w:line="288" w:lineRule="auto"/>
        <w:ind w:firstLineChars="295" w:firstLine="708"/>
        <w:rPr>
          <w:sz w:val="22"/>
          <w:szCs w:val="22"/>
        </w:rPr>
      </w:pPr>
      <w:r w:rsidRPr="0026275B">
        <w:rPr>
          <w:position w:val="-12"/>
        </w:rPr>
        <w:object w:dxaOrig="16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16.8pt" o:ole="">
            <v:imagedata r:id="rId9" o:title=""/>
          </v:shape>
          <o:OLEObject Type="Embed" ProgID="Equation.3" ShapeID="_x0000_i1025" DrawAspect="Content" ObjectID="_1570627429" r:id="rId10"/>
        </w:object>
      </w:r>
      <w:r w:rsidRPr="008126EB">
        <w:rPr>
          <w:rFonts w:hint="eastAsia"/>
        </w:rPr>
        <w:t xml:space="preserve">           </w:t>
      </w:r>
      <w:r w:rsidRPr="008126EB">
        <w:t xml:space="preserve">              </w:t>
      </w:r>
      <w:r w:rsidRPr="008126EB">
        <w:rPr>
          <w:rFonts w:hint="eastAsia"/>
        </w:rPr>
        <w:t xml:space="preserve"> </w:t>
      </w:r>
      <w:r w:rsidRPr="008126EB">
        <w:t xml:space="preserve">     </w:t>
      </w:r>
      <w:r w:rsidRPr="008126EB">
        <w:tab/>
      </w:r>
      <w:r w:rsidRPr="008126EB">
        <w:tab/>
      </w:r>
      <w:r w:rsidRPr="00403A8F">
        <w:rPr>
          <w:sz w:val="22"/>
          <w:szCs w:val="22"/>
        </w:rPr>
        <w:t xml:space="preserve">                                                        . (</w:t>
      </w:r>
      <w:r w:rsidR="00697187" w:rsidRPr="00403A8F">
        <w:rPr>
          <w:sz w:val="22"/>
          <w:szCs w:val="22"/>
        </w:rPr>
        <w:t>1</w:t>
      </w:r>
      <w:r w:rsidRPr="00403A8F">
        <w:rPr>
          <w:sz w:val="22"/>
          <w:szCs w:val="22"/>
        </w:rPr>
        <w:t>)</w:t>
      </w:r>
    </w:p>
    <w:p w:rsidR="00403A8F" w:rsidRDefault="00403A8F" w:rsidP="00FE1E17">
      <w:pPr>
        <w:widowControl/>
        <w:adjustRightInd w:val="0"/>
        <w:snapToGrid w:val="0"/>
        <w:spacing w:line="288" w:lineRule="auto"/>
        <w:jc w:val="both"/>
      </w:pPr>
    </w:p>
    <w:p w:rsidR="000C6F6A" w:rsidRDefault="00F42D4B" w:rsidP="00FE1E17">
      <w:pPr>
        <w:widowControl/>
        <w:adjustRightInd w:val="0"/>
        <w:snapToGrid w:val="0"/>
        <w:spacing w:line="288" w:lineRule="auto"/>
        <w:jc w:val="both"/>
      </w:pPr>
      <w:r>
        <w:lastRenderedPageBreak/>
        <w:t xml:space="preserve">where </w:t>
      </w:r>
      <w:r w:rsidRPr="008126EB">
        <w:rPr>
          <w:i/>
        </w:rPr>
        <w:t>y</w:t>
      </w:r>
      <w:r w:rsidRPr="008126EB">
        <w:rPr>
          <w:i/>
          <w:vertAlign w:val="subscript"/>
        </w:rPr>
        <w:t>i</w:t>
      </w:r>
      <w:r w:rsidRPr="008126EB">
        <w:rPr>
          <w:rFonts w:hint="eastAsia"/>
          <w:i/>
          <w:vertAlign w:val="subscript"/>
        </w:rPr>
        <w:t>t</w:t>
      </w:r>
      <w:r>
        <w:t xml:space="preserve"> is the </w:t>
      </w:r>
      <w:r w:rsidR="000C6F6A">
        <w:t>explained</w:t>
      </w:r>
      <w:r>
        <w:t xml:space="preserve"> variable (</w:t>
      </w:r>
      <w:r w:rsidR="00221B17">
        <w:t>that is,</w:t>
      </w:r>
      <w:r>
        <w:t xml:space="preserve"> stock returns in this study) and </w:t>
      </w:r>
      <w:r>
        <w:rPr>
          <w:i/>
        </w:rPr>
        <w:t>x</w:t>
      </w:r>
      <w:r w:rsidRPr="008126EB">
        <w:rPr>
          <w:i/>
          <w:vertAlign w:val="subscript"/>
        </w:rPr>
        <w:t>i</w:t>
      </w:r>
      <w:r w:rsidRPr="008126EB">
        <w:rPr>
          <w:rFonts w:hint="eastAsia"/>
          <w:i/>
          <w:vertAlign w:val="subscript"/>
        </w:rPr>
        <w:t>t</w:t>
      </w:r>
      <w:r>
        <w:t xml:space="preserve"> is the </w:t>
      </w:r>
      <w:r w:rsidR="000C6F6A" w:rsidRPr="000C6F6A">
        <w:t>K</w:t>
      </w:r>
      <w:r w:rsidR="001711BF">
        <w:t xml:space="preserve"> </w:t>
      </w:r>
      <w:r w:rsidR="000C6F6A" w:rsidRPr="003E2959">
        <w:rPr>
          <w:rFonts w:ascii="Arial" w:hAnsi="Arial" w:cs="Arial"/>
          <w:sz w:val="20"/>
        </w:rPr>
        <w:t>X</w:t>
      </w:r>
      <w:r w:rsidR="001711BF">
        <w:rPr>
          <w:rFonts w:ascii="Arial" w:hAnsi="Arial" w:cs="Arial"/>
          <w:sz w:val="22"/>
        </w:rPr>
        <w:t xml:space="preserve"> </w:t>
      </w:r>
      <w:r w:rsidR="000C6F6A" w:rsidRPr="000C6F6A">
        <w:t xml:space="preserve">1 </w:t>
      </w:r>
      <w:r>
        <w:t xml:space="preserve">vector of </w:t>
      </w:r>
      <w:r w:rsidR="000C6F6A">
        <w:t xml:space="preserve">explanatory </w:t>
      </w:r>
      <w:r>
        <w:t>variable</w:t>
      </w:r>
      <w:r w:rsidR="000C6F6A">
        <w:t xml:space="preserve">s (including </w:t>
      </w:r>
      <w:r w:rsidR="000C6F6A" w:rsidRPr="000C6F6A">
        <w:rPr>
          <w:i/>
          <w:iCs/>
        </w:rPr>
        <w:t>|DA|</w:t>
      </w:r>
      <w:r w:rsidR="000C6F6A">
        <w:t xml:space="preserve"> and control variables) for the </w:t>
      </w:r>
      <w:r w:rsidR="00690DBE">
        <w:t xml:space="preserve">firm </w:t>
      </w:r>
      <w:r w:rsidR="000C6F6A" w:rsidRPr="008126EB">
        <w:rPr>
          <w:i/>
        </w:rPr>
        <w:t>i</w:t>
      </w:r>
      <w:r w:rsidR="000C6F6A" w:rsidRPr="008126EB">
        <w:t xml:space="preserve"> </w:t>
      </w:r>
      <w:r w:rsidR="00690DBE">
        <w:t>and</w:t>
      </w:r>
      <w:r w:rsidR="000C6F6A">
        <w:t xml:space="preserve"> in </w:t>
      </w:r>
      <w:r w:rsidR="00690DBE">
        <w:t xml:space="preserve">time period </w:t>
      </w:r>
      <w:r w:rsidR="000C6F6A" w:rsidRPr="008126EB">
        <w:rPr>
          <w:i/>
        </w:rPr>
        <w:t>t</w:t>
      </w:r>
      <w:r w:rsidR="000C6F6A" w:rsidRPr="008126EB">
        <w:t>.</w:t>
      </w:r>
      <w:r w:rsidR="000C6F6A">
        <w:t xml:space="preserve"> </w:t>
      </w:r>
      <w:r w:rsidR="001711BF">
        <w:t xml:space="preserve">In </w:t>
      </w:r>
      <w:r w:rsidR="0015071E">
        <w:t>e</w:t>
      </w:r>
      <w:r w:rsidR="00F85192">
        <w:t>quation</w:t>
      </w:r>
      <w:r w:rsidR="001711BF">
        <w:t xml:space="preserve"> (1)</w:t>
      </w:r>
      <w:r w:rsidR="000C6F6A">
        <w:t xml:space="preserve">, </w:t>
      </w:r>
      <w:r w:rsidR="003E2959" w:rsidRPr="008126EB">
        <w:rPr>
          <w:i/>
        </w:rPr>
        <w:t>θ</w:t>
      </w:r>
      <w:r w:rsidR="003E2959">
        <w:t xml:space="preserve"> is </w:t>
      </w:r>
      <w:r w:rsidR="00690DBE" w:rsidRPr="00623CDA">
        <w:t xml:space="preserve">the quantile value of the </w:t>
      </w:r>
      <w:r w:rsidR="00690DBE" w:rsidRPr="008126EB">
        <w:rPr>
          <w:i/>
        </w:rPr>
        <w:t>y</w:t>
      </w:r>
      <w:r w:rsidR="00690DBE" w:rsidRPr="008126EB">
        <w:rPr>
          <w:i/>
          <w:vertAlign w:val="subscript"/>
        </w:rPr>
        <w:t>i</w:t>
      </w:r>
      <w:r w:rsidR="00690DBE" w:rsidRPr="008126EB">
        <w:rPr>
          <w:rFonts w:hint="eastAsia"/>
          <w:i/>
          <w:vertAlign w:val="subscript"/>
        </w:rPr>
        <w:t>t</w:t>
      </w:r>
      <w:r w:rsidR="00690DBE" w:rsidRPr="008126EB">
        <w:t xml:space="preserve"> </w:t>
      </w:r>
      <w:r w:rsidR="00690DBE" w:rsidRPr="00623CDA">
        <w:t>variable</w:t>
      </w:r>
      <w:r w:rsidR="003E2959">
        <w:t xml:space="preserve"> (</w:t>
      </w:r>
      <w:r w:rsidR="00221B17">
        <w:t>that is,</w:t>
      </w:r>
      <w:r w:rsidR="001711BF">
        <w:t xml:space="preserve"> stock return</w:t>
      </w:r>
      <w:r w:rsidR="003E2959">
        <w:t>)</w:t>
      </w:r>
      <w:r w:rsidR="00623CDA" w:rsidRPr="00623CDA">
        <w:t>.</w:t>
      </w:r>
      <w:r w:rsidR="00623CDA">
        <w:t xml:space="preserve"> </w:t>
      </w:r>
      <w:r w:rsidR="001503F5">
        <w:t>T</w:t>
      </w:r>
      <w:r w:rsidR="00623CDA" w:rsidRPr="00623CDA">
        <w:t>h</w:t>
      </w:r>
      <w:r w:rsidR="00690DBE">
        <w:t xml:space="preserve">is </w:t>
      </w:r>
      <w:r w:rsidR="001503F5">
        <w:t xml:space="preserve">value </w:t>
      </w:r>
      <w:r w:rsidR="001711BF">
        <w:t>measures</w:t>
      </w:r>
      <w:r w:rsidR="001503F5">
        <w:t xml:space="preserve"> </w:t>
      </w:r>
      <w:r w:rsidR="00623CDA">
        <w:t xml:space="preserve">a </w:t>
      </w:r>
      <w:r w:rsidR="00623CDA" w:rsidRPr="00623CDA">
        <w:t>relative magnitude and has a range from 0</w:t>
      </w:r>
      <w:r w:rsidR="00BA5FFC">
        <w:t>%</w:t>
      </w:r>
      <w:r w:rsidR="00623CDA" w:rsidRPr="00623CDA">
        <w:t xml:space="preserve"> to 1</w:t>
      </w:r>
      <w:r w:rsidR="00BA5FFC">
        <w:t>00%</w:t>
      </w:r>
      <w:r w:rsidR="00623CDA" w:rsidRPr="00623CDA">
        <w:t xml:space="preserve">. For instance, the value of </w:t>
      </w:r>
      <w:r w:rsidR="003A54AD">
        <w:t>50%</w:t>
      </w:r>
      <w:r w:rsidR="00623CDA" w:rsidRPr="00623CDA">
        <w:t xml:space="preserve"> </w:t>
      </w:r>
      <w:r w:rsidR="003A54AD">
        <w:t xml:space="preserve">quantile </w:t>
      </w:r>
      <w:r w:rsidR="00623CDA" w:rsidRPr="00623CDA">
        <w:t xml:space="preserve">represents the median value. As the median value </w:t>
      </w:r>
      <w:r w:rsidR="00623CDA">
        <w:t>(</w:t>
      </w:r>
      <w:r w:rsidR="00221B17">
        <w:t>that is,</w:t>
      </w:r>
      <w:r w:rsidR="00623CDA">
        <w:t xml:space="preserve"> </w:t>
      </w:r>
      <w:r w:rsidR="00623CDA" w:rsidRPr="008126EB">
        <w:rPr>
          <w:i/>
        </w:rPr>
        <w:t>θ</w:t>
      </w:r>
      <w:r w:rsidR="00623CDA">
        <w:rPr>
          <w:i/>
        </w:rPr>
        <w:t xml:space="preserve"> </w:t>
      </w:r>
      <w:r w:rsidR="00623CDA">
        <w:t xml:space="preserve">= </w:t>
      </w:r>
      <w:r w:rsidR="003A54AD">
        <w:t>50%</w:t>
      </w:r>
      <w:r w:rsidR="00623CDA">
        <w:t xml:space="preserve">) </w:t>
      </w:r>
      <w:r w:rsidR="00623CDA" w:rsidRPr="00623CDA">
        <w:t>of stock return</w:t>
      </w:r>
      <w:r w:rsidR="001503F5">
        <w:t>s</w:t>
      </w:r>
      <w:r w:rsidR="00623CDA" w:rsidRPr="00623CDA">
        <w:t xml:space="preserve"> is close to zero</w:t>
      </w:r>
      <w:r w:rsidR="001711BF">
        <w:t>, t</w:t>
      </w:r>
      <w:r w:rsidR="00623CDA" w:rsidRPr="00623CDA">
        <w:t xml:space="preserve">he </w:t>
      </w:r>
      <w:r w:rsidR="00623CDA">
        <w:t>above</w:t>
      </w:r>
      <w:r w:rsidR="001711BF">
        <w:t xml:space="preserve"> </w:t>
      </w:r>
      <w:r w:rsidR="003A54AD">
        <w:t>50%</w:t>
      </w:r>
      <w:r w:rsidR="00623CDA" w:rsidRPr="00623CDA">
        <w:t xml:space="preserve"> return quantiles </w:t>
      </w:r>
      <w:r w:rsidR="00623CDA">
        <w:t xml:space="preserve">could be considered as </w:t>
      </w:r>
      <w:r w:rsidR="00623CDA" w:rsidRPr="00623CDA">
        <w:t>positive return</w:t>
      </w:r>
      <w:r w:rsidR="000B101C">
        <w:t>s</w:t>
      </w:r>
      <w:r w:rsidR="00623CDA">
        <w:t xml:space="preserve"> (an increase in stock price)</w:t>
      </w:r>
      <w:r w:rsidR="00623CDA" w:rsidRPr="00623CDA">
        <w:t xml:space="preserve">. </w:t>
      </w:r>
      <w:r w:rsidR="001711BF">
        <w:t>On the other hand, the below 50% return quantiles could be viewed as negative returns (a decrease in stock price)</w:t>
      </w:r>
      <w:r w:rsidR="00697187">
        <w:t xml:space="preserve">. The key feature of </w:t>
      </w:r>
      <w:r w:rsidR="00697187" w:rsidRPr="00697187">
        <w:t>the QR</w:t>
      </w:r>
      <w:r w:rsidR="00697187">
        <w:t xml:space="preserve"> </w:t>
      </w:r>
      <w:r w:rsidR="000B101C">
        <w:t xml:space="preserve">approach </w:t>
      </w:r>
      <w:r w:rsidR="00697187">
        <w:t>is</w:t>
      </w:r>
      <w:r w:rsidR="00697187" w:rsidRPr="00697187">
        <w:t xml:space="preserve"> the </w:t>
      </w:r>
      <w:r w:rsidR="00697187" w:rsidRPr="00697187">
        <w:rPr>
          <w:i/>
          <w:iCs/>
        </w:rPr>
        <w:t>x-to-y</w:t>
      </w:r>
      <w:r w:rsidR="00697187" w:rsidRPr="00697187">
        <w:t xml:space="preserve"> relation, </w:t>
      </w:r>
      <w:r w:rsidR="00697187">
        <w:t xml:space="preserve">measured by </w:t>
      </w:r>
      <w:r w:rsidR="00697187" w:rsidRPr="00697187">
        <w:t>the beta coefficient</w:t>
      </w:r>
      <w:r w:rsidR="000C6F6A">
        <w:t xml:space="preserve"> </w:t>
      </w:r>
      <w:r w:rsidR="000C6F6A" w:rsidRPr="008126EB">
        <w:rPr>
          <w:i/>
        </w:rPr>
        <w:t>β</w:t>
      </w:r>
      <w:r w:rsidR="000C6F6A" w:rsidRPr="008126EB">
        <w:rPr>
          <w:i/>
          <w:vertAlign w:val="subscript"/>
        </w:rPr>
        <w:t>θ</w:t>
      </w:r>
      <w:r w:rsidR="000B101C">
        <w:t>,</w:t>
      </w:r>
      <w:r w:rsidR="00697187">
        <w:t xml:space="preserve"> </w:t>
      </w:r>
      <w:r w:rsidR="00697187" w:rsidRPr="00697187">
        <w:t xml:space="preserve">changes </w:t>
      </w:r>
      <w:r w:rsidR="000B101C">
        <w:t xml:space="preserve">by </w:t>
      </w:r>
      <w:r w:rsidR="00697187" w:rsidRPr="00697187">
        <w:t xml:space="preserve">the quantile value of </w:t>
      </w:r>
      <w:r w:rsidR="00697187">
        <w:t>the dependent variable</w:t>
      </w:r>
      <w:r w:rsidR="000C6F6A">
        <w:t xml:space="preserve">, </w:t>
      </w:r>
      <w:r w:rsidR="000C6F6A" w:rsidRPr="008126EB">
        <w:rPr>
          <w:i/>
        </w:rPr>
        <w:t>θ</w:t>
      </w:r>
      <w:r w:rsidR="000C6F6A" w:rsidRPr="008126EB">
        <w:t xml:space="preserve"> in (0</w:t>
      </w:r>
      <w:r w:rsidR="003A54AD">
        <w:t>%</w:t>
      </w:r>
      <w:r w:rsidR="000C6F6A" w:rsidRPr="008126EB">
        <w:t>,</w:t>
      </w:r>
      <w:r w:rsidR="000C6F6A">
        <w:t xml:space="preserve"> </w:t>
      </w:r>
      <w:r w:rsidR="003A54AD">
        <w:t>100%</w:t>
      </w:r>
      <w:r w:rsidR="000C6F6A" w:rsidRPr="008126EB">
        <w:t>)</w:t>
      </w:r>
      <w:r w:rsidR="000C6F6A">
        <w:t>.</w:t>
      </w:r>
    </w:p>
    <w:p w:rsidR="00403A8F" w:rsidRDefault="00403A8F" w:rsidP="00FE1E17">
      <w:pPr>
        <w:widowControl/>
        <w:adjustRightInd w:val="0"/>
        <w:snapToGrid w:val="0"/>
        <w:spacing w:line="288" w:lineRule="auto"/>
        <w:jc w:val="both"/>
      </w:pPr>
    </w:p>
    <w:p w:rsidR="0026275B" w:rsidRDefault="00697187" w:rsidP="00FE1E17">
      <w:pPr>
        <w:widowControl/>
        <w:adjustRightInd w:val="0"/>
        <w:snapToGrid w:val="0"/>
        <w:spacing w:line="288" w:lineRule="auto"/>
        <w:ind w:firstLineChars="295" w:firstLine="708"/>
        <w:jc w:val="both"/>
      </w:pPr>
      <w:r>
        <w:t xml:space="preserve">In particular, </w:t>
      </w:r>
      <w:r w:rsidR="00690DBE">
        <w:t xml:space="preserve">we </w:t>
      </w:r>
      <w:r w:rsidR="00F87804">
        <w:t xml:space="preserve">estimate </w:t>
      </w:r>
      <w:r w:rsidR="0026275B" w:rsidRPr="008126EB">
        <w:rPr>
          <w:i/>
        </w:rPr>
        <w:t>β</w:t>
      </w:r>
      <w:r w:rsidR="0026275B" w:rsidRPr="008126EB">
        <w:rPr>
          <w:i/>
          <w:vertAlign w:val="subscript"/>
        </w:rPr>
        <w:t>θ</w:t>
      </w:r>
      <w:r w:rsidR="0026275B" w:rsidRPr="008126EB">
        <w:t xml:space="preserve"> </w:t>
      </w:r>
      <w:r w:rsidR="00690DBE">
        <w:t xml:space="preserve">according to </w:t>
      </w:r>
      <w:r w:rsidR="00F85192">
        <w:t>equation</w:t>
      </w:r>
      <w:r w:rsidR="00F87804">
        <w:t xml:space="preserve"> (2) below</w:t>
      </w:r>
      <w:r w:rsidR="0026275B" w:rsidRPr="008126EB">
        <w:t>:</w:t>
      </w:r>
    </w:p>
    <w:p w:rsidR="00403A8F" w:rsidRPr="000D0C3B" w:rsidRDefault="00403A8F" w:rsidP="000D0C3B">
      <w:pPr>
        <w:widowControl/>
        <w:adjustRightInd w:val="0"/>
        <w:snapToGrid w:val="0"/>
        <w:spacing w:line="288" w:lineRule="auto"/>
        <w:ind w:firstLineChars="295" w:firstLine="472"/>
        <w:jc w:val="both"/>
        <w:rPr>
          <w:sz w:val="16"/>
          <w:szCs w:val="16"/>
        </w:rPr>
      </w:pPr>
    </w:p>
    <w:p w:rsidR="0026275B" w:rsidRPr="008126EB" w:rsidRDefault="0026275B" w:rsidP="00FE1E17">
      <w:pPr>
        <w:widowControl/>
        <w:spacing w:line="288" w:lineRule="auto"/>
        <w:ind w:firstLineChars="295" w:firstLine="708"/>
        <w:jc w:val="both"/>
      </w:pPr>
      <w:r w:rsidRPr="008126EB">
        <w:t xml:space="preserve"> </w:t>
      </w:r>
      <w:r w:rsidRPr="008126EB">
        <w:rPr>
          <w:position w:val="-58"/>
        </w:rPr>
        <w:object w:dxaOrig="5740" w:dyaOrig="1280">
          <v:shape id="_x0000_i1026" type="#_x0000_t75" style="width:4in;height:62.4pt" o:ole="">
            <v:imagedata r:id="rId11" o:title=""/>
          </v:shape>
          <o:OLEObject Type="Embed" ProgID="Equation.3" ShapeID="_x0000_i1026" DrawAspect="Content" ObjectID="_1570627430" r:id="rId12"/>
        </w:object>
      </w:r>
      <w:r w:rsidRPr="008126EB">
        <w:t xml:space="preserve"> </w:t>
      </w:r>
      <w:r w:rsidRPr="008126EB">
        <w:rPr>
          <w:rFonts w:hint="eastAsia"/>
        </w:rPr>
        <w:t xml:space="preserve">  </w:t>
      </w:r>
      <w:r w:rsidRPr="008126EB">
        <w:t xml:space="preserve">   </w:t>
      </w:r>
      <w:r w:rsidRPr="008126EB">
        <w:rPr>
          <w:rFonts w:hint="eastAsia"/>
        </w:rPr>
        <w:t xml:space="preserve">        </w:t>
      </w:r>
      <w:r w:rsidRPr="008126EB">
        <w:t xml:space="preserve">  </w:t>
      </w:r>
      <w:r w:rsidRPr="00403A8F">
        <w:rPr>
          <w:sz w:val="22"/>
          <w:szCs w:val="22"/>
        </w:rPr>
        <w:tab/>
      </w:r>
      <w:r w:rsidR="00403A8F">
        <w:t xml:space="preserve">       </w:t>
      </w:r>
      <w:r w:rsidRPr="008126EB">
        <w:t>(</w:t>
      </w:r>
      <w:r w:rsidR="00697187">
        <w:t>2</w:t>
      </w:r>
      <w:r w:rsidRPr="008126EB">
        <w:t>)</w:t>
      </w:r>
    </w:p>
    <w:p w:rsidR="00403A8F" w:rsidRPr="000D0C3B" w:rsidRDefault="00403A8F" w:rsidP="00FE1E17">
      <w:pPr>
        <w:widowControl/>
        <w:adjustRightInd w:val="0"/>
        <w:snapToGrid w:val="0"/>
        <w:spacing w:line="288" w:lineRule="auto"/>
        <w:jc w:val="both"/>
        <w:rPr>
          <w:sz w:val="16"/>
          <w:szCs w:val="16"/>
        </w:rPr>
      </w:pPr>
    </w:p>
    <w:p w:rsidR="00697187" w:rsidRDefault="0015071E" w:rsidP="00FE1E17">
      <w:pPr>
        <w:widowControl/>
        <w:adjustRightInd w:val="0"/>
        <w:snapToGrid w:val="0"/>
        <w:spacing w:line="288" w:lineRule="auto"/>
        <w:jc w:val="both"/>
      </w:pPr>
      <w:r>
        <w:t>E</w:t>
      </w:r>
      <w:r w:rsidR="00F85192">
        <w:t>quation</w:t>
      </w:r>
      <w:r w:rsidR="000B101C">
        <w:t xml:space="preserve"> (2) shows the</w:t>
      </w:r>
      <w:r w:rsidR="000B101C" w:rsidRPr="008126EB">
        <w:t xml:space="preserve"> </w:t>
      </w:r>
      <w:r w:rsidR="000C6F6A">
        <w:t>key</w:t>
      </w:r>
      <w:r w:rsidR="000B101C" w:rsidRPr="008126EB">
        <w:t xml:space="preserve"> </w:t>
      </w:r>
      <w:r w:rsidR="000C6F6A">
        <w:t xml:space="preserve">advantage </w:t>
      </w:r>
      <w:r w:rsidR="000B101C" w:rsidRPr="008126EB">
        <w:t xml:space="preserve">of the </w:t>
      </w:r>
      <w:r w:rsidR="000B101C" w:rsidRPr="008126EB">
        <w:rPr>
          <w:rFonts w:hint="eastAsia"/>
        </w:rPr>
        <w:t>QR</w:t>
      </w:r>
      <w:r w:rsidR="000B101C" w:rsidRPr="008126EB">
        <w:t xml:space="preserve"> </w:t>
      </w:r>
      <w:r w:rsidR="00E31C67">
        <w:t>method. That is,</w:t>
      </w:r>
      <w:r w:rsidR="000B101C">
        <w:t xml:space="preserve"> </w:t>
      </w:r>
      <w:r w:rsidR="000B101C" w:rsidRPr="008126EB">
        <w:t xml:space="preserve">the estimator vector of </w:t>
      </w:r>
      <w:r w:rsidR="000B101C" w:rsidRPr="008126EB">
        <w:rPr>
          <w:i/>
        </w:rPr>
        <w:t>β</w:t>
      </w:r>
      <w:r w:rsidR="000B101C" w:rsidRPr="008126EB">
        <w:rPr>
          <w:i/>
          <w:vertAlign w:val="subscript"/>
        </w:rPr>
        <w:t>θ</w:t>
      </w:r>
      <w:r w:rsidR="000B101C" w:rsidRPr="008126EB">
        <w:t xml:space="preserve"> </w:t>
      </w:r>
      <w:r w:rsidR="000C6F6A">
        <w:t>changes</w:t>
      </w:r>
      <w:r w:rsidR="000B101C" w:rsidRPr="008126EB">
        <w:t xml:space="preserve"> </w:t>
      </w:r>
      <w:r w:rsidR="00E66B5F">
        <w:rPr>
          <w:rFonts w:hint="eastAsia"/>
        </w:rPr>
        <w:t>according to</w:t>
      </w:r>
      <w:r w:rsidR="000B101C" w:rsidRPr="008126EB">
        <w:t xml:space="preserve"> </w:t>
      </w:r>
      <w:r w:rsidR="000B101C" w:rsidRPr="008126EB">
        <w:rPr>
          <w:i/>
        </w:rPr>
        <w:t>θ</w:t>
      </w:r>
      <w:r w:rsidR="00E66B5F">
        <w:rPr>
          <w:rFonts w:hint="eastAsia"/>
        </w:rPr>
        <w:t>, the quantile value of the dependent variable (</w:t>
      </w:r>
      <w:r w:rsidR="00F85192">
        <w:t>that is,</w:t>
      </w:r>
      <w:r w:rsidR="00E66B5F">
        <w:rPr>
          <w:rFonts w:hint="eastAsia"/>
        </w:rPr>
        <w:t xml:space="preserve"> the </w:t>
      </w:r>
      <w:r w:rsidR="00E66B5F" w:rsidRPr="00E66B5F">
        <w:rPr>
          <w:rFonts w:hint="eastAsia"/>
          <w:i/>
        </w:rPr>
        <w:t xml:space="preserve">y </w:t>
      </w:r>
      <w:r w:rsidR="00E66B5F">
        <w:rPr>
          <w:rFonts w:hint="eastAsia"/>
        </w:rPr>
        <w:t>variable).</w:t>
      </w:r>
      <w:r w:rsidR="000B101C" w:rsidRPr="008126EB">
        <w:t xml:space="preserve"> </w:t>
      </w:r>
      <w:r w:rsidR="001711BF">
        <w:t>B</w:t>
      </w:r>
      <w:r w:rsidR="000B101C" w:rsidRPr="008126EB">
        <w:t xml:space="preserve">y </w:t>
      </w:r>
      <w:r w:rsidR="000C6F6A">
        <w:t xml:space="preserve">contrasting </w:t>
      </w:r>
      <w:r w:rsidR="000C6F6A" w:rsidRPr="008126EB">
        <w:rPr>
          <w:i/>
        </w:rPr>
        <w:t>β</w:t>
      </w:r>
      <w:r w:rsidR="000C6F6A" w:rsidRPr="008126EB">
        <w:rPr>
          <w:i/>
          <w:vertAlign w:val="subscript"/>
        </w:rPr>
        <w:t>θ</w:t>
      </w:r>
      <w:r w:rsidR="000C6F6A" w:rsidRPr="008126EB">
        <w:t xml:space="preserve"> </w:t>
      </w:r>
      <w:r w:rsidR="000C6F6A">
        <w:t xml:space="preserve">estimates across various </w:t>
      </w:r>
      <w:r w:rsidR="000B101C" w:rsidRPr="008126EB">
        <w:rPr>
          <w:i/>
        </w:rPr>
        <w:t>θ</w:t>
      </w:r>
      <w:r w:rsidR="000B101C" w:rsidRPr="008126EB">
        <w:t xml:space="preserve">, we </w:t>
      </w:r>
      <w:r w:rsidR="00E31C67">
        <w:t xml:space="preserve">are able to </w:t>
      </w:r>
      <w:r w:rsidR="000C6F6A">
        <w:t xml:space="preserve">examine </w:t>
      </w:r>
      <w:r w:rsidR="00E31C67">
        <w:t xml:space="preserve">whether </w:t>
      </w:r>
      <w:r w:rsidR="000C6F6A">
        <w:t>the relation</w:t>
      </w:r>
      <w:r w:rsidR="00E66B5F">
        <w:rPr>
          <w:rFonts w:hint="eastAsia"/>
        </w:rPr>
        <w:t xml:space="preserve"> </w:t>
      </w:r>
      <w:r w:rsidR="00E31C67">
        <w:t>between</w:t>
      </w:r>
      <w:r w:rsidR="00E66B5F">
        <w:rPr>
          <w:rFonts w:hint="eastAsia"/>
        </w:rPr>
        <w:t xml:space="preserve"> the </w:t>
      </w:r>
      <w:r w:rsidR="00E66B5F" w:rsidRPr="00E66B5F">
        <w:rPr>
          <w:rFonts w:hint="eastAsia"/>
          <w:i/>
        </w:rPr>
        <w:t>x</w:t>
      </w:r>
      <w:r w:rsidR="00E66B5F">
        <w:rPr>
          <w:rFonts w:hint="eastAsia"/>
        </w:rPr>
        <w:t xml:space="preserve"> and </w:t>
      </w:r>
      <w:r w:rsidR="00E66B5F" w:rsidRPr="00E66B5F">
        <w:rPr>
          <w:rFonts w:hint="eastAsia"/>
          <w:i/>
        </w:rPr>
        <w:t>y</w:t>
      </w:r>
      <w:r w:rsidR="00E66B5F">
        <w:rPr>
          <w:rFonts w:hint="eastAsia"/>
        </w:rPr>
        <w:t xml:space="preserve"> variable </w:t>
      </w:r>
      <w:r w:rsidR="00E31C67">
        <w:t xml:space="preserve">is non-uniform across the entire </w:t>
      </w:r>
      <w:r w:rsidR="00E66B5F">
        <w:rPr>
          <w:rFonts w:hint="eastAsia"/>
        </w:rPr>
        <w:t>distribution of the latter</w:t>
      </w:r>
      <w:r w:rsidR="000C6F6A">
        <w:t>.</w:t>
      </w:r>
      <w:r w:rsidR="000B101C" w:rsidRPr="008126EB">
        <w:rPr>
          <w:rStyle w:val="FootnoteReference"/>
        </w:rPr>
        <w:footnoteReference w:id="2"/>
      </w:r>
    </w:p>
    <w:p w:rsidR="00403A8F" w:rsidRDefault="00403A8F" w:rsidP="00FE1E17">
      <w:pPr>
        <w:widowControl/>
        <w:adjustRightInd w:val="0"/>
        <w:snapToGrid w:val="0"/>
        <w:spacing w:line="288" w:lineRule="auto"/>
        <w:jc w:val="both"/>
      </w:pPr>
    </w:p>
    <w:p w:rsidR="0026275B" w:rsidRDefault="00E31C67" w:rsidP="00FE1E17">
      <w:pPr>
        <w:widowControl/>
        <w:adjustRightInd w:val="0"/>
        <w:snapToGrid w:val="0"/>
        <w:spacing w:line="288" w:lineRule="auto"/>
        <w:ind w:firstLineChars="295" w:firstLine="708"/>
        <w:jc w:val="both"/>
      </w:pPr>
      <w:r>
        <w:t xml:space="preserve">Referring to the prior studies, </w:t>
      </w:r>
      <w:r w:rsidR="00F87804">
        <w:t xml:space="preserve">researchers have employed </w:t>
      </w:r>
      <w:r w:rsidR="0026275B" w:rsidRPr="008126EB">
        <w:t xml:space="preserve">QR </w:t>
      </w:r>
      <w:r w:rsidR="00F87804">
        <w:t xml:space="preserve">method </w:t>
      </w:r>
      <w:r w:rsidR="00EC3ED1">
        <w:t xml:space="preserve">to </w:t>
      </w:r>
      <w:r w:rsidR="00F87804">
        <w:t xml:space="preserve">investigate various issues in </w:t>
      </w:r>
      <w:r w:rsidR="00EC3ED1" w:rsidRPr="008126EB">
        <w:t>economics</w:t>
      </w:r>
      <w:r w:rsidRPr="00E31C67">
        <w:t xml:space="preserve"> </w:t>
      </w:r>
      <w:r>
        <w:t>(Y</w:t>
      </w:r>
      <w:r w:rsidRPr="008126EB">
        <w:t xml:space="preserve">u </w:t>
      </w:r>
      <w:r w:rsidR="00F85192">
        <w:rPr>
          <w:i/>
          <w:kern w:val="0"/>
        </w:rPr>
        <w:t>et al.</w:t>
      </w:r>
      <w:r w:rsidR="00F85192" w:rsidRPr="004456F7">
        <w:rPr>
          <w:kern w:val="0"/>
        </w:rPr>
        <w:t xml:space="preserve"> </w:t>
      </w:r>
      <w:r w:rsidRPr="008126EB">
        <w:rPr>
          <w:rFonts w:hint="eastAsia"/>
        </w:rPr>
        <w:t>2003</w:t>
      </w:r>
      <w:r>
        <w:t>)</w:t>
      </w:r>
      <w:r w:rsidR="00EC3ED1">
        <w:t xml:space="preserve">. </w:t>
      </w:r>
      <w:r w:rsidR="0026275B" w:rsidRPr="008126EB">
        <w:t xml:space="preserve">More importantly, </w:t>
      </w:r>
      <w:r>
        <w:t xml:space="preserve">more and more researchers have become interested </w:t>
      </w:r>
      <w:r w:rsidR="0026275B" w:rsidRPr="008126EB">
        <w:t xml:space="preserve">in employing </w:t>
      </w:r>
      <w:r>
        <w:t>this approach</w:t>
      </w:r>
      <w:r w:rsidR="0026275B">
        <w:t xml:space="preserve"> </w:t>
      </w:r>
      <w:r w:rsidR="0026275B" w:rsidRPr="008126EB">
        <w:t xml:space="preserve">in business research including </w:t>
      </w:r>
      <w:r w:rsidR="001711BF">
        <w:t xml:space="preserve">those in the </w:t>
      </w:r>
      <w:r w:rsidR="0026275B">
        <w:t>A</w:t>
      </w:r>
      <w:r w:rsidR="0026275B" w:rsidRPr="008126EB">
        <w:t>ccounting</w:t>
      </w:r>
      <w:r w:rsidR="0026275B" w:rsidRPr="008126EB">
        <w:rPr>
          <w:rFonts w:hint="eastAsia"/>
        </w:rPr>
        <w:t xml:space="preserve"> and </w:t>
      </w:r>
      <w:r w:rsidR="0026275B">
        <w:t>F</w:t>
      </w:r>
      <w:r w:rsidR="0026275B" w:rsidRPr="008126EB">
        <w:rPr>
          <w:rFonts w:hint="eastAsia"/>
        </w:rPr>
        <w:t>inance</w:t>
      </w:r>
      <w:r w:rsidR="0026275B">
        <w:t xml:space="preserve"> fields</w:t>
      </w:r>
      <w:r w:rsidR="0026275B" w:rsidRPr="008126EB">
        <w:t>.</w:t>
      </w:r>
      <w:r w:rsidR="0026275B" w:rsidRPr="008126EB">
        <w:rPr>
          <w:rStyle w:val="FootnoteReference"/>
        </w:rPr>
        <w:footnoteReference w:id="3"/>
      </w:r>
      <w:r w:rsidR="0026275B" w:rsidRPr="008126EB">
        <w:t xml:space="preserve"> </w:t>
      </w:r>
      <w:r>
        <w:t xml:space="preserve">To yield additional insights to the extant literature, </w:t>
      </w:r>
      <w:r w:rsidR="00B27197">
        <w:t>this study</w:t>
      </w:r>
      <w:r w:rsidR="0026275B" w:rsidRPr="008126EB">
        <w:t xml:space="preserve"> investigate</w:t>
      </w:r>
      <w:r w:rsidR="00B27197">
        <w:t>s</w:t>
      </w:r>
      <w:r w:rsidR="0026275B" w:rsidRPr="008126EB">
        <w:t xml:space="preserve"> the </w:t>
      </w:r>
      <w:r w:rsidR="0026275B" w:rsidRPr="008126EB">
        <w:rPr>
          <w:rFonts w:hint="eastAsia"/>
        </w:rPr>
        <w:t>|</w:t>
      </w:r>
      <w:r w:rsidR="0026275B" w:rsidRPr="008126EB">
        <w:rPr>
          <w:i/>
        </w:rPr>
        <w:t>DA</w:t>
      </w:r>
      <w:r w:rsidR="0026275B" w:rsidRPr="008126EB">
        <w:rPr>
          <w:rFonts w:hint="eastAsia"/>
          <w:i/>
        </w:rPr>
        <w:t>|</w:t>
      </w:r>
      <w:r w:rsidR="0026275B" w:rsidRPr="008126EB">
        <w:t>–</w:t>
      </w:r>
      <w:r w:rsidR="0026275B" w:rsidRPr="008126EB">
        <w:rPr>
          <w:rFonts w:hint="eastAsia"/>
          <w:i/>
        </w:rPr>
        <w:t>RETURN</w:t>
      </w:r>
      <w:r w:rsidR="0026275B">
        <w:t xml:space="preserve"> relation</w:t>
      </w:r>
      <w:r w:rsidRPr="00E31C67">
        <w:t xml:space="preserve"> </w:t>
      </w:r>
      <w:r>
        <w:t>using</w:t>
      </w:r>
      <w:r w:rsidRPr="008126EB">
        <w:t xml:space="preserve"> </w:t>
      </w:r>
      <w:r>
        <w:t xml:space="preserve">the </w:t>
      </w:r>
      <w:r w:rsidRPr="008126EB">
        <w:t xml:space="preserve">QR </w:t>
      </w:r>
      <w:r>
        <w:t>method</w:t>
      </w:r>
      <w:r w:rsidR="0026275B" w:rsidRPr="008126EB">
        <w:t>.</w:t>
      </w:r>
    </w:p>
    <w:p w:rsidR="00403A8F" w:rsidRPr="008126EB" w:rsidRDefault="00403A8F" w:rsidP="00FE1E17">
      <w:pPr>
        <w:widowControl/>
        <w:adjustRightInd w:val="0"/>
        <w:snapToGrid w:val="0"/>
        <w:spacing w:line="288" w:lineRule="auto"/>
        <w:ind w:firstLineChars="295" w:firstLine="708"/>
        <w:jc w:val="both"/>
      </w:pPr>
    </w:p>
    <w:p w:rsidR="00691B4A" w:rsidRPr="000F47F0" w:rsidRDefault="00691B4A" w:rsidP="00FE1E17">
      <w:pPr>
        <w:keepNext/>
        <w:widowControl/>
        <w:adjustRightInd w:val="0"/>
        <w:snapToGrid w:val="0"/>
        <w:spacing w:line="288" w:lineRule="auto"/>
        <w:rPr>
          <w:b/>
        </w:rPr>
      </w:pPr>
      <w:r w:rsidRPr="000F47F0">
        <w:rPr>
          <w:b/>
        </w:rPr>
        <w:t>3.</w:t>
      </w:r>
      <w:r w:rsidR="000B101C" w:rsidRPr="000F47F0">
        <w:rPr>
          <w:b/>
        </w:rPr>
        <w:t>2</w:t>
      </w:r>
      <w:r w:rsidRPr="000F47F0">
        <w:rPr>
          <w:b/>
        </w:rPr>
        <w:t xml:space="preserve"> OLS</w:t>
      </w:r>
      <w:r w:rsidR="000B101C" w:rsidRPr="000F47F0">
        <w:rPr>
          <w:b/>
        </w:rPr>
        <w:t>/LAD</w:t>
      </w:r>
      <w:r w:rsidRPr="000F47F0">
        <w:rPr>
          <w:b/>
        </w:rPr>
        <w:t xml:space="preserve"> </w:t>
      </w:r>
      <w:r w:rsidR="000B101C" w:rsidRPr="000F47F0">
        <w:rPr>
          <w:b/>
        </w:rPr>
        <w:t>vs. QR</w:t>
      </w:r>
      <w:r w:rsidRPr="000F47F0">
        <w:rPr>
          <w:b/>
        </w:rPr>
        <w:t xml:space="preserve"> models</w:t>
      </w:r>
    </w:p>
    <w:p w:rsidR="000F47F0" w:rsidRPr="000F47F0" w:rsidRDefault="000F47F0" w:rsidP="00403A8F">
      <w:pPr>
        <w:widowControl/>
        <w:adjustRightInd w:val="0"/>
        <w:snapToGrid w:val="0"/>
        <w:spacing w:line="288" w:lineRule="auto"/>
        <w:jc w:val="both"/>
        <w:rPr>
          <w:sz w:val="6"/>
          <w:szCs w:val="6"/>
        </w:rPr>
      </w:pPr>
    </w:p>
    <w:p w:rsidR="001503F5" w:rsidRDefault="00B27197" w:rsidP="00403A8F">
      <w:pPr>
        <w:widowControl/>
        <w:adjustRightInd w:val="0"/>
        <w:snapToGrid w:val="0"/>
        <w:spacing w:line="288" w:lineRule="auto"/>
        <w:jc w:val="both"/>
      </w:pPr>
      <w:r>
        <w:t>T</w:t>
      </w:r>
      <w:r w:rsidR="00695148">
        <w:t>his section</w:t>
      </w:r>
      <w:r>
        <w:t xml:space="preserve"> provides </w:t>
      </w:r>
      <w:r w:rsidR="00695148">
        <w:t xml:space="preserve">a comparative analysis between </w:t>
      </w:r>
      <w:r w:rsidR="00695148" w:rsidRPr="00695148">
        <w:t xml:space="preserve">OLS/LAD </w:t>
      </w:r>
      <w:r w:rsidR="00695148">
        <w:t>and</w:t>
      </w:r>
      <w:r w:rsidR="00695148" w:rsidRPr="00695148">
        <w:t xml:space="preserve"> QR models</w:t>
      </w:r>
      <w:r w:rsidR="00695148">
        <w:t xml:space="preserve">. </w:t>
      </w:r>
      <w:r>
        <w:t xml:space="preserve">To proceed, </w:t>
      </w:r>
      <w:r w:rsidR="001503F5">
        <w:t xml:space="preserve">we </w:t>
      </w:r>
      <w:r>
        <w:t xml:space="preserve">first </w:t>
      </w:r>
      <w:r w:rsidR="001503F5">
        <w:t xml:space="preserve">present the traditional non-quantile regression approach:  </w:t>
      </w:r>
    </w:p>
    <w:p w:rsidR="000D0C3B" w:rsidRPr="000D0C3B" w:rsidRDefault="000D0C3B" w:rsidP="000D0C3B">
      <w:pPr>
        <w:widowControl/>
        <w:adjustRightInd w:val="0"/>
        <w:snapToGrid w:val="0"/>
        <w:spacing w:line="288" w:lineRule="auto"/>
        <w:ind w:firstLineChars="300" w:firstLine="360"/>
        <w:jc w:val="both"/>
        <w:rPr>
          <w:sz w:val="12"/>
          <w:szCs w:val="12"/>
        </w:rPr>
      </w:pPr>
    </w:p>
    <w:p w:rsidR="001503F5" w:rsidRDefault="001503F5" w:rsidP="00FE1E17">
      <w:pPr>
        <w:widowControl/>
        <w:adjustRightInd w:val="0"/>
        <w:snapToGrid w:val="0"/>
        <w:spacing w:line="288" w:lineRule="auto"/>
        <w:ind w:firstLineChars="300" w:firstLine="720"/>
        <w:jc w:val="both"/>
        <w:rPr>
          <w:sz w:val="22"/>
          <w:szCs w:val="22"/>
        </w:rPr>
      </w:pPr>
      <w:r w:rsidRPr="008126EB">
        <w:rPr>
          <w:position w:val="-12"/>
        </w:rPr>
        <w:object w:dxaOrig="1460" w:dyaOrig="360">
          <v:shape id="_x0000_i1027" type="#_x0000_t75" style="width:1in;height:16.8pt" o:ole="">
            <v:imagedata r:id="rId13" o:title=""/>
          </v:shape>
          <o:OLEObject Type="Embed" ProgID="Equation.3" ShapeID="_x0000_i1027" DrawAspect="Content" ObjectID="_1570627431" r:id="rId14"/>
        </w:object>
      </w:r>
      <w:r w:rsidRPr="008126EB">
        <w:t xml:space="preserve">    </w:t>
      </w:r>
      <w:r w:rsidRPr="008126EB">
        <w:rPr>
          <w:rFonts w:hint="eastAsia"/>
        </w:rPr>
        <w:t xml:space="preserve">        </w:t>
      </w:r>
      <w:r w:rsidRPr="008126EB">
        <w:t xml:space="preserve">         </w:t>
      </w:r>
      <w:r w:rsidRPr="008126EB">
        <w:rPr>
          <w:rFonts w:hint="eastAsia"/>
        </w:rPr>
        <w:t xml:space="preserve"> </w:t>
      </w:r>
      <w:r w:rsidRPr="008126EB">
        <w:t xml:space="preserve">                         </w:t>
      </w:r>
      <w:r w:rsidRPr="008126EB">
        <w:rPr>
          <w:rFonts w:hint="eastAsia"/>
        </w:rPr>
        <w:t xml:space="preserve">    </w:t>
      </w:r>
      <w:r w:rsidRPr="008126EB">
        <w:t xml:space="preserve"> </w:t>
      </w:r>
      <w:r w:rsidRPr="008126EB">
        <w:tab/>
      </w:r>
      <w:r w:rsidRPr="008126EB">
        <w:tab/>
      </w:r>
      <w:r w:rsidRPr="008126EB">
        <w:tab/>
      </w:r>
      <w:r w:rsidRPr="008126EB">
        <w:tab/>
      </w:r>
      <w:r w:rsidR="00403A8F">
        <w:t xml:space="preserve">       </w:t>
      </w:r>
      <w:r w:rsidR="00361151">
        <w:t xml:space="preserve"> </w:t>
      </w:r>
      <w:r w:rsidRPr="00403A8F">
        <w:rPr>
          <w:sz w:val="22"/>
          <w:szCs w:val="22"/>
        </w:rPr>
        <w:t>(3)</w:t>
      </w:r>
    </w:p>
    <w:p w:rsidR="00403A8F" w:rsidRPr="000D0C3B" w:rsidRDefault="00403A8F" w:rsidP="000D0C3B">
      <w:pPr>
        <w:widowControl/>
        <w:adjustRightInd w:val="0"/>
        <w:snapToGrid w:val="0"/>
        <w:spacing w:line="288" w:lineRule="auto"/>
        <w:ind w:firstLineChars="300" w:firstLine="360"/>
        <w:jc w:val="both"/>
        <w:rPr>
          <w:sz w:val="12"/>
          <w:szCs w:val="12"/>
        </w:rPr>
      </w:pPr>
    </w:p>
    <w:p w:rsidR="00403A8F" w:rsidRDefault="00F87804" w:rsidP="00FE1E17">
      <w:pPr>
        <w:widowControl/>
        <w:adjustRightInd w:val="0"/>
        <w:snapToGrid w:val="0"/>
        <w:spacing w:line="288" w:lineRule="auto"/>
        <w:jc w:val="both"/>
        <w:rPr>
          <w:iCs/>
        </w:rPr>
      </w:pPr>
      <w:r>
        <w:t xml:space="preserve">We use the </w:t>
      </w:r>
      <w:r w:rsidR="00695148">
        <w:t xml:space="preserve">LAD </w:t>
      </w:r>
      <w:r>
        <w:t xml:space="preserve">to </w:t>
      </w:r>
      <w:r w:rsidR="00695148" w:rsidRPr="008126EB">
        <w:t>estimat</w:t>
      </w:r>
      <w:r>
        <w:t xml:space="preserve">e </w:t>
      </w:r>
      <w:r w:rsidR="00695148" w:rsidRPr="008126EB">
        <w:rPr>
          <w:i/>
        </w:rPr>
        <w:t xml:space="preserve">β </w:t>
      </w:r>
      <w:r>
        <w:rPr>
          <w:iCs/>
        </w:rPr>
        <w:t xml:space="preserve">using </w:t>
      </w:r>
      <w:r w:rsidR="0015071E">
        <w:rPr>
          <w:iCs/>
        </w:rPr>
        <w:t>e</w:t>
      </w:r>
      <w:r w:rsidR="00F85192">
        <w:rPr>
          <w:iCs/>
        </w:rPr>
        <w:t>quation</w:t>
      </w:r>
      <w:r>
        <w:rPr>
          <w:iCs/>
        </w:rPr>
        <w:t xml:space="preserve"> (4) below</w:t>
      </w:r>
      <w:r w:rsidR="00695148">
        <w:rPr>
          <w:iCs/>
        </w:rPr>
        <w:t xml:space="preserve">: </w:t>
      </w:r>
    </w:p>
    <w:p w:rsidR="000D0C3B" w:rsidRPr="0015071E" w:rsidRDefault="000D0C3B" w:rsidP="00FE1E17">
      <w:pPr>
        <w:widowControl/>
        <w:adjustRightInd w:val="0"/>
        <w:snapToGrid w:val="0"/>
        <w:spacing w:line="288" w:lineRule="auto"/>
        <w:jc w:val="both"/>
        <w:rPr>
          <w:iCs/>
          <w:sz w:val="8"/>
          <w:szCs w:val="8"/>
        </w:rPr>
      </w:pPr>
    </w:p>
    <w:p w:rsidR="00695148" w:rsidRPr="000D0C3B" w:rsidRDefault="00695148" w:rsidP="000D0C3B">
      <w:pPr>
        <w:widowControl/>
        <w:ind w:firstLine="720"/>
        <w:jc w:val="both"/>
        <w:rPr>
          <w:rFonts w:eastAsia="DFKai-SB"/>
          <w:sz w:val="22"/>
          <w:szCs w:val="22"/>
        </w:rPr>
      </w:pPr>
      <w:r w:rsidRPr="000D0C3B">
        <w:rPr>
          <w:rFonts w:eastAsia="DFKai-SB"/>
          <w:position w:val="-28"/>
          <w:sz w:val="22"/>
          <w:szCs w:val="22"/>
        </w:rPr>
        <w:object w:dxaOrig="1400" w:dyaOrig="540">
          <v:shape id="_x0000_i1028" type="#_x0000_t75" style="width:67.2pt;height:33.6pt" o:ole="">
            <v:imagedata r:id="rId15" o:title=""/>
          </v:shape>
          <o:OLEObject Type="Embed" ProgID="Equation.3" ShapeID="_x0000_i1028" DrawAspect="Content" ObjectID="_1570627432" r:id="rId16"/>
        </w:object>
      </w:r>
      <w:r w:rsidRPr="000D0C3B">
        <w:rPr>
          <w:rFonts w:eastAsia="DFKai-SB"/>
          <w:sz w:val="22"/>
          <w:szCs w:val="22"/>
        </w:rPr>
        <w:t xml:space="preserve"> = </w:t>
      </w:r>
      <w:r w:rsidRPr="000D0C3B">
        <w:rPr>
          <w:rFonts w:eastAsia="DFKai-SB"/>
          <w:position w:val="-28"/>
          <w:sz w:val="22"/>
          <w:szCs w:val="22"/>
        </w:rPr>
        <w:object w:dxaOrig="1640" w:dyaOrig="540">
          <v:shape id="_x0000_i1029" type="#_x0000_t75" style="width:80.4pt;height:33.6pt" o:ole="">
            <v:imagedata r:id="rId17" o:title=""/>
          </v:shape>
          <o:OLEObject Type="Embed" ProgID="Equation.3" ShapeID="_x0000_i1029" DrawAspect="Content" ObjectID="_1570627433" r:id="rId18"/>
        </w:object>
      </w:r>
      <w:r w:rsidRPr="000D0C3B">
        <w:rPr>
          <w:rFonts w:eastAsia="DFKai-SB"/>
          <w:sz w:val="22"/>
          <w:szCs w:val="22"/>
        </w:rPr>
        <w:t xml:space="preserve">         </w:t>
      </w:r>
      <w:r w:rsidRPr="000D0C3B">
        <w:rPr>
          <w:rFonts w:eastAsia="DFKai-SB" w:hint="eastAsia"/>
          <w:sz w:val="22"/>
          <w:szCs w:val="22"/>
        </w:rPr>
        <w:t xml:space="preserve">       </w:t>
      </w:r>
      <w:r w:rsidRPr="000D0C3B">
        <w:rPr>
          <w:rFonts w:eastAsia="DFKai-SB"/>
          <w:sz w:val="22"/>
          <w:szCs w:val="22"/>
        </w:rPr>
        <w:t xml:space="preserve">   </w:t>
      </w:r>
      <w:r w:rsidRPr="000D0C3B">
        <w:rPr>
          <w:rFonts w:eastAsia="DFKai-SB" w:hint="eastAsia"/>
          <w:sz w:val="22"/>
          <w:szCs w:val="22"/>
        </w:rPr>
        <w:t xml:space="preserve">  </w:t>
      </w:r>
      <w:r w:rsidRPr="000D0C3B">
        <w:rPr>
          <w:rFonts w:eastAsia="DFKai-SB"/>
          <w:sz w:val="22"/>
          <w:szCs w:val="22"/>
        </w:rPr>
        <w:t xml:space="preserve">    </w:t>
      </w:r>
      <w:r w:rsidRPr="000D0C3B">
        <w:rPr>
          <w:rFonts w:eastAsia="DFKai-SB" w:hint="eastAsia"/>
          <w:sz w:val="22"/>
          <w:szCs w:val="22"/>
        </w:rPr>
        <w:t xml:space="preserve"> </w:t>
      </w:r>
      <w:r w:rsidRPr="000D0C3B">
        <w:rPr>
          <w:rFonts w:eastAsia="DFKai-SB"/>
          <w:sz w:val="22"/>
          <w:szCs w:val="22"/>
        </w:rPr>
        <w:t xml:space="preserve">     </w:t>
      </w:r>
      <w:r w:rsidRPr="000D0C3B">
        <w:rPr>
          <w:rFonts w:eastAsia="DFKai-SB"/>
          <w:sz w:val="22"/>
          <w:szCs w:val="22"/>
        </w:rPr>
        <w:tab/>
      </w:r>
      <w:r w:rsidRPr="000D0C3B">
        <w:rPr>
          <w:rFonts w:eastAsia="DFKai-SB"/>
          <w:sz w:val="22"/>
          <w:szCs w:val="22"/>
        </w:rPr>
        <w:tab/>
      </w:r>
      <w:r w:rsidR="00361151" w:rsidRPr="000D0C3B">
        <w:rPr>
          <w:rFonts w:eastAsia="DFKai-SB"/>
          <w:sz w:val="22"/>
          <w:szCs w:val="22"/>
        </w:rPr>
        <w:t xml:space="preserve">      </w:t>
      </w:r>
      <w:r w:rsidRPr="000D0C3B">
        <w:rPr>
          <w:rFonts w:eastAsia="DFKai-SB"/>
          <w:sz w:val="22"/>
          <w:szCs w:val="22"/>
        </w:rPr>
        <w:tab/>
      </w:r>
      <w:r w:rsidR="00403A8F" w:rsidRPr="000D0C3B">
        <w:rPr>
          <w:rFonts w:eastAsia="DFKai-SB"/>
          <w:sz w:val="22"/>
          <w:szCs w:val="22"/>
        </w:rPr>
        <w:t xml:space="preserve">       </w:t>
      </w:r>
      <w:r w:rsidRPr="000D0C3B">
        <w:rPr>
          <w:rFonts w:eastAsia="DFKai-SB"/>
          <w:sz w:val="22"/>
          <w:szCs w:val="22"/>
        </w:rPr>
        <w:t xml:space="preserve"> </w:t>
      </w:r>
      <w:r w:rsidR="0015071E">
        <w:rPr>
          <w:rFonts w:eastAsia="DFKai-SB"/>
          <w:sz w:val="22"/>
          <w:szCs w:val="22"/>
        </w:rPr>
        <w:t xml:space="preserve">             </w:t>
      </w:r>
      <w:r w:rsidRPr="000D0C3B">
        <w:rPr>
          <w:rFonts w:eastAsia="DFKai-SB"/>
          <w:sz w:val="22"/>
          <w:szCs w:val="22"/>
        </w:rPr>
        <w:t>(</w:t>
      </w:r>
      <w:r w:rsidR="001503F5" w:rsidRPr="000D0C3B">
        <w:rPr>
          <w:rFonts w:eastAsia="DFKai-SB"/>
          <w:sz w:val="22"/>
          <w:szCs w:val="22"/>
        </w:rPr>
        <w:t>4</w:t>
      </w:r>
      <w:r w:rsidRPr="000D0C3B">
        <w:rPr>
          <w:rFonts w:eastAsia="DFKai-SB"/>
          <w:sz w:val="22"/>
          <w:szCs w:val="22"/>
        </w:rPr>
        <w:t>)</w:t>
      </w:r>
    </w:p>
    <w:p w:rsidR="003226E8" w:rsidRDefault="00403A8F" w:rsidP="00FE1E17">
      <w:pPr>
        <w:widowControl/>
        <w:adjustRightInd w:val="0"/>
        <w:snapToGrid w:val="0"/>
        <w:spacing w:line="288" w:lineRule="auto"/>
        <w:jc w:val="both"/>
      </w:pPr>
      <w:r>
        <w:rPr>
          <w:iCs/>
        </w:rPr>
        <w:lastRenderedPageBreak/>
        <w:tab/>
      </w:r>
      <w:r w:rsidR="003226E8">
        <w:rPr>
          <w:iCs/>
        </w:rPr>
        <w:t xml:space="preserve">Comparing </w:t>
      </w:r>
      <w:r w:rsidR="00D829DF">
        <w:rPr>
          <w:iCs/>
        </w:rPr>
        <w:t>e</w:t>
      </w:r>
      <w:r w:rsidR="00F85192">
        <w:rPr>
          <w:iCs/>
        </w:rPr>
        <w:t>quation</w:t>
      </w:r>
      <w:r w:rsidR="00695148">
        <w:rPr>
          <w:iCs/>
        </w:rPr>
        <w:t xml:space="preserve"> (</w:t>
      </w:r>
      <w:r w:rsidR="001503F5">
        <w:rPr>
          <w:iCs/>
        </w:rPr>
        <w:t>4</w:t>
      </w:r>
      <w:r w:rsidR="00695148">
        <w:rPr>
          <w:iCs/>
        </w:rPr>
        <w:t xml:space="preserve">) </w:t>
      </w:r>
      <w:r w:rsidR="003226E8">
        <w:rPr>
          <w:iCs/>
        </w:rPr>
        <w:t xml:space="preserve">with </w:t>
      </w:r>
      <w:r w:rsidR="00D829DF">
        <w:rPr>
          <w:iCs/>
        </w:rPr>
        <w:t>e</w:t>
      </w:r>
      <w:r w:rsidR="00F85192">
        <w:rPr>
          <w:iCs/>
        </w:rPr>
        <w:t>quation</w:t>
      </w:r>
      <w:r w:rsidR="003226E8">
        <w:rPr>
          <w:iCs/>
        </w:rPr>
        <w:t xml:space="preserve"> </w:t>
      </w:r>
      <w:r w:rsidR="00695148">
        <w:rPr>
          <w:iCs/>
        </w:rPr>
        <w:t xml:space="preserve">(2) </w:t>
      </w:r>
      <w:r w:rsidR="00B27197">
        <w:rPr>
          <w:iCs/>
        </w:rPr>
        <w:t xml:space="preserve">reveals </w:t>
      </w:r>
      <w:r w:rsidR="00695148">
        <w:rPr>
          <w:iCs/>
        </w:rPr>
        <w:t>the difference between LA</w:t>
      </w:r>
      <w:r w:rsidR="001503F5">
        <w:rPr>
          <w:iCs/>
        </w:rPr>
        <w:t>D</w:t>
      </w:r>
      <w:r w:rsidR="00695148">
        <w:rPr>
          <w:iCs/>
        </w:rPr>
        <w:t xml:space="preserve"> and QR </w:t>
      </w:r>
      <w:r w:rsidR="00B27197">
        <w:rPr>
          <w:iCs/>
        </w:rPr>
        <w:t>approaches</w:t>
      </w:r>
      <w:r w:rsidR="00695148">
        <w:rPr>
          <w:iCs/>
        </w:rPr>
        <w:t xml:space="preserve">. In </w:t>
      </w:r>
      <w:r w:rsidR="00B27197">
        <w:rPr>
          <w:iCs/>
        </w:rPr>
        <w:t>particular</w:t>
      </w:r>
      <w:r w:rsidR="00695148">
        <w:rPr>
          <w:iCs/>
        </w:rPr>
        <w:t xml:space="preserve">, the LAD employs </w:t>
      </w:r>
      <w:r w:rsidR="00966EA9">
        <w:rPr>
          <w:iCs/>
        </w:rPr>
        <w:t>an</w:t>
      </w:r>
      <w:r w:rsidR="00695148">
        <w:rPr>
          <w:iCs/>
        </w:rPr>
        <w:t xml:space="preserve"> equal weight (</w:t>
      </w:r>
      <w:r w:rsidR="00D829DF">
        <w:rPr>
          <w:iCs/>
        </w:rPr>
        <w:t>that is,</w:t>
      </w:r>
      <w:r w:rsidR="00695148">
        <w:rPr>
          <w:iCs/>
        </w:rPr>
        <w:t xml:space="preserve"> the value of 1) on positive and negative error</w:t>
      </w:r>
      <w:r w:rsidR="00966EA9">
        <w:rPr>
          <w:iCs/>
        </w:rPr>
        <w:t>s</w:t>
      </w:r>
      <w:r w:rsidR="00695148">
        <w:rPr>
          <w:iCs/>
        </w:rPr>
        <w:t xml:space="preserve">. </w:t>
      </w:r>
      <w:r w:rsidR="00966EA9">
        <w:rPr>
          <w:iCs/>
        </w:rPr>
        <w:t>By contrast</w:t>
      </w:r>
      <w:r w:rsidR="00695148">
        <w:rPr>
          <w:iCs/>
        </w:rPr>
        <w:t>, the QR adopt</w:t>
      </w:r>
      <w:r w:rsidR="00966EA9">
        <w:rPr>
          <w:iCs/>
        </w:rPr>
        <w:t>s</w:t>
      </w:r>
      <w:r w:rsidR="00695148">
        <w:rPr>
          <w:iCs/>
        </w:rPr>
        <w:t xml:space="preserve"> unequal weight</w:t>
      </w:r>
      <w:r w:rsidR="00966EA9">
        <w:rPr>
          <w:iCs/>
        </w:rPr>
        <w:t>s</w:t>
      </w:r>
      <w:r w:rsidR="00695148">
        <w:rPr>
          <w:iCs/>
        </w:rPr>
        <w:t xml:space="preserve"> on positive and negative error</w:t>
      </w:r>
      <w:r w:rsidR="00966EA9">
        <w:rPr>
          <w:iCs/>
        </w:rPr>
        <w:t>s</w:t>
      </w:r>
      <w:r w:rsidR="00695148">
        <w:rPr>
          <w:iCs/>
        </w:rPr>
        <w:t xml:space="preserve"> (</w:t>
      </w:r>
      <w:r w:rsidR="00D829DF">
        <w:rPr>
          <w:iCs/>
        </w:rPr>
        <w:t>that is,</w:t>
      </w:r>
      <w:r w:rsidR="00695148">
        <w:rPr>
          <w:iCs/>
        </w:rPr>
        <w:t xml:space="preserve"> </w:t>
      </w:r>
      <w:r w:rsidR="00695148" w:rsidRPr="008126EB">
        <w:rPr>
          <w:i/>
        </w:rPr>
        <w:t>θ</w:t>
      </w:r>
      <w:r w:rsidR="00695148" w:rsidRPr="008126EB">
        <w:t xml:space="preserve"> </w:t>
      </w:r>
      <w:r w:rsidR="00695148">
        <w:t>for positive error</w:t>
      </w:r>
      <w:r w:rsidR="00966EA9">
        <w:t>s</w:t>
      </w:r>
      <w:r w:rsidR="00695148">
        <w:t xml:space="preserve"> and (1-</w:t>
      </w:r>
      <w:r w:rsidR="00695148" w:rsidRPr="008126EB">
        <w:rPr>
          <w:i/>
        </w:rPr>
        <w:t>θ</w:t>
      </w:r>
      <w:r w:rsidR="00695148">
        <w:t>) for negative error</w:t>
      </w:r>
      <w:r w:rsidR="00966EA9">
        <w:t>s)</w:t>
      </w:r>
      <w:r w:rsidR="00695148">
        <w:t xml:space="preserve">. </w:t>
      </w:r>
      <w:r w:rsidR="00966EA9">
        <w:t xml:space="preserve">Moreover, the LAD estimators </w:t>
      </w:r>
      <w:r w:rsidR="003226E8" w:rsidRPr="008126EB">
        <w:rPr>
          <w:i/>
        </w:rPr>
        <w:t>β</w:t>
      </w:r>
      <w:r w:rsidR="003226E8">
        <w:t xml:space="preserve"> </w:t>
      </w:r>
      <w:r w:rsidR="00966EA9">
        <w:t xml:space="preserve">are the special case of QR estimators </w:t>
      </w:r>
      <w:r w:rsidR="003226E8" w:rsidRPr="008126EB">
        <w:rPr>
          <w:i/>
        </w:rPr>
        <w:t>β</w:t>
      </w:r>
      <w:r w:rsidR="003226E8" w:rsidRPr="008126EB">
        <w:rPr>
          <w:i/>
          <w:vertAlign w:val="subscript"/>
        </w:rPr>
        <w:t>θ</w:t>
      </w:r>
      <w:r w:rsidR="003226E8" w:rsidRPr="008126EB">
        <w:t xml:space="preserve"> </w:t>
      </w:r>
      <w:r w:rsidR="00966EA9">
        <w:t xml:space="preserve">under the restriction of </w:t>
      </w:r>
      <w:r w:rsidR="00966EA9" w:rsidRPr="008126EB">
        <w:rPr>
          <w:i/>
        </w:rPr>
        <w:t>θ</w:t>
      </w:r>
      <w:r w:rsidR="00966EA9" w:rsidRPr="008126EB">
        <w:t xml:space="preserve"> </w:t>
      </w:r>
      <w:r w:rsidR="00966EA9">
        <w:t>= 5</w:t>
      </w:r>
      <w:r w:rsidR="003A54AD">
        <w:t>0%</w:t>
      </w:r>
      <w:r w:rsidR="00966EA9">
        <w:t xml:space="preserve">. Figure 1 further illustrates the </w:t>
      </w:r>
      <w:r w:rsidR="003226E8">
        <w:t>difference</w:t>
      </w:r>
      <w:r w:rsidR="00966EA9">
        <w:t xml:space="preserve"> between </w:t>
      </w:r>
      <w:r w:rsidR="003226E8">
        <w:t xml:space="preserve">the </w:t>
      </w:r>
      <w:r w:rsidR="00966EA9">
        <w:t xml:space="preserve">LAD and QR estimators. </w:t>
      </w:r>
      <w:r w:rsidR="00B27197">
        <w:t xml:space="preserve">Also, </w:t>
      </w:r>
      <w:r w:rsidR="00966EA9">
        <w:t xml:space="preserve">Figure 1 demonstrates the advantages of QR </w:t>
      </w:r>
      <w:r w:rsidR="00B27197">
        <w:t xml:space="preserve">by </w:t>
      </w:r>
      <w:r w:rsidR="003226E8">
        <w:t>c</w:t>
      </w:r>
      <w:r w:rsidR="00966EA9" w:rsidRPr="00966EA9">
        <w:t>haracteriz</w:t>
      </w:r>
      <w:r w:rsidR="003226E8">
        <w:t>ing</w:t>
      </w:r>
      <w:r w:rsidR="00966EA9" w:rsidRPr="00966EA9">
        <w:t xml:space="preserve"> the dynamic</w:t>
      </w:r>
      <w:r w:rsidR="005B09C5" w:rsidRPr="005B09C5">
        <w:rPr>
          <w:i/>
        </w:rPr>
        <w:t xml:space="preserve"> </w:t>
      </w:r>
      <w:r w:rsidR="005B09C5" w:rsidRPr="008126EB">
        <w:rPr>
          <w:i/>
        </w:rPr>
        <w:t>β</w:t>
      </w:r>
      <w:r w:rsidR="00966EA9" w:rsidRPr="00966EA9">
        <w:t xml:space="preserve"> estimator</w:t>
      </w:r>
      <w:r w:rsidR="003226E8">
        <w:t>s</w:t>
      </w:r>
      <w:r w:rsidR="00966EA9" w:rsidRPr="00966EA9">
        <w:t xml:space="preserve"> in various regions of </w:t>
      </w:r>
      <w:r w:rsidR="00966EA9">
        <w:t xml:space="preserve">the </w:t>
      </w:r>
      <w:r w:rsidR="003226E8">
        <w:t xml:space="preserve">dependent variable. It also shows </w:t>
      </w:r>
      <w:r w:rsidR="00E66B5F">
        <w:rPr>
          <w:rFonts w:hint="eastAsia"/>
        </w:rPr>
        <w:t xml:space="preserve">that </w:t>
      </w:r>
      <w:r w:rsidR="003226E8">
        <w:t xml:space="preserve">the LAD </w:t>
      </w:r>
      <w:r w:rsidR="005D10D4">
        <w:t xml:space="preserve">is to measure the </w:t>
      </w:r>
      <w:r w:rsidR="005D10D4" w:rsidRPr="005D10D4">
        <w:t xml:space="preserve">central </w:t>
      </w:r>
      <w:r w:rsidR="007A18E2">
        <w:t>behavior</w:t>
      </w:r>
      <w:r w:rsidR="005D10D4">
        <w:t xml:space="preserve"> of the distribution</w:t>
      </w:r>
      <w:r w:rsidR="00B27197">
        <w:t xml:space="preserve">. Thus, </w:t>
      </w:r>
      <w:r w:rsidR="00BA5FFC">
        <w:t xml:space="preserve">it </w:t>
      </w:r>
      <w:r w:rsidR="00BC1C8F">
        <w:t xml:space="preserve">is </w:t>
      </w:r>
      <w:r w:rsidR="005D10D4">
        <w:t xml:space="preserve">unable to capture </w:t>
      </w:r>
      <w:r w:rsidR="00BA5FFC">
        <w:t>the</w:t>
      </w:r>
      <w:r w:rsidR="00BC1C8F">
        <w:t xml:space="preserve"> </w:t>
      </w:r>
      <w:r w:rsidR="007A18E2">
        <w:t>behavior</w:t>
      </w:r>
      <w:r w:rsidR="003226E8" w:rsidRPr="003226E8">
        <w:t xml:space="preserve"> in the tail region</w:t>
      </w:r>
      <w:r w:rsidR="005D10D4">
        <w:t xml:space="preserve"> of the distribution</w:t>
      </w:r>
      <w:r w:rsidR="003226E8" w:rsidRPr="003226E8">
        <w:t>.</w:t>
      </w:r>
      <w:r w:rsidR="003226E8">
        <w:t xml:space="preserve"> </w:t>
      </w:r>
    </w:p>
    <w:p w:rsidR="00B32255" w:rsidRDefault="00B32255" w:rsidP="00583009">
      <w:pPr>
        <w:widowControl/>
        <w:jc w:val="center"/>
        <w:rPr>
          <w:b/>
        </w:rPr>
      </w:pPr>
    </w:p>
    <w:p w:rsidR="00583009" w:rsidRPr="00403A8F" w:rsidRDefault="00583009" w:rsidP="00583009">
      <w:pPr>
        <w:widowControl/>
        <w:jc w:val="center"/>
        <w:rPr>
          <w:b/>
          <w:sz w:val="22"/>
          <w:szCs w:val="22"/>
        </w:rPr>
      </w:pPr>
      <w:r w:rsidRPr="00403A8F">
        <w:rPr>
          <w:b/>
          <w:sz w:val="22"/>
          <w:szCs w:val="22"/>
        </w:rPr>
        <w:t>Figure 1</w:t>
      </w:r>
      <w:r w:rsidR="00D829DF">
        <w:rPr>
          <w:b/>
          <w:sz w:val="22"/>
          <w:szCs w:val="22"/>
        </w:rPr>
        <w:t>: An Illustrated Example for the QR A</w:t>
      </w:r>
      <w:r w:rsidRPr="00403A8F">
        <w:rPr>
          <w:b/>
          <w:sz w:val="22"/>
          <w:szCs w:val="22"/>
        </w:rPr>
        <w:t>pproach</w:t>
      </w:r>
    </w:p>
    <w:p w:rsidR="00583009" w:rsidRDefault="000D0C3B" w:rsidP="00403A8F">
      <w:pPr>
        <w:jc w:val="center"/>
      </w:pPr>
      <w:r>
        <w:rPr>
          <w:noProof/>
          <w:lang w:val="en-NZ" w:eastAsia="en-NZ"/>
        </w:rPr>
        <mc:AlternateContent>
          <mc:Choice Requires="wps">
            <w:drawing>
              <wp:anchor distT="0" distB="0" distL="114300" distR="114300" simplePos="0" relativeHeight="251660288" behindDoc="0" locked="0" layoutInCell="1" allowOverlap="1" wp14:anchorId="0C354F7C" wp14:editId="74370B7B">
                <wp:simplePos x="0" y="0"/>
                <wp:positionH relativeFrom="column">
                  <wp:posOffset>4215765</wp:posOffset>
                </wp:positionH>
                <wp:positionV relativeFrom="paragraph">
                  <wp:posOffset>3291840</wp:posOffset>
                </wp:positionV>
                <wp:extent cx="1094740" cy="440690"/>
                <wp:effectExtent l="0" t="0" r="0" b="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B2B" w:rsidRPr="006E72CC" w:rsidRDefault="008B5B2B" w:rsidP="00583009">
                            <w:pPr>
                              <w:rPr>
                                <w:b/>
                                <w:bCs/>
                                <w:lang w:val="en-NZ"/>
                              </w:rPr>
                            </w:pPr>
                            <w:r>
                              <w:rPr>
                                <w:b/>
                                <w:bCs/>
                                <w:lang w:val="en-NZ"/>
                              </w:rPr>
                              <w:t xml:space="preserve">   X (|DA|)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31.95pt;margin-top:259.2pt;width:86.2pt;height:3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" stroked="f">
                <v:textbox>
                  <w:txbxContent>
                    <w:p w:rsidR="008B5B2B" w:rsidRPr="006E72CC" w:rsidRDefault="008B5B2B" w:rsidP="00583009">
                      <w:pPr>
                        <w:rPr>
                          <w:b/>
                          <w:bCs/>
                          <w:lang w:val="en-NZ"/>
                        </w:rPr>
                      </w:pPr>
                      <w:r>
                        <w:rPr>
                          <w:b/>
                          <w:bCs/>
                          <w:lang w:val="en-NZ"/>
                        </w:rPr>
                        <w:t xml:space="preserve">   X (|DA|)</w:t>
                      </w:r>
                    </w:p>
                  </w:txbxContent>
                </v:textbox>
              </v:shape>
            </w:pict>
          </mc:Fallback>
        </mc:AlternateContent>
      </w:r>
      <w:r w:rsidR="00583009">
        <w:rPr>
          <w:noProof/>
          <w:lang w:val="en-NZ" w:eastAsia="en-NZ"/>
        </w:rPr>
        <mc:AlternateContent>
          <mc:Choice Requires="wps">
            <w:drawing>
              <wp:anchor distT="0" distB="0" distL="114300" distR="114300" simplePos="0" relativeHeight="251659264" behindDoc="0" locked="0" layoutInCell="1" allowOverlap="1" wp14:anchorId="36FC393A" wp14:editId="052C368C">
                <wp:simplePos x="0" y="0"/>
                <wp:positionH relativeFrom="column">
                  <wp:posOffset>903605</wp:posOffset>
                </wp:positionH>
                <wp:positionV relativeFrom="paragraph">
                  <wp:posOffset>1288415</wp:posOffset>
                </wp:positionV>
                <wp:extent cx="1120775" cy="364490"/>
                <wp:effectExtent l="0" t="0" r="3175"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36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B2B" w:rsidRPr="006E72CC" w:rsidRDefault="008B5B2B" w:rsidP="00583009">
                            <w:pPr>
                              <w:rPr>
                                <w:b/>
                                <w:bCs/>
                                <w:lang w:val="en-NZ"/>
                              </w:rPr>
                            </w:pPr>
                            <w:r w:rsidRPr="006E72CC">
                              <w:rPr>
                                <w:b/>
                                <w:bCs/>
                                <w:lang w:val="en-NZ"/>
                              </w:rPr>
                              <w:t>Y</w:t>
                            </w:r>
                            <w:r>
                              <w:rPr>
                                <w:b/>
                                <w:bCs/>
                                <w:lang w:val="en-NZ"/>
                              </w:rPr>
                              <w:t xml:space="preserve"> (RETURN)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71.15pt;margin-top:101.45pt;width:88.25pt;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wphQIAABg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" stroked="f">
                <v:textbox>
                  <w:txbxContent>
                    <w:p w:rsidR="008B5B2B" w:rsidRPr="006E72CC" w:rsidRDefault="008B5B2B" w:rsidP="00583009">
                      <w:pPr>
                        <w:rPr>
                          <w:b/>
                          <w:bCs/>
                          <w:lang w:val="en-NZ"/>
                        </w:rPr>
                      </w:pPr>
                      <w:r w:rsidRPr="006E72CC">
                        <w:rPr>
                          <w:b/>
                          <w:bCs/>
                          <w:lang w:val="en-NZ"/>
                        </w:rPr>
                        <w:t>Y</w:t>
                      </w:r>
                      <w:r>
                        <w:rPr>
                          <w:b/>
                          <w:bCs/>
                          <w:lang w:val="en-NZ"/>
                        </w:rPr>
                        <w:t xml:space="preserve"> (RETURN)</w:t>
                      </w:r>
                    </w:p>
                  </w:txbxContent>
                </v:textbox>
              </v:shape>
            </w:pict>
          </mc:Fallback>
        </mc:AlternateContent>
      </w:r>
      <w:r w:rsidR="00583009">
        <w:rPr>
          <w:noProof/>
          <w:lang w:val="en-NZ" w:eastAsia="en-NZ"/>
        </w:rPr>
        <mc:AlternateContent>
          <mc:Choice Requires="wps">
            <w:drawing>
              <wp:anchor distT="0" distB="0" distL="114300" distR="114300" simplePos="0" relativeHeight="251661312" behindDoc="0" locked="0" layoutInCell="1" allowOverlap="1" wp14:anchorId="47748AC6" wp14:editId="5CFC9F73">
                <wp:simplePos x="0" y="0"/>
                <wp:positionH relativeFrom="column">
                  <wp:posOffset>5024120</wp:posOffset>
                </wp:positionH>
                <wp:positionV relativeFrom="paragraph">
                  <wp:posOffset>1436370</wp:posOffset>
                </wp:positionV>
                <wp:extent cx="571500" cy="22860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B2B" w:rsidRPr="0060535D" w:rsidRDefault="008B5B2B" w:rsidP="00583009">
                            <w:pPr>
                              <w:spacing w:line="0" w:lineRule="atLeast"/>
                              <w:rPr>
                                <w:sz w:val="22"/>
                                <w:szCs w:val="22"/>
                              </w:rPr>
                            </w:pPr>
                            <w:r w:rsidRPr="00107F93">
                              <w:rPr>
                                <w:b/>
                                <w:i/>
                                <w:sz w:val="22"/>
                                <w:szCs w:val="22"/>
                              </w:rPr>
                              <w:t>θ</w:t>
                            </w:r>
                            <w:r w:rsidRPr="00107F93">
                              <w:rPr>
                                <w:b/>
                                <w:sz w:val="22"/>
                                <w:szCs w:val="22"/>
                              </w:rPr>
                              <w:t>=0.</w:t>
                            </w:r>
                            <w:r w:rsidRPr="00107F93">
                              <w:rPr>
                                <w:rFonts w:hint="eastAsia"/>
                                <w:b/>
                                <w:sz w:val="22"/>
                                <w:szCs w:val="22"/>
                              </w:rPr>
                              <w:t>9</w:t>
                            </w:r>
                            <w:r>
                              <w:rPr>
                                <w:rFonts w:hint="eastAsia"/>
                                <w:sz w:val="22"/>
                                <w:szCs w:val="22"/>
                              </w:rPr>
                              <w:t>55</w:t>
                            </w:r>
                            <w:r w:rsidRPr="0060535D">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95.6pt;margin-top:113.1pt;width: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B2tw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" filled="f" stroked="f">
                <v:textbox>
                  <w:txbxContent>
                    <w:p w:rsidR="008B5B2B" w:rsidRPr="0060535D" w:rsidRDefault="008B5B2B" w:rsidP="00583009">
                      <w:pPr>
                        <w:spacing w:line="0" w:lineRule="atLeast"/>
                        <w:rPr>
                          <w:sz w:val="22"/>
                          <w:szCs w:val="22"/>
                        </w:rPr>
                      </w:pPr>
                      <w:r w:rsidRPr="00107F93">
                        <w:rPr>
                          <w:b/>
                          <w:i/>
                          <w:sz w:val="22"/>
                          <w:szCs w:val="22"/>
                        </w:rPr>
                        <w:t>θ</w:t>
                      </w:r>
                      <w:r w:rsidRPr="00107F93">
                        <w:rPr>
                          <w:b/>
                          <w:sz w:val="22"/>
                          <w:szCs w:val="22"/>
                        </w:rPr>
                        <w:t>=0.</w:t>
                      </w:r>
                      <w:r w:rsidRPr="00107F93">
                        <w:rPr>
                          <w:rFonts w:hint="eastAsia"/>
                          <w:b/>
                          <w:sz w:val="22"/>
                          <w:szCs w:val="22"/>
                        </w:rPr>
                        <w:t>9</w:t>
                      </w:r>
                      <w:r>
                        <w:rPr>
                          <w:rFonts w:hint="eastAsia"/>
                          <w:sz w:val="22"/>
                          <w:szCs w:val="22"/>
                        </w:rPr>
                        <w:t>55</w:t>
                      </w:r>
                      <w:r w:rsidRPr="0060535D">
                        <w:rPr>
                          <w:sz w:val="22"/>
                          <w:szCs w:val="22"/>
                        </w:rPr>
                        <w:t xml:space="preserve"> </w:t>
                      </w:r>
                    </w:p>
                  </w:txbxContent>
                </v:textbox>
              </v:shape>
            </w:pict>
          </mc:Fallback>
        </mc:AlternateContent>
      </w:r>
      <w:r w:rsidR="00583009">
        <w:rPr>
          <w:noProof/>
          <w:lang w:val="en-NZ" w:eastAsia="en-NZ"/>
        </w:rPr>
        <mc:AlternateContent>
          <mc:Choice Requires="wps">
            <w:drawing>
              <wp:anchor distT="0" distB="0" distL="114300" distR="114300" simplePos="0" relativeHeight="251662336" behindDoc="0" locked="0" layoutInCell="1" allowOverlap="1" wp14:anchorId="627DF097" wp14:editId="1483CDB0">
                <wp:simplePos x="0" y="0"/>
                <wp:positionH relativeFrom="column">
                  <wp:posOffset>4909820</wp:posOffset>
                </wp:positionH>
                <wp:positionV relativeFrom="paragraph">
                  <wp:posOffset>2087245</wp:posOffset>
                </wp:positionV>
                <wp:extent cx="685800" cy="457200"/>
                <wp:effectExtent l="0" t="0" r="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B2B" w:rsidRPr="00107F93" w:rsidRDefault="008B5B2B" w:rsidP="00583009">
                            <w:pPr>
                              <w:spacing w:line="0" w:lineRule="atLeast"/>
                              <w:rPr>
                                <w:b/>
                                <w:sz w:val="22"/>
                                <w:szCs w:val="22"/>
                              </w:rPr>
                            </w:pPr>
                            <w:r w:rsidRPr="00107F93">
                              <w:rPr>
                                <w:b/>
                                <w:i/>
                                <w:sz w:val="22"/>
                                <w:szCs w:val="22"/>
                              </w:rPr>
                              <w:t>θ</w:t>
                            </w:r>
                            <w:r w:rsidRPr="00107F93">
                              <w:rPr>
                                <w:b/>
                                <w:sz w:val="22"/>
                                <w:szCs w:val="22"/>
                              </w:rPr>
                              <w:t>=0.5</w:t>
                            </w:r>
                            <w:r w:rsidRPr="00107F93">
                              <w:rPr>
                                <w:rFonts w:hint="eastAsia"/>
                                <w:b/>
                                <w:sz w:val="22"/>
                                <w:szCs w:val="22"/>
                              </w:rPr>
                              <w:t>0</w:t>
                            </w:r>
                            <w:r w:rsidRPr="00107F93">
                              <w:rPr>
                                <w:b/>
                                <w:sz w:val="22"/>
                                <w:szCs w:val="22"/>
                              </w:rPr>
                              <w:t xml:space="preserve"> </w:t>
                            </w:r>
                          </w:p>
                          <w:p w:rsidR="008B5B2B" w:rsidRPr="00107F93" w:rsidRDefault="008B5B2B" w:rsidP="00583009">
                            <w:pPr>
                              <w:spacing w:line="0" w:lineRule="atLeast"/>
                              <w:rPr>
                                <w:b/>
                                <w:sz w:val="22"/>
                                <w:szCs w:val="22"/>
                              </w:rPr>
                            </w:pPr>
                            <w:r w:rsidRPr="00107F93">
                              <w:rPr>
                                <w:b/>
                                <w:sz w:val="22"/>
                                <w:szCs w:val="22"/>
                              </w:rPr>
                              <w:t>(LAD)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386.6pt;margin-top:164.35pt;width:5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" filled="f" stroked="f">
                <v:textbox>
                  <w:txbxContent>
                    <w:p w:rsidR="008B5B2B" w:rsidRPr="00107F93" w:rsidRDefault="008B5B2B" w:rsidP="00583009">
                      <w:pPr>
                        <w:spacing w:line="0" w:lineRule="atLeast"/>
                        <w:rPr>
                          <w:b/>
                          <w:sz w:val="22"/>
                          <w:szCs w:val="22"/>
                        </w:rPr>
                      </w:pPr>
                      <w:r w:rsidRPr="00107F93">
                        <w:rPr>
                          <w:b/>
                          <w:i/>
                          <w:sz w:val="22"/>
                          <w:szCs w:val="22"/>
                        </w:rPr>
                        <w:t>θ</w:t>
                      </w:r>
                      <w:r w:rsidRPr="00107F93">
                        <w:rPr>
                          <w:b/>
                          <w:sz w:val="22"/>
                          <w:szCs w:val="22"/>
                        </w:rPr>
                        <w:t>=0.5</w:t>
                      </w:r>
                      <w:r w:rsidRPr="00107F93">
                        <w:rPr>
                          <w:rFonts w:hint="eastAsia"/>
                          <w:b/>
                          <w:sz w:val="22"/>
                          <w:szCs w:val="22"/>
                        </w:rPr>
                        <w:t>0</w:t>
                      </w:r>
                      <w:r w:rsidRPr="00107F93">
                        <w:rPr>
                          <w:b/>
                          <w:sz w:val="22"/>
                          <w:szCs w:val="22"/>
                        </w:rPr>
                        <w:t xml:space="preserve"> </w:t>
                      </w:r>
                    </w:p>
                    <w:p w:rsidR="008B5B2B" w:rsidRPr="00107F93" w:rsidRDefault="008B5B2B" w:rsidP="00583009">
                      <w:pPr>
                        <w:spacing w:line="0" w:lineRule="atLeast"/>
                        <w:rPr>
                          <w:b/>
                          <w:sz w:val="22"/>
                          <w:szCs w:val="22"/>
                        </w:rPr>
                      </w:pPr>
                      <w:r w:rsidRPr="00107F93">
                        <w:rPr>
                          <w:b/>
                          <w:sz w:val="22"/>
                          <w:szCs w:val="22"/>
                        </w:rPr>
                        <w:t>(LAD)</w:t>
                      </w:r>
                    </w:p>
                  </w:txbxContent>
                </v:textbox>
              </v:shape>
            </w:pict>
          </mc:Fallback>
        </mc:AlternateContent>
      </w:r>
      <w:r w:rsidR="00583009">
        <w:rPr>
          <w:noProof/>
          <w:lang w:val="en-NZ" w:eastAsia="en-NZ"/>
        </w:rPr>
        <mc:AlternateContent>
          <mc:Choice Requires="wps">
            <w:drawing>
              <wp:anchor distT="0" distB="0" distL="114300" distR="114300" simplePos="0" relativeHeight="251663360" behindDoc="0" locked="0" layoutInCell="1" allowOverlap="1" wp14:anchorId="1F76A3F1" wp14:editId="257C2793">
                <wp:simplePos x="0" y="0"/>
                <wp:positionH relativeFrom="column">
                  <wp:posOffset>4592955</wp:posOffset>
                </wp:positionH>
                <wp:positionV relativeFrom="paragraph">
                  <wp:posOffset>3068320</wp:posOffset>
                </wp:positionV>
                <wp:extent cx="685800" cy="22860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B2B" w:rsidRPr="00107F93" w:rsidRDefault="008B5B2B" w:rsidP="00583009">
                            <w:pPr>
                              <w:spacing w:line="0" w:lineRule="atLeast"/>
                              <w:rPr>
                                <w:b/>
                                <w:sz w:val="22"/>
                                <w:szCs w:val="22"/>
                              </w:rPr>
                            </w:pPr>
                            <w:r w:rsidRPr="00107F93">
                              <w:rPr>
                                <w:b/>
                                <w:i/>
                                <w:sz w:val="22"/>
                                <w:szCs w:val="22"/>
                              </w:rPr>
                              <w:t>θ</w:t>
                            </w:r>
                            <w:r w:rsidRPr="00107F93">
                              <w:rPr>
                                <w:b/>
                                <w:sz w:val="22"/>
                                <w:szCs w:val="22"/>
                              </w:rPr>
                              <w:t>=0.</w:t>
                            </w:r>
                            <w:r w:rsidRPr="00107F93">
                              <w:rPr>
                                <w:rFonts w:hint="eastAsia"/>
                                <w:b/>
                                <w:sz w:val="22"/>
                                <w:szCs w:val="22"/>
                              </w:rPr>
                              <w:t>05</w:t>
                            </w:r>
                            <w:r w:rsidRPr="00107F93">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361.65pt;margin-top:241.6pt;width:5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" filled="f" stroked="f">
                <v:textbox>
                  <w:txbxContent>
                    <w:p w:rsidR="008B5B2B" w:rsidRPr="00107F93" w:rsidRDefault="008B5B2B" w:rsidP="00583009">
                      <w:pPr>
                        <w:spacing w:line="0" w:lineRule="atLeast"/>
                        <w:rPr>
                          <w:b/>
                          <w:sz w:val="22"/>
                          <w:szCs w:val="22"/>
                        </w:rPr>
                      </w:pPr>
                      <w:r w:rsidRPr="00107F93">
                        <w:rPr>
                          <w:b/>
                          <w:i/>
                          <w:sz w:val="22"/>
                          <w:szCs w:val="22"/>
                        </w:rPr>
                        <w:t>θ</w:t>
                      </w:r>
                      <w:r w:rsidRPr="00107F93">
                        <w:rPr>
                          <w:b/>
                          <w:sz w:val="22"/>
                          <w:szCs w:val="22"/>
                        </w:rPr>
                        <w:t>=0.</w:t>
                      </w:r>
                      <w:r w:rsidRPr="00107F93">
                        <w:rPr>
                          <w:rFonts w:hint="eastAsia"/>
                          <w:b/>
                          <w:sz w:val="22"/>
                          <w:szCs w:val="22"/>
                        </w:rPr>
                        <w:t>05</w:t>
                      </w:r>
                      <w:r w:rsidRPr="00107F93">
                        <w:rPr>
                          <w:b/>
                          <w:sz w:val="22"/>
                          <w:szCs w:val="22"/>
                        </w:rPr>
                        <w:t xml:space="preserve"> </w:t>
                      </w:r>
                    </w:p>
                  </w:txbxContent>
                </v:textbox>
              </v:shape>
            </w:pict>
          </mc:Fallback>
        </mc:AlternateContent>
      </w:r>
      <w:r w:rsidR="00583009">
        <w:rPr>
          <w:noProof/>
          <w:lang w:val="en-NZ" w:eastAsia="en-NZ"/>
        </w:rPr>
        <mc:AlternateContent>
          <mc:Choice Requires="wps">
            <w:drawing>
              <wp:anchor distT="0" distB="0" distL="114300" distR="114300" simplePos="0" relativeHeight="251664384" behindDoc="0" locked="0" layoutInCell="1" allowOverlap="1" wp14:anchorId="2706EFC5" wp14:editId="50292957">
                <wp:simplePos x="0" y="0"/>
                <wp:positionH relativeFrom="column">
                  <wp:posOffset>2228850</wp:posOffset>
                </wp:positionH>
                <wp:positionV relativeFrom="paragraph">
                  <wp:posOffset>537845</wp:posOffset>
                </wp:positionV>
                <wp:extent cx="2542540" cy="767080"/>
                <wp:effectExtent l="0" t="0" r="0" b="0"/>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767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B2B" w:rsidRPr="003E73AF" w:rsidRDefault="008B5B2B" w:rsidP="00583009">
                            <w:pPr>
                              <w:rPr>
                                <w:b/>
                                <w:bCs/>
                                <w:lang w:val="en-NZ"/>
                              </w:rPr>
                            </w:pPr>
                            <w:r w:rsidRPr="003E73AF">
                              <w:rPr>
                                <w:b/>
                                <w:bCs/>
                                <w:i/>
                                <w:iCs/>
                                <w:lang w:val="en-NZ"/>
                              </w:rPr>
                              <w:t>θ=</w:t>
                            </w:r>
                            <w:r w:rsidRPr="003E73AF">
                              <w:rPr>
                                <w:b/>
                                <w:bCs/>
                                <w:lang w:val="en-NZ"/>
                              </w:rPr>
                              <w:t>0.9: 0.9 X1 = 0.1 X |-9|</w:t>
                            </w:r>
                          </w:p>
                          <w:p w:rsidR="008B5B2B" w:rsidRPr="003E73AF" w:rsidRDefault="008B5B2B" w:rsidP="00583009">
                            <w:pPr>
                              <w:rPr>
                                <w:b/>
                                <w:bCs/>
                                <w:lang w:val="en-NZ"/>
                              </w:rPr>
                            </w:pPr>
                            <w:r w:rsidRPr="003E73AF">
                              <w:rPr>
                                <w:b/>
                                <w:bCs/>
                                <w:i/>
                                <w:iCs/>
                                <w:lang w:val="en-NZ"/>
                              </w:rPr>
                              <w:t>θ=</w:t>
                            </w:r>
                            <w:r w:rsidRPr="003E73AF">
                              <w:rPr>
                                <w:b/>
                                <w:bCs/>
                                <w:lang w:val="en-NZ"/>
                              </w:rPr>
                              <w:t>0.5: 0.5 X 1 = 0.5 X |-1|</w:t>
                            </w:r>
                          </w:p>
                          <w:p w:rsidR="008B5B2B" w:rsidRPr="003E73AF" w:rsidRDefault="008B5B2B" w:rsidP="00583009">
                            <w:pPr>
                              <w:rPr>
                                <w:b/>
                                <w:bCs/>
                                <w:lang w:val="en-NZ"/>
                              </w:rPr>
                            </w:pPr>
                            <w:r w:rsidRPr="003E73AF">
                              <w:rPr>
                                <w:b/>
                                <w:bCs/>
                                <w:i/>
                                <w:iCs/>
                                <w:lang w:val="en-NZ"/>
                              </w:rPr>
                              <w:t>θ=</w:t>
                            </w:r>
                            <w:r w:rsidRPr="003E73AF">
                              <w:rPr>
                                <w:b/>
                                <w:bCs/>
                                <w:lang w:val="en-NZ"/>
                              </w:rPr>
                              <w:t>0.1: 0.1 X 9 = 0.9 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175.5pt;margin-top:42.35pt;width:200.2pt;height:6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" stroked="f">
                <v:textbox>
                  <w:txbxContent>
                    <w:p w:rsidR="008B5B2B" w:rsidRPr="003E73AF" w:rsidRDefault="008B5B2B" w:rsidP="00583009">
                      <w:pPr>
                        <w:rPr>
                          <w:b/>
                          <w:bCs/>
                          <w:lang w:val="en-NZ"/>
                        </w:rPr>
                      </w:pPr>
                      <w:r w:rsidRPr="003E73AF">
                        <w:rPr>
                          <w:b/>
                          <w:bCs/>
                          <w:i/>
                          <w:iCs/>
                          <w:lang w:val="en-NZ"/>
                        </w:rPr>
                        <w:t>θ=</w:t>
                      </w:r>
                      <w:r w:rsidRPr="003E73AF">
                        <w:rPr>
                          <w:b/>
                          <w:bCs/>
                          <w:lang w:val="en-NZ"/>
                        </w:rPr>
                        <w:t>0.9: 0.9 X1 = 0.1 X |-9|</w:t>
                      </w:r>
                    </w:p>
                    <w:p w:rsidR="008B5B2B" w:rsidRPr="003E73AF" w:rsidRDefault="008B5B2B" w:rsidP="00583009">
                      <w:pPr>
                        <w:rPr>
                          <w:b/>
                          <w:bCs/>
                          <w:lang w:val="en-NZ"/>
                        </w:rPr>
                      </w:pPr>
                      <w:r w:rsidRPr="003E73AF">
                        <w:rPr>
                          <w:b/>
                          <w:bCs/>
                          <w:i/>
                          <w:iCs/>
                          <w:lang w:val="en-NZ"/>
                        </w:rPr>
                        <w:t>θ=</w:t>
                      </w:r>
                      <w:r w:rsidRPr="003E73AF">
                        <w:rPr>
                          <w:b/>
                          <w:bCs/>
                          <w:lang w:val="en-NZ"/>
                        </w:rPr>
                        <w:t>0.5: 0.5 X 1 = 0.5 X |-1|</w:t>
                      </w:r>
                    </w:p>
                    <w:p w:rsidR="008B5B2B" w:rsidRPr="003E73AF" w:rsidRDefault="008B5B2B" w:rsidP="00583009">
                      <w:pPr>
                        <w:rPr>
                          <w:b/>
                          <w:bCs/>
                          <w:lang w:val="en-NZ"/>
                        </w:rPr>
                      </w:pPr>
                      <w:r w:rsidRPr="003E73AF">
                        <w:rPr>
                          <w:b/>
                          <w:bCs/>
                          <w:i/>
                          <w:iCs/>
                          <w:lang w:val="en-NZ"/>
                        </w:rPr>
                        <w:t>θ=</w:t>
                      </w:r>
                      <w:r w:rsidRPr="003E73AF">
                        <w:rPr>
                          <w:b/>
                          <w:bCs/>
                          <w:lang w:val="en-NZ"/>
                        </w:rPr>
                        <w:t>0.1: 0.1 X 9 = 0.9 X |-1|</w:t>
                      </w:r>
                    </w:p>
                  </w:txbxContent>
                </v:textbox>
              </v:shape>
            </w:pict>
          </mc:Fallback>
        </mc:AlternateContent>
      </w:r>
      <w:r w:rsidR="00583009" w:rsidRPr="006669B8">
        <w:rPr>
          <w:noProof/>
          <w:lang w:val="en-NZ" w:eastAsia="en-NZ"/>
        </w:rPr>
        <w:drawing>
          <wp:inline distT="0" distB="0" distL="0" distR="0" wp14:anchorId="5623C11A" wp14:editId="34B3DBC3">
            <wp:extent cx="4274970" cy="408940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77732" cy="4092042"/>
                    </a:xfrm>
                    <a:prstGeom prst="rect">
                      <a:avLst/>
                    </a:prstGeom>
                    <a:noFill/>
                    <a:ln>
                      <a:noFill/>
                    </a:ln>
                  </pic:spPr>
                </pic:pic>
              </a:graphicData>
            </a:graphic>
          </wp:inline>
        </w:drawing>
      </w:r>
    </w:p>
    <w:p w:rsidR="00691B4A" w:rsidRDefault="00B32255" w:rsidP="00B32255">
      <w:pPr>
        <w:widowControl/>
        <w:spacing w:after="160" w:line="259" w:lineRule="auto"/>
      </w:pPr>
      <w:r w:rsidRPr="00B32255">
        <w:t>M</w:t>
      </w:r>
      <w:r w:rsidR="00361151">
        <w:t xml:space="preserve">oreover, </w:t>
      </w:r>
      <w:r w:rsidR="005B09C5">
        <w:t>t</w:t>
      </w:r>
      <w:r w:rsidR="00F7150F">
        <w:t xml:space="preserve">he </w:t>
      </w:r>
      <w:r w:rsidR="00691B4A" w:rsidRPr="008126EB">
        <w:t xml:space="preserve">OLS estimator vector of </w:t>
      </w:r>
      <w:r w:rsidR="00691B4A" w:rsidRPr="008126EB">
        <w:rPr>
          <w:i/>
        </w:rPr>
        <w:t>β</w:t>
      </w:r>
      <w:r w:rsidR="00361151">
        <w:t xml:space="preserve"> </w:t>
      </w:r>
      <w:r w:rsidR="00B27197">
        <w:t xml:space="preserve">can be </w:t>
      </w:r>
      <w:r w:rsidR="00361151">
        <w:t xml:space="preserve">obtained from: </w:t>
      </w:r>
    </w:p>
    <w:p w:rsidR="00403A8F" w:rsidRDefault="00F7150F" w:rsidP="00D829DF">
      <w:pPr>
        <w:widowControl/>
        <w:spacing w:line="288" w:lineRule="auto"/>
        <w:ind w:firstLineChars="300" w:firstLine="660"/>
        <w:jc w:val="both"/>
        <w:rPr>
          <w:rFonts w:eastAsia="DFKai-SB"/>
        </w:rPr>
      </w:pPr>
      <w:r w:rsidRPr="00D829DF">
        <w:rPr>
          <w:rFonts w:eastAsia="DFKai-SB"/>
          <w:position w:val="-28"/>
          <w:sz w:val="22"/>
          <w:szCs w:val="22"/>
        </w:rPr>
        <w:object w:dxaOrig="3400" w:dyaOrig="540">
          <v:shape id="_x0000_i1030" type="#_x0000_t75" style="width:174pt;height:33.6pt" o:ole="">
            <v:imagedata r:id="rId20" o:title=""/>
          </v:shape>
          <o:OLEObject Type="Embed" ProgID="Equation.3" ShapeID="_x0000_i1030" DrawAspect="Content" ObjectID="_1570627434" r:id="rId21"/>
        </w:object>
      </w:r>
      <w:r w:rsidR="00B26438" w:rsidRPr="008126EB">
        <w:rPr>
          <w:rFonts w:eastAsia="DFKai-SB"/>
        </w:rPr>
        <w:t xml:space="preserve"> </w:t>
      </w:r>
      <w:r w:rsidR="00B26438" w:rsidRPr="008126EB">
        <w:rPr>
          <w:rFonts w:eastAsia="DFKai-SB" w:hint="eastAsia"/>
        </w:rPr>
        <w:t xml:space="preserve">        </w:t>
      </w:r>
      <w:r w:rsidR="00B26438" w:rsidRPr="008126EB">
        <w:rPr>
          <w:rFonts w:eastAsia="DFKai-SB"/>
        </w:rPr>
        <w:t xml:space="preserve">                              </w:t>
      </w:r>
      <w:r w:rsidR="00691B4A" w:rsidRPr="008126EB">
        <w:rPr>
          <w:rFonts w:eastAsia="DFKai-SB"/>
        </w:rPr>
        <w:t xml:space="preserve"> </w:t>
      </w:r>
      <w:r w:rsidR="00403A8F">
        <w:rPr>
          <w:rFonts w:eastAsia="DFKai-SB"/>
        </w:rPr>
        <w:tab/>
        <w:t xml:space="preserve">    </w:t>
      </w:r>
      <w:r w:rsidR="00403A8F" w:rsidRPr="00D829DF">
        <w:rPr>
          <w:rFonts w:eastAsia="DFKai-SB"/>
          <w:sz w:val="22"/>
          <w:szCs w:val="22"/>
        </w:rPr>
        <w:t xml:space="preserve"> (5)</w:t>
      </w:r>
    </w:p>
    <w:p w:rsidR="00F7150F" w:rsidRDefault="00F7150F" w:rsidP="00403A8F">
      <w:pPr>
        <w:widowControl/>
        <w:spacing w:line="288" w:lineRule="auto"/>
        <w:ind w:firstLineChars="300" w:firstLine="720"/>
        <w:jc w:val="both"/>
        <w:rPr>
          <w:rFonts w:eastAsia="DFKai-SB"/>
        </w:rPr>
      </w:pPr>
      <w:r>
        <w:rPr>
          <w:rFonts w:eastAsia="DFKai-SB"/>
        </w:rPr>
        <w:t xml:space="preserve">The comparison between </w:t>
      </w:r>
      <w:r w:rsidR="0015071E">
        <w:rPr>
          <w:rFonts w:eastAsia="DFKai-SB"/>
        </w:rPr>
        <w:t>e</w:t>
      </w:r>
      <w:r w:rsidR="00F85192">
        <w:rPr>
          <w:rFonts w:eastAsia="DFKai-SB"/>
        </w:rPr>
        <w:t>quation</w:t>
      </w:r>
      <w:r>
        <w:rPr>
          <w:rFonts w:eastAsia="DFKai-SB"/>
        </w:rPr>
        <w:t xml:space="preserve"> (</w:t>
      </w:r>
      <w:r w:rsidR="00361151">
        <w:rPr>
          <w:rFonts w:eastAsia="DFKai-SB"/>
        </w:rPr>
        <w:t>5</w:t>
      </w:r>
      <w:r>
        <w:rPr>
          <w:rFonts w:eastAsia="DFKai-SB"/>
        </w:rPr>
        <w:t>) and (</w:t>
      </w:r>
      <w:r w:rsidR="00361151">
        <w:rPr>
          <w:rFonts w:eastAsia="DFKai-SB"/>
        </w:rPr>
        <w:t>4</w:t>
      </w:r>
      <w:r>
        <w:rPr>
          <w:rFonts w:eastAsia="DFKai-SB"/>
        </w:rPr>
        <w:t xml:space="preserve">) </w:t>
      </w:r>
      <w:r w:rsidR="00B27197">
        <w:rPr>
          <w:rFonts w:eastAsia="DFKai-SB"/>
        </w:rPr>
        <w:t xml:space="preserve">reveals </w:t>
      </w:r>
      <w:r>
        <w:rPr>
          <w:rFonts w:eastAsia="DFKai-SB"/>
        </w:rPr>
        <w:t xml:space="preserve">the difference between the </w:t>
      </w:r>
      <w:r w:rsidR="00361151">
        <w:rPr>
          <w:rFonts w:eastAsia="DFKai-SB"/>
        </w:rPr>
        <w:t>OLS</w:t>
      </w:r>
      <w:r>
        <w:rPr>
          <w:rFonts w:eastAsia="DFKai-SB"/>
        </w:rPr>
        <w:t xml:space="preserve"> and </w:t>
      </w:r>
      <w:r w:rsidR="00361151">
        <w:rPr>
          <w:rFonts w:eastAsia="DFKai-SB"/>
        </w:rPr>
        <w:t xml:space="preserve">LAD </w:t>
      </w:r>
      <w:r>
        <w:rPr>
          <w:rFonts w:eastAsia="DFKai-SB"/>
        </w:rPr>
        <w:t xml:space="preserve">methods. </w:t>
      </w:r>
      <w:r w:rsidR="00BC1C8F">
        <w:rPr>
          <w:rFonts w:eastAsia="DFKai-SB"/>
        </w:rPr>
        <w:t>S</w:t>
      </w:r>
      <w:r>
        <w:rPr>
          <w:rFonts w:eastAsia="DFKai-SB"/>
        </w:rPr>
        <w:t>pecific</w:t>
      </w:r>
      <w:r w:rsidR="00BC1C8F">
        <w:rPr>
          <w:rFonts w:eastAsia="DFKai-SB"/>
        </w:rPr>
        <w:t>ally</w:t>
      </w:r>
      <w:r>
        <w:rPr>
          <w:rFonts w:eastAsia="DFKai-SB"/>
        </w:rPr>
        <w:t xml:space="preserve">, </w:t>
      </w:r>
      <w:r w:rsidR="00BC1C8F">
        <w:rPr>
          <w:rFonts w:eastAsia="DFKai-SB"/>
        </w:rPr>
        <w:t xml:space="preserve">the sum of the absolute and squared value of errors are at the minimum when using </w:t>
      </w:r>
      <w:r>
        <w:rPr>
          <w:rFonts w:eastAsia="DFKai-SB"/>
        </w:rPr>
        <w:t xml:space="preserve">the LAD </w:t>
      </w:r>
      <w:r w:rsidR="005B09C5">
        <w:rPr>
          <w:rFonts w:eastAsia="DFKai-SB"/>
        </w:rPr>
        <w:t>and OLS</w:t>
      </w:r>
      <w:r>
        <w:rPr>
          <w:rFonts w:eastAsia="DFKai-SB"/>
        </w:rPr>
        <w:t>. Therefore, th</w:t>
      </w:r>
      <w:r w:rsidR="003E2959">
        <w:rPr>
          <w:rFonts w:eastAsia="DFKai-SB"/>
        </w:rPr>
        <w:t xml:space="preserve">e LAD and OLS present </w:t>
      </w:r>
      <w:r>
        <w:rPr>
          <w:rFonts w:eastAsia="DFKai-SB"/>
        </w:rPr>
        <w:t>the conditional median and mean function of the dependent variable (</w:t>
      </w:r>
      <w:r w:rsidRPr="008126EB">
        <w:rPr>
          <w:i/>
        </w:rPr>
        <w:t>y</w:t>
      </w:r>
      <w:r w:rsidRPr="008126EB">
        <w:rPr>
          <w:i/>
          <w:vertAlign w:val="subscript"/>
        </w:rPr>
        <w:t>i</w:t>
      </w:r>
      <w:r w:rsidRPr="008126EB">
        <w:rPr>
          <w:rFonts w:hint="eastAsia"/>
          <w:i/>
          <w:vertAlign w:val="subscript"/>
        </w:rPr>
        <w:t>t</w:t>
      </w:r>
      <w:r>
        <w:rPr>
          <w:rFonts w:eastAsia="DFKai-SB"/>
        </w:rPr>
        <w:t>) on the independent variables (</w:t>
      </w:r>
      <w:r>
        <w:rPr>
          <w:i/>
        </w:rPr>
        <w:t>x</w:t>
      </w:r>
      <w:r w:rsidRPr="008126EB">
        <w:rPr>
          <w:i/>
          <w:vertAlign w:val="subscript"/>
        </w:rPr>
        <w:t>i</w:t>
      </w:r>
      <w:r w:rsidRPr="008126EB">
        <w:rPr>
          <w:rFonts w:hint="eastAsia"/>
          <w:i/>
          <w:vertAlign w:val="subscript"/>
        </w:rPr>
        <w:t>t</w:t>
      </w:r>
      <w:r>
        <w:rPr>
          <w:rFonts w:eastAsia="DFKai-SB"/>
        </w:rPr>
        <w:t>)</w:t>
      </w:r>
      <w:r w:rsidR="003E2959">
        <w:rPr>
          <w:rFonts w:eastAsia="DFKai-SB"/>
        </w:rPr>
        <w:t>, respectively</w:t>
      </w:r>
      <w:r>
        <w:rPr>
          <w:rFonts w:eastAsia="DFKai-SB"/>
        </w:rPr>
        <w:t xml:space="preserve">.  </w:t>
      </w:r>
    </w:p>
    <w:p w:rsidR="00691B4A" w:rsidRPr="008126EB" w:rsidRDefault="00691B4A" w:rsidP="00FE1E17">
      <w:pPr>
        <w:keepNext/>
        <w:widowControl/>
        <w:adjustRightInd w:val="0"/>
        <w:snapToGrid w:val="0"/>
        <w:spacing w:line="288" w:lineRule="auto"/>
        <w:jc w:val="both"/>
        <w:rPr>
          <w:b/>
        </w:rPr>
      </w:pPr>
      <w:r w:rsidRPr="008126EB">
        <w:rPr>
          <w:b/>
        </w:rPr>
        <w:lastRenderedPageBreak/>
        <w:t xml:space="preserve">4. </w:t>
      </w:r>
      <w:r w:rsidRPr="000A59EC">
        <w:rPr>
          <w:b/>
        </w:rPr>
        <w:t>Sample</w:t>
      </w:r>
      <w:r w:rsidR="00BC1C8F">
        <w:rPr>
          <w:b/>
        </w:rPr>
        <w:t>s</w:t>
      </w:r>
      <w:r w:rsidR="000F47F0">
        <w:rPr>
          <w:b/>
        </w:rPr>
        <w:t>, Variables and M</w:t>
      </w:r>
      <w:r w:rsidRPr="008126EB">
        <w:rPr>
          <w:b/>
        </w:rPr>
        <w:t>odel</w:t>
      </w:r>
      <w:r w:rsidR="00BC1C8F">
        <w:rPr>
          <w:b/>
        </w:rPr>
        <w:t>s</w:t>
      </w:r>
    </w:p>
    <w:p w:rsidR="000F47F0" w:rsidRPr="000F47F0" w:rsidRDefault="000F47F0" w:rsidP="00FE1E17">
      <w:pPr>
        <w:keepNext/>
        <w:widowControl/>
        <w:adjustRightInd w:val="0"/>
        <w:snapToGrid w:val="0"/>
        <w:spacing w:line="288" w:lineRule="auto"/>
        <w:jc w:val="both"/>
        <w:rPr>
          <w:b/>
          <w:i/>
          <w:sz w:val="12"/>
          <w:szCs w:val="12"/>
        </w:rPr>
      </w:pPr>
    </w:p>
    <w:p w:rsidR="00691B4A" w:rsidRPr="000F47F0" w:rsidRDefault="00691B4A" w:rsidP="00FE1E17">
      <w:pPr>
        <w:keepNext/>
        <w:widowControl/>
        <w:adjustRightInd w:val="0"/>
        <w:snapToGrid w:val="0"/>
        <w:spacing w:line="288" w:lineRule="auto"/>
        <w:jc w:val="both"/>
        <w:rPr>
          <w:b/>
        </w:rPr>
      </w:pPr>
      <w:r w:rsidRPr="000F47F0">
        <w:rPr>
          <w:b/>
        </w:rPr>
        <w:t>4.1 Sample</w:t>
      </w:r>
      <w:r w:rsidR="00BC1C8F" w:rsidRPr="000F47F0">
        <w:rPr>
          <w:b/>
        </w:rPr>
        <w:t>s</w:t>
      </w:r>
    </w:p>
    <w:p w:rsidR="000F47F0" w:rsidRPr="000F47F0" w:rsidRDefault="000F47F0" w:rsidP="00403A8F">
      <w:pPr>
        <w:widowControl/>
        <w:adjustRightInd w:val="0"/>
        <w:snapToGrid w:val="0"/>
        <w:spacing w:line="288" w:lineRule="auto"/>
        <w:jc w:val="both"/>
        <w:rPr>
          <w:rStyle w:val="PageNumber"/>
          <w:sz w:val="6"/>
          <w:szCs w:val="6"/>
        </w:rPr>
      </w:pPr>
    </w:p>
    <w:p w:rsidR="00691B4A" w:rsidRDefault="007F67E6" w:rsidP="00403A8F">
      <w:pPr>
        <w:widowControl/>
        <w:adjustRightInd w:val="0"/>
        <w:snapToGrid w:val="0"/>
        <w:spacing w:line="288" w:lineRule="auto"/>
        <w:jc w:val="both"/>
      </w:pPr>
      <w:r>
        <w:rPr>
          <w:rStyle w:val="PageNumber"/>
        </w:rPr>
        <w:t>W</w:t>
      </w:r>
      <w:r w:rsidR="00691B4A" w:rsidRPr="008126EB">
        <w:t xml:space="preserve">e obtain </w:t>
      </w:r>
      <w:r w:rsidR="00B26438" w:rsidRPr="008126EB">
        <w:t xml:space="preserve">data </w:t>
      </w:r>
      <w:r w:rsidR="00691B4A" w:rsidRPr="008126EB">
        <w:t>from Comp</w:t>
      </w:r>
      <w:r w:rsidR="00691B4A" w:rsidRPr="008126EB">
        <w:rPr>
          <w:rStyle w:val="PageNumber"/>
        </w:rPr>
        <w:t xml:space="preserve">ustat </w:t>
      </w:r>
      <w:r w:rsidR="00691B4A" w:rsidRPr="008126EB">
        <w:rPr>
          <w:rStyle w:val="PageNumber"/>
          <w:rFonts w:hint="eastAsia"/>
        </w:rPr>
        <w:t>and</w:t>
      </w:r>
      <w:r w:rsidR="00691B4A" w:rsidRPr="008126EB">
        <w:rPr>
          <w:rStyle w:val="PageNumber"/>
        </w:rPr>
        <w:t xml:space="preserve"> the</w:t>
      </w:r>
      <w:r w:rsidR="00691B4A" w:rsidRPr="008126EB">
        <w:rPr>
          <w:rStyle w:val="PageNumber"/>
          <w:rFonts w:hint="eastAsia"/>
        </w:rPr>
        <w:t xml:space="preserve"> </w:t>
      </w:r>
      <w:r w:rsidR="00691B4A" w:rsidRPr="008126EB">
        <w:rPr>
          <w:rFonts w:eastAsia="DFKai-SB"/>
        </w:rPr>
        <w:t xml:space="preserve">Center for Research in Security Prices </w:t>
      </w:r>
      <w:r w:rsidR="00626BC5">
        <w:rPr>
          <w:rFonts w:hint="eastAsia"/>
        </w:rPr>
        <w:t xml:space="preserve">(CRSP) </w:t>
      </w:r>
      <w:r w:rsidR="00691B4A" w:rsidRPr="008126EB">
        <w:rPr>
          <w:rFonts w:eastAsia="DFKai-SB"/>
        </w:rPr>
        <w:t>database.</w:t>
      </w:r>
      <w:r w:rsidR="00691B4A" w:rsidRPr="008126EB">
        <w:rPr>
          <w:rStyle w:val="PageNumber"/>
          <w:rFonts w:hint="eastAsia"/>
        </w:rPr>
        <w:t xml:space="preserve"> </w:t>
      </w:r>
      <w:r w:rsidR="000977D4">
        <w:t>F</w:t>
      </w:r>
      <w:r w:rsidR="00691B4A" w:rsidRPr="008126EB">
        <w:t xml:space="preserve">irms in the financial </w:t>
      </w:r>
      <w:r w:rsidR="000977D4">
        <w:t xml:space="preserve">industries </w:t>
      </w:r>
      <w:r w:rsidR="00BC1C8F">
        <w:rPr>
          <w:rStyle w:val="PageNumber"/>
        </w:rPr>
        <w:t xml:space="preserve">are excluded </w:t>
      </w:r>
      <w:r w:rsidR="000977D4">
        <w:rPr>
          <w:rStyle w:val="PageNumber"/>
        </w:rPr>
        <w:t>from analyse</w:t>
      </w:r>
      <w:r w:rsidR="00BC1C8F">
        <w:rPr>
          <w:rStyle w:val="PageNumber"/>
        </w:rPr>
        <w:t xml:space="preserve">s </w:t>
      </w:r>
      <w:r w:rsidR="00691B4A" w:rsidRPr="008126EB">
        <w:t xml:space="preserve">(SIC </w:t>
      </w:r>
      <w:r w:rsidR="00515F92">
        <w:t xml:space="preserve">code </w:t>
      </w:r>
      <w:r w:rsidR="00691B4A" w:rsidRPr="008126EB">
        <w:t xml:space="preserve">6000-6999) </w:t>
      </w:r>
      <w:r w:rsidR="000977D4">
        <w:t>since</w:t>
      </w:r>
      <w:r w:rsidR="00691B4A" w:rsidRPr="008126EB">
        <w:t xml:space="preserve"> </w:t>
      </w:r>
      <w:r w:rsidR="00317E25">
        <w:rPr>
          <w:rStyle w:val="PageNumber"/>
        </w:rPr>
        <w:t>|</w:t>
      </w:r>
      <w:r w:rsidR="00317E25" w:rsidRPr="00317E25">
        <w:rPr>
          <w:rStyle w:val="PageNumber"/>
          <w:i/>
        </w:rPr>
        <w:t>DA</w:t>
      </w:r>
      <w:r w:rsidR="00317E25">
        <w:rPr>
          <w:rStyle w:val="PageNumber"/>
        </w:rPr>
        <w:t>|</w:t>
      </w:r>
      <w:r w:rsidR="00317E25">
        <w:t xml:space="preserve"> is </w:t>
      </w:r>
      <w:r w:rsidR="00691B4A" w:rsidRPr="008126EB">
        <w:t>not a</w:t>
      </w:r>
      <w:r w:rsidR="000977D4">
        <w:t xml:space="preserve"> proper </w:t>
      </w:r>
      <w:r w:rsidR="00691B4A" w:rsidRPr="008126EB">
        <w:t xml:space="preserve">measure of </w:t>
      </w:r>
      <w:r w:rsidR="00C473A3">
        <w:t>earnings manipulation</w:t>
      </w:r>
      <w:r w:rsidR="00691B4A" w:rsidRPr="008126EB">
        <w:t xml:space="preserve"> for companies in this sector. </w:t>
      </w:r>
      <w:r w:rsidR="00317E25">
        <w:t>Because of</w:t>
      </w:r>
      <w:r w:rsidR="00691B4A" w:rsidRPr="008126EB">
        <w:t xml:space="preserve"> this exclusion, </w:t>
      </w:r>
      <w:r w:rsidR="00691B4A" w:rsidRPr="008126EB">
        <w:rPr>
          <w:rFonts w:eastAsia="DFKai-SB"/>
        </w:rPr>
        <w:t xml:space="preserve">2,290 </w:t>
      </w:r>
      <w:r w:rsidR="00691B4A" w:rsidRPr="008126EB">
        <w:t>non</w:t>
      </w:r>
      <w:r w:rsidR="00317E25">
        <w:t>-</w:t>
      </w:r>
      <w:r w:rsidR="00691B4A" w:rsidRPr="008126EB">
        <w:t xml:space="preserve">financial firms </w:t>
      </w:r>
      <w:r w:rsidR="00B26438" w:rsidRPr="008126EB">
        <w:t>in the United States with all</w:t>
      </w:r>
      <w:r w:rsidR="00B26438" w:rsidRPr="008126EB">
        <w:rPr>
          <w:rStyle w:val="PageNumber"/>
        </w:rPr>
        <w:t xml:space="preserve"> required data </w:t>
      </w:r>
      <w:r w:rsidR="00691B4A" w:rsidRPr="008126EB">
        <w:t>from 199</w:t>
      </w:r>
      <w:r w:rsidR="00691B4A" w:rsidRPr="008126EB">
        <w:rPr>
          <w:rFonts w:hint="eastAsia"/>
        </w:rPr>
        <w:t>2</w:t>
      </w:r>
      <w:r w:rsidR="00691B4A" w:rsidRPr="008126EB">
        <w:t xml:space="preserve"> to 20</w:t>
      </w:r>
      <w:r w:rsidR="00136563">
        <w:t>10</w:t>
      </w:r>
      <w:r w:rsidR="00691B4A" w:rsidRPr="008126EB">
        <w:t xml:space="preserve"> are included in the </w:t>
      </w:r>
      <w:r>
        <w:t>study</w:t>
      </w:r>
      <w:r w:rsidR="00C17437" w:rsidRPr="008126EB">
        <w:t>,</w:t>
      </w:r>
      <w:r w:rsidR="00B26438" w:rsidRPr="008126EB">
        <w:t xml:space="preserve"> which</w:t>
      </w:r>
      <w:r w:rsidR="00691B4A" w:rsidRPr="008126EB">
        <w:t xml:space="preserve"> provides </w:t>
      </w:r>
      <w:r w:rsidR="00691B4A" w:rsidRPr="008126EB">
        <w:rPr>
          <w:rFonts w:eastAsia="DFKai-SB"/>
        </w:rPr>
        <w:t>20,350 firm–year observations</w:t>
      </w:r>
      <w:r w:rsidR="00317E25">
        <w:rPr>
          <w:rFonts w:eastAsia="DFKai-SB"/>
        </w:rPr>
        <w:t xml:space="preserve"> for the statistical analyses</w:t>
      </w:r>
      <w:r w:rsidR="00691B4A" w:rsidRPr="008126EB">
        <w:t>.</w:t>
      </w:r>
      <w:r w:rsidR="00A04046">
        <w:rPr>
          <w:rFonts w:hint="eastAsia"/>
        </w:rPr>
        <w:t xml:space="preserve"> </w:t>
      </w:r>
    </w:p>
    <w:p w:rsidR="00403A8F" w:rsidRPr="008126EB" w:rsidRDefault="00403A8F" w:rsidP="00403A8F">
      <w:pPr>
        <w:widowControl/>
        <w:adjustRightInd w:val="0"/>
        <w:snapToGrid w:val="0"/>
        <w:spacing w:line="288" w:lineRule="auto"/>
        <w:jc w:val="both"/>
      </w:pPr>
    </w:p>
    <w:p w:rsidR="002336ED" w:rsidRPr="000F47F0" w:rsidRDefault="00691B4A" w:rsidP="00FE1E17">
      <w:pPr>
        <w:keepNext/>
        <w:widowControl/>
        <w:adjustRightInd w:val="0"/>
        <w:snapToGrid w:val="0"/>
        <w:spacing w:line="288" w:lineRule="auto"/>
        <w:jc w:val="both"/>
        <w:rPr>
          <w:b/>
        </w:rPr>
      </w:pPr>
      <w:r w:rsidRPr="000F47F0">
        <w:rPr>
          <w:b/>
        </w:rPr>
        <w:t xml:space="preserve">4.2 </w:t>
      </w:r>
      <w:r w:rsidR="000D0C3B">
        <w:rPr>
          <w:b/>
        </w:rPr>
        <w:t xml:space="preserve"> Variables M</w:t>
      </w:r>
      <w:r w:rsidRPr="000F47F0">
        <w:rPr>
          <w:b/>
        </w:rPr>
        <w:t>easure</w:t>
      </w:r>
      <w:r w:rsidR="000977D4" w:rsidRPr="000F47F0">
        <w:rPr>
          <w:b/>
        </w:rPr>
        <w:t>ment</w:t>
      </w:r>
      <w:r w:rsidRPr="000F47F0">
        <w:rPr>
          <w:b/>
        </w:rPr>
        <w:t xml:space="preserve">s </w:t>
      </w:r>
    </w:p>
    <w:p w:rsidR="000F47F0" w:rsidRPr="000F47F0" w:rsidRDefault="000F47F0" w:rsidP="00403A8F">
      <w:pPr>
        <w:widowControl/>
        <w:adjustRightInd w:val="0"/>
        <w:snapToGrid w:val="0"/>
        <w:spacing w:line="288" w:lineRule="auto"/>
        <w:jc w:val="both"/>
        <w:rPr>
          <w:sz w:val="6"/>
          <w:szCs w:val="6"/>
        </w:rPr>
      </w:pPr>
    </w:p>
    <w:p w:rsidR="002114A4" w:rsidRDefault="002336ED" w:rsidP="00403A8F">
      <w:pPr>
        <w:widowControl/>
        <w:adjustRightInd w:val="0"/>
        <w:snapToGrid w:val="0"/>
        <w:spacing w:line="288" w:lineRule="auto"/>
        <w:jc w:val="both"/>
      </w:pPr>
      <w:r>
        <w:t>T</w:t>
      </w:r>
      <w:r w:rsidR="003319B1" w:rsidRPr="003319B1">
        <w:t xml:space="preserve">he </w:t>
      </w:r>
      <w:r w:rsidR="003319B1">
        <w:t>annual stock return</w:t>
      </w:r>
      <w:r w:rsidR="000977D4">
        <w:t xml:space="preserve">, </w:t>
      </w:r>
      <w:r w:rsidR="003319B1">
        <w:t>the dependent variable in our analysis</w:t>
      </w:r>
      <w:r w:rsidR="000977D4">
        <w:t>, i</w:t>
      </w:r>
      <w:r w:rsidR="003319B1" w:rsidRPr="003319B1">
        <w:t xml:space="preserve">s compounded monthly stock returns </w:t>
      </w:r>
      <w:r w:rsidR="000977D4">
        <w:t>over</w:t>
      </w:r>
      <w:r w:rsidR="003319B1" w:rsidRPr="003319B1">
        <w:t xml:space="preserve"> a 12-month period ending three months after the </w:t>
      </w:r>
      <w:r w:rsidR="000977D4">
        <w:t>closing</w:t>
      </w:r>
      <w:r w:rsidR="003319B1" w:rsidRPr="003319B1">
        <w:t xml:space="preserve"> of the fiscal year</w:t>
      </w:r>
      <w:r w:rsidR="003319B1">
        <w:t xml:space="preserve"> (</w:t>
      </w:r>
      <w:r w:rsidRPr="008126EB">
        <w:rPr>
          <w:rFonts w:eastAsia="DFKai-SB"/>
        </w:rPr>
        <w:t>Subramanyam</w:t>
      </w:r>
      <w:r w:rsidR="003319B1">
        <w:rPr>
          <w:rFonts w:eastAsia="DFKai-SB"/>
        </w:rPr>
        <w:t xml:space="preserve"> </w:t>
      </w:r>
      <w:r w:rsidRPr="008126EB">
        <w:rPr>
          <w:rFonts w:eastAsia="DFKai-SB"/>
        </w:rPr>
        <w:t>1996)</w:t>
      </w:r>
      <w:r w:rsidR="003319B1">
        <w:rPr>
          <w:rFonts w:eastAsia="DFKai-SB"/>
        </w:rPr>
        <w:t xml:space="preserve">. </w:t>
      </w:r>
      <w:r w:rsidR="00626BC5">
        <w:rPr>
          <w:rFonts w:hint="eastAsia"/>
        </w:rPr>
        <w:t>The stock prices</w:t>
      </w:r>
      <w:r w:rsidR="00F87804">
        <w:t xml:space="preserve"> used to </w:t>
      </w:r>
      <w:r w:rsidR="00C32DEF">
        <w:t>compute</w:t>
      </w:r>
      <w:r w:rsidR="00626BC5">
        <w:rPr>
          <w:rFonts w:hint="eastAsia"/>
        </w:rPr>
        <w:t xml:space="preserve"> </w:t>
      </w:r>
      <w:r w:rsidR="00F87804">
        <w:t xml:space="preserve">the returns on equity shares </w:t>
      </w:r>
      <w:r w:rsidR="00626BC5">
        <w:rPr>
          <w:rFonts w:hint="eastAsia"/>
        </w:rPr>
        <w:t xml:space="preserve">are obtained </w:t>
      </w:r>
      <w:r w:rsidR="003319B1">
        <w:t xml:space="preserve">from </w:t>
      </w:r>
      <w:r w:rsidR="00626BC5">
        <w:rPr>
          <w:rFonts w:hint="eastAsia"/>
        </w:rPr>
        <w:t>the CRSP</w:t>
      </w:r>
      <w:r w:rsidR="007F67E6">
        <w:t xml:space="preserve">. </w:t>
      </w:r>
      <w:r w:rsidR="00C37899">
        <w:t xml:space="preserve">Following the approach specified in </w:t>
      </w:r>
      <w:r w:rsidR="00AD2846" w:rsidRPr="00AD2846">
        <w:t xml:space="preserve">Kothari </w:t>
      </w:r>
      <w:r w:rsidR="00D829DF">
        <w:rPr>
          <w:i/>
          <w:kern w:val="0"/>
        </w:rPr>
        <w:t>et al.</w:t>
      </w:r>
      <w:r w:rsidR="00D829DF" w:rsidRPr="004456F7">
        <w:rPr>
          <w:kern w:val="0"/>
        </w:rPr>
        <w:t xml:space="preserve"> </w:t>
      </w:r>
      <w:r w:rsidR="00AD2846" w:rsidRPr="00AD2846">
        <w:t xml:space="preserve">(2005) </w:t>
      </w:r>
      <w:r w:rsidR="00353B61">
        <w:t>study</w:t>
      </w:r>
      <w:r w:rsidR="00C37899">
        <w:t xml:space="preserve">, we </w:t>
      </w:r>
      <w:r w:rsidR="000977D4">
        <w:t xml:space="preserve">measure the degree of </w:t>
      </w:r>
      <w:r w:rsidR="00C473A3">
        <w:t>earnings manipulation</w:t>
      </w:r>
      <w:r w:rsidR="00C37899">
        <w:t xml:space="preserve"> using </w:t>
      </w:r>
      <w:r w:rsidR="00D829DF">
        <w:t>e</w:t>
      </w:r>
      <w:r w:rsidR="00F85192">
        <w:t>quation</w:t>
      </w:r>
      <w:r w:rsidR="00C37899">
        <w:t xml:space="preserve"> (6) below</w:t>
      </w:r>
      <w:r w:rsidR="002114A4">
        <w:t xml:space="preserve">: </w:t>
      </w:r>
    </w:p>
    <w:p w:rsidR="00403A8F" w:rsidRPr="000F47F0" w:rsidRDefault="00403A8F" w:rsidP="00403A8F">
      <w:pPr>
        <w:widowControl/>
        <w:adjustRightInd w:val="0"/>
        <w:snapToGrid w:val="0"/>
        <w:spacing w:line="288" w:lineRule="auto"/>
        <w:jc w:val="both"/>
        <w:rPr>
          <w:sz w:val="20"/>
          <w:szCs w:val="20"/>
        </w:rPr>
      </w:pPr>
    </w:p>
    <w:p w:rsidR="002114A4" w:rsidRPr="00403A8F" w:rsidRDefault="002114A4" w:rsidP="00FE1E17">
      <w:pPr>
        <w:widowControl/>
        <w:adjustRightInd w:val="0"/>
        <w:snapToGrid w:val="0"/>
        <w:spacing w:line="288" w:lineRule="auto"/>
        <w:ind w:right="-94" w:firstLine="709"/>
        <w:jc w:val="both"/>
        <w:rPr>
          <w:sz w:val="22"/>
          <w:szCs w:val="22"/>
        </w:rPr>
      </w:pPr>
      <w:r w:rsidRPr="00403A8F">
        <w:rPr>
          <w:position w:val="-32"/>
          <w:sz w:val="22"/>
          <w:szCs w:val="22"/>
        </w:rPr>
        <w:object w:dxaOrig="7260" w:dyaOrig="740">
          <v:shape id="_x0000_i1031" type="#_x0000_t75" style="width:364.2pt;height:38.4pt" o:ole="">
            <v:imagedata r:id="rId22" o:title=""/>
          </v:shape>
          <o:OLEObject Type="Embed" ProgID="Equation.3" ShapeID="_x0000_i1031" DrawAspect="Content" ObjectID="_1570627435" r:id="rId23"/>
        </w:object>
      </w:r>
      <w:r w:rsidR="005E1B83">
        <w:rPr>
          <w:sz w:val="22"/>
          <w:szCs w:val="22"/>
        </w:rPr>
        <w:t xml:space="preserve">        </w:t>
      </w:r>
      <w:r w:rsidRPr="00403A8F">
        <w:rPr>
          <w:rFonts w:hint="eastAsia"/>
          <w:sz w:val="22"/>
          <w:szCs w:val="22"/>
        </w:rPr>
        <w:t>(</w:t>
      </w:r>
      <w:r w:rsidR="000158C6" w:rsidRPr="00403A8F">
        <w:rPr>
          <w:sz w:val="22"/>
          <w:szCs w:val="22"/>
        </w:rPr>
        <w:t>6</w:t>
      </w:r>
      <w:r w:rsidRPr="00403A8F">
        <w:rPr>
          <w:rFonts w:hint="eastAsia"/>
          <w:sz w:val="22"/>
          <w:szCs w:val="22"/>
        </w:rPr>
        <w:t>)</w:t>
      </w:r>
    </w:p>
    <w:p w:rsidR="00403A8F" w:rsidRPr="000F47F0" w:rsidRDefault="00403A8F" w:rsidP="00FE1E17">
      <w:pPr>
        <w:widowControl/>
        <w:adjustRightInd w:val="0"/>
        <w:snapToGrid w:val="0"/>
        <w:spacing w:line="288" w:lineRule="auto"/>
        <w:jc w:val="both"/>
        <w:rPr>
          <w:kern w:val="0"/>
          <w:sz w:val="20"/>
          <w:szCs w:val="20"/>
        </w:rPr>
      </w:pPr>
      <w:r>
        <w:rPr>
          <w:kern w:val="0"/>
        </w:rPr>
        <w:tab/>
      </w:r>
    </w:p>
    <w:p w:rsidR="00403A8F" w:rsidRDefault="00403A8F" w:rsidP="00FE1E17">
      <w:pPr>
        <w:widowControl/>
        <w:adjustRightInd w:val="0"/>
        <w:snapToGrid w:val="0"/>
        <w:spacing w:line="288" w:lineRule="auto"/>
        <w:jc w:val="both"/>
        <w:rPr>
          <w:kern w:val="0"/>
        </w:rPr>
      </w:pPr>
      <w:r>
        <w:rPr>
          <w:kern w:val="0"/>
        </w:rPr>
        <w:tab/>
      </w:r>
      <w:r w:rsidR="000977D4">
        <w:rPr>
          <w:kern w:val="0"/>
        </w:rPr>
        <w:t xml:space="preserve">In </w:t>
      </w:r>
      <w:r w:rsidR="00D829DF">
        <w:rPr>
          <w:kern w:val="0"/>
        </w:rPr>
        <w:t>e</w:t>
      </w:r>
      <w:r w:rsidR="00F85192">
        <w:rPr>
          <w:kern w:val="0"/>
        </w:rPr>
        <w:t>quation</w:t>
      </w:r>
      <w:r w:rsidR="00B27197">
        <w:rPr>
          <w:kern w:val="0"/>
        </w:rPr>
        <w:t xml:space="preserve"> (6)</w:t>
      </w:r>
      <w:r w:rsidR="000977D4">
        <w:rPr>
          <w:kern w:val="0"/>
        </w:rPr>
        <w:t xml:space="preserve">, </w:t>
      </w:r>
      <w:r w:rsidR="00AD2846" w:rsidRPr="008126EB">
        <w:rPr>
          <w:i/>
          <w:iCs/>
          <w:kern w:val="0"/>
        </w:rPr>
        <w:t xml:space="preserve">TACC </w:t>
      </w:r>
      <w:r w:rsidR="00AD2846" w:rsidRPr="008126EB">
        <w:rPr>
          <w:kern w:val="0"/>
        </w:rPr>
        <w:t>represents the amount of total accruals</w:t>
      </w:r>
      <w:r w:rsidR="000977D4">
        <w:rPr>
          <w:kern w:val="0"/>
        </w:rPr>
        <w:t xml:space="preserve"> while </w:t>
      </w:r>
      <w:r w:rsidR="00AD2846" w:rsidRPr="008126EB">
        <w:rPr>
          <w:i/>
          <w:iCs/>
          <w:kern w:val="0"/>
        </w:rPr>
        <w:t>TA</w:t>
      </w:r>
      <w:r w:rsidR="00AD2846" w:rsidRPr="008126EB">
        <w:rPr>
          <w:kern w:val="0"/>
        </w:rPr>
        <w:t xml:space="preserve"> </w:t>
      </w:r>
      <w:r w:rsidR="00AD2846" w:rsidRPr="008126EB">
        <w:t xml:space="preserve">stands for </w:t>
      </w:r>
      <w:r w:rsidR="00AD2846" w:rsidRPr="008126EB">
        <w:rPr>
          <w:kern w:val="0"/>
        </w:rPr>
        <w:t>the value of total assets</w:t>
      </w:r>
      <w:r w:rsidR="000977D4">
        <w:rPr>
          <w:kern w:val="0"/>
        </w:rPr>
        <w:t xml:space="preserve">, Moreover, </w:t>
      </w:r>
      <w:r w:rsidR="00AD2846" w:rsidRPr="008126EB">
        <w:rPr>
          <w:kern w:val="0"/>
        </w:rPr>
        <w:t>Δ</w:t>
      </w:r>
      <w:r w:rsidR="00AD2846" w:rsidRPr="008126EB">
        <w:rPr>
          <w:i/>
          <w:iCs/>
          <w:kern w:val="0"/>
        </w:rPr>
        <w:t xml:space="preserve">SALES </w:t>
      </w:r>
      <w:r w:rsidR="00C37899">
        <w:rPr>
          <w:kern w:val="0"/>
        </w:rPr>
        <w:t xml:space="preserve">represents the difference in </w:t>
      </w:r>
      <w:r w:rsidR="00AD2846" w:rsidRPr="008126EB">
        <w:rPr>
          <w:kern w:val="0"/>
        </w:rPr>
        <w:t>net sales</w:t>
      </w:r>
      <w:r w:rsidR="000977D4">
        <w:rPr>
          <w:kern w:val="0"/>
        </w:rPr>
        <w:t xml:space="preserve"> </w:t>
      </w:r>
      <w:r w:rsidR="00C37899">
        <w:rPr>
          <w:kern w:val="0"/>
        </w:rPr>
        <w:t xml:space="preserve">between years </w:t>
      </w:r>
      <w:r w:rsidR="000977D4">
        <w:rPr>
          <w:kern w:val="0"/>
        </w:rPr>
        <w:t>whereas</w:t>
      </w:r>
      <w:r w:rsidR="00AD2846">
        <w:rPr>
          <w:kern w:val="0"/>
        </w:rPr>
        <w:t xml:space="preserve"> </w:t>
      </w:r>
      <w:r w:rsidR="00AD2846" w:rsidRPr="008126EB">
        <w:rPr>
          <w:kern w:val="0"/>
        </w:rPr>
        <w:t>Δ</w:t>
      </w:r>
      <w:r w:rsidR="00AD2846" w:rsidRPr="008126EB">
        <w:rPr>
          <w:i/>
          <w:iCs/>
          <w:kern w:val="0"/>
        </w:rPr>
        <w:t xml:space="preserve">AR </w:t>
      </w:r>
      <w:r w:rsidR="00C37899">
        <w:rPr>
          <w:iCs/>
          <w:kern w:val="0"/>
        </w:rPr>
        <w:t xml:space="preserve">is calculated by taking the difference </w:t>
      </w:r>
      <w:r w:rsidR="00C37899">
        <w:rPr>
          <w:kern w:val="0"/>
        </w:rPr>
        <w:t>of</w:t>
      </w:r>
      <w:r w:rsidR="00AD2846" w:rsidRPr="008126EB">
        <w:rPr>
          <w:kern w:val="0"/>
        </w:rPr>
        <w:t xml:space="preserve"> net accounts receivable</w:t>
      </w:r>
      <w:r w:rsidR="00C37899">
        <w:rPr>
          <w:kern w:val="0"/>
        </w:rPr>
        <w:t xml:space="preserve"> between years</w:t>
      </w:r>
      <w:r w:rsidR="000977D4">
        <w:t xml:space="preserve">. </w:t>
      </w:r>
      <w:r w:rsidR="000B4D58">
        <w:t xml:space="preserve">In addition, </w:t>
      </w:r>
      <w:r w:rsidR="00AD2846" w:rsidRPr="008126EB">
        <w:rPr>
          <w:i/>
          <w:iCs/>
          <w:kern w:val="0"/>
        </w:rPr>
        <w:t xml:space="preserve">PPE </w:t>
      </w:r>
      <w:r w:rsidR="00C37899">
        <w:rPr>
          <w:kern w:val="0"/>
        </w:rPr>
        <w:t>is</w:t>
      </w:r>
      <w:r w:rsidR="00C37899" w:rsidRPr="008126EB">
        <w:rPr>
          <w:kern w:val="0"/>
        </w:rPr>
        <w:t xml:space="preserve"> </w:t>
      </w:r>
      <w:r w:rsidR="00AD2846" w:rsidRPr="008126EB">
        <w:rPr>
          <w:kern w:val="0"/>
        </w:rPr>
        <w:t>the amount of net property, plant, and equipment</w:t>
      </w:r>
      <w:r w:rsidR="00C37899">
        <w:rPr>
          <w:kern w:val="0"/>
        </w:rPr>
        <w:t xml:space="preserve">. </w:t>
      </w:r>
      <w:r w:rsidR="00AD2846" w:rsidRPr="008126EB">
        <w:rPr>
          <w:rFonts w:hint="eastAsia"/>
          <w:i/>
          <w:iCs/>
          <w:kern w:val="0"/>
        </w:rPr>
        <w:t>ROA</w:t>
      </w:r>
      <w:r w:rsidR="00AD2846" w:rsidRPr="008126EB">
        <w:rPr>
          <w:i/>
          <w:iCs/>
          <w:kern w:val="0"/>
        </w:rPr>
        <w:t xml:space="preserve"> </w:t>
      </w:r>
      <w:r w:rsidR="00641F0F">
        <w:rPr>
          <w:kern w:val="0"/>
        </w:rPr>
        <w:t xml:space="preserve">represents </w:t>
      </w:r>
      <w:r w:rsidR="00AD2846" w:rsidRPr="008126EB">
        <w:rPr>
          <w:kern w:val="0"/>
        </w:rPr>
        <w:t xml:space="preserve">the rate of </w:t>
      </w:r>
      <w:r w:rsidR="00AD2846" w:rsidRPr="008126EB">
        <w:rPr>
          <w:rFonts w:hint="eastAsia"/>
          <w:kern w:val="0"/>
        </w:rPr>
        <w:t xml:space="preserve">return </w:t>
      </w:r>
      <w:r w:rsidR="00AD2846" w:rsidRPr="008126EB">
        <w:rPr>
          <w:kern w:val="0"/>
        </w:rPr>
        <w:t xml:space="preserve">on total </w:t>
      </w:r>
      <w:r w:rsidR="00AD2846" w:rsidRPr="008126EB">
        <w:rPr>
          <w:rFonts w:hint="eastAsia"/>
          <w:kern w:val="0"/>
        </w:rPr>
        <w:t>asset</w:t>
      </w:r>
      <w:r w:rsidR="00AD2846" w:rsidRPr="008126EB">
        <w:rPr>
          <w:kern w:val="0"/>
        </w:rPr>
        <w:t>s</w:t>
      </w:r>
      <w:r w:rsidR="00641F0F">
        <w:rPr>
          <w:kern w:val="0"/>
        </w:rPr>
        <w:t>.</w:t>
      </w:r>
      <w:r w:rsidR="000B4D58">
        <w:rPr>
          <w:kern w:val="0"/>
        </w:rPr>
        <w:t xml:space="preserve"> </w:t>
      </w:r>
      <w:r w:rsidR="00B27197">
        <w:rPr>
          <w:kern w:val="0"/>
        </w:rPr>
        <w:t>T</w:t>
      </w:r>
      <w:r w:rsidR="000B4D58" w:rsidRPr="000B4D58">
        <w:rPr>
          <w:kern w:val="0"/>
        </w:rPr>
        <w:t xml:space="preserve">he error term </w:t>
      </w:r>
      <w:r w:rsidR="00C37899">
        <w:rPr>
          <w:kern w:val="0"/>
        </w:rPr>
        <w:t xml:space="preserve">obtained from the regression </w:t>
      </w:r>
      <w:r w:rsidR="00EA44CD">
        <w:rPr>
          <w:kern w:val="0"/>
        </w:rPr>
        <w:t xml:space="preserve">model above </w:t>
      </w:r>
      <w:r w:rsidR="00C37899">
        <w:rPr>
          <w:kern w:val="0"/>
        </w:rPr>
        <w:t>is the amount of discretionary accruals (</w:t>
      </w:r>
      <w:r w:rsidR="00C37899" w:rsidRPr="00C32DEF">
        <w:rPr>
          <w:i/>
          <w:kern w:val="0"/>
        </w:rPr>
        <w:t>DA</w:t>
      </w:r>
      <w:r w:rsidR="00C37899">
        <w:rPr>
          <w:kern w:val="0"/>
        </w:rPr>
        <w:t>)</w:t>
      </w:r>
      <w:r w:rsidR="003F76AF">
        <w:rPr>
          <w:kern w:val="0"/>
        </w:rPr>
        <w:t xml:space="preserve">. </w:t>
      </w:r>
      <w:r w:rsidR="00C37899">
        <w:rPr>
          <w:kern w:val="0"/>
        </w:rPr>
        <w:t>It</w:t>
      </w:r>
      <w:r w:rsidR="003F76AF">
        <w:rPr>
          <w:kern w:val="0"/>
        </w:rPr>
        <w:t xml:space="preserve"> </w:t>
      </w:r>
      <w:r w:rsidR="00C37899">
        <w:rPr>
          <w:kern w:val="0"/>
        </w:rPr>
        <w:t xml:space="preserve">reflects </w:t>
      </w:r>
      <w:r w:rsidR="000B4D58" w:rsidRPr="000B4D58">
        <w:rPr>
          <w:kern w:val="0"/>
        </w:rPr>
        <w:t xml:space="preserve">the unexplained </w:t>
      </w:r>
      <w:r w:rsidR="00C37899">
        <w:rPr>
          <w:kern w:val="0"/>
        </w:rPr>
        <w:t>part</w:t>
      </w:r>
      <w:r w:rsidR="00C37899" w:rsidRPr="000B4D58">
        <w:rPr>
          <w:kern w:val="0"/>
        </w:rPr>
        <w:t xml:space="preserve"> </w:t>
      </w:r>
      <w:r w:rsidR="000B4D58" w:rsidRPr="000B4D58">
        <w:rPr>
          <w:kern w:val="0"/>
        </w:rPr>
        <w:t xml:space="preserve">of </w:t>
      </w:r>
      <w:r w:rsidR="000B4D58">
        <w:rPr>
          <w:kern w:val="0"/>
        </w:rPr>
        <w:t>total accruals</w:t>
      </w:r>
      <w:r w:rsidR="000B4D58" w:rsidRPr="000B4D58">
        <w:rPr>
          <w:kern w:val="0"/>
        </w:rPr>
        <w:t>.</w:t>
      </w:r>
    </w:p>
    <w:p w:rsidR="000F47F0" w:rsidRDefault="000B4D58" w:rsidP="000F47F0">
      <w:pPr>
        <w:widowControl/>
        <w:adjustRightInd w:val="0"/>
        <w:snapToGrid w:val="0"/>
        <w:spacing w:line="288" w:lineRule="auto"/>
        <w:jc w:val="both"/>
        <w:rPr>
          <w:kern w:val="0"/>
        </w:rPr>
      </w:pPr>
      <w:r w:rsidRPr="000B4D58">
        <w:rPr>
          <w:kern w:val="0"/>
        </w:rPr>
        <w:t xml:space="preserve">  </w:t>
      </w:r>
    </w:p>
    <w:p w:rsidR="00691B4A" w:rsidRDefault="000F47F0" w:rsidP="000F47F0">
      <w:pPr>
        <w:widowControl/>
        <w:adjustRightInd w:val="0"/>
        <w:snapToGrid w:val="0"/>
        <w:spacing w:line="288" w:lineRule="auto"/>
        <w:jc w:val="both"/>
        <w:rPr>
          <w:bCs/>
        </w:rPr>
      </w:pPr>
      <w:r>
        <w:rPr>
          <w:kern w:val="0"/>
        </w:rPr>
        <w:tab/>
      </w:r>
      <w:r w:rsidR="00626BC5">
        <w:t>I</w:t>
      </w:r>
      <w:r w:rsidR="00626BC5">
        <w:rPr>
          <w:rFonts w:hint="eastAsia"/>
        </w:rPr>
        <w:t xml:space="preserve">t should be noted that </w:t>
      </w:r>
      <w:r w:rsidR="00691B4A" w:rsidRPr="008126EB">
        <w:rPr>
          <w:i/>
        </w:rPr>
        <w:t>|DA</w:t>
      </w:r>
      <w:r w:rsidR="00691B4A" w:rsidRPr="008126EB">
        <w:rPr>
          <w:rFonts w:hint="eastAsia"/>
          <w:i/>
        </w:rPr>
        <w:t>|</w:t>
      </w:r>
      <w:r w:rsidR="00641F0F">
        <w:rPr>
          <w:i/>
        </w:rPr>
        <w:t xml:space="preserve"> </w:t>
      </w:r>
      <w:r w:rsidR="00641F0F">
        <w:t>is</w:t>
      </w:r>
      <w:r w:rsidR="00641F0F">
        <w:rPr>
          <w:kern w:val="0"/>
        </w:rPr>
        <w:t xml:space="preserve"> </w:t>
      </w:r>
      <w:r w:rsidR="00641F0F" w:rsidRPr="008126EB">
        <w:rPr>
          <w:kern w:val="0"/>
        </w:rPr>
        <w:t xml:space="preserve">the absolute (unsigned) value of </w:t>
      </w:r>
      <w:r w:rsidR="00641F0F" w:rsidRPr="008126EB">
        <w:t xml:space="preserve">discretionary </w:t>
      </w:r>
      <w:r w:rsidR="00641F0F" w:rsidRPr="008126EB">
        <w:rPr>
          <w:kern w:val="0"/>
        </w:rPr>
        <w:t>accruals</w:t>
      </w:r>
      <w:r w:rsidR="00641F0F">
        <w:rPr>
          <w:kern w:val="0"/>
        </w:rPr>
        <w:t xml:space="preserve">. </w:t>
      </w:r>
      <w:r w:rsidR="00E25420" w:rsidRPr="008126EB">
        <w:rPr>
          <w:kern w:val="0"/>
        </w:rPr>
        <w:t xml:space="preserve">Since </w:t>
      </w:r>
      <w:r w:rsidR="00EA44CD">
        <w:rPr>
          <w:kern w:val="0"/>
        </w:rPr>
        <w:t xml:space="preserve">corporate </w:t>
      </w:r>
      <w:r w:rsidR="00E25420" w:rsidRPr="008126EB">
        <w:rPr>
          <w:kern w:val="0"/>
        </w:rPr>
        <w:t xml:space="preserve">executives may </w:t>
      </w:r>
      <w:r w:rsidR="00641F0F">
        <w:rPr>
          <w:kern w:val="0"/>
        </w:rPr>
        <w:t>adjust</w:t>
      </w:r>
      <w:r w:rsidR="00E25420" w:rsidRPr="008126EB">
        <w:rPr>
          <w:kern w:val="0"/>
        </w:rPr>
        <w:t xml:space="preserve"> earnings up or down, </w:t>
      </w:r>
      <w:r w:rsidR="003F76AF">
        <w:rPr>
          <w:kern w:val="0"/>
        </w:rPr>
        <w:t>we</w:t>
      </w:r>
      <w:r w:rsidR="00641F0F">
        <w:rPr>
          <w:kern w:val="0"/>
        </w:rPr>
        <w:t xml:space="preserve"> </w:t>
      </w:r>
      <w:r w:rsidR="00C37899">
        <w:rPr>
          <w:kern w:val="0"/>
        </w:rPr>
        <w:t xml:space="preserve">analyze positive versus negative </w:t>
      </w:r>
      <w:r w:rsidR="00C37899" w:rsidRPr="00C32DEF">
        <w:rPr>
          <w:i/>
          <w:kern w:val="0"/>
        </w:rPr>
        <w:t>DA</w:t>
      </w:r>
      <w:r w:rsidR="00641F0F">
        <w:rPr>
          <w:kern w:val="0"/>
        </w:rPr>
        <w:t xml:space="preserve"> </w:t>
      </w:r>
      <w:r w:rsidR="00E25420" w:rsidRPr="008126EB">
        <w:rPr>
          <w:kern w:val="0"/>
        </w:rPr>
        <w:t xml:space="preserve">as part of </w:t>
      </w:r>
      <w:r w:rsidR="004B5B08">
        <w:rPr>
          <w:kern w:val="0"/>
        </w:rPr>
        <w:t>the</w:t>
      </w:r>
      <w:r w:rsidR="00620FFB">
        <w:rPr>
          <w:kern w:val="0"/>
        </w:rPr>
        <w:t xml:space="preserve"> </w:t>
      </w:r>
      <w:r w:rsidR="00E25420" w:rsidRPr="008126EB">
        <w:rPr>
          <w:kern w:val="0"/>
        </w:rPr>
        <w:t>robustness tests.</w:t>
      </w:r>
      <w:r w:rsidR="00AD2846">
        <w:rPr>
          <w:kern w:val="0"/>
        </w:rPr>
        <w:t xml:space="preserve"> </w:t>
      </w:r>
      <w:r w:rsidR="00C37899">
        <w:t>A</w:t>
      </w:r>
      <w:r w:rsidR="00C37899" w:rsidRPr="008126EB">
        <w:t xml:space="preserve">ccording to </w:t>
      </w:r>
      <w:r w:rsidR="00C37899" w:rsidRPr="008126EB">
        <w:rPr>
          <w:bCs/>
        </w:rPr>
        <w:t>two-digit SIC</w:t>
      </w:r>
      <w:r w:rsidR="00C37899" w:rsidRPr="008126EB">
        <w:t xml:space="preserve"> </w:t>
      </w:r>
      <w:r w:rsidR="00515F92">
        <w:t xml:space="preserve">code </w:t>
      </w:r>
      <w:r w:rsidR="00C37899" w:rsidRPr="008126EB">
        <w:rPr>
          <w:bCs/>
        </w:rPr>
        <w:t>by year and by industry</w:t>
      </w:r>
      <w:r w:rsidR="00AD2846">
        <w:rPr>
          <w:kern w:val="0"/>
        </w:rPr>
        <w:t>, w</w:t>
      </w:r>
      <w:r w:rsidR="00691B4A" w:rsidRPr="008126EB">
        <w:t xml:space="preserve">e </w:t>
      </w:r>
      <w:r w:rsidR="007045F7" w:rsidRPr="008126EB">
        <w:rPr>
          <w:bCs/>
        </w:rPr>
        <w:t xml:space="preserve">estimate </w:t>
      </w:r>
      <w:r w:rsidR="007045F7" w:rsidRPr="00641F0F">
        <w:rPr>
          <w:bCs/>
          <w:i/>
        </w:rPr>
        <w:t>DA</w:t>
      </w:r>
      <w:r w:rsidR="007045F7" w:rsidRPr="008126EB">
        <w:t xml:space="preserve"> us</w:t>
      </w:r>
      <w:r w:rsidR="007045F7">
        <w:t xml:space="preserve">ing </w:t>
      </w:r>
      <w:r w:rsidR="007045F7">
        <w:rPr>
          <w:bCs/>
        </w:rPr>
        <w:t>the</w:t>
      </w:r>
      <w:r w:rsidR="007045F7" w:rsidRPr="008126EB">
        <w:rPr>
          <w:bCs/>
        </w:rPr>
        <w:t xml:space="preserve"> </w:t>
      </w:r>
      <w:r w:rsidR="00641F0F" w:rsidRPr="008126EB">
        <w:rPr>
          <w:bCs/>
        </w:rPr>
        <w:t>modified Jones</w:t>
      </w:r>
      <w:r w:rsidR="00641F0F" w:rsidRPr="008126EB">
        <w:rPr>
          <w:rFonts w:hint="eastAsia"/>
          <w:bCs/>
        </w:rPr>
        <w:t xml:space="preserve"> (1991)</w:t>
      </w:r>
      <w:r w:rsidR="00641F0F" w:rsidRPr="008126EB">
        <w:rPr>
          <w:bCs/>
        </w:rPr>
        <w:t xml:space="preserve"> model</w:t>
      </w:r>
      <w:r w:rsidR="00FD166B">
        <w:rPr>
          <w:bCs/>
        </w:rPr>
        <w:t xml:space="preserve">. </w:t>
      </w:r>
      <w:r w:rsidR="00691B4A" w:rsidRPr="008126EB">
        <w:rPr>
          <w:bCs/>
        </w:rPr>
        <w:t xml:space="preserve"> </w:t>
      </w:r>
    </w:p>
    <w:p w:rsidR="00403A8F" w:rsidRPr="00F35AED" w:rsidRDefault="00403A8F" w:rsidP="00FE1E17">
      <w:pPr>
        <w:widowControl/>
        <w:adjustRightInd w:val="0"/>
        <w:snapToGrid w:val="0"/>
        <w:spacing w:line="288" w:lineRule="auto"/>
        <w:ind w:firstLineChars="295" w:firstLine="708"/>
        <w:jc w:val="both"/>
        <w:rPr>
          <w:kern w:val="0"/>
        </w:rPr>
      </w:pPr>
    </w:p>
    <w:p w:rsidR="00691B4A" w:rsidRPr="000F47F0" w:rsidRDefault="00691B4A" w:rsidP="00FE1E17">
      <w:pPr>
        <w:keepNext/>
        <w:widowControl/>
        <w:adjustRightInd w:val="0"/>
        <w:snapToGrid w:val="0"/>
        <w:spacing w:line="288" w:lineRule="auto"/>
        <w:jc w:val="both"/>
        <w:rPr>
          <w:b/>
        </w:rPr>
      </w:pPr>
      <w:r w:rsidRPr="000F47F0">
        <w:rPr>
          <w:b/>
        </w:rPr>
        <w:t xml:space="preserve">4.3 </w:t>
      </w:r>
      <w:r w:rsidR="00647987" w:rsidRPr="000F47F0">
        <w:rPr>
          <w:rFonts w:hint="eastAsia"/>
          <w:b/>
        </w:rPr>
        <w:t>Empirical</w:t>
      </w:r>
      <w:r w:rsidR="00D829DF">
        <w:rPr>
          <w:b/>
        </w:rPr>
        <w:t xml:space="preserve"> M</w:t>
      </w:r>
      <w:r w:rsidRPr="000F47F0">
        <w:rPr>
          <w:b/>
        </w:rPr>
        <w:t>odel</w:t>
      </w:r>
    </w:p>
    <w:p w:rsidR="000F47F0" w:rsidRPr="000F47F0" w:rsidRDefault="000F47F0" w:rsidP="00403A8F">
      <w:pPr>
        <w:widowControl/>
        <w:adjustRightInd w:val="0"/>
        <w:snapToGrid w:val="0"/>
        <w:spacing w:line="288" w:lineRule="auto"/>
        <w:jc w:val="both"/>
        <w:rPr>
          <w:kern w:val="0"/>
          <w:sz w:val="6"/>
          <w:szCs w:val="6"/>
        </w:rPr>
      </w:pPr>
    </w:p>
    <w:p w:rsidR="003226FC" w:rsidRDefault="00691B4A" w:rsidP="00403A8F">
      <w:pPr>
        <w:widowControl/>
        <w:adjustRightInd w:val="0"/>
        <w:snapToGrid w:val="0"/>
        <w:spacing w:line="288" w:lineRule="auto"/>
        <w:jc w:val="both"/>
        <w:rPr>
          <w:kern w:val="0"/>
        </w:rPr>
      </w:pPr>
      <w:r w:rsidRPr="008126EB">
        <w:rPr>
          <w:kern w:val="0"/>
        </w:rPr>
        <w:t xml:space="preserve">We regress stock returns on </w:t>
      </w:r>
      <w:r w:rsidR="00C473A3">
        <w:rPr>
          <w:rFonts w:hint="eastAsia"/>
          <w:kern w:val="0"/>
        </w:rPr>
        <w:t>earnings manipulation</w:t>
      </w:r>
      <w:r w:rsidRPr="008126EB">
        <w:rPr>
          <w:rFonts w:hint="eastAsia"/>
          <w:kern w:val="0"/>
        </w:rPr>
        <w:t xml:space="preserve"> </w:t>
      </w:r>
      <w:r w:rsidRPr="008126EB">
        <w:rPr>
          <w:kern w:val="0"/>
        </w:rPr>
        <w:t xml:space="preserve">by incorporating </w:t>
      </w:r>
      <w:r w:rsidR="00B13B87" w:rsidRPr="008126EB">
        <w:rPr>
          <w:kern w:val="0"/>
        </w:rPr>
        <w:t>several</w:t>
      </w:r>
      <w:r w:rsidRPr="008126EB">
        <w:rPr>
          <w:kern w:val="0"/>
        </w:rPr>
        <w:t xml:space="preserve"> control variables: (1) market condition (</w:t>
      </w:r>
      <w:r w:rsidRPr="008126EB">
        <w:rPr>
          <w:i/>
          <w:kern w:val="0"/>
        </w:rPr>
        <w:t>MKT</w:t>
      </w:r>
      <w:r w:rsidRPr="008126EB">
        <w:rPr>
          <w:kern w:val="0"/>
        </w:rPr>
        <w:t>); (2) firm size (</w:t>
      </w:r>
      <w:r w:rsidRPr="008126EB">
        <w:rPr>
          <w:i/>
          <w:kern w:val="0"/>
        </w:rPr>
        <w:t>SIZE</w:t>
      </w:r>
      <w:r w:rsidRPr="008126EB">
        <w:rPr>
          <w:kern w:val="0"/>
        </w:rPr>
        <w:t>); (3) market value (</w:t>
      </w:r>
      <w:r w:rsidRPr="008126EB">
        <w:rPr>
          <w:i/>
          <w:kern w:val="0"/>
        </w:rPr>
        <w:t>MB</w:t>
      </w:r>
      <w:r w:rsidRPr="008126EB">
        <w:rPr>
          <w:kern w:val="0"/>
        </w:rPr>
        <w:t>); and (4) momentum factor (</w:t>
      </w:r>
      <w:r w:rsidRPr="008126EB">
        <w:rPr>
          <w:i/>
          <w:kern w:val="0"/>
        </w:rPr>
        <w:t>MOM</w:t>
      </w:r>
      <w:r w:rsidRPr="008126EB">
        <w:rPr>
          <w:kern w:val="0"/>
        </w:rPr>
        <w:t>)</w:t>
      </w:r>
      <w:r w:rsidR="00A978CF">
        <w:rPr>
          <w:kern w:val="0"/>
        </w:rPr>
        <w:t>.</w:t>
      </w:r>
      <w:r w:rsidRPr="008126EB">
        <w:rPr>
          <w:rFonts w:hint="eastAsia"/>
          <w:kern w:val="0"/>
        </w:rPr>
        <w:t xml:space="preserve"> </w:t>
      </w:r>
      <w:r w:rsidR="007045F7">
        <w:rPr>
          <w:kern w:val="0"/>
        </w:rPr>
        <w:t xml:space="preserve">We include them </w:t>
      </w:r>
      <w:r w:rsidR="003226FC" w:rsidRPr="003226FC">
        <w:rPr>
          <w:kern w:val="0"/>
        </w:rPr>
        <w:t xml:space="preserve">in the </w:t>
      </w:r>
      <w:r w:rsidR="007045F7">
        <w:rPr>
          <w:kern w:val="0"/>
        </w:rPr>
        <w:t xml:space="preserve">regression </w:t>
      </w:r>
      <w:r w:rsidR="007045F7" w:rsidRPr="003226FC">
        <w:rPr>
          <w:kern w:val="0"/>
        </w:rPr>
        <w:t>analys</w:t>
      </w:r>
      <w:r w:rsidR="007045F7">
        <w:rPr>
          <w:kern w:val="0"/>
        </w:rPr>
        <w:t>e</w:t>
      </w:r>
      <w:r w:rsidR="007045F7" w:rsidRPr="003226FC">
        <w:rPr>
          <w:kern w:val="0"/>
        </w:rPr>
        <w:t xml:space="preserve">s </w:t>
      </w:r>
      <w:r w:rsidR="003226FC" w:rsidRPr="003226FC">
        <w:rPr>
          <w:kern w:val="0"/>
        </w:rPr>
        <w:t xml:space="preserve">because these factors </w:t>
      </w:r>
      <w:r w:rsidR="00D64189">
        <w:rPr>
          <w:kern w:val="0"/>
        </w:rPr>
        <w:t xml:space="preserve">may influence </w:t>
      </w:r>
      <w:r w:rsidR="007045F7">
        <w:rPr>
          <w:kern w:val="0"/>
        </w:rPr>
        <w:t xml:space="preserve">the returns on </w:t>
      </w:r>
      <w:r w:rsidR="003226FC" w:rsidRPr="003226FC">
        <w:rPr>
          <w:kern w:val="0"/>
        </w:rPr>
        <w:t xml:space="preserve">a firm’s </w:t>
      </w:r>
      <w:r w:rsidR="007045F7">
        <w:rPr>
          <w:kern w:val="0"/>
        </w:rPr>
        <w:t>equity shares</w:t>
      </w:r>
      <w:r w:rsidR="003226FC" w:rsidRPr="003226FC">
        <w:rPr>
          <w:kern w:val="0"/>
        </w:rPr>
        <w:t xml:space="preserve"> (</w:t>
      </w:r>
      <w:r w:rsidR="00D829DF">
        <w:rPr>
          <w:kern w:val="0"/>
        </w:rPr>
        <w:t xml:space="preserve">for example, Fama and French </w:t>
      </w:r>
      <w:r w:rsidR="003226FC" w:rsidRPr="003226FC">
        <w:rPr>
          <w:kern w:val="0"/>
        </w:rPr>
        <w:t>1992</w:t>
      </w:r>
      <w:r w:rsidR="00D829DF">
        <w:rPr>
          <w:kern w:val="0"/>
        </w:rPr>
        <w:t xml:space="preserve">, </w:t>
      </w:r>
      <w:r w:rsidR="003226FC" w:rsidRPr="003226FC">
        <w:rPr>
          <w:kern w:val="0"/>
        </w:rPr>
        <w:t>1993).</w:t>
      </w:r>
      <w:r w:rsidR="003226FC">
        <w:rPr>
          <w:rFonts w:hint="eastAsia"/>
          <w:kern w:val="0"/>
        </w:rPr>
        <w:t xml:space="preserve"> </w:t>
      </w:r>
    </w:p>
    <w:p w:rsidR="00403A8F" w:rsidRDefault="00403A8F" w:rsidP="00403A8F">
      <w:pPr>
        <w:widowControl/>
        <w:adjustRightInd w:val="0"/>
        <w:snapToGrid w:val="0"/>
        <w:spacing w:line="288" w:lineRule="auto"/>
        <w:jc w:val="both"/>
        <w:rPr>
          <w:kern w:val="0"/>
        </w:rPr>
      </w:pPr>
    </w:p>
    <w:p w:rsidR="00691B4A" w:rsidRDefault="00691B4A" w:rsidP="000F47F0">
      <w:pPr>
        <w:widowControl/>
        <w:adjustRightInd w:val="0"/>
        <w:snapToGrid w:val="0"/>
        <w:spacing w:line="288" w:lineRule="auto"/>
        <w:jc w:val="both"/>
        <w:rPr>
          <w:kern w:val="0"/>
          <w:lang w:val="de-DE"/>
        </w:rPr>
      </w:pPr>
      <w:r w:rsidRPr="008126EB">
        <w:rPr>
          <w:kern w:val="0"/>
        </w:rPr>
        <w:t xml:space="preserve">To </w:t>
      </w:r>
      <w:r w:rsidR="00957A59" w:rsidRPr="008A69A9">
        <w:rPr>
          <w:rFonts w:eastAsia="PMingLiU" w:hint="eastAsia"/>
          <w:kern w:val="0"/>
        </w:rPr>
        <w:t>examine</w:t>
      </w:r>
      <w:r w:rsidR="00957A59" w:rsidRPr="008126EB">
        <w:rPr>
          <w:rFonts w:eastAsia="PMingLiU" w:hint="eastAsia"/>
          <w:kern w:val="0"/>
        </w:rPr>
        <w:t xml:space="preserve"> the </w:t>
      </w:r>
      <w:r w:rsidR="00060B07" w:rsidRPr="008126EB">
        <w:rPr>
          <w:rFonts w:hint="eastAsia"/>
        </w:rPr>
        <w:t>|</w:t>
      </w:r>
      <w:r w:rsidR="00060B07" w:rsidRPr="008126EB">
        <w:rPr>
          <w:i/>
        </w:rPr>
        <w:t>DA</w:t>
      </w:r>
      <w:r w:rsidR="00060B07" w:rsidRPr="008126EB">
        <w:rPr>
          <w:rFonts w:hint="eastAsia"/>
          <w:i/>
        </w:rPr>
        <w:t>|</w:t>
      </w:r>
      <w:r w:rsidR="00060B07">
        <w:t>–</w:t>
      </w:r>
      <w:r w:rsidR="00060B07" w:rsidRPr="008126EB">
        <w:rPr>
          <w:rFonts w:hint="eastAsia"/>
          <w:i/>
        </w:rPr>
        <w:t>RETURN</w:t>
      </w:r>
      <w:r w:rsidR="00060B07" w:rsidRPr="008126EB">
        <w:rPr>
          <w:rFonts w:eastAsia="PMingLiU" w:hint="eastAsia"/>
          <w:kern w:val="0"/>
        </w:rPr>
        <w:t xml:space="preserve"> </w:t>
      </w:r>
      <w:r w:rsidR="00957A59" w:rsidRPr="008126EB">
        <w:rPr>
          <w:rFonts w:eastAsia="PMingLiU" w:hint="eastAsia"/>
          <w:kern w:val="0"/>
        </w:rPr>
        <w:t>relation</w:t>
      </w:r>
      <w:r w:rsidRPr="008126EB">
        <w:rPr>
          <w:kern w:val="0"/>
        </w:rPr>
        <w:t xml:space="preserve">, we </w:t>
      </w:r>
      <w:r w:rsidR="003F76AF">
        <w:rPr>
          <w:kern w:val="0"/>
        </w:rPr>
        <w:t xml:space="preserve">implement </w:t>
      </w:r>
      <w:r w:rsidR="00D829DF">
        <w:rPr>
          <w:kern w:val="0"/>
        </w:rPr>
        <w:t>e</w:t>
      </w:r>
      <w:r w:rsidR="00F85192">
        <w:rPr>
          <w:kern w:val="0"/>
        </w:rPr>
        <w:t>quation</w:t>
      </w:r>
      <w:r w:rsidR="007045F7">
        <w:rPr>
          <w:kern w:val="0"/>
        </w:rPr>
        <w:t xml:space="preserve"> </w:t>
      </w:r>
      <w:r w:rsidR="007045F7" w:rsidRPr="00C473A3">
        <w:rPr>
          <w:kern w:val="0"/>
          <w:lang w:val="de-DE"/>
        </w:rPr>
        <w:t>(7)</w:t>
      </w:r>
      <w:r w:rsidRPr="00C473A3">
        <w:rPr>
          <w:kern w:val="0"/>
          <w:lang w:val="de-DE"/>
        </w:rPr>
        <w:t>:</w:t>
      </w:r>
    </w:p>
    <w:p w:rsidR="00403A8F" w:rsidRPr="00521F9C" w:rsidRDefault="00403A8F" w:rsidP="00521F9C">
      <w:pPr>
        <w:widowControl/>
        <w:adjustRightInd w:val="0"/>
        <w:snapToGrid w:val="0"/>
        <w:spacing w:line="288" w:lineRule="auto"/>
        <w:ind w:firstLineChars="295" w:firstLine="472"/>
        <w:jc w:val="both"/>
        <w:rPr>
          <w:kern w:val="0"/>
          <w:sz w:val="16"/>
          <w:szCs w:val="16"/>
          <w:lang w:val="de-DE"/>
        </w:rPr>
      </w:pPr>
    </w:p>
    <w:p w:rsidR="00B26438" w:rsidRPr="00D829DF" w:rsidRDefault="00403A8F" w:rsidP="00403A8F">
      <w:pPr>
        <w:widowControl/>
        <w:adjustRightInd w:val="0"/>
        <w:snapToGrid w:val="0"/>
        <w:spacing w:line="288" w:lineRule="auto"/>
        <w:jc w:val="both"/>
        <w:rPr>
          <w:sz w:val="22"/>
          <w:szCs w:val="22"/>
          <w:lang w:val="de-DE"/>
        </w:rPr>
      </w:pPr>
      <w:r>
        <w:rPr>
          <w:i/>
          <w:lang w:val="de-DE"/>
        </w:rPr>
        <w:t xml:space="preserve">        </w:t>
      </w:r>
      <w:r w:rsidRPr="00D829DF">
        <w:rPr>
          <w:i/>
          <w:sz w:val="22"/>
          <w:szCs w:val="22"/>
          <w:lang w:val="de-DE"/>
        </w:rPr>
        <w:t xml:space="preserve"> </w:t>
      </w:r>
      <w:r w:rsidR="000935A5" w:rsidRPr="00D829DF">
        <w:rPr>
          <w:i/>
          <w:sz w:val="22"/>
          <w:szCs w:val="22"/>
          <w:lang w:val="de-DE"/>
        </w:rPr>
        <w:t>RETURN</w:t>
      </w:r>
      <w:r w:rsidR="000935A5" w:rsidRPr="00D829DF">
        <w:rPr>
          <w:i/>
          <w:sz w:val="22"/>
          <w:szCs w:val="22"/>
          <w:vertAlign w:val="subscript"/>
          <w:lang w:val="de-DE"/>
        </w:rPr>
        <w:t>i,t+1</w:t>
      </w:r>
      <w:r w:rsidR="000935A5" w:rsidRPr="00D829DF">
        <w:rPr>
          <w:i/>
          <w:sz w:val="22"/>
          <w:szCs w:val="22"/>
          <w:lang w:val="de-DE"/>
        </w:rPr>
        <w:t xml:space="preserve"> = </w:t>
      </w:r>
      <w:r w:rsidR="00691B4A" w:rsidRPr="00D829DF">
        <w:rPr>
          <w:i/>
          <w:sz w:val="22"/>
          <w:szCs w:val="22"/>
        </w:rPr>
        <w:sym w:font="Symbol" w:char="F062"/>
      </w:r>
      <w:r w:rsidR="000935A5" w:rsidRPr="00D829DF">
        <w:rPr>
          <w:i/>
          <w:sz w:val="22"/>
          <w:szCs w:val="22"/>
          <w:vertAlign w:val="subscript"/>
          <w:lang w:val="de-DE"/>
        </w:rPr>
        <w:t>0</w:t>
      </w:r>
      <w:r w:rsidR="000935A5" w:rsidRPr="00D829DF">
        <w:rPr>
          <w:i/>
          <w:sz w:val="22"/>
          <w:szCs w:val="22"/>
          <w:lang w:val="de-DE"/>
        </w:rPr>
        <w:t>+</w:t>
      </w:r>
      <w:r w:rsidR="00691B4A" w:rsidRPr="00D829DF">
        <w:rPr>
          <w:i/>
          <w:sz w:val="22"/>
          <w:szCs w:val="22"/>
        </w:rPr>
        <w:sym w:font="Symbol" w:char="F062"/>
      </w:r>
      <w:r w:rsidR="000935A5" w:rsidRPr="00D829DF">
        <w:rPr>
          <w:i/>
          <w:sz w:val="22"/>
          <w:szCs w:val="22"/>
          <w:vertAlign w:val="subscript"/>
          <w:lang w:val="de-DE"/>
        </w:rPr>
        <w:t>1</w:t>
      </w:r>
      <w:r w:rsidR="000935A5" w:rsidRPr="00D829DF">
        <w:rPr>
          <w:i/>
          <w:sz w:val="22"/>
          <w:szCs w:val="22"/>
          <w:lang w:val="de-DE"/>
        </w:rPr>
        <w:t>|DA|</w:t>
      </w:r>
      <w:r w:rsidR="000935A5" w:rsidRPr="00D829DF">
        <w:rPr>
          <w:i/>
          <w:sz w:val="22"/>
          <w:szCs w:val="22"/>
          <w:vertAlign w:val="subscript"/>
          <w:lang w:val="de-DE"/>
        </w:rPr>
        <w:t>i,t</w:t>
      </w:r>
      <w:r w:rsidR="000935A5" w:rsidRPr="00D829DF">
        <w:rPr>
          <w:i/>
          <w:sz w:val="22"/>
          <w:szCs w:val="22"/>
          <w:lang w:val="de-DE"/>
        </w:rPr>
        <w:t>+</w:t>
      </w:r>
      <w:r w:rsidR="00691B4A" w:rsidRPr="00D829DF">
        <w:rPr>
          <w:i/>
          <w:sz w:val="22"/>
          <w:szCs w:val="22"/>
        </w:rPr>
        <w:sym w:font="Symbol" w:char="F062"/>
      </w:r>
      <w:r w:rsidR="000935A5" w:rsidRPr="00D829DF">
        <w:rPr>
          <w:i/>
          <w:sz w:val="22"/>
          <w:szCs w:val="22"/>
          <w:vertAlign w:val="subscript"/>
          <w:lang w:val="de-DE"/>
        </w:rPr>
        <w:t>2</w:t>
      </w:r>
      <w:r w:rsidR="000935A5" w:rsidRPr="00D829DF">
        <w:rPr>
          <w:i/>
          <w:sz w:val="22"/>
          <w:szCs w:val="22"/>
          <w:lang w:val="de-DE"/>
        </w:rPr>
        <w:t>MKT</w:t>
      </w:r>
      <w:r w:rsidR="000935A5" w:rsidRPr="00D829DF">
        <w:rPr>
          <w:i/>
          <w:sz w:val="22"/>
          <w:szCs w:val="22"/>
          <w:vertAlign w:val="subscript"/>
          <w:lang w:val="de-DE"/>
        </w:rPr>
        <w:t>i,t</w:t>
      </w:r>
      <w:r w:rsidR="000935A5" w:rsidRPr="00D829DF">
        <w:rPr>
          <w:i/>
          <w:sz w:val="22"/>
          <w:szCs w:val="22"/>
          <w:lang w:val="de-DE"/>
        </w:rPr>
        <w:t xml:space="preserve"> + </w:t>
      </w:r>
      <w:r w:rsidR="00691B4A" w:rsidRPr="00D829DF">
        <w:rPr>
          <w:i/>
          <w:sz w:val="22"/>
          <w:szCs w:val="22"/>
        </w:rPr>
        <w:sym w:font="Symbol" w:char="F062"/>
      </w:r>
      <w:r w:rsidR="000935A5" w:rsidRPr="00D829DF">
        <w:rPr>
          <w:i/>
          <w:sz w:val="22"/>
          <w:szCs w:val="22"/>
          <w:vertAlign w:val="subscript"/>
          <w:lang w:val="de-DE"/>
        </w:rPr>
        <w:t xml:space="preserve">3 </w:t>
      </w:r>
      <w:r w:rsidR="000935A5" w:rsidRPr="00D829DF">
        <w:rPr>
          <w:i/>
          <w:sz w:val="22"/>
          <w:szCs w:val="22"/>
          <w:lang w:val="de-DE"/>
        </w:rPr>
        <w:t>SIZE</w:t>
      </w:r>
      <w:r w:rsidR="000935A5" w:rsidRPr="00D829DF">
        <w:rPr>
          <w:i/>
          <w:sz w:val="22"/>
          <w:szCs w:val="22"/>
          <w:vertAlign w:val="subscript"/>
          <w:lang w:val="de-DE"/>
        </w:rPr>
        <w:t>i,t</w:t>
      </w:r>
      <w:r w:rsidR="000935A5" w:rsidRPr="00D829DF">
        <w:rPr>
          <w:i/>
          <w:sz w:val="22"/>
          <w:szCs w:val="22"/>
          <w:lang w:val="de-DE"/>
        </w:rPr>
        <w:t xml:space="preserve"> +</w:t>
      </w:r>
      <w:r w:rsidR="00691B4A" w:rsidRPr="00D829DF">
        <w:rPr>
          <w:i/>
          <w:sz w:val="22"/>
          <w:szCs w:val="22"/>
        </w:rPr>
        <w:sym w:font="Symbol" w:char="F062"/>
      </w:r>
      <w:r w:rsidR="000935A5" w:rsidRPr="00D829DF">
        <w:rPr>
          <w:i/>
          <w:sz w:val="22"/>
          <w:szCs w:val="22"/>
          <w:vertAlign w:val="subscript"/>
          <w:lang w:val="de-DE"/>
        </w:rPr>
        <w:t xml:space="preserve">4 </w:t>
      </w:r>
      <w:r w:rsidR="000935A5" w:rsidRPr="00D829DF">
        <w:rPr>
          <w:i/>
          <w:sz w:val="22"/>
          <w:szCs w:val="22"/>
          <w:lang w:val="de-DE"/>
        </w:rPr>
        <w:t>MB</w:t>
      </w:r>
      <w:r w:rsidR="000935A5" w:rsidRPr="00D829DF">
        <w:rPr>
          <w:i/>
          <w:sz w:val="22"/>
          <w:szCs w:val="22"/>
          <w:vertAlign w:val="subscript"/>
          <w:lang w:val="de-DE"/>
        </w:rPr>
        <w:t>i,t</w:t>
      </w:r>
      <w:r w:rsidR="000935A5" w:rsidRPr="00D829DF">
        <w:rPr>
          <w:i/>
          <w:sz w:val="22"/>
          <w:szCs w:val="22"/>
          <w:lang w:val="de-DE"/>
        </w:rPr>
        <w:t xml:space="preserve"> +</w:t>
      </w:r>
      <w:r w:rsidR="00691B4A" w:rsidRPr="00D829DF">
        <w:rPr>
          <w:i/>
          <w:sz w:val="22"/>
          <w:szCs w:val="22"/>
        </w:rPr>
        <w:sym w:font="Symbol" w:char="F062"/>
      </w:r>
      <w:r w:rsidR="000935A5" w:rsidRPr="00D829DF">
        <w:rPr>
          <w:i/>
          <w:sz w:val="22"/>
          <w:szCs w:val="22"/>
          <w:vertAlign w:val="subscript"/>
          <w:lang w:val="de-DE"/>
        </w:rPr>
        <w:t xml:space="preserve">5 </w:t>
      </w:r>
      <w:r w:rsidR="000935A5" w:rsidRPr="00D829DF">
        <w:rPr>
          <w:i/>
          <w:sz w:val="22"/>
          <w:szCs w:val="22"/>
          <w:lang w:val="de-DE"/>
        </w:rPr>
        <w:t>MOM</w:t>
      </w:r>
      <w:r w:rsidR="000935A5" w:rsidRPr="00D829DF">
        <w:rPr>
          <w:i/>
          <w:sz w:val="22"/>
          <w:szCs w:val="22"/>
          <w:vertAlign w:val="subscript"/>
          <w:lang w:val="de-DE"/>
        </w:rPr>
        <w:t xml:space="preserve">i,t </w:t>
      </w:r>
      <w:r w:rsidR="000935A5" w:rsidRPr="00D829DF">
        <w:rPr>
          <w:i/>
          <w:sz w:val="22"/>
          <w:szCs w:val="22"/>
          <w:lang w:val="de-DE"/>
        </w:rPr>
        <w:t>+u</w:t>
      </w:r>
      <w:r w:rsidR="000935A5" w:rsidRPr="00D829DF">
        <w:rPr>
          <w:i/>
          <w:sz w:val="22"/>
          <w:szCs w:val="22"/>
          <w:vertAlign w:val="subscript"/>
          <w:lang w:val="de-DE"/>
        </w:rPr>
        <w:t>i,t+1</w:t>
      </w:r>
      <w:r w:rsidRPr="00D829DF">
        <w:rPr>
          <w:sz w:val="22"/>
          <w:szCs w:val="22"/>
          <w:lang w:val="de-DE"/>
        </w:rPr>
        <w:t xml:space="preserve">      </w:t>
      </w:r>
      <w:r w:rsidR="000935A5" w:rsidRPr="00D829DF">
        <w:rPr>
          <w:sz w:val="22"/>
          <w:szCs w:val="22"/>
          <w:lang w:val="de-DE"/>
        </w:rPr>
        <w:t xml:space="preserve"> </w:t>
      </w:r>
      <w:r w:rsidR="005E1B83">
        <w:rPr>
          <w:sz w:val="22"/>
          <w:szCs w:val="22"/>
          <w:lang w:val="de-DE"/>
        </w:rPr>
        <w:t xml:space="preserve">              </w:t>
      </w:r>
      <w:r w:rsidR="000935A5" w:rsidRPr="00D829DF">
        <w:rPr>
          <w:sz w:val="22"/>
          <w:szCs w:val="22"/>
          <w:lang w:val="de-DE"/>
        </w:rPr>
        <w:t>(7)</w:t>
      </w:r>
    </w:p>
    <w:p w:rsidR="00B26438" w:rsidRPr="00521F9C" w:rsidRDefault="00B26438" w:rsidP="00FE1E17">
      <w:pPr>
        <w:widowControl/>
        <w:adjustRightInd w:val="0"/>
        <w:snapToGrid w:val="0"/>
        <w:spacing w:line="288" w:lineRule="auto"/>
        <w:jc w:val="center"/>
        <w:rPr>
          <w:i/>
          <w:sz w:val="16"/>
          <w:szCs w:val="16"/>
          <w:lang w:val="de-DE"/>
        </w:rPr>
      </w:pPr>
    </w:p>
    <w:p w:rsidR="00691B4A" w:rsidRPr="008126EB" w:rsidRDefault="003F76AF" w:rsidP="00FE1E17">
      <w:pPr>
        <w:widowControl/>
        <w:adjustRightInd w:val="0"/>
        <w:snapToGrid w:val="0"/>
        <w:spacing w:line="288" w:lineRule="auto"/>
        <w:jc w:val="both"/>
      </w:pPr>
      <w:r w:rsidRPr="008B50FC">
        <w:rPr>
          <w:lang w:val="de-DE"/>
        </w:rPr>
        <w:lastRenderedPageBreak/>
        <w:t xml:space="preserve">In </w:t>
      </w:r>
      <w:r w:rsidR="00D829DF">
        <w:rPr>
          <w:lang w:val="de-DE"/>
        </w:rPr>
        <w:t>e</w:t>
      </w:r>
      <w:r w:rsidR="00F85192">
        <w:rPr>
          <w:lang w:val="de-DE"/>
        </w:rPr>
        <w:t>quation</w:t>
      </w:r>
      <w:r w:rsidRPr="008B50FC">
        <w:rPr>
          <w:lang w:val="de-DE"/>
        </w:rPr>
        <w:t xml:space="preserve"> </w:t>
      </w:r>
      <w:r>
        <w:t xml:space="preserve">(7), </w:t>
      </w:r>
      <w:r w:rsidR="00691B4A" w:rsidRPr="008126EB">
        <w:rPr>
          <w:i/>
        </w:rPr>
        <w:t>RET</w:t>
      </w:r>
      <w:r w:rsidR="00691B4A" w:rsidRPr="008126EB">
        <w:rPr>
          <w:rFonts w:hint="eastAsia"/>
          <w:i/>
        </w:rPr>
        <w:t>URN</w:t>
      </w:r>
      <w:r w:rsidR="00691B4A" w:rsidRPr="008126EB">
        <w:t xml:space="preserve"> represents annual return</w:t>
      </w:r>
      <w:r w:rsidR="00C32DEF">
        <w:t>s on equity shares</w:t>
      </w:r>
      <w:r w:rsidR="00E66B5F">
        <w:rPr>
          <w:rFonts w:hint="eastAsia"/>
        </w:rPr>
        <w:t xml:space="preserve"> and</w:t>
      </w:r>
      <w:r w:rsidR="00691B4A" w:rsidRPr="008126EB">
        <w:t xml:space="preserve"> </w:t>
      </w:r>
      <w:r w:rsidR="00691B4A" w:rsidRPr="008126EB">
        <w:rPr>
          <w:rFonts w:hint="eastAsia"/>
          <w:i/>
        </w:rPr>
        <w:t>|DA|</w:t>
      </w:r>
      <w:r w:rsidR="00691B4A" w:rsidRPr="008126EB">
        <w:rPr>
          <w:i/>
        </w:rPr>
        <w:t xml:space="preserve"> </w:t>
      </w:r>
      <w:r w:rsidR="00691B4A" w:rsidRPr="008126EB">
        <w:t>is the amount of absolute</w:t>
      </w:r>
      <w:r w:rsidR="00691B4A" w:rsidRPr="008126EB">
        <w:rPr>
          <w:rFonts w:hint="eastAsia"/>
        </w:rPr>
        <w:t xml:space="preserve"> discretionary accruals</w:t>
      </w:r>
      <w:r w:rsidR="00E66B5F">
        <w:rPr>
          <w:rFonts w:hint="eastAsia"/>
        </w:rPr>
        <w:t xml:space="preserve">. </w:t>
      </w:r>
      <w:r w:rsidR="00353B61">
        <w:t>B</w:t>
      </w:r>
      <w:r w:rsidR="00CD6BB3">
        <w:rPr>
          <w:rFonts w:hint="eastAsia"/>
        </w:rPr>
        <w:t xml:space="preserve">ased on the four-factor CAPM model, </w:t>
      </w:r>
      <w:r w:rsidR="00353B61">
        <w:t xml:space="preserve">we include </w:t>
      </w:r>
      <w:r w:rsidR="00691B4A" w:rsidRPr="008126EB">
        <w:rPr>
          <w:rFonts w:hint="eastAsia"/>
          <w:i/>
        </w:rPr>
        <w:t>MKT</w:t>
      </w:r>
      <w:r w:rsidR="000C597F">
        <w:rPr>
          <w:rFonts w:hint="eastAsia"/>
        </w:rPr>
        <w:t xml:space="preserve">, </w:t>
      </w:r>
      <w:r w:rsidR="00691B4A" w:rsidRPr="008126EB">
        <w:rPr>
          <w:i/>
        </w:rPr>
        <w:t>SIZE</w:t>
      </w:r>
      <w:r w:rsidR="000C597F">
        <w:rPr>
          <w:rFonts w:hint="eastAsia"/>
        </w:rPr>
        <w:t xml:space="preserve">, </w:t>
      </w:r>
      <w:r w:rsidR="00691B4A" w:rsidRPr="008126EB">
        <w:rPr>
          <w:i/>
        </w:rPr>
        <w:t>MB</w:t>
      </w:r>
      <w:r w:rsidR="00691B4A" w:rsidRPr="008126EB">
        <w:t xml:space="preserve"> </w:t>
      </w:r>
      <w:r w:rsidR="000C597F">
        <w:rPr>
          <w:rFonts w:hint="eastAsia"/>
        </w:rPr>
        <w:t xml:space="preserve">and </w:t>
      </w:r>
      <w:r w:rsidR="00691B4A" w:rsidRPr="008126EB">
        <w:rPr>
          <w:i/>
        </w:rPr>
        <w:t>MOM</w:t>
      </w:r>
      <w:r w:rsidR="0076103F">
        <w:t xml:space="preserve"> in </w:t>
      </w:r>
      <w:r w:rsidR="0015071E">
        <w:t>e</w:t>
      </w:r>
      <w:r w:rsidR="00F85192">
        <w:t>quation</w:t>
      </w:r>
      <w:r w:rsidR="0076103F">
        <w:t xml:space="preserve"> (7)</w:t>
      </w:r>
      <w:r w:rsidR="00691B4A" w:rsidRPr="008126EB">
        <w:t>.</w:t>
      </w:r>
      <w:r w:rsidR="007045F7">
        <w:t xml:space="preserve"> </w:t>
      </w:r>
      <w:r w:rsidR="007045F7" w:rsidRPr="008126EB">
        <w:t>Table 1</w:t>
      </w:r>
      <w:r w:rsidR="007045F7">
        <w:t xml:space="preserve"> provides a list of variable </w:t>
      </w:r>
      <w:r w:rsidR="008A69A9">
        <w:t>definition</w:t>
      </w:r>
      <w:r w:rsidR="007045F7">
        <w:t>s</w:t>
      </w:r>
      <w:r w:rsidR="00691B4A" w:rsidRPr="008126EB">
        <w:t>.</w:t>
      </w:r>
    </w:p>
    <w:p w:rsidR="00403A8F" w:rsidRDefault="00403A8F" w:rsidP="00FE1E17">
      <w:pPr>
        <w:widowControl/>
        <w:adjustRightInd w:val="0"/>
        <w:snapToGrid w:val="0"/>
        <w:spacing w:before="120"/>
        <w:ind w:left="520" w:hangingChars="236" w:hanging="520"/>
        <w:jc w:val="center"/>
        <w:rPr>
          <w:b/>
          <w:sz w:val="22"/>
          <w:szCs w:val="22"/>
        </w:rPr>
      </w:pPr>
    </w:p>
    <w:p w:rsidR="00FE1E17" w:rsidRPr="00FE1E17" w:rsidRDefault="00FE1E17" w:rsidP="00D829DF">
      <w:pPr>
        <w:widowControl/>
        <w:adjustRightInd w:val="0"/>
        <w:snapToGrid w:val="0"/>
        <w:spacing w:before="120"/>
        <w:ind w:left="520" w:hangingChars="236" w:hanging="520"/>
        <w:jc w:val="center"/>
        <w:rPr>
          <w:b/>
          <w:sz w:val="22"/>
          <w:szCs w:val="22"/>
        </w:rPr>
      </w:pPr>
      <w:r w:rsidRPr="00FE1E17">
        <w:rPr>
          <w:b/>
          <w:sz w:val="22"/>
          <w:szCs w:val="22"/>
        </w:rPr>
        <w:t>Table 1</w:t>
      </w:r>
      <w:r w:rsidR="00D829DF">
        <w:rPr>
          <w:b/>
          <w:sz w:val="22"/>
          <w:szCs w:val="22"/>
        </w:rPr>
        <w:t>: Descriptive Statistics and Correlation C</w:t>
      </w:r>
      <w:r w:rsidRPr="00FE1E17">
        <w:rPr>
          <w:b/>
          <w:sz w:val="22"/>
          <w:szCs w:val="22"/>
        </w:rPr>
        <w:t>oefficients</w:t>
      </w:r>
    </w:p>
    <w:p w:rsidR="00FE1E17" w:rsidRPr="008B5B2B" w:rsidRDefault="00FE1E17" w:rsidP="00FE1E17">
      <w:pPr>
        <w:adjustRightInd w:val="0"/>
        <w:snapToGrid w:val="0"/>
        <w:jc w:val="center"/>
        <w:outlineLvl w:val="0"/>
        <w:rPr>
          <w:b/>
          <w:sz w:val="10"/>
          <w:szCs w:val="10"/>
        </w:rPr>
      </w:pPr>
    </w:p>
    <w:p w:rsidR="008B5B2B" w:rsidRDefault="008B5B2B" w:rsidP="008B5B2B">
      <w:pPr>
        <w:adjustRightInd w:val="0"/>
        <w:snapToGrid w:val="0"/>
        <w:jc w:val="center"/>
        <w:rPr>
          <w:sz w:val="22"/>
          <w:szCs w:val="22"/>
        </w:rPr>
      </w:pPr>
      <w:r>
        <w:rPr>
          <w:sz w:val="22"/>
          <w:szCs w:val="22"/>
        </w:rPr>
        <w:t>Panel A</w:t>
      </w:r>
    </w:p>
    <w:p w:rsidR="00FE1E17" w:rsidRPr="00FE1E17" w:rsidRDefault="008B5B2B" w:rsidP="000F47F0">
      <w:pPr>
        <w:adjustRightInd w:val="0"/>
        <w:snapToGrid w:val="0"/>
        <w:spacing w:after="120"/>
        <w:jc w:val="center"/>
        <w:rPr>
          <w:sz w:val="22"/>
          <w:szCs w:val="22"/>
        </w:rPr>
      </w:pPr>
      <w:r>
        <w:rPr>
          <w:sz w:val="22"/>
          <w:szCs w:val="22"/>
        </w:rPr>
        <w:t>Descriptive S</w:t>
      </w:r>
      <w:r w:rsidR="00FE1E17" w:rsidRPr="00FE1E17">
        <w:rPr>
          <w:sz w:val="22"/>
          <w:szCs w:val="22"/>
        </w:rPr>
        <w:t>tatistics</w:t>
      </w:r>
    </w:p>
    <w:tbl>
      <w:tblPr>
        <w:tblW w:w="4911" w:type="pct"/>
        <w:tblInd w:w="108" w:type="dxa"/>
        <w:tblBorders>
          <w:top w:val="single" w:sz="12" w:space="0" w:color="008000"/>
          <w:bottom w:val="single" w:sz="12" w:space="0" w:color="008000"/>
        </w:tblBorders>
        <w:tblLayout w:type="fixed"/>
        <w:tblLook w:val="0000" w:firstRow="0" w:lastRow="0" w:firstColumn="0" w:lastColumn="0" w:noHBand="0" w:noVBand="0"/>
      </w:tblPr>
      <w:tblGrid>
        <w:gridCol w:w="1299"/>
        <w:gridCol w:w="1229"/>
        <w:gridCol w:w="1229"/>
        <w:gridCol w:w="1224"/>
        <w:gridCol w:w="1037"/>
        <w:gridCol w:w="977"/>
        <w:gridCol w:w="977"/>
        <w:gridCol w:w="1106"/>
      </w:tblGrid>
      <w:tr w:rsidR="00FE1E17" w:rsidRPr="00FE1E17" w:rsidTr="00583009">
        <w:trPr>
          <w:trHeight w:val="340"/>
        </w:trPr>
        <w:tc>
          <w:tcPr>
            <w:tcW w:w="715" w:type="pct"/>
            <w:tcBorders>
              <w:top w:val="single" w:sz="12" w:space="0" w:color="000000"/>
              <w:bottom w:val="single" w:sz="4" w:space="0" w:color="000000"/>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c>
          <w:tcPr>
            <w:tcW w:w="677" w:type="pct"/>
            <w:tcBorders>
              <w:top w:val="single" w:sz="12" w:space="0" w:color="000000"/>
              <w:bottom w:val="single" w:sz="4" w:space="0" w:color="000000"/>
            </w:tcBorders>
            <w:shd w:val="clear" w:color="auto" w:fill="auto"/>
            <w:noWrap/>
            <w:vAlign w:val="center"/>
          </w:tcPr>
          <w:p w:rsidR="00FE1E17" w:rsidRPr="00FE1E17" w:rsidRDefault="00FE1E17" w:rsidP="00583009">
            <w:pPr>
              <w:adjustRightInd w:val="0"/>
              <w:snapToGrid w:val="0"/>
              <w:jc w:val="center"/>
              <w:rPr>
                <w:rFonts w:eastAsia="DFKai-SB"/>
                <w:i/>
                <w:sz w:val="22"/>
                <w:szCs w:val="22"/>
              </w:rPr>
            </w:pPr>
            <w:r w:rsidRPr="00FE1E17">
              <w:rPr>
                <w:rFonts w:eastAsia="DFKai-SB"/>
                <w:i/>
                <w:sz w:val="22"/>
                <w:szCs w:val="22"/>
              </w:rPr>
              <w:t>RETURN</w:t>
            </w:r>
          </w:p>
        </w:tc>
        <w:tc>
          <w:tcPr>
            <w:tcW w:w="677" w:type="pct"/>
            <w:tcBorders>
              <w:top w:val="single" w:sz="12" w:space="0" w:color="000000"/>
              <w:bottom w:val="single" w:sz="4" w:space="0" w:color="000000"/>
            </w:tcBorders>
            <w:vAlign w:val="center"/>
          </w:tcPr>
          <w:p w:rsidR="00FE1E17" w:rsidRPr="00FE1E17" w:rsidRDefault="00FE1E17" w:rsidP="00583009">
            <w:pPr>
              <w:adjustRightInd w:val="0"/>
              <w:snapToGrid w:val="0"/>
              <w:jc w:val="center"/>
              <w:rPr>
                <w:rFonts w:eastAsia="DFKai-SB"/>
                <w:i/>
                <w:sz w:val="22"/>
                <w:szCs w:val="22"/>
              </w:rPr>
            </w:pPr>
            <w:r w:rsidRPr="00FE1E17">
              <w:rPr>
                <w:rFonts w:eastAsia="DFKai-SB"/>
                <w:i/>
                <w:sz w:val="22"/>
                <w:szCs w:val="22"/>
              </w:rPr>
              <w:t>|DA|</w:t>
            </w:r>
          </w:p>
        </w:tc>
        <w:tc>
          <w:tcPr>
            <w:tcW w:w="674" w:type="pct"/>
            <w:tcBorders>
              <w:top w:val="single" w:sz="12" w:space="0" w:color="000000"/>
              <w:bottom w:val="single" w:sz="4" w:space="0" w:color="000000"/>
            </w:tcBorders>
            <w:vAlign w:val="center"/>
          </w:tcPr>
          <w:p w:rsidR="00FE1E17" w:rsidRPr="00FE1E17" w:rsidRDefault="00FE1E17" w:rsidP="00583009">
            <w:pPr>
              <w:adjustRightInd w:val="0"/>
              <w:snapToGrid w:val="0"/>
              <w:jc w:val="center"/>
              <w:rPr>
                <w:rFonts w:eastAsia="DFKai-SB"/>
                <w:i/>
                <w:sz w:val="22"/>
                <w:szCs w:val="22"/>
              </w:rPr>
            </w:pPr>
            <w:r w:rsidRPr="00FE1E17">
              <w:rPr>
                <w:rFonts w:eastAsia="DFKai-SB"/>
                <w:i/>
                <w:sz w:val="22"/>
                <w:szCs w:val="22"/>
              </w:rPr>
              <w:t>DA</w:t>
            </w:r>
          </w:p>
        </w:tc>
        <w:tc>
          <w:tcPr>
            <w:tcW w:w="571" w:type="pct"/>
            <w:tcBorders>
              <w:top w:val="single" w:sz="12" w:space="0" w:color="000000"/>
              <w:bottom w:val="single" w:sz="4" w:space="0" w:color="000000"/>
            </w:tcBorders>
            <w:vAlign w:val="center"/>
          </w:tcPr>
          <w:p w:rsidR="00FE1E17" w:rsidRPr="00FE1E17" w:rsidRDefault="00FE1E17" w:rsidP="00583009">
            <w:pPr>
              <w:adjustRightInd w:val="0"/>
              <w:snapToGrid w:val="0"/>
              <w:jc w:val="center"/>
              <w:rPr>
                <w:rFonts w:eastAsia="DFKai-SB"/>
                <w:i/>
                <w:sz w:val="22"/>
                <w:szCs w:val="22"/>
              </w:rPr>
            </w:pPr>
            <w:r w:rsidRPr="00FE1E17">
              <w:rPr>
                <w:rFonts w:eastAsia="DFKai-SB"/>
                <w:i/>
                <w:sz w:val="22"/>
                <w:szCs w:val="22"/>
              </w:rPr>
              <w:t>MKT</w:t>
            </w:r>
          </w:p>
        </w:tc>
        <w:tc>
          <w:tcPr>
            <w:tcW w:w="538" w:type="pct"/>
            <w:tcBorders>
              <w:top w:val="single" w:sz="12" w:space="0" w:color="000000"/>
              <w:bottom w:val="single" w:sz="4" w:space="0" w:color="000000"/>
            </w:tcBorders>
            <w:shd w:val="clear" w:color="auto" w:fill="auto"/>
            <w:noWrap/>
            <w:vAlign w:val="center"/>
          </w:tcPr>
          <w:p w:rsidR="00FE1E17" w:rsidRPr="00FE1E17" w:rsidRDefault="00FE1E17" w:rsidP="00583009">
            <w:pPr>
              <w:adjustRightInd w:val="0"/>
              <w:snapToGrid w:val="0"/>
              <w:jc w:val="center"/>
              <w:rPr>
                <w:rFonts w:eastAsia="DFKai-SB"/>
                <w:i/>
                <w:sz w:val="22"/>
                <w:szCs w:val="22"/>
              </w:rPr>
            </w:pPr>
            <w:r w:rsidRPr="00FE1E17">
              <w:rPr>
                <w:rFonts w:eastAsia="DFKai-SB"/>
                <w:i/>
                <w:sz w:val="22"/>
                <w:szCs w:val="22"/>
              </w:rPr>
              <w:t>SIZE</w:t>
            </w:r>
          </w:p>
        </w:tc>
        <w:tc>
          <w:tcPr>
            <w:tcW w:w="538" w:type="pct"/>
            <w:tcBorders>
              <w:top w:val="single" w:sz="12" w:space="0" w:color="000000"/>
              <w:bottom w:val="single" w:sz="4" w:space="0" w:color="000000"/>
            </w:tcBorders>
            <w:shd w:val="clear" w:color="auto" w:fill="auto"/>
            <w:vAlign w:val="center"/>
          </w:tcPr>
          <w:p w:rsidR="00FE1E17" w:rsidRPr="00FE1E17" w:rsidRDefault="00FE1E17" w:rsidP="00583009">
            <w:pPr>
              <w:adjustRightInd w:val="0"/>
              <w:snapToGrid w:val="0"/>
              <w:jc w:val="center"/>
              <w:rPr>
                <w:rFonts w:eastAsia="DFKai-SB"/>
                <w:i/>
                <w:sz w:val="22"/>
                <w:szCs w:val="22"/>
              </w:rPr>
            </w:pPr>
            <w:r w:rsidRPr="00FE1E17">
              <w:rPr>
                <w:rFonts w:eastAsia="DFKai-SB"/>
                <w:i/>
                <w:sz w:val="22"/>
                <w:szCs w:val="22"/>
              </w:rPr>
              <w:t>MB</w:t>
            </w:r>
          </w:p>
        </w:tc>
        <w:tc>
          <w:tcPr>
            <w:tcW w:w="609" w:type="pct"/>
            <w:tcBorders>
              <w:top w:val="single" w:sz="12" w:space="0" w:color="000000"/>
              <w:bottom w:val="single" w:sz="4" w:space="0" w:color="000000"/>
            </w:tcBorders>
            <w:shd w:val="clear" w:color="auto" w:fill="auto"/>
            <w:vAlign w:val="center"/>
          </w:tcPr>
          <w:p w:rsidR="00FE1E17" w:rsidRPr="00FE1E17" w:rsidRDefault="00FE1E17" w:rsidP="00583009">
            <w:pPr>
              <w:adjustRightInd w:val="0"/>
              <w:snapToGrid w:val="0"/>
              <w:jc w:val="center"/>
              <w:rPr>
                <w:rFonts w:eastAsia="DFKai-SB"/>
                <w:i/>
                <w:sz w:val="22"/>
                <w:szCs w:val="22"/>
              </w:rPr>
            </w:pPr>
            <w:r w:rsidRPr="00FE1E17">
              <w:rPr>
                <w:rFonts w:eastAsia="DFKai-SB"/>
                <w:i/>
                <w:sz w:val="22"/>
                <w:szCs w:val="22"/>
              </w:rPr>
              <w:t>MOM</w:t>
            </w:r>
          </w:p>
        </w:tc>
      </w:tr>
      <w:tr w:rsidR="00FE1E17" w:rsidRPr="00FE1E17" w:rsidTr="00583009">
        <w:trPr>
          <w:trHeight w:val="397"/>
        </w:trPr>
        <w:tc>
          <w:tcPr>
            <w:tcW w:w="715" w:type="pct"/>
            <w:tcBorders>
              <w:top w:val="single" w:sz="4" w:space="0" w:color="000000"/>
            </w:tcBorders>
            <w:shd w:val="clear" w:color="auto" w:fill="auto"/>
            <w:noWrap/>
            <w:vAlign w:val="center"/>
          </w:tcPr>
          <w:p w:rsidR="00FE1E17" w:rsidRPr="00FE1E17" w:rsidRDefault="00FE1E17" w:rsidP="00583009">
            <w:pPr>
              <w:adjustRightInd w:val="0"/>
              <w:snapToGrid w:val="0"/>
              <w:rPr>
                <w:rFonts w:eastAsia="DFKai-SB"/>
                <w:sz w:val="22"/>
                <w:szCs w:val="22"/>
              </w:rPr>
            </w:pPr>
            <w:r w:rsidRPr="00FE1E17">
              <w:rPr>
                <w:rFonts w:eastAsia="DFKai-SB"/>
                <w:sz w:val="22"/>
                <w:szCs w:val="22"/>
              </w:rPr>
              <w:t>Mean</w:t>
            </w:r>
          </w:p>
        </w:tc>
        <w:tc>
          <w:tcPr>
            <w:tcW w:w="677" w:type="pct"/>
            <w:tcBorders>
              <w:top w:val="single" w:sz="4" w:space="0" w:color="000000"/>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0.2177</w:t>
            </w:r>
          </w:p>
        </w:tc>
        <w:tc>
          <w:tcPr>
            <w:tcW w:w="677" w:type="pct"/>
            <w:tcBorders>
              <w:top w:val="single" w:sz="4" w:space="0" w:color="000000"/>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0.0585</w:t>
            </w:r>
          </w:p>
        </w:tc>
        <w:tc>
          <w:tcPr>
            <w:tcW w:w="674" w:type="pct"/>
            <w:tcBorders>
              <w:top w:val="single" w:sz="4" w:space="0" w:color="000000"/>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-0.0075</w:t>
            </w:r>
          </w:p>
        </w:tc>
        <w:tc>
          <w:tcPr>
            <w:tcW w:w="571" w:type="pct"/>
            <w:tcBorders>
              <w:top w:val="single" w:sz="4" w:space="0" w:color="000000"/>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0.0833</w:t>
            </w:r>
          </w:p>
        </w:tc>
        <w:tc>
          <w:tcPr>
            <w:tcW w:w="538" w:type="pct"/>
            <w:tcBorders>
              <w:top w:val="single" w:sz="4" w:space="0" w:color="000000"/>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7.0813</w:t>
            </w:r>
          </w:p>
        </w:tc>
        <w:tc>
          <w:tcPr>
            <w:tcW w:w="538" w:type="pct"/>
            <w:tcBorders>
              <w:top w:val="single" w:sz="4" w:space="0" w:color="000000"/>
            </w:tcBorders>
            <w:shd w:val="clear" w:color="auto" w:fill="auto"/>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0.9048</w:t>
            </w:r>
          </w:p>
        </w:tc>
        <w:tc>
          <w:tcPr>
            <w:tcW w:w="609" w:type="pct"/>
            <w:tcBorders>
              <w:top w:val="single" w:sz="4" w:space="0" w:color="000000"/>
            </w:tcBorders>
            <w:shd w:val="clear" w:color="auto" w:fill="auto"/>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0.1889</w:t>
            </w:r>
          </w:p>
        </w:tc>
      </w:tr>
      <w:tr w:rsidR="00FE1E17" w:rsidRPr="00FE1E17" w:rsidTr="00583009">
        <w:trPr>
          <w:trHeight w:val="397"/>
        </w:trPr>
        <w:tc>
          <w:tcPr>
            <w:tcW w:w="715" w:type="pct"/>
            <w:shd w:val="clear" w:color="auto" w:fill="auto"/>
            <w:noWrap/>
            <w:vAlign w:val="center"/>
          </w:tcPr>
          <w:p w:rsidR="00FE1E17" w:rsidRPr="00FE1E17" w:rsidRDefault="00FE1E17" w:rsidP="00583009">
            <w:pPr>
              <w:adjustRightInd w:val="0"/>
              <w:snapToGrid w:val="0"/>
              <w:rPr>
                <w:rFonts w:eastAsia="DFKai-SB"/>
                <w:sz w:val="22"/>
                <w:szCs w:val="22"/>
              </w:rPr>
            </w:pPr>
            <w:r w:rsidRPr="00FE1E17">
              <w:rPr>
                <w:rFonts w:eastAsia="DFKai-SB"/>
                <w:sz w:val="22"/>
                <w:szCs w:val="22"/>
              </w:rPr>
              <w:t>Median</w:t>
            </w:r>
          </w:p>
        </w:tc>
        <w:tc>
          <w:tcPr>
            <w:tcW w:w="677" w:type="pct"/>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0.0962</w:t>
            </w:r>
          </w:p>
        </w:tc>
        <w:tc>
          <w:tcPr>
            <w:tcW w:w="677" w:type="pct"/>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0.0333</w:t>
            </w:r>
          </w:p>
        </w:tc>
        <w:tc>
          <w:tcPr>
            <w:tcW w:w="674" w:type="pct"/>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-0.0030</w:t>
            </w:r>
          </w:p>
        </w:tc>
        <w:tc>
          <w:tcPr>
            <w:tcW w:w="571" w:type="pct"/>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0.0973</w:t>
            </w:r>
          </w:p>
        </w:tc>
        <w:tc>
          <w:tcPr>
            <w:tcW w:w="538" w:type="pct"/>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6.9381</w:t>
            </w:r>
          </w:p>
        </w:tc>
        <w:tc>
          <w:tcPr>
            <w:tcW w:w="538" w:type="pct"/>
            <w:shd w:val="clear" w:color="auto" w:fill="auto"/>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0.8392</w:t>
            </w:r>
          </w:p>
        </w:tc>
        <w:tc>
          <w:tcPr>
            <w:tcW w:w="609" w:type="pct"/>
            <w:shd w:val="clear" w:color="auto" w:fill="auto"/>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0.0855</w:t>
            </w:r>
          </w:p>
        </w:tc>
      </w:tr>
      <w:tr w:rsidR="00FE1E17" w:rsidRPr="00FE1E17" w:rsidTr="00583009">
        <w:trPr>
          <w:trHeight w:val="397"/>
        </w:trPr>
        <w:tc>
          <w:tcPr>
            <w:tcW w:w="715" w:type="pct"/>
            <w:shd w:val="clear" w:color="auto" w:fill="auto"/>
            <w:noWrap/>
            <w:vAlign w:val="center"/>
          </w:tcPr>
          <w:p w:rsidR="00FE1E17" w:rsidRPr="00FE1E17" w:rsidRDefault="00FE1E17" w:rsidP="00583009">
            <w:pPr>
              <w:adjustRightInd w:val="0"/>
              <w:snapToGrid w:val="0"/>
              <w:rPr>
                <w:rFonts w:eastAsia="DFKai-SB"/>
                <w:sz w:val="22"/>
                <w:szCs w:val="22"/>
              </w:rPr>
            </w:pPr>
            <w:r w:rsidRPr="00FE1E17">
              <w:rPr>
                <w:rFonts w:eastAsia="DFKai-SB"/>
                <w:sz w:val="22"/>
                <w:szCs w:val="22"/>
              </w:rPr>
              <w:t>S.D.</w:t>
            </w:r>
          </w:p>
        </w:tc>
        <w:tc>
          <w:tcPr>
            <w:tcW w:w="677" w:type="pct"/>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0.8175</w:t>
            </w:r>
          </w:p>
        </w:tc>
        <w:tc>
          <w:tcPr>
            <w:tcW w:w="677" w:type="pct"/>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0.1076</w:t>
            </w:r>
          </w:p>
        </w:tc>
        <w:tc>
          <w:tcPr>
            <w:tcW w:w="674" w:type="pct"/>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0.1223</w:t>
            </w:r>
          </w:p>
        </w:tc>
        <w:tc>
          <w:tcPr>
            <w:tcW w:w="571" w:type="pct"/>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0.2279</w:t>
            </w:r>
          </w:p>
        </w:tc>
        <w:tc>
          <w:tcPr>
            <w:tcW w:w="538" w:type="pct"/>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1.6004</w:t>
            </w:r>
          </w:p>
        </w:tc>
        <w:tc>
          <w:tcPr>
            <w:tcW w:w="538" w:type="pct"/>
            <w:shd w:val="clear" w:color="auto" w:fill="auto"/>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0.7452</w:t>
            </w:r>
          </w:p>
        </w:tc>
        <w:tc>
          <w:tcPr>
            <w:tcW w:w="609" w:type="pct"/>
            <w:shd w:val="clear" w:color="auto" w:fill="auto"/>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0.7277</w:t>
            </w:r>
          </w:p>
        </w:tc>
      </w:tr>
      <w:tr w:rsidR="00FE1E17" w:rsidRPr="00FE1E17" w:rsidTr="00583009">
        <w:trPr>
          <w:trHeight w:val="397"/>
        </w:trPr>
        <w:tc>
          <w:tcPr>
            <w:tcW w:w="715" w:type="pct"/>
            <w:shd w:val="clear" w:color="auto" w:fill="auto"/>
            <w:noWrap/>
            <w:vAlign w:val="center"/>
          </w:tcPr>
          <w:p w:rsidR="00FE1E17" w:rsidRPr="00FE1E17" w:rsidRDefault="00FE1E17" w:rsidP="00583009">
            <w:pPr>
              <w:adjustRightInd w:val="0"/>
              <w:snapToGrid w:val="0"/>
              <w:rPr>
                <w:rFonts w:eastAsia="DFKai-SB"/>
                <w:sz w:val="22"/>
                <w:szCs w:val="22"/>
              </w:rPr>
            </w:pPr>
            <w:r w:rsidRPr="00FE1E17">
              <w:rPr>
                <w:rFonts w:eastAsia="DFKai-SB"/>
                <w:sz w:val="22"/>
                <w:szCs w:val="22"/>
              </w:rPr>
              <w:t>Skewness</w:t>
            </w:r>
          </w:p>
        </w:tc>
        <w:tc>
          <w:tcPr>
            <w:tcW w:w="677" w:type="pct"/>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6.8383</w:t>
            </w:r>
          </w:p>
        </w:tc>
        <w:tc>
          <w:tcPr>
            <w:tcW w:w="677" w:type="pct"/>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15.6586</w:t>
            </w:r>
          </w:p>
        </w:tc>
        <w:tc>
          <w:tcPr>
            <w:tcW w:w="674" w:type="pct"/>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7.8435</w:t>
            </w:r>
          </w:p>
        </w:tc>
        <w:tc>
          <w:tcPr>
            <w:tcW w:w="571" w:type="pct"/>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-0.2868</w:t>
            </w:r>
          </w:p>
        </w:tc>
        <w:tc>
          <w:tcPr>
            <w:tcW w:w="538" w:type="pct"/>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0.3419</w:t>
            </w:r>
          </w:p>
        </w:tc>
        <w:tc>
          <w:tcPr>
            <w:tcW w:w="538" w:type="pct"/>
            <w:shd w:val="clear" w:color="auto" w:fill="auto"/>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0.6638</w:t>
            </w:r>
          </w:p>
        </w:tc>
        <w:tc>
          <w:tcPr>
            <w:tcW w:w="609" w:type="pct"/>
            <w:shd w:val="clear" w:color="auto" w:fill="auto"/>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5.7698</w:t>
            </w:r>
          </w:p>
        </w:tc>
      </w:tr>
      <w:tr w:rsidR="00FE1E17" w:rsidRPr="00FE1E17" w:rsidTr="00583009">
        <w:trPr>
          <w:trHeight w:val="397"/>
        </w:trPr>
        <w:tc>
          <w:tcPr>
            <w:tcW w:w="715" w:type="pct"/>
            <w:shd w:val="clear" w:color="auto" w:fill="auto"/>
            <w:noWrap/>
            <w:vAlign w:val="center"/>
          </w:tcPr>
          <w:p w:rsidR="00FE1E17" w:rsidRPr="00FE1E17" w:rsidRDefault="00FE1E17" w:rsidP="00583009">
            <w:pPr>
              <w:adjustRightInd w:val="0"/>
              <w:snapToGrid w:val="0"/>
              <w:rPr>
                <w:rFonts w:eastAsia="DFKai-SB"/>
                <w:sz w:val="22"/>
                <w:szCs w:val="22"/>
              </w:rPr>
            </w:pPr>
            <w:r w:rsidRPr="00FE1E17">
              <w:rPr>
                <w:rFonts w:eastAsia="DFKai-SB"/>
                <w:sz w:val="22"/>
                <w:szCs w:val="22"/>
              </w:rPr>
              <w:t>Kurtosis</w:t>
            </w:r>
          </w:p>
        </w:tc>
        <w:tc>
          <w:tcPr>
            <w:tcW w:w="677" w:type="pct"/>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107.4732</w:t>
            </w:r>
          </w:p>
        </w:tc>
        <w:tc>
          <w:tcPr>
            <w:tcW w:w="677" w:type="pct"/>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542.2063</w:t>
            </w:r>
          </w:p>
        </w:tc>
        <w:tc>
          <w:tcPr>
            <w:tcW w:w="674" w:type="pct"/>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348.8974</w:t>
            </w:r>
          </w:p>
        </w:tc>
        <w:tc>
          <w:tcPr>
            <w:tcW w:w="571" w:type="pct"/>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2.6688</w:t>
            </w:r>
          </w:p>
        </w:tc>
        <w:tc>
          <w:tcPr>
            <w:tcW w:w="538" w:type="pct"/>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2.9583</w:t>
            </w:r>
          </w:p>
        </w:tc>
        <w:tc>
          <w:tcPr>
            <w:tcW w:w="538" w:type="pct"/>
            <w:shd w:val="clear" w:color="auto" w:fill="auto"/>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6.2743</w:t>
            </w:r>
          </w:p>
        </w:tc>
        <w:tc>
          <w:tcPr>
            <w:tcW w:w="609" w:type="pct"/>
            <w:shd w:val="clear" w:color="auto" w:fill="auto"/>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75.8313</w:t>
            </w:r>
          </w:p>
        </w:tc>
      </w:tr>
      <w:tr w:rsidR="00FE1E17" w:rsidRPr="00FE1E17" w:rsidTr="00583009">
        <w:trPr>
          <w:trHeight w:val="397"/>
        </w:trPr>
        <w:tc>
          <w:tcPr>
            <w:tcW w:w="715" w:type="pct"/>
            <w:tcBorders>
              <w:bottom w:val="nil"/>
            </w:tcBorders>
            <w:shd w:val="clear" w:color="auto" w:fill="auto"/>
            <w:noWrap/>
            <w:vAlign w:val="center"/>
          </w:tcPr>
          <w:p w:rsidR="00FE1E17" w:rsidRPr="00FE1E17" w:rsidRDefault="00FE1E17" w:rsidP="00583009">
            <w:pPr>
              <w:adjustRightInd w:val="0"/>
              <w:snapToGrid w:val="0"/>
              <w:rPr>
                <w:rFonts w:eastAsia="DFKai-SB"/>
                <w:sz w:val="22"/>
                <w:szCs w:val="22"/>
              </w:rPr>
            </w:pPr>
            <w:r w:rsidRPr="00FE1E17">
              <w:rPr>
                <w:rFonts w:eastAsia="DFKai-SB"/>
                <w:sz w:val="22"/>
                <w:szCs w:val="22"/>
              </w:rPr>
              <w:t>Q1</w:t>
            </w:r>
          </w:p>
        </w:tc>
        <w:tc>
          <w:tcPr>
            <w:tcW w:w="677" w:type="pct"/>
            <w:tcBorders>
              <w:bottom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-0.1652</w:t>
            </w:r>
          </w:p>
        </w:tc>
        <w:tc>
          <w:tcPr>
            <w:tcW w:w="677" w:type="pct"/>
            <w:tcBorders>
              <w:bottom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0.0137</w:t>
            </w:r>
          </w:p>
        </w:tc>
        <w:tc>
          <w:tcPr>
            <w:tcW w:w="674" w:type="pct"/>
            <w:tcBorders>
              <w:bottom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-0.0389</w:t>
            </w:r>
          </w:p>
        </w:tc>
        <w:tc>
          <w:tcPr>
            <w:tcW w:w="571" w:type="pct"/>
            <w:tcBorders>
              <w:bottom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-0.0131</w:t>
            </w:r>
          </w:p>
        </w:tc>
        <w:tc>
          <w:tcPr>
            <w:tcW w:w="538" w:type="pct"/>
            <w:tcBorders>
              <w:bottom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5.9319</w:t>
            </w:r>
          </w:p>
        </w:tc>
        <w:tc>
          <w:tcPr>
            <w:tcW w:w="538" w:type="pct"/>
            <w:tcBorders>
              <w:bottom w:val="nil"/>
            </w:tcBorders>
            <w:shd w:val="clear" w:color="auto" w:fill="auto"/>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0.4454</w:t>
            </w:r>
          </w:p>
        </w:tc>
        <w:tc>
          <w:tcPr>
            <w:tcW w:w="609" w:type="pct"/>
            <w:tcBorders>
              <w:bottom w:val="nil"/>
            </w:tcBorders>
            <w:shd w:val="clear" w:color="auto" w:fill="auto"/>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-0.1649</w:t>
            </w:r>
          </w:p>
        </w:tc>
      </w:tr>
      <w:tr w:rsidR="00FE1E17" w:rsidRPr="00FE1E17" w:rsidTr="00583009">
        <w:trPr>
          <w:trHeight w:val="397"/>
        </w:trPr>
        <w:tc>
          <w:tcPr>
            <w:tcW w:w="715" w:type="pct"/>
            <w:tcBorders>
              <w:top w:val="nil"/>
              <w:bottom w:val="single" w:sz="12" w:space="0" w:color="000000"/>
            </w:tcBorders>
            <w:shd w:val="clear" w:color="auto" w:fill="auto"/>
            <w:noWrap/>
            <w:vAlign w:val="center"/>
          </w:tcPr>
          <w:p w:rsidR="00FE1E17" w:rsidRPr="00FE1E17" w:rsidRDefault="00FE1E17" w:rsidP="00583009">
            <w:pPr>
              <w:adjustRightInd w:val="0"/>
              <w:snapToGrid w:val="0"/>
              <w:rPr>
                <w:rFonts w:eastAsia="DFKai-SB"/>
                <w:sz w:val="22"/>
                <w:szCs w:val="22"/>
              </w:rPr>
            </w:pPr>
            <w:r w:rsidRPr="00FE1E17">
              <w:rPr>
                <w:rFonts w:eastAsia="DFKai-SB"/>
                <w:sz w:val="22"/>
                <w:szCs w:val="22"/>
              </w:rPr>
              <w:t>Q3</w:t>
            </w:r>
          </w:p>
        </w:tc>
        <w:tc>
          <w:tcPr>
            <w:tcW w:w="677" w:type="pct"/>
            <w:tcBorders>
              <w:top w:val="nil"/>
              <w:bottom w:val="single" w:sz="12" w:space="0" w:color="000000"/>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0.3991</w:t>
            </w:r>
          </w:p>
        </w:tc>
        <w:tc>
          <w:tcPr>
            <w:tcW w:w="677" w:type="pct"/>
            <w:tcBorders>
              <w:top w:val="nil"/>
              <w:bottom w:val="single" w:sz="12" w:space="0" w:color="000000"/>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0.0680</w:t>
            </w:r>
          </w:p>
        </w:tc>
        <w:tc>
          <w:tcPr>
            <w:tcW w:w="674" w:type="pct"/>
            <w:tcBorders>
              <w:top w:val="nil"/>
              <w:bottom w:val="single" w:sz="12" w:space="0" w:color="000000"/>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0.0277</w:t>
            </w:r>
          </w:p>
        </w:tc>
        <w:tc>
          <w:tcPr>
            <w:tcW w:w="571" w:type="pct"/>
            <w:tcBorders>
              <w:top w:val="nil"/>
              <w:bottom w:val="single" w:sz="12" w:space="0" w:color="000000"/>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0.1729</w:t>
            </w:r>
          </w:p>
        </w:tc>
        <w:tc>
          <w:tcPr>
            <w:tcW w:w="538" w:type="pct"/>
            <w:tcBorders>
              <w:top w:val="nil"/>
              <w:bottom w:val="single" w:sz="12" w:space="0" w:color="000000"/>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8.0947</w:t>
            </w:r>
          </w:p>
        </w:tc>
        <w:tc>
          <w:tcPr>
            <w:tcW w:w="538" w:type="pct"/>
            <w:tcBorders>
              <w:top w:val="nil"/>
              <w:bottom w:val="single" w:sz="12" w:space="0" w:color="000000"/>
            </w:tcBorders>
            <w:shd w:val="clear" w:color="auto" w:fill="auto"/>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1.3065</w:t>
            </w:r>
          </w:p>
        </w:tc>
        <w:tc>
          <w:tcPr>
            <w:tcW w:w="609" w:type="pct"/>
            <w:tcBorders>
              <w:top w:val="nil"/>
              <w:bottom w:val="single" w:sz="12" w:space="0" w:color="000000"/>
            </w:tcBorders>
            <w:shd w:val="clear" w:color="auto" w:fill="auto"/>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0.3701</w:t>
            </w:r>
          </w:p>
        </w:tc>
      </w:tr>
    </w:tbl>
    <w:p w:rsidR="00FE1E17" w:rsidRPr="00FE1E17" w:rsidRDefault="00FE1E17" w:rsidP="00FE1E17">
      <w:pPr>
        <w:adjustRightInd w:val="0"/>
        <w:snapToGrid w:val="0"/>
        <w:rPr>
          <w:sz w:val="22"/>
          <w:szCs w:val="22"/>
        </w:rPr>
      </w:pPr>
    </w:p>
    <w:p w:rsidR="008B5B2B" w:rsidRDefault="008B5B2B" w:rsidP="008B5B2B">
      <w:pPr>
        <w:adjustRightInd w:val="0"/>
        <w:snapToGrid w:val="0"/>
        <w:jc w:val="center"/>
        <w:rPr>
          <w:sz w:val="22"/>
          <w:szCs w:val="22"/>
        </w:rPr>
      </w:pPr>
      <w:r>
        <w:rPr>
          <w:sz w:val="22"/>
          <w:szCs w:val="22"/>
        </w:rPr>
        <w:t>Panel B</w:t>
      </w:r>
    </w:p>
    <w:p w:rsidR="00FE1E17" w:rsidRPr="00FE1E17" w:rsidRDefault="00FE1E17" w:rsidP="000F47F0">
      <w:pPr>
        <w:adjustRightInd w:val="0"/>
        <w:snapToGrid w:val="0"/>
        <w:spacing w:after="120"/>
        <w:jc w:val="center"/>
        <w:rPr>
          <w:sz w:val="22"/>
          <w:szCs w:val="22"/>
        </w:rPr>
      </w:pPr>
      <w:r w:rsidRPr="00FE1E17">
        <w:rPr>
          <w:sz w:val="22"/>
          <w:szCs w:val="22"/>
        </w:rPr>
        <w:t xml:space="preserve">Correlation </w:t>
      </w:r>
      <w:r w:rsidR="008B5B2B">
        <w:rPr>
          <w:sz w:val="22"/>
          <w:szCs w:val="22"/>
        </w:rPr>
        <w:t>Coefficients M</w:t>
      </w:r>
      <w:r w:rsidRPr="00FE1E17">
        <w:rPr>
          <w:sz w:val="22"/>
          <w:szCs w:val="22"/>
        </w:rPr>
        <w:t>atrix</w:t>
      </w:r>
    </w:p>
    <w:tbl>
      <w:tblPr>
        <w:tblW w:w="9526" w:type="dxa"/>
        <w:tblLayout w:type="fixed"/>
        <w:tblCellMar>
          <w:left w:w="28" w:type="dxa"/>
          <w:right w:w="28" w:type="dxa"/>
        </w:tblCellMar>
        <w:tblLook w:val="0000" w:firstRow="0" w:lastRow="0" w:firstColumn="0" w:lastColumn="0" w:noHBand="0" w:noVBand="0"/>
      </w:tblPr>
      <w:tblGrid>
        <w:gridCol w:w="1443"/>
        <w:gridCol w:w="1155"/>
        <w:gridCol w:w="1155"/>
        <w:gridCol w:w="1155"/>
        <w:gridCol w:w="1155"/>
        <w:gridCol w:w="1155"/>
        <w:gridCol w:w="1155"/>
        <w:gridCol w:w="1153"/>
      </w:tblGrid>
      <w:tr w:rsidR="00FE1E17" w:rsidRPr="00FE1E17" w:rsidTr="00583009">
        <w:trPr>
          <w:trHeight w:val="340"/>
        </w:trPr>
        <w:tc>
          <w:tcPr>
            <w:tcW w:w="758" w:type="pct"/>
            <w:tcBorders>
              <w:top w:val="single" w:sz="12" w:space="0" w:color="auto"/>
              <w:left w:val="nil"/>
              <w:bottom w:val="single" w:sz="8" w:space="0" w:color="auto"/>
            </w:tcBorders>
            <w:shd w:val="clear" w:color="auto" w:fill="auto"/>
            <w:noWrap/>
            <w:vAlign w:val="center"/>
          </w:tcPr>
          <w:p w:rsidR="00FE1E17" w:rsidRPr="00FE1E17" w:rsidRDefault="00FE1E17" w:rsidP="00583009">
            <w:pPr>
              <w:widowControl/>
              <w:spacing w:line="0" w:lineRule="atLeast"/>
              <w:rPr>
                <w:rFonts w:eastAsia="DFKai-SB"/>
                <w:kern w:val="0"/>
                <w:sz w:val="22"/>
                <w:szCs w:val="22"/>
              </w:rPr>
            </w:pPr>
            <w:r w:rsidRPr="00FE1E17">
              <w:rPr>
                <w:rFonts w:eastAsia="DFKai-SB"/>
                <w:kern w:val="0"/>
                <w:sz w:val="22"/>
                <w:szCs w:val="22"/>
              </w:rPr>
              <w:t>Variables</w:t>
            </w:r>
          </w:p>
        </w:tc>
        <w:tc>
          <w:tcPr>
            <w:tcW w:w="606" w:type="pct"/>
            <w:tcBorders>
              <w:top w:val="single" w:sz="12" w:space="0" w:color="auto"/>
              <w:left w:val="nil"/>
              <w:bottom w:val="single" w:sz="8" w:space="0" w:color="auto"/>
              <w:right w:val="nil"/>
            </w:tcBorders>
            <w:shd w:val="clear" w:color="auto" w:fill="auto"/>
            <w:noWrap/>
            <w:vAlign w:val="center"/>
          </w:tcPr>
          <w:p w:rsidR="00FE1E17" w:rsidRPr="00FE1E17" w:rsidRDefault="00FE1E17" w:rsidP="00583009">
            <w:pPr>
              <w:spacing w:line="0" w:lineRule="atLeast"/>
              <w:jc w:val="center"/>
              <w:rPr>
                <w:rFonts w:eastAsia="DFKai-SB"/>
                <w:i/>
                <w:sz w:val="22"/>
                <w:szCs w:val="22"/>
              </w:rPr>
            </w:pPr>
            <w:r w:rsidRPr="00FE1E17">
              <w:rPr>
                <w:rFonts w:eastAsia="DFKai-SB"/>
                <w:i/>
                <w:sz w:val="22"/>
                <w:szCs w:val="22"/>
              </w:rPr>
              <w:t>RETURN</w:t>
            </w:r>
          </w:p>
        </w:tc>
        <w:tc>
          <w:tcPr>
            <w:tcW w:w="606" w:type="pct"/>
            <w:tcBorders>
              <w:top w:val="single" w:sz="12" w:space="0" w:color="auto"/>
              <w:left w:val="nil"/>
              <w:bottom w:val="single" w:sz="8" w:space="0" w:color="auto"/>
              <w:right w:val="nil"/>
            </w:tcBorders>
            <w:vAlign w:val="center"/>
          </w:tcPr>
          <w:p w:rsidR="00FE1E17" w:rsidRPr="00FE1E17" w:rsidRDefault="00FE1E17" w:rsidP="00583009">
            <w:pPr>
              <w:spacing w:line="0" w:lineRule="atLeast"/>
              <w:jc w:val="center"/>
              <w:rPr>
                <w:rFonts w:eastAsia="DFKai-SB"/>
                <w:i/>
                <w:sz w:val="22"/>
                <w:szCs w:val="22"/>
              </w:rPr>
            </w:pPr>
            <w:r w:rsidRPr="00FE1E17">
              <w:rPr>
                <w:rFonts w:eastAsia="DFKai-SB"/>
                <w:i/>
                <w:sz w:val="22"/>
                <w:szCs w:val="22"/>
              </w:rPr>
              <w:t>|DA|</w:t>
            </w:r>
          </w:p>
        </w:tc>
        <w:tc>
          <w:tcPr>
            <w:tcW w:w="606" w:type="pct"/>
            <w:tcBorders>
              <w:top w:val="single" w:sz="12" w:space="0" w:color="auto"/>
              <w:left w:val="nil"/>
              <w:bottom w:val="single" w:sz="8" w:space="0" w:color="auto"/>
              <w:right w:val="nil"/>
            </w:tcBorders>
            <w:vAlign w:val="center"/>
          </w:tcPr>
          <w:p w:rsidR="00FE1E17" w:rsidRPr="00FE1E17" w:rsidRDefault="00FE1E17" w:rsidP="00583009">
            <w:pPr>
              <w:spacing w:line="0" w:lineRule="atLeast"/>
              <w:jc w:val="center"/>
              <w:rPr>
                <w:rFonts w:eastAsia="DFKai-SB"/>
                <w:i/>
                <w:sz w:val="22"/>
                <w:szCs w:val="22"/>
              </w:rPr>
            </w:pPr>
            <w:r w:rsidRPr="00FE1E17">
              <w:rPr>
                <w:rFonts w:eastAsia="DFKai-SB"/>
                <w:i/>
                <w:sz w:val="22"/>
                <w:szCs w:val="22"/>
              </w:rPr>
              <w:t>DA</w:t>
            </w:r>
          </w:p>
        </w:tc>
        <w:tc>
          <w:tcPr>
            <w:tcW w:w="606" w:type="pct"/>
            <w:tcBorders>
              <w:top w:val="single" w:sz="12" w:space="0" w:color="auto"/>
              <w:left w:val="nil"/>
              <w:bottom w:val="single" w:sz="8" w:space="0" w:color="auto"/>
              <w:right w:val="nil"/>
            </w:tcBorders>
            <w:shd w:val="clear" w:color="auto" w:fill="auto"/>
            <w:noWrap/>
            <w:vAlign w:val="center"/>
          </w:tcPr>
          <w:p w:rsidR="00FE1E17" w:rsidRPr="00FE1E17" w:rsidRDefault="00FE1E17" w:rsidP="00583009">
            <w:pPr>
              <w:spacing w:line="0" w:lineRule="atLeast"/>
              <w:jc w:val="center"/>
              <w:rPr>
                <w:rFonts w:eastAsia="DFKai-SB"/>
                <w:i/>
                <w:sz w:val="22"/>
                <w:szCs w:val="22"/>
              </w:rPr>
            </w:pPr>
            <w:r w:rsidRPr="00FE1E17">
              <w:rPr>
                <w:rFonts w:eastAsia="DFKai-SB"/>
                <w:i/>
                <w:sz w:val="22"/>
                <w:szCs w:val="22"/>
              </w:rPr>
              <w:t>MKT</w:t>
            </w:r>
          </w:p>
        </w:tc>
        <w:tc>
          <w:tcPr>
            <w:tcW w:w="606" w:type="pct"/>
            <w:tcBorders>
              <w:top w:val="single" w:sz="12" w:space="0" w:color="auto"/>
              <w:left w:val="nil"/>
              <w:bottom w:val="single" w:sz="8" w:space="0" w:color="auto"/>
              <w:right w:val="nil"/>
            </w:tcBorders>
            <w:shd w:val="clear" w:color="auto" w:fill="auto"/>
            <w:noWrap/>
            <w:vAlign w:val="center"/>
          </w:tcPr>
          <w:p w:rsidR="00FE1E17" w:rsidRPr="00FE1E17" w:rsidRDefault="00FE1E17" w:rsidP="00583009">
            <w:pPr>
              <w:spacing w:line="0" w:lineRule="atLeast"/>
              <w:jc w:val="center"/>
              <w:rPr>
                <w:rFonts w:eastAsia="DFKai-SB"/>
                <w:i/>
                <w:sz w:val="22"/>
                <w:szCs w:val="22"/>
              </w:rPr>
            </w:pPr>
            <w:r w:rsidRPr="00FE1E17">
              <w:rPr>
                <w:rFonts w:eastAsia="DFKai-SB"/>
                <w:i/>
                <w:sz w:val="22"/>
                <w:szCs w:val="22"/>
              </w:rPr>
              <w:t>SIZE</w:t>
            </w:r>
          </w:p>
        </w:tc>
        <w:tc>
          <w:tcPr>
            <w:tcW w:w="606" w:type="pct"/>
            <w:tcBorders>
              <w:top w:val="single" w:sz="12" w:space="0" w:color="auto"/>
              <w:left w:val="nil"/>
              <w:bottom w:val="single" w:sz="8" w:space="0" w:color="auto"/>
              <w:right w:val="nil"/>
            </w:tcBorders>
            <w:shd w:val="clear" w:color="auto" w:fill="auto"/>
            <w:noWrap/>
            <w:vAlign w:val="center"/>
          </w:tcPr>
          <w:p w:rsidR="00FE1E17" w:rsidRPr="00FE1E17" w:rsidRDefault="00FE1E17" w:rsidP="00583009">
            <w:pPr>
              <w:spacing w:line="0" w:lineRule="atLeast"/>
              <w:jc w:val="center"/>
              <w:rPr>
                <w:rFonts w:eastAsia="DFKai-SB"/>
                <w:i/>
                <w:sz w:val="22"/>
                <w:szCs w:val="22"/>
              </w:rPr>
            </w:pPr>
            <w:r w:rsidRPr="00FE1E17">
              <w:rPr>
                <w:rFonts w:eastAsia="DFKai-SB"/>
                <w:i/>
                <w:sz w:val="22"/>
                <w:szCs w:val="22"/>
              </w:rPr>
              <w:t>MB</w:t>
            </w:r>
          </w:p>
        </w:tc>
        <w:tc>
          <w:tcPr>
            <w:tcW w:w="605" w:type="pct"/>
            <w:tcBorders>
              <w:top w:val="single" w:sz="12" w:space="0" w:color="auto"/>
              <w:left w:val="nil"/>
              <w:bottom w:val="single" w:sz="8" w:space="0" w:color="auto"/>
            </w:tcBorders>
            <w:vAlign w:val="center"/>
          </w:tcPr>
          <w:p w:rsidR="00FE1E17" w:rsidRPr="00FE1E17" w:rsidRDefault="00FE1E17" w:rsidP="00583009">
            <w:pPr>
              <w:spacing w:line="0" w:lineRule="atLeast"/>
              <w:jc w:val="center"/>
              <w:rPr>
                <w:rFonts w:eastAsia="DFKai-SB"/>
                <w:i/>
                <w:sz w:val="22"/>
                <w:szCs w:val="22"/>
              </w:rPr>
            </w:pPr>
            <w:r w:rsidRPr="00FE1E17">
              <w:rPr>
                <w:rFonts w:eastAsia="DFKai-SB"/>
                <w:i/>
                <w:sz w:val="22"/>
                <w:szCs w:val="22"/>
              </w:rPr>
              <w:t>MOM</w:t>
            </w:r>
          </w:p>
        </w:tc>
      </w:tr>
      <w:tr w:rsidR="00FE1E17" w:rsidRPr="00FE1E17" w:rsidTr="00583009">
        <w:trPr>
          <w:trHeight w:val="397"/>
        </w:trPr>
        <w:tc>
          <w:tcPr>
            <w:tcW w:w="758" w:type="pct"/>
            <w:tcBorders>
              <w:top w:val="single" w:sz="8" w:space="0" w:color="auto"/>
              <w:left w:val="nil"/>
            </w:tcBorders>
            <w:shd w:val="clear" w:color="auto" w:fill="auto"/>
            <w:noWrap/>
            <w:vAlign w:val="center"/>
          </w:tcPr>
          <w:p w:rsidR="00FE1E17" w:rsidRPr="00FE1E17" w:rsidRDefault="00FE1E17" w:rsidP="00583009">
            <w:pPr>
              <w:autoSpaceDE w:val="0"/>
              <w:autoSpaceDN w:val="0"/>
              <w:adjustRightInd w:val="0"/>
              <w:snapToGrid w:val="0"/>
              <w:rPr>
                <w:rFonts w:eastAsia="DFKai-SB"/>
                <w:i/>
                <w:kern w:val="0"/>
                <w:sz w:val="22"/>
                <w:szCs w:val="22"/>
              </w:rPr>
            </w:pPr>
            <w:r w:rsidRPr="00FE1E17">
              <w:rPr>
                <w:rFonts w:eastAsia="DFKai-SB"/>
                <w:i/>
                <w:kern w:val="0"/>
                <w:sz w:val="22"/>
                <w:szCs w:val="22"/>
              </w:rPr>
              <w:t>RETURN</w:t>
            </w:r>
          </w:p>
        </w:tc>
        <w:tc>
          <w:tcPr>
            <w:tcW w:w="606" w:type="pct"/>
            <w:tcBorders>
              <w:top w:val="single" w:sz="8" w:space="0" w:color="auto"/>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1.000</w:t>
            </w:r>
          </w:p>
        </w:tc>
        <w:tc>
          <w:tcPr>
            <w:tcW w:w="606" w:type="pct"/>
            <w:tcBorders>
              <w:top w:val="single" w:sz="8" w:space="0" w:color="auto"/>
              <w:left w:val="nil"/>
              <w:right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c>
          <w:tcPr>
            <w:tcW w:w="606" w:type="pct"/>
            <w:tcBorders>
              <w:top w:val="single" w:sz="8" w:space="0" w:color="auto"/>
              <w:left w:val="nil"/>
              <w:right w:val="nil"/>
            </w:tcBorders>
            <w:vAlign w:val="center"/>
          </w:tcPr>
          <w:p w:rsidR="00FE1E17" w:rsidRPr="00FE1E17" w:rsidRDefault="00FE1E17" w:rsidP="00583009">
            <w:pPr>
              <w:adjustRightInd w:val="0"/>
              <w:snapToGrid w:val="0"/>
              <w:jc w:val="center"/>
              <w:rPr>
                <w:rFonts w:eastAsia="DFKai-SB"/>
                <w:i/>
                <w:sz w:val="22"/>
                <w:szCs w:val="22"/>
              </w:rPr>
            </w:pPr>
          </w:p>
        </w:tc>
        <w:tc>
          <w:tcPr>
            <w:tcW w:w="606" w:type="pct"/>
            <w:tcBorders>
              <w:top w:val="single" w:sz="8" w:space="0" w:color="auto"/>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c>
          <w:tcPr>
            <w:tcW w:w="606" w:type="pct"/>
            <w:tcBorders>
              <w:top w:val="single" w:sz="8" w:space="0" w:color="auto"/>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c>
          <w:tcPr>
            <w:tcW w:w="606" w:type="pct"/>
            <w:tcBorders>
              <w:top w:val="single" w:sz="8" w:space="0" w:color="auto"/>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c>
          <w:tcPr>
            <w:tcW w:w="605" w:type="pct"/>
            <w:tcBorders>
              <w:top w:val="single" w:sz="8" w:space="0" w:color="auto"/>
              <w:left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r>
      <w:tr w:rsidR="00FE1E17" w:rsidRPr="00FE1E17" w:rsidTr="00583009">
        <w:trPr>
          <w:trHeight w:val="397"/>
        </w:trPr>
        <w:tc>
          <w:tcPr>
            <w:tcW w:w="758" w:type="pct"/>
            <w:tcBorders>
              <w:top w:val="nil"/>
              <w:left w:val="nil"/>
            </w:tcBorders>
            <w:shd w:val="clear" w:color="auto" w:fill="auto"/>
            <w:noWrap/>
            <w:vAlign w:val="center"/>
          </w:tcPr>
          <w:p w:rsidR="00FE1E17" w:rsidRPr="00FE1E17" w:rsidRDefault="00FE1E17" w:rsidP="00583009">
            <w:pPr>
              <w:autoSpaceDE w:val="0"/>
              <w:autoSpaceDN w:val="0"/>
              <w:adjustRightInd w:val="0"/>
              <w:snapToGrid w:val="0"/>
              <w:rPr>
                <w:rFonts w:eastAsia="DFKai-SB"/>
                <w:i/>
                <w:kern w:val="0"/>
                <w:sz w:val="22"/>
                <w:szCs w:val="22"/>
              </w:rPr>
            </w:pPr>
            <w:r w:rsidRPr="00FE1E17">
              <w:rPr>
                <w:rFonts w:eastAsia="DFKai-SB"/>
                <w:i/>
                <w:kern w:val="0"/>
                <w:sz w:val="22"/>
                <w:szCs w:val="22"/>
              </w:rPr>
              <w:t>|DA|</w:t>
            </w: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0.025**</w:t>
            </w:r>
          </w:p>
        </w:tc>
        <w:tc>
          <w:tcPr>
            <w:tcW w:w="606" w:type="pct"/>
            <w:tcBorders>
              <w:top w:val="nil"/>
              <w:left w:val="nil"/>
              <w:right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1.000</w:t>
            </w:r>
          </w:p>
        </w:tc>
        <w:tc>
          <w:tcPr>
            <w:tcW w:w="606" w:type="pct"/>
            <w:tcBorders>
              <w:top w:val="nil"/>
              <w:left w:val="nil"/>
              <w:right w:val="nil"/>
            </w:tcBorders>
            <w:vAlign w:val="center"/>
          </w:tcPr>
          <w:p w:rsidR="00FE1E17" w:rsidRPr="00FE1E17" w:rsidRDefault="00FE1E17" w:rsidP="00583009">
            <w:pPr>
              <w:adjustRightInd w:val="0"/>
              <w:snapToGrid w:val="0"/>
              <w:jc w:val="center"/>
              <w:rPr>
                <w:rFonts w:eastAsia="DFKai-SB"/>
                <w:i/>
                <w:sz w:val="22"/>
                <w:szCs w:val="22"/>
              </w:rPr>
            </w:pP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c>
          <w:tcPr>
            <w:tcW w:w="605" w:type="pct"/>
            <w:tcBorders>
              <w:top w:val="nil"/>
              <w:left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r>
      <w:tr w:rsidR="00FE1E17" w:rsidRPr="00FE1E17" w:rsidTr="00583009">
        <w:trPr>
          <w:trHeight w:val="397"/>
        </w:trPr>
        <w:tc>
          <w:tcPr>
            <w:tcW w:w="758" w:type="pct"/>
            <w:tcBorders>
              <w:top w:val="nil"/>
              <w:left w:val="nil"/>
            </w:tcBorders>
            <w:shd w:val="clear" w:color="auto" w:fill="auto"/>
            <w:noWrap/>
            <w:vAlign w:val="center"/>
          </w:tcPr>
          <w:p w:rsidR="00FE1E17" w:rsidRPr="00FE1E17" w:rsidRDefault="00FE1E17" w:rsidP="00583009">
            <w:pPr>
              <w:autoSpaceDE w:val="0"/>
              <w:autoSpaceDN w:val="0"/>
              <w:adjustRightInd w:val="0"/>
              <w:snapToGrid w:val="0"/>
              <w:rPr>
                <w:rFonts w:eastAsia="DFKai-SB"/>
                <w:i/>
                <w:kern w:val="0"/>
                <w:sz w:val="22"/>
                <w:szCs w:val="22"/>
              </w:rPr>
            </w:pPr>
            <w:r w:rsidRPr="00FE1E17">
              <w:rPr>
                <w:rFonts w:eastAsia="DFKai-SB"/>
                <w:i/>
                <w:kern w:val="0"/>
                <w:sz w:val="22"/>
                <w:szCs w:val="22"/>
              </w:rPr>
              <w:t>DA</w:t>
            </w: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0.023**</w:t>
            </w:r>
          </w:p>
        </w:tc>
        <w:tc>
          <w:tcPr>
            <w:tcW w:w="606" w:type="pct"/>
            <w:tcBorders>
              <w:top w:val="nil"/>
              <w:left w:val="nil"/>
              <w:right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0.153**</w:t>
            </w:r>
          </w:p>
        </w:tc>
        <w:tc>
          <w:tcPr>
            <w:tcW w:w="606" w:type="pct"/>
            <w:tcBorders>
              <w:top w:val="nil"/>
              <w:left w:val="nil"/>
              <w:right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1.000</w:t>
            </w: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c>
          <w:tcPr>
            <w:tcW w:w="605" w:type="pct"/>
            <w:tcBorders>
              <w:top w:val="nil"/>
              <w:left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r>
      <w:tr w:rsidR="00FE1E17" w:rsidRPr="00FE1E17" w:rsidTr="00583009">
        <w:trPr>
          <w:trHeight w:val="397"/>
        </w:trPr>
        <w:tc>
          <w:tcPr>
            <w:tcW w:w="758" w:type="pct"/>
            <w:tcBorders>
              <w:top w:val="nil"/>
              <w:left w:val="nil"/>
            </w:tcBorders>
            <w:shd w:val="clear" w:color="auto" w:fill="auto"/>
            <w:noWrap/>
            <w:vAlign w:val="center"/>
          </w:tcPr>
          <w:p w:rsidR="00FE1E17" w:rsidRPr="00FE1E17" w:rsidRDefault="00FE1E17" w:rsidP="00583009">
            <w:pPr>
              <w:autoSpaceDE w:val="0"/>
              <w:autoSpaceDN w:val="0"/>
              <w:adjustRightInd w:val="0"/>
              <w:snapToGrid w:val="0"/>
              <w:rPr>
                <w:rFonts w:eastAsia="DFKai-SB"/>
                <w:i/>
                <w:kern w:val="0"/>
                <w:sz w:val="22"/>
                <w:szCs w:val="22"/>
              </w:rPr>
            </w:pPr>
            <w:r w:rsidRPr="00FE1E17">
              <w:rPr>
                <w:rFonts w:eastAsia="DFKai-SB"/>
                <w:i/>
                <w:kern w:val="0"/>
                <w:sz w:val="22"/>
                <w:szCs w:val="22"/>
              </w:rPr>
              <w:t>MKT</w:t>
            </w: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0.352**</w:t>
            </w:r>
          </w:p>
        </w:tc>
        <w:tc>
          <w:tcPr>
            <w:tcW w:w="606" w:type="pct"/>
            <w:tcBorders>
              <w:top w:val="nil"/>
              <w:left w:val="nil"/>
              <w:right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-0.049**</w:t>
            </w:r>
          </w:p>
        </w:tc>
        <w:tc>
          <w:tcPr>
            <w:tcW w:w="606" w:type="pct"/>
            <w:tcBorders>
              <w:top w:val="nil"/>
              <w:left w:val="nil"/>
              <w:right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-0.001</w:t>
            </w: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1.000</w:t>
            </w: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c>
          <w:tcPr>
            <w:tcW w:w="605" w:type="pct"/>
            <w:tcBorders>
              <w:top w:val="nil"/>
              <w:left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r>
      <w:tr w:rsidR="00FE1E17" w:rsidRPr="00FE1E17" w:rsidTr="00583009">
        <w:trPr>
          <w:trHeight w:val="397"/>
        </w:trPr>
        <w:tc>
          <w:tcPr>
            <w:tcW w:w="758" w:type="pct"/>
            <w:tcBorders>
              <w:top w:val="nil"/>
              <w:left w:val="nil"/>
            </w:tcBorders>
            <w:shd w:val="clear" w:color="auto" w:fill="auto"/>
            <w:noWrap/>
            <w:vAlign w:val="center"/>
          </w:tcPr>
          <w:p w:rsidR="00FE1E17" w:rsidRPr="00FE1E17" w:rsidRDefault="00FE1E17" w:rsidP="00583009">
            <w:pPr>
              <w:autoSpaceDE w:val="0"/>
              <w:autoSpaceDN w:val="0"/>
              <w:adjustRightInd w:val="0"/>
              <w:snapToGrid w:val="0"/>
              <w:rPr>
                <w:rFonts w:eastAsia="DFKai-SB"/>
                <w:i/>
                <w:kern w:val="0"/>
                <w:sz w:val="22"/>
                <w:szCs w:val="22"/>
              </w:rPr>
            </w:pPr>
            <w:r w:rsidRPr="00FE1E17">
              <w:rPr>
                <w:rFonts w:eastAsia="DFKai-SB"/>
                <w:i/>
                <w:kern w:val="0"/>
                <w:sz w:val="22"/>
                <w:szCs w:val="22"/>
              </w:rPr>
              <w:t>SIZE</w:t>
            </w: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-0.091**</w:t>
            </w:r>
          </w:p>
        </w:tc>
        <w:tc>
          <w:tcPr>
            <w:tcW w:w="606" w:type="pct"/>
            <w:tcBorders>
              <w:top w:val="nil"/>
              <w:left w:val="nil"/>
              <w:right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-0.145**</w:t>
            </w:r>
          </w:p>
        </w:tc>
        <w:tc>
          <w:tcPr>
            <w:tcW w:w="606" w:type="pct"/>
            <w:tcBorders>
              <w:top w:val="nil"/>
              <w:left w:val="nil"/>
              <w:right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-0.034**</w:t>
            </w: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-0.052**</w:t>
            </w: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1.000</w:t>
            </w: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c>
          <w:tcPr>
            <w:tcW w:w="605" w:type="pct"/>
            <w:tcBorders>
              <w:top w:val="nil"/>
              <w:left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r>
      <w:tr w:rsidR="00FE1E17" w:rsidRPr="00FE1E17" w:rsidTr="00583009">
        <w:trPr>
          <w:trHeight w:val="397"/>
        </w:trPr>
        <w:tc>
          <w:tcPr>
            <w:tcW w:w="758" w:type="pct"/>
            <w:tcBorders>
              <w:top w:val="nil"/>
              <w:left w:val="nil"/>
            </w:tcBorders>
            <w:shd w:val="clear" w:color="auto" w:fill="auto"/>
            <w:noWrap/>
            <w:vAlign w:val="center"/>
          </w:tcPr>
          <w:p w:rsidR="00FE1E17" w:rsidRPr="00FE1E17" w:rsidRDefault="00FE1E17" w:rsidP="00583009">
            <w:pPr>
              <w:autoSpaceDE w:val="0"/>
              <w:autoSpaceDN w:val="0"/>
              <w:adjustRightInd w:val="0"/>
              <w:snapToGrid w:val="0"/>
              <w:rPr>
                <w:rFonts w:eastAsia="DFKai-SB"/>
                <w:i/>
                <w:kern w:val="0"/>
                <w:sz w:val="22"/>
                <w:szCs w:val="22"/>
              </w:rPr>
            </w:pPr>
            <w:r w:rsidRPr="00FE1E17">
              <w:rPr>
                <w:rFonts w:eastAsia="DFKai-SB"/>
                <w:i/>
                <w:kern w:val="0"/>
                <w:sz w:val="22"/>
                <w:szCs w:val="22"/>
              </w:rPr>
              <w:t>MB</w:t>
            </w: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0.215**</w:t>
            </w:r>
          </w:p>
        </w:tc>
        <w:tc>
          <w:tcPr>
            <w:tcW w:w="606" w:type="pct"/>
            <w:tcBorders>
              <w:top w:val="nil"/>
              <w:left w:val="nil"/>
              <w:right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0.061**</w:t>
            </w:r>
          </w:p>
        </w:tc>
        <w:tc>
          <w:tcPr>
            <w:tcW w:w="606" w:type="pct"/>
            <w:tcBorders>
              <w:top w:val="nil"/>
              <w:left w:val="nil"/>
              <w:right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-0.017*</w:t>
            </w: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0.108**</w:t>
            </w: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-0.009</w:t>
            </w:r>
          </w:p>
        </w:tc>
        <w:tc>
          <w:tcPr>
            <w:tcW w:w="606" w:type="pct"/>
            <w:tcBorders>
              <w:top w:val="nil"/>
              <w:left w:val="nil"/>
              <w:right w:val="nil"/>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1.000</w:t>
            </w:r>
          </w:p>
        </w:tc>
        <w:tc>
          <w:tcPr>
            <w:tcW w:w="605" w:type="pct"/>
            <w:tcBorders>
              <w:top w:val="nil"/>
              <w:left w:val="nil"/>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p>
        </w:tc>
      </w:tr>
      <w:tr w:rsidR="00FE1E17" w:rsidRPr="00FE1E17" w:rsidTr="00583009">
        <w:trPr>
          <w:trHeight w:val="397"/>
        </w:trPr>
        <w:tc>
          <w:tcPr>
            <w:tcW w:w="758" w:type="pct"/>
            <w:tcBorders>
              <w:top w:val="nil"/>
              <w:left w:val="nil"/>
              <w:bottom w:val="single" w:sz="18" w:space="0" w:color="auto"/>
            </w:tcBorders>
            <w:shd w:val="clear" w:color="auto" w:fill="auto"/>
            <w:noWrap/>
            <w:vAlign w:val="center"/>
          </w:tcPr>
          <w:p w:rsidR="00FE1E17" w:rsidRPr="00FE1E17" w:rsidRDefault="00FE1E17" w:rsidP="00583009">
            <w:pPr>
              <w:autoSpaceDE w:val="0"/>
              <w:autoSpaceDN w:val="0"/>
              <w:adjustRightInd w:val="0"/>
              <w:snapToGrid w:val="0"/>
              <w:rPr>
                <w:rFonts w:eastAsia="DFKai-SB"/>
                <w:i/>
                <w:kern w:val="0"/>
                <w:sz w:val="22"/>
                <w:szCs w:val="22"/>
              </w:rPr>
            </w:pPr>
            <w:r w:rsidRPr="00FE1E17">
              <w:rPr>
                <w:rFonts w:eastAsia="DFKai-SB"/>
                <w:i/>
                <w:kern w:val="0"/>
                <w:sz w:val="22"/>
                <w:szCs w:val="22"/>
              </w:rPr>
              <w:t>MOM</w:t>
            </w:r>
          </w:p>
        </w:tc>
        <w:tc>
          <w:tcPr>
            <w:tcW w:w="606" w:type="pct"/>
            <w:tcBorders>
              <w:top w:val="nil"/>
              <w:left w:val="nil"/>
              <w:bottom w:val="single" w:sz="18" w:space="0" w:color="auto"/>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-0.111**</w:t>
            </w:r>
          </w:p>
        </w:tc>
        <w:tc>
          <w:tcPr>
            <w:tcW w:w="606" w:type="pct"/>
            <w:tcBorders>
              <w:top w:val="nil"/>
              <w:bottom w:val="single" w:sz="18" w:space="0" w:color="auto"/>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0.110**</w:t>
            </w:r>
          </w:p>
        </w:tc>
        <w:tc>
          <w:tcPr>
            <w:tcW w:w="606" w:type="pct"/>
            <w:tcBorders>
              <w:top w:val="nil"/>
              <w:bottom w:val="single" w:sz="18" w:space="0" w:color="auto"/>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0.109**</w:t>
            </w:r>
          </w:p>
        </w:tc>
        <w:tc>
          <w:tcPr>
            <w:tcW w:w="606" w:type="pct"/>
            <w:tcBorders>
              <w:top w:val="nil"/>
              <w:bottom w:val="single" w:sz="18" w:space="0" w:color="auto"/>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-0.132**</w:t>
            </w:r>
          </w:p>
        </w:tc>
        <w:tc>
          <w:tcPr>
            <w:tcW w:w="606" w:type="pct"/>
            <w:tcBorders>
              <w:top w:val="nil"/>
              <w:bottom w:val="single" w:sz="18" w:space="0" w:color="auto"/>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-0.0864**</w:t>
            </w:r>
          </w:p>
        </w:tc>
        <w:tc>
          <w:tcPr>
            <w:tcW w:w="606" w:type="pct"/>
            <w:tcBorders>
              <w:top w:val="nil"/>
              <w:bottom w:val="single" w:sz="18" w:space="0" w:color="auto"/>
            </w:tcBorders>
            <w:shd w:val="clear" w:color="auto" w:fill="auto"/>
            <w:noWrap/>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0.226**</w:t>
            </w:r>
          </w:p>
        </w:tc>
        <w:tc>
          <w:tcPr>
            <w:tcW w:w="605" w:type="pct"/>
            <w:tcBorders>
              <w:top w:val="nil"/>
              <w:bottom w:val="single" w:sz="18" w:space="0" w:color="auto"/>
            </w:tcBorders>
            <w:vAlign w:val="center"/>
          </w:tcPr>
          <w:p w:rsidR="00FE1E17" w:rsidRPr="00FE1E17" w:rsidRDefault="00FE1E17" w:rsidP="00583009">
            <w:pPr>
              <w:autoSpaceDE w:val="0"/>
              <w:autoSpaceDN w:val="0"/>
              <w:adjustRightInd w:val="0"/>
              <w:snapToGrid w:val="0"/>
              <w:jc w:val="center"/>
              <w:rPr>
                <w:rFonts w:eastAsia="DFKai-SB"/>
                <w:kern w:val="0"/>
                <w:sz w:val="22"/>
                <w:szCs w:val="22"/>
              </w:rPr>
            </w:pPr>
            <w:r w:rsidRPr="00FE1E17">
              <w:rPr>
                <w:rFonts w:eastAsia="DFKai-SB"/>
                <w:kern w:val="0"/>
                <w:sz w:val="22"/>
                <w:szCs w:val="22"/>
              </w:rPr>
              <w:t>1.000</w:t>
            </w:r>
          </w:p>
        </w:tc>
      </w:tr>
    </w:tbl>
    <w:p w:rsidR="000F47F0" w:rsidRPr="000F47F0" w:rsidRDefault="000F47F0" w:rsidP="00FE1E17">
      <w:pPr>
        <w:adjustRightInd w:val="0"/>
        <w:snapToGrid w:val="0"/>
        <w:rPr>
          <w:sz w:val="6"/>
          <w:szCs w:val="6"/>
        </w:rPr>
      </w:pPr>
    </w:p>
    <w:p w:rsidR="000D0C3B" w:rsidRDefault="00FE1E17" w:rsidP="00FE1E17">
      <w:pPr>
        <w:adjustRightInd w:val="0"/>
        <w:snapToGrid w:val="0"/>
        <w:rPr>
          <w:sz w:val="22"/>
          <w:szCs w:val="22"/>
        </w:rPr>
      </w:pPr>
      <w:r w:rsidRPr="000F47F0">
        <w:rPr>
          <w:i/>
          <w:sz w:val="22"/>
          <w:szCs w:val="22"/>
        </w:rPr>
        <w:t>Notes:</w:t>
      </w:r>
      <w:r w:rsidRPr="00FE1E17">
        <w:rPr>
          <w:sz w:val="22"/>
          <w:szCs w:val="22"/>
        </w:rPr>
        <w:t xml:space="preserve"> </w:t>
      </w:r>
    </w:p>
    <w:p w:rsidR="00FE1E17" w:rsidRPr="00FE1E17" w:rsidRDefault="00FE1E17" w:rsidP="00FE1E17">
      <w:pPr>
        <w:adjustRightInd w:val="0"/>
        <w:snapToGrid w:val="0"/>
        <w:rPr>
          <w:sz w:val="22"/>
          <w:szCs w:val="22"/>
        </w:rPr>
      </w:pPr>
      <w:r w:rsidRPr="00FE1E17">
        <w:rPr>
          <w:sz w:val="22"/>
          <w:szCs w:val="22"/>
        </w:rPr>
        <w:t>The ** and * denote a 1% and a 5% level of significance, respectively.</w:t>
      </w:r>
    </w:p>
    <w:p w:rsidR="00FE1E17" w:rsidRPr="000F47F0" w:rsidRDefault="00FE1E17" w:rsidP="00FE1E17">
      <w:pPr>
        <w:adjustRightInd w:val="0"/>
        <w:snapToGrid w:val="0"/>
        <w:rPr>
          <w:sz w:val="6"/>
          <w:szCs w:val="6"/>
        </w:rPr>
      </w:pPr>
    </w:p>
    <w:p w:rsidR="00FE1E17" w:rsidRPr="00FE1E17" w:rsidRDefault="00FE1E17" w:rsidP="00FE1E17">
      <w:pPr>
        <w:adjustRightInd w:val="0"/>
        <w:snapToGrid w:val="0"/>
        <w:rPr>
          <w:sz w:val="22"/>
          <w:szCs w:val="22"/>
        </w:rPr>
      </w:pPr>
      <w:r w:rsidRPr="00FE1E17">
        <w:rPr>
          <w:sz w:val="22"/>
          <w:szCs w:val="22"/>
        </w:rPr>
        <w:t>Variable defini</w:t>
      </w:r>
      <w:r w:rsidR="005E1B83">
        <w:rPr>
          <w:sz w:val="22"/>
          <w:szCs w:val="22"/>
        </w:rPr>
        <w:t>tions</w:t>
      </w:r>
      <w:r w:rsidRPr="00FE1E17">
        <w:rPr>
          <w:sz w:val="22"/>
          <w:szCs w:val="22"/>
        </w:rPr>
        <w:t xml:space="preserve"> </w:t>
      </w:r>
    </w:p>
    <w:p w:rsidR="00FE1E17" w:rsidRPr="000F47F0" w:rsidRDefault="00FE1E17" w:rsidP="00FE1E17">
      <w:pPr>
        <w:adjustRightInd w:val="0"/>
        <w:snapToGrid w:val="0"/>
        <w:rPr>
          <w:sz w:val="6"/>
          <w:szCs w:val="6"/>
        </w:rPr>
      </w:pPr>
    </w:p>
    <w:tbl>
      <w:tblPr>
        <w:tblW w:w="9356" w:type="dxa"/>
        <w:jc w:val="center"/>
        <w:tblLook w:val="01E0" w:firstRow="1" w:lastRow="1" w:firstColumn="1" w:lastColumn="1" w:noHBand="0" w:noVBand="0"/>
      </w:tblPr>
      <w:tblGrid>
        <w:gridCol w:w="1388"/>
        <w:gridCol w:w="360"/>
        <w:gridCol w:w="7608"/>
      </w:tblGrid>
      <w:tr w:rsidR="00FE1E17" w:rsidRPr="00FE1E17" w:rsidTr="00583009">
        <w:trPr>
          <w:jc w:val="center"/>
        </w:trPr>
        <w:tc>
          <w:tcPr>
            <w:tcW w:w="1388" w:type="dxa"/>
            <w:shd w:val="clear" w:color="auto" w:fill="auto"/>
          </w:tcPr>
          <w:p w:rsidR="00FE1E17" w:rsidRPr="00FE1E17" w:rsidRDefault="00FE1E17" w:rsidP="008B5B2B">
            <w:pPr>
              <w:widowControl/>
              <w:adjustRightInd w:val="0"/>
              <w:snapToGrid w:val="0"/>
              <w:spacing w:after="60"/>
              <w:jc w:val="both"/>
              <w:rPr>
                <w:i/>
                <w:kern w:val="0"/>
                <w:sz w:val="22"/>
                <w:szCs w:val="22"/>
              </w:rPr>
            </w:pPr>
            <w:r w:rsidRPr="00FE1E17">
              <w:rPr>
                <w:i/>
                <w:kern w:val="0"/>
                <w:sz w:val="22"/>
                <w:szCs w:val="22"/>
              </w:rPr>
              <w:t>RETURN</w:t>
            </w:r>
          </w:p>
        </w:tc>
        <w:tc>
          <w:tcPr>
            <w:tcW w:w="360" w:type="dxa"/>
            <w:shd w:val="clear" w:color="auto" w:fill="auto"/>
          </w:tcPr>
          <w:p w:rsidR="00FE1E17" w:rsidRPr="00FE1E17" w:rsidRDefault="00FE1E17" w:rsidP="008B5B2B">
            <w:pPr>
              <w:adjustRightInd w:val="0"/>
              <w:snapToGrid w:val="0"/>
              <w:spacing w:after="60"/>
              <w:rPr>
                <w:sz w:val="22"/>
                <w:szCs w:val="22"/>
              </w:rPr>
            </w:pPr>
            <w:r w:rsidRPr="00FE1E17">
              <w:rPr>
                <w:sz w:val="22"/>
                <w:szCs w:val="22"/>
              </w:rPr>
              <w:t>=</w:t>
            </w:r>
          </w:p>
        </w:tc>
        <w:tc>
          <w:tcPr>
            <w:tcW w:w="7608" w:type="dxa"/>
            <w:shd w:val="clear" w:color="auto" w:fill="auto"/>
          </w:tcPr>
          <w:p w:rsidR="00FE1E17" w:rsidRPr="00FE1E17" w:rsidRDefault="00FE1E17" w:rsidP="008B5B2B">
            <w:pPr>
              <w:adjustRightInd w:val="0"/>
              <w:snapToGrid w:val="0"/>
              <w:spacing w:after="60"/>
              <w:rPr>
                <w:sz w:val="22"/>
                <w:szCs w:val="22"/>
              </w:rPr>
            </w:pPr>
            <w:r w:rsidRPr="00FE1E17">
              <w:rPr>
                <w:sz w:val="22"/>
                <w:szCs w:val="22"/>
              </w:rPr>
              <w:t>Annual return of individual stock</w:t>
            </w:r>
          </w:p>
        </w:tc>
      </w:tr>
      <w:tr w:rsidR="00FE1E17" w:rsidRPr="00FE1E17" w:rsidTr="00583009">
        <w:trPr>
          <w:jc w:val="center"/>
        </w:trPr>
        <w:tc>
          <w:tcPr>
            <w:tcW w:w="1388" w:type="dxa"/>
            <w:shd w:val="clear" w:color="auto" w:fill="auto"/>
          </w:tcPr>
          <w:p w:rsidR="00FE1E17" w:rsidRPr="00FE1E17" w:rsidRDefault="00FE1E17" w:rsidP="008B5B2B">
            <w:pPr>
              <w:widowControl/>
              <w:adjustRightInd w:val="0"/>
              <w:snapToGrid w:val="0"/>
              <w:spacing w:after="60"/>
              <w:jc w:val="both"/>
              <w:rPr>
                <w:i/>
                <w:kern w:val="0"/>
                <w:sz w:val="22"/>
                <w:szCs w:val="22"/>
              </w:rPr>
            </w:pPr>
            <w:r w:rsidRPr="00FE1E17">
              <w:rPr>
                <w:i/>
                <w:kern w:val="0"/>
                <w:sz w:val="22"/>
                <w:szCs w:val="22"/>
              </w:rPr>
              <w:t>|DA|</w:t>
            </w:r>
          </w:p>
        </w:tc>
        <w:tc>
          <w:tcPr>
            <w:tcW w:w="360" w:type="dxa"/>
            <w:shd w:val="clear" w:color="auto" w:fill="auto"/>
          </w:tcPr>
          <w:p w:rsidR="00FE1E17" w:rsidRPr="00FE1E17" w:rsidRDefault="00FE1E17" w:rsidP="008B5B2B">
            <w:pPr>
              <w:adjustRightInd w:val="0"/>
              <w:snapToGrid w:val="0"/>
              <w:spacing w:after="60"/>
              <w:rPr>
                <w:sz w:val="22"/>
                <w:szCs w:val="22"/>
              </w:rPr>
            </w:pPr>
            <w:r w:rsidRPr="00FE1E17">
              <w:rPr>
                <w:sz w:val="22"/>
                <w:szCs w:val="22"/>
              </w:rPr>
              <w:t>=</w:t>
            </w:r>
          </w:p>
        </w:tc>
        <w:tc>
          <w:tcPr>
            <w:tcW w:w="7608" w:type="dxa"/>
            <w:shd w:val="clear" w:color="auto" w:fill="auto"/>
          </w:tcPr>
          <w:p w:rsidR="00FE1E17" w:rsidRPr="00FE1E17" w:rsidRDefault="00FE1E17" w:rsidP="008B5B2B">
            <w:pPr>
              <w:adjustRightInd w:val="0"/>
              <w:snapToGrid w:val="0"/>
              <w:spacing w:after="60"/>
              <w:rPr>
                <w:sz w:val="22"/>
                <w:szCs w:val="22"/>
              </w:rPr>
            </w:pPr>
            <w:r w:rsidRPr="00FE1E17">
              <w:rPr>
                <w:sz w:val="22"/>
                <w:szCs w:val="22"/>
              </w:rPr>
              <w:t>The absolute value of discretionary accruals</w:t>
            </w:r>
          </w:p>
        </w:tc>
      </w:tr>
      <w:tr w:rsidR="00FE1E17" w:rsidRPr="00FE1E17" w:rsidTr="00583009">
        <w:trPr>
          <w:jc w:val="center"/>
        </w:trPr>
        <w:tc>
          <w:tcPr>
            <w:tcW w:w="1388" w:type="dxa"/>
            <w:shd w:val="clear" w:color="auto" w:fill="auto"/>
          </w:tcPr>
          <w:p w:rsidR="00FE1E17" w:rsidRPr="00FE1E17" w:rsidRDefault="00FE1E17" w:rsidP="008B5B2B">
            <w:pPr>
              <w:widowControl/>
              <w:adjustRightInd w:val="0"/>
              <w:snapToGrid w:val="0"/>
              <w:spacing w:after="60"/>
              <w:jc w:val="both"/>
              <w:rPr>
                <w:i/>
                <w:kern w:val="0"/>
                <w:sz w:val="22"/>
                <w:szCs w:val="22"/>
              </w:rPr>
            </w:pPr>
            <w:r w:rsidRPr="00FE1E17">
              <w:rPr>
                <w:i/>
                <w:kern w:val="0"/>
                <w:sz w:val="22"/>
                <w:szCs w:val="22"/>
              </w:rPr>
              <w:t>MKT</w:t>
            </w:r>
          </w:p>
        </w:tc>
        <w:tc>
          <w:tcPr>
            <w:tcW w:w="360" w:type="dxa"/>
            <w:shd w:val="clear" w:color="auto" w:fill="auto"/>
          </w:tcPr>
          <w:p w:rsidR="00FE1E17" w:rsidRPr="00FE1E17" w:rsidRDefault="00FE1E17" w:rsidP="008B5B2B">
            <w:pPr>
              <w:adjustRightInd w:val="0"/>
              <w:snapToGrid w:val="0"/>
              <w:spacing w:after="60"/>
              <w:rPr>
                <w:sz w:val="22"/>
                <w:szCs w:val="22"/>
              </w:rPr>
            </w:pPr>
            <w:r w:rsidRPr="00FE1E17">
              <w:rPr>
                <w:sz w:val="22"/>
                <w:szCs w:val="22"/>
              </w:rPr>
              <w:t>=</w:t>
            </w:r>
          </w:p>
        </w:tc>
        <w:tc>
          <w:tcPr>
            <w:tcW w:w="7608" w:type="dxa"/>
            <w:shd w:val="clear" w:color="auto" w:fill="auto"/>
          </w:tcPr>
          <w:p w:rsidR="00FE1E17" w:rsidRPr="00FE1E17" w:rsidRDefault="00FE1E17" w:rsidP="008B5B2B">
            <w:pPr>
              <w:adjustRightInd w:val="0"/>
              <w:snapToGrid w:val="0"/>
              <w:spacing w:after="60"/>
              <w:rPr>
                <w:sz w:val="22"/>
                <w:szCs w:val="22"/>
              </w:rPr>
            </w:pPr>
            <w:r w:rsidRPr="00FE1E17">
              <w:rPr>
                <w:sz w:val="22"/>
                <w:szCs w:val="22"/>
              </w:rPr>
              <w:t>Annual return of S&amp;P 500 Index</w:t>
            </w:r>
          </w:p>
        </w:tc>
      </w:tr>
      <w:tr w:rsidR="00FE1E17" w:rsidRPr="00FE1E17" w:rsidTr="00583009">
        <w:trPr>
          <w:jc w:val="center"/>
        </w:trPr>
        <w:tc>
          <w:tcPr>
            <w:tcW w:w="1388" w:type="dxa"/>
            <w:shd w:val="clear" w:color="auto" w:fill="auto"/>
          </w:tcPr>
          <w:p w:rsidR="00FE1E17" w:rsidRPr="00FE1E17" w:rsidRDefault="00FE1E17" w:rsidP="008B5B2B">
            <w:pPr>
              <w:widowControl/>
              <w:adjustRightInd w:val="0"/>
              <w:snapToGrid w:val="0"/>
              <w:spacing w:after="60"/>
              <w:jc w:val="both"/>
              <w:rPr>
                <w:i/>
                <w:kern w:val="0"/>
                <w:sz w:val="22"/>
                <w:szCs w:val="22"/>
              </w:rPr>
            </w:pPr>
            <w:r w:rsidRPr="00FE1E17">
              <w:rPr>
                <w:i/>
                <w:kern w:val="0"/>
                <w:sz w:val="22"/>
                <w:szCs w:val="22"/>
              </w:rPr>
              <w:t>SIZE</w:t>
            </w:r>
          </w:p>
        </w:tc>
        <w:tc>
          <w:tcPr>
            <w:tcW w:w="360" w:type="dxa"/>
            <w:shd w:val="clear" w:color="auto" w:fill="auto"/>
          </w:tcPr>
          <w:p w:rsidR="00FE1E17" w:rsidRPr="00FE1E17" w:rsidRDefault="00FE1E17" w:rsidP="008B5B2B">
            <w:pPr>
              <w:adjustRightInd w:val="0"/>
              <w:snapToGrid w:val="0"/>
              <w:spacing w:after="60"/>
              <w:rPr>
                <w:sz w:val="22"/>
                <w:szCs w:val="22"/>
              </w:rPr>
            </w:pPr>
            <w:r w:rsidRPr="00FE1E17">
              <w:rPr>
                <w:sz w:val="22"/>
                <w:szCs w:val="22"/>
              </w:rPr>
              <w:t>=</w:t>
            </w:r>
          </w:p>
        </w:tc>
        <w:tc>
          <w:tcPr>
            <w:tcW w:w="7608" w:type="dxa"/>
            <w:shd w:val="clear" w:color="auto" w:fill="auto"/>
          </w:tcPr>
          <w:p w:rsidR="00FE1E17" w:rsidRPr="00FE1E17" w:rsidRDefault="00FE1E17" w:rsidP="008B5B2B">
            <w:pPr>
              <w:adjustRightInd w:val="0"/>
              <w:snapToGrid w:val="0"/>
              <w:spacing w:after="60"/>
              <w:rPr>
                <w:sz w:val="22"/>
                <w:szCs w:val="22"/>
              </w:rPr>
            </w:pPr>
            <w:r w:rsidRPr="00FE1E17">
              <w:rPr>
                <w:sz w:val="22"/>
                <w:szCs w:val="22"/>
              </w:rPr>
              <w:t>The natural logarithm of a firm’s total assets</w:t>
            </w:r>
          </w:p>
        </w:tc>
      </w:tr>
      <w:tr w:rsidR="00FE1E17" w:rsidRPr="00FE1E17" w:rsidTr="00583009">
        <w:trPr>
          <w:jc w:val="center"/>
        </w:trPr>
        <w:tc>
          <w:tcPr>
            <w:tcW w:w="1388" w:type="dxa"/>
            <w:shd w:val="clear" w:color="auto" w:fill="auto"/>
          </w:tcPr>
          <w:p w:rsidR="00FE1E17" w:rsidRPr="00FE1E17" w:rsidRDefault="00FE1E17" w:rsidP="008B5B2B">
            <w:pPr>
              <w:widowControl/>
              <w:adjustRightInd w:val="0"/>
              <w:snapToGrid w:val="0"/>
              <w:spacing w:after="60"/>
              <w:jc w:val="both"/>
              <w:rPr>
                <w:i/>
                <w:kern w:val="0"/>
                <w:sz w:val="22"/>
                <w:szCs w:val="22"/>
              </w:rPr>
            </w:pPr>
            <w:r w:rsidRPr="00FE1E17">
              <w:rPr>
                <w:i/>
                <w:kern w:val="0"/>
                <w:sz w:val="22"/>
                <w:szCs w:val="22"/>
              </w:rPr>
              <w:t>MB</w:t>
            </w:r>
          </w:p>
        </w:tc>
        <w:tc>
          <w:tcPr>
            <w:tcW w:w="360" w:type="dxa"/>
            <w:shd w:val="clear" w:color="auto" w:fill="auto"/>
          </w:tcPr>
          <w:p w:rsidR="00FE1E17" w:rsidRPr="00FE1E17" w:rsidRDefault="00FE1E17" w:rsidP="008B5B2B">
            <w:pPr>
              <w:adjustRightInd w:val="0"/>
              <w:snapToGrid w:val="0"/>
              <w:spacing w:after="60"/>
              <w:rPr>
                <w:sz w:val="22"/>
                <w:szCs w:val="22"/>
              </w:rPr>
            </w:pPr>
            <w:r w:rsidRPr="00FE1E17">
              <w:rPr>
                <w:sz w:val="22"/>
                <w:szCs w:val="22"/>
              </w:rPr>
              <w:t>=</w:t>
            </w:r>
          </w:p>
        </w:tc>
        <w:tc>
          <w:tcPr>
            <w:tcW w:w="7608" w:type="dxa"/>
            <w:shd w:val="clear" w:color="auto" w:fill="auto"/>
          </w:tcPr>
          <w:p w:rsidR="00FE1E17" w:rsidRPr="00FE1E17" w:rsidRDefault="00FE1E17" w:rsidP="008B5B2B">
            <w:pPr>
              <w:adjustRightInd w:val="0"/>
              <w:snapToGrid w:val="0"/>
              <w:spacing w:after="60"/>
              <w:rPr>
                <w:sz w:val="22"/>
                <w:szCs w:val="22"/>
              </w:rPr>
            </w:pPr>
            <w:r w:rsidRPr="00FE1E17">
              <w:rPr>
                <w:sz w:val="22"/>
                <w:szCs w:val="22"/>
              </w:rPr>
              <w:t>The ratio between market value and book value of a firm’s equity shares</w:t>
            </w:r>
          </w:p>
        </w:tc>
      </w:tr>
      <w:tr w:rsidR="00FE1E17" w:rsidRPr="00FE1E17" w:rsidTr="00583009">
        <w:trPr>
          <w:jc w:val="center"/>
        </w:trPr>
        <w:tc>
          <w:tcPr>
            <w:tcW w:w="1388" w:type="dxa"/>
            <w:shd w:val="clear" w:color="auto" w:fill="auto"/>
          </w:tcPr>
          <w:p w:rsidR="00FE1E17" w:rsidRPr="00FE1E17" w:rsidRDefault="00FE1E17" w:rsidP="008B5B2B">
            <w:pPr>
              <w:widowControl/>
              <w:adjustRightInd w:val="0"/>
              <w:snapToGrid w:val="0"/>
              <w:spacing w:after="60"/>
              <w:jc w:val="both"/>
              <w:rPr>
                <w:i/>
                <w:kern w:val="0"/>
                <w:sz w:val="22"/>
                <w:szCs w:val="22"/>
              </w:rPr>
            </w:pPr>
            <w:r w:rsidRPr="00FE1E17">
              <w:rPr>
                <w:i/>
                <w:kern w:val="0"/>
                <w:sz w:val="22"/>
                <w:szCs w:val="22"/>
              </w:rPr>
              <w:t>MOM</w:t>
            </w:r>
          </w:p>
        </w:tc>
        <w:tc>
          <w:tcPr>
            <w:tcW w:w="360" w:type="dxa"/>
            <w:shd w:val="clear" w:color="auto" w:fill="auto"/>
          </w:tcPr>
          <w:p w:rsidR="00FE1E17" w:rsidRPr="00FE1E17" w:rsidRDefault="00FE1E17" w:rsidP="008B5B2B">
            <w:pPr>
              <w:adjustRightInd w:val="0"/>
              <w:snapToGrid w:val="0"/>
              <w:spacing w:after="60"/>
              <w:rPr>
                <w:sz w:val="22"/>
                <w:szCs w:val="22"/>
              </w:rPr>
            </w:pPr>
            <w:r w:rsidRPr="00FE1E17">
              <w:rPr>
                <w:sz w:val="22"/>
                <w:szCs w:val="22"/>
              </w:rPr>
              <w:t>=</w:t>
            </w:r>
          </w:p>
        </w:tc>
        <w:tc>
          <w:tcPr>
            <w:tcW w:w="7608" w:type="dxa"/>
            <w:shd w:val="clear" w:color="auto" w:fill="auto"/>
          </w:tcPr>
          <w:p w:rsidR="00FE1E17" w:rsidRPr="00FE1E17" w:rsidRDefault="00FE1E17" w:rsidP="008B5B2B">
            <w:pPr>
              <w:adjustRightInd w:val="0"/>
              <w:snapToGrid w:val="0"/>
              <w:spacing w:after="60"/>
              <w:rPr>
                <w:sz w:val="22"/>
                <w:szCs w:val="22"/>
              </w:rPr>
            </w:pPr>
            <w:r w:rsidRPr="00FE1E17">
              <w:rPr>
                <w:sz w:val="22"/>
                <w:szCs w:val="22"/>
              </w:rPr>
              <w:t>The lagged re</w:t>
            </w:r>
            <w:r w:rsidR="002A61C1">
              <w:rPr>
                <w:sz w:val="22"/>
                <w:szCs w:val="22"/>
              </w:rPr>
              <w:t>turns of a firm’s equity shares.</w:t>
            </w:r>
          </w:p>
        </w:tc>
      </w:tr>
    </w:tbl>
    <w:p w:rsidR="000D0C3B" w:rsidRDefault="000D0C3B" w:rsidP="00FE1E17">
      <w:pPr>
        <w:keepNext/>
        <w:widowControl/>
        <w:adjustRightInd w:val="0"/>
        <w:snapToGrid w:val="0"/>
        <w:spacing w:line="288" w:lineRule="auto"/>
        <w:jc w:val="both"/>
        <w:rPr>
          <w:b/>
        </w:rPr>
      </w:pPr>
    </w:p>
    <w:p w:rsidR="000D0C3B" w:rsidRDefault="000D0C3B" w:rsidP="00FE1E17">
      <w:pPr>
        <w:keepNext/>
        <w:widowControl/>
        <w:adjustRightInd w:val="0"/>
        <w:snapToGrid w:val="0"/>
        <w:spacing w:line="288" w:lineRule="auto"/>
        <w:jc w:val="both"/>
        <w:rPr>
          <w:b/>
        </w:rPr>
      </w:pPr>
    </w:p>
    <w:p w:rsidR="000D0C3B" w:rsidRDefault="000D0C3B" w:rsidP="00FE1E17">
      <w:pPr>
        <w:keepNext/>
        <w:widowControl/>
        <w:adjustRightInd w:val="0"/>
        <w:snapToGrid w:val="0"/>
        <w:spacing w:line="288" w:lineRule="auto"/>
        <w:jc w:val="both"/>
        <w:rPr>
          <w:b/>
        </w:rPr>
      </w:pPr>
      <w:r>
        <w:rPr>
          <w:b/>
        </w:rPr>
        <w:br/>
      </w:r>
    </w:p>
    <w:p w:rsidR="00691B4A" w:rsidRPr="008126EB" w:rsidRDefault="000D0C3B" w:rsidP="002A61C1">
      <w:pPr>
        <w:widowControl/>
        <w:spacing w:after="160" w:line="259" w:lineRule="auto"/>
        <w:rPr>
          <w:b/>
        </w:rPr>
      </w:pPr>
      <w:r>
        <w:rPr>
          <w:b/>
        </w:rPr>
        <w:br w:type="page"/>
      </w:r>
      <w:r w:rsidR="00691B4A" w:rsidRPr="008126EB">
        <w:rPr>
          <w:b/>
        </w:rPr>
        <w:lastRenderedPageBreak/>
        <w:t xml:space="preserve">5. </w:t>
      </w:r>
      <w:r w:rsidR="00691B4A" w:rsidRPr="00C52D60">
        <w:rPr>
          <w:b/>
        </w:rPr>
        <w:t>Empirical</w:t>
      </w:r>
      <w:r w:rsidR="00521F9C">
        <w:rPr>
          <w:b/>
        </w:rPr>
        <w:t xml:space="preserve"> R</w:t>
      </w:r>
      <w:r w:rsidR="00691B4A" w:rsidRPr="008126EB">
        <w:rPr>
          <w:b/>
        </w:rPr>
        <w:t>esults</w:t>
      </w:r>
    </w:p>
    <w:p w:rsidR="00D829DF" w:rsidRPr="00D829DF" w:rsidRDefault="00D829DF" w:rsidP="00FE1E17">
      <w:pPr>
        <w:keepNext/>
        <w:widowControl/>
        <w:adjustRightInd w:val="0"/>
        <w:snapToGrid w:val="0"/>
        <w:spacing w:line="288" w:lineRule="auto"/>
        <w:jc w:val="both"/>
        <w:rPr>
          <w:b/>
          <w:sz w:val="12"/>
          <w:szCs w:val="12"/>
        </w:rPr>
      </w:pPr>
    </w:p>
    <w:p w:rsidR="00691B4A" w:rsidRPr="00D829DF" w:rsidRDefault="00691B4A" w:rsidP="00FE1E17">
      <w:pPr>
        <w:keepNext/>
        <w:widowControl/>
        <w:adjustRightInd w:val="0"/>
        <w:snapToGrid w:val="0"/>
        <w:spacing w:line="288" w:lineRule="auto"/>
        <w:jc w:val="both"/>
        <w:rPr>
          <w:b/>
        </w:rPr>
      </w:pPr>
      <w:r w:rsidRPr="00D829DF">
        <w:rPr>
          <w:rFonts w:hint="eastAsia"/>
          <w:b/>
        </w:rPr>
        <w:t xml:space="preserve">5.1 </w:t>
      </w:r>
      <w:r w:rsidR="00D829DF">
        <w:rPr>
          <w:b/>
        </w:rPr>
        <w:t>Descriptive S</w:t>
      </w:r>
      <w:r w:rsidRPr="00D829DF">
        <w:rPr>
          <w:b/>
        </w:rPr>
        <w:t>tatistics</w:t>
      </w:r>
    </w:p>
    <w:p w:rsidR="00D829DF" w:rsidRPr="00D829DF" w:rsidRDefault="00D829DF" w:rsidP="00403A8F">
      <w:pPr>
        <w:widowControl/>
        <w:adjustRightInd w:val="0"/>
        <w:snapToGrid w:val="0"/>
        <w:spacing w:line="288" w:lineRule="auto"/>
        <w:jc w:val="both"/>
        <w:rPr>
          <w:sz w:val="6"/>
          <w:szCs w:val="6"/>
        </w:rPr>
      </w:pPr>
    </w:p>
    <w:p w:rsidR="00411B72" w:rsidRDefault="009876B4" w:rsidP="00403A8F">
      <w:pPr>
        <w:widowControl/>
        <w:adjustRightInd w:val="0"/>
        <w:snapToGrid w:val="0"/>
        <w:spacing w:line="288" w:lineRule="auto"/>
        <w:jc w:val="both"/>
      </w:pPr>
      <w:r w:rsidRPr="008126EB">
        <w:t>Table 1</w:t>
      </w:r>
      <w:r w:rsidR="0076103F" w:rsidRPr="0076103F">
        <w:t xml:space="preserve"> </w:t>
      </w:r>
      <w:r w:rsidR="0076103F">
        <w:t xml:space="preserve">composes of </w:t>
      </w:r>
      <w:r w:rsidR="007045F7">
        <w:t>P</w:t>
      </w:r>
      <w:r w:rsidR="0076103F" w:rsidRPr="008126EB">
        <w:t>anels</w:t>
      </w:r>
      <w:r w:rsidR="007045F7">
        <w:t xml:space="preserve"> A and B</w:t>
      </w:r>
      <w:r w:rsidRPr="008126EB">
        <w:t xml:space="preserve">. </w:t>
      </w:r>
      <w:r w:rsidR="00B26438" w:rsidRPr="008126EB">
        <w:t>Panel A</w:t>
      </w:r>
      <w:r w:rsidR="007045F7">
        <w:t xml:space="preserve"> describes </w:t>
      </w:r>
      <w:r w:rsidR="00691B4A" w:rsidRPr="008126EB">
        <w:rPr>
          <w:rFonts w:hint="eastAsia"/>
          <w:i/>
        </w:rPr>
        <w:t>RETURN</w:t>
      </w:r>
      <w:r w:rsidRPr="008126EB">
        <w:t xml:space="preserve">, </w:t>
      </w:r>
      <w:r w:rsidR="00691B4A" w:rsidRPr="008126EB">
        <w:rPr>
          <w:rFonts w:hint="eastAsia"/>
          <w:i/>
        </w:rPr>
        <w:t>|DA|</w:t>
      </w:r>
      <w:r w:rsidR="00A978CF">
        <w:t xml:space="preserve">, </w:t>
      </w:r>
      <w:r w:rsidR="007045F7">
        <w:t xml:space="preserve">as well as </w:t>
      </w:r>
      <w:r w:rsidRPr="008126EB">
        <w:rPr>
          <w:rFonts w:hint="eastAsia"/>
          <w:i/>
        </w:rPr>
        <w:t>MKT</w:t>
      </w:r>
      <w:r w:rsidRPr="008126EB">
        <w:t xml:space="preserve">, </w:t>
      </w:r>
      <w:r w:rsidRPr="008126EB">
        <w:rPr>
          <w:i/>
        </w:rPr>
        <w:t>SIZE</w:t>
      </w:r>
      <w:r w:rsidRPr="008126EB">
        <w:t xml:space="preserve">, </w:t>
      </w:r>
      <w:r w:rsidRPr="008126EB">
        <w:rPr>
          <w:i/>
        </w:rPr>
        <w:t>MB</w:t>
      </w:r>
      <w:r w:rsidR="00A978CF">
        <w:t xml:space="preserve">, </w:t>
      </w:r>
      <w:r w:rsidRPr="008126EB">
        <w:t xml:space="preserve">and </w:t>
      </w:r>
      <w:r w:rsidRPr="008126EB">
        <w:rPr>
          <w:i/>
        </w:rPr>
        <w:t>MOM</w:t>
      </w:r>
      <w:r w:rsidR="007045F7">
        <w:t xml:space="preserve">, </w:t>
      </w:r>
      <w:r w:rsidR="007045F7" w:rsidRPr="008126EB">
        <w:rPr>
          <w:rFonts w:hint="eastAsia"/>
        </w:rPr>
        <w:t xml:space="preserve">four </w:t>
      </w:r>
      <w:r w:rsidR="007045F7" w:rsidRPr="008126EB">
        <w:t>control variables</w:t>
      </w:r>
      <w:r w:rsidR="00691B4A" w:rsidRPr="008126EB">
        <w:t xml:space="preserve">. As </w:t>
      </w:r>
      <w:r w:rsidR="008A69A9">
        <w:t xml:space="preserve">demonstrated, </w:t>
      </w:r>
      <w:r w:rsidR="00691B4A" w:rsidRPr="008126EB">
        <w:t xml:space="preserve">the mean of </w:t>
      </w:r>
      <w:r w:rsidR="00691B4A" w:rsidRPr="008126EB">
        <w:rPr>
          <w:rFonts w:hint="eastAsia"/>
          <w:i/>
        </w:rPr>
        <w:t>RETURN</w:t>
      </w:r>
      <w:r w:rsidR="00691B4A" w:rsidRPr="008126EB">
        <w:rPr>
          <w:rFonts w:hint="eastAsia"/>
        </w:rPr>
        <w:t xml:space="preserve"> is </w:t>
      </w:r>
      <w:r w:rsidR="00691B4A" w:rsidRPr="008126EB">
        <w:t>0.2177 (</w:t>
      </w:r>
      <w:r w:rsidR="004D2990" w:rsidRPr="008126EB">
        <w:t>median</w:t>
      </w:r>
      <w:r w:rsidR="004D2990">
        <w:t xml:space="preserve"> = </w:t>
      </w:r>
      <w:r w:rsidR="00691B4A" w:rsidRPr="008126EB">
        <w:t>0.0962</w:t>
      </w:r>
      <w:r w:rsidRPr="008126EB">
        <w:t xml:space="preserve">, </w:t>
      </w:r>
      <w:r w:rsidR="004D2990" w:rsidRPr="008126EB">
        <w:t xml:space="preserve">standard deviation </w:t>
      </w:r>
      <w:r w:rsidR="004D2990">
        <w:t xml:space="preserve">= </w:t>
      </w:r>
      <w:r w:rsidRPr="008126EB">
        <w:t>0.8175</w:t>
      </w:r>
      <w:r w:rsidR="00691B4A" w:rsidRPr="008126EB">
        <w:t>)</w:t>
      </w:r>
      <w:r w:rsidR="00691B4A" w:rsidRPr="008126EB">
        <w:rPr>
          <w:rFonts w:hint="eastAsia"/>
        </w:rPr>
        <w:t xml:space="preserve">. </w:t>
      </w:r>
      <w:r w:rsidR="00691B4A" w:rsidRPr="008126EB">
        <w:t xml:space="preserve">The mean of </w:t>
      </w:r>
      <w:r w:rsidR="00691B4A" w:rsidRPr="008126EB">
        <w:rPr>
          <w:rFonts w:hint="eastAsia"/>
        </w:rPr>
        <w:t>|</w:t>
      </w:r>
      <w:r w:rsidR="00691B4A" w:rsidRPr="008126EB">
        <w:rPr>
          <w:i/>
        </w:rPr>
        <w:t>DA</w:t>
      </w:r>
      <w:r w:rsidR="00691B4A" w:rsidRPr="008126EB">
        <w:rPr>
          <w:rFonts w:hint="eastAsia"/>
        </w:rPr>
        <w:t>|</w:t>
      </w:r>
      <w:r w:rsidR="00691B4A" w:rsidRPr="008126EB">
        <w:t xml:space="preserve"> </w:t>
      </w:r>
      <w:r w:rsidR="00A978CF">
        <w:t>is</w:t>
      </w:r>
      <w:r w:rsidR="00691B4A" w:rsidRPr="008126EB">
        <w:t xml:space="preserve"> 0.0585 (</w:t>
      </w:r>
      <w:r w:rsidR="004D2990">
        <w:t>median =</w:t>
      </w:r>
      <w:r w:rsidR="004D2990" w:rsidRPr="008126EB">
        <w:t xml:space="preserve"> </w:t>
      </w:r>
      <w:r w:rsidR="00691B4A" w:rsidRPr="008126EB">
        <w:t>0.0333</w:t>
      </w:r>
      <w:r w:rsidRPr="008126EB">
        <w:t xml:space="preserve">, </w:t>
      </w:r>
      <w:r w:rsidR="004D2990" w:rsidRPr="008126EB">
        <w:t xml:space="preserve">standard deviation </w:t>
      </w:r>
      <w:r w:rsidR="004D2990">
        <w:t xml:space="preserve">= </w:t>
      </w:r>
      <w:r w:rsidRPr="008126EB">
        <w:t>0.1076</w:t>
      </w:r>
      <w:r w:rsidR="00691B4A" w:rsidRPr="008126EB">
        <w:t xml:space="preserve">). </w:t>
      </w:r>
      <w:r w:rsidR="0076103F">
        <w:t>T</w:t>
      </w:r>
      <w:r w:rsidR="00691B4A" w:rsidRPr="008126EB">
        <w:t xml:space="preserve">he median value </w:t>
      </w:r>
      <w:r w:rsidR="00574E7F">
        <w:t>(</w:t>
      </w:r>
      <w:r w:rsidR="00574E7F">
        <w:rPr>
          <w:rFonts w:hint="eastAsia"/>
        </w:rPr>
        <w:t xml:space="preserve">Q2) </w:t>
      </w:r>
      <w:r w:rsidR="00691B4A" w:rsidRPr="008126EB">
        <w:t xml:space="preserve">of </w:t>
      </w:r>
      <w:r w:rsidR="004544DE" w:rsidRPr="004544DE">
        <w:rPr>
          <w:i/>
          <w:iCs/>
        </w:rPr>
        <w:t>RETURN</w:t>
      </w:r>
      <w:r w:rsidR="004544DE">
        <w:t xml:space="preserve"> </w:t>
      </w:r>
      <w:r w:rsidR="00A61E8D">
        <w:rPr>
          <w:rFonts w:hint="eastAsia"/>
        </w:rPr>
        <w:t xml:space="preserve">is </w:t>
      </w:r>
      <w:r w:rsidR="000C597F">
        <w:rPr>
          <w:rFonts w:hint="eastAsia"/>
        </w:rPr>
        <w:t>9.62%. Comparing with Q1 (25</w:t>
      </w:r>
      <w:r w:rsidR="00B578C8">
        <w:t>%</w:t>
      </w:r>
      <w:r w:rsidR="000C597F">
        <w:rPr>
          <w:rFonts w:hint="eastAsia"/>
        </w:rPr>
        <w:t xml:space="preserve"> quantile</w:t>
      </w:r>
      <w:r w:rsidR="00574E7F">
        <w:t xml:space="preserve"> = </w:t>
      </w:r>
      <w:r w:rsidR="00574E7F" w:rsidRPr="00A61E8D">
        <w:t>-</w:t>
      </w:r>
      <w:r w:rsidR="00574E7F">
        <w:rPr>
          <w:rFonts w:hint="eastAsia"/>
        </w:rPr>
        <w:t>1</w:t>
      </w:r>
      <w:r w:rsidR="00574E7F" w:rsidRPr="00A61E8D">
        <w:t>6</w:t>
      </w:r>
      <w:r w:rsidR="00574E7F">
        <w:rPr>
          <w:rFonts w:hint="eastAsia"/>
        </w:rPr>
        <w:t>.</w:t>
      </w:r>
      <w:r w:rsidR="00574E7F" w:rsidRPr="00A61E8D">
        <w:t>52</w:t>
      </w:r>
      <w:r w:rsidR="00574E7F">
        <w:rPr>
          <w:rFonts w:hint="eastAsia"/>
        </w:rPr>
        <w:t>%</w:t>
      </w:r>
      <w:r w:rsidR="009A1103">
        <w:rPr>
          <w:rFonts w:hint="eastAsia"/>
        </w:rPr>
        <w:t xml:space="preserve">) </w:t>
      </w:r>
      <w:r w:rsidR="000C597F">
        <w:rPr>
          <w:rFonts w:hint="eastAsia"/>
        </w:rPr>
        <w:t>and Q3 (75</w:t>
      </w:r>
      <w:r w:rsidR="00B578C8">
        <w:t>%</w:t>
      </w:r>
      <w:r w:rsidR="000C597F">
        <w:rPr>
          <w:rFonts w:hint="eastAsia"/>
        </w:rPr>
        <w:t xml:space="preserve"> quantile</w:t>
      </w:r>
      <w:r w:rsidR="00574E7F">
        <w:t xml:space="preserve"> = </w:t>
      </w:r>
      <w:r w:rsidR="00574E7F">
        <w:rPr>
          <w:rFonts w:hint="eastAsia"/>
        </w:rPr>
        <w:t>39.91%</w:t>
      </w:r>
      <w:r w:rsidR="009A1103">
        <w:rPr>
          <w:rFonts w:hint="eastAsia"/>
        </w:rPr>
        <w:t>)</w:t>
      </w:r>
      <w:r w:rsidR="000C597F">
        <w:rPr>
          <w:rFonts w:hint="eastAsia"/>
        </w:rPr>
        <w:t xml:space="preserve">, the </w:t>
      </w:r>
      <w:r w:rsidR="00574E7F">
        <w:rPr>
          <w:rFonts w:hint="eastAsia"/>
        </w:rPr>
        <w:t>median (</w:t>
      </w:r>
      <w:r w:rsidR="000C597F">
        <w:rPr>
          <w:rFonts w:hint="eastAsia"/>
        </w:rPr>
        <w:t>5</w:t>
      </w:r>
      <w:r w:rsidR="00B578C8">
        <w:t>0%</w:t>
      </w:r>
      <w:r w:rsidR="000C597F">
        <w:rPr>
          <w:rFonts w:hint="eastAsia"/>
        </w:rPr>
        <w:t xml:space="preserve"> quantile</w:t>
      </w:r>
      <w:r w:rsidR="00411B72">
        <w:rPr>
          <w:rFonts w:hint="eastAsia"/>
        </w:rPr>
        <w:t>)</w:t>
      </w:r>
      <w:r w:rsidR="000C597F">
        <w:rPr>
          <w:rFonts w:hint="eastAsia"/>
        </w:rPr>
        <w:t xml:space="preserve"> of stock returns is close to zero. </w:t>
      </w:r>
      <w:r w:rsidR="00EA44CD">
        <w:t xml:space="preserve">For the purpose of our investigations, this </w:t>
      </w:r>
      <w:r w:rsidR="0076103F">
        <w:t>study treats</w:t>
      </w:r>
      <w:r w:rsidR="000C597F">
        <w:rPr>
          <w:rFonts w:hint="eastAsia"/>
        </w:rPr>
        <w:t xml:space="preserve"> the over-</w:t>
      </w:r>
      <w:r w:rsidR="00B578C8">
        <w:t>50%</w:t>
      </w:r>
      <w:r w:rsidR="000C597F">
        <w:rPr>
          <w:rFonts w:hint="eastAsia"/>
        </w:rPr>
        <w:t xml:space="preserve"> </w:t>
      </w:r>
      <w:r w:rsidR="00F07F69">
        <w:t>(</w:t>
      </w:r>
      <w:r w:rsidR="00F07F69">
        <w:rPr>
          <w:rFonts w:hint="eastAsia"/>
        </w:rPr>
        <w:t>under-</w:t>
      </w:r>
      <w:r w:rsidR="00F07F69">
        <w:t xml:space="preserve">50%) </w:t>
      </w:r>
      <w:r w:rsidR="000C597F">
        <w:rPr>
          <w:rFonts w:hint="eastAsia"/>
        </w:rPr>
        <w:t xml:space="preserve">quantile value of stock returns </w:t>
      </w:r>
      <w:r w:rsidR="00691B4A" w:rsidRPr="008126EB">
        <w:t xml:space="preserve">as </w:t>
      </w:r>
      <w:r w:rsidR="00A61E8D">
        <w:rPr>
          <w:rFonts w:hint="eastAsia"/>
        </w:rPr>
        <w:t xml:space="preserve">positive (negative) </w:t>
      </w:r>
      <w:r w:rsidR="00691B4A" w:rsidRPr="008126EB">
        <w:t xml:space="preserve">stock return. This classification allows us to examine </w:t>
      </w:r>
      <w:r w:rsidR="00411B72">
        <w:rPr>
          <w:rFonts w:hint="eastAsia"/>
        </w:rPr>
        <w:t xml:space="preserve">the </w:t>
      </w:r>
      <w:r w:rsidR="00F07F69">
        <w:rPr>
          <w:rFonts w:hint="eastAsia"/>
        </w:rPr>
        <w:t>executives</w:t>
      </w:r>
      <w:r w:rsidR="00F07F69">
        <w:t>’</w:t>
      </w:r>
      <w:r w:rsidR="00F07F69">
        <w:rPr>
          <w:rFonts w:hint="eastAsia"/>
        </w:rPr>
        <w:t xml:space="preserve"> </w:t>
      </w:r>
      <w:r w:rsidR="00C473A3">
        <w:rPr>
          <w:rFonts w:hint="eastAsia"/>
        </w:rPr>
        <w:t>earnings manipulation</w:t>
      </w:r>
      <w:r w:rsidR="00411B72">
        <w:rPr>
          <w:rFonts w:hint="eastAsia"/>
        </w:rPr>
        <w:t xml:space="preserve"> </w:t>
      </w:r>
      <w:r w:rsidR="007A18E2">
        <w:rPr>
          <w:rFonts w:hint="eastAsia"/>
        </w:rPr>
        <w:t>behavior</w:t>
      </w:r>
      <w:r w:rsidR="00411B72">
        <w:rPr>
          <w:rFonts w:hint="eastAsia"/>
        </w:rPr>
        <w:t>s when they experienc</w:t>
      </w:r>
      <w:r w:rsidR="009E782A">
        <w:t>e</w:t>
      </w:r>
      <w:r w:rsidR="00411B72">
        <w:rPr>
          <w:rFonts w:hint="eastAsia"/>
        </w:rPr>
        <w:t xml:space="preserve"> gain</w:t>
      </w:r>
      <w:r w:rsidR="0076103F">
        <w:t>s</w:t>
      </w:r>
      <w:r w:rsidR="00411B72">
        <w:rPr>
          <w:rFonts w:hint="eastAsia"/>
        </w:rPr>
        <w:t xml:space="preserve"> and loss</w:t>
      </w:r>
      <w:r w:rsidR="0076103F">
        <w:t>es</w:t>
      </w:r>
      <w:r w:rsidR="00411B72">
        <w:rPr>
          <w:rFonts w:hint="eastAsia"/>
        </w:rPr>
        <w:t xml:space="preserve"> situations. </w:t>
      </w:r>
    </w:p>
    <w:p w:rsidR="00403A8F" w:rsidRDefault="00403A8F" w:rsidP="00403A8F">
      <w:pPr>
        <w:widowControl/>
        <w:adjustRightInd w:val="0"/>
        <w:snapToGrid w:val="0"/>
        <w:spacing w:line="288" w:lineRule="auto"/>
        <w:jc w:val="both"/>
      </w:pPr>
    </w:p>
    <w:p w:rsidR="00691B4A" w:rsidRPr="008126EB" w:rsidRDefault="007045F7" w:rsidP="00FE1E17">
      <w:pPr>
        <w:widowControl/>
        <w:adjustRightInd w:val="0"/>
        <w:snapToGrid w:val="0"/>
        <w:spacing w:line="288" w:lineRule="auto"/>
        <w:ind w:firstLineChars="295" w:firstLine="708"/>
        <w:jc w:val="both"/>
      </w:pPr>
      <w:r>
        <w:t xml:space="preserve">The results of </w:t>
      </w:r>
      <w:r w:rsidRPr="008126EB">
        <w:t>correlation coefficients</w:t>
      </w:r>
      <w:r>
        <w:rPr>
          <w:rFonts w:hint="eastAsia"/>
        </w:rPr>
        <w:t xml:space="preserve"> </w:t>
      </w:r>
      <w:r>
        <w:t xml:space="preserve">analyses are provided in </w:t>
      </w:r>
      <w:r w:rsidR="00642501" w:rsidRPr="008126EB">
        <w:t>Panel B</w:t>
      </w:r>
      <w:r w:rsidR="00411B72">
        <w:rPr>
          <w:rFonts w:hint="eastAsia"/>
        </w:rPr>
        <w:t xml:space="preserve">. </w:t>
      </w:r>
      <w:r>
        <w:t>This</w:t>
      </w:r>
      <w:r w:rsidR="00642501">
        <w:t xml:space="preserve"> panel</w:t>
      </w:r>
      <w:r>
        <w:t xml:space="preserve"> shows </w:t>
      </w:r>
      <w:r w:rsidR="00691B4A" w:rsidRPr="008126EB">
        <w:rPr>
          <w:rFonts w:hint="eastAsia"/>
          <w:i/>
        </w:rPr>
        <w:t>RETURN</w:t>
      </w:r>
      <w:r w:rsidR="00691B4A" w:rsidRPr="008126EB">
        <w:t xml:space="preserve"> positively</w:t>
      </w:r>
      <w:r w:rsidR="00691B4A" w:rsidRPr="008126EB">
        <w:rPr>
          <w:rFonts w:hint="eastAsia"/>
        </w:rPr>
        <w:t xml:space="preserve"> </w:t>
      </w:r>
      <w:r w:rsidR="00691B4A" w:rsidRPr="008126EB">
        <w:t>correlate</w:t>
      </w:r>
      <w:r w:rsidR="00574E7F">
        <w:t xml:space="preserve">s </w:t>
      </w:r>
      <w:r w:rsidR="00691B4A" w:rsidRPr="008126EB">
        <w:t xml:space="preserve">with </w:t>
      </w:r>
      <w:r w:rsidR="00691B4A" w:rsidRPr="008126EB">
        <w:rPr>
          <w:rFonts w:hint="eastAsia"/>
        </w:rPr>
        <w:t>|</w:t>
      </w:r>
      <w:r w:rsidR="00691B4A" w:rsidRPr="008126EB">
        <w:rPr>
          <w:i/>
        </w:rPr>
        <w:t>DA</w:t>
      </w:r>
      <w:r w:rsidR="00691B4A" w:rsidRPr="008126EB">
        <w:rPr>
          <w:rFonts w:hint="eastAsia"/>
          <w:i/>
        </w:rPr>
        <w:t>|</w:t>
      </w:r>
      <w:r w:rsidR="00691B4A" w:rsidRPr="008126EB">
        <w:t xml:space="preserve"> (coefficient = </w:t>
      </w:r>
      <w:r w:rsidR="00691B4A" w:rsidRPr="008126EB">
        <w:rPr>
          <w:rFonts w:hint="eastAsia"/>
        </w:rPr>
        <w:t>0.025</w:t>
      </w:r>
      <w:r w:rsidR="00691B4A" w:rsidRPr="008126EB">
        <w:t xml:space="preserve">, </w:t>
      </w:r>
      <w:r w:rsidR="00691B4A" w:rsidRPr="008126EB">
        <w:rPr>
          <w:i/>
        </w:rPr>
        <w:t>p</w:t>
      </w:r>
      <w:r w:rsidR="00691B4A" w:rsidRPr="008126EB">
        <w:t xml:space="preserve">-value &lt; 0.01). </w:t>
      </w:r>
      <w:r w:rsidR="00691B4A" w:rsidRPr="008126EB">
        <w:rPr>
          <w:rFonts w:hint="eastAsia"/>
          <w:i/>
        </w:rPr>
        <w:t>MKT</w:t>
      </w:r>
      <w:r w:rsidR="00691B4A" w:rsidRPr="008126EB">
        <w:rPr>
          <w:rFonts w:hint="eastAsia"/>
        </w:rPr>
        <w:t xml:space="preserve"> </w:t>
      </w:r>
      <w:r w:rsidR="00691B4A" w:rsidRPr="008126EB">
        <w:t xml:space="preserve">(coefficient = 0.352, </w:t>
      </w:r>
      <w:r w:rsidR="00691B4A" w:rsidRPr="008126EB">
        <w:rPr>
          <w:i/>
        </w:rPr>
        <w:t>p</w:t>
      </w:r>
      <w:r w:rsidR="00691B4A" w:rsidRPr="008126EB">
        <w:t xml:space="preserve">-value &lt; 0.01) </w:t>
      </w:r>
      <w:r w:rsidR="00691B4A" w:rsidRPr="008126EB">
        <w:rPr>
          <w:rFonts w:hint="eastAsia"/>
        </w:rPr>
        <w:t xml:space="preserve">and </w:t>
      </w:r>
      <w:r w:rsidR="00691B4A" w:rsidRPr="008126EB">
        <w:rPr>
          <w:rFonts w:hint="eastAsia"/>
          <w:i/>
        </w:rPr>
        <w:t>MB</w:t>
      </w:r>
      <w:r w:rsidR="00691B4A" w:rsidRPr="008126EB">
        <w:rPr>
          <w:rFonts w:hint="eastAsia"/>
        </w:rPr>
        <w:t xml:space="preserve"> </w:t>
      </w:r>
      <w:r w:rsidR="00691B4A" w:rsidRPr="008126EB">
        <w:t>(coefficient = 0.2</w:t>
      </w:r>
      <w:r w:rsidR="004544DE">
        <w:t>1</w:t>
      </w:r>
      <w:r w:rsidR="00691B4A" w:rsidRPr="008126EB">
        <w:t xml:space="preserve">5, </w:t>
      </w:r>
      <w:r w:rsidR="00691B4A" w:rsidRPr="008126EB">
        <w:rPr>
          <w:i/>
        </w:rPr>
        <w:t>p</w:t>
      </w:r>
      <w:r w:rsidR="00691B4A" w:rsidRPr="008126EB">
        <w:t>-value &lt; 0.01) positively correlate</w:t>
      </w:r>
      <w:r w:rsidR="00957A59" w:rsidRPr="008126EB">
        <w:rPr>
          <w:rFonts w:eastAsia="PMingLiU" w:hint="eastAsia"/>
        </w:rPr>
        <w:t xml:space="preserve"> with </w:t>
      </w:r>
      <w:r w:rsidR="006B6925" w:rsidRPr="008126EB">
        <w:rPr>
          <w:rFonts w:eastAsia="PMingLiU"/>
          <w:i/>
        </w:rPr>
        <w:t>RETURN</w:t>
      </w:r>
      <w:r w:rsidR="00691B4A" w:rsidRPr="008126EB">
        <w:t xml:space="preserve">, whereas </w:t>
      </w:r>
      <w:r w:rsidR="00691B4A" w:rsidRPr="008126EB">
        <w:rPr>
          <w:rFonts w:hint="eastAsia"/>
          <w:i/>
        </w:rPr>
        <w:t>SIZE</w:t>
      </w:r>
      <w:r w:rsidR="00691B4A" w:rsidRPr="008126EB">
        <w:rPr>
          <w:rFonts w:hint="eastAsia"/>
        </w:rPr>
        <w:t xml:space="preserve"> </w:t>
      </w:r>
      <w:r w:rsidR="00691B4A" w:rsidRPr="008126EB">
        <w:t xml:space="preserve">(coefficient </w:t>
      </w:r>
      <w:r w:rsidR="00B26438" w:rsidRPr="008126EB">
        <w:t>= -0</w:t>
      </w:r>
      <w:r w:rsidR="00691B4A" w:rsidRPr="008126EB">
        <w:t xml:space="preserve">.091, </w:t>
      </w:r>
      <w:r w:rsidR="00691B4A" w:rsidRPr="008126EB">
        <w:rPr>
          <w:i/>
        </w:rPr>
        <w:t>p</w:t>
      </w:r>
      <w:r w:rsidR="00691B4A" w:rsidRPr="008126EB">
        <w:t xml:space="preserve">-value &lt; 0.01) </w:t>
      </w:r>
      <w:r w:rsidR="00691B4A" w:rsidRPr="008126EB">
        <w:rPr>
          <w:rFonts w:hint="eastAsia"/>
        </w:rPr>
        <w:t xml:space="preserve">and </w:t>
      </w:r>
      <w:r w:rsidR="00691B4A" w:rsidRPr="008126EB">
        <w:rPr>
          <w:rFonts w:hint="eastAsia"/>
          <w:i/>
        </w:rPr>
        <w:t>MOM</w:t>
      </w:r>
      <w:r w:rsidR="00691B4A" w:rsidRPr="008126EB">
        <w:rPr>
          <w:rFonts w:hint="eastAsia"/>
        </w:rPr>
        <w:t xml:space="preserve"> </w:t>
      </w:r>
      <w:r w:rsidR="00691B4A" w:rsidRPr="008126EB">
        <w:t xml:space="preserve">(coefficient </w:t>
      </w:r>
      <w:r w:rsidR="00B26438" w:rsidRPr="008126EB">
        <w:t>= -0</w:t>
      </w:r>
      <w:r w:rsidR="00691B4A" w:rsidRPr="008126EB">
        <w:t xml:space="preserve">.111, </w:t>
      </w:r>
      <w:r w:rsidR="00691B4A" w:rsidRPr="008126EB">
        <w:rPr>
          <w:i/>
        </w:rPr>
        <w:t>p</w:t>
      </w:r>
      <w:r w:rsidR="00691B4A" w:rsidRPr="008126EB">
        <w:t xml:space="preserve">-value &lt; 0.01) </w:t>
      </w:r>
      <w:r w:rsidR="00691B4A" w:rsidRPr="008126EB">
        <w:rPr>
          <w:rFonts w:hint="eastAsia"/>
        </w:rPr>
        <w:t xml:space="preserve">negatively </w:t>
      </w:r>
      <w:r w:rsidR="00691B4A" w:rsidRPr="008126EB">
        <w:t xml:space="preserve">correlate with </w:t>
      </w:r>
      <w:r w:rsidR="00691B4A" w:rsidRPr="008126EB">
        <w:rPr>
          <w:rFonts w:hint="eastAsia"/>
          <w:i/>
        </w:rPr>
        <w:t>RETURN</w:t>
      </w:r>
      <w:r w:rsidR="00691B4A" w:rsidRPr="008126EB">
        <w:rPr>
          <w:rFonts w:hint="eastAsia"/>
        </w:rPr>
        <w:t>.</w:t>
      </w:r>
    </w:p>
    <w:p w:rsidR="00403A8F" w:rsidRDefault="00403A8F" w:rsidP="00FE1E17">
      <w:pPr>
        <w:keepNext/>
        <w:widowControl/>
        <w:adjustRightInd w:val="0"/>
        <w:snapToGrid w:val="0"/>
        <w:spacing w:line="288" w:lineRule="auto"/>
        <w:jc w:val="both"/>
        <w:rPr>
          <w:b/>
          <w:i/>
        </w:rPr>
      </w:pPr>
    </w:p>
    <w:p w:rsidR="00691B4A" w:rsidRPr="00754050" w:rsidRDefault="00691B4A" w:rsidP="00FE1E17">
      <w:pPr>
        <w:keepNext/>
        <w:widowControl/>
        <w:adjustRightInd w:val="0"/>
        <w:snapToGrid w:val="0"/>
        <w:spacing w:line="288" w:lineRule="auto"/>
        <w:jc w:val="both"/>
        <w:rPr>
          <w:b/>
        </w:rPr>
      </w:pPr>
      <w:proofErr w:type="gramStart"/>
      <w:r w:rsidRPr="00754050">
        <w:rPr>
          <w:rFonts w:hint="eastAsia"/>
          <w:b/>
        </w:rPr>
        <w:t>5.2</w:t>
      </w:r>
      <w:r w:rsidR="00411B72" w:rsidRPr="00754050">
        <w:rPr>
          <w:rFonts w:hint="eastAsia"/>
          <w:b/>
        </w:rPr>
        <w:t xml:space="preserve"> </w:t>
      </w:r>
      <w:r w:rsidR="002A61C1">
        <w:rPr>
          <w:b/>
        </w:rPr>
        <w:t xml:space="preserve"> </w:t>
      </w:r>
      <w:r w:rsidR="00411B72" w:rsidRPr="00754050">
        <w:rPr>
          <w:rFonts w:hint="eastAsia"/>
          <w:b/>
        </w:rPr>
        <w:t>Empirical</w:t>
      </w:r>
      <w:proofErr w:type="gramEnd"/>
      <w:r w:rsidR="00411B72" w:rsidRPr="00754050">
        <w:rPr>
          <w:rFonts w:hint="eastAsia"/>
          <w:b/>
        </w:rPr>
        <w:t xml:space="preserve"> </w:t>
      </w:r>
      <w:r w:rsidR="00754050">
        <w:rPr>
          <w:b/>
        </w:rPr>
        <w:t>R</w:t>
      </w:r>
      <w:r w:rsidR="00411B72" w:rsidRPr="00754050">
        <w:rPr>
          <w:b/>
        </w:rPr>
        <w:t>esults</w:t>
      </w:r>
      <w:r w:rsidR="00754050">
        <w:rPr>
          <w:rFonts w:hint="eastAsia"/>
          <w:b/>
        </w:rPr>
        <w:t xml:space="preserve"> of QR </w:t>
      </w:r>
      <w:r w:rsidR="00754050">
        <w:rPr>
          <w:b/>
        </w:rPr>
        <w:t>M</w:t>
      </w:r>
      <w:r w:rsidR="00411B72" w:rsidRPr="00754050">
        <w:rPr>
          <w:rFonts w:hint="eastAsia"/>
          <w:b/>
        </w:rPr>
        <w:t xml:space="preserve">odel </w:t>
      </w:r>
    </w:p>
    <w:p w:rsidR="00754050" w:rsidRPr="00754050" w:rsidRDefault="00754050" w:rsidP="00403A8F">
      <w:pPr>
        <w:widowControl/>
        <w:adjustRightInd w:val="0"/>
        <w:snapToGrid w:val="0"/>
        <w:spacing w:line="288" w:lineRule="auto"/>
        <w:jc w:val="both"/>
        <w:rPr>
          <w:sz w:val="6"/>
          <w:szCs w:val="6"/>
        </w:rPr>
      </w:pPr>
    </w:p>
    <w:p w:rsidR="00691B4A" w:rsidRDefault="00691B4A" w:rsidP="00403A8F">
      <w:pPr>
        <w:widowControl/>
        <w:adjustRightInd w:val="0"/>
        <w:snapToGrid w:val="0"/>
        <w:spacing w:line="288" w:lineRule="auto"/>
        <w:jc w:val="both"/>
      </w:pPr>
      <w:r w:rsidRPr="008126EB">
        <w:t xml:space="preserve">We </w:t>
      </w:r>
      <w:r w:rsidR="00F35AED" w:rsidRPr="008126EB">
        <w:t xml:space="preserve">estimate OLS regression </w:t>
      </w:r>
      <w:r w:rsidR="00F35AED">
        <w:t xml:space="preserve">and use these results as benchmarks to compare </w:t>
      </w:r>
      <w:r w:rsidRPr="008126EB">
        <w:t xml:space="preserve">to the </w:t>
      </w:r>
      <w:r w:rsidR="00F35AED">
        <w:t xml:space="preserve">findings from </w:t>
      </w:r>
      <w:r w:rsidRPr="008126EB">
        <w:t xml:space="preserve">QR analysis. </w:t>
      </w:r>
      <w:r w:rsidR="00B26438" w:rsidRPr="008126EB">
        <w:t>Table 2 p</w:t>
      </w:r>
      <w:r w:rsidRPr="008126EB">
        <w:t>resents</w:t>
      </w:r>
      <w:r w:rsidR="00F35AED" w:rsidRPr="00F35AED">
        <w:rPr>
          <w:rFonts w:eastAsia="PMingLiU"/>
        </w:rPr>
        <w:t xml:space="preserve"> </w:t>
      </w:r>
      <w:r w:rsidR="00F35AED" w:rsidRPr="008126EB">
        <w:rPr>
          <w:rFonts w:eastAsia="PMingLiU"/>
        </w:rPr>
        <w:t>the</w:t>
      </w:r>
      <w:r w:rsidR="00F35AED" w:rsidRPr="008126EB">
        <w:rPr>
          <w:rFonts w:eastAsia="PMingLiU" w:hint="eastAsia"/>
        </w:rPr>
        <w:t xml:space="preserve"> OLS coefficient</w:t>
      </w:r>
      <w:r w:rsidR="00F35AED">
        <w:rPr>
          <w:rFonts w:eastAsia="PMingLiU"/>
        </w:rPr>
        <w:t xml:space="preserve"> and</w:t>
      </w:r>
      <w:r w:rsidRPr="008126EB">
        <w:t xml:space="preserve"> the estimated coefficient for </w:t>
      </w:r>
      <w:r w:rsidRPr="00293C4A">
        <w:rPr>
          <w:rFonts w:hint="eastAsia"/>
          <w:i/>
        </w:rPr>
        <w:t>|DA|</w:t>
      </w:r>
      <w:r w:rsidRPr="00293C4A">
        <w:t xml:space="preserve"> at various </w:t>
      </w:r>
      <w:r w:rsidRPr="00293C4A">
        <w:rPr>
          <w:rFonts w:hint="eastAsia"/>
          <w:i/>
        </w:rPr>
        <w:t>RETURN</w:t>
      </w:r>
      <w:r w:rsidRPr="00293C4A">
        <w:t xml:space="preserve"> quantiles</w:t>
      </w:r>
      <w:r w:rsidR="009A1103" w:rsidRPr="00293C4A">
        <w:rPr>
          <w:rFonts w:hint="eastAsia"/>
        </w:rPr>
        <w:t xml:space="preserve">. </w:t>
      </w:r>
      <w:r w:rsidR="00F35AED" w:rsidRPr="00293C4A">
        <w:t>To simplify the presentation</w:t>
      </w:r>
      <w:r w:rsidR="007045F7" w:rsidRPr="007045F7">
        <w:t xml:space="preserve"> </w:t>
      </w:r>
      <w:r w:rsidR="007045F7" w:rsidRPr="00293C4A">
        <w:t>in</w:t>
      </w:r>
      <w:r w:rsidR="007045F7" w:rsidRPr="008126EB">
        <w:t xml:space="preserve"> Table </w:t>
      </w:r>
      <w:r w:rsidR="007045F7" w:rsidRPr="008126EB">
        <w:rPr>
          <w:rFonts w:hint="eastAsia"/>
        </w:rPr>
        <w:t>2</w:t>
      </w:r>
      <w:r w:rsidRPr="00293C4A">
        <w:t xml:space="preserve">, </w:t>
      </w:r>
      <w:r w:rsidR="00F35AED" w:rsidRPr="00293C4A">
        <w:t xml:space="preserve">we did not </w:t>
      </w:r>
      <w:r w:rsidR="007045F7">
        <w:t xml:space="preserve">provide </w:t>
      </w:r>
      <w:r w:rsidRPr="00293C4A">
        <w:t>the estimat</w:t>
      </w:r>
      <w:r w:rsidR="00957A59" w:rsidRPr="00293C4A">
        <w:rPr>
          <w:rFonts w:eastAsia="PMingLiU" w:hint="eastAsia"/>
        </w:rPr>
        <w:t>ed</w:t>
      </w:r>
      <w:r w:rsidRPr="00293C4A">
        <w:t xml:space="preserve"> coefficients </w:t>
      </w:r>
      <w:r w:rsidR="00957A59" w:rsidRPr="00293C4A">
        <w:rPr>
          <w:rFonts w:eastAsia="PMingLiU" w:hint="eastAsia"/>
        </w:rPr>
        <w:t xml:space="preserve">of the </w:t>
      </w:r>
      <w:r w:rsidR="00957A59" w:rsidRPr="00293C4A">
        <w:rPr>
          <w:rFonts w:eastAsia="PMingLiU"/>
        </w:rPr>
        <w:t>control</w:t>
      </w:r>
      <w:r w:rsidR="00957A59" w:rsidRPr="00293C4A">
        <w:rPr>
          <w:rFonts w:eastAsia="PMingLiU" w:hint="eastAsia"/>
        </w:rPr>
        <w:t xml:space="preserve"> variables</w:t>
      </w:r>
      <w:r w:rsidRPr="008126EB">
        <w:t xml:space="preserve">. </w:t>
      </w:r>
      <w:r w:rsidR="00F07F69">
        <w:t>According to</w:t>
      </w:r>
      <w:r w:rsidR="00F07F69" w:rsidRPr="008126EB">
        <w:t xml:space="preserve"> the OLS estimate </w:t>
      </w:r>
      <w:r w:rsidR="00F07F69">
        <w:t xml:space="preserve">shown in </w:t>
      </w:r>
      <w:r w:rsidR="00392155">
        <w:t xml:space="preserve">the table, </w:t>
      </w:r>
      <w:r w:rsidRPr="008126EB">
        <w:rPr>
          <w:rFonts w:hint="eastAsia"/>
          <w:i/>
        </w:rPr>
        <w:t>|DA|</w:t>
      </w:r>
      <w:r w:rsidR="00293C4A">
        <w:rPr>
          <w:rFonts w:eastAsia="PMingLiU" w:hint="eastAsia"/>
        </w:rPr>
        <w:t xml:space="preserve"> </w:t>
      </w:r>
      <w:r w:rsidR="00293C4A">
        <w:rPr>
          <w:rFonts w:eastAsia="PMingLiU"/>
        </w:rPr>
        <w:t>positively</w:t>
      </w:r>
      <w:r w:rsidR="00293C4A">
        <w:rPr>
          <w:rFonts w:eastAsia="PMingLiU" w:hint="eastAsia"/>
        </w:rPr>
        <w:t xml:space="preserve"> </w:t>
      </w:r>
      <w:r w:rsidR="00293C4A">
        <w:rPr>
          <w:rFonts w:eastAsia="PMingLiU"/>
        </w:rPr>
        <w:t>affect</w:t>
      </w:r>
      <w:r w:rsidR="00355087">
        <w:rPr>
          <w:rFonts w:hint="eastAsia"/>
        </w:rPr>
        <w:t>s</w:t>
      </w:r>
      <w:r w:rsidR="00293C4A">
        <w:rPr>
          <w:rFonts w:eastAsia="PMingLiU"/>
        </w:rPr>
        <w:t xml:space="preserve"> </w:t>
      </w:r>
      <w:r w:rsidRPr="008126EB">
        <w:rPr>
          <w:rFonts w:hint="eastAsia"/>
          <w:i/>
        </w:rPr>
        <w:t>RETURN</w:t>
      </w:r>
      <w:r w:rsidRPr="008126EB">
        <w:t xml:space="preserve"> (coefficient = 0.232, </w:t>
      </w:r>
      <w:r w:rsidRPr="008126EB">
        <w:rPr>
          <w:i/>
        </w:rPr>
        <w:t>p</w:t>
      </w:r>
      <w:r w:rsidRPr="008126EB">
        <w:t xml:space="preserve">-value &lt; 0.01). This </w:t>
      </w:r>
      <w:r w:rsidR="00F07F69">
        <w:t>evidence</w:t>
      </w:r>
      <w:r w:rsidR="00F07F69" w:rsidRPr="008126EB">
        <w:t xml:space="preserve"> </w:t>
      </w:r>
      <w:r w:rsidRPr="008126EB">
        <w:t xml:space="preserve">is </w:t>
      </w:r>
      <w:r w:rsidR="009E782A">
        <w:t>consistent</w:t>
      </w:r>
      <w:r w:rsidR="009027E3" w:rsidRPr="008126EB">
        <w:t xml:space="preserve"> </w:t>
      </w:r>
      <w:r w:rsidRPr="008126EB">
        <w:t xml:space="preserve">with </w:t>
      </w:r>
      <w:r w:rsidR="00F07F69">
        <w:t xml:space="preserve">what has been </w:t>
      </w:r>
      <w:r w:rsidRPr="008126EB">
        <w:t xml:space="preserve">reported in the </w:t>
      </w:r>
      <w:r w:rsidR="00293C4A">
        <w:t>prior studies</w:t>
      </w:r>
      <w:r w:rsidRPr="008126EB">
        <w:t xml:space="preserve">. </w:t>
      </w:r>
      <w:r w:rsidR="00EA44CD">
        <w:t xml:space="preserve">This result </w:t>
      </w:r>
      <w:r w:rsidR="009E782A">
        <w:t>also</w:t>
      </w:r>
      <w:r w:rsidR="00293C4A">
        <w:t xml:space="preserve"> </w:t>
      </w:r>
      <w:r w:rsidRPr="008126EB">
        <w:t>supports the notion that the market tend</w:t>
      </w:r>
      <w:r w:rsidR="00F34F85">
        <w:t>s</w:t>
      </w:r>
      <w:r w:rsidRPr="008126EB">
        <w:t xml:space="preserve"> to reward </w:t>
      </w:r>
      <w:r w:rsidR="00C473A3">
        <w:rPr>
          <w:rFonts w:hint="eastAsia"/>
        </w:rPr>
        <w:t>earnings manipulation</w:t>
      </w:r>
      <w:r w:rsidRPr="008126EB">
        <w:t xml:space="preserve"> </w:t>
      </w:r>
      <w:r w:rsidR="007A18E2">
        <w:t>behavior</w:t>
      </w:r>
      <w:r w:rsidR="00F34F85">
        <w:t xml:space="preserve"> </w:t>
      </w:r>
      <w:r w:rsidR="00392155">
        <w:t>with positive returns</w:t>
      </w:r>
      <w:r w:rsidRPr="008126EB">
        <w:t xml:space="preserve"> </w:t>
      </w:r>
      <w:r w:rsidRPr="008126EB">
        <w:rPr>
          <w:kern w:val="0"/>
        </w:rPr>
        <w:t>(</w:t>
      </w:r>
      <w:r w:rsidR="00754050">
        <w:rPr>
          <w:kern w:val="0"/>
        </w:rPr>
        <w:t>for example,</w:t>
      </w:r>
      <w:r w:rsidRPr="008126EB">
        <w:rPr>
          <w:kern w:val="0"/>
        </w:rPr>
        <w:t xml:space="preserve"> </w:t>
      </w:r>
      <w:r w:rsidR="00754050">
        <w:t xml:space="preserve">Healy and Palepu 1993, Subramanyam 1996, </w:t>
      </w:r>
      <w:r w:rsidRPr="008126EB">
        <w:t>Dechow a</w:t>
      </w:r>
      <w:r w:rsidR="00754050">
        <w:t xml:space="preserve">nd Skinner 2000, Beaver 2002 and </w:t>
      </w:r>
      <w:r w:rsidRPr="008126EB">
        <w:t xml:space="preserve">Myers </w:t>
      </w:r>
      <w:r w:rsidR="00754050">
        <w:rPr>
          <w:i/>
        </w:rPr>
        <w:t>et al.</w:t>
      </w:r>
      <w:r w:rsidRPr="008126EB">
        <w:t xml:space="preserve"> 2007).</w:t>
      </w:r>
    </w:p>
    <w:p w:rsidR="00754050" w:rsidRDefault="00754050" w:rsidP="00403A8F">
      <w:pPr>
        <w:widowControl/>
        <w:adjustRightInd w:val="0"/>
        <w:snapToGrid w:val="0"/>
        <w:spacing w:line="288" w:lineRule="auto"/>
        <w:jc w:val="both"/>
      </w:pPr>
    </w:p>
    <w:p w:rsidR="00754050" w:rsidRDefault="00754050" w:rsidP="00754050">
      <w:pPr>
        <w:snapToGrid w:val="0"/>
        <w:spacing w:line="288" w:lineRule="auto"/>
        <w:jc w:val="both"/>
      </w:pPr>
      <w:r>
        <w:tab/>
        <w:t xml:space="preserve">Referring to </w:t>
      </w:r>
      <w:r w:rsidRPr="008126EB">
        <w:rPr>
          <w:rFonts w:hint="eastAsia"/>
        </w:rPr>
        <w:t>the QR estimates</w:t>
      </w:r>
      <w:r>
        <w:t xml:space="preserve"> </w:t>
      </w:r>
      <w:r w:rsidRPr="008126EB">
        <w:t xml:space="preserve">illustrated in Table 2, the </w:t>
      </w:r>
      <w:r w:rsidRPr="008126EB">
        <w:rPr>
          <w:rFonts w:hint="eastAsia"/>
          <w:i/>
        </w:rPr>
        <w:t>|DA|</w:t>
      </w:r>
      <w:r w:rsidRPr="008126EB">
        <w:t xml:space="preserve"> coefficients are significantly negative </w:t>
      </w:r>
      <w:r>
        <w:t>in low</w:t>
      </w:r>
      <w:r w:rsidRPr="008126EB">
        <w:t xml:space="preserve"> </w:t>
      </w:r>
      <w:r w:rsidRPr="008126EB">
        <w:rPr>
          <w:rFonts w:hint="eastAsia"/>
          <w:i/>
        </w:rPr>
        <w:t>RETURN</w:t>
      </w:r>
      <w:r w:rsidRPr="008126EB">
        <w:t xml:space="preserve"> quantiles. However, </w:t>
      </w:r>
      <w:r>
        <w:rPr>
          <w:rFonts w:hint="eastAsia"/>
        </w:rPr>
        <w:t>the</w:t>
      </w:r>
      <w:r>
        <w:t xml:space="preserve">se coefficients </w:t>
      </w:r>
      <w:r w:rsidRPr="008126EB">
        <w:t xml:space="preserve">become insignificant </w:t>
      </w:r>
      <w:r>
        <w:t xml:space="preserve">in middle </w:t>
      </w:r>
      <w:r w:rsidRPr="008126EB">
        <w:rPr>
          <w:rFonts w:hint="eastAsia"/>
          <w:i/>
        </w:rPr>
        <w:t>RETURN</w:t>
      </w:r>
      <w:r w:rsidRPr="008126EB">
        <w:t xml:space="preserve"> quantiles. </w:t>
      </w:r>
      <w:r>
        <w:t>Moreover</w:t>
      </w:r>
      <w:r w:rsidRPr="008126EB">
        <w:t xml:space="preserve">, </w:t>
      </w:r>
      <w:r w:rsidRPr="008126EB">
        <w:rPr>
          <w:rFonts w:hint="eastAsia"/>
          <w:i/>
        </w:rPr>
        <w:t>|DA|</w:t>
      </w:r>
      <w:r w:rsidRPr="008126EB">
        <w:t xml:space="preserve"> coefficien</w:t>
      </w:r>
      <w:r>
        <w:t xml:space="preserve">ts turn significantly positive in high </w:t>
      </w:r>
      <w:r w:rsidRPr="008126EB">
        <w:rPr>
          <w:rFonts w:hint="eastAsia"/>
          <w:i/>
        </w:rPr>
        <w:t>RETURN</w:t>
      </w:r>
      <w:r w:rsidRPr="008126EB">
        <w:t xml:space="preserve"> quantiles.</w:t>
      </w:r>
      <w:r>
        <w:t xml:space="preserve"> In the Table, we also present the results from the </w:t>
      </w:r>
      <w:r w:rsidRPr="008126EB">
        <w:t>test</w:t>
      </w:r>
      <w:r>
        <w:rPr>
          <w:rFonts w:hint="eastAsia"/>
        </w:rPr>
        <w:t xml:space="preserve"> </w:t>
      </w:r>
      <w:r>
        <w:t xml:space="preserve">of </w:t>
      </w:r>
      <w:r w:rsidRPr="008126EB">
        <w:t xml:space="preserve">equality-of-slope parameters across </w:t>
      </w:r>
      <w:r>
        <w:t xml:space="preserve">various </w:t>
      </w:r>
      <w:r w:rsidRPr="008126EB">
        <w:t>quantiles</w:t>
      </w:r>
      <w:r>
        <w:t xml:space="preserve"> i</w:t>
      </w:r>
      <w:r w:rsidRPr="008126EB">
        <w:t xml:space="preserve">n the two right-most columns of </w:t>
      </w:r>
      <w:r>
        <w:t>t</w:t>
      </w:r>
      <w:r w:rsidRPr="008126EB">
        <w:t xml:space="preserve">able. </w:t>
      </w:r>
      <w:r>
        <w:t>T</w:t>
      </w:r>
      <w:r>
        <w:rPr>
          <w:rFonts w:hint="eastAsia"/>
        </w:rPr>
        <w:t>he</w:t>
      </w:r>
      <w:r>
        <w:t>se</w:t>
      </w:r>
      <w:r>
        <w:rPr>
          <w:rFonts w:hint="eastAsia"/>
        </w:rPr>
        <w:t xml:space="preserve"> statistics show t</w:t>
      </w:r>
      <w:r w:rsidRPr="008126EB">
        <w:t xml:space="preserve">he </w:t>
      </w:r>
      <w:r>
        <w:t>inequalit</w:t>
      </w:r>
      <w:r>
        <w:rPr>
          <w:rFonts w:hint="eastAsia"/>
        </w:rPr>
        <w:t xml:space="preserve">ies of the </w:t>
      </w:r>
      <w:r w:rsidRPr="0080640D">
        <w:rPr>
          <w:rFonts w:hint="eastAsia"/>
          <w:i/>
        </w:rPr>
        <w:t>|DA|</w:t>
      </w:r>
      <w:r>
        <w:rPr>
          <w:rFonts w:hint="eastAsia"/>
        </w:rPr>
        <w:t xml:space="preserve"> coefficient </w:t>
      </w:r>
      <w:r w:rsidRPr="008126EB">
        <w:t xml:space="preserve">between the </w:t>
      </w:r>
      <w:r w:rsidRPr="008126EB">
        <w:rPr>
          <w:i/>
        </w:rPr>
        <w:t>θ</w:t>
      </w:r>
      <w:r w:rsidRPr="008126EB">
        <w:t xml:space="preserve"> </w:t>
      </w:r>
      <w:r>
        <w:t>and</w:t>
      </w:r>
      <w:r w:rsidRPr="008126EB">
        <w:t xml:space="preserve"> (1-</w:t>
      </w:r>
      <w:r w:rsidRPr="008126EB">
        <w:rPr>
          <w:i/>
        </w:rPr>
        <w:t>θ</w:t>
      </w:r>
      <w:r w:rsidRPr="008126EB">
        <w:t xml:space="preserve">) quantiles. </w:t>
      </w:r>
      <w:r>
        <w:t>Based on</w:t>
      </w:r>
      <w:r w:rsidRPr="008126EB">
        <w:t xml:space="preserve"> </w:t>
      </w:r>
      <w:r w:rsidRPr="008126EB">
        <w:rPr>
          <w:i/>
        </w:rPr>
        <w:t>F</w:t>
      </w:r>
      <w:r w:rsidRPr="008126EB">
        <w:t xml:space="preserve"> </w:t>
      </w:r>
      <w:r>
        <w:t>statistics</w:t>
      </w:r>
      <w:r w:rsidRPr="008126EB">
        <w:t xml:space="preserve">, </w:t>
      </w:r>
      <w:r>
        <w:t xml:space="preserve">it shows that </w:t>
      </w:r>
      <w:r>
        <w:rPr>
          <w:rFonts w:hint="eastAsia"/>
        </w:rPr>
        <w:t xml:space="preserve">the </w:t>
      </w:r>
      <w:r>
        <w:t xml:space="preserve">pattern of </w:t>
      </w:r>
      <w:r w:rsidRPr="0025734B">
        <w:t xml:space="preserve">quantile-varying </w:t>
      </w:r>
      <w:r>
        <w:t xml:space="preserve">coefficient on </w:t>
      </w:r>
      <w:r w:rsidRPr="0080640D">
        <w:rPr>
          <w:rFonts w:hint="eastAsia"/>
          <w:i/>
        </w:rPr>
        <w:t>|DA|</w:t>
      </w:r>
      <w:r>
        <w:rPr>
          <w:rFonts w:hint="eastAsia"/>
        </w:rPr>
        <w:t xml:space="preserve"> is </w:t>
      </w:r>
      <w:r w:rsidRPr="008126EB">
        <w:t xml:space="preserve">significant at the </w:t>
      </w:r>
      <w:r w:rsidRPr="008126EB">
        <w:rPr>
          <w:rFonts w:hint="eastAsia"/>
        </w:rPr>
        <w:t>1</w:t>
      </w:r>
      <w:r w:rsidRPr="008126EB">
        <w:t>% level.</w:t>
      </w:r>
    </w:p>
    <w:p w:rsidR="00754050" w:rsidRDefault="00754050" w:rsidP="00403A8F">
      <w:pPr>
        <w:widowControl/>
        <w:adjustRightInd w:val="0"/>
        <w:snapToGrid w:val="0"/>
        <w:spacing w:line="288" w:lineRule="auto"/>
        <w:jc w:val="both"/>
      </w:pPr>
    </w:p>
    <w:p w:rsidR="00403A8F" w:rsidRPr="008126EB" w:rsidRDefault="00403A8F" w:rsidP="00403A8F">
      <w:pPr>
        <w:widowControl/>
        <w:adjustRightInd w:val="0"/>
        <w:snapToGrid w:val="0"/>
        <w:spacing w:line="288" w:lineRule="auto"/>
        <w:jc w:val="both"/>
      </w:pPr>
    </w:p>
    <w:p w:rsidR="00754050" w:rsidRDefault="00754050">
      <w:pPr>
        <w:widowControl/>
        <w:spacing w:after="160" w:line="259" w:lineRule="auto"/>
        <w:rPr>
          <w:rFonts w:eastAsia="DFKai-SB"/>
          <w:b/>
          <w:sz w:val="22"/>
          <w:szCs w:val="22"/>
        </w:rPr>
      </w:pPr>
      <w:bookmarkStart w:id="1" w:name="_Toc358302843"/>
      <w:bookmarkStart w:id="2" w:name="_Toc359095293"/>
      <w:r>
        <w:rPr>
          <w:rFonts w:eastAsia="DFKai-SB"/>
          <w:b/>
          <w:sz w:val="22"/>
          <w:szCs w:val="22"/>
        </w:rPr>
        <w:br w:type="page"/>
      </w:r>
    </w:p>
    <w:p w:rsidR="00FE1E17" w:rsidRPr="00754050" w:rsidRDefault="00FE1E17" w:rsidP="00FE1E17">
      <w:pPr>
        <w:snapToGrid w:val="0"/>
        <w:spacing w:line="0" w:lineRule="atLeast"/>
        <w:jc w:val="center"/>
        <w:rPr>
          <w:rFonts w:eastAsia="DFKai-SB"/>
          <w:b/>
          <w:sz w:val="22"/>
          <w:szCs w:val="22"/>
        </w:rPr>
      </w:pPr>
      <w:r w:rsidRPr="00754050">
        <w:rPr>
          <w:rFonts w:eastAsia="DFKai-SB"/>
          <w:b/>
          <w:sz w:val="22"/>
          <w:szCs w:val="22"/>
        </w:rPr>
        <w:lastRenderedPageBreak/>
        <w:t xml:space="preserve">Table </w:t>
      </w:r>
      <w:r w:rsidRPr="00754050">
        <w:rPr>
          <w:rFonts w:eastAsia="DFKai-SB" w:hint="eastAsia"/>
          <w:b/>
          <w:sz w:val="22"/>
          <w:szCs w:val="22"/>
        </w:rPr>
        <w:t>2</w:t>
      </w:r>
      <w:r w:rsidR="00754050">
        <w:rPr>
          <w:rFonts w:eastAsia="DFKai-SB"/>
          <w:b/>
          <w:sz w:val="22"/>
          <w:szCs w:val="22"/>
        </w:rPr>
        <w:t>:</w:t>
      </w:r>
      <w:r w:rsidRPr="00754050">
        <w:rPr>
          <w:rFonts w:eastAsia="DFKai-SB"/>
          <w:b/>
          <w:sz w:val="22"/>
          <w:szCs w:val="22"/>
        </w:rPr>
        <w:t xml:space="preserve"> The </w:t>
      </w:r>
      <w:r w:rsidRPr="00754050">
        <w:rPr>
          <w:rFonts w:hint="eastAsia"/>
          <w:b/>
          <w:sz w:val="22"/>
          <w:szCs w:val="22"/>
        </w:rPr>
        <w:t>|</w:t>
      </w:r>
      <w:r w:rsidRPr="00754050">
        <w:rPr>
          <w:b/>
          <w:i/>
          <w:sz w:val="22"/>
          <w:szCs w:val="22"/>
        </w:rPr>
        <w:t>DA</w:t>
      </w:r>
      <w:r w:rsidRPr="00754050">
        <w:rPr>
          <w:rFonts w:hint="eastAsia"/>
          <w:b/>
          <w:i/>
          <w:sz w:val="22"/>
          <w:szCs w:val="22"/>
        </w:rPr>
        <w:t>|</w:t>
      </w:r>
      <w:r w:rsidRPr="00754050">
        <w:rPr>
          <w:b/>
          <w:sz w:val="22"/>
          <w:szCs w:val="22"/>
        </w:rPr>
        <w:t>–</w:t>
      </w:r>
      <w:r w:rsidRPr="00754050">
        <w:rPr>
          <w:rFonts w:hint="eastAsia"/>
          <w:b/>
          <w:i/>
          <w:sz w:val="22"/>
          <w:szCs w:val="22"/>
        </w:rPr>
        <w:t>RETURN</w:t>
      </w:r>
      <w:r w:rsidR="00754050">
        <w:rPr>
          <w:b/>
          <w:sz w:val="22"/>
          <w:szCs w:val="22"/>
        </w:rPr>
        <w:t xml:space="preserve"> R</w:t>
      </w:r>
      <w:r w:rsidRPr="00754050">
        <w:rPr>
          <w:b/>
          <w:sz w:val="22"/>
          <w:szCs w:val="22"/>
        </w:rPr>
        <w:t xml:space="preserve">elation </w:t>
      </w:r>
      <w:r w:rsidR="00754050">
        <w:rPr>
          <w:rFonts w:eastAsia="DFKai-SB"/>
          <w:b/>
          <w:sz w:val="22"/>
          <w:szCs w:val="22"/>
        </w:rPr>
        <w:t>A</w:t>
      </w:r>
      <w:r w:rsidRPr="00754050">
        <w:rPr>
          <w:rFonts w:eastAsia="DFKai-SB"/>
          <w:b/>
          <w:sz w:val="22"/>
          <w:szCs w:val="22"/>
        </w:rPr>
        <w:t xml:space="preserve">cross </w:t>
      </w:r>
      <w:r w:rsidR="00754050">
        <w:rPr>
          <w:rFonts w:eastAsia="DFKai-SB"/>
          <w:b/>
          <w:sz w:val="22"/>
          <w:szCs w:val="22"/>
        </w:rPr>
        <w:t>V</w:t>
      </w:r>
      <w:r w:rsidRPr="00754050">
        <w:rPr>
          <w:rFonts w:eastAsia="DFKai-SB"/>
          <w:b/>
          <w:sz w:val="22"/>
          <w:szCs w:val="22"/>
        </w:rPr>
        <w:t xml:space="preserve">arious </w:t>
      </w:r>
      <w:r w:rsidR="00754050">
        <w:rPr>
          <w:rFonts w:eastAsia="DFKai-SB"/>
          <w:b/>
          <w:sz w:val="22"/>
          <w:szCs w:val="22"/>
        </w:rPr>
        <w:t>Q</w:t>
      </w:r>
      <w:r w:rsidRPr="00754050">
        <w:rPr>
          <w:rFonts w:eastAsia="DFKai-SB"/>
          <w:b/>
          <w:sz w:val="22"/>
          <w:szCs w:val="22"/>
        </w:rPr>
        <w:t>uantiles</w:t>
      </w:r>
      <w:bookmarkEnd w:id="1"/>
      <w:bookmarkEnd w:id="2"/>
      <w:r w:rsidR="00754050">
        <w:rPr>
          <w:rFonts w:eastAsia="DFKai-SB"/>
          <w:b/>
          <w:sz w:val="22"/>
          <w:szCs w:val="22"/>
        </w:rPr>
        <w:t xml:space="preserve"> of Stock R</w:t>
      </w:r>
      <w:r w:rsidRPr="00754050">
        <w:rPr>
          <w:rFonts w:eastAsia="DFKai-SB"/>
          <w:b/>
          <w:sz w:val="22"/>
          <w:szCs w:val="22"/>
        </w:rPr>
        <w:t>eturns</w:t>
      </w:r>
    </w:p>
    <w:p w:rsidR="00FE1E17" w:rsidRPr="000D0C3B" w:rsidRDefault="00FE1E17" w:rsidP="00FE1E17">
      <w:pPr>
        <w:snapToGrid w:val="0"/>
        <w:spacing w:line="0" w:lineRule="atLeast"/>
        <w:jc w:val="center"/>
        <w:rPr>
          <w:rFonts w:eastAsia="DFKai-SB"/>
          <w:b/>
          <w:sz w:val="10"/>
          <w:szCs w:val="10"/>
        </w:rPr>
      </w:pPr>
    </w:p>
    <w:p w:rsidR="00FE1E17" w:rsidRPr="00754050" w:rsidRDefault="00FE1E17" w:rsidP="00FE1E17">
      <w:pPr>
        <w:spacing w:after="120"/>
        <w:jc w:val="center"/>
        <w:rPr>
          <w:sz w:val="22"/>
          <w:szCs w:val="22"/>
          <w:lang w:val="fr-FR"/>
        </w:rPr>
      </w:pPr>
      <w:r w:rsidRPr="00754050">
        <w:rPr>
          <w:rFonts w:eastAsia="DFKai-SB"/>
          <w:i/>
          <w:sz w:val="22"/>
          <w:szCs w:val="22"/>
          <w:lang w:val="fr-FR"/>
        </w:rPr>
        <w:t>RETURN</w:t>
      </w:r>
      <w:r w:rsidRPr="00754050">
        <w:rPr>
          <w:rFonts w:eastAsia="DFKai-SB"/>
          <w:i/>
          <w:sz w:val="22"/>
          <w:szCs w:val="22"/>
          <w:vertAlign w:val="subscript"/>
          <w:lang w:val="fr-FR"/>
        </w:rPr>
        <w:t>i,t</w:t>
      </w:r>
      <w:r w:rsidRPr="00754050">
        <w:rPr>
          <w:rFonts w:hint="eastAsia"/>
          <w:i/>
          <w:sz w:val="22"/>
          <w:szCs w:val="22"/>
          <w:vertAlign w:val="subscript"/>
          <w:lang w:val="fr-FR"/>
        </w:rPr>
        <w:t>+1</w:t>
      </w:r>
      <w:r w:rsidRPr="00754050">
        <w:rPr>
          <w:rFonts w:eastAsia="DFKai-SB"/>
          <w:sz w:val="22"/>
          <w:szCs w:val="22"/>
          <w:lang w:val="fr-FR"/>
        </w:rPr>
        <w:t xml:space="preserve"> =</w:t>
      </w:r>
      <w:r w:rsidRPr="00754050">
        <w:rPr>
          <w:rFonts w:eastAsia="DFKai-SB"/>
          <w:i/>
          <w:sz w:val="22"/>
          <w:szCs w:val="22"/>
          <w:lang w:val="fr-FR"/>
        </w:rPr>
        <w:t xml:space="preserve"> </w:t>
      </w:r>
      <w:r w:rsidRPr="00754050">
        <w:rPr>
          <w:i/>
          <w:sz w:val="22"/>
          <w:szCs w:val="22"/>
        </w:rPr>
        <w:sym w:font="Symbol" w:char="F062"/>
      </w:r>
      <w:r w:rsidRPr="00754050">
        <w:rPr>
          <w:rFonts w:eastAsia="DFKai-SB"/>
          <w:sz w:val="22"/>
          <w:szCs w:val="22"/>
          <w:vertAlign w:val="subscript"/>
          <w:lang w:val="fr-FR"/>
        </w:rPr>
        <w:t>0</w:t>
      </w:r>
      <w:r w:rsidRPr="00754050">
        <w:rPr>
          <w:rFonts w:eastAsia="DFKai-SB"/>
          <w:i/>
          <w:sz w:val="22"/>
          <w:szCs w:val="22"/>
          <w:lang w:val="fr-FR"/>
        </w:rPr>
        <w:t xml:space="preserve"> + </w:t>
      </w:r>
      <w:r w:rsidRPr="00754050">
        <w:rPr>
          <w:i/>
          <w:sz w:val="22"/>
          <w:szCs w:val="22"/>
        </w:rPr>
        <w:sym w:font="Symbol" w:char="F062"/>
      </w:r>
      <w:r w:rsidRPr="00754050">
        <w:rPr>
          <w:rFonts w:eastAsia="DFKai-SB"/>
          <w:sz w:val="22"/>
          <w:szCs w:val="22"/>
          <w:vertAlign w:val="subscript"/>
          <w:lang w:val="fr-FR"/>
        </w:rPr>
        <w:t xml:space="preserve">1 </w:t>
      </w:r>
      <w:r w:rsidRPr="00754050">
        <w:rPr>
          <w:rFonts w:eastAsia="DFKai-SB"/>
          <w:i/>
          <w:sz w:val="22"/>
          <w:szCs w:val="22"/>
          <w:lang w:val="fr-FR"/>
        </w:rPr>
        <w:t>|DA</w:t>
      </w:r>
      <w:r w:rsidRPr="00754050">
        <w:rPr>
          <w:rFonts w:eastAsia="DFKai-SB"/>
          <w:i/>
          <w:sz w:val="22"/>
          <w:szCs w:val="22"/>
          <w:vertAlign w:val="subscript"/>
          <w:lang w:val="fr-FR"/>
        </w:rPr>
        <w:t>i,t</w:t>
      </w:r>
      <w:r w:rsidRPr="00754050">
        <w:rPr>
          <w:rFonts w:eastAsia="DFKai-SB"/>
          <w:i/>
          <w:sz w:val="22"/>
          <w:szCs w:val="22"/>
          <w:lang w:val="fr-FR"/>
        </w:rPr>
        <w:t xml:space="preserve"> |+ </w:t>
      </w:r>
      <w:r w:rsidRPr="00754050">
        <w:rPr>
          <w:i/>
          <w:sz w:val="22"/>
          <w:szCs w:val="22"/>
        </w:rPr>
        <w:sym w:font="Symbol" w:char="F062"/>
      </w:r>
      <w:r w:rsidRPr="00754050">
        <w:rPr>
          <w:rFonts w:eastAsia="DFKai-SB"/>
          <w:sz w:val="22"/>
          <w:szCs w:val="22"/>
          <w:vertAlign w:val="subscript"/>
          <w:lang w:val="fr-FR"/>
        </w:rPr>
        <w:t xml:space="preserve">2 </w:t>
      </w:r>
      <w:r w:rsidRPr="00754050">
        <w:rPr>
          <w:rFonts w:eastAsia="DFKai-SB"/>
          <w:i/>
          <w:sz w:val="22"/>
          <w:szCs w:val="22"/>
          <w:lang w:val="fr-FR"/>
        </w:rPr>
        <w:t>MKT</w:t>
      </w:r>
      <w:r w:rsidRPr="00754050">
        <w:rPr>
          <w:rFonts w:eastAsia="DFKai-SB"/>
          <w:i/>
          <w:sz w:val="22"/>
          <w:szCs w:val="22"/>
          <w:vertAlign w:val="subscript"/>
          <w:lang w:val="fr-FR"/>
        </w:rPr>
        <w:t>t</w:t>
      </w:r>
      <w:r w:rsidRPr="00754050">
        <w:rPr>
          <w:rFonts w:eastAsia="DFKai-SB"/>
          <w:i/>
          <w:sz w:val="22"/>
          <w:szCs w:val="22"/>
          <w:lang w:val="fr-FR"/>
        </w:rPr>
        <w:t xml:space="preserve"> + </w:t>
      </w:r>
      <w:r w:rsidRPr="00754050">
        <w:rPr>
          <w:i/>
          <w:sz w:val="22"/>
          <w:szCs w:val="22"/>
        </w:rPr>
        <w:sym w:font="Symbol" w:char="F062"/>
      </w:r>
      <w:r w:rsidRPr="00754050">
        <w:rPr>
          <w:rFonts w:eastAsia="DFKai-SB"/>
          <w:sz w:val="22"/>
          <w:szCs w:val="22"/>
          <w:vertAlign w:val="subscript"/>
          <w:lang w:val="fr-FR"/>
        </w:rPr>
        <w:t xml:space="preserve">3 </w:t>
      </w:r>
      <w:r w:rsidRPr="00754050">
        <w:rPr>
          <w:rFonts w:eastAsia="DFKai-SB"/>
          <w:i/>
          <w:sz w:val="22"/>
          <w:szCs w:val="22"/>
          <w:lang w:val="fr-FR"/>
        </w:rPr>
        <w:t>SIZE</w:t>
      </w:r>
      <w:r w:rsidRPr="00754050">
        <w:rPr>
          <w:rFonts w:eastAsia="DFKai-SB"/>
          <w:i/>
          <w:sz w:val="22"/>
          <w:szCs w:val="22"/>
          <w:vertAlign w:val="subscript"/>
          <w:lang w:val="fr-FR"/>
        </w:rPr>
        <w:t>i,t</w:t>
      </w:r>
      <w:r w:rsidRPr="00754050">
        <w:rPr>
          <w:rFonts w:eastAsia="DFKai-SB"/>
          <w:i/>
          <w:sz w:val="22"/>
          <w:szCs w:val="22"/>
          <w:lang w:val="fr-FR"/>
        </w:rPr>
        <w:t xml:space="preserve"> +</w:t>
      </w:r>
      <w:r w:rsidRPr="00754050">
        <w:rPr>
          <w:i/>
          <w:sz w:val="22"/>
          <w:szCs w:val="22"/>
        </w:rPr>
        <w:sym w:font="Symbol" w:char="F062"/>
      </w:r>
      <w:r w:rsidRPr="00754050">
        <w:rPr>
          <w:rFonts w:eastAsia="DFKai-SB"/>
          <w:sz w:val="22"/>
          <w:szCs w:val="22"/>
          <w:vertAlign w:val="subscript"/>
          <w:lang w:val="fr-FR"/>
        </w:rPr>
        <w:t xml:space="preserve">4 </w:t>
      </w:r>
      <w:r w:rsidRPr="00754050">
        <w:rPr>
          <w:rFonts w:eastAsia="DFKai-SB"/>
          <w:i/>
          <w:sz w:val="22"/>
          <w:szCs w:val="22"/>
          <w:lang w:val="fr-FR"/>
        </w:rPr>
        <w:t>MB</w:t>
      </w:r>
      <w:r w:rsidRPr="00754050">
        <w:rPr>
          <w:rFonts w:eastAsia="DFKai-SB"/>
          <w:i/>
          <w:sz w:val="22"/>
          <w:szCs w:val="22"/>
          <w:vertAlign w:val="subscript"/>
          <w:lang w:val="fr-FR"/>
        </w:rPr>
        <w:t>i,t</w:t>
      </w:r>
      <w:r w:rsidRPr="00754050">
        <w:rPr>
          <w:rFonts w:eastAsia="DFKai-SB"/>
          <w:i/>
          <w:sz w:val="22"/>
          <w:szCs w:val="22"/>
          <w:lang w:val="fr-FR"/>
        </w:rPr>
        <w:t xml:space="preserve"> + </w:t>
      </w:r>
      <w:r w:rsidRPr="00754050">
        <w:rPr>
          <w:i/>
          <w:sz w:val="22"/>
          <w:szCs w:val="22"/>
        </w:rPr>
        <w:sym w:font="Symbol" w:char="F062"/>
      </w:r>
      <w:r w:rsidRPr="00754050">
        <w:rPr>
          <w:rFonts w:eastAsia="DFKai-SB"/>
          <w:sz w:val="22"/>
          <w:szCs w:val="22"/>
          <w:vertAlign w:val="subscript"/>
          <w:lang w:val="fr-FR"/>
        </w:rPr>
        <w:t xml:space="preserve">5 </w:t>
      </w:r>
      <w:r w:rsidRPr="00754050">
        <w:rPr>
          <w:rFonts w:eastAsia="DFKai-SB"/>
          <w:i/>
          <w:sz w:val="22"/>
          <w:szCs w:val="22"/>
          <w:lang w:val="fr-FR"/>
        </w:rPr>
        <w:t>MOM</w:t>
      </w:r>
      <w:r w:rsidRPr="00754050">
        <w:rPr>
          <w:rFonts w:eastAsia="DFKai-SB"/>
          <w:i/>
          <w:sz w:val="22"/>
          <w:szCs w:val="22"/>
          <w:vertAlign w:val="subscript"/>
          <w:lang w:val="fr-FR"/>
        </w:rPr>
        <w:t>i,t</w:t>
      </w:r>
      <w:r w:rsidRPr="00754050">
        <w:rPr>
          <w:rFonts w:eastAsia="DFKai-SB"/>
          <w:i/>
          <w:sz w:val="22"/>
          <w:szCs w:val="22"/>
          <w:lang w:val="fr-FR"/>
        </w:rPr>
        <w:t xml:space="preserve">+ </w:t>
      </w:r>
      <w:r w:rsidRPr="00754050">
        <w:rPr>
          <w:rFonts w:eastAsia="DFKai-SB" w:hint="eastAsia"/>
          <w:i/>
          <w:sz w:val="22"/>
          <w:szCs w:val="22"/>
        </w:rPr>
        <w:t>u</w:t>
      </w:r>
      <w:r w:rsidRPr="00754050">
        <w:rPr>
          <w:rFonts w:eastAsia="DFKai-SB"/>
          <w:i/>
          <w:sz w:val="22"/>
          <w:szCs w:val="22"/>
          <w:vertAlign w:val="subscript"/>
          <w:lang w:val="fr-FR"/>
        </w:rPr>
        <w:t>i,t</w:t>
      </w:r>
      <w:r w:rsidRPr="00754050">
        <w:rPr>
          <w:rFonts w:hint="eastAsia"/>
          <w:i/>
          <w:sz w:val="22"/>
          <w:szCs w:val="22"/>
          <w:vertAlign w:val="subscript"/>
          <w:lang w:val="fr-FR"/>
        </w:rPr>
        <w:t>+1</w:t>
      </w:r>
    </w:p>
    <w:tbl>
      <w:tblPr>
        <w:tblW w:w="5004" w:type="pct"/>
        <w:tblLayout w:type="fixed"/>
        <w:tblCellMar>
          <w:left w:w="0" w:type="dxa"/>
          <w:right w:w="0" w:type="dxa"/>
        </w:tblCellMar>
        <w:tblLook w:val="0000" w:firstRow="0" w:lastRow="0" w:firstColumn="0" w:lastColumn="0" w:noHBand="0" w:noVBand="0"/>
      </w:tblPr>
      <w:tblGrid>
        <w:gridCol w:w="926"/>
        <w:gridCol w:w="1866"/>
        <w:gridCol w:w="925"/>
        <w:gridCol w:w="1870"/>
        <w:gridCol w:w="1337"/>
        <w:gridCol w:w="2110"/>
      </w:tblGrid>
      <w:tr w:rsidR="00FE1E17" w:rsidRPr="002835EF" w:rsidTr="00583009">
        <w:trPr>
          <w:trHeight w:val="345"/>
        </w:trPr>
        <w:tc>
          <w:tcPr>
            <w:tcW w:w="3092" w:type="pct"/>
            <w:gridSpan w:val="4"/>
            <w:tcBorders>
              <w:top w:val="single" w:sz="12" w:space="0" w:color="auto"/>
              <w:left w:val="nil"/>
              <w:right w:val="single" w:sz="12" w:space="0" w:color="auto"/>
            </w:tcBorders>
            <w:shd w:val="clear" w:color="auto" w:fill="auto"/>
            <w:noWrap/>
            <w:vAlign w:val="center"/>
          </w:tcPr>
          <w:p w:rsidR="00FE1E17" w:rsidRPr="002835EF" w:rsidRDefault="00FE1E17" w:rsidP="00583009">
            <w:pPr>
              <w:ind w:left="-180"/>
              <w:jc w:val="center"/>
              <w:rPr>
                <w:rFonts w:eastAsia="DFKai-SB"/>
                <w:i/>
              </w:rPr>
            </w:pPr>
            <w:r w:rsidRPr="00227605">
              <w:rPr>
                <w:rFonts w:eastAsia="DFKai-SB"/>
                <w:i/>
                <w:sz w:val="22"/>
                <w:szCs w:val="22"/>
              </w:rPr>
              <w:t xml:space="preserve">Coefficient estimates on </w:t>
            </w:r>
            <w:r w:rsidRPr="00227605">
              <w:rPr>
                <w:rFonts w:hint="eastAsia"/>
                <w:i/>
                <w:sz w:val="22"/>
                <w:szCs w:val="22"/>
              </w:rPr>
              <w:t>|DA|</w:t>
            </w:r>
            <w:r>
              <w:rPr>
                <w:rFonts w:hint="eastAsia"/>
                <w:i/>
                <w:sz w:val="22"/>
                <w:szCs w:val="22"/>
              </w:rPr>
              <w:t>: QR</w:t>
            </w:r>
            <w:r w:rsidRPr="00227605">
              <w:rPr>
                <w:rFonts w:eastAsia="DFKai-SB"/>
                <w:i/>
                <w:sz w:val="22"/>
                <w:szCs w:val="22"/>
              </w:rPr>
              <w:t xml:space="preserve"> vs. OLS </w:t>
            </w:r>
          </w:p>
        </w:tc>
        <w:tc>
          <w:tcPr>
            <w:tcW w:w="1908" w:type="pct"/>
            <w:gridSpan w:val="2"/>
            <w:tcBorders>
              <w:top w:val="single" w:sz="12" w:space="0" w:color="auto"/>
              <w:left w:val="single" w:sz="12" w:space="0" w:color="auto"/>
              <w:right w:val="nil"/>
            </w:tcBorders>
            <w:shd w:val="clear" w:color="auto" w:fill="auto"/>
            <w:noWrap/>
            <w:vAlign w:val="center"/>
          </w:tcPr>
          <w:p w:rsidR="00FE1E17" w:rsidRPr="00227605" w:rsidRDefault="00FE1E17" w:rsidP="00583009">
            <w:pPr>
              <w:jc w:val="center"/>
              <w:rPr>
                <w:i/>
              </w:rPr>
            </w:pPr>
            <w:r w:rsidRPr="00227605">
              <w:rPr>
                <w:rFonts w:eastAsia="DFKai-SB"/>
                <w:i/>
                <w:sz w:val="22"/>
                <w:szCs w:val="22"/>
              </w:rPr>
              <w:t xml:space="preserve">Tests of equality </w:t>
            </w:r>
            <w:r>
              <w:rPr>
                <w:rFonts w:hint="eastAsia"/>
                <w:i/>
                <w:sz w:val="22"/>
                <w:szCs w:val="22"/>
              </w:rPr>
              <w:t>across quantiles</w:t>
            </w:r>
          </w:p>
        </w:tc>
      </w:tr>
      <w:tr w:rsidR="00FE1E17" w:rsidRPr="002835EF" w:rsidTr="00583009">
        <w:trPr>
          <w:trHeight w:val="345"/>
        </w:trPr>
        <w:tc>
          <w:tcPr>
            <w:tcW w:w="512" w:type="pct"/>
            <w:tcBorders>
              <w:top w:val="nil"/>
              <w:left w:val="nil"/>
              <w:bottom w:val="single" w:sz="8" w:space="0" w:color="auto"/>
              <w:right w:val="nil"/>
            </w:tcBorders>
            <w:shd w:val="clear" w:color="auto" w:fill="auto"/>
            <w:noWrap/>
            <w:vAlign w:val="center"/>
          </w:tcPr>
          <w:p w:rsidR="00FE1E17" w:rsidRPr="008D0208" w:rsidRDefault="00FE1E17" w:rsidP="00583009">
            <w:pPr>
              <w:jc w:val="center"/>
              <w:rPr>
                <w:i/>
              </w:rPr>
            </w:pPr>
            <w:r w:rsidRPr="002835EF">
              <w:rPr>
                <w:rFonts w:eastAsia="DFKai-SB"/>
                <w:i/>
                <w:sz w:val="22"/>
                <w:szCs w:val="22"/>
              </w:rPr>
              <w:t>Quant</w:t>
            </w:r>
            <w:r>
              <w:rPr>
                <w:rFonts w:hint="eastAsia"/>
                <w:i/>
                <w:sz w:val="22"/>
                <w:szCs w:val="22"/>
              </w:rPr>
              <w:t>.</w:t>
            </w:r>
          </w:p>
        </w:tc>
        <w:tc>
          <w:tcPr>
            <w:tcW w:w="1033" w:type="pct"/>
            <w:tcBorders>
              <w:top w:val="nil"/>
              <w:left w:val="nil"/>
              <w:bottom w:val="single" w:sz="8" w:space="0" w:color="auto"/>
              <w:right w:val="nil"/>
            </w:tcBorders>
            <w:shd w:val="clear" w:color="auto" w:fill="auto"/>
            <w:noWrap/>
            <w:vAlign w:val="center"/>
          </w:tcPr>
          <w:p w:rsidR="00FE1E17" w:rsidRPr="002835EF" w:rsidRDefault="00FE1E17" w:rsidP="00583009">
            <w:pPr>
              <w:jc w:val="center"/>
              <w:rPr>
                <w:rFonts w:eastAsia="DFKai-SB"/>
                <w:i/>
              </w:rPr>
            </w:pPr>
            <w:r>
              <w:rPr>
                <w:rFonts w:hint="eastAsia"/>
                <w:i/>
                <w:sz w:val="22"/>
                <w:szCs w:val="22"/>
              </w:rPr>
              <w:t>Coeff.</w:t>
            </w:r>
            <w:r w:rsidRPr="002835EF">
              <w:rPr>
                <w:rFonts w:eastAsia="DFKai-SB"/>
                <w:i/>
                <w:sz w:val="22"/>
                <w:szCs w:val="22"/>
              </w:rPr>
              <w:t xml:space="preserve"> (p-value)</w:t>
            </w:r>
          </w:p>
        </w:tc>
        <w:tc>
          <w:tcPr>
            <w:tcW w:w="512" w:type="pct"/>
            <w:tcBorders>
              <w:top w:val="nil"/>
              <w:left w:val="nil"/>
              <w:bottom w:val="single" w:sz="8" w:space="0" w:color="auto"/>
              <w:right w:val="nil"/>
            </w:tcBorders>
            <w:shd w:val="clear" w:color="auto" w:fill="auto"/>
            <w:noWrap/>
            <w:vAlign w:val="center"/>
          </w:tcPr>
          <w:p w:rsidR="00FE1E17" w:rsidRPr="008D0208" w:rsidRDefault="00FE1E17" w:rsidP="00583009">
            <w:pPr>
              <w:jc w:val="center"/>
              <w:rPr>
                <w:i/>
              </w:rPr>
            </w:pPr>
            <w:r w:rsidRPr="002835EF">
              <w:rPr>
                <w:rFonts w:eastAsia="DFKai-SB"/>
                <w:i/>
                <w:sz w:val="22"/>
                <w:szCs w:val="22"/>
              </w:rPr>
              <w:t>Quant</w:t>
            </w:r>
            <w:r>
              <w:rPr>
                <w:rFonts w:hint="eastAsia"/>
                <w:i/>
                <w:sz w:val="22"/>
                <w:szCs w:val="22"/>
              </w:rPr>
              <w:t>.</w:t>
            </w:r>
          </w:p>
        </w:tc>
        <w:tc>
          <w:tcPr>
            <w:tcW w:w="1035" w:type="pct"/>
            <w:tcBorders>
              <w:top w:val="nil"/>
              <w:left w:val="nil"/>
              <w:bottom w:val="single" w:sz="8" w:space="0" w:color="auto"/>
              <w:right w:val="single" w:sz="12" w:space="0" w:color="auto"/>
            </w:tcBorders>
            <w:shd w:val="clear" w:color="auto" w:fill="auto"/>
            <w:noWrap/>
            <w:vAlign w:val="center"/>
          </w:tcPr>
          <w:p w:rsidR="00FE1E17" w:rsidRPr="002835EF" w:rsidRDefault="00FE1E17" w:rsidP="00583009">
            <w:pPr>
              <w:jc w:val="center"/>
              <w:rPr>
                <w:rFonts w:eastAsia="DFKai-SB"/>
                <w:i/>
              </w:rPr>
            </w:pPr>
            <w:r>
              <w:rPr>
                <w:rFonts w:hint="eastAsia"/>
                <w:i/>
                <w:sz w:val="22"/>
                <w:szCs w:val="22"/>
              </w:rPr>
              <w:t>Coeff.</w:t>
            </w:r>
            <w:r w:rsidRPr="002835EF">
              <w:rPr>
                <w:rFonts w:eastAsia="DFKai-SB"/>
                <w:i/>
                <w:sz w:val="22"/>
                <w:szCs w:val="22"/>
              </w:rPr>
              <w:t xml:space="preserve"> (p-value)</w:t>
            </w:r>
          </w:p>
        </w:tc>
        <w:tc>
          <w:tcPr>
            <w:tcW w:w="740" w:type="pct"/>
            <w:tcBorders>
              <w:top w:val="nil"/>
              <w:left w:val="single" w:sz="12" w:space="0" w:color="auto"/>
              <w:bottom w:val="single" w:sz="8" w:space="0" w:color="auto"/>
              <w:right w:val="nil"/>
            </w:tcBorders>
            <w:shd w:val="clear" w:color="auto" w:fill="auto"/>
            <w:noWrap/>
            <w:vAlign w:val="center"/>
          </w:tcPr>
          <w:p w:rsidR="00FE1E17" w:rsidRPr="008D0208" w:rsidRDefault="00FE1E17" w:rsidP="00583009">
            <w:pPr>
              <w:jc w:val="center"/>
              <w:rPr>
                <w:i/>
              </w:rPr>
            </w:pPr>
            <w:r w:rsidRPr="002835EF">
              <w:rPr>
                <w:rFonts w:eastAsia="DFKai-SB"/>
                <w:i/>
                <w:sz w:val="22"/>
                <w:szCs w:val="22"/>
              </w:rPr>
              <w:t>Quant</w:t>
            </w:r>
            <w:r>
              <w:rPr>
                <w:rFonts w:hint="eastAsia"/>
                <w:i/>
                <w:sz w:val="22"/>
                <w:szCs w:val="22"/>
              </w:rPr>
              <w:t>.</w:t>
            </w:r>
          </w:p>
        </w:tc>
        <w:tc>
          <w:tcPr>
            <w:tcW w:w="1168" w:type="pct"/>
            <w:tcBorders>
              <w:top w:val="nil"/>
              <w:left w:val="nil"/>
              <w:bottom w:val="single" w:sz="8" w:space="0" w:color="auto"/>
              <w:right w:val="nil"/>
            </w:tcBorders>
            <w:shd w:val="clear" w:color="auto" w:fill="auto"/>
            <w:noWrap/>
            <w:vAlign w:val="center"/>
          </w:tcPr>
          <w:p w:rsidR="00FE1E17" w:rsidRPr="002835EF" w:rsidRDefault="00FE1E17" w:rsidP="00583009">
            <w:pPr>
              <w:jc w:val="center"/>
              <w:rPr>
                <w:rFonts w:eastAsia="DFKai-SB"/>
                <w:i/>
              </w:rPr>
            </w:pPr>
            <w:r>
              <w:rPr>
                <w:rFonts w:hint="eastAsia"/>
                <w:i/>
                <w:sz w:val="22"/>
                <w:szCs w:val="22"/>
              </w:rPr>
              <w:t>F-statistic</w:t>
            </w:r>
            <w:r w:rsidRPr="002835EF">
              <w:rPr>
                <w:rFonts w:eastAsia="DFKai-SB"/>
                <w:i/>
                <w:sz w:val="22"/>
                <w:szCs w:val="22"/>
              </w:rPr>
              <w:t xml:space="preserve"> (p-value)</w:t>
            </w:r>
          </w:p>
        </w:tc>
      </w:tr>
      <w:tr w:rsidR="00FE1E17" w:rsidRPr="002835EF" w:rsidTr="00583009">
        <w:trPr>
          <w:trHeight w:val="397"/>
        </w:trPr>
        <w:tc>
          <w:tcPr>
            <w:tcW w:w="512" w:type="pct"/>
            <w:tcBorders>
              <w:top w:val="single" w:sz="8" w:space="0" w:color="auto"/>
              <w:left w:val="nil"/>
              <w:bottom w:val="nil"/>
              <w:right w:val="nil"/>
            </w:tcBorders>
            <w:shd w:val="clear" w:color="auto" w:fill="auto"/>
            <w:noWrap/>
            <w:vAlign w:val="center"/>
          </w:tcPr>
          <w:p w:rsidR="00FE1E17" w:rsidRPr="00E12CF3" w:rsidRDefault="00FE1E17" w:rsidP="00583009">
            <w:pPr>
              <w:adjustRightInd w:val="0"/>
              <w:snapToGrid w:val="0"/>
              <w:spacing w:before="120"/>
              <w:jc w:val="center"/>
            </w:pPr>
            <w:r w:rsidRPr="002835EF">
              <w:rPr>
                <w:rFonts w:eastAsia="DFKai-SB"/>
                <w:sz w:val="22"/>
                <w:szCs w:val="22"/>
              </w:rPr>
              <w:t>5</w:t>
            </w:r>
            <w:r>
              <w:rPr>
                <w:rFonts w:hint="eastAsia"/>
                <w:sz w:val="22"/>
                <w:szCs w:val="22"/>
              </w:rPr>
              <w:t>%</w:t>
            </w:r>
          </w:p>
        </w:tc>
        <w:tc>
          <w:tcPr>
            <w:tcW w:w="1033" w:type="pct"/>
            <w:tcBorders>
              <w:top w:val="single" w:sz="8" w:space="0" w:color="auto"/>
              <w:left w:val="nil"/>
              <w:bottom w:val="nil"/>
              <w:right w:val="nil"/>
            </w:tcBorders>
            <w:shd w:val="clear" w:color="auto" w:fill="auto"/>
            <w:noWrap/>
          </w:tcPr>
          <w:p w:rsidR="00FE1E17" w:rsidRPr="002835EF" w:rsidRDefault="00FE1E17" w:rsidP="00583009">
            <w:pPr>
              <w:adjustRightInd w:val="0"/>
              <w:snapToGrid w:val="0"/>
              <w:spacing w:before="120"/>
              <w:jc w:val="center"/>
              <w:rPr>
                <w:rFonts w:eastAsia="DFKai-SB"/>
              </w:rPr>
            </w:pPr>
            <w:r w:rsidRPr="002835EF">
              <w:rPr>
                <w:rFonts w:eastAsia="DFKai-SB"/>
                <w:kern w:val="0"/>
                <w:sz w:val="22"/>
                <w:szCs w:val="22"/>
              </w:rPr>
              <w:t>-0.646</w:t>
            </w:r>
            <w:r w:rsidRPr="002835EF">
              <w:rPr>
                <w:rFonts w:eastAsia="DFKai-SB"/>
                <w:sz w:val="22"/>
                <w:szCs w:val="22"/>
              </w:rPr>
              <w:t xml:space="preserve"> (0.000)</w:t>
            </w:r>
            <w:r w:rsidRPr="002835EF">
              <w:rPr>
                <w:rFonts w:eastAsia="DFKai-SB" w:hint="eastAsia"/>
                <w:sz w:val="22"/>
                <w:szCs w:val="22"/>
              </w:rPr>
              <w:t>**</w:t>
            </w:r>
          </w:p>
        </w:tc>
        <w:tc>
          <w:tcPr>
            <w:tcW w:w="512" w:type="pct"/>
            <w:tcBorders>
              <w:top w:val="single" w:sz="8" w:space="0" w:color="auto"/>
              <w:left w:val="nil"/>
              <w:bottom w:val="nil"/>
              <w:right w:val="nil"/>
            </w:tcBorders>
            <w:shd w:val="clear" w:color="auto" w:fill="auto"/>
            <w:noWrap/>
            <w:vAlign w:val="center"/>
          </w:tcPr>
          <w:p w:rsidR="00FE1E17" w:rsidRPr="00E12CF3" w:rsidRDefault="00FE1E17" w:rsidP="00583009">
            <w:pPr>
              <w:adjustRightInd w:val="0"/>
              <w:snapToGrid w:val="0"/>
              <w:spacing w:before="120"/>
              <w:jc w:val="center"/>
            </w:pPr>
            <w:r w:rsidRPr="002835EF">
              <w:rPr>
                <w:rFonts w:eastAsia="DFKai-SB"/>
                <w:sz w:val="22"/>
                <w:szCs w:val="22"/>
              </w:rPr>
              <w:t>95</w:t>
            </w:r>
            <w:r>
              <w:rPr>
                <w:rFonts w:hint="eastAsia"/>
                <w:sz w:val="22"/>
                <w:szCs w:val="22"/>
              </w:rPr>
              <w:t>%</w:t>
            </w:r>
          </w:p>
        </w:tc>
        <w:tc>
          <w:tcPr>
            <w:tcW w:w="1035" w:type="pct"/>
            <w:tcBorders>
              <w:top w:val="single" w:sz="8" w:space="0" w:color="auto"/>
              <w:left w:val="nil"/>
              <w:bottom w:val="nil"/>
              <w:right w:val="single" w:sz="12" w:space="0" w:color="auto"/>
            </w:tcBorders>
            <w:shd w:val="clear" w:color="auto" w:fill="auto"/>
            <w:noWrap/>
            <w:vAlign w:val="center"/>
          </w:tcPr>
          <w:p w:rsidR="00FE1E17" w:rsidRPr="002835EF" w:rsidRDefault="00FE1E17" w:rsidP="00583009">
            <w:pPr>
              <w:adjustRightInd w:val="0"/>
              <w:snapToGrid w:val="0"/>
              <w:spacing w:before="120"/>
              <w:jc w:val="center"/>
              <w:rPr>
                <w:rFonts w:eastAsia="DFKai-SB"/>
              </w:rPr>
            </w:pPr>
            <w:r w:rsidRPr="002835EF">
              <w:rPr>
                <w:rFonts w:eastAsia="DFKai-SB"/>
                <w:kern w:val="0"/>
                <w:sz w:val="22"/>
                <w:szCs w:val="22"/>
              </w:rPr>
              <w:t>2.586</w:t>
            </w:r>
            <w:r w:rsidRPr="002835EF">
              <w:rPr>
                <w:rFonts w:eastAsia="DFKai-SB"/>
                <w:sz w:val="22"/>
                <w:szCs w:val="22"/>
              </w:rPr>
              <w:t xml:space="preserve"> (0.000)</w:t>
            </w:r>
            <w:r w:rsidRPr="002835EF">
              <w:rPr>
                <w:rFonts w:eastAsia="DFKai-SB" w:hint="eastAsia"/>
                <w:sz w:val="22"/>
                <w:szCs w:val="22"/>
              </w:rPr>
              <w:t>**</w:t>
            </w:r>
          </w:p>
        </w:tc>
        <w:tc>
          <w:tcPr>
            <w:tcW w:w="740" w:type="pct"/>
            <w:tcBorders>
              <w:top w:val="single" w:sz="8" w:space="0" w:color="auto"/>
              <w:left w:val="single" w:sz="12" w:space="0" w:color="auto"/>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5</w:t>
            </w:r>
            <w:r>
              <w:rPr>
                <w:rFonts w:hint="eastAsia"/>
                <w:sz w:val="22"/>
                <w:szCs w:val="22"/>
              </w:rPr>
              <w:t>%</w:t>
            </w:r>
            <w:r w:rsidRPr="002835EF">
              <w:rPr>
                <w:rFonts w:eastAsia="DFKai-SB"/>
                <w:sz w:val="22"/>
                <w:szCs w:val="22"/>
              </w:rPr>
              <w:t xml:space="preserve"> </w:t>
            </w:r>
            <w:r>
              <w:rPr>
                <w:rFonts w:hint="eastAsia"/>
                <w:sz w:val="22"/>
                <w:szCs w:val="22"/>
              </w:rPr>
              <w:t xml:space="preserve">vs. </w:t>
            </w:r>
            <w:r w:rsidRPr="002835EF">
              <w:rPr>
                <w:rFonts w:eastAsia="DFKai-SB"/>
                <w:sz w:val="22"/>
                <w:szCs w:val="22"/>
              </w:rPr>
              <w:t>95</w:t>
            </w:r>
            <w:r>
              <w:rPr>
                <w:rFonts w:hint="eastAsia"/>
                <w:sz w:val="22"/>
                <w:szCs w:val="22"/>
              </w:rPr>
              <w:t>%</w:t>
            </w:r>
          </w:p>
        </w:tc>
        <w:tc>
          <w:tcPr>
            <w:tcW w:w="1168" w:type="pct"/>
            <w:tcBorders>
              <w:top w:val="single" w:sz="8" w:space="0" w:color="auto"/>
              <w:left w:val="nil"/>
              <w:bottom w:val="nil"/>
              <w:right w:val="nil"/>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sz w:val="22"/>
                <w:szCs w:val="22"/>
              </w:rPr>
              <w:t>31.86 (0.0000)</w:t>
            </w:r>
            <w:r w:rsidRPr="002835EF">
              <w:rPr>
                <w:rFonts w:eastAsia="DFKai-SB" w:hint="eastAsia"/>
                <w:sz w:val="22"/>
                <w:szCs w:val="22"/>
              </w:rPr>
              <w:t>**</w:t>
            </w:r>
          </w:p>
        </w:tc>
      </w:tr>
      <w:tr w:rsidR="00FE1E17" w:rsidRPr="002835EF" w:rsidTr="00583009">
        <w:trPr>
          <w:trHeight w:val="397"/>
        </w:trPr>
        <w:tc>
          <w:tcPr>
            <w:tcW w:w="512" w:type="pct"/>
            <w:tcBorders>
              <w:top w:val="nil"/>
              <w:left w:val="nil"/>
              <w:bottom w:val="nil"/>
              <w:right w:val="nil"/>
            </w:tcBorders>
            <w:shd w:val="clear" w:color="auto" w:fill="auto"/>
            <w:noWrap/>
            <w:vAlign w:val="center"/>
          </w:tcPr>
          <w:p w:rsidR="00FE1E17" w:rsidRPr="00E12CF3" w:rsidRDefault="00FE1E17" w:rsidP="00583009">
            <w:pPr>
              <w:adjustRightInd w:val="0"/>
              <w:snapToGrid w:val="0"/>
              <w:spacing w:before="120"/>
              <w:jc w:val="center"/>
            </w:pPr>
            <w:r w:rsidRPr="002835EF">
              <w:rPr>
                <w:rFonts w:eastAsia="DFKai-SB"/>
                <w:sz w:val="22"/>
                <w:szCs w:val="22"/>
              </w:rPr>
              <w:t>10</w:t>
            </w:r>
            <w:r>
              <w:rPr>
                <w:rFonts w:hint="eastAsia"/>
                <w:sz w:val="22"/>
                <w:szCs w:val="22"/>
              </w:rPr>
              <w:t>%</w:t>
            </w:r>
          </w:p>
        </w:tc>
        <w:tc>
          <w:tcPr>
            <w:tcW w:w="1033" w:type="pct"/>
            <w:tcBorders>
              <w:top w:val="nil"/>
              <w:left w:val="nil"/>
              <w:bottom w:val="nil"/>
              <w:right w:val="nil"/>
            </w:tcBorders>
            <w:shd w:val="clear" w:color="auto" w:fill="auto"/>
            <w:noWrap/>
          </w:tcPr>
          <w:p w:rsidR="00FE1E17" w:rsidRPr="002835EF" w:rsidRDefault="00FE1E17" w:rsidP="00583009">
            <w:pPr>
              <w:adjustRightInd w:val="0"/>
              <w:snapToGrid w:val="0"/>
              <w:spacing w:before="120"/>
              <w:jc w:val="center"/>
              <w:rPr>
                <w:rFonts w:eastAsia="DFKai-SB"/>
              </w:rPr>
            </w:pPr>
            <w:r w:rsidRPr="002835EF">
              <w:rPr>
                <w:rFonts w:eastAsia="DFKai-SB"/>
                <w:kern w:val="0"/>
                <w:sz w:val="22"/>
                <w:szCs w:val="22"/>
              </w:rPr>
              <w:t>-0.590</w:t>
            </w:r>
            <w:r w:rsidRPr="002835EF">
              <w:rPr>
                <w:rFonts w:eastAsia="DFKai-SB"/>
                <w:sz w:val="22"/>
                <w:szCs w:val="22"/>
              </w:rPr>
              <w:t xml:space="preserve"> (0.000)</w:t>
            </w:r>
            <w:r w:rsidRPr="002835EF">
              <w:rPr>
                <w:rFonts w:eastAsia="DFKai-SB" w:hint="eastAsia"/>
                <w:sz w:val="22"/>
                <w:szCs w:val="22"/>
              </w:rPr>
              <w:t>**</w:t>
            </w:r>
          </w:p>
        </w:tc>
        <w:tc>
          <w:tcPr>
            <w:tcW w:w="512" w:type="pct"/>
            <w:tcBorders>
              <w:top w:val="nil"/>
              <w:left w:val="nil"/>
              <w:bottom w:val="nil"/>
              <w:right w:val="nil"/>
            </w:tcBorders>
            <w:shd w:val="clear" w:color="auto" w:fill="auto"/>
            <w:noWrap/>
            <w:vAlign w:val="center"/>
          </w:tcPr>
          <w:p w:rsidR="00FE1E17" w:rsidRPr="00E12CF3" w:rsidRDefault="00FE1E17" w:rsidP="00583009">
            <w:pPr>
              <w:adjustRightInd w:val="0"/>
              <w:snapToGrid w:val="0"/>
              <w:spacing w:before="120"/>
              <w:jc w:val="center"/>
            </w:pPr>
            <w:r w:rsidRPr="002835EF">
              <w:rPr>
                <w:rFonts w:eastAsia="DFKai-SB"/>
                <w:sz w:val="22"/>
                <w:szCs w:val="22"/>
              </w:rPr>
              <w:t>90</w:t>
            </w:r>
            <w:r>
              <w:rPr>
                <w:rFonts w:hint="eastAsia"/>
                <w:sz w:val="22"/>
                <w:szCs w:val="22"/>
              </w:rPr>
              <w:t>%</w:t>
            </w:r>
          </w:p>
        </w:tc>
        <w:tc>
          <w:tcPr>
            <w:tcW w:w="1035" w:type="pct"/>
            <w:tcBorders>
              <w:top w:val="nil"/>
              <w:left w:val="nil"/>
              <w:bottom w:val="nil"/>
              <w:right w:val="single" w:sz="12" w:space="0" w:color="auto"/>
            </w:tcBorders>
            <w:shd w:val="clear" w:color="auto" w:fill="auto"/>
            <w:noWrap/>
            <w:vAlign w:val="center"/>
          </w:tcPr>
          <w:p w:rsidR="00FE1E17" w:rsidRPr="002835EF" w:rsidRDefault="00FE1E17" w:rsidP="00583009">
            <w:pPr>
              <w:adjustRightInd w:val="0"/>
              <w:snapToGrid w:val="0"/>
              <w:spacing w:before="120"/>
              <w:jc w:val="center"/>
              <w:rPr>
                <w:rFonts w:eastAsia="DFKai-SB"/>
              </w:rPr>
            </w:pPr>
            <w:r w:rsidRPr="002835EF">
              <w:rPr>
                <w:rFonts w:eastAsia="DFKai-SB"/>
                <w:kern w:val="0"/>
                <w:sz w:val="22"/>
                <w:szCs w:val="22"/>
              </w:rPr>
              <w:t>1.132</w:t>
            </w:r>
            <w:r w:rsidRPr="002835EF">
              <w:rPr>
                <w:rFonts w:eastAsia="DFKai-SB"/>
                <w:sz w:val="22"/>
                <w:szCs w:val="22"/>
              </w:rPr>
              <w:t xml:space="preserve"> (0.000)</w:t>
            </w:r>
            <w:r w:rsidRPr="002835EF">
              <w:rPr>
                <w:rFonts w:eastAsia="DFKai-SB" w:hint="eastAsia"/>
                <w:sz w:val="22"/>
                <w:szCs w:val="22"/>
              </w:rPr>
              <w:t>**</w:t>
            </w:r>
          </w:p>
        </w:tc>
        <w:tc>
          <w:tcPr>
            <w:tcW w:w="740" w:type="pct"/>
            <w:tcBorders>
              <w:top w:val="nil"/>
              <w:left w:val="single" w:sz="12" w:space="0" w:color="auto"/>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10</w:t>
            </w:r>
            <w:r>
              <w:rPr>
                <w:rFonts w:hint="eastAsia"/>
                <w:sz w:val="22"/>
                <w:szCs w:val="22"/>
              </w:rPr>
              <w:t>%</w:t>
            </w:r>
            <w:r w:rsidRPr="002835EF">
              <w:rPr>
                <w:rFonts w:eastAsia="DFKai-SB"/>
                <w:sz w:val="22"/>
                <w:szCs w:val="22"/>
              </w:rPr>
              <w:t xml:space="preserve"> </w:t>
            </w:r>
            <w:r>
              <w:rPr>
                <w:rFonts w:hint="eastAsia"/>
                <w:sz w:val="22"/>
                <w:szCs w:val="22"/>
              </w:rPr>
              <w:t>vs.</w:t>
            </w:r>
            <w:r w:rsidRPr="002835EF">
              <w:rPr>
                <w:rFonts w:eastAsia="DFKai-SB"/>
                <w:sz w:val="22"/>
                <w:szCs w:val="22"/>
              </w:rPr>
              <w:t xml:space="preserve"> 90</w:t>
            </w:r>
            <w:r>
              <w:rPr>
                <w:rFonts w:hint="eastAsia"/>
                <w:sz w:val="22"/>
                <w:szCs w:val="22"/>
              </w:rPr>
              <w:t>%</w:t>
            </w:r>
          </w:p>
        </w:tc>
        <w:tc>
          <w:tcPr>
            <w:tcW w:w="1168" w:type="pct"/>
            <w:tcBorders>
              <w:top w:val="nil"/>
              <w:left w:val="nil"/>
              <w:bottom w:val="nil"/>
              <w:right w:val="nil"/>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sz w:val="22"/>
                <w:szCs w:val="22"/>
              </w:rPr>
              <w:t>41.98 (0.0000)</w:t>
            </w:r>
            <w:r w:rsidRPr="002835EF">
              <w:rPr>
                <w:rFonts w:eastAsia="DFKai-SB" w:hint="eastAsia"/>
                <w:sz w:val="22"/>
                <w:szCs w:val="22"/>
              </w:rPr>
              <w:t>**</w:t>
            </w:r>
          </w:p>
        </w:tc>
      </w:tr>
      <w:tr w:rsidR="00FE1E17" w:rsidRPr="002835EF" w:rsidTr="00583009">
        <w:trPr>
          <w:trHeight w:val="397"/>
        </w:trPr>
        <w:tc>
          <w:tcPr>
            <w:tcW w:w="512" w:type="pct"/>
            <w:tcBorders>
              <w:top w:val="nil"/>
              <w:left w:val="nil"/>
              <w:bottom w:val="nil"/>
              <w:right w:val="nil"/>
            </w:tcBorders>
            <w:shd w:val="clear" w:color="auto" w:fill="auto"/>
            <w:noWrap/>
            <w:vAlign w:val="center"/>
          </w:tcPr>
          <w:p w:rsidR="00FE1E17" w:rsidRPr="00E12CF3" w:rsidRDefault="00FE1E17" w:rsidP="00583009">
            <w:pPr>
              <w:adjustRightInd w:val="0"/>
              <w:snapToGrid w:val="0"/>
              <w:spacing w:before="120"/>
              <w:jc w:val="center"/>
            </w:pPr>
            <w:r w:rsidRPr="002835EF">
              <w:rPr>
                <w:rFonts w:eastAsia="DFKai-SB"/>
                <w:sz w:val="22"/>
                <w:szCs w:val="22"/>
              </w:rPr>
              <w:t>15</w:t>
            </w:r>
            <w:r>
              <w:rPr>
                <w:rFonts w:hint="eastAsia"/>
                <w:sz w:val="22"/>
                <w:szCs w:val="22"/>
              </w:rPr>
              <w:t>%</w:t>
            </w:r>
          </w:p>
        </w:tc>
        <w:tc>
          <w:tcPr>
            <w:tcW w:w="1033" w:type="pct"/>
            <w:tcBorders>
              <w:top w:val="nil"/>
              <w:left w:val="nil"/>
              <w:bottom w:val="nil"/>
              <w:right w:val="nil"/>
            </w:tcBorders>
            <w:shd w:val="clear" w:color="auto" w:fill="auto"/>
            <w:noWrap/>
          </w:tcPr>
          <w:p w:rsidR="00FE1E17" w:rsidRPr="002835EF" w:rsidRDefault="00FE1E17" w:rsidP="00583009">
            <w:pPr>
              <w:adjustRightInd w:val="0"/>
              <w:snapToGrid w:val="0"/>
              <w:spacing w:before="120"/>
              <w:jc w:val="center"/>
              <w:rPr>
                <w:rFonts w:eastAsia="DFKai-SB"/>
              </w:rPr>
            </w:pPr>
            <w:r w:rsidRPr="002835EF">
              <w:rPr>
                <w:rFonts w:eastAsia="DFKai-SB"/>
                <w:kern w:val="0"/>
                <w:sz w:val="22"/>
                <w:szCs w:val="22"/>
              </w:rPr>
              <w:t>-0.594</w:t>
            </w:r>
            <w:r w:rsidRPr="002835EF">
              <w:rPr>
                <w:rFonts w:eastAsia="DFKai-SB"/>
                <w:sz w:val="22"/>
                <w:szCs w:val="22"/>
              </w:rPr>
              <w:t xml:space="preserve"> (0.000)</w:t>
            </w:r>
            <w:r w:rsidRPr="002835EF">
              <w:rPr>
                <w:rFonts w:eastAsia="DFKai-SB" w:hint="eastAsia"/>
                <w:sz w:val="22"/>
                <w:szCs w:val="22"/>
              </w:rPr>
              <w:t>**</w:t>
            </w:r>
          </w:p>
        </w:tc>
        <w:tc>
          <w:tcPr>
            <w:tcW w:w="512" w:type="pct"/>
            <w:tcBorders>
              <w:top w:val="nil"/>
              <w:left w:val="nil"/>
              <w:bottom w:val="nil"/>
              <w:right w:val="nil"/>
            </w:tcBorders>
            <w:shd w:val="clear" w:color="auto" w:fill="auto"/>
            <w:noWrap/>
            <w:vAlign w:val="center"/>
          </w:tcPr>
          <w:p w:rsidR="00FE1E17" w:rsidRPr="00E12CF3" w:rsidRDefault="00FE1E17" w:rsidP="00583009">
            <w:pPr>
              <w:adjustRightInd w:val="0"/>
              <w:snapToGrid w:val="0"/>
              <w:spacing w:before="120"/>
              <w:jc w:val="center"/>
            </w:pPr>
            <w:r w:rsidRPr="002835EF">
              <w:rPr>
                <w:rFonts w:eastAsia="DFKai-SB"/>
                <w:sz w:val="22"/>
                <w:szCs w:val="22"/>
              </w:rPr>
              <w:t>85</w:t>
            </w:r>
            <w:r>
              <w:rPr>
                <w:rFonts w:hint="eastAsia"/>
                <w:sz w:val="22"/>
                <w:szCs w:val="22"/>
              </w:rPr>
              <w:t>%</w:t>
            </w:r>
          </w:p>
        </w:tc>
        <w:tc>
          <w:tcPr>
            <w:tcW w:w="1035" w:type="pct"/>
            <w:tcBorders>
              <w:top w:val="nil"/>
              <w:left w:val="nil"/>
              <w:bottom w:val="nil"/>
              <w:right w:val="single" w:sz="12" w:space="0" w:color="auto"/>
            </w:tcBorders>
            <w:shd w:val="clear" w:color="auto" w:fill="auto"/>
            <w:noWrap/>
            <w:vAlign w:val="center"/>
          </w:tcPr>
          <w:p w:rsidR="00FE1E17" w:rsidRPr="002835EF" w:rsidRDefault="00FE1E17" w:rsidP="00583009">
            <w:pPr>
              <w:adjustRightInd w:val="0"/>
              <w:snapToGrid w:val="0"/>
              <w:spacing w:before="120"/>
              <w:jc w:val="center"/>
              <w:rPr>
                <w:rFonts w:eastAsia="DFKai-SB"/>
              </w:rPr>
            </w:pPr>
            <w:r w:rsidRPr="002835EF">
              <w:rPr>
                <w:rFonts w:eastAsia="DFKai-SB"/>
                <w:kern w:val="0"/>
                <w:sz w:val="22"/>
                <w:szCs w:val="22"/>
              </w:rPr>
              <w:t>0.586</w:t>
            </w:r>
            <w:r w:rsidRPr="002835EF">
              <w:rPr>
                <w:rFonts w:eastAsia="DFKai-SB"/>
                <w:sz w:val="22"/>
                <w:szCs w:val="22"/>
              </w:rPr>
              <w:t xml:space="preserve"> (0.002)</w:t>
            </w:r>
            <w:r w:rsidRPr="002835EF">
              <w:rPr>
                <w:rFonts w:eastAsia="DFKai-SB" w:hint="eastAsia"/>
                <w:sz w:val="22"/>
                <w:szCs w:val="22"/>
              </w:rPr>
              <w:t>**</w:t>
            </w:r>
          </w:p>
        </w:tc>
        <w:tc>
          <w:tcPr>
            <w:tcW w:w="740" w:type="pct"/>
            <w:tcBorders>
              <w:top w:val="nil"/>
              <w:left w:val="single" w:sz="12" w:space="0" w:color="auto"/>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15</w:t>
            </w:r>
            <w:r>
              <w:rPr>
                <w:rFonts w:hint="eastAsia"/>
                <w:sz w:val="22"/>
                <w:szCs w:val="22"/>
              </w:rPr>
              <w:t>%</w:t>
            </w:r>
            <w:r w:rsidRPr="002835EF">
              <w:rPr>
                <w:rFonts w:eastAsia="DFKai-SB"/>
                <w:sz w:val="22"/>
                <w:szCs w:val="22"/>
              </w:rPr>
              <w:t xml:space="preserve"> </w:t>
            </w:r>
            <w:r>
              <w:rPr>
                <w:rFonts w:hint="eastAsia"/>
                <w:sz w:val="22"/>
                <w:szCs w:val="22"/>
              </w:rPr>
              <w:t>vs.</w:t>
            </w:r>
            <w:r w:rsidRPr="002835EF">
              <w:rPr>
                <w:rFonts w:eastAsia="DFKai-SB"/>
                <w:sz w:val="22"/>
                <w:szCs w:val="22"/>
              </w:rPr>
              <w:t xml:space="preserve"> 85</w:t>
            </w:r>
            <w:r>
              <w:rPr>
                <w:rFonts w:hint="eastAsia"/>
                <w:sz w:val="22"/>
                <w:szCs w:val="22"/>
              </w:rPr>
              <w:t>%</w:t>
            </w:r>
          </w:p>
        </w:tc>
        <w:tc>
          <w:tcPr>
            <w:tcW w:w="1168" w:type="pct"/>
            <w:tcBorders>
              <w:top w:val="nil"/>
              <w:left w:val="nil"/>
              <w:bottom w:val="nil"/>
              <w:right w:val="nil"/>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sz w:val="22"/>
                <w:szCs w:val="22"/>
              </w:rPr>
              <w:t>42.96 (0.0000)</w:t>
            </w:r>
            <w:r w:rsidRPr="002835EF">
              <w:rPr>
                <w:rFonts w:eastAsia="DFKai-SB" w:hint="eastAsia"/>
                <w:sz w:val="22"/>
                <w:szCs w:val="22"/>
              </w:rPr>
              <w:t>**</w:t>
            </w:r>
          </w:p>
        </w:tc>
      </w:tr>
      <w:tr w:rsidR="00FE1E17" w:rsidRPr="002835EF" w:rsidTr="00583009">
        <w:trPr>
          <w:trHeight w:val="397"/>
        </w:trPr>
        <w:tc>
          <w:tcPr>
            <w:tcW w:w="512" w:type="pct"/>
            <w:tcBorders>
              <w:top w:val="nil"/>
              <w:left w:val="nil"/>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20</w:t>
            </w:r>
            <w:r>
              <w:rPr>
                <w:rFonts w:hint="eastAsia"/>
                <w:sz w:val="22"/>
                <w:szCs w:val="22"/>
              </w:rPr>
              <w:t>%</w:t>
            </w:r>
          </w:p>
        </w:tc>
        <w:tc>
          <w:tcPr>
            <w:tcW w:w="1033" w:type="pct"/>
            <w:tcBorders>
              <w:top w:val="nil"/>
              <w:left w:val="nil"/>
              <w:bottom w:val="nil"/>
              <w:right w:val="nil"/>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kern w:val="0"/>
                <w:sz w:val="22"/>
                <w:szCs w:val="22"/>
              </w:rPr>
              <w:t>-0.532</w:t>
            </w:r>
            <w:r w:rsidRPr="002835EF">
              <w:rPr>
                <w:rFonts w:eastAsia="DFKai-SB"/>
                <w:sz w:val="22"/>
                <w:szCs w:val="22"/>
              </w:rPr>
              <w:t xml:space="preserve"> (0.000)</w:t>
            </w:r>
            <w:r w:rsidRPr="002835EF">
              <w:rPr>
                <w:rFonts w:eastAsia="DFKai-SB" w:hint="eastAsia"/>
                <w:sz w:val="22"/>
                <w:szCs w:val="22"/>
              </w:rPr>
              <w:t>**</w:t>
            </w:r>
          </w:p>
        </w:tc>
        <w:tc>
          <w:tcPr>
            <w:tcW w:w="512" w:type="pct"/>
            <w:tcBorders>
              <w:top w:val="nil"/>
              <w:left w:val="nil"/>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80</w:t>
            </w:r>
            <w:r>
              <w:rPr>
                <w:rFonts w:hint="eastAsia"/>
                <w:sz w:val="22"/>
                <w:szCs w:val="22"/>
              </w:rPr>
              <w:t>%</w:t>
            </w:r>
          </w:p>
        </w:tc>
        <w:tc>
          <w:tcPr>
            <w:tcW w:w="1035" w:type="pct"/>
            <w:tcBorders>
              <w:top w:val="nil"/>
              <w:left w:val="nil"/>
              <w:bottom w:val="nil"/>
              <w:right w:val="single" w:sz="12" w:space="0" w:color="auto"/>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kern w:val="0"/>
                <w:sz w:val="22"/>
                <w:szCs w:val="22"/>
              </w:rPr>
              <w:t>0.403</w:t>
            </w:r>
            <w:r w:rsidRPr="002835EF">
              <w:rPr>
                <w:rFonts w:eastAsia="DFKai-SB"/>
                <w:sz w:val="22"/>
                <w:szCs w:val="22"/>
              </w:rPr>
              <w:t xml:space="preserve"> (0.000)</w:t>
            </w:r>
            <w:r w:rsidRPr="002835EF">
              <w:rPr>
                <w:rFonts w:eastAsia="DFKai-SB" w:hint="eastAsia"/>
                <w:sz w:val="22"/>
                <w:szCs w:val="22"/>
              </w:rPr>
              <w:t>**</w:t>
            </w:r>
          </w:p>
        </w:tc>
        <w:tc>
          <w:tcPr>
            <w:tcW w:w="740" w:type="pct"/>
            <w:tcBorders>
              <w:top w:val="nil"/>
              <w:left w:val="single" w:sz="12" w:space="0" w:color="auto"/>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20</w:t>
            </w:r>
            <w:r>
              <w:rPr>
                <w:rFonts w:hint="eastAsia"/>
                <w:sz w:val="22"/>
                <w:szCs w:val="22"/>
              </w:rPr>
              <w:t>%</w:t>
            </w:r>
            <w:r w:rsidRPr="002835EF">
              <w:rPr>
                <w:rFonts w:eastAsia="DFKai-SB"/>
                <w:sz w:val="22"/>
                <w:szCs w:val="22"/>
              </w:rPr>
              <w:t xml:space="preserve"> </w:t>
            </w:r>
            <w:r>
              <w:rPr>
                <w:rFonts w:hint="eastAsia"/>
                <w:sz w:val="22"/>
                <w:szCs w:val="22"/>
              </w:rPr>
              <w:t>vs.</w:t>
            </w:r>
            <w:r w:rsidRPr="002835EF">
              <w:rPr>
                <w:rFonts w:eastAsia="DFKai-SB"/>
                <w:sz w:val="22"/>
                <w:szCs w:val="22"/>
              </w:rPr>
              <w:t xml:space="preserve"> 80</w:t>
            </w:r>
            <w:r>
              <w:rPr>
                <w:rFonts w:hint="eastAsia"/>
                <w:sz w:val="22"/>
                <w:szCs w:val="22"/>
              </w:rPr>
              <w:t>%</w:t>
            </w:r>
          </w:p>
        </w:tc>
        <w:tc>
          <w:tcPr>
            <w:tcW w:w="1168" w:type="pct"/>
            <w:tcBorders>
              <w:top w:val="nil"/>
              <w:left w:val="nil"/>
              <w:bottom w:val="nil"/>
              <w:right w:val="nil"/>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sz w:val="22"/>
                <w:szCs w:val="22"/>
              </w:rPr>
              <w:t>66.74 (0.0000)</w:t>
            </w:r>
            <w:r w:rsidRPr="002835EF">
              <w:rPr>
                <w:rFonts w:eastAsia="DFKai-SB" w:hint="eastAsia"/>
                <w:sz w:val="22"/>
                <w:szCs w:val="22"/>
              </w:rPr>
              <w:t>**</w:t>
            </w:r>
          </w:p>
        </w:tc>
      </w:tr>
      <w:tr w:rsidR="00FE1E17" w:rsidRPr="002835EF" w:rsidTr="00583009">
        <w:trPr>
          <w:trHeight w:val="397"/>
        </w:trPr>
        <w:tc>
          <w:tcPr>
            <w:tcW w:w="512" w:type="pct"/>
            <w:tcBorders>
              <w:top w:val="nil"/>
              <w:left w:val="nil"/>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25</w:t>
            </w:r>
            <w:r>
              <w:rPr>
                <w:rFonts w:hint="eastAsia"/>
                <w:sz w:val="22"/>
                <w:szCs w:val="22"/>
              </w:rPr>
              <w:t>%</w:t>
            </w:r>
          </w:p>
        </w:tc>
        <w:tc>
          <w:tcPr>
            <w:tcW w:w="1033" w:type="pct"/>
            <w:tcBorders>
              <w:top w:val="nil"/>
              <w:left w:val="nil"/>
              <w:bottom w:val="nil"/>
              <w:right w:val="nil"/>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kern w:val="0"/>
                <w:sz w:val="22"/>
                <w:szCs w:val="22"/>
              </w:rPr>
              <w:t>-0.488</w:t>
            </w:r>
            <w:r w:rsidRPr="002835EF">
              <w:rPr>
                <w:rFonts w:eastAsia="DFKai-SB"/>
                <w:sz w:val="22"/>
                <w:szCs w:val="22"/>
              </w:rPr>
              <w:t xml:space="preserve"> (0.000)</w:t>
            </w:r>
            <w:r w:rsidRPr="002835EF">
              <w:rPr>
                <w:rFonts w:eastAsia="DFKai-SB" w:hint="eastAsia"/>
                <w:sz w:val="22"/>
                <w:szCs w:val="22"/>
              </w:rPr>
              <w:t>**</w:t>
            </w:r>
          </w:p>
        </w:tc>
        <w:tc>
          <w:tcPr>
            <w:tcW w:w="512" w:type="pct"/>
            <w:tcBorders>
              <w:top w:val="nil"/>
              <w:left w:val="nil"/>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75</w:t>
            </w:r>
            <w:r>
              <w:rPr>
                <w:rFonts w:hint="eastAsia"/>
                <w:sz w:val="22"/>
                <w:szCs w:val="22"/>
              </w:rPr>
              <w:t>%</w:t>
            </w:r>
          </w:p>
        </w:tc>
        <w:tc>
          <w:tcPr>
            <w:tcW w:w="1035" w:type="pct"/>
            <w:tcBorders>
              <w:top w:val="nil"/>
              <w:left w:val="nil"/>
              <w:bottom w:val="nil"/>
              <w:right w:val="single" w:sz="12" w:space="0" w:color="auto"/>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kern w:val="0"/>
                <w:sz w:val="22"/>
                <w:szCs w:val="22"/>
              </w:rPr>
              <w:t>0.225</w:t>
            </w:r>
            <w:r w:rsidRPr="002835EF">
              <w:rPr>
                <w:rFonts w:eastAsia="DFKai-SB"/>
                <w:sz w:val="22"/>
                <w:szCs w:val="22"/>
              </w:rPr>
              <w:t xml:space="preserve"> (0.027)</w:t>
            </w:r>
            <w:r w:rsidRPr="002835EF">
              <w:rPr>
                <w:rFonts w:eastAsia="DFKai-SB" w:hint="eastAsia"/>
                <w:sz w:val="22"/>
                <w:szCs w:val="22"/>
              </w:rPr>
              <w:t>*</w:t>
            </w:r>
          </w:p>
        </w:tc>
        <w:tc>
          <w:tcPr>
            <w:tcW w:w="740" w:type="pct"/>
            <w:tcBorders>
              <w:top w:val="nil"/>
              <w:left w:val="single" w:sz="12" w:space="0" w:color="auto"/>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25</w:t>
            </w:r>
            <w:r>
              <w:rPr>
                <w:rFonts w:hint="eastAsia"/>
                <w:sz w:val="22"/>
                <w:szCs w:val="22"/>
              </w:rPr>
              <w:t>%</w:t>
            </w:r>
            <w:r w:rsidRPr="002835EF">
              <w:rPr>
                <w:rFonts w:eastAsia="DFKai-SB"/>
                <w:sz w:val="22"/>
                <w:szCs w:val="22"/>
              </w:rPr>
              <w:t xml:space="preserve"> </w:t>
            </w:r>
            <w:r>
              <w:rPr>
                <w:rFonts w:hint="eastAsia"/>
                <w:sz w:val="22"/>
                <w:szCs w:val="22"/>
              </w:rPr>
              <w:t>vs.</w:t>
            </w:r>
            <w:r w:rsidRPr="002835EF">
              <w:rPr>
                <w:rFonts w:eastAsia="DFKai-SB"/>
                <w:sz w:val="22"/>
                <w:szCs w:val="22"/>
              </w:rPr>
              <w:t xml:space="preserve"> 75</w:t>
            </w:r>
            <w:r>
              <w:rPr>
                <w:rFonts w:hint="eastAsia"/>
                <w:sz w:val="22"/>
                <w:szCs w:val="22"/>
              </w:rPr>
              <w:t>%</w:t>
            </w:r>
          </w:p>
        </w:tc>
        <w:tc>
          <w:tcPr>
            <w:tcW w:w="1168" w:type="pct"/>
            <w:tcBorders>
              <w:top w:val="nil"/>
              <w:left w:val="nil"/>
              <w:bottom w:val="nil"/>
              <w:right w:val="nil"/>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sz w:val="22"/>
                <w:szCs w:val="22"/>
              </w:rPr>
              <w:t>50.82 (0.0000)</w:t>
            </w:r>
            <w:r w:rsidRPr="002835EF">
              <w:rPr>
                <w:rFonts w:eastAsia="DFKai-SB" w:hint="eastAsia"/>
                <w:sz w:val="22"/>
                <w:szCs w:val="22"/>
              </w:rPr>
              <w:t>**</w:t>
            </w:r>
          </w:p>
        </w:tc>
      </w:tr>
      <w:tr w:rsidR="00FE1E17" w:rsidRPr="002835EF" w:rsidTr="00583009">
        <w:trPr>
          <w:trHeight w:val="397"/>
        </w:trPr>
        <w:tc>
          <w:tcPr>
            <w:tcW w:w="512" w:type="pct"/>
            <w:tcBorders>
              <w:top w:val="nil"/>
              <w:left w:val="nil"/>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30</w:t>
            </w:r>
            <w:r>
              <w:rPr>
                <w:rFonts w:hint="eastAsia"/>
                <w:sz w:val="22"/>
                <w:szCs w:val="22"/>
              </w:rPr>
              <w:t>%</w:t>
            </w:r>
          </w:p>
        </w:tc>
        <w:tc>
          <w:tcPr>
            <w:tcW w:w="1033" w:type="pct"/>
            <w:tcBorders>
              <w:top w:val="nil"/>
              <w:left w:val="nil"/>
              <w:bottom w:val="nil"/>
              <w:right w:val="nil"/>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kern w:val="0"/>
                <w:sz w:val="22"/>
                <w:szCs w:val="22"/>
              </w:rPr>
              <w:t>-0.419</w:t>
            </w:r>
            <w:r w:rsidRPr="002835EF">
              <w:rPr>
                <w:rFonts w:eastAsia="DFKai-SB"/>
                <w:sz w:val="22"/>
                <w:szCs w:val="22"/>
              </w:rPr>
              <w:t xml:space="preserve"> (0.000)</w:t>
            </w:r>
            <w:r w:rsidRPr="002835EF">
              <w:rPr>
                <w:rFonts w:eastAsia="DFKai-SB" w:hint="eastAsia"/>
                <w:sz w:val="22"/>
                <w:szCs w:val="22"/>
              </w:rPr>
              <w:t>**</w:t>
            </w:r>
          </w:p>
        </w:tc>
        <w:tc>
          <w:tcPr>
            <w:tcW w:w="512" w:type="pct"/>
            <w:tcBorders>
              <w:top w:val="nil"/>
              <w:left w:val="nil"/>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70</w:t>
            </w:r>
            <w:r>
              <w:rPr>
                <w:rFonts w:hint="eastAsia"/>
                <w:sz w:val="22"/>
                <w:szCs w:val="22"/>
              </w:rPr>
              <w:t>%</w:t>
            </w:r>
          </w:p>
        </w:tc>
        <w:tc>
          <w:tcPr>
            <w:tcW w:w="1035" w:type="pct"/>
            <w:tcBorders>
              <w:top w:val="nil"/>
              <w:left w:val="nil"/>
              <w:bottom w:val="nil"/>
              <w:right w:val="single" w:sz="12" w:space="0" w:color="auto"/>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kern w:val="0"/>
                <w:sz w:val="22"/>
                <w:szCs w:val="22"/>
              </w:rPr>
              <w:t>0.019</w:t>
            </w:r>
            <w:r w:rsidRPr="002835EF">
              <w:rPr>
                <w:rFonts w:eastAsia="DFKai-SB"/>
                <w:sz w:val="22"/>
                <w:szCs w:val="22"/>
              </w:rPr>
              <w:t xml:space="preserve"> (0.793)</w:t>
            </w:r>
          </w:p>
        </w:tc>
        <w:tc>
          <w:tcPr>
            <w:tcW w:w="740" w:type="pct"/>
            <w:tcBorders>
              <w:top w:val="nil"/>
              <w:left w:val="single" w:sz="12" w:space="0" w:color="auto"/>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30</w:t>
            </w:r>
            <w:r>
              <w:rPr>
                <w:rFonts w:hint="eastAsia"/>
                <w:sz w:val="22"/>
                <w:szCs w:val="22"/>
              </w:rPr>
              <w:t>%</w:t>
            </w:r>
            <w:r w:rsidRPr="002835EF">
              <w:rPr>
                <w:rFonts w:eastAsia="DFKai-SB"/>
                <w:sz w:val="22"/>
                <w:szCs w:val="22"/>
              </w:rPr>
              <w:t xml:space="preserve"> </w:t>
            </w:r>
            <w:r>
              <w:rPr>
                <w:rFonts w:hint="eastAsia"/>
                <w:sz w:val="22"/>
                <w:szCs w:val="22"/>
              </w:rPr>
              <w:t>vs.</w:t>
            </w:r>
            <w:r w:rsidRPr="002835EF">
              <w:rPr>
                <w:rFonts w:eastAsia="DFKai-SB"/>
                <w:sz w:val="22"/>
                <w:szCs w:val="22"/>
              </w:rPr>
              <w:t xml:space="preserve"> 70</w:t>
            </w:r>
            <w:r>
              <w:rPr>
                <w:rFonts w:hint="eastAsia"/>
                <w:sz w:val="22"/>
                <w:szCs w:val="22"/>
              </w:rPr>
              <w:t>%</w:t>
            </w:r>
          </w:p>
        </w:tc>
        <w:tc>
          <w:tcPr>
            <w:tcW w:w="1168" w:type="pct"/>
            <w:tcBorders>
              <w:top w:val="nil"/>
              <w:left w:val="nil"/>
              <w:bottom w:val="nil"/>
              <w:right w:val="nil"/>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sz w:val="22"/>
                <w:szCs w:val="22"/>
              </w:rPr>
              <w:t>27.81 (0.0000)</w:t>
            </w:r>
            <w:r w:rsidRPr="002835EF">
              <w:rPr>
                <w:rFonts w:eastAsia="DFKai-SB" w:hint="eastAsia"/>
                <w:sz w:val="22"/>
                <w:szCs w:val="22"/>
              </w:rPr>
              <w:t>**</w:t>
            </w:r>
          </w:p>
        </w:tc>
      </w:tr>
      <w:tr w:rsidR="00FE1E17" w:rsidRPr="002835EF" w:rsidTr="00583009">
        <w:trPr>
          <w:trHeight w:val="397"/>
        </w:trPr>
        <w:tc>
          <w:tcPr>
            <w:tcW w:w="512" w:type="pct"/>
            <w:tcBorders>
              <w:top w:val="nil"/>
              <w:left w:val="nil"/>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35</w:t>
            </w:r>
            <w:r>
              <w:rPr>
                <w:rFonts w:hint="eastAsia"/>
                <w:sz w:val="22"/>
                <w:szCs w:val="22"/>
              </w:rPr>
              <w:t>%</w:t>
            </w:r>
          </w:p>
        </w:tc>
        <w:tc>
          <w:tcPr>
            <w:tcW w:w="1033" w:type="pct"/>
            <w:tcBorders>
              <w:top w:val="nil"/>
              <w:left w:val="nil"/>
              <w:bottom w:val="nil"/>
              <w:right w:val="nil"/>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kern w:val="0"/>
                <w:sz w:val="22"/>
                <w:szCs w:val="22"/>
              </w:rPr>
              <w:t>-0.354</w:t>
            </w:r>
            <w:r w:rsidRPr="002835EF">
              <w:rPr>
                <w:rFonts w:eastAsia="DFKai-SB"/>
                <w:sz w:val="22"/>
                <w:szCs w:val="22"/>
              </w:rPr>
              <w:t xml:space="preserve"> (0.000)</w:t>
            </w:r>
            <w:r w:rsidRPr="002835EF">
              <w:rPr>
                <w:rFonts w:eastAsia="DFKai-SB" w:hint="eastAsia"/>
                <w:sz w:val="22"/>
                <w:szCs w:val="22"/>
              </w:rPr>
              <w:t>**</w:t>
            </w:r>
          </w:p>
        </w:tc>
        <w:tc>
          <w:tcPr>
            <w:tcW w:w="512" w:type="pct"/>
            <w:tcBorders>
              <w:top w:val="nil"/>
              <w:left w:val="nil"/>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65</w:t>
            </w:r>
            <w:r>
              <w:rPr>
                <w:rFonts w:hint="eastAsia"/>
                <w:sz w:val="22"/>
                <w:szCs w:val="22"/>
              </w:rPr>
              <w:t>%</w:t>
            </w:r>
          </w:p>
        </w:tc>
        <w:tc>
          <w:tcPr>
            <w:tcW w:w="1035" w:type="pct"/>
            <w:tcBorders>
              <w:top w:val="nil"/>
              <w:left w:val="nil"/>
              <w:bottom w:val="nil"/>
              <w:right w:val="single" w:sz="12" w:space="0" w:color="auto"/>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kern w:val="0"/>
                <w:sz w:val="22"/>
                <w:szCs w:val="22"/>
              </w:rPr>
              <w:t>-0.052</w:t>
            </w:r>
            <w:r w:rsidRPr="002835EF">
              <w:rPr>
                <w:rFonts w:eastAsia="DFKai-SB"/>
                <w:sz w:val="22"/>
                <w:szCs w:val="22"/>
              </w:rPr>
              <w:t xml:space="preserve"> (0.329)</w:t>
            </w:r>
          </w:p>
        </w:tc>
        <w:tc>
          <w:tcPr>
            <w:tcW w:w="740" w:type="pct"/>
            <w:tcBorders>
              <w:top w:val="nil"/>
              <w:left w:val="single" w:sz="12" w:space="0" w:color="auto"/>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35</w:t>
            </w:r>
            <w:r>
              <w:rPr>
                <w:rFonts w:hint="eastAsia"/>
                <w:sz w:val="22"/>
                <w:szCs w:val="22"/>
              </w:rPr>
              <w:t>%</w:t>
            </w:r>
            <w:r w:rsidRPr="002835EF">
              <w:rPr>
                <w:rFonts w:eastAsia="DFKai-SB"/>
                <w:sz w:val="22"/>
                <w:szCs w:val="22"/>
              </w:rPr>
              <w:t xml:space="preserve"> </w:t>
            </w:r>
            <w:r>
              <w:rPr>
                <w:rFonts w:hint="eastAsia"/>
                <w:sz w:val="22"/>
                <w:szCs w:val="22"/>
              </w:rPr>
              <w:t>vs.</w:t>
            </w:r>
            <w:r w:rsidRPr="002835EF">
              <w:rPr>
                <w:rFonts w:eastAsia="DFKai-SB"/>
                <w:sz w:val="22"/>
                <w:szCs w:val="22"/>
              </w:rPr>
              <w:t xml:space="preserve"> 65</w:t>
            </w:r>
            <w:r>
              <w:rPr>
                <w:rFonts w:hint="eastAsia"/>
                <w:sz w:val="22"/>
                <w:szCs w:val="22"/>
              </w:rPr>
              <w:t>%</w:t>
            </w:r>
          </w:p>
        </w:tc>
        <w:tc>
          <w:tcPr>
            <w:tcW w:w="1168" w:type="pct"/>
            <w:tcBorders>
              <w:top w:val="nil"/>
              <w:left w:val="nil"/>
              <w:bottom w:val="nil"/>
              <w:right w:val="nil"/>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sz w:val="22"/>
                <w:szCs w:val="22"/>
              </w:rPr>
              <w:t>12.42 (0.0004)</w:t>
            </w:r>
            <w:r w:rsidRPr="002835EF">
              <w:rPr>
                <w:rFonts w:eastAsia="DFKai-SB" w:hint="eastAsia"/>
                <w:sz w:val="22"/>
                <w:szCs w:val="22"/>
              </w:rPr>
              <w:t>**</w:t>
            </w:r>
          </w:p>
        </w:tc>
      </w:tr>
      <w:tr w:rsidR="00FE1E17" w:rsidRPr="002835EF" w:rsidTr="00583009">
        <w:trPr>
          <w:trHeight w:val="397"/>
        </w:trPr>
        <w:tc>
          <w:tcPr>
            <w:tcW w:w="512" w:type="pct"/>
            <w:tcBorders>
              <w:top w:val="nil"/>
              <w:left w:val="nil"/>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40</w:t>
            </w:r>
            <w:r>
              <w:rPr>
                <w:rFonts w:hint="eastAsia"/>
                <w:sz w:val="22"/>
                <w:szCs w:val="22"/>
              </w:rPr>
              <w:t>%</w:t>
            </w:r>
          </w:p>
        </w:tc>
        <w:tc>
          <w:tcPr>
            <w:tcW w:w="1033" w:type="pct"/>
            <w:tcBorders>
              <w:top w:val="nil"/>
              <w:left w:val="nil"/>
              <w:bottom w:val="nil"/>
              <w:right w:val="nil"/>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kern w:val="0"/>
                <w:sz w:val="22"/>
                <w:szCs w:val="22"/>
              </w:rPr>
              <w:t>-0.291</w:t>
            </w:r>
            <w:r w:rsidRPr="002835EF">
              <w:rPr>
                <w:rFonts w:eastAsia="DFKai-SB"/>
                <w:sz w:val="22"/>
                <w:szCs w:val="22"/>
              </w:rPr>
              <w:t xml:space="preserve"> (0.000)</w:t>
            </w:r>
            <w:r w:rsidRPr="002835EF">
              <w:rPr>
                <w:rFonts w:eastAsia="DFKai-SB" w:hint="eastAsia"/>
                <w:sz w:val="22"/>
                <w:szCs w:val="22"/>
              </w:rPr>
              <w:t>**</w:t>
            </w:r>
          </w:p>
        </w:tc>
        <w:tc>
          <w:tcPr>
            <w:tcW w:w="512" w:type="pct"/>
            <w:tcBorders>
              <w:top w:val="nil"/>
              <w:left w:val="nil"/>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60</w:t>
            </w:r>
            <w:r>
              <w:rPr>
                <w:rFonts w:hint="eastAsia"/>
                <w:sz w:val="22"/>
                <w:szCs w:val="22"/>
              </w:rPr>
              <w:t>%</w:t>
            </w:r>
          </w:p>
        </w:tc>
        <w:tc>
          <w:tcPr>
            <w:tcW w:w="1035" w:type="pct"/>
            <w:tcBorders>
              <w:top w:val="nil"/>
              <w:left w:val="nil"/>
              <w:bottom w:val="nil"/>
              <w:right w:val="single" w:sz="12" w:space="0" w:color="auto"/>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kern w:val="0"/>
                <w:sz w:val="22"/>
                <w:szCs w:val="22"/>
              </w:rPr>
              <w:t>-0.086</w:t>
            </w:r>
            <w:r w:rsidRPr="002835EF">
              <w:rPr>
                <w:rFonts w:eastAsia="DFKai-SB"/>
                <w:sz w:val="22"/>
                <w:szCs w:val="22"/>
              </w:rPr>
              <w:t xml:space="preserve"> (0.077)</w:t>
            </w:r>
          </w:p>
        </w:tc>
        <w:tc>
          <w:tcPr>
            <w:tcW w:w="740" w:type="pct"/>
            <w:tcBorders>
              <w:top w:val="nil"/>
              <w:left w:val="single" w:sz="12" w:space="0" w:color="auto"/>
              <w:bottom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40</w:t>
            </w:r>
            <w:r>
              <w:rPr>
                <w:rFonts w:hint="eastAsia"/>
                <w:sz w:val="22"/>
                <w:szCs w:val="22"/>
              </w:rPr>
              <w:t>%</w:t>
            </w:r>
            <w:r w:rsidRPr="002835EF">
              <w:rPr>
                <w:rFonts w:eastAsia="DFKai-SB"/>
                <w:sz w:val="22"/>
                <w:szCs w:val="22"/>
              </w:rPr>
              <w:t xml:space="preserve"> </w:t>
            </w:r>
            <w:r>
              <w:rPr>
                <w:rFonts w:hint="eastAsia"/>
                <w:sz w:val="22"/>
                <w:szCs w:val="22"/>
              </w:rPr>
              <w:t>vs.</w:t>
            </w:r>
            <w:r w:rsidRPr="002835EF">
              <w:rPr>
                <w:rFonts w:eastAsia="DFKai-SB"/>
                <w:sz w:val="22"/>
                <w:szCs w:val="22"/>
              </w:rPr>
              <w:t xml:space="preserve"> 60</w:t>
            </w:r>
            <w:r>
              <w:rPr>
                <w:rFonts w:hint="eastAsia"/>
                <w:sz w:val="22"/>
                <w:szCs w:val="22"/>
              </w:rPr>
              <w:t>%</w:t>
            </w:r>
          </w:p>
        </w:tc>
        <w:tc>
          <w:tcPr>
            <w:tcW w:w="1168" w:type="pct"/>
            <w:tcBorders>
              <w:top w:val="nil"/>
              <w:left w:val="nil"/>
              <w:bottom w:val="nil"/>
              <w:right w:val="nil"/>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sz w:val="22"/>
                <w:szCs w:val="22"/>
              </w:rPr>
              <w:t>11.79 (0.0006)</w:t>
            </w:r>
            <w:r w:rsidRPr="002835EF">
              <w:rPr>
                <w:rFonts w:eastAsia="DFKai-SB" w:hint="eastAsia"/>
                <w:sz w:val="22"/>
                <w:szCs w:val="22"/>
              </w:rPr>
              <w:t>**</w:t>
            </w:r>
          </w:p>
        </w:tc>
      </w:tr>
      <w:tr w:rsidR="00FE1E17" w:rsidRPr="002835EF" w:rsidTr="00583009">
        <w:trPr>
          <w:trHeight w:val="397"/>
        </w:trPr>
        <w:tc>
          <w:tcPr>
            <w:tcW w:w="512" w:type="pct"/>
            <w:tcBorders>
              <w:top w:val="nil"/>
              <w:left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45</w:t>
            </w:r>
            <w:r>
              <w:rPr>
                <w:rFonts w:hint="eastAsia"/>
                <w:sz w:val="22"/>
                <w:szCs w:val="22"/>
              </w:rPr>
              <w:t>%</w:t>
            </w:r>
          </w:p>
        </w:tc>
        <w:tc>
          <w:tcPr>
            <w:tcW w:w="1033" w:type="pct"/>
            <w:tcBorders>
              <w:top w:val="nil"/>
              <w:left w:val="nil"/>
              <w:right w:val="nil"/>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kern w:val="0"/>
                <w:sz w:val="22"/>
                <w:szCs w:val="22"/>
              </w:rPr>
              <w:t>-0.263</w:t>
            </w:r>
            <w:r w:rsidRPr="002835EF">
              <w:rPr>
                <w:rFonts w:eastAsia="DFKai-SB"/>
                <w:sz w:val="22"/>
                <w:szCs w:val="22"/>
              </w:rPr>
              <w:t xml:space="preserve"> (0.000)</w:t>
            </w:r>
            <w:r w:rsidRPr="002835EF">
              <w:rPr>
                <w:rFonts w:eastAsia="DFKai-SB" w:hint="eastAsia"/>
                <w:sz w:val="22"/>
                <w:szCs w:val="22"/>
              </w:rPr>
              <w:t>**</w:t>
            </w:r>
          </w:p>
        </w:tc>
        <w:tc>
          <w:tcPr>
            <w:tcW w:w="512" w:type="pct"/>
            <w:tcBorders>
              <w:top w:val="nil"/>
              <w:left w:val="nil"/>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55</w:t>
            </w:r>
            <w:r>
              <w:rPr>
                <w:rFonts w:hint="eastAsia"/>
                <w:sz w:val="22"/>
                <w:szCs w:val="22"/>
              </w:rPr>
              <w:t>%</w:t>
            </w:r>
          </w:p>
        </w:tc>
        <w:tc>
          <w:tcPr>
            <w:tcW w:w="1035" w:type="pct"/>
            <w:tcBorders>
              <w:top w:val="nil"/>
              <w:left w:val="nil"/>
              <w:right w:val="single" w:sz="12" w:space="0" w:color="auto"/>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kern w:val="0"/>
                <w:sz w:val="22"/>
                <w:szCs w:val="22"/>
              </w:rPr>
              <w:t>-0.152</w:t>
            </w:r>
            <w:r w:rsidRPr="002835EF">
              <w:rPr>
                <w:rFonts w:eastAsia="DFKai-SB"/>
                <w:sz w:val="22"/>
                <w:szCs w:val="22"/>
              </w:rPr>
              <w:t xml:space="preserve"> (0.001)</w:t>
            </w:r>
            <w:r w:rsidRPr="002835EF">
              <w:rPr>
                <w:rFonts w:eastAsia="DFKai-SB" w:hint="eastAsia"/>
                <w:sz w:val="22"/>
                <w:szCs w:val="22"/>
              </w:rPr>
              <w:t>**</w:t>
            </w:r>
          </w:p>
        </w:tc>
        <w:tc>
          <w:tcPr>
            <w:tcW w:w="740" w:type="pct"/>
            <w:tcBorders>
              <w:top w:val="nil"/>
              <w:left w:val="single" w:sz="12" w:space="0" w:color="auto"/>
              <w:right w:val="nil"/>
            </w:tcBorders>
            <w:shd w:val="clear" w:color="auto" w:fill="auto"/>
            <w:noWrap/>
            <w:vAlign w:val="center"/>
          </w:tcPr>
          <w:p w:rsidR="00FE1E17" w:rsidRPr="00E12CF3" w:rsidRDefault="00FE1E17" w:rsidP="00583009">
            <w:pPr>
              <w:adjustRightInd w:val="0"/>
              <w:snapToGrid w:val="0"/>
              <w:jc w:val="center"/>
            </w:pPr>
            <w:r w:rsidRPr="002835EF">
              <w:rPr>
                <w:rFonts w:eastAsia="DFKai-SB"/>
                <w:sz w:val="22"/>
                <w:szCs w:val="22"/>
              </w:rPr>
              <w:t>45</w:t>
            </w:r>
            <w:r>
              <w:rPr>
                <w:rFonts w:hint="eastAsia"/>
                <w:sz w:val="22"/>
                <w:szCs w:val="22"/>
              </w:rPr>
              <w:t>%</w:t>
            </w:r>
            <w:r w:rsidRPr="002835EF">
              <w:rPr>
                <w:rFonts w:eastAsia="DFKai-SB"/>
                <w:sz w:val="22"/>
                <w:szCs w:val="22"/>
              </w:rPr>
              <w:t xml:space="preserve"> </w:t>
            </w:r>
            <w:r>
              <w:rPr>
                <w:rFonts w:hint="eastAsia"/>
                <w:sz w:val="22"/>
                <w:szCs w:val="22"/>
              </w:rPr>
              <w:t>vs.</w:t>
            </w:r>
            <w:r w:rsidRPr="002835EF">
              <w:rPr>
                <w:rFonts w:eastAsia="DFKai-SB"/>
                <w:sz w:val="22"/>
                <w:szCs w:val="22"/>
              </w:rPr>
              <w:t xml:space="preserve"> 55</w:t>
            </w:r>
            <w:r>
              <w:rPr>
                <w:rFonts w:hint="eastAsia"/>
                <w:sz w:val="22"/>
                <w:szCs w:val="22"/>
              </w:rPr>
              <w:t>%</w:t>
            </w:r>
          </w:p>
        </w:tc>
        <w:tc>
          <w:tcPr>
            <w:tcW w:w="1168" w:type="pct"/>
            <w:tcBorders>
              <w:top w:val="nil"/>
              <w:left w:val="nil"/>
              <w:right w:val="nil"/>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sz w:val="22"/>
                <w:szCs w:val="22"/>
              </w:rPr>
              <w:t>16.79 (0.0000)</w:t>
            </w:r>
            <w:r w:rsidRPr="002835EF">
              <w:rPr>
                <w:rFonts w:eastAsia="DFKai-SB" w:hint="eastAsia"/>
                <w:sz w:val="22"/>
                <w:szCs w:val="22"/>
              </w:rPr>
              <w:t>**</w:t>
            </w:r>
          </w:p>
        </w:tc>
      </w:tr>
      <w:tr w:rsidR="00FE1E17" w:rsidRPr="002835EF" w:rsidTr="00583009">
        <w:trPr>
          <w:trHeight w:val="397"/>
        </w:trPr>
        <w:tc>
          <w:tcPr>
            <w:tcW w:w="512" w:type="pct"/>
            <w:tcBorders>
              <w:top w:val="nil"/>
              <w:left w:val="nil"/>
              <w:bottom w:val="single" w:sz="12" w:space="0" w:color="auto"/>
              <w:right w:val="nil"/>
            </w:tcBorders>
            <w:shd w:val="clear" w:color="auto" w:fill="auto"/>
            <w:noWrap/>
            <w:vAlign w:val="center"/>
          </w:tcPr>
          <w:p w:rsidR="00FE1E17" w:rsidRPr="00E12CF3" w:rsidRDefault="00FE1E17" w:rsidP="00583009">
            <w:pPr>
              <w:adjustRightInd w:val="0"/>
              <w:snapToGrid w:val="0"/>
              <w:jc w:val="center"/>
              <w:rPr>
                <w:b/>
              </w:rPr>
            </w:pPr>
            <w:r w:rsidRPr="002835EF">
              <w:rPr>
                <w:rFonts w:eastAsia="DFKai-SB"/>
                <w:b/>
                <w:sz w:val="22"/>
                <w:szCs w:val="22"/>
              </w:rPr>
              <w:t>50</w:t>
            </w:r>
            <w:r>
              <w:rPr>
                <w:rFonts w:hint="eastAsia"/>
                <w:b/>
                <w:sz w:val="22"/>
                <w:szCs w:val="22"/>
              </w:rPr>
              <w:t>%</w:t>
            </w:r>
          </w:p>
        </w:tc>
        <w:tc>
          <w:tcPr>
            <w:tcW w:w="1033" w:type="pct"/>
            <w:tcBorders>
              <w:top w:val="nil"/>
              <w:left w:val="nil"/>
              <w:bottom w:val="single" w:sz="12" w:space="0" w:color="auto"/>
              <w:right w:val="nil"/>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kern w:val="0"/>
                <w:sz w:val="22"/>
                <w:szCs w:val="22"/>
              </w:rPr>
              <w:t>-0.217</w:t>
            </w:r>
            <w:r w:rsidRPr="002835EF">
              <w:rPr>
                <w:rFonts w:eastAsia="DFKai-SB"/>
                <w:sz w:val="22"/>
                <w:szCs w:val="22"/>
              </w:rPr>
              <w:t xml:space="preserve"> (0.000)</w:t>
            </w:r>
            <w:r w:rsidRPr="002835EF">
              <w:rPr>
                <w:rFonts w:eastAsia="DFKai-SB" w:hint="eastAsia"/>
                <w:sz w:val="22"/>
                <w:szCs w:val="22"/>
              </w:rPr>
              <w:t>**</w:t>
            </w:r>
          </w:p>
        </w:tc>
        <w:tc>
          <w:tcPr>
            <w:tcW w:w="512" w:type="pct"/>
            <w:tcBorders>
              <w:top w:val="nil"/>
              <w:left w:val="nil"/>
              <w:bottom w:val="single" w:sz="12" w:space="0" w:color="auto"/>
              <w:right w:val="nil"/>
            </w:tcBorders>
            <w:shd w:val="clear" w:color="auto" w:fill="auto"/>
            <w:noWrap/>
            <w:vAlign w:val="center"/>
          </w:tcPr>
          <w:p w:rsidR="00FE1E17" w:rsidRPr="002835EF" w:rsidRDefault="00FE1E17" w:rsidP="00583009">
            <w:pPr>
              <w:adjustRightInd w:val="0"/>
              <w:snapToGrid w:val="0"/>
              <w:jc w:val="center"/>
              <w:rPr>
                <w:rFonts w:eastAsia="DFKai-SB"/>
                <w:b/>
              </w:rPr>
            </w:pPr>
            <w:r w:rsidRPr="002835EF">
              <w:rPr>
                <w:rFonts w:eastAsia="DFKai-SB"/>
                <w:b/>
                <w:sz w:val="22"/>
                <w:szCs w:val="22"/>
              </w:rPr>
              <w:t>OLS</w:t>
            </w:r>
          </w:p>
        </w:tc>
        <w:tc>
          <w:tcPr>
            <w:tcW w:w="1035" w:type="pct"/>
            <w:tcBorders>
              <w:top w:val="nil"/>
              <w:left w:val="nil"/>
              <w:bottom w:val="single" w:sz="12" w:space="0" w:color="auto"/>
              <w:right w:val="single" w:sz="12" w:space="0" w:color="auto"/>
            </w:tcBorders>
            <w:shd w:val="clear" w:color="auto" w:fill="auto"/>
            <w:noWrap/>
            <w:vAlign w:val="center"/>
          </w:tcPr>
          <w:p w:rsidR="00FE1E17" w:rsidRPr="002835EF" w:rsidRDefault="00FE1E17" w:rsidP="00583009">
            <w:pPr>
              <w:adjustRightInd w:val="0"/>
              <w:snapToGrid w:val="0"/>
              <w:jc w:val="center"/>
              <w:rPr>
                <w:rFonts w:eastAsia="DFKai-SB"/>
              </w:rPr>
            </w:pPr>
            <w:r w:rsidRPr="002835EF">
              <w:rPr>
                <w:rFonts w:eastAsia="DFKai-SB"/>
                <w:sz w:val="22"/>
                <w:szCs w:val="22"/>
              </w:rPr>
              <w:t>0.232 (0.000)</w:t>
            </w:r>
            <w:r w:rsidRPr="002835EF">
              <w:rPr>
                <w:rFonts w:eastAsia="DFKai-SB" w:hint="eastAsia"/>
                <w:sz w:val="22"/>
                <w:szCs w:val="22"/>
              </w:rPr>
              <w:t>**</w:t>
            </w:r>
          </w:p>
        </w:tc>
        <w:tc>
          <w:tcPr>
            <w:tcW w:w="740" w:type="pct"/>
            <w:tcBorders>
              <w:top w:val="nil"/>
              <w:left w:val="single" w:sz="12" w:space="0" w:color="auto"/>
              <w:bottom w:val="single" w:sz="12" w:space="0" w:color="auto"/>
              <w:right w:val="nil"/>
            </w:tcBorders>
            <w:shd w:val="clear" w:color="auto" w:fill="auto"/>
            <w:noWrap/>
            <w:vAlign w:val="center"/>
          </w:tcPr>
          <w:p w:rsidR="00FE1E17" w:rsidRPr="002835EF" w:rsidRDefault="00FE1E17" w:rsidP="00583009">
            <w:pPr>
              <w:adjustRightInd w:val="0"/>
              <w:snapToGrid w:val="0"/>
              <w:jc w:val="center"/>
              <w:rPr>
                <w:rFonts w:eastAsia="DFKai-SB"/>
                <w:color w:val="FF0000"/>
              </w:rPr>
            </w:pPr>
          </w:p>
        </w:tc>
        <w:tc>
          <w:tcPr>
            <w:tcW w:w="1168" w:type="pct"/>
            <w:tcBorders>
              <w:top w:val="nil"/>
              <w:left w:val="nil"/>
              <w:bottom w:val="single" w:sz="12" w:space="0" w:color="auto"/>
              <w:right w:val="nil"/>
            </w:tcBorders>
            <w:shd w:val="clear" w:color="auto" w:fill="auto"/>
            <w:noWrap/>
            <w:vAlign w:val="center"/>
          </w:tcPr>
          <w:p w:rsidR="00FE1E17" w:rsidRPr="002835EF" w:rsidRDefault="00FE1E17" w:rsidP="00583009">
            <w:pPr>
              <w:adjustRightInd w:val="0"/>
              <w:snapToGrid w:val="0"/>
              <w:jc w:val="center"/>
              <w:rPr>
                <w:rFonts w:eastAsia="DFKai-SB"/>
                <w:color w:val="FF0000"/>
              </w:rPr>
            </w:pPr>
          </w:p>
        </w:tc>
      </w:tr>
    </w:tbl>
    <w:p w:rsidR="00FE1E17" w:rsidRPr="00754050" w:rsidRDefault="00FE1E17" w:rsidP="00FE1E17">
      <w:pPr>
        <w:adjustRightInd w:val="0"/>
        <w:snapToGrid w:val="0"/>
        <w:spacing w:before="120"/>
        <w:rPr>
          <w:sz w:val="20"/>
          <w:szCs w:val="20"/>
        </w:rPr>
      </w:pPr>
      <w:r w:rsidRPr="00754050">
        <w:rPr>
          <w:i/>
          <w:sz w:val="20"/>
          <w:szCs w:val="20"/>
        </w:rPr>
        <w:t>N</w:t>
      </w:r>
      <w:r w:rsidRPr="00754050">
        <w:rPr>
          <w:rFonts w:hint="eastAsia"/>
          <w:i/>
          <w:sz w:val="20"/>
          <w:szCs w:val="20"/>
        </w:rPr>
        <w:t>otes:</w:t>
      </w:r>
      <w:r w:rsidRPr="00754050">
        <w:rPr>
          <w:sz w:val="20"/>
          <w:szCs w:val="20"/>
        </w:rPr>
        <w:t xml:space="preserve"> The ** and * denote a 1% and a 5% level</w:t>
      </w:r>
      <w:r w:rsidRPr="00754050">
        <w:rPr>
          <w:rFonts w:hint="eastAsia"/>
          <w:sz w:val="20"/>
          <w:szCs w:val="20"/>
        </w:rPr>
        <w:t xml:space="preserve"> </w:t>
      </w:r>
      <w:r w:rsidRPr="00754050">
        <w:rPr>
          <w:sz w:val="20"/>
          <w:szCs w:val="20"/>
        </w:rPr>
        <w:t>of significance</w:t>
      </w:r>
      <w:r w:rsidRPr="00754050">
        <w:rPr>
          <w:rFonts w:hint="eastAsia"/>
          <w:sz w:val="20"/>
          <w:szCs w:val="20"/>
        </w:rPr>
        <w:t>, respectively.</w:t>
      </w:r>
    </w:p>
    <w:p w:rsidR="00FE1E17" w:rsidRDefault="00FE1E17" w:rsidP="00FE1E17">
      <w:pPr>
        <w:adjustRightInd w:val="0"/>
        <w:snapToGrid w:val="0"/>
        <w:spacing w:before="120"/>
        <w:jc w:val="both"/>
        <w:rPr>
          <w:sz w:val="22"/>
          <w:szCs w:val="22"/>
        </w:rPr>
      </w:pPr>
      <w:r>
        <w:rPr>
          <w:rFonts w:hint="eastAsia"/>
          <w:sz w:val="22"/>
          <w:szCs w:val="22"/>
        </w:rPr>
        <w:t xml:space="preserve"> </w:t>
      </w:r>
    </w:p>
    <w:p w:rsidR="00FE1E17" w:rsidRPr="00647F53" w:rsidRDefault="00FE1E17" w:rsidP="00FE1E17">
      <w:pPr>
        <w:spacing w:line="0" w:lineRule="atLeast"/>
        <w:jc w:val="both"/>
        <w:rPr>
          <w:sz w:val="22"/>
          <w:szCs w:val="22"/>
        </w:rPr>
      </w:pPr>
    </w:p>
    <w:p w:rsidR="00691B4A" w:rsidRPr="008126EB" w:rsidRDefault="0080640D" w:rsidP="00B32255">
      <w:pPr>
        <w:widowControl/>
        <w:adjustRightInd w:val="0"/>
        <w:snapToGrid w:val="0"/>
        <w:spacing w:line="288" w:lineRule="auto"/>
        <w:ind w:firstLineChars="295" w:firstLine="708"/>
        <w:jc w:val="both"/>
      </w:pPr>
      <w:r w:rsidRPr="008126EB">
        <w:t xml:space="preserve">Figure </w:t>
      </w:r>
      <w:r>
        <w:t>2</w:t>
      </w:r>
      <w:r>
        <w:rPr>
          <w:rFonts w:hint="eastAsia"/>
        </w:rPr>
        <w:t xml:space="preserve"> graphs the QR estimate of </w:t>
      </w:r>
      <w:r w:rsidRPr="0080640D">
        <w:rPr>
          <w:rFonts w:hint="eastAsia"/>
          <w:i/>
        </w:rPr>
        <w:t xml:space="preserve">|DA| </w:t>
      </w:r>
      <w:r>
        <w:rPr>
          <w:rFonts w:hint="eastAsia"/>
        </w:rPr>
        <w:t xml:space="preserve">coefficient </w:t>
      </w:r>
      <w:r w:rsidR="00F07F69">
        <w:t>with</w:t>
      </w:r>
      <w:r>
        <w:rPr>
          <w:rFonts w:hint="eastAsia"/>
        </w:rPr>
        <w:t xml:space="preserve"> </w:t>
      </w:r>
      <w:r w:rsidRPr="008126EB">
        <w:t>95% confidence intervals</w:t>
      </w:r>
      <w:r>
        <w:rPr>
          <w:rFonts w:hint="eastAsia"/>
        </w:rPr>
        <w:t xml:space="preserve">. </w:t>
      </w:r>
      <w:r w:rsidR="00DD62B9">
        <w:t>T</w:t>
      </w:r>
      <w:r w:rsidR="00691B4A" w:rsidRPr="008126EB">
        <w:t xml:space="preserve">he OLS </w:t>
      </w:r>
      <w:r>
        <w:rPr>
          <w:rFonts w:hint="eastAsia"/>
        </w:rPr>
        <w:t xml:space="preserve">results </w:t>
      </w:r>
      <w:r w:rsidR="00AC3541">
        <w:rPr>
          <w:rFonts w:hint="eastAsia"/>
        </w:rPr>
        <w:t>are also graphed</w:t>
      </w:r>
      <w:r w:rsidR="00DD62B9" w:rsidRPr="00DD62B9">
        <w:rPr>
          <w:rFonts w:hint="eastAsia"/>
        </w:rPr>
        <w:t xml:space="preserve"> </w:t>
      </w:r>
      <w:r w:rsidR="00F07F69">
        <w:t>for</w:t>
      </w:r>
      <w:r w:rsidR="00DD62B9">
        <w:rPr>
          <w:rFonts w:hint="eastAsia"/>
        </w:rPr>
        <w:t xml:space="preserve"> comparison</w:t>
      </w:r>
      <w:r w:rsidR="00AC3541">
        <w:rPr>
          <w:rFonts w:hint="eastAsia"/>
        </w:rPr>
        <w:t xml:space="preserve">. As </w:t>
      </w:r>
      <w:r w:rsidR="009E782A">
        <w:t>demonstrated</w:t>
      </w:r>
      <w:r w:rsidR="00AC3541">
        <w:rPr>
          <w:rFonts w:hint="eastAsia"/>
        </w:rPr>
        <w:t xml:space="preserve"> in </w:t>
      </w:r>
      <w:r w:rsidR="0094200A" w:rsidRPr="008126EB">
        <w:t xml:space="preserve">Figure </w:t>
      </w:r>
      <w:r w:rsidR="00BE07AC">
        <w:t>2</w:t>
      </w:r>
      <w:r w:rsidR="00AC3541">
        <w:rPr>
          <w:rFonts w:hint="eastAsia"/>
        </w:rPr>
        <w:t xml:space="preserve">, </w:t>
      </w:r>
      <w:r w:rsidR="00691B4A" w:rsidRPr="008126EB">
        <w:t xml:space="preserve">there is little overlap across quantiles of </w:t>
      </w:r>
      <w:r w:rsidR="00691B4A" w:rsidRPr="008126EB">
        <w:rPr>
          <w:rFonts w:hint="eastAsia"/>
          <w:i/>
        </w:rPr>
        <w:t>RETURN</w:t>
      </w:r>
      <w:r w:rsidR="00691B4A" w:rsidRPr="008126EB">
        <w:t xml:space="preserve">. </w:t>
      </w:r>
      <w:r w:rsidR="00DD62B9">
        <w:t xml:space="preserve">Since </w:t>
      </w:r>
      <w:r w:rsidR="0094200A" w:rsidRPr="008126EB">
        <w:t xml:space="preserve">the OLS </w:t>
      </w:r>
      <w:r w:rsidR="009027E3">
        <w:t xml:space="preserve">provides </w:t>
      </w:r>
      <w:r w:rsidR="005A2105">
        <w:t>a</w:t>
      </w:r>
      <w:r w:rsidR="009027E3">
        <w:t xml:space="preserve"> point </w:t>
      </w:r>
      <w:r w:rsidR="00AC3541">
        <w:rPr>
          <w:rFonts w:hint="eastAsia"/>
        </w:rPr>
        <w:t xml:space="preserve">estimate </w:t>
      </w:r>
      <w:r w:rsidR="00AC3541" w:rsidRPr="008126EB">
        <w:t>of th</w:t>
      </w:r>
      <w:r w:rsidR="00AC3541">
        <w:rPr>
          <w:rFonts w:hint="eastAsia"/>
        </w:rPr>
        <w:t>e</w:t>
      </w:r>
      <w:r w:rsidR="00AC3541">
        <w:t xml:space="preserve"> </w:t>
      </w:r>
      <w:r w:rsidR="00AC3541" w:rsidRPr="008126EB">
        <w:rPr>
          <w:rFonts w:hint="eastAsia"/>
        </w:rPr>
        <w:t>|</w:t>
      </w:r>
      <w:r w:rsidR="00AC3541" w:rsidRPr="008126EB">
        <w:rPr>
          <w:i/>
        </w:rPr>
        <w:t>DA</w:t>
      </w:r>
      <w:r w:rsidR="00AC3541" w:rsidRPr="008126EB">
        <w:rPr>
          <w:rFonts w:hint="eastAsia"/>
          <w:i/>
        </w:rPr>
        <w:t>|</w:t>
      </w:r>
      <w:r w:rsidR="00AC3541">
        <w:t>–</w:t>
      </w:r>
      <w:r w:rsidR="00AC3541" w:rsidRPr="008126EB">
        <w:rPr>
          <w:rFonts w:hint="eastAsia"/>
          <w:i/>
        </w:rPr>
        <w:t>RETURN</w:t>
      </w:r>
      <w:r w:rsidR="00AC3541" w:rsidRPr="008126EB">
        <w:t xml:space="preserve"> </w:t>
      </w:r>
      <w:r w:rsidR="00DD62B9">
        <w:t xml:space="preserve">relation, it </w:t>
      </w:r>
      <w:r w:rsidR="00AC3541">
        <w:rPr>
          <w:rFonts w:hint="eastAsia"/>
        </w:rPr>
        <w:t xml:space="preserve">captures </w:t>
      </w:r>
      <w:r w:rsidR="0094200A" w:rsidRPr="008126EB">
        <w:t xml:space="preserve">the </w:t>
      </w:r>
      <w:r w:rsidR="00AC3541">
        <w:rPr>
          <w:rFonts w:hint="eastAsia"/>
        </w:rPr>
        <w:t>rel</w:t>
      </w:r>
      <w:r w:rsidR="0094200A" w:rsidRPr="008126EB">
        <w:t>ation</w:t>
      </w:r>
      <w:r w:rsidR="00DD62B9">
        <w:t xml:space="preserve"> between two elements </w:t>
      </w:r>
      <w:r w:rsidR="009027E3">
        <w:t xml:space="preserve">under </w:t>
      </w:r>
      <w:r w:rsidR="00DD62B9">
        <w:t xml:space="preserve">average </w:t>
      </w:r>
      <w:r w:rsidR="00DD62B9" w:rsidRPr="008126EB">
        <w:rPr>
          <w:rFonts w:hint="eastAsia"/>
          <w:i/>
        </w:rPr>
        <w:t>RETURN</w:t>
      </w:r>
      <w:r w:rsidR="00AC3541">
        <w:rPr>
          <w:rFonts w:hint="eastAsia"/>
        </w:rPr>
        <w:t xml:space="preserve">. </w:t>
      </w:r>
      <w:r w:rsidR="00F34F85">
        <w:t>C</w:t>
      </w:r>
      <w:r w:rsidR="00E554B1">
        <w:rPr>
          <w:rFonts w:hint="eastAsia"/>
        </w:rPr>
        <w:t>omparing with the QR estimates,</w:t>
      </w:r>
      <w:r w:rsidR="00691B4A" w:rsidRPr="008126EB">
        <w:t xml:space="preserve"> </w:t>
      </w:r>
      <w:r w:rsidR="00F34F85">
        <w:t xml:space="preserve">it is evident that </w:t>
      </w:r>
      <w:r w:rsidR="00691B4A" w:rsidRPr="008126EB">
        <w:t xml:space="preserve">the OLS estimate </w:t>
      </w:r>
      <w:r w:rsidR="00F34F85">
        <w:t xml:space="preserve">fails to </w:t>
      </w:r>
      <w:r w:rsidR="00E554B1">
        <w:t>capture</w:t>
      </w:r>
      <w:r w:rsidR="00E554B1">
        <w:rPr>
          <w:rFonts w:hint="eastAsia"/>
        </w:rPr>
        <w:t xml:space="preserve"> </w:t>
      </w:r>
      <w:r w:rsidR="0094200A">
        <w:t>the</w:t>
      </w:r>
      <w:r w:rsidR="00691B4A" w:rsidRPr="008126EB">
        <w:t xml:space="preserve"> </w:t>
      </w:r>
      <w:r w:rsidR="006177DD" w:rsidRPr="008126EB">
        <w:rPr>
          <w:rFonts w:hint="eastAsia"/>
        </w:rPr>
        <w:t>|</w:t>
      </w:r>
      <w:r w:rsidR="006177DD" w:rsidRPr="008126EB">
        <w:rPr>
          <w:i/>
        </w:rPr>
        <w:t>DA</w:t>
      </w:r>
      <w:r w:rsidR="006177DD" w:rsidRPr="008126EB">
        <w:rPr>
          <w:rFonts w:hint="eastAsia"/>
          <w:i/>
        </w:rPr>
        <w:t>|</w:t>
      </w:r>
      <w:r w:rsidR="006C14B7">
        <w:t>–</w:t>
      </w:r>
      <w:r w:rsidR="006177DD" w:rsidRPr="008126EB">
        <w:rPr>
          <w:rFonts w:hint="eastAsia"/>
          <w:i/>
        </w:rPr>
        <w:t>RETURN</w:t>
      </w:r>
      <w:r w:rsidR="006177DD" w:rsidRPr="008126EB">
        <w:t xml:space="preserve"> relation </w:t>
      </w:r>
      <w:r w:rsidR="00691B4A" w:rsidRPr="008126EB">
        <w:t>outside of the central regions</w:t>
      </w:r>
      <w:r w:rsidR="0094200A">
        <w:t xml:space="preserve"> of stock returns</w:t>
      </w:r>
      <w:r w:rsidR="00F07F69">
        <w:t>. Thus, th</w:t>
      </w:r>
      <w:r w:rsidR="00FC0328">
        <w:rPr>
          <w:rFonts w:hint="eastAsia"/>
        </w:rPr>
        <w:t>e OLS</w:t>
      </w:r>
      <w:r w:rsidR="00F07F69">
        <w:t xml:space="preserve"> estimate </w:t>
      </w:r>
      <w:r w:rsidR="0084206A">
        <w:rPr>
          <w:rFonts w:hint="eastAsia"/>
        </w:rPr>
        <w:t>offer</w:t>
      </w:r>
      <w:r w:rsidR="00F07F69">
        <w:t xml:space="preserve">s </w:t>
      </w:r>
      <w:r w:rsidR="0084206A">
        <w:rPr>
          <w:rFonts w:hint="eastAsia"/>
        </w:rPr>
        <w:t xml:space="preserve">an incomplete </w:t>
      </w:r>
      <w:r w:rsidR="0084206A">
        <w:t>description</w:t>
      </w:r>
      <w:r w:rsidR="0084206A">
        <w:rPr>
          <w:rFonts w:hint="eastAsia"/>
        </w:rPr>
        <w:t xml:space="preserve"> of </w:t>
      </w:r>
      <w:r w:rsidR="0094200A">
        <w:t>the</w:t>
      </w:r>
      <w:r w:rsidR="0094200A" w:rsidRPr="008126EB">
        <w:t xml:space="preserve"> </w:t>
      </w:r>
      <w:r w:rsidR="0094200A" w:rsidRPr="008126EB">
        <w:rPr>
          <w:rFonts w:hint="eastAsia"/>
        </w:rPr>
        <w:t>|</w:t>
      </w:r>
      <w:r w:rsidR="0094200A" w:rsidRPr="008126EB">
        <w:rPr>
          <w:i/>
        </w:rPr>
        <w:t>DA</w:t>
      </w:r>
      <w:r w:rsidR="0094200A" w:rsidRPr="008126EB">
        <w:rPr>
          <w:rFonts w:hint="eastAsia"/>
          <w:i/>
        </w:rPr>
        <w:t>|</w:t>
      </w:r>
      <w:r w:rsidR="0094200A">
        <w:t>–</w:t>
      </w:r>
      <w:r w:rsidR="0094200A" w:rsidRPr="008126EB">
        <w:rPr>
          <w:rFonts w:hint="eastAsia"/>
          <w:i/>
        </w:rPr>
        <w:t>RETURN</w:t>
      </w:r>
      <w:r w:rsidR="0094200A" w:rsidRPr="008126EB">
        <w:t xml:space="preserve"> relation</w:t>
      </w:r>
      <w:r w:rsidR="006177DD" w:rsidRPr="008126EB">
        <w:t xml:space="preserve">. </w:t>
      </w:r>
      <w:r w:rsidR="00691B4A" w:rsidRPr="008126EB">
        <w:t xml:space="preserve">This </w:t>
      </w:r>
      <w:r w:rsidR="008B3EA0">
        <w:t>issue</w:t>
      </w:r>
      <w:r w:rsidR="00691B4A" w:rsidRPr="008126EB">
        <w:t xml:space="preserve"> is particularly </w:t>
      </w:r>
      <w:r w:rsidR="00F34F85">
        <w:t>pronounced</w:t>
      </w:r>
      <w:r w:rsidR="00F34F85" w:rsidRPr="008126EB">
        <w:t xml:space="preserve"> </w:t>
      </w:r>
      <w:r w:rsidR="008B3EA0">
        <w:t xml:space="preserve">at </w:t>
      </w:r>
      <w:r w:rsidR="008B3EA0" w:rsidRPr="008126EB">
        <w:t>the relatively high</w:t>
      </w:r>
      <w:r w:rsidR="008B3EA0">
        <w:rPr>
          <w:rFonts w:hint="eastAsia"/>
        </w:rPr>
        <w:t>/low</w:t>
      </w:r>
      <w:r w:rsidR="008B3EA0" w:rsidRPr="008126EB">
        <w:t xml:space="preserve"> </w:t>
      </w:r>
      <w:r w:rsidR="008B3EA0" w:rsidRPr="008126EB">
        <w:rPr>
          <w:rFonts w:hint="eastAsia"/>
          <w:i/>
        </w:rPr>
        <w:t>RETURN</w:t>
      </w:r>
      <w:r w:rsidR="008B3EA0" w:rsidRPr="008126EB">
        <w:t xml:space="preserve"> quantiles </w:t>
      </w:r>
      <w:r w:rsidR="00691B4A" w:rsidRPr="008126EB">
        <w:t xml:space="preserve">when a firm </w:t>
      </w:r>
      <w:r w:rsidR="008B3EA0">
        <w:t>encounters</w:t>
      </w:r>
      <w:r w:rsidR="00691B4A" w:rsidRPr="008126EB">
        <w:t xml:space="preserve"> a </w:t>
      </w:r>
      <w:r w:rsidR="008B3EA0">
        <w:t>sizable</w:t>
      </w:r>
      <w:r w:rsidR="00691B4A" w:rsidRPr="008126EB">
        <w:t xml:space="preserve"> </w:t>
      </w:r>
      <w:r w:rsidR="0084206A">
        <w:rPr>
          <w:rFonts w:hint="eastAsia"/>
        </w:rPr>
        <w:t xml:space="preserve">gain/loss </w:t>
      </w:r>
      <w:r w:rsidR="00691B4A" w:rsidRPr="008126EB">
        <w:t xml:space="preserve">in </w:t>
      </w:r>
      <w:r w:rsidR="008B3EA0">
        <w:t>capital market</w:t>
      </w:r>
      <w:r w:rsidR="00691B4A" w:rsidRPr="008126EB">
        <w:t>.</w:t>
      </w:r>
    </w:p>
    <w:p w:rsidR="00403A8F" w:rsidRDefault="00403A8F" w:rsidP="00583009">
      <w:pPr>
        <w:jc w:val="center"/>
        <w:rPr>
          <w:b/>
          <w:sz w:val="22"/>
          <w:szCs w:val="22"/>
        </w:rPr>
      </w:pPr>
    </w:p>
    <w:p w:rsidR="00754050" w:rsidRDefault="00754050" w:rsidP="00754050">
      <w:pPr>
        <w:snapToGrid w:val="0"/>
        <w:spacing w:line="288" w:lineRule="auto"/>
        <w:jc w:val="both"/>
        <w:rPr>
          <w:kern w:val="0"/>
        </w:rPr>
      </w:pPr>
      <w:r>
        <w:tab/>
        <w:t>Since</w:t>
      </w:r>
      <w:r w:rsidRPr="008126EB">
        <w:t xml:space="preserve"> a value higher (lower) than the median </w:t>
      </w:r>
      <w:r>
        <w:t xml:space="preserve">stock </w:t>
      </w:r>
      <w:r w:rsidRPr="008126EB">
        <w:t>return quantile</w:t>
      </w:r>
      <w:r w:rsidRPr="008126EB">
        <w:rPr>
          <w:rFonts w:eastAsia="PMingLiU" w:hint="eastAsia"/>
        </w:rPr>
        <w:t xml:space="preserve"> </w:t>
      </w:r>
      <w:r w:rsidRPr="008126EB">
        <w:t xml:space="preserve">can be </w:t>
      </w:r>
      <w:r>
        <w:t>viewed</w:t>
      </w:r>
      <w:r w:rsidRPr="008126EB">
        <w:t xml:space="preserve"> as an </w:t>
      </w:r>
      <w:r w:rsidRPr="008126EB">
        <w:rPr>
          <w:rFonts w:hint="eastAsia"/>
        </w:rPr>
        <w:t xml:space="preserve">increase </w:t>
      </w:r>
      <w:r w:rsidRPr="008126EB">
        <w:t>(</w:t>
      </w:r>
      <w:r w:rsidRPr="008126EB">
        <w:rPr>
          <w:rFonts w:hint="eastAsia"/>
        </w:rPr>
        <w:t>decrease</w:t>
      </w:r>
      <w:r w:rsidRPr="008126EB">
        <w:t>)</w:t>
      </w:r>
      <w:r w:rsidRPr="008126EB">
        <w:rPr>
          <w:rFonts w:hint="eastAsia"/>
        </w:rPr>
        <w:t xml:space="preserve"> </w:t>
      </w:r>
      <w:r w:rsidRPr="008126EB">
        <w:t xml:space="preserve">in </w:t>
      </w:r>
      <w:r w:rsidRPr="008126EB">
        <w:rPr>
          <w:rFonts w:eastAsia="Malgun Gothic" w:hint="eastAsia"/>
          <w:lang w:eastAsia="ko-KR"/>
        </w:rPr>
        <w:t>s</w:t>
      </w:r>
      <w:r w:rsidRPr="008126EB">
        <w:rPr>
          <w:rFonts w:eastAsia="Malgun Gothic"/>
          <w:lang w:eastAsia="ko-KR"/>
        </w:rPr>
        <w:t xml:space="preserve">tock </w:t>
      </w:r>
      <w:r w:rsidRPr="008126EB">
        <w:rPr>
          <w:rFonts w:hint="eastAsia"/>
        </w:rPr>
        <w:t>price</w:t>
      </w:r>
      <w:r>
        <w:t xml:space="preserve">, </w:t>
      </w:r>
      <w:r w:rsidRPr="008126EB">
        <w:t xml:space="preserve">QR results </w:t>
      </w:r>
      <w:r>
        <w:t>demonstrate</w:t>
      </w:r>
      <w:r w:rsidRPr="008126EB">
        <w:t xml:space="preserve"> that the pattern</w:t>
      </w:r>
      <w:r>
        <w:rPr>
          <w:rFonts w:hint="eastAsia"/>
        </w:rPr>
        <w:t xml:space="preserve"> </w:t>
      </w:r>
      <w:r>
        <w:t xml:space="preserve">of the relationship </w:t>
      </w:r>
      <w:r>
        <w:rPr>
          <w:rFonts w:hint="eastAsia"/>
        </w:rPr>
        <w:t xml:space="preserve">between </w:t>
      </w:r>
      <w:r w:rsidRPr="008126EB">
        <w:rPr>
          <w:rFonts w:hint="eastAsia"/>
        </w:rPr>
        <w:t xml:space="preserve">earnings </w:t>
      </w:r>
      <w:r>
        <w:t xml:space="preserve">manipulation </w:t>
      </w:r>
      <w:r>
        <w:rPr>
          <w:rFonts w:hint="eastAsia"/>
        </w:rPr>
        <w:t xml:space="preserve">and </w:t>
      </w:r>
      <w:r>
        <w:t xml:space="preserve">returns on equity shares </w:t>
      </w:r>
      <w:r>
        <w:rPr>
          <w:rFonts w:hint="eastAsia"/>
        </w:rPr>
        <w:t>is</w:t>
      </w:r>
      <w:r w:rsidRPr="008126EB">
        <w:t xml:space="preserve"> asymmetric</w:t>
      </w:r>
      <w:r w:rsidRPr="008126EB">
        <w:rPr>
          <w:rFonts w:hint="eastAsia"/>
        </w:rPr>
        <w:t xml:space="preserve"> </w:t>
      </w:r>
      <w:r w:rsidRPr="008126EB">
        <w:t xml:space="preserve">across the entire stock return distribution. </w:t>
      </w:r>
      <w:r>
        <w:t>Because</w:t>
      </w:r>
      <w:r>
        <w:rPr>
          <w:rFonts w:hint="eastAsia"/>
        </w:rPr>
        <w:t xml:space="preserve"> </w:t>
      </w:r>
      <w:r>
        <w:t xml:space="preserve">there is </w:t>
      </w:r>
      <w:r w:rsidRPr="008126EB">
        <w:rPr>
          <w:kern w:val="0"/>
        </w:rPr>
        <w:t>a significant</w:t>
      </w:r>
      <w:r>
        <w:rPr>
          <w:rFonts w:hint="eastAsia"/>
          <w:kern w:val="0"/>
        </w:rPr>
        <w:t xml:space="preserve"> and</w:t>
      </w:r>
      <w:r w:rsidRPr="008126EB">
        <w:rPr>
          <w:kern w:val="0"/>
        </w:rPr>
        <w:t xml:space="preserve"> positive </w:t>
      </w:r>
      <w:r w:rsidRPr="008126EB">
        <w:rPr>
          <w:rFonts w:hint="eastAsia"/>
        </w:rPr>
        <w:t>|</w:t>
      </w:r>
      <w:r w:rsidRPr="008126EB">
        <w:rPr>
          <w:i/>
        </w:rPr>
        <w:t>DA</w:t>
      </w:r>
      <w:r w:rsidRPr="008126EB">
        <w:rPr>
          <w:rFonts w:hint="eastAsia"/>
          <w:i/>
        </w:rPr>
        <w:t>|</w:t>
      </w:r>
      <w:r>
        <w:t>–</w:t>
      </w:r>
      <w:r w:rsidRPr="008126EB">
        <w:rPr>
          <w:rFonts w:hint="eastAsia"/>
          <w:i/>
        </w:rPr>
        <w:t>RETURN</w:t>
      </w:r>
      <w:r w:rsidRPr="008126EB">
        <w:t xml:space="preserve"> relation</w:t>
      </w:r>
      <w:r w:rsidRPr="008126EB">
        <w:rPr>
          <w:kern w:val="0"/>
        </w:rPr>
        <w:t xml:space="preserve"> </w:t>
      </w:r>
      <w:r>
        <w:rPr>
          <w:rFonts w:hint="eastAsia"/>
          <w:kern w:val="0"/>
        </w:rPr>
        <w:t xml:space="preserve">over </w:t>
      </w:r>
      <w:r w:rsidRPr="008126EB">
        <w:t>7</w:t>
      </w:r>
      <w:r w:rsidRPr="008126EB">
        <w:rPr>
          <w:rFonts w:hint="eastAsia"/>
        </w:rPr>
        <w:t>5</w:t>
      </w:r>
      <w:r>
        <w:rPr>
          <w:rFonts w:hint="eastAsia"/>
        </w:rPr>
        <w:t xml:space="preserve">% to </w:t>
      </w:r>
      <w:r w:rsidRPr="008126EB">
        <w:t>95</w:t>
      </w:r>
      <w:r>
        <w:rPr>
          <w:rFonts w:hint="eastAsia"/>
        </w:rPr>
        <w:t>%</w:t>
      </w:r>
      <w:r w:rsidRPr="008126EB">
        <w:t xml:space="preserve"> </w:t>
      </w:r>
      <w:r w:rsidRPr="008126EB">
        <w:rPr>
          <w:i/>
        </w:rPr>
        <w:t>RET</w:t>
      </w:r>
      <w:r w:rsidRPr="008126EB">
        <w:rPr>
          <w:rFonts w:hint="eastAsia"/>
          <w:i/>
        </w:rPr>
        <w:t>URN</w:t>
      </w:r>
      <w:r w:rsidRPr="008126EB">
        <w:t xml:space="preserve"> quantiles</w:t>
      </w:r>
      <w:r>
        <w:t xml:space="preserve">, </w:t>
      </w:r>
      <w:r>
        <w:rPr>
          <w:kern w:val="0"/>
        </w:rPr>
        <w:t>it indicates</w:t>
      </w:r>
      <w:r>
        <w:rPr>
          <w:rFonts w:hint="eastAsia"/>
          <w:kern w:val="0"/>
        </w:rPr>
        <w:t xml:space="preserve"> that </w:t>
      </w:r>
      <w:r>
        <w:rPr>
          <w:kern w:val="0"/>
        </w:rPr>
        <w:t xml:space="preserve">corporate </w:t>
      </w:r>
      <w:r>
        <w:rPr>
          <w:rFonts w:hint="eastAsia"/>
          <w:kern w:val="0"/>
        </w:rPr>
        <w:t xml:space="preserve">executives </w:t>
      </w:r>
      <w:r>
        <w:rPr>
          <w:kern w:val="0"/>
        </w:rPr>
        <w:t xml:space="preserve">probably would be </w:t>
      </w:r>
      <w:r w:rsidRPr="008126EB">
        <w:rPr>
          <w:kern w:val="0"/>
        </w:rPr>
        <w:t xml:space="preserve">more </w:t>
      </w:r>
      <w:r>
        <w:rPr>
          <w:kern w:val="0"/>
        </w:rPr>
        <w:t xml:space="preserve">inclined to involve </w:t>
      </w:r>
      <w:r w:rsidRPr="008126EB">
        <w:rPr>
          <w:kern w:val="0"/>
        </w:rPr>
        <w:t xml:space="preserve">in </w:t>
      </w:r>
      <w:r w:rsidRPr="008126EB">
        <w:rPr>
          <w:rFonts w:hint="eastAsia"/>
          <w:kern w:val="0"/>
        </w:rPr>
        <w:t xml:space="preserve">earnings </w:t>
      </w:r>
      <w:r>
        <w:rPr>
          <w:kern w:val="0"/>
        </w:rPr>
        <w:t>manipulation</w:t>
      </w:r>
      <w:r>
        <w:rPr>
          <w:rFonts w:hint="eastAsia"/>
        </w:rPr>
        <w:t xml:space="preserve"> </w:t>
      </w:r>
      <w:r>
        <w:t xml:space="preserve">when </w:t>
      </w:r>
      <w:r>
        <w:rPr>
          <w:rFonts w:hint="eastAsia"/>
          <w:kern w:val="0"/>
        </w:rPr>
        <w:t>firms experiencing a significant gain in stock returns</w:t>
      </w:r>
      <w:r w:rsidRPr="008126EB">
        <w:rPr>
          <w:rFonts w:hint="eastAsia"/>
          <w:kern w:val="0"/>
        </w:rPr>
        <w:t xml:space="preserve">. </w:t>
      </w:r>
      <w:r>
        <w:rPr>
          <w:kern w:val="0"/>
        </w:rPr>
        <w:t>Hence</w:t>
      </w:r>
      <w:r w:rsidRPr="008126EB">
        <w:rPr>
          <w:kern w:val="0"/>
        </w:rPr>
        <w:t xml:space="preserve">, the </w:t>
      </w:r>
      <w:r w:rsidRPr="0080640D">
        <w:rPr>
          <w:rFonts w:hint="eastAsia"/>
          <w:i/>
        </w:rPr>
        <w:t>|DA</w:t>
      </w:r>
      <w:r w:rsidRPr="004A546B">
        <w:t>|</w:t>
      </w:r>
      <w:r w:rsidRPr="0080640D">
        <w:rPr>
          <w:rFonts w:hint="eastAsia"/>
          <w:i/>
        </w:rPr>
        <w:t xml:space="preserve"> </w:t>
      </w:r>
      <w:r w:rsidRPr="008126EB">
        <w:rPr>
          <w:kern w:val="0"/>
        </w:rPr>
        <w:t xml:space="preserve">accelerates as stock return increases. From the prospect theory perspective, </w:t>
      </w:r>
      <w:r>
        <w:rPr>
          <w:kern w:val="0"/>
        </w:rPr>
        <w:t>t</w:t>
      </w:r>
      <w:r w:rsidRPr="008126EB">
        <w:rPr>
          <w:kern w:val="0"/>
        </w:rPr>
        <w:t xml:space="preserve">his </w:t>
      </w:r>
      <w:r>
        <w:rPr>
          <w:kern w:val="0"/>
        </w:rPr>
        <w:t>evidence</w:t>
      </w:r>
      <w:r w:rsidRPr="008126EB">
        <w:rPr>
          <w:kern w:val="0"/>
        </w:rPr>
        <w:t xml:space="preserve"> suggest</w:t>
      </w:r>
      <w:r>
        <w:rPr>
          <w:kern w:val="0"/>
        </w:rPr>
        <w:t>s</w:t>
      </w:r>
      <w:r w:rsidRPr="008126EB">
        <w:rPr>
          <w:kern w:val="0"/>
        </w:rPr>
        <w:t xml:space="preserve"> that </w:t>
      </w:r>
      <w:r>
        <w:rPr>
          <w:kern w:val="0"/>
        </w:rPr>
        <w:t xml:space="preserve">firm </w:t>
      </w:r>
      <w:r w:rsidRPr="008126EB">
        <w:rPr>
          <w:kern w:val="0"/>
        </w:rPr>
        <w:t xml:space="preserve">executives </w:t>
      </w:r>
      <w:r>
        <w:rPr>
          <w:kern w:val="0"/>
        </w:rPr>
        <w:t xml:space="preserve">may engage in earnings manipulation and use them as a low-risk strategy to </w:t>
      </w:r>
      <w:r w:rsidRPr="008126EB">
        <w:rPr>
          <w:kern w:val="0"/>
        </w:rPr>
        <w:t>stabilize a firm’s future share prices</w:t>
      </w:r>
      <w:r>
        <w:rPr>
          <w:kern w:val="0"/>
        </w:rPr>
        <w:t>,</w:t>
      </w:r>
      <w:r w:rsidRPr="008126EB">
        <w:rPr>
          <w:kern w:val="0"/>
        </w:rPr>
        <w:t xml:space="preserve"> </w:t>
      </w:r>
      <w:r>
        <w:rPr>
          <w:kern w:val="0"/>
        </w:rPr>
        <w:t>as</w:t>
      </w:r>
      <w:r w:rsidRPr="008126EB">
        <w:rPr>
          <w:kern w:val="0"/>
        </w:rPr>
        <w:t xml:space="preserve"> they enjoy</w:t>
      </w:r>
      <w:r w:rsidRPr="000129AB">
        <w:rPr>
          <w:kern w:val="0"/>
        </w:rPr>
        <w:t xml:space="preserve"> </w:t>
      </w:r>
      <w:r w:rsidRPr="008126EB">
        <w:rPr>
          <w:kern w:val="0"/>
        </w:rPr>
        <w:t xml:space="preserve">significantly higher than </w:t>
      </w:r>
      <w:r>
        <w:rPr>
          <w:kern w:val="0"/>
        </w:rPr>
        <w:t xml:space="preserve">the </w:t>
      </w:r>
      <w:r w:rsidRPr="008126EB">
        <w:rPr>
          <w:kern w:val="0"/>
        </w:rPr>
        <w:t>average stock returns.</w:t>
      </w:r>
    </w:p>
    <w:p w:rsidR="00754050" w:rsidRDefault="00754050" w:rsidP="00583009">
      <w:pPr>
        <w:jc w:val="center"/>
        <w:rPr>
          <w:b/>
          <w:sz w:val="22"/>
          <w:szCs w:val="22"/>
        </w:rPr>
      </w:pPr>
    </w:p>
    <w:p w:rsidR="00754050" w:rsidRDefault="00754050" w:rsidP="00583009">
      <w:pPr>
        <w:jc w:val="center"/>
        <w:rPr>
          <w:b/>
          <w:sz w:val="22"/>
          <w:szCs w:val="22"/>
        </w:rPr>
      </w:pPr>
    </w:p>
    <w:p w:rsidR="00754050" w:rsidRDefault="00754050" w:rsidP="00583009">
      <w:pPr>
        <w:jc w:val="center"/>
        <w:rPr>
          <w:b/>
          <w:sz w:val="22"/>
          <w:szCs w:val="22"/>
        </w:rPr>
      </w:pPr>
    </w:p>
    <w:p w:rsidR="00754050" w:rsidRDefault="00754050" w:rsidP="00583009">
      <w:pPr>
        <w:jc w:val="center"/>
        <w:rPr>
          <w:b/>
          <w:sz w:val="22"/>
          <w:szCs w:val="22"/>
        </w:rPr>
      </w:pPr>
    </w:p>
    <w:p w:rsidR="00754050" w:rsidRDefault="00583009" w:rsidP="00583009">
      <w:pPr>
        <w:jc w:val="center"/>
        <w:rPr>
          <w:b/>
          <w:sz w:val="22"/>
          <w:szCs w:val="22"/>
        </w:rPr>
      </w:pPr>
      <w:r w:rsidRPr="00403A8F">
        <w:rPr>
          <w:rFonts w:hint="eastAsia"/>
          <w:b/>
          <w:sz w:val="22"/>
          <w:szCs w:val="22"/>
        </w:rPr>
        <w:t xml:space="preserve">Figure </w:t>
      </w:r>
      <w:r w:rsidRPr="00403A8F">
        <w:rPr>
          <w:b/>
          <w:sz w:val="22"/>
          <w:szCs w:val="22"/>
        </w:rPr>
        <w:t>2</w:t>
      </w:r>
      <w:r w:rsidR="00754050">
        <w:rPr>
          <w:b/>
          <w:sz w:val="22"/>
          <w:szCs w:val="22"/>
        </w:rPr>
        <w:t>: Coefficient E</w:t>
      </w:r>
      <w:r w:rsidRPr="00403A8F">
        <w:rPr>
          <w:b/>
          <w:sz w:val="22"/>
          <w:szCs w:val="22"/>
        </w:rPr>
        <w:t xml:space="preserve">stimates of </w:t>
      </w:r>
      <w:r w:rsidRPr="00403A8F">
        <w:rPr>
          <w:rFonts w:hint="eastAsia"/>
          <w:b/>
          <w:sz w:val="22"/>
          <w:szCs w:val="22"/>
        </w:rPr>
        <w:t>|</w:t>
      </w:r>
      <w:r w:rsidRPr="00403A8F">
        <w:rPr>
          <w:b/>
          <w:i/>
          <w:sz w:val="22"/>
          <w:szCs w:val="22"/>
        </w:rPr>
        <w:t>DA</w:t>
      </w:r>
      <w:r w:rsidRPr="00403A8F">
        <w:rPr>
          <w:rFonts w:hint="eastAsia"/>
          <w:b/>
          <w:i/>
          <w:sz w:val="22"/>
          <w:szCs w:val="22"/>
        </w:rPr>
        <w:t>|</w:t>
      </w:r>
      <w:r w:rsidR="00754050">
        <w:rPr>
          <w:b/>
          <w:sz w:val="22"/>
          <w:szCs w:val="22"/>
        </w:rPr>
        <w:t xml:space="preserve"> Across Various Q</w:t>
      </w:r>
      <w:r w:rsidRPr="00403A8F">
        <w:rPr>
          <w:b/>
          <w:sz w:val="22"/>
          <w:szCs w:val="22"/>
        </w:rPr>
        <w:t>uantiles</w:t>
      </w:r>
      <w:r w:rsidR="00754050">
        <w:rPr>
          <w:rFonts w:eastAsia="DFKai-SB"/>
          <w:b/>
          <w:sz w:val="22"/>
          <w:szCs w:val="22"/>
        </w:rPr>
        <w:t xml:space="preserve"> of Stock R</w:t>
      </w:r>
      <w:r w:rsidRPr="00403A8F">
        <w:rPr>
          <w:rFonts w:eastAsia="DFKai-SB"/>
          <w:b/>
          <w:sz w:val="22"/>
          <w:szCs w:val="22"/>
        </w:rPr>
        <w:t>eturns</w:t>
      </w:r>
    </w:p>
    <w:p w:rsidR="00583009" w:rsidRPr="00754050" w:rsidRDefault="00583009" w:rsidP="00583009">
      <w:pPr>
        <w:jc w:val="center"/>
        <w:rPr>
          <w:sz w:val="22"/>
          <w:szCs w:val="22"/>
        </w:rPr>
      </w:pPr>
      <w:r w:rsidRPr="00754050">
        <w:rPr>
          <w:rFonts w:hint="eastAsia"/>
          <w:sz w:val="22"/>
          <w:szCs w:val="22"/>
        </w:rPr>
        <w:t>QR vs. OLS</w:t>
      </w:r>
    </w:p>
    <w:p w:rsidR="00583009" w:rsidRPr="00403A8F" w:rsidRDefault="00583009" w:rsidP="00583009">
      <w:pPr>
        <w:jc w:val="center"/>
        <w:rPr>
          <w:b/>
          <w:sz w:val="6"/>
          <w:szCs w:val="6"/>
        </w:rPr>
      </w:pPr>
      <w:r w:rsidRPr="00403A8F">
        <w:rPr>
          <w:noProof/>
          <w:sz w:val="22"/>
          <w:szCs w:val="22"/>
          <w:lang w:val="en-NZ" w:eastAsia="en-NZ"/>
        </w:rPr>
        <mc:AlternateContent>
          <mc:Choice Requires="wps">
            <w:drawing>
              <wp:anchor distT="0" distB="0" distL="114300" distR="114300" simplePos="0" relativeHeight="251671552" behindDoc="0" locked="0" layoutInCell="1" allowOverlap="1" wp14:anchorId="74C32ACD" wp14:editId="7E4DE05F">
                <wp:simplePos x="0" y="0"/>
                <wp:positionH relativeFrom="column">
                  <wp:posOffset>2971800</wp:posOffset>
                </wp:positionH>
                <wp:positionV relativeFrom="paragraph">
                  <wp:posOffset>228600</wp:posOffset>
                </wp:positionV>
                <wp:extent cx="1943100" cy="5715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B2B" w:rsidRPr="00F650F9" w:rsidRDefault="008B5B2B" w:rsidP="00583009">
                            <w:pPr>
                              <w:rPr>
                                <w:b/>
                                <w:color w:val="000000"/>
                              </w:rPr>
                            </w:pPr>
                            <w:r w:rsidRPr="00F650F9">
                              <w:rPr>
                                <w:b/>
                                <w:color w:val="000000"/>
                              </w:rPr>
                              <w:t xml:space="preserve">Quantile regressions </w:t>
                            </w:r>
                          </w:p>
                          <w:p w:rsidR="008B5B2B" w:rsidRPr="00F650F9" w:rsidRDefault="008B5B2B" w:rsidP="00583009">
                            <w:pPr>
                              <w:rPr>
                                <w:b/>
                                <w:color w:val="000000"/>
                              </w:rPr>
                            </w:pPr>
                            <w:r w:rsidRPr="00F650F9">
                              <w:rPr>
                                <w:b/>
                                <w:color w:val="000000"/>
                              </w:rPr>
                              <w:t>(95% confidence intervals)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234pt;margin-top:18pt;width:153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" stroked="f">
                <v:textbox>
                  <w:txbxContent>
                    <w:p w:rsidR="008B5B2B" w:rsidRPr="00F650F9" w:rsidRDefault="008B5B2B" w:rsidP="00583009">
                      <w:pPr>
                        <w:rPr>
                          <w:b/>
                          <w:color w:val="000000"/>
                        </w:rPr>
                      </w:pPr>
                      <w:r w:rsidRPr="00F650F9">
                        <w:rPr>
                          <w:b/>
                          <w:color w:val="000000"/>
                        </w:rPr>
                        <w:t xml:space="preserve">Quantile regressions </w:t>
                      </w:r>
                    </w:p>
                    <w:p w:rsidR="008B5B2B" w:rsidRPr="00F650F9" w:rsidRDefault="008B5B2B" w:rsidP="00583009">
                      <w:pPr>
                        <w:rPr>
                          <w:b/>
                          <w:color w:val="000000"/>
                        </w:rPr>
                      </w:pPr>
                      <w:r w:rsidRPr="00F650F9">
                        <w:rPr>
                          <w:b/>
                          <w:color w:val="000000"/>
                        </w:rPr>
                        <w:t>(95% confidence intervals)</w:t>
                      </w:r>
                    </w:p>
                  </w:txbxContent>
                </v:textbox>
              </v:shape>
            </w:pict>
          </mc:Fallback>
        </mc:AlternateContent>
      </w:r>
    </w:p>
    <w:p w:rsidR="00583009" w:rsidRDefault="00583009" w:rsidP="00583009">
      <w:pPr>
        <w:spacing w:line="0" w:lineRule="atLeast"/>
        <w:jc w:val="center"/>
      </w:pPr>
      <w:r>
        <w:rPr>
          <w:noProof/>
          <w:lang w:val="en-NZ" w:eastAsia="en-NZ"/>
        </w:rPr>
        <mc:AlternateContent>
          <mc:Choice Requires="wps">
            <w:drawing>
              <wp:anchor distT="0" distB="0" distL="114300" distR="114300" simplePos="0" relativeHeight="251669504" behindDoc="0" locked="0" layoutInCell="1" allowOverlap="1" wp14:anchorId="0CA59DEB" wp14:editId="48A7E828">
                <wp:simplePos x="0" y="0"/>
                <wp:positionH relativeFrom="column">
                  <wp:posOffset>4572000</wp:posOffset>
                </wp:positionH>
                <wp:positionV relativeFrom="paragraph">
                  <wp:posOffset>335280</wp:posOffset>
                </wp:positionV>
                <wp:extent cx="597535" cy="458470"/>
                <wp:effectExtent l="0" t="0" r="69215" b="5588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 cy="458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26.4pt" to="407.0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VyLgIAAE8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">
                <v:stroke endarrow="block"/>
              </v:line>
            </w:pict>
          </mc:Fallback>
        </mc:AlternateContent>
      </w:r>
      <w:r>
        <w:rPr>
          <w:noProof/>
          <w:lang w:val="en-NZ" w:eastAsia="en-NZ"/>
        </w:rPr>
        <mc:AlternateContent>
          <mc:Choice Requires="wps">
            <w:drawing>
              <wp:anchor distT="0" distB="0" distL="114300" distR="114300" simplePos="0" relativeHeight="251666432" behindDoc="0" locked="0" layoutInCell="1" allowOverlap="1" wp14:anchorId="6C8231AD" wp14:editId="59B8B04F">
                <wp:simplePos x="0" y="0"/>
                <wp:positionH relativeFrom="column">
                  <wp:posOffset>2514600</wp:posOffset>
                </wp:positionH>
                <wp:positionV relativeFrom="paragraph">
                  <wp:posOffset>1257300</wp:posOffset>
                </wp:positionV>
                <wp:extent cx="558800" cy="831215"/>
                <wp:effectExtent l="0" t="0" r="69850" b="64135"/>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83121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9pt" to="242pt,1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LgIAAE8EAAAOAAAAZHJzL2Uyb0RvYy54bWysVMuu2jAQ3VfqP1jeQx43U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" strokecolor="red">
                <v:stroke endarrow="block"/>
              </v:line>
            </w:pict>
          </mc:Fallback>
        </mc:AlternateContent>
      </w:r>
      <w:r>
        <w:rPr>
          <w:noProof/>
          <w:lang w:val="en-NZ" w:eastAsia="en-NZ"/>
        </w:rPr>
        <mc:AlternateContent>
          <mc:Choice Requires="wps">
            <w:drawing>
              <wp:anchor distT="0" distB="0" distL="114300" distR="114300" simplePos="0" relativeHeight="251668480" behindDoc="0" locked="0" layoutInCell="1" allowOverlap="1" wp14:anchorId="1D50A749" wp14:editId="3A2E542A">
                <wp:simplePos x="0" y="0"/>
                <wp:positionH relativeFrom="column">
                  <wp:posOffset>4686300</wp:posOffset>
                </wp:positionH>
                <wp:positionV relativeFrom="paragraph">
                  <wp:posOffset>335280</wp:posOffset>
                </wp:positionV>
                <wp:extent cx="528320" cy="1205865"/>
                <wp:effectExtent l="0" t="0" r="62230" b="5143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1205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6.4pt" to="410.6pt,1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">
                <v:stroke endarrow="block"/>
              </v:line>
            </w:pict>
          </mc:Fallback>
        </mc:AlternateContent>
      </w:r>
      <w:r>
        <w:rPr>
          <w:noProof/>
          <w:lang w:val="en-NZ" w:eastAsia="en-NZ"/>
        </w:rPr>
        <mc:AlternateContent>
          <mc:Choice Requires="wps">
            <w:drawing>
              <wp:anchor distT="0" distB="0" distL="114300" distR="114300" simplePos="0" relativeHeight="251667456" behindDoc="0" locked="0" layoutInCell="1" allowOverlap="1" wp14:anchorId="1E5FB563" wp14:editId="58BE608B">
                <wp:simplePos x="0" y="0"/>
                <wp:positionH relativeFrom="column">
                  <wp:posOffset>1050925</wp:posOffset>
                </wp:positionH>
                <wp:positionV relativeFrom="paragraph">
                  <wp:posOffset>852170</wp:posOffset>
                </wp:positionV>
                <wp:extent cx="2286000" cy="342900"/>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B2B" w:rsidRPr="00080609" w:rsidRDefault="008B5B2B" w:rsidP="00583009">
                            <w:pPr>
                              <w:rPr>
                                <w:b/>
                                <w:color w:val="FF0000"/>
                              </w:rPr>
                            </w:pPr>
                            <w:r w:rsidRPr="00080609">
                              <w:rPr>
                                <w:rFonts w:hint="eastAsia"/>
                                <w:b/>
                                <w:color w:val="FF0000"/>
                              </w:rPr>
                              <w:t>OLS</w:t>
                            </w:r>
                            <w:r>
                              <w:rPr>
                                <w:b/>
                                <w:color w:val="FF0000"/>
                              </w:rPr>
                              <w:t xml:space="preserve"> (95% confidence interval)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82.75pt;margin-top:67.1pt;width:180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" stroked="f">
                <v:textbox>
                  <w:txbxContent>
                    <w:p w:rsidR="008B5B2B" w:rsidRPr="00080609" w:rsidRDefault="008B5B2B" w:rsidP="00583009">
                      <w:pPr>
                        <w:rPr>
                          <w:b/>
                          <w:color w:val="FF0000"/>
                        </w:rPr>
                      </w:pPr>
                      <w:r w:rsidRPr="00080609">
                        <w:rPr>
                          <w:rFonts w:hint="eastAsia"/>
                          <w:b/>
                          <w:color w:val="FF0000"/>
                        </w:rPr>
                        <w:t>OLS</w:t>
                      </w:r>
                      <w:r>
                        <w:rPr>
                          <w:b/>
                          <w:color w:val="FF0000"/>
                        </w:rPr>
                        <w:t xml:space="preserve"> (95% confidence interval)</w:t>
                      </w:r>
                    </w:p>
                  </w:txbxContent>
                </v:textbox>
              </v:shape>
            </w:pict>
          </mc:Fallback>
        </mc:AlternateContent>
      </w:r>
      <w:r>
        <w:rPr>
          <w:noProof/>
          <w:lang w:val="en-NZ" w:eastAsia="en-NZ"/>
        </w:rPr>
        <mc:AlternateContent>
          <mc:Choice Requires="wps">
            <w:drawing>
              <wp:anchor distT="0" distB="0" distL="114300" distR="114300" simplePos="0" relativeHeight="251670528" behindDoc="0" locked="0" layoutInCell="1" allowOverlap="1" wp14:anchorId="1A8A9C93" wp14:editId="52A57257">
                <wp:simplePos x="0" y="0"/>
                <wp:positionH relativeFrom="column">
                  <wp:posOffset>2514600</wp:posOffset>
                </wp:positionH>
                <wp:positionV relativeFrom="paragraph">
                  <wp:posOffset>1257300</wp:posOffset>
                </wp:positionV>
                <wp:extent cx="685800" cy="685800"/>
                <wp:effectExtent l="0" t="0" r="57150" b="571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858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9pt" to="25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" strokecolor="red">
                <v:stroke endarrow="block"/>
              </v:line>
            </w:pict>
          </mc:Fallback>
        </mc:AlternateContent>
      </w:r>
      <w:r>
        <w:rPr>
          <w:rFonts w:eastAsia="DFKai-SB"/>
          <w:b/>
          <w:noProof/>
          <w:color w:val="FF0000"/>
          <w:lang w:val="en-NZ" w:eastAsia="en-NZ"/>
        </w:rPr>
        <w:drawing>
          <wp:inline distT="0" distB="0" distL="0" distR="0" wp14:anchorId="302063A0" wp14:editId="659AB9CE">
            <wp:extent cx="5832475" cy="3211830"/>
            <wp:effectExtent l="0" t="0" r="0" b="0"/>
            <wp:docPr id="3" name="圖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83009" w:rsidRDefault="00583009" w:rsidP="00583009">
      <w:pPr>
        <w:spacing w:line="0" w:lineRule="atLeast"/>
        <w:jc w:val="center"/>
      </w:pPr>
    </w:p>
    <w:p w:rsidR="00583009" w:rsidRDefault="00583009" w:rsidP="00583009">
      <w:pPr>
        <w:spacing w:line="0" w:lineRule="atLeast"/>
        <w:jc w:val="center"/>
      </w:pPr>
    </w:p>
    <w:p w:rsidR="00691B4A" w:rsidRDefault="00C901B9" w:rsidP="00FE1E17">
      <w:pPr>
        <w:widowControl/>
        <w:adjustRightInd w:val="0"/>
        <w:snapToGrid w:val="0"/>
        <w:spacing w:line="288" w:lineRule="auto"/>
        <w:ind w:firstLineChars="295" w:firstLine="708"/>
        <w:jc w:val="both"/>
        <w:rPr>
          <w:kern w:val="0"/>
        </w:rPr>
      </w:pPr>
      <w:r>
        <w:rPr>
          <w:rFonts w:hint="eastAsia"/>
          <w:kern w:val="0"/>
        </w:rPr>
        <w:t>On the other hand</w:t>
      </w:r>
      <w:r w:rsidR="00691B4A" w:rsidRPr="008126EB">
        <w:rPr>
          <w:kern w:val="0"/>
        </w:rPr>
        <w:t xml:space="preserve">, the </w:t>
      </w:r>
      <w:r w:rsidR="00691B4A" w:rsidRPr="008126EB">
        <w:rPr>
          <w:rFonts w:hint="eastAsia"/>
        </w:rPr>
        <w:t>|</w:t>
      </w:r>
      <w:r w:rsidR="00691B4A" w:rsidRPr="008126EB">
        <w:rPr>
          <w:i/>
        </w:rPr>
        <w:t>DA</w:t>
      </w:r>
      <w:r w:rsidR="00691B4A" w:rsidRPr="008126EB">
        <w:rPr>
          <w:rFonts w:hint="eastAsia"/>
          <w:i/>
        </w:rPr>
        <w:t>|</w:t>
      </w:r>
      <w:r w:rsidR="006C14B7">
        <w:t>–</w:t>
      </w:r>
      <w:r w:rsidR="00691B4A" w:rsidRPr="008126EB">
        <w:rPr>
          <w:rFonts w:hint="eastAsia"/>
          <w:i/>
        </w:rPr>
        <w:t>RETURN</w:t>
      </w:r>
      <w:r w:rsidR="00691B4A" w:rsidRPr="008126EB">
        <w:t xml:space="preserve"> relation</w:t>
      </w:r>
      <w:r w:rsidR="00691B4A" w:rsidRPr="008126EB">
        <w:rPr>
          <w:kern w:val="0"/>
        </w:rPr>
        <w:t xml:space="preserve"> </w:t>
      </w:r>
      <w:r>
        <w:rPr>
          <w:rFonts w:hint="eastAsia"/>
          <w:kern w:val="0"/>
        </w:rPr>
        <w:t>is significant</w:t>
      </w:r>
      <w:r w:rsidR="00F34F85">
        <w:rPr>
          <w:kern w:val="0"/>
        </w:rPr>
        <w:t>ly</w:t>
      </w:r>
      <w:r>
        <w:rPr>
          <w:rFonts w:hint="eastAsia"/>
          <w:kern w:val="0"/>
        </w:rPr>
        <w:t xml:space="preserve"> </w:t>
      </w:r>
      <w:r w:rsidR="00691B4A" w:rsidRPr="008126EB">
        <w:rPr>
          <w:kern w:val="0"/>
        </w:rPr>
        <w:t xml:space="preserve">negative </w:t>
      </w:r>
      <w:r w:rsidR="00D810A6">
        <w:rPr>
          <w:kern w:val="0"/>
        </w:rPr>
        <w:t>between</w:t>
      </w:r>
      <w:r w:rsidR="00D810A6" w:rsidRPr="008126EB">
        <w:rPr>
          <w:kern w:val="0"/>
        </w:rPr>
        <w:t xml:space="preserve"> 5</w:t>
      </w:r>
      <w:r w:rsidR="00355087">
        <w:rPr>
          <w:rFonts w:hint="eastAsia"/>
          <w:kern w:val="0"/>
        </w:rPr>
        <w:t>%</w:t>
      </w:r>
      <w:r w:rsidR="00D810A6" w:rsidRPr="008126EB">
        <w:rPr>
          <w:kern w:val="0"/>
        </w:rPr>
        <w:t xml:space="preserve"> </w:t>
      </w:r>
      <w:r w:rsidR="00D810A6">
        <w:rPr>
          <w:kern w:val="0"/>
        </w:rPr>
        <w:t xml:space="preserve">and </w:t>
      </w:r>
      <w:r w:rsidR="00DB3192">
        <w:rPr>
          <w:rFonts w:hint="eastAsia"/>
          <w:kern w:val="0"/>
        </w:rPr>
        <w:t>55%</w:t>
      </w:r>
      <w:r w:rsidR="00D810A6">
        <w:rPr>
          <w:kern w:val="0"/>
        </w:rPr>
        <w:t xml:space="preserve"> </w:t>
      </w:r>
      <w:r w:rsidR="00691B4A" w:rsidRPr="008126EB">
        <w:rPr>
          <w:i/>
          <w:kern w:val="0"/>
        </w:rPr>
        <w:t>RET</w:t>
      </w:r>
      <w:r w:rsidR="00691B4A" w:rsidRPr="008126EB">
        <w:rPr>
          <w:rFonts w:hint="eastAsia"/>
          <w:i/>
          <w:kern w:val="0"/>
        </w:rPr>
        <w:t>URN</w:t>
      </w:r>
      <w:r w:rsidR="00691B4A" w:rsidRPr="008126EB">
        <w:rPr>
          <w:i/>
          <w:kern w:val="0"/>
        </w:rPr>
        <w:t xml:space="preserve"> </w:t>
      </w:r>
      <w:r w:rsidR="00691B4A" w:rsidRPr="008126EB">
        <w:rPr>
          <w:kern w:val="0"/>
        </w:rPr>
        <w:t>quantiles</w:t>
      </w:r>
      <w:r w:rsidR="00D810A6">
        <w:rPr>
          <w:kern w:val="0"/>
        </w:rPr>
        <w:t xml:space="preserve">. Within this range, the </w:t>
      </w:r>
      <w:r w:rsidR="00691B4A" w:rsidRPr="008126EB">
        <w:rPr>
          <w:rFonts w:hint="eastAsia"/>
          <w:kern w:val="0"/>
        </w:rPr>
        <w:t>negative |</w:t>
      </w:r>
      <w:r w:rsidR="00691B4A" w:rsidRPr="008126EB">
        <w:rPr>
          <w:rFonts w:hint="eastAsia"/>
          <w:i/>
          <w:kern w:val="0"/>
        </w:rPr>
        <w:t>DA</w:t>
      </w:r>
      <w:r w:rsidR="00691B4A" w:rsidRPr="008126EB">
        <w:rPr>
          <w:rFonts w:hint="eastAsia"/>
          <w:kern w:val="0"/>
        </w:rPr>
        <w:t xml:space="preserve">| </w:t>
      </w:r>
      <w:r w:rsidR="00F34F85">
        <w:rPr>
          <w:rFonts w:hint="eastAsia"/>
          <w:kern w:val="0"/>
        </w:rPr>
        <w:t xml:space="preserve">coefficient </w:t>
      </w:r>
      <w:r w:rsidR="00691B4A" w:rsidRPr="008126EB">
        <w:rPr>
          <w:kern w:val="0"/>
        </w:rPr>
        <w:t>increases</w:t>
      </w:r>
      <w:r w:rsidR="00D810A6">
        <w:rPr>
          <w:kern w:val="0"/>
        </w:rPr>
        <w:t xml:space="preserve"> as </w:t>
      </w:r>
      <w:r w:rsidR="00691B4A" w:rsidRPr="008126EB">
        <w:rPr>
          <w:rFonts w:hint="eastAsia"/>
          <w:i/>
          <w:kern w:val="0"/>
        </w:rPr>
        <w:t>RETURN</w:t>
      </w:r>
      <w:r w:rsidR="00691B4A" w:rsidRPr="008126EB">
        <w:rPr>
          <w:rFonts w:hint="eastAsia"/>
          <w:kern w:val="0"/>
        </w:rPr>
        <w:t xml:space="preserve"> quantile</w:t>
      </w:r>
      <w:r w:rsidR="00D810A6">
        <w:rPr>
          <w:kern w:val="0"/>
        </w:rPr>
        <w:t xml:space="preserve"> goes down</w:t>
      </w:r>
      <w:r w:rsidR="00691B4A" w:rsidRPr="008126EB">
        <w:rPr>
          <w:rFonts w:hint="eastAsia"/>
          <w:kern w:val="0"/>
        </w:rPr>
        <w:t xml:space="preserve">. </w:t>
      </w:r>
      <w:r w:rsidR="009A7F52" w:rsidRPr="009A7F52">
        <w:rPr>
          <w:kern w:val="0"/>
        </w:rPr>
        <w:t>This</w:t>
      </w:r>
      <w:r w:rsidR="00423685">
        <w:rPr>
          <w:kern w:val="0"/>
        </w:rPr>
        <w:t xml:space="preserve"> result indicates that the</w:t>
      </w:r>
      <w:r w:rsidR="009A7F52" w:rsidRPr="009A7F52">
        <w:rPr>
          <w:kern w:val="0"/>
        </w:rPr>
        <w:t xml:space="preserve"> negative </w:t>
      </w:r>
      <w:r w:rsidR="00423685" w:rsidRPr="008126EB">
        <w:rPr>
          <w:rFonts w:hint="eastAsia"/>
        </w:rPr>
        <w:t>|</w:t>
      </w:r>
      <w:r w:rsidR="00423685" w:rsidRPr="008126EB">
        <w:rPr>
          <w:i/>
        </w:rPr>
        <w:t>DA</w:t>
      </w:r>
      <w:r w:rsidR="00423685" w:rsidRPr="008126EB">
        <w:rPr>
          <w:rFonts w:hint="eastAsia"/>
          <w:i/>
        </w:rPr>
        <w:t>|</w:t>
      </w:r>
      <w:r w:rsidR="00423685">
        <w:t>–</w:t>
      </w:r>
      <w:r w:rsidR="00423685" w:rsidRPr="008126EB">
        <w:rPr>
          <w:rFonts w:hint="eastAsia"/>
          <w:i/>
        </w:rPr>
        <w:t>RETURN</w:t>
      </w:r>
      <w:r w:rsidR="00423685">
        <w:t xml:space="preserve"> </w:t>
      </w:r>
      <w:r w:rsidR="009A7F52" w:rsidRPr="009A7F52">
        <w:rPr>
          <w:kern w:val="0"/>
        </w:rPr>
        <w:t>relation strengthens as the stock return deteriorates.</w:t>
      </w:r>
      <w:r w:rsidR="009A7F52">
        <w:rPr>
          <w:kern w:val="0"/>
        </w:rPr>
        <w:t xml:space="preserve"> </w:t>
      </w:r>
      <w:r w:rsidR="00691B4A" w:rsidRPr="008126EB">
        <w:rPr>
          <w:kern w:val="0"/>
        </w:rPr>
        <w:t>This</w:t>
      </w:r>
      <w:r w:rsidR="00691B4A" w:rsidRPr="008126EB">
        <w:rPr>
          <w:rFonts w:hint="eastAsia"/>
          <w:kern w:val="0"/>
        </w:rPr>
        <w:t xml:space="preserve"> </w:t>
      </w:r>
      <w:r w:rsidR="00B5188B">
        <w:rPr>
          <w:rFonts w:hint="eastAsia"/>
          <w:kern w:val="0"/>
        </w:rPr>
        <w:t xml:space="preserve">finding </w:t>
      </w:r>
      <w:r w:rsidR="00423685">
        <w:rPr>
          <w:kern w:val="0"/>
        </w:rPr>
        <w:t>signals</w:t>
      </w:r>
      <w:r w:rsidR="00423685" w:rsidRPr="008126EB">
        <w:rPr>
          <w:kern w:val="0"/>
        </w:rPr>
        <w:t xml:space="preserve"> </w:t>
      </w:r>
      <w:r w:rsidR="00691B4A" w:rsidRPr="008126EB">
        <w:rPr>
          <w:kern w:val="0"/>
        </w:rPr>
        <w:t xml:space="preserve">that </w:t>
      </w:r>
      <w:r w:rsidR="00EA44CD">
        <w:rPr>
          <w:kern w:val="0"/>
        </w:rPr>
        <w:t xml:space="preserve">corporate </w:t>
      </w:r>
      <w:r w:rsidR="00691B4A" w:rsidRPr="008126EB">
        <w:rPr>
          <w:kern w:val="0"/>
        </w:rPr>
        <w:t xml:space="preserve">executives may actively manage </w:t>
      </w:r>
      <w:r w:rsidR="000129AB">
        <w:rPr>
          <w:kern w:val="0"/>
        </w:rPr>
        <w:t xml:space="preserve">the </w:t>
      </w:r>
      <w:r w:rsidR="00691B4A" w:rsidRPr="008126EB">
        <w:rPr>
          <w:kern w:val="0"/>
        </w:rPr>
        <w:t>reported</w:t>
      </w:r>
      <w:r w:rsidR="00691B4A" w:rsidRPr="008126EB">
        <w:rPr>
          <w:rFonts w:hint="eastAsia"/>
          <w:kern w:val="0"/>
        </w:rPr>
        <w:t xml:space="preserve"> </w:t>
      </w:r>
      <w:r w:rsidR="00691B4A" w:rsidRPr="008126EB">
        <w:rPr>
          <w:kern w:val="0"/>
        </w:rPr>
        <w:t>earnings</w:t>
      </w:r>
      <w:r w:rsidR="00423685">
        <w:rPr>
          <w:kern w:val="0"/>
        </w:rPr>
        <w:t xml:space="preserve"> as well</w:t>
      </w:r>
      <w:r w:rsidR="00691B4A" w:rsidRPr="008126EB">
        <w:rPr>
          <w:kern w:val="0"/>
        </w:rPr>
        <w:t xml:space="preserve"> </w:t>
      </w:r>
      <w:r w:rsidR="00691B4A" w:rsidRPr="008126EB">
        <w:rPr>
          <w:rFonts w:hint="eastAsia"/>
          <w:kern w:val="0"/>
        </w:rPr>
        <w:t xml:space="preserve">when their </w:t>
      </w:r>
      <w:r w:rsidR="00691B4A" w:rsidRPr="008126EB">
        <w:rPr>
          <w:kern w:val="0"/>
        </w:rPr>
        <w:t>firms suffer in the capital markets</w:t>
      </w:r>
      <w:r w:rsidR="00691B4A" w:rsidRPr="008126EB">
        <w:rPr>
          <w:rFonts w:hint="eastAsia"/>
          <w:kern w:val="0"/>
        </w:rPr>
        <w:t xml:space="preserve"> (i.e., lower </w:t>
      </w:r>
      <w:r w:rsidR="00691B4A" w:rsidRPr="008126EB">
        <w:rPr>
          <w:kern w:val="0"/>
        </w:rPr>
        <w:t xml:space="preserve">stock </w:t>
      </w:r>
      <w:r w:rsidR="00691B4A" w:rsidRPr="008126EB">
        <w:rPr>
          <w:rFonts w:hint="eastAsia"/>
          <w:kern w:val="0"/>
        </w:rPr>
        <w:t>return quantiles).</w:t>
      </w:r>
      <w:r w:rsidR="00691B4A" w:rsidRPr="008126EB">
        <w:rPr>
          <w:kern w:val="0"/>
        </w:rPr>
        <w:t xml:space="preserve"> </w:t>
      </w:r>
      <w:r w:rsidR="0014643A">
        <w:rPr>
          <w:kern w:val="0"/>
        </w:rPr>
        <w:t>Taking f</w:t>
      </w:r>
      <w:r w:rsidR="0014643A" w:rsidRPr="008126EB">
        <w:rPr>
          <w:kern w:val="0"/>
        </w:rPr>
        <w:t xml:space="preserve">rom </w:t>
      </w:r>
      <w:r w:rsidR="006C14B7">
        <w:rPr>
          <w:kern w:val="0"/>
        </w:rPr>
        <w:t xml:space="preserve">the </w:t>
      </w:r>
      <w:r w:rsidR="009A7F52" w:rsidRPr="009A7F52">
        <w:rPr>
          <w:kern w:val="0"/>
        </w:rPr>
        <w:t>prospect theory</w:t>
      </w:r>
      <w:r w:rsidR="0014643A">
        <w:rPr>
          <w:kern w:val="0"/>
        </w:rPr>
        <w:t xml:space="preserve"> standpoint</w:t>
      </w:r>
      <w:r w:rsidR="00691B4A" w:rsidRPr="009A7F52">
        <w:rPr>
          <w:kern w:val="0"/>
        </w:rPr>
        <w:t>,</w:t>
      </w:r>
      <w:r w:rsidR="00691B4A" w:rsidRPr="008126EB">
        <w:rPr>
          <w:kern w:val="0"/>
        </w:rPr>
        <w:t xml:space="preserve"> this </w:t>
      </w:r>
      <w:r w:rsidR="00423685">
        <w:rPr>
          <w:kern w:val="0"/>
        </w:rPr>
        <w:t>evidence</w:t>
      </w:r>
      <w:r w:rsidR="00423685" w:rsidRPr="008126EB">
        <w:rPr>
          <w:kern w:val="0"/>
        </w:rPr>
        <w:t xml:space="preserve"> </w:t>
      </w:r>
      <w:r w:rsidR="00691B4A" w:rsidRPr="008126EB">
        <w:rPr>
          <w:kern w:val="0"/>
        </w:rPr>
        <w:t xml:space="preserve">is </w:t>
      </w:r>
      <w:r w:rsidR="00505C0B">
        <w:rPr>
          <w:kern w:val="0"/>
        </w:rPr>
        <w:t>c</w:t>
      </w:r>
      <w:r w:rsidR="00691B4A" w:rsidRPr="008126EB">
        <w:rPr>
          <w:kern w:val="0"/>
        </w:rPr>
        <w:t xml:space="preserve">onsistent </w:t>
      </w:r>
      <w:r w:rsidR="006C14B7">
        <w:rPr>
          <w:kern w:val="0"/>
        </w:rPr>
        <w:t>with</w:t>
      </w:r>
      <w:r w:rsidR="00691B4A" w:rsidRPr="008126EB">
        <w:rPr>
          <w:kern w:val="0"/>
        </w:rPr>
        <w:t xml:space="preserve"> our earl</w:t>
      </w:r>
      <w:r w:rsidR="006C14B7">
        <w:rPr>
          <w:kern w:val="0"/>
        </w:rPr>
        <w:t>ier</w:t>
      </w:r>
      <w:r w:rsidR="00691B4A" w:rsidRPr="008126EB">
        <w:rPr>
          <w:kern w:val="0"/>
        </w:rPr>
        <w:t xml:space="preserve"> discussions</w:t>
      </w:r>
      <w:r w:rsidR="00505C0B">
        <w:rPr>
          <w:kern w:val="0"/>
        </w:rPr>
        <w:t>. That is</w:t>
      </w:r>
      <w:r w:rsidR="00691B4A" w:rsidRPr="008126EB">
        <w:rPr>
          <w:kern w:val="0"/>
        </w:rPr>
        <w:t xml:space="preserve">, </w:t>
      </w:r>
      <w:r w:rsidR="00944F3A" w:rsidRPr="008126EB">
        <w:rPr>
          <w:kern w:val="0"/>
        </w:rPr>
        <w:t xml:space="preserve">executives </w:t>
      </w:r>
      <w:r w:rsidR="00944F3A">
        <w:rPr>
          <w:kern w:val="0"/>
        </w:rPr>
        <w:t xml:space="preserve">may </w:t>
      </w:r>
      <w:r w:rsidR="00423685">
        <w:rPr>
          <w:kern w:val="0"/>
        </w:rPr>
        <w:t xml:space="preserve">employ </w:t>
      </w:r>
      <w:r w:rsidR="00C473A3">
        <w:rPr>
          <w:kern w:val="0"/>
        </w:rPr>
        <w:t>earnings manipulation</w:t>
      </w:r>
      <w:r w:rsidR="00944F3A">
        <w:rPr>
          <w:kern w:val="0"/>
        </w:rPr>
        <w:t xml:space="preserve"> to </w:t>
      </w:r>
      <w:r w:rsidR="00691B4A" w:rsidRPr="008126EB">
        <w:rPr>
          <w:kern w:val="0"/>
        </w:rPr>
        <w:t>influence market participants’ perception of a firm’s future performance when experienc</w:t>
      </w:r>
      <w:r w:rsidR="00423685">
        <w:rPr>
          <w:kern w:val="0"/>
        </w:rPr>
        <w:t>ing</w:t>
      </w:r>
      <w:r w:rsidR="00691B4A" w:rsidRPr="008126EB">
        <w:rPr>
          <w:kern w:val="0"/>
        </w:rPr>
        <w:t xml:space="preserve"> significantly lower than </w:t>
      </w:r>
      <w:r w:rsidR="00423685">
        <w:rPr>
          <w:kern w:val="0"/>
        </w:rPr>
        <w:t xml:space="preserve">the </w:t>
      </w:r>
      <w:r w:rsidR="00691B4A" w:rsidRPr="008126EB">
        <w:rPr>
          <w:kern w:val="0"/>
        </w:rPr>
        <w:t>average stock returns.</w:t>
      </w:r>
    </w:p>
    <w:p w:rsidR="00403A8F" w:rsidRPr="008126EB" w:rsidRDefault="00403A8F" w:rsidP="00FE1E17">
      <w:pPr>
        <w:widowControl/>
        <w:adjustRightInd w:val="0"/>
        <w:snapToGrid w:val="0"/>
        <w:spacing w:line="288" w:lineRule="auto"/>
        <w:ind w:firstLineChars="295" w:firstLine="708"/>
        <w:jc w:val="both"/>
        <w:rPr>
          <w:kern w:val="0"/>
        </w:rPr>
      </w:pPr>
    </w:p>
    <w:p w:rsidR="00691B4A" w:rsidRPr="00754050" w:rsidRDefault="00691B4A" w:rsidP="00FE1E17">
      <w:pPr>
        <w:keepNext/>
        <w:widowControl/>
        <w:adjustRightInd w:val="0"/>
        <w:snapToGrid w:val="0"/>
        <w:spacing w:line="288" w:lineRule="auto"/>
        <w:jc w:val="both"/>
        <w:rPr>
          <w:b/>
        </w:rPr>
      </w:pPr>
      <w:proofErr w:type="gramStart"/>
      <w:r w:rsidRPr="00754050">
        <w:rPr>
          <w:rFonts w:hint="eastAsia"/>
          <w:b/>
        </w:rPr>
        <w:t xml:space="preserve">5.3 </w:t>
      </w:r>
      <w:r w:rsidR="002A61C1">
        <w:rPr>
          <w:b/>
        </w:rPr>
        <w:t xml:space="preserve"> </w:t>
      </w:r>
      <w:r w:rsidR="00754050">
        <w:rPr>
          <w:b/>
        </w:rPr>
        <w:t>Estimates</w:t>
      </w:r>
      <w:proofErr w:type="gramEnd"/>
      <w:r w:rsidR="00754050">
        <w:rPr>
          <w:b/>
        </w:rPr>
        <w:t xml:space="preserve"> of Control V</w:t>
      </w:r>
      <w:r w:rsidRPr="00754050">
        <w:rPr>
          <w:b/>
        </w:rPr>
        <w:t>ariables</w:t>
      </w:r>
    </w:p>
    <w:p w:rsidR="00754050" w:rsidRPr="00754050" w:rsidRDefault="00754050" w:rsidP="00403A8F">
      <w:pPr>
        <w:widowControl/>
        <w:adjustRightInd w:val="0"/>
        <w:snapToGrid w:val="0"/>
        <w:spacing w:line="288" w:lineRule="auto"/>
        <w:jc w:val="both"/>
        <w:rPr>
          <w:sz w:val="12"/>
          <w:szCs w:val="12"/>
        </w:rPr>
      </w:pPr>
    </w:p>
    <w:p w:rsidR="00691B4A" w:rsidRPr="008126EB" w:rsidRDefault="00D810A6" w:rsidP="00403A8F">
      <w:pPr>
        <w:widowControl/>
        <w:adjustRightInd w:val="0"/>
        <w:snapToGrid w:val="0"/>
        <w:spacing w:line="288" w:lineRule="auto"/>
        <w:jc w:val="both"/>
      </w:pPr>
      <w:r>
        <w:rPr>
          <w:rFonts w:hint="eastAsia"/>
        </w:rPr>
        <w:t>Figure 3</w:t>
      </w:r>
      <w:r w:rsidRPr="000129AB">
        <w:t xml:space="preserve"> </w:t>
      </w:r>
      <w:r w:rsidR="00043A91">
        <w:rPr>
          <w:rFonts w:hint="eastAsia"/>
        </w:rPr>
        <w:t>graph</w:t>
      </w:r>
      <w:r>
        <w:t>s</w:t>
      </w:r>
      <w:r w:rsidR="00043A91">
        <w:rPr>
          <w:rFonts w:hint="eastAsia"/>
        </w:rPr>
        <w:t xml:space="preserve"> the </w:t>
      </w:r>
      <w:r w:rsidR="00043A91">
        <w:t>estimated</w:t>
      </w:r>
      <w:r w:rsidR="00043A91">
        <w:rPr>
          <w:rFonts w:hint="eastAsia"/>
        </w:rPr>
        <w:t xml:space="preserve"> coefficients</w:t>
      </w:r>
      <w:r w:rsidRPr="00D810A6">
        <w:rPr>
          <w:rFonts w:hint="eastAsia"/>
        </w:rPr>
        <w:t xml:space="preserve"> </w:t>
      </w:r>
      <w:r>
        <w:rPr>
          <w:rFonts w:hint="eastAsia"/>
        </w:rPr>
        <w:t>of the four control variables</w:t>
      </w:r>
      <w:r w:rsidR="00043A91">
        <w:rPr>
          <w:rFonts w:hint="eastAsia"/>
        </w:rPr>
        <w:t xml:space="preserve"> </w:t>
      </w:r>
      <w:r>
        <w:t xml:space="preserve">with </w:t>
      </w:r>
      <w:r w:rsidR="00043A91">
        <w:rPr>
          <w:rFonts w:hint="eastAsia"/>
        </w:rPr>
        <w:t xml:space="preserve">95% confidence intervals. </w:t>
      </w:r>
      <w:r w:rsidR="00691B4A" w:rsidRPr="008126EB">
        <w:t>Several observations emerge from this figure. First, the OLS estimates are significant</w:t>
      </w:r>
      <w:r w:rsidR="00FC0328">
        <w:rPr>
          <w:rFonts w:hint="eastAsia"/>
        </w:rPr>
        <w:t xml:space="preserve"> (</w:t>
      </w:r>
      <w:r w:rsidR="00754050">
        <w:t xml:space="preserve">that is, </w:t>
      </w:r>
      <w:r w:rsidR="00FC0328">
        <w:rPr>
          <w:rFonts w:hint="eastAsia"/>
        </w:rPr>
        <w:t xml:space="preserve">the </w:t>
      </w:r>
      <w:r w:rsidR="00E0555E">
        <w:t xml:space="preserve">95% confidence intervals </w:t>
      </w:r>
      <w:r>
        <w:t xml:space="preserve">do </w:t>
      </w:r>
      <w:r w:rsidR="00043A91">
        <w:rPr>
          <w:rFonts w:hint="eastAsia"/>
        </w:rPr>
        <w:t>not overlap with zero</w:t>
      </w:r>
      <w:r w:rsidR="00FC0328">
        <w:rPr>
          <w:rFonts w:hint="eastAsia"/>
        </w:rPr>
        <w:t>)</w:t>
      </w:r>
      <w:r w:rsidR="00E0555E">
        <w:t>. T</w:t>
      </w:r>
      <w:r w:rsidR="00691B4A" w:rsidRPr="008126EB">
        <w:t xml:space="preserve">his </w:t>
      </w:r>
      <w:r w:rsidR="00BD38C6">
        <w:t>finding</w:t>
      </w:r>
      <w:r w:rsidR="00691B4A" w:rsidRPr="008126EB">
        <w:t xml:space="preserve"> </w:t>
      </w:r>
      <w:r>
        <w:t>reaffirms</w:t>
      </w:r>
      <w:r w:rsidR="00691B4A" w:rsidRPr="008126EB">
        <w:t xml:space="preserve"> </w:t>
      </w:r>
      <w:r w:rsidR="00BD38C6">
        <w:t xml:space="preserve">what </w:t>
      </w:r>
      <w:r w:rsidR="0014643A">
        <w:t>researchers have articulated in their studies</w:t>
      </w:r>
      <w:r w:rsidR="00691B4A" w:rsidRPr="008126EB">
        <w:t xml:space="preserve"> (</w:t>
      </w:r>
      <w:r w:rsidR="00754050">
        <w:t>for example, Fama and French</w:t>
      </w:r>
      <w:r w:rsidR="00691B4A" w:rsidRPr="008126EB">
        <w:t xml:space="preserve"> 1992</w:t>
      </w:r>
      <w:r w:rsidR="00754050">
        <w:t>,</w:t>
      </w:r>
      <w:r w:rsidR="00691B4A" w:rsidRPr="008126EB">
        <w:t>1993)</w:t>
      </w:r>
      <w:r w:rsidR="000129AB">
        <w:t xml:space="preserve">. In addition, </w:t>
      </w:r>
      <w:r w:rsidR="00D778B9">
        <w:t xml:space="preserve">the result </w:t>
      </w:r>
      <w:r w:rsidR="00043A91">
        <w:rPr>
          <w:rFonts w:hint="eastAsia"/>
        </w:rPr>
        <w:t xml:space="preserve">indicates that </w:t>
      </w:r>
      <w:r w:rsidR="00B5188B">
        <w:rPr>
          <w:rFonts w:hint="eastAsia"/>
        </w:rPr>
        <w:t xml:space="preserve">the </w:t>
      </w:r>
      <w:r w:rsidR="00043A91">
        <w:rPr>
          <w:rFonts w:hint="eastAsia"/>
        </w:rPr>
        <w:t xml:space="preserve">four CAPM factors, </w:t>
      </w:r>
      <w:r w:rsidR="00043A91" w:rsidRPr="00043A91">
        <w:rPr>
          <w:rFonts w:hint="eastAsia"/>
          <w:i/>
        </w:rPr>
        <w:t>MKT</w:t>
      </w:r>
      <w:r w:rsidR="00043A91">
        <w:rPr>
          <w:rFonts w:hint="eastAsia"/>
        </w:rPr>
        <w:t>,</w:t>
      </w:r>
      <w:r w:rsidR="00691B4A" w:rsidRPr="008126EB">
        <w:t xml:space="preserve"> </w:t>
      </w:r>
      <w:r w:rsidR="00043A91" w:rsidRPr="00043A91">
        <w:rPr>
          <w:rFonts w:hint="eastAsia"/>
          <w:i/>
        </w:rPr>
        <w:t>SIZE</w:t>
      </w:r>
      <w:r w:rsidR="00691B4A" w:rsidRPr="008126EB">
        <w:t xml:space="preserve">, </w:t>
      </w:r>
      <w:r w:rsidR="00043A91" w:rsidRPr="00043A91">
        <w:rPr>
          <w:rFonts w:hint="eastAsia"/>
          <w:i/>
        </w:rPr>
        <w:t>MB</w:t>
      </w:r>
      <w:r w:rsidR="000129AB">
        <w:rPr>
          <w:i/>
        </w:rPr>
        <w:t>,</w:t>
      </w:r>
      <w:r w:rsidR="000129AB">
        <w:t xml:space="preserve"> and </w:t>
      </w:r>
      <w:r w:rsidR="000129AB" w:rsidRPr="008126EB">
        <w:rPr>
          <w:i/>
        </w:rPr>
        <w:t>MOM</w:t>
      </w:r>
      <w:r w:rsidR="000129AB">
        <w:t>,</w:t>
      </w:r>
      <w:r w:rsidR="00043A91">
        <w:rPr>
          <w:rFonts w:hint="eastAsia"/>
        </w:rPr>
        <w:t xml:space="preserve"> </w:t>
      </w:r>
      <w:r w:rsidR="000129AB">
        <w:t>help</w:t>
      </w:r>
      <w:r w:rsidR="000129AB" w:rsidRPr="008126EB">
        <w:t xml:space="preserve"> </w:t>
      </w:r>
      <w:r w:rsidR="007547CD" w:rsidRPr="008126EB">
        <w:t>to</w:t>
      </w:r>
      <w:r w:rsidR="00691B4A" w:rsidRPr="008126EB">
        <w:t xml:space="preserve"> explain stock returns. Second</w:t>
      </w:r>
      <w:r w:rsidR="00754050">
        <w:t>ly</w:t>
      </w:r>
      <w:r w:rsidR="00691B4A" w:rsidRPr="008126EB">
        <w:t xml:space="preserve">, </w:t>
      </w:r>
      <w:r w:rsidR="00B26438" w:rsidRPr="008126EB">
        <w:t xml:space="preserve">Figure </w:t>
      </w:r>
      <w:r w:rsidR="00BE07AC">
        <w:t>3</w:t>
      </w:r>
      <w:r w:rsidR="00B26438" w:rsidRPr="008126EB">
        <w:t xml:space="preserve"> d</w:t>
      </w:r>
      <w:r w:rsidR="00691B4A" w:rsidRPr="008126EB">
        <w:t xml:space="preserve">emonstrates that </w:t>
      </w:r>
      <w:r w:rsidR="00691B4A" w:rsidRPr="008126EB">
        <w:rPr>
          <w:i/>
        </w:rPr>
        <w:t>MKT</w:t>
      </w:r>
      <w:r w:rsidR="00691B4A" w:rsidRPr="008126EB">
        <w:rPr>
          <w:rFonts w:hint="eastAsia"/>
        </w:rPr>
        <w:t xml:space="preserve"> and </w:t>
      </w:r>
      <w:r w:rsidR="00691B4A" w:rsidRPr="008126EB">
        <w:rPr>
          <w:i/>
        </w:rPr>
        <w:t>MB</w:t>
      </w:r>
      <w:r w:rsidR="00691B4A" w:rsidRPr="008126EB">
        <w:t xml:space="preserve"> </w:t>
      </w:r>
      <w:r w:rsidR="00B5261E">
        <w:t>have</w:t>
      </w:r>
      <w:r w:rsidR="00691B4A" w:rsidRPr="008126EB">
        <w:t xml:space="preserve"> significantly </w:t>
      </w:r>
      <w:r w:rsidR="00691B4A" w:rsidRPr="008126EB">
        <w:rPr>
          <w:rFonts w:hint="eastAsia"/>
        </w:rPr>
        <w:t>positive</w:t>
      </w:r>
      <w:r w:rsidR="00B5261E" w:rsidRPr="00B5261E">
        <w:t xml:space="preserve"> </w:t>
      </w:r>
      <w:r w:rsidR="00B5261E" w:rsidRPr="008126EB">
        <w:t>coefficients</w:t>
      </w:r>
      <w:r w:rsidR="00B5261E">
        <w:t>,</w:t>
      </w:r>
      <w:r w:rsidR="00691B4A" w:rsidRPr="008126EB">
        <w:t xml:space="preserve"> while </w:t>
      </w:r>
      <w:r w:rsidR="00691B4A" w:rsidRPr="008126EB">
        <w:rPr>
          <w:i/>
        </w:rPr>
        <w:t>MOM</w:t>
      </w:r>
      <w:r w:rsidR="00691B4A" w:rsidRPr="008126EB">
        <w:t xml:space="preserve">, the </w:t>
      </w:r>
      <w:r w:rsidR="00691B4A" w:rsidRPr="008126EB">
        <w:rPr>
          <w:rFonts w:hint="eastAsia"/>
        </w:rPr>
        <w:t>lagged return</w:t>
      </w:r>
      <w:r w:rsidR="00691B4A" w:rsidRPr="008126EB">
        <w:t>,</w:t>
      </w:r>
      <w:r w:rsidR="00691B4A" w:rsidRPr="008126EB">
        <w:rPr>
          <w:rFonts w:hint="eastAsia"/>
        </w:rPr>
        <w:t xml:space="preserve"> </w:t>
      </w:r>
      <w:r w:rsidR="00B5261E">
        <w:t>has</w:t>
      </w:r>
      <w:r w:rsidR="00691B4A" w:rsidRPr="008126EB">
        <w:t xml:space="preserve"> significantly </w:t>
      </w:r>
      <w:r w:rsidR="00691B4A" w:rsidRPr="008126EB">
        <w:rPr>
          <w:rFonts w:hint="eastAsia"/>
        </w:rPr>
        <w:t>negative</w:t>
      </w:r>
      <w:r w:rsidR="00691B4A" w:rsidRPr="008126EB">
        <w:t xml:space="preserve"> </w:t>
      </w:r>
      <w:r w:rsidR="00B5261E" w:rsidRPr="008126EB">
        <w:t xml:space="preserve">coefficient </w:t>
      </w:r>
      <w:r w:rsidR="00691B4A" w:rsidRPr="008126EB">
        <w:t xml:space="preserve">across the entire </w:t>
      </w:r>
      <w:r w:rsidR="00691B4A" w:rsidRPr="008126EB">
        <w:rPr>
          <w:rFonts w:hint="eastAsia"/>
        </w:rPr>
        <w:t>return</w:t>
      </w:r>
      <w:r w:rsidR="00E0555E">
        <w:t xml:space="preserve"> </w:t>
      </w:r>
      <w:r w:rsidR="00691B4A" w:rsidRPr="008126EB">
        <w:t>distribution</w:t>
      </w:r>
      <w:r w:rsidR="00691B4A" w:rsidRPr="008126EB">
        <w:rPr>
          <w:rFonts w:hint="eastAsia"/>
        </w:rPr>
        <w:t xml:space="preserve">. </w:t>
      </w:r>
      <w:r w:rsidR="00691B4A" w:rsidRPr="008126EB">
        <w:t xml:space="preserve">Finally, the coefficient on </w:t>
      </w:r>
      <w:r w:rsidR="00691B4A" w:rsidRPr="008126EB">
        <w:rPr>
          <w:i/>
        </w:rPr>
        <w:t>SIZE</w:t>
      </w:r>
      <w:r w:rsidR="00691B4A" w:rsidRPr="008126EB">
        <w:t xml:space="preserve"> decreases monotonically </w:t>
      </w:r>
      <w:r w:rsidR="00E0555E">
        <w:t xml:space="preserve">from 5% to 95% return </w:t>
      </w:r>
      <w:r w:rsidR="00691B4A" w:rsidRPr="008126EB">
        <w:t>quantile</w:t>
      </w:r>
      <w:r w:rsidR="00E0555E">
        <w:t xml:space="preserve">s. </w:t>
      </w:r>
      <w:r w:rsidR="00D778B9">
        <w:t xml:space="preserve">Noticeably, it </w:t>
      </w:r>
      <w:r w:rsidR="00E0555E">
        <w:t>is</w:t>
      </w:r>
      <w:r w:rsidR="00691B4A" w:rsidRPr="008126EB">
        <w:t xml:space="preserve"> significantly positive at</w:t>
      </w:r>
      <w:r w:rsidR="00D778B9" w:rsidRPr="00D778B9">
        <w:t xml:space="preserve"> </w:t>
      </w:r>
      <w:r w:rsidR="00D778B9">
        <w:t xml:space="preserve">lower, between 5% and 35%, </w:t>
      </w:r>
      <w:r w:rsidR="00D778B9" w:rsidRPr="008126EB">
        <w:t>stock return quantiles</w:t>
      </w:r>
      <w:r w:rsidR="00691B4A" w:rsidRPr="008126EB">
        <w:t xml:space="preserve">. </w:t>
      </w:r>
      <w:r w:rsidR="00D778B9">
        <w:t xml:space="preserve">On the other hand, </w:t>
      </w:r>
      <w:r w:rsidR="00D778B9" w:rsidRPr="008126EB">
        <w:t>the coefficient turns significantly negative</w:t>
      </w:r>
      <w:r w:rsidR="00D778B9">
        <w:t xml:space="preserve"> a</w:t>
      </w:r>
      <w:r w:rsidR="00D778B9" w:rsidRPr="008126EB">
        <w:t xml:space="preserve">t </w:t>
      </w:r>
      <w:r w:rsidR="00B5261E" w:rsidRPr="008126EB">
        <w:t>higher</w:t>
      </w:r>
      <w:r w:rsidR="00D778B9">
        <w:t xml:space="preserve">, between </w:t>
      </w:r>
      <w:r w:rsidR="00D778B9" w:rsidRPr="008126EB">
        <w:rPr>
          <w:rFonts w:hint="eastAsia"/>
        </w:rPr>
        <w:t>50</w:t>
      </w:r>
      <w:r w:rsidR="00D778B9">
        <w:rPr>
          <w:rFonts w:hint="eastAsia"/>
        </w:rPr>
        <w:t>%</w:t>
      </w:r>
      <w:r w:rsidR="00D778B9">
        <w:t xml:space="preserve"> and </w:t>
      </w:r>
      <w:r w:rsidR="00D778B9" w:rsidRPr="008126EB">
        <w:t>95</w:t>
      </w:r>
      <w:r w:rsidR="00D778B9">
        <w:rPr>
          <w:rFonts w:hint="eastAsia"/>
        </w:rPr>
        <w:t>%</w:t>
      </w:r>
      <w:r w:rsidR="00D778B9">
        <w:t xml:space="preserve">, </w:t>
      </w:r>
      <w:r w:rsidR="00B5261E" w:rsidRPr="008126EB">
        <w:t>stock return quantiles</w:t>
      </w:r>
      <w:r w:rsidR="00691B4A" w:rsidRPr="008126EB">
        <w:t>.</w:t>
      </w:r>
    </w:p>
    <w:p w:rsidR="00B32255" w:rsidRDefault="00B32255" w:rsidP="006B555F">
      <w:pPr>
        <w:snapToGrid w:val="0"/>
        <w:spacing w:line="0" w:lineRule="atLeast"/>
        <w:jc w:val="center"/>
        <w:rPr>
          <w:rFonts w:eastAsia="DFKai-SB"/>
          <w:b/>
        </w:rPr>
      </w:pPr>
    </w:p>
    <w:p w:rsidR="00754050" w:rsidRDefault="006B555F" w:rsidP="006B555F">
      <w:pPr>
        <w:snapToGrid w:val="0"/>
        <w:spacing w:line="0" w:lineRule="atLeast"/>
        <w:jc w:val="center"/>
        <w:rPr>
          <w:rFonts w:eastAsia="DFKai-SB"/>
          <w:b/>
          <w:sz w:val="22"/>
          <w:szCs w:val="22"/>
        </w:rPr>
      </w:pPr>
      <w:r w:rsidRPr="00403A8F">
        <w:rPr>
          <w:rFonts w:eastAsia="DFKai-SB"/>
          <w:b/>
          <w:sz w:val="22"/>
          <w:szCs w:val="22"/>
        </w:rPr>
        <w:t>Figure 3</w:t>
      </w:r>
      <w:r w:rsidR="00754050">
        <w:rPr>
          <w:rFonts w:eastAsia="DFKai-SB"/>
          <w:b/>
          <w:sz w:val="22"/>
          <w:szCs w:val="22"/>
        </w:rPr>
        <w:t>: The QR and OLS E</w:t>
      </w:r>
      <w:r w:rsidRPr="00403A8F">
        <w:rPr>
          <w:rFonts w:eastAsia="DFKai-SB"/>
          <w:b/>
          <w:sz w:val="22"/>
          <w:szCs w:val="22"/>
        </w:rPr>
        <w:t xml:space="preserve">stimates </w:t>
      </w:r>
      <w:r w:rsidR="00754050">
        <w:rPr>
          <w:b/>
          <w:sz w:val="22"/>
          <w:szCs w:val="22"/>
        </w:rPr>
        <w:t>A</w:t>
      </w:r>
      <w:r w:rsidRPr="00403A8F">
        <w:rPr>
          <w:b/>
          <w:sz w:val="22"/>
          <w:szCs w:val="22"/>
        </w:rPr>
        <w:t>cross</w:t>
      </w:r>
      <w:r w:rsidR="00754050">
        <w:rPr>
          <w:b/>
          <w:sz w:val="22"/>
          <w:szCs w:val="22"/>
        </w:rPr>
        <w:t xml:space="preserve"> Various Q</w:t>
      </w:r>
      <w:r w:rsidRPr="00403A8F">
        <w:rPr>
          <w:b/>
          <w:sz w:val="22"/>
          <w:szCs w:val="22"/>
        </w:rPr>
        <w:t>uantiles</w:t>
      </w:r>
      <w:r w:rsidR="00754050">
        <w:rPr>
          <w:rFonts w:eastAsia="DFKai-SB"/>
          <w:b/>
          <w:sz w:val="22"/>
          <w:szCs w:val="22"/>
        </w:rPr>
        <w:t xml:space="preserve"> </w:t>
      </w:r>
    </w:p>
    <w:p w:rsidR="006B555F" w:rsidRPr="00403A8F" w:rsidRDefault="00754050" w:rsidP="006B555F">
      <w:pPr>
        <w:snapToGrid w:val="0"/>
        <w:spacing w:line="0" w:lineRule="atLeast"/>
        <w:jc w:val="center"/>
        <w:rPr>
          <w:rFonts w:eastAsia="DFKai-SB"/>
          <w:b/>
          <w:sz w:val="22"/>
          <w:szCs w:val="22"/>
        </w:rPr>
      </w:pPr>
      <w:r>
        <w:rPr>
          <w:rFonts w:eastAsia="DFKai-SB"/>
          <w:b/>
          <w:sz w:val="22"/>
          <w:szCs w:val="22"/>
        </w:rPr>
        <w:t>of Stock Returns for Control V</w:t>
      </w:r>
      <w:r w:rsidR="006B555F" w:rsidRPr="00403A8F">
        <w:rPr>
          <w:rFonts w:eastAsia="DFKai-SB"/>
          <w:b/>
          <w:sz w:val="22"/>
          <w:szCs w:val="22"/>
        </w:rPr>
        <w:t xml:space="preserve">ariables </w:t>
      </w:r>
    </w:p>
    <w:p w:rsidR="00754050" w:rsidRPr="00754050" w:rsidRDefault="00754050" w:rsidP="006B555F">
      <w:pPr>
        <w:snapToGrid w:val="0"/>
        <w:spacing w:line="0" w:lineRule="atLeast"/>
        <w:jc w:val="center"/>
        <w:rPr>
          <w:rFonts w:eastAsia="DFKai-SB"/>
          <w:sz w:val="6"/>
          <w:szCs w:val="6"/>
        </w:rPr>
      </w:pPr>
    </w:p>
    <w:p w:rsidR="00DF76B8" w:rsidRDefault="00DF76B8" w:rsidP="006B555F">
      <w:pPr>
        <w:snapToGrid w:val="0"/>
        <w:spacing w:line="0" w:lineRule="atLeast"/>
        <w:jc w:val="center"/>
        <w:rPr>
          <w:rFonts w:eastAsia="DFKai-SB"/>
          <w:sz w:val="22"/>
          <w:szCs w:val="22"/>
        </w:rPr>
      </w:pPr>
    </w:p>
    <w:p w:rsidR="006B555F" w:rsidRDefault="008B5B2B" w:rsidP="006B555F">
      <w:pPr>
        <w:snapToGrid w:val="0"/>
        <w:spacing w:line="0" w:lineRule="atLeast"/>
        <w:jc w:val="center"/>
        <w:rPr>
          <w:rFonts w:eastAsia="DFKai-SB"/>
          <w:sz w:val="22"/>
          <w:szCs w:val="22"/>
        </w:rPr>
      </w:pPr>
      <w:r>
        <w:rPr>
          <w:rFonts w:eastAsia="DFKai-SB"/>
          <w:sz w:val="22"/>
          <w:szCs w:val="22"/>
        </w:rPr>
        <w:t>Panel A: Market R</w:t>
      </w:r>
      <w:r w:rsidR="006B555F" w:rsidRPr="00754050">
        <w:rPr>
          <w:rFonts w:eastAsia="DFKai-SB"/>
          <w:sz w:val="22"/>
          <w:szCs w:val="22"/>
        </w:rPr>
        <w:t>eturn (</w:t>
      </w:r>
      <w:r w:rsidR="006B555F" w:rsidRPr="00754050">
        <w:rPr>
          <w:rFonts w:eastAsia="DFKai-SB"/>
          <w:i/>
          <w:sz w:val="22"/>
          <w:szCs w:val="22"/>
        </w:rPr>
        <w:t>MKT</w:t>
      </w:r>
      <w:r w:rsidR="006B555F" w:rsidRPr="00754050">
        <w:rPr>
          <w:rFonts w:eastAsia="DFKai-SB"/>
          <w:sz w:val="22"/>
          <w:szCs w:val="22"/>
        </w:rPr>
        <w:t>)</w:t>
      </w:r>
    </w:p>
    <w:p w:rsidR="00DF76B8" w:rsidRDefault="00DF76B8" w:rsidP="00DF76B8">
      <w:pPr>
        <w:snapToGrid w:val="0"/>
        <w:spacing w:line="0" w:lineRule="atLeast"/>
        <w:jc w:val="center"/>
        <w:rPr>
          <w:rFonts w:eastAsia="DFKai-SB"/>
          <w:sz w:val="22"/>
          <w:szCs w:val="22"/>
        </w:rPr>
      </w:pPr>
    </w:p>
    <w:p w:rsidR="00253E2A" w:rsidRDefault="006B555F" w:rsidP="00754050">
      <w:pPr>
        <w:snapToGrid w:val="0"/>
        <w:spacing w:line="0" w:lineRule="atLeast"/>
        <w:jc w:val="center"/>
        <w:rPr>
          <w:rFonts w:eastAsia="DFKai-SB"/>
          <w:b/>
        </w:rPr>
      </w:pPr>
      <w:r>
        <w:rPr>
          <w:rFonts w:eastAsia="DFKai-SB"/>
          <w:b/>
          <w:noProof/>
          <w:lang w:val="en-NZ" w:eastAsia="en-NZ"/>
        </w:rPr>
        <w:drawing>
          <wp:inline distT="0" distB="0" distL="0" distR="0" wp14:anchorId="45111EE4" wp14:editId="3CDAFB4D">
            <wp:extent cx="5029200" cy="3441700"/>
            <wp:effectExtent l="0" t="0" r="0" b="0"/>
            <wp:docPr id="5" name="圖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5381D" w:rsidRDefault="00A5381D" w:rsidP="006B555F">
      <w:pPr>
        <w:snapToGrid w:val="0"/>
        <w:spacing w:line="0" w:lineRule="atLeast"/>
        <w:jc w:val="center"/>
        <w:rPr>
          <w:rFonts w:eastAsia="DFKai-SB"/>
          <w:sz w:val="22"/>
          <w:szCs w:val="22"/>
        </w:rPr>
      </w:pPr>
    </w:p>
    <w:p w:rsidR="00A5381D" w:rsidRPr="00DF76B8" w:rsidRDefault="00DF76B8" w:rsidP="006B555F">
      <w:pPr>
        <w:snapToGrid w:val="0"/>
        <w:spacing w:line="0" w:lineRule="atLeast"/>
        <w:jc w:val="center"/>
        <w:rPr>
          <w:rFonts w:eastAsia="DFKai-SB"/>
          <w:sz w:val="22"/>
          <w:szCs w:val="22"/>
        </w:rPr>
      </w:pPr>
      <w:r>
        <w:rPr>
          <w:rFonts w:eastAsia="DFKai-SB"/>
          <w:sz w:val="22"/>
          <w:szCs w:val="22"/>
        </w:rPr>
        <w:t>Panel B: Size of Firm (</w:t>
      </w:r>
      <w:r>
        <w:rPr>
          <w:rFonts w:eastAsia="DFKai-SB"/>
          <w:i/>
          <w:sz w:val="22"/>
          <w:szCs w:val="22"/>
        </w:rPr>
        <w:t>SIZE</w:t>
      </w:r>
      <w:r>
        <w:rPr>
          <w:rFonts w:eastAsia="DFKai-SB"/>
          <w:sz w:val="22"/>
          <w:szCs w:val="22"/>
        </w:rPr>
        <w:t>)</w:t>
      </w:r>
    </w:p>
    <w:p w:rsidR="00A5381D" w:rsidRDefault="00A5381D" w:rsidP="006B555F">
      <w:pPr>
        <w:snapToGrid w:val="0"/>
        <w:spacing w:line="0" w:lineRule="atLeast"/>
        <w:jc w:val="center"/>
        <w:rPr>
          <w:rFonts w:eastAsia="DFKai-SB"/>
          <w:sz w:val="22"/>
          <w:szCs w:val="22"/>
        </w:rPr>
      </w:pPr>
    </w:p>
    <w:p w:rsidR="00A5381D" w:rsidRDefault="00DF76B8" w:rsidP="006B555F">
      <w:pPr>
        <w:snapToGrid w:val="0"/>
        <w:spacing w:line="0" w:lineRule="atLeast"/>
        <w:jc w:val="center"/>
        <w:rPr>
          <w:rFonts w:eastAsia="DFKai-SB"/>
          <w:sz w:val="22"/>
          <w:szCs w:val="22"/>
        </w:rPr>
      </w:pPr>
      <w:r>
        <w:rPr>
          <w:rFonts w:eastAsia="DFKai-SB"/>
          <w:b/>
          <w:noProof/>
          <w:lang w:val="en-NZ" w:eastAsia="en-NZ"/>
        </w:rPr>
        <w:drawing>
          <wp:inline distT="0" distB="0" distL="0" distR="0" wp14:anchorId="084C1E11" wp14:editId="6B2A219A">
            <wp:extent cx="4898572" cy="2623457"/>
            <wp:effectExtent l="0" t="0" r="0" b="5715"/>
            <wp:docPr id="4" name="圖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5381D" w:rsidRDefault="00A5381D" w:rsidP="006B555F">
      <w:pPr>
        <w:snapToGrid w:val="0"/>
        <w:spacing w:line="0" w:lineRule="atLeast"/>
        <w:jc w:val="center"/>
        <w:rPr>
          <w:rFonts w:eastAsia="DFKai-SB"/>
          <w:sz w:val="22"/>
          <w:szCs w:val="22"/>
        </w:rPr>
      </w:pPr>
    </w:p>
    <w:p w:rsidR="00DF76B8" w:rsidRDefault="00DF76B8" w:rsidP="006B555F">
      <w:pPr>
        <w:snapToGrid w:val="0"/>
        <w:spacing w:line="0" w:lineRule="atLeast"/>
        <w:jc w:val="center"/>
        <w:rPr>
          <w:rFonts w:eastAsia="DFKai-SB"/>
          <w:sz w:val="22"/>
          <w:szCs w:val="22"/>
        </w:rPr>
      </w:pPr>
    </w:p>
    <w:p w:rsidR="00DF76B8" w:rsidRDefault="00DF76B8" w:rsidP="006B555F">
      <w:pPr>
        <w:snapToGrid w:val="0"/>
        <w:spacing w:line="0" w:lineRule="atLeast"/>
        <w:jc w:val="center"/>
        <w:rPr>
          <w:rFonts w:eastAsia="DFKai-SB"/>
          <w:sz w:val="22"/>
          <w:szCs w:val="22"/>
        </w:rPr>
      </w:pPr>
    </w:p>
    <w:p w:rsidR="00DF76B8" w:rsidRDefault="00DF76B8" w:rsidP="006B555F">
      <w:pPr>
        <w:snapToGrid w:val="0"/>
        <w:spacing w:line="0" w:lineRule="atLeast"/>
        <w:jc w:val="center"/>
        <w:rPr>
          <w:rFonts w:eastAsia="DFKai-SB"/>
          <w:sz w:val="22"/>
          <w:szCs w:val="22"/>
        </w:rPr>
      </w:pPr>
    </w:p>
    <w:p w:rsidR="00DF76B8" w:rsidRDefault="00DF76B8" w:rsidP="006B555F">
      <w:pPr>
        <w:snapToGrid w:val="0"/>
        <w:spacing w:line="0" w:lineRule="atLeast"/>
        <w:jc w:val="center"/>
        <w:rPr>
          <w:rFonts w:eastAsia="DFKai-SB"/>
          <w:sz w:val="22"/>
          <w:szCs w:val="22"/>
        </w:rPr>
      </w:pPr>
    </w:p>
    <w:p w:rsidR="00DF76B8" w:rsidRDefault="00DF76B8" w:rsidP="006B555F">
      <w:pPr>
        <w:snapToGrid w:val="0"/>
        <w:spacing w:line="0" w:lineRule="atLeast"/>
        <w:jc w:val="center"/>
        <w:rPr>
          <w:rFonts w:eastAsia="DFKai-SB"/>
          <w:sz w:val="22"/>
          <w:szCs w:val="22"/>
        </w:rPr>
      </w:pPr>
    </w:p>
    <w:p w:rsidR="00DF76B8" w:rsidRDefault="00DF76B8" w:rsidP="006B555F">
      <w:pPr>
        <w:snapToGrid w:val="0"/>
        <w:spacing w:line="0" w:lineRule="atLeast"/>
        <w:jc w:val="center"/>
        <w:rPr>
          <w:rFonts w:eastAsia="DFKai-SB"/>
          <w:sz w:val="22"/>
          <w:szCs w:val="22"/>
        </w:rPr>
      </w:pPr>
    </w:p>
    <w:p w:rsidR="00DF76B8" w:rsidRDefault="00DF76B8" w:rsidP="006B555F">
      <w:pPr>
        <w:snapToGrid w:val="0"/>
        <w:spacing w:line="0" w:lineRule="atLeast"/>
        <w:jc w:val="center"/>
        <w:rPr>
          <w:rFonts w:eastAsia="DFKai-SB"/>
          <w:sz w:val="22"/>
          <w:szCs w:val="22"/>
        </w:rPr>
      </w:pPr>
    </w:p>
    <w:p w:rsidR="002A61C1" w:rsidRPr="002A61C1" w:rsidRDefault="002A61C1" w:rsidP="006B555F">
      <w:pPr>
        <w:snapToGrid w:val="0"/>
        <w:spacing w:line="0" w:lineRule="atLeast"/>
        <w:jc w:val="center"/>
        <w:rPr>
          <w:rFonts w:eastAsia="DFKai-SB"/>
          <w:b/>
          <w:sz w:val="6"/>
          <w:szCs w:val="6"/>
        </w:rPr>
      </w:pPr>
    </w:p>
    <w:p w:rsidR="006B555F" w:rsidRPr="00403A8F" w:rsidRDefault="006B555F" w:rsidP="006B555F">
      <w:pPr>
        <w:snapToGrid w:val="0"/>
        <w:spacing w:line="0" w:lineRule="atLeast"/>
        <w:jc w:val="center"/>
        <w:rPr>
          <w:rFonts w:eastAsia="DFKai-SB"/>
          <w:sz w:val="22"/>
          <w:szCs w:val="22"/>
        </w:rPr>
      </w:pPr>
      <w:r w:rsidRPr="00403A8F">
        <w:rPr>
          <w:rFonts w:eastAsia="DFKai-SB"/>
          <w:sz w:val="22"/>
          <w:szCs w:val="22"/>
        </w:rPr>
        <w:t>Panel C: Market</w:t>
      </w:r>
      <w:r w:rsidRPr="00403A8F">
        <w:rPr>
          <w:rFonts w:hint="eastAsia"/>
          <w:sz w:val="22"/>
          <w:szCs w:val="22"/>
        </w:rPr>
        <w:t xml:space="preserve"> </w:t>
      </w:r>
      <w:r w:rsidRPr="00403A8F">
        <w:rPr>
          <w:rFonts w:eastAsia="DFKai-SB"/>
          <w:sz w:val="22"/>
          <w:szCs w:val="22"/>
        </w:rPr>
        <w:t>to</w:t>
      </w:r>
      <w:r w:rsidRPr="00403A8F">
        <w:rPr>
          <w:rFonts w:hint="eastAsia"/>
          <w:sz w:val="22"/>
          <w:szCs w:val="22"/>
        </w:rPr>
        <w:t xml:space="preserve"> </w:t>
      </w:r>
      <w:r w:rsidR="008B5B2B">
        <w:rPr>
          <w:rFonts w:eastAsia="DFKai-SB"/>
          <w:sz w:val="22"/>
          <w:szCs w:val="22"/>
        </w:rPr>
        <w:t>B</w:t>
      </w:r>
      <w:r w:rsidRPr="00403A8F">
        <w:rPr>
          <w:rFonts w:eastAsia="DFKai-SB"/>
          <w:sz w:val="22"/>
          <w:szCs w:val="22"/>
        </w:rPr>
        <w:t>oo</w:t>
      </w:r>
      <w:r w:rsidRPr="00403A8F">
        <w:rPr>
          <w:rFonts w:hint="eastAsia"/>
          <w:sz w:val="22"/>
          <w:szCs w:val="22"/>
        </w:rPr>
        <w:t>k</w:t>
      </w:r>
      <w:r w:rsidRPr="00403A8F">
        <w:rPr>
          <w:rFonts w:eastAsia="DFKai-SB"/>
          <w:sz w:val="22"/>
          <w:szCs w:val="22"/>
        </w:rPr>
        <w:t xml:space="preserve"> </w:t>
      </w:r>
      <w:r w:rsidR="008B5B2B">
        <w:rPr>
          <w:sz w:val="22"/>
          <w:szCs w:val="22"/>
        </w:rPr>
        <w:t>V</w:t>
      </w:r>
      <w:r w:rsidRPr="00403A8F">
        <w:rPr>
          <w:rFonts w:hint="eastAsia"/>
          <w:sz w:val="22"/>
          <w:szCs w:val="22"/>
        </w:rPr>
        <w:t xml:space="preserve">alue </w:t>
      </w:r>
      <w:r w:rsidR="008B5B2B">
        <w:rPr>
          <w:rFonts w:eastAsia="DFKai-SB"/>
          <w:sz w:val="22"/>
          <w:szCs w:val="22"/>
        </w:rPr>
        <w:t>R</w:t>
      </w:r>
      <w:r w:rsidRPr="00403A8F">
        <w:rPr>
          <w:rFonts w:eastAsia="DFKai-SB"/>
          <w:sz w:val="22"/>
          <w:szCs w:val="22"/>
        </w:rPr>
        <w:t>atio (</w:t>
      </w:r>
      <w:r w:rsidRPr="00403A8F">
        <w:rPr>
          <w:rFonts w:eastAsia="DFKai-SB"/>
          <w:i/>
          <w:sz w:val="22"/>
          <w:szCs w:val="22"/>
        </w:rPr>
        <w:t>MB</w:t>
      </w:r>
      <w:r w:rsidRPr="00403A8F">
        <w:rPr>
          <w:rFonts w:eastAsia="DFKai-SB"/>
          <w:sz w:val="22"/>
          <w:szCs w:val="22"/>
        </w:rPr>
        <w:t>)</w:t>
      </w:r>
    </w:p>
    <w:p w:rsidR="006B555F" w:rsidRPr="003F6839" w:rsidRDefault="006B555F" w:rsidP="00754050">
      <w:pPr>
        <w:snapToGrid w:val="0"/>
        <w:spacing w:line="0" w:lineRule="atLeast"/>
        <w:jc w:val="center"/>
        <w:rPr>
          <w:rFonts w:eastAsia="DFKai-SB"/>
          <w:b/>
        </w:rPr>
      </w:pPr>
      <w:r>
        <w:rPr>
          <w:rFonts w:eastAsia="DFKai-SB"/>
          <w:b/>
          <w:noProof/>
          <w:lang w:val="en-NZ" w:eastAsia="en-NZ"/>
        </w:rPr>
        <w:drawing>
          <wp:inline distT="0" distB="0" distL="0" distR="0" wp14:anchorId="021F719A" wp14:editId="0B55E31C">
            <wp:extent cx="4775200" cy="3175000"/>
            <wp:effectExtent l="0" t="0" r="0" b="0"/>
            <wp:docPr id="6" name="圖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B555F" w:rsidRPr="003F6839" w:rsidRDefault="006B555F" w:rsidP="006B555F">
      <w:pPr>
        <w:snapToGrid w:val="0"/>
        <w:spacing w:line="0" w:lineRule="atLeast"/>
        <w:rPr>
          <w:rFonts w:eastAsia="DFKai-SB"/>
          <w:b/>
        </w:rPr>
      </w:pPr>
    </w:p>
    <w:p w:rsidR="006B555F" w:rsidRPr="00403A8F" w:rsidRDefault="006B555F" w:rsidP="006B555F">
      <w:pPr>
        <w:snapToGrid w:val="0"/>
        <w:spacing w:line="0" w:lineRule="atLeast"/>
        <w:jc w:val="center"/>
        <w:rPr>
          <w:rFonts w:eastAsia="DFKai-SB"/>
          <w:sz w:val="22"/>
          <w:szCs w:val="22"/>
        </w:rPr>
      </w:pPr>
      <w:r w:rsidRPr="00403A8F">
        <w:rPr>
          <w:rFonts w:eastAsia="DFKai-SB"/>
          <w:sz w:val="22"/>
          <w:szCs w:val="22"/>
        </w:rPr>
        <w:t xml:space="preserve">Panel D: Lagged </w:t>
      </w:r>
      <w:r w:rsidR="008B5B2B">
        <w:rPr>
          <w:sz w:val="22"/>
          <w:szCs w:val="22"/>
        </w:rPr>
        <w:t>I</w:t>
      </w:r>
      <w:r w:rsidRPr="00403A8F">
        <w:rPr>
          <w:sz w:val="22"/>
          <w:szCs w:val="22"/>
        </w:rPr>
        <w:t>ndividual</w:t>
      </w:r>
      <w:r w:rsidR="008B5B2B">
        <w:rPr>
          <w:rFonts w:hint="eastAsia"/>
          <w:sz w:val="22"/>
          <w:szCs w:val="22"/>
        </w:rPr>
        <w:t xml:space="preserve"> </w:t>
      </w:r>
      <w:r w:rsidR="008B5B2B">
        <w:rPr>
          <w:sz w:val="22"/>
          <w:szCs w:val="22"/>
        </w:rPr>
        <w:t>S</w:t>
      </w:r>
      <w:r w:rsidRPr="00403A8F">
        <w:rPr>
          <w:rFonts w:hint="eastAsia"/>
          <w:sz w:val="22"/>
          <w:szCs w:val="22"/>
        </w:rPr>
        <w:t xml:space="preserve">tock </w:t>
      </w:r>
      <w:r w:rsidR="008B5B2B">
        <w:rPr>
          <w:rFonts w:eastAsia="DFKai-SB"/>
          <w:sz w:val="22"/>
          <w:szCs w:val="22"/>
        </w:rPr>
        <w:t>R</w:t>
      </w:r>
      <w:r w:rsidRPr="00403A8F">
        <w:rPr>
          <w:rFonts w:eastAsia="DFKai-SB"/>
          <w:sz w:val="22"/>
          <w:szCs w:val="22"/>
        </w:rPr>
        <w:t>eturn (</w:t>
      </w:r>
      <w:r w:rsidRPr="00403A8F">
        <w:rPr>
          <w:rFonts w:eastAsia="DFKai-SB"/>
          <w:i/>
          <w:sz w:val="22"/>
          <w:szCs w:val="22"/>
        </w:rPr>
        <w:t>MOM</w:t>
      </w:r>
      <w:r w:rsidRPr="00403A8F">
        <w:rPr>
          <w:rFonts w:eastAsia="DFKai-SB"/>
          <w:sz w:val="22"/>
          <w:szCs w:val="22"/>
        </w:rPr>
        <w:t>)</w:t>
      </w:r>
    </w:p>
    <w:p w:rsidR="006B555F" w:rsidRPr="003F6839" w:rsidRDefault="006B555F" w:rsidP="006B555F">
      <w:pPr>
        <w:snapToGrid w:val="0"/>
        <w:spacing w:line="0" w:lineRule="atLeast"/>
        <w:jc w:val="center"/>
        <w:rPr>
          <w:rFonts w:eastAsia="DFKai-SB"/>
        </w:rPr>
      </w:pPr>
    </w:p>
    <w:p w:rsidR="006B555F" w:rsidRPr="003F6839" w:rsidRDefault="006B555F" w:rsidP="006B555F">
      <w:pPr>
        <w:snapToGrid w:val="0"/>
        <w:spacing w:line="0" w:lineRule="atLeast"/>
        <w:rPr>
          <w:rFonts w:eastAsia="DFKai-SB"/>
          <w:b/>
        </w:rPr>
      </w:pPr>
      <w:r>
        <w:rPr>
          <w:rFonts w:eastAsia="DFKai-SB"/>
          <w:b/>
          <w:noProof/>
          <w:lang w:val="en-NZ" w:eastAsia="en-NZ"/>
        </w:rPr>
        <w:drawing>
          <wp:inline distT="0" distB="0" distL="0" distR="0" wp14:anchorId="78F66B8F" wp14:editId="20893B3D">
            <wp:extent cx="5275580" cy="3206115"/>
            <wp:effectExtent l="0" t="0" r="0" b="0"/>
            <wp:docPr id="7" name="圖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04046" w:rsidRDefault="00D778B9" w:rsidP="00FE1E17">
      <w:pPr>
        <w:widowControl/>
        <w:adjustRightInd w:val="0"/>
        <w:snapToGrid w:val="0"/>
        <w:spacing w:line="288" w:lineRule="auto"/>
        <w:ind w:firstLineChars="295" w:firstLine="708"/>
        <w:jc w:val="both"/>
      </w:pPr>
      <w:r>
        <w:t xml:space="preserve">Several implications can be drawn </w:t>
      </w:r>
      <w:r w:rsidR="005E6248">
        <w:t>on c</w:t>
      </w:r>
      <w:r w:rsidR="005E6248" w:rsidRPr="008126EB">
        <w:t>ontrol variables</w:t>
      </w:r>
      <w:r w:rsidR="005E6248">
        <w:t xml:space="preserve"> </w:t>
      </w:r>
      <w:r>
        <w:t xml:space="preserve">according to the </w:t>
      </w:r>
      <w:r w:rsidR="005E6248">
        <w:t xml:space="preserve">QR </w:t>
      </w:r>
      <w:r>
        <w:t>results</w:t>
      </w:r>
      <w:r w:rsidR="00691B4A" w:rsidRPr="008126EB">
        <w:t>. First,</w:t>
      </w:r>
      <w:r w:rsidR="00747575">
        <w:t xml:space="preserve"> </w:t>
      </w:r>
      <w:r w:rsidR="00691B4A" w:rsidRPr="00235D3B">
        <w:t xml:space="preserve">the relation </w:t>
      </w:r>
      <w:r w:rsidR="00B5261E">
        <w:t>between</w:t>
      </w:r>
      <w:r w:rsidR="00691B4A" w:rsidRPr="00235D3B">
        <w:t xml:space="preserve"> </w:t>
      </w:r>
      <w:r w:rsidR="00691B4A" w:rsidRPr="00235D3B">
        <w:rPr>
          <w:rFonts w:hint="eastAsia"/>
          <w:i/>
        </w:rPr>
        <w:t>MKT</w:t>
      </w:r>
      <w:r w:rsidR="00B5261E">
        <w:t>,</w:t>
      </w:r>
      <w:r w:rsidR="00691B4A" w:rsidRPr="00235D3B">
        <w:t xml:space="preserve"> </w:t>
      </w:r>
      <w:r w:rsidR="00691B4A" w:rsidRPr="00235D3B">
        <w:rPr>
          <w:rFonts w:hint="eastAsia"/>
          <w:i/>
        </w:rPr>
        <w:t>MB</w:t>
      </w:r>
      <w:r w:rsidR="00691B4A" w:rsidRPr="00235D3B">
        <w:rPr>
          <w:rFonts w:hint="eastAsia"/>
        </w:rPr>
        <w:t xml:space="preserve"> </w:t>
      </w:r>
      <w:r w:rsidR="00B5261E">
        <w:t>and</w:t>
      </w:r>
      <w:r w:rsidR="00691B4A" w:rsidRPr="008126EB">
        <w:t xml:space="preserve"> </w:t>
      </w:r>
      <w:r w:rsidR="00691B4A" w:rsidRPr="008126EB">
        <w:rPr>
          <w:rFonts w:hint="eastAsia"/>
          <w:i/>
        </w:rPr>
        <w:t>RETURN</w:t>
      </w:r>
      <w:r w:rsidR="00691B4A" w:rsidRPr="008126EB">
        <w:t xml:space="preserve"> become</w:t>
      </w:r>
      <w:r w:rsidR="00747575">
        <w:t>s</w:t>
      </w:r>
      <w:r w:rsidR="00691B4A" w:rsidRPr="008126EB">
        <w:t xml:space="preserve"> stronger</w:t>
      </w:r>
      <w:r w:rsidR="000129AB" w:rsidRPr="000129AB">
        <w:t xml:space="preserve"> </w:t>
      </w:r>
      <w:r w:rsidR="000129AB">
        <w:t>among</w:t>
      </w:r>
      <w:r w:rsidR="000129AB" w:rsidRPr="00235D3B">
        <w:t xml:space="preserve"> firms experiencing a </w:t>
      </w:r>
      <w:r w:rsidR="000129AB">
        <w:rPr>
          <w:rFonts w:hint="eastAsia"/>
        </w:rPr>
        <w:t xml:space="preserve">gain in </w:t>
      </w:r>
      <w:r w:rsidR="000129AB" w:rsidRPr="00235D3B">
        <w:t xml:space="preserve">high </w:t>
      </w:r>
      <w:r w:rsidR="000129AB" w:rsidRPr="00235D3B">
        <w:rPr>
          <w:i/>
        </w:rPr>
        <w:t>RETURN</w:t>
      </w:r>
      <w:r w:rsidR="000129AB">
        <w:t xml:space="preserve"> quantiles</w:t>
      </w:r>
      <w:r w:rsidR="00691B4A" w:rsidRPr="008126EB">
        <w:t xml:space="preserve">. Second, there is a significantly negative autocorrelation </w:t>
      </w:r>
      <w:r w:rsidR="00194BFA">
        <w:t xml:space="preserve">for stock returns </w:t>
      </w:r>
      <w:r w:rsidR="00691B4A" w:rsidRPr="008126EB">
        <w:t>in</w:t>
      </w:r>
      <w:r w:rsidR="00691B4A" w:rsidRPr="008126EB">
        <w:rPr>
          <w:rFonts w:hint="eastAsia"/>
        </w:rPr>
        <w:t xml:space="preserve"> </w:t>
      </w:r>
      <w:r w:rsidR="00691B4A" w:rsidRPr="008126EB">
        <w:t xml:space="preserve">the pool of </w:t>
      </w:r>
      <w:r w:rsidR="00691B4A" w:rsidRPr="008126EB">
        <w:rPr>
          <w:rFonts w:hint="eastAsia"/>
        </w:rPr>
        <w:t>samples</w:t>
      </w:r>
      <w:r w:rsidR="00691B4A" w:rsidRPr="008126EB">
        <w:t xml:space="preserve"> and it becomes</w:t>
      </w:r>
      <w:r w:rsidR="00691B4A" w:rsidRPr="008126EB">
        <w:rPr>
          <w:rFonts w:hint="eastAsia"/>
        </w:rPr>
        <w:t xml:space="preserve"> </w:t>
      </w:r>
      <w:r w:rsidR="00194BFA">
        <w:t xml:space="preserve">more </w:t>
      </w:r>
      <w:r w:rsidR="00691B4A" w:rsidRPr="008126EB">
        <w:t xml:space="preserve">pronounced </w:t>
      </w:r>
      <w:r w:rsidR="00194BFA">
        <w:t>at</w:t>
      </w:r>
      <w:r w:rsidR="00B5261E">
        <w:t xml:space="preserve"> </w:t>
      </w:r>
      <w:r w:rsidR="00691B4A" w:rsidRPr="008126EB">
        <w:rPr>
          <w:rFonts w:hint="eastAsia"/>
        </w:rPr>
        <w:t xml:space="preserve">higher </w:t>
      </w:r>
      <w:r w:rsidR="00691B4A" w:rsidRPr="008126EB">
        <w:rPr>
          <w:rFonts w:hint="eastAsia"/>
          <w:i/>
        </w:rPr>
        <w:t>RETURN</w:t>
      </w:r>
      <w:r w:rsidR="00691B4A" w:rsidRPr="008126EB">
        <w:rPr>
          <w:rFonts w:hint="eastAsia"/>
        </w:rPr>
        <w:t xml:space="preserve"> quantiles</w:t>
      </w:r>
      <w:r w:rsidR="00691B4A" w:rsidRPr="008126EB">
        <w:t xml:space="preserve">. </w:t>
      </w:r>
      <w:r w:rsidR="00691B4A" w:rsidRPr="008126EB">
        <w:rPr>
          <w:rFonts w:hint="eastAsia"/>
        </w:rPr>
        <w:t xml:space="preserve">Finally, </w:t>
      </w:r>
      <w:r w:rsidR="00691B4A" w:rsidRPr="008126EB">
        <w:rPr>
          <w:i/>
        </w:rPr>
        <w:t>SIZE</w:t>
      </w:r>
      <w:r w:rsidR="00691B4A" w:rsidRPr="008126EB">
        <w:t xml:space="preserve"> negatively relates to </w:t>
      </w:r>
      <w:r w:rsidR="00691B4A" w:rsidRPr="008126EB">
        <w:rPr>
          <w:rFonts w:hint="eastAsia"/>
          <w:i/>
        </w:rPr>
        <w:t>RETURN</w:t>
      </w:r>
      <w:r w:rsidR="00691B4A" w:rsidRPr="008126EB">
        <w:rPr>
          <w:rFonts w:hint="eastAsia"/>
        </w:rPr>
        <w:t xml:space="preserve"> </w:t>
      </w:r>
      <w:r w:rsidR="005B52EC">
        <w:t>among</w:t>
      </w:r>
      <w:r w:rsidR="005B52EC" w:rsidRPr="008126EB">
        <w:rPr>
          <w:rFonts w:hint="eastAsia"/>
        </w:rPr>
        <w:t xml:space="preserve"> </w:t>
      </w:r>
      <w:r w:rsidR="00691B4A" w:rsidRPr="008126EB">
        <w:rPr>
          <w:rFonts w:hint="eastAsia"/>
        </w:rPr>
        <w:t xml:space="preserve">firms </w:t>
      </w:r>
      <w:r w:rsidR="00691B4A" w:rsidRPr="008126EB">
        <w:t>experienc</w:t>
      </w:r>
      <w:r w:rsidR="00691B4A" w:rsidRPr="008126EB">
        <w:rPr>
          <w:rFonts w:hint="eastAsia"/>
        </w:rPr>
        <w:t>ing a</w:t>
      </w:r>
      <w:r w:rsidR="00691B4A" w:rsidRPr="008126EB">
        <w:t>n increase</w:t>
      </w:r>
      <w:r w:rsidR="00691B4A" w:rsidRPr="008126EB">
        <w:rPr>
          <w:rFonts w:hint="eastAsia"/>
        </w:rPr>
        <w:t xml:space="preserve"> in </w:t>
      </w:r>
      <w:r w:rsidR="00691B4A" w:rsidRPr="008126EB">
        <w:t>share prices</w:t>
      </w:r>
      <w:r w:rsidR="00194BFA">
        <w:t xml:space="preserve"> (</w:t>
      </w:r>
      <w:r w:rsidR="00A5381D">
        <w:t>that is,</w:t>
      </w:r>
      <w:r w:rsidR="00194BFA">
        <w:t xml:space="preserve"> </w:t>
      </w:r>
      <w:r w:rsidR="00691B4A" w:rsidRPr="008126EB">
        <w:rPr>
          <w:rFonts w:hint="eastAsia"/>
        </w:rPr>
        <w:t xml:space="preserve">higher </w:t>
      </w:r>
      <w:r w:rsidR="00691B4A" w:rsidRPr="008126EB">
        <w:rPr>
          <w:rFonts w:hint="eastAsia"/>
          <w:i/>
        </w:rPr>
        <w:t>RETURN</w:t>
      </w:r>
      <w:r w:rsidR="00691B4A" w:rsidRPr="008126EB">
        <w:rPr>
          <w:rFonts w:hint="eastAsia"/>
        </w:rPr>
        <w:t xml:space="preserve"> quantiles</w:t>
      </w:r>
      <w:r w:rsidR="00194BFA">
        <w:t>)</w:t>
      </w:r>
      <w:r w:rsidR="00B5261E">
        <w:t xml:space="preserve">. </w:t>
      </w:r>
      <w:r w:rsidR="00691B4A" w:rsidRPr="008126EB">
        <w:t>In</w:t>
      </w:r>
      <w:r w:rsidR="00691B4A" w:rsidRPr="008126EB">
        <w:rPr>
          <w:rFonts w:hint="eastAsia"/>
        </w:rPr>
        <w:t xml:space="preserve"> contrast, </w:t>
      </w:r>
      <w:r w:rsidR="00691B4A" w:rsidRPr="008126EB">
        <w:rPr>
          <w:i/>
        </w:rPr>
        <w:t>SIZE</w:t>
      </w:r>
      <w:r w:rsidR="00691B4A" w:rsidRPr="008126EB">
        <w:t xml:space="preserve"> positively relates to </w:t>
      </w:r>
      <w:r w:rsidR="00691B4A" w:rsidRPr="008126EB">
        <w:rPr>
          <w:rFonts w:hint="eastAsia"/>
          <w:i/>
        </w:rPr>
        <w:t>RETURN</w:t>
      </w:r>
      <w:r w:rsidR="00691B4A" w:rsidRPr="008126EB">
        <w:rPr>
          <w:rFonts w:hint="eastAsia"/>
        </w:rPr>
        <w:t xml:space="preserve"> </w:t>
      </w:r>
      <w:r w:rsidR="00194BFA">
        <w:t>for</w:t>
      </w:r>
      <w:r w:rsidR="00691B4A" w:rsidRPr="008126EB">
        <w:t xml:space="preserve"> </w:t>
      </w:r>
      <w:r w:rsidR="00691B4A" w:rsidRPr="008126EB">
        <w:rPr>
          <w:rFonts w:hint="eastAsia"/>
        </w:rPr>
        <w:t xml:space="preserve">firms </w:t>
      </w:r>
      <w:r w:rsidR="00691B4A" w:rsidRPr="008126EB">
        <w:t>suffer</w:t>
      </w:r>
      <w:r w:rsidR="00194BFA">
        <w:t>ing</w:t>
      </w:r>
      <w:r w:rsidR="00691B4A" w:rsidRPr="008126EB">
        <w:rPr>
          <w:rFonts w:hint="eastAsia"/>
        </w:rPr>
        <w:t xml:space="preserve"> </w:t>
      </w:r>
      <w:r w:rsidR="00691B4A" w:rsidRPr="008126EB">
        <w:t xml:space="preserve">from </w:t>
      </w:r>
      <w:r w:rsidR="00691B4A" w:rsidRPr="008126EB">
        <w:rPr>
          <w:rFonts w:hint="eastAsia"/>
        </w:rPr>
        <w:t>a</w:t>
      </w:r>
      <w:r w:rsidR="005B52EC">
        <w:t xml:space="preserve"> decrease </w:t>
      </w:r>
      <w:r w:rsidR="00691B4A" w:rsidRPr="008126EB">
        <w:rPr>
          <w:rFonts w:hint="eastAsia"/>
        </w:rPr>
        <w:t xml:space="preserve">in </w:t>
      </w:r>
      <w:r w:rsidR="00691B4A" w:rsidRPr="008126EB">
        <w:t>share price</w:t>
      </w:r>
      <w:r w:rsidR="00691B4A" w:rsidRPr="008126EB">
        <w:rPr>
          <w:rFonts w:hint="eastAsia"/>
        </w:rPr>
        <w:t xml:space="preserve"> </w:t>
      </w:r>
      <w:r w:rsidR="00194BFA">
        <w:t xml:space="preserve">(i.e., </w:t>
      </w:r>
      <w:r w:rsidR="00691B4A" w:rsidRPr="008126EB">
        <w:rPr>
          <w:rFonts w:hint="eastAsia"/>
        </w:rPr>
        <w:t xml:space="preserve">lower </w:t>
      </w:r>
      <w:r w:rsidR="00691B4A" w:rsidRPr="008126EB">
        <w:rPr>
          <w:rFonts w:hint="eastAsia"/>
          <w:i/>
        </w:rPr>
        <w:t>RETURN</w:t>
      </w:r>
      <w:r w:rsidR="00691B4A" w:rsidRPr="008126EB">
        <w:rPr>
          <w:rFonts w:hint="eastAsia"/>
        </w:rPr>
        <w:t xml:space="preserve"> quantile</w:t>
      </w:r>
      <w:r w:rsidR="00FC0328">
        <w:rPr>
          <w:rFonts w:hint="eastAsia"/>
        </w:rPr>
        <w:t>s</w:t>
      </w:r>
      <w:r w:rsidR="00194BFA">
        <w:t>)</w:t>
      </w:r>
      <w:r w:rsidR="00691B4A" w:rsidRPr="008126EB">
        <w:rPr>
          <w:rFonts w:hint="eastAsia"/>
        </w:rPr>
        <w:t>.</w:t>
      </w:r>
      <w:r w:rsidR="00A04046">
        <w:rPr>
          <w:rFonts w:hint="eastAsia"/>
        </w:rPr>
        <w:t xml:space="preserve"> </w:t>
      </w:r>
    </w:p>
    <w:p w:rsidR="00975AA9" w:rsidRDefault="00691B4A" w:rsidP="00FE1E17">
      <w:pPr>
        <w:widowControl/>
        <w:adjustRightInd w:val="0"/>
        <w:snapToGrid w:val="0"/>
        <w:spacing w:line="288" w:lineRule="auto"/>
        <w:jc w:val="both"/>
        <w:rPr>
          <w:b/>
        </w:rPr>
      </w:pPr>
      <w:r w:rsidRPr="008126EB">
        <w:rPr>
          <w:rFonts w:hint="eastAsia"/>
          <w:b/>
        </w:rPr>
        <w:lastRenderedPageBreak/>
        <w:t>6</w:t>
      </w:r>
      <w:r w:rsidRPr="008126EB">
        <w:rPr>
          <w:b/>
        </w:rPr>
        <w:t xml:space="preserve">. </w:t>
      </w:r>
      <w:r w:rsidRPr="00A73AF9">
        <w:rPr>
          <w:b/>
          <w:lang w:eastAsia="ko-KR"/>
        </w:rPr>
        <w:t>R</w:t>
      </w:r>
      <w:r w:rsidRPr="00A73AF9">
        <w:rPr>
          <w:b/>
        </w:rPr>
        <w:t>obustness</w:t>
      </w:r>
      <w:r w:rsidR="00754050">
        <w:rPr>
          <w:b/>
        </w:rPr>
        <w:t xml:space="preserve"> T</w:t>
      </w:r>
      <w:r w:rsidRPr="008126EB">
        <w:rPr>
          <w:b/>
        </w:rPr>
        <w:t>ests</w:t>
      </w:r>
      <w:r w:rsidRPr="008126EB">
        <w:rPr>
          <w:b/>
        </w:rPr>
        <w:tab/>
      </w:r>
    </w:p>
    <w:p w:rsidR="00754050" w:rsidRPr="00754050" w:rsidRDefault="00754050" w:rsidP="00403A8F">
      <w:pPr>
        <w:widowControl/>
        <w:adjustRightInd w:val="0"/>
        <w:snapToGrid w:val="0"/>
        <w:spacing w:line="288" w:lineRule="auto"/>
        <w:jc w:val="both"/>
        <w:rPr>
          <w:sz w:val="12"/>
          <w:szCs w:val="12"/>
        </w:rPr>
      </w:pPr>
    </w:p>
    <w:p w:rsidR="003E43FA" w:rsidRDefault="005E6248" w:rsidP="00403A8F">
      <w:pPr>
        <w:widowControl/>
        <w:adjustRightInd w:val="0"/>
        <w:snapToGrid w:val="0"/>
        <w:spacing w:line="288" w:lineRule="auto"/>
        <w:jc w:val="both"/>
      </w:pPr>
      <w:r>
        <w:t>To en</w:t>
      </w:r>
      <w:r w:rsidRPr="008126EB">
        <w:t>sure the results reported in Section 5 are robust</w:t>
      </w:r>
      <w:r>
        <w:t>, w</w:t>
      </w:r>
      <w:r w:rsidR="0014643A">
        <w:t xml:space="preserve">e carry out </w:t>
      </w:r>
      <w:r w:rsidR="00E65FA6">
        <w:t xml:space="preserve">several </w:t>
      </w:r>
      <w:r>
        <w:t xml:space="preserve">additional </w:t>
      </w:r>
      <w:r w:rsidR="0014643A">
        <w:t>tests</w:t>
      </w:r>
      <w:r w:rsidR="00691B4A" w:rsidRPr="008126EB">
        <w:t xml:space="preserve">. These </w:t>
      </w:r>
      <w:r w:rsidR="0014643A">
        <w:t>analyses</w:t>
      </w:r>
      <w:r w:rsidR="0014643A" w:rsidRPr="008126EB">
        <w:t xml:space="preserve"> </w:t>
      </w:r>
      <w:r w:rsidR="00E65FA6">
        <w:t xml:space="preserve">allow us to </w:t>
      </w:r>
      <w:r w:rsidR="0014643A">
        <w:t xml:space="preserve">investigate </w:t>
      </w:r>
      <w:r w:rsidR="00691B4A" w:rsidRPr="008126EB">
        <w:t xml:space="preserve">(1) </w:t>
      </w:r>
      <w:r w:rsidR="00CB58A9">
        <w:t xml:space="preserve">the </w:t>
      </w:r>
      <w:r w:rsidR="00123CE4">
        <w:t xml:space="preserve">effect of </w:t>
      </w:r>
      <w:r w:rsidR="005B3C26" w:rsidRPr="008126EB">
        <w:rPr>
          <w:rFonts w:hint="eastAsia"/>
        </w:rPr>
        <w:t xml:space="preserve">equity </w:t>
      </w:r>
      <w:r w:rsidR="00691B4A" w:rsidRPr="008126EB">
        <w:t>incentives</w:t>
      </w:r>
      <w:r w:rsidR="00123CE4">
        <w:t xml:space="preserve"> on</w:t>
      </w:r>
      <w:r w:rsidR="00CB58A9">
        <w:t xml:space="preserve"> the</w:t>
      </w:r>
      <w:r w:rsidR="00123CE4">
        <w:t xml:space="preserve"> </w:t>
      </w:r>
      <w:r w:rsidR="00123CE4" w:rsidRPr="008126EB">
        <w:rPr>
          <w:rFonts w:hint="eastAsia"/>
          <w:i/>
        </w:rPr>
        <w:t>|</w:t>
      </w:r>
      <w:r w:rsidR="00123CE4" w:rsidRPr="008126EB">
        <w:rPr>
          <w:i/>
        </w:rPr>
        <w:t>DA</w:t>
      </w:r>
      <w:r w:rsidR="00123CE4" w:rsidRPr="008126EB">
        <w:rPr>
          <w:rFonts w:hint="eastAsia"/>
          <w:i/>
        </w:rPr>
        <w:t>|</w:t>
      </w:r>
      <w:r w:rsidR="00123CE4" w:rsidRPr="008126EB">
        <w:rPr>
          <w:i/>
        </w:rPr>
        <w:t>–</w:t>
      </w:r>
      <w:r w:rsidR="00123CE4" w:rsidRPr="008126EB">
        <w:rPr>
          <w:rFonts w:hint="eastAsia"/>
          <w:i/>
        </w:rPr>
        <w:t>RETURN</w:t>
      </w:r>
      <w:r w:rsidR="00123CE4" w:rsidRPr="008126EB">
        <w:rPr>
          <w:i/>
        </w:rPr>
        <w:t xml:space="preserve"> </w:t>
      </w:r>
      <w:r w:rsidR="00123CE4" w:rsidRPr="008126EB">
        <w:t>relation</w:t>
      </w:r>
      <w:r w:rsidR="00B1466E">
        <w:t>;</w:t>
      </w:r>
      <w:r w:rsidR="00691B4A" w:rsidRPr="008126EB">
        <w:t xml:space="preserve"> (2) </w:t>
      </w:r>
      <w:r w:rsidR="00CB58A9">
        <w:t xml:space="preserve">the </w:t>
      </w:r>
      <w:r w:rsidR="00B5261E">
        <w:t xml:space="preserve">relation between </w:t>
      </w:r>
      <w:r w:rsidR="00C473A3">
        <w:t>earnings manipulation</w:t>
      </w:r>
      <w:r w:rsidR="00123CE4">
        <w:t xml:space="preserve"> and </w:t>
      </w:r>
      <w:r w:rsidR="001927FA" w:rsidRPr="008126EB">
        <w:rPr>
          <w:rFonts w:eastAsia="PMingLiU" w:hint="eastAsia"/>
        </w:rPr>
        <w:t>Tobin</w:t>
      </w:r>
      <w:r w:rsidR="001927FA" w:rsidRPr="008126EB">
        <w:rPr>
          <w:rFonts w:eastAsia="PMingLiU"/>
        </w:rPr>
        <w:t>’</w:t>
      </w:r>
      <w:r w:rsidR="0006576E" w:rsidRPr="008126EB">
        <w:rPr>
          <w:rFonts w:eastAsia="PMingLiU" w:hint="eastAsia"/>
        </w:rPr>
        <w:t xml:space="preserve">s </w:t>
      </w:r>
      <w:r w:rsidRPr="005E6248">
        <w:rPr>
          <w:rFonts w:eastAsia="PMingLiU"/>
          <w:i/>
        </w:rPr>
        <w:t>q</w:t>
      </w:r>
      <w:r w:rsidR="00B1466E">
        <w:t>;</w:t>
      </w:r>
      <w:r w:rsidR="00691B4A" w:rsidRPr="008126EB">
        <w:t xml:space="preserve"> (3)</w:t>
      </w:r>
      <w:r w:rsidR="00123CE4">
        <w:t xml:space="preserve"> </w:t>
      </w:r>
      <w:r w:rsidR="00CB58A9">
        <w:t xml:space="preserve">the </w:t>
      </w:r>
      <w:r w:rsidR="00123CE4">
        <w:t>effect of</w:t>
      </w:r>
      <w:r w:rsidR="00691B4A" w:rsidRPr="008126EB">
        <w:t xml:space="preserve"> industry and year</w:t>
      </w:r>
      <w:r w:rsidR="00123CE4">
        <w:t xml:space="preserve"> on </w:t>
      </w:r>
      <w:r w:rsidR="00CB58A9">
        <w:t xml:space="preserve">the </w:t>
      </w:r>
      <w:r w:rsidR="00123CE4" w:rsidRPr="008126EB">
        <w:rPr>
          <w:rFonts w:hint="eastAsia"/>
          <w:i/>
        </w:rPr>
        <w:t>|</w:t>
      </w:r>
      <w:r w:rsidR="00123CE4" w:rsidRPr="008126EB">
        <w:rPr>
          <w:i/>
        </w:rPr>
        <w:t>DA</w:t>
      </w:r>
      <w:r w:rsidR="00123CE4" w:rsidRPr="008126EB">
        <w:rPr>
          <w:rFonts w:hint="eastAsia"/>
          <w:i/>
        </w:rPr>
        <w:t>|</w:t>
      </w:r>
      <w:r w:rsidR="00123CE4" w:rsidRPr="008126EB">
        <w:rPr>
          <w:i/>
        </w:rPr>
        <w:t>–</w:t>
      </w:r>
      <w:r w:rsidR="00123CE4" w:rsidRPr="008126EB">
        <w:rPr>
          <w:rFonts w:hint="eastAsia"/>
          <w:i/>
        </w:rPr>
        <w:t>RETURN</w:t>
      </w:r>
      <w:r w:rsidR="00123CE4" w:rsidRPr="008126EB">
        <w:rPr>
          <w:i/>
        </w:rPr>
        <w:t xml:space="preserve"> </w:t>
      </w:r>
      <w:r w:rsidR="00123CE4" w:rsidRPr="008126EB">
        <w:t>relation</w:t>
      </w:r>
      <w:r w:rsidR="00B1466E">
        <w:t>;</w:t>
      </w:r>
      <w:r w:rsidR="00691B4A" w:rsidRPr="008126EB">
        <w:t xml:space="preserve"> (4) </w:t>
      </w:r>
      <w:r w:rsidR="00CB58A9">
        <w:t xml:space="preserve">the </w:t>
      </w:r>
      <w:r w:rsidR="00123CE4">
        <w:t xml:space="preserve">effect of </w:t>
      </w:r>
      <w:r w:rsidR="00691B4A" w:rsidRPr="008126EB">
        <w:t xml:space="preserve">upward </w:t>
      </w:r>
      <w:r w:rsidR="00691B4A" w:rsidRPr="008126EB">
        <w:rPr>
          <w:rFonts w:hint="eastAsia"/>
        </w:rPr>
        <w:t>versus d</w:t>
      </w:r>
      <w:r w:rsidR="00691B4A" w:rsidRPr="008126EB">
        <w:t xml:space="preserve">ownward </w:t>
      </w:r>
      <w:r w:rsidR="00C473A3">
        <w:t>earnings manipulation</w:t>
      </w:r>
      <w:r w:rsidR="00123CE4" w:rsidRPr="00123CE4">
        <w:t xml:space="preserve"> </w:t>
      </w:r>
      <w:r w:rsidR="00123CE4">
        <w:t xml:space="preserve">on </w:t>
      </w:r>
      <w:r w:rsidR="00CB58A9">
        <w:t xml:space="preserve">the </w:t>
      </w:r>
      <w:r w:rsidR="00123CE4" w:rsidRPr="008126EB">
        <w:rPr>
          <w:rFonts w:hint="eastAsia"/>
          <w:i/>
        </w:rPr>
        <w:t>|</w:t>
      </w:r>
      <w:r w:rsidR="00123CE4" w:rsidRPr="008126EB">
        <w:rPr>
          <w:i/>
        </w:rPr>
        <w:t>DA</w:t>
      </w:r>
      <w:r w:rsidR="00123CE4" w:rsidRPr="008126EB">
        <w:rPr>
          <w:rFonts w:hint="eastAsia"/>
          <w:i/>
        </w:rPr>
        <w:t>|</w:t>
      </w:r>
      <w:r w:rsidR="00123CE4" w:rsidRPr="008126EB">
        <w:rPr>
          <w:i/>
        </w:rPr>
        <w:t>–</w:t>
      </w:r>
      <w:r w:rsidR="00123CE4" w:rsidRPr="008126EB">
        <w:rPr>
          <w:rFonts w:hint="eastAsia"/>
          <w:i/>
        </w:rPr>
        <w:t>RETURN</w:t>
      </w:r>
      <w:r w:rsidR="00123CE4" w:rsidRPr="008126EB">
        <w:rPr>
          <w:i/>
        </w:rPr>
        <w:t xml:space="preserve"> </w:t>
      </w:r>
      <w:r w:rsidR="00123CE4" w:rsidRPr="008126EB">
        <w:t>relation</w:t>
      </w:r>
      <w:r w:rsidR="00B1466E">
        <w:t>;</w:t>
      </w:r>
      <w:r w:rsidR="00691B4A" w:rsidRPr="008126EB">
        <w:t xml:space="preserve"> (5) </w:t>
      </w:r>
      <w:r w:rsidR="00CB58A9">
        <w:t xml:space="preserve">the </w:t>
      </w:r>
      <w:r w:rsidR="00123CE4">
        <w:t>effect of</w:t>
      </w:r>
      <w:r w:rsidR="005B52EC">
        <w:t xml:space="preserve"> </w:t>
      </w:r>
      <w:r w:rsidR="00691B4A" w:rsidRPr="008126EB">
        <w:t>SOX</w:t>
      </w:r>
      <w:r w:rsidR="00123CE4" w:rsidRPr="00123CE4">
        <w:t xml:space="preserve"> </w:t>
      </w:r>
      <w:r w:rsidR="00123CE4">
        <w:t>on</w:t>
      </w:r>
      <w:r w:rsidR="00CB58A9">
        <w:t xml:space="preserve"> the</w:t>
      </w:r>
      <w:r w:rsidR="00123CE4">
        <w:t xml:space="preserve"> </w:t>
      </w:r>
      <w:r w:rsidR="00123CE4" w:rsidRPr="008126EB">
        <w:rPr>
          <w:rFonts w:hint="eastAsia"/>
          <w:i/>
        </w:rPr>
        <w:t>|</w:t>
      </w:r>
      <w:r w:rsidR="00123CE4" w:rsidRPr="008126EB">
        <w:rPr>
          <w:i/>
        </w:rPr>
        <w:t>DA</w:t>
      </w:r>
      <w:r w:rsidR="00123CE4" w:rsidRPr="008126EB">
        <w:rPr>
          <w:rFonts w:hint="eastAsia"/>
          <w:i/>
        </w:rPr>
        <w:t>|</w:t>
      </w:r>
      <w:r w:rsidR="00123CE4" w:rsidRPr="008126EB">
        <w:rPr>
          <w:i/>
        </w:rPr>
        <w:t>–</w:t>
      </w:r>
      <w:r w:rsidR="00123CE4" w:rsidRPr="008126EB">
        <w:rPr>
          <w:rFonts w:hint="eastAsia"/>
          <w:i/>
        </w:rPr>
        <w:t>RETURN</w:t>
      </w:r>
      <w:r w:rsidR="00123CE4" w:rsidRPr="008126EB">
        <w:rPr>
          <w:i/>
        </w:rPr>
        <w:t xml:space="preserve"> </w:t>
      </w:r>
      <w:r w:rsidR="00123CE4" w:rsidRPr="008126EB">
        <w:t>relation</w:t>
      </w:r>
      <w:r w:rsidR="00B1466E">
        <w:t>;</w:t>
      </w:r>
      <w:r w:rsidR="00691B4A" w:rsidRPr="008126EB">
        <w:t xml:space="preserve"> and (6) potential outliers and measurement errors when estimating the amount of </w:t>
      </w:r>
      <w:r w:rsidR="00952A93" w:rsidRPr="00A73AF9">
        <w:rPr>
          <w:i/>
        </w:rPr>
        <w:t>DA</w:t>
      </w:r>
      <w:r w:rsidR="00691B4A" w:rsidRPr="008126EB">
        <w:t>.</w:t>
      </w:r>
      <w:r w:rsidR="00A04046">
        <w:rPr>
          <w:rFonts w:hint="eastAsia"/>
        </w:rPr>
        <w:t xml:space="preserve"> </w:t>
      </w:r>
    </w:p>
    <w:p w:rsidR="00B32255" w:rsidRPr="008126EB" w:rsidRDefault="00B32255" w:rsidP="00FE1E17">
      <w:pPr>
        <w:widowControl/>
        <w:adjustRightInd w:val="0"/>
        <w:snapToGrid w:val="0"/>
        <w:spacing w:line="288" w:lineRule="auto"/>
        <w:ind w:firstLineChars="295" w:firstLine="708"/>
        <w:jc w:val="both"/>
      </w:pPr>
    </w:p>
    <w:p w:rsidR="00691B4A" w:rsidRPr="00754050" w:rsidRDefault="00691B4A" w:rsidP="00FE1E17">
      <w:pPr>
        <w:keepNext/>
        <w:widowControl/>
        <w:adjustRightInd w:val="0"/>
        <w:snapToGrid w:val="0"/>
        <w:spacing w:line="288" w:lineRule="auto"/>
        <w:jc w:val="both"/>
        <w:rPr>
          <w:b/>
        </w:rPr>
      </w:pPr>
      <w:r w:rsidRPr="00754050">
        <w:rPr>
          <w:b/>
        </w:rPr>
        <w:t xml:space="preserve">6.1 </w:t>
      </w:r>
      <w:r w:rsidR="00754050">
        <w:rPr>
          <w:b/>
        </w:rPr>
        <w:t xml:space="preserve"> </w:t>
      </w:r>
      <w:r w:rsidR="00AA7B36" w:rsidRPr="00754050">
        <w:rPr>
          <w:b/>
        </w:rPr>
        <w:t>M</w:t>
      </w:r>
      <w:r w:rsidR="00754050">
        <w:rPr>
          <w:b/>
        </w:rPr>
        <w:t>anagement I</w:t>
      </w:r>
      <w:r w:rsidRPr="00754050">
        <w:rPr>
          <w:b/>
        </w:rPr>
        <w:t xml:space="preserve">ncentive on </w:t>
      </w:r>
      <w:r w:rsidR="00754050">
        <w:rPr>
          <w:b/>
        </w:rPr>
        <w:t>Earnings M</w:t>
      </w:r>
      <w:r w:rsidR="00C473A3" w:rsidRPr="00754050">
        <w:rPr>
          <w:b/>
        </w:rPr>
        <w:t>anipulation</w:t>
      </w:r>
    </w:p>
    <w:p w:rsidR="00754050" w:rsidRPr="00754050" w:rsidRDefault="00754050" w:rsidP="00403A8F">
      <w:pPr>
        <w:widowControl/>
        <w:adjustRightInd w:val="0"/>
        <w:snapToGrid w:val="0"/>
        <w:spacing w:line="288" w:lineRule="auto"/>
        <w:jc w:val="both"/>
        <w:rPr>
          <w:kern w:val="0"/>
          <w:sz w:val="12"/>
          <w:szCs w:val="12"/>
        </w:rPr>
      </w:pPr>
    </w:p>
    <w:p w:rsidR="003E43FA" w:rsidRDefault="007174E3" w:rsidP="00403A8F">
      <w:pPr>
        <w:widowControl/>
        <w:adjustRightInd w:val="0"/>
        <w:snapToGrid w:val="0"/>
        <w:spacing w:line="288" w:lineRule="auto"/>
        <w:jc w:val="both"/>
      </w:pPr>
      <w:r w:rsidRPr="008126EB">
        <w:rPr>
          <w:kern w:val="0"/>
        </w:rPr>
        <w:t>P</w:t>
      </w:r>
      <w:r w:rsidR="00691B4A" w:rsidRPr="008126EB">
        <w:rPr>
          <w:kern w:val="0"/>
        </w:rPr>
        <w:t xml:space="preserve">erformance incentives stipulated in executive compensation contracts may affect the degree of </w:t>
      </w:r>
      <w:r w:rsidR="00AB1FBF">
        <w:rPr>
          <w:kern w:val="0"/>
        </w:rPr>
        <w:t xml:space="preserve">earnings </w:t>
      </w:r>
      <w:r w:rsidR="00814865">
        <w:rPr>
          <w:kern w:val="0"/>
        </w:rPr>
        <w:t xml:space="preserve">manipulation </w:t>
      </w:r>
      <w:r w:rsidR="00776D8A">
        <w:rPr>
          <w:kern w:val="0"/>
        </w:rPr>
        <w:t>because</w:t>
      </w:r>
      <w:r w:rsidR="00776D8A">
        <w:rPr>
          <w:rFonts w:hint="eastAsia"/>
          <w:kern w:val="0"/>
        </w:rPr>
        <w:t xml:space="preserve"> </w:t>
      </w:r>
      <w:r w:rsidR="00691B4A" w:rsidRPr="008126EB">
        <w:rPr>
          <w:kern w:val="0"/>
        </w:rPr>
        <w:t xml:space="preserve">executives may </w:t>
      </w:r>
      <w:r w:rsidR="00CB58A9">
        <w:rPr>
          <w:kern w:val="0"/>
        </w:rPr>
        <w:t>manage</w:t>
      </w:r>
      <w:r w:rsidR="00CB58A9" w:rsidRPr="008126EB">
        <w:rPr>
          <w:kern w:val="0"/>
        </w:rPr>
        <w:t xml:space="preserve"> </w:t>
      </w:r>
      <w:r w:rsidR="00AB1FBF">
        <w:rPr>
          <w:kern w:val="0"/>
        </w:rPr>
        <w:t>the reported incomes</w:t>
      </w:r>
      <w:r w:rsidR="00AB1FBF" w:rsidRPr="008126EB">
        <w:rPr>
          <w:kern w:val="0"/>
        </w:rPr>
        <w:t xml:space="preserve"> </w:t>
      </w:r>
      <w:r w:rsidR="00691B4A" w:rsidRPr="008126EB">
        <w:rPr>
          <w:kern w:val="0"/>
        </w:rPr>
        <w:t>to influence stock prices</w:t>
      </w:r>
      <w:r w:rsidR="00776D8A">
        <w:rPr>
          <w:rFonts w:hint="eastAsia"/>
          <w:kern w:val="0"/>
        </w:rPr>
        <w:t xml:space="preserve"> </w:t>
      </w:r>
      <w:r w:rsidR="00776D8A" w:rsidRPr="008126EB">
        <w:rPr>
          <w:kern w:val="0"/>
        </w:rPr>
        <w:t>(</w:t>
      </w:r>
      <w:r w:rsidR="00776D8A" w:rsidRPr="008126EB">
        <w:t xml:space="preserve">e.g., </w:t>
      </w:r>
      <w:r w:rsidR="00776D8A" w:rsidRPr="008126EB">
        <w:rPr>
          <w:kern w:val="0"/>
        </w:rPr>
        <w:t>Dechow and Skinner, 2000; Beaver, 2002)</w:t>
      </w:r>
      <w:r w:rsidR="00691B4A" w:rsidRPr="008126EB">
        <w:rPr>
          <w:kern w:val="0"/>
        </w:rPr>
        <w:t>.</w:t>
      </w:r>
      <w:r w:rsidR="00691B4A" w:rsidRPr="008126EB">
        <w:rPr>
          <w:rFonts w:hint="eastAsia"/>
          <w:kern w:val="0"/>
        </w:rPr>
        <w:t xml:space="preserve"> </w:t>
      </w:r>
      <w:r w:rsidR="00776D8A">
        <w:rPr>
          <w:rFonts w:hint="eastAsia"/>
          <w:kern w:val="0"/>
        </w:rPr>
        <w:t xml:space="preserve">Since </w:t>
      </w:r>
      <w:r w:rsidR="00A73AF9" w:rsidRPr="008126EB">
        <w:t xml:space="preserve">firm executives are </w:t>
      </w:r>
      <w:r w:rsidR="00DE4487" w:rsidRPr="008126EB">
        <w:t xml:space="preserve">self-interest </w:t>
      </w:r>
      <w:r w:rsidR="00DE4487">
        <w:t xml:space="preserve">and </w:t>
      </w:r>
      <w:r w:rsidR="00A73AF9" w:rsidRPr="008126EB">
        <w:t>in position to make financial reporting decisions</w:t>
      </w:r>
      <w:r w:rsidR="00DE4487">
        <w:t xml:space="preserve">, </w:t>
      </w:r>
      <w:r w:rsidR="00691B4A" w:rsidRPr="008126EB">
        <w:t>researchers</w:t>
      </w:r>
      <w:r w:rsidR="00F955AC" w:rsidRPr="008126EB">
        <w:t xml:space="preserve"> </w:t>
      </w:r>
      <w:r w:rsidR="00A73AF9">
        <w:t xml:space="preserve">have </w:t>
      </w:r>
      <w:r w:rsidR="00691B4A" w:rsidRPr="008126EB">
        <w:t>point</w:t>
      </w:r>
      <w:r w:rsidR="00A73AF9">
        <w:t>ed</w:t>
      </w:r>
      <w:r w:rsidR="00691B4A" w:rsidRPr="008126EB">
        <w:t xml:space="preserve"> out that managerial</w:t>
      </w:r>
      <w:r w:rsidR="00B22F97" w:rsidRPr="008126EB">
        <w:t xml:space="preserve"> </w:t>
      </w:r>
      <w:r w:rsidR="00691B4A" w:rsidRPr="008126EB">
        <w:t xml:space="preserve">incentives </w:t>
      </w:r>
      <w:r w:rsidR="00DE4487">
        <w:t xml:space="preserve">could </w:t>
      </w:r>
      <w:r w:rsidR="00DE4487" w:rsidRPr="008126EB">
        <w:t xml:space="preserve">be a driver of </w:t>
      </w:r>
      <w:r w:rsidR="00C473A3">
        <w:t>earnings manipulation</w:t>
      </w:r>
      <w:r w:rsidR="005E6248">
        <w:t xml:space="preserve"> behavior</w:t>
      </w:r>
      <w:r w:rsidR="00DE4487">
        <w:t>.</w:t>
      </w:r>
    </w:p>
    <w:p w:rsidR="002A61C1" w:rsidRDefault="002A61C1" w:rsidP="00FE1E17">
      <w:pPr>
        <w:widowControl/>
        <w:adjustRightInd w:val="0"/>
        <w:snapToGrid w:val="0"/>
        <w:spacing w:line="288" w:lineRule="auto"/>
        <w:ind w:firstLine="709"/>
        <w:jc w:val="both"/>
      </w:pPr>
    </w:p>
    <w:p w:rsidR="003E43FA" w:rsidRDefault="00691B4A" w:rsidP="00FE1E17">
      <w:pPr>
        <w:widowControl/>
        <w:adjustRightInd w:val="0"/>
        <w:snapToGrid w:val="0"/>
        <w:spacing w:line="288" w:lineRule="auto"/>
        <w:ind w:firstLine="709"/>
        <w:jc w:val="both"/>
      </w:pPr>
      <w:r w:rsidRPr="008126EB">
        <w:t xml:space="preserve">To examine this </w:t>
      </w:r>
      <w:r w:rsidR="00814865">
        <w:t>inquiry</w:t>
      </w:r>
      <w:r w:rsidRPr="008126EB">
        <w:t xml:space="preserve">, we </w:t>
      </w:r>
      <w:r w:rsidR="00814865">
        <w:t xml:space="preserve">measure the </w:t>
      </w:r>
      <w:r w:rsidR="00814865" w:rsidRPr="008126EB">
        <w:t xml:space="preserve">managerial incentives </w:t>
      </w:r>
      <w:r w:rsidRPr="008126EB">
        <w:t>us</w:t>
      </w:r>
      <w:r w:rsidR="00814865">
        <w:t xml:space="preserve">ing </w:t>
      </w:r>
      <w:r w:rsidRPr="008126EB">
        <w:t xml:space="preserve">the percentage of equity </w:t>
      </w:r>
      <w:r w:rsidR="00CB58A9">
        <w:t xml:space="preserve">share </w:t>
      </w:r>
      <w:r w:rsidR="00DE4487">
        <w:t xml:space="preserve">stated </w:t>
      </w:r>
      <w:r w:rsidRPr="008126EB">
        <w:t xml:space="preserve">in the managerial compensation as </w:t>
      </w:r>
      <w:r w:rsidR="00B1466E">
        <w:t xml:space="preserve">a </w:t>
      </w:r>
      <w:r w:rsidRPr="008126EB">
        <w:t xml:space="preserve">proxy. Our conjecture is that </w:t>
      </w:r>
      <w:r w:rsidR="00AB1FBF">
        <w:t xml:space="preserve">firm </w:t>
      </w:r>
      <w:r w:rsidRPr="008126EB">
        <w:t xml:space="preserve">executives </w:t>
      </w:r>
      <w:r w:rsidR="00DE4487">
        <w:t>may</w:t>
      </w:r>
      <w:r w:rsidR="00DE4487" w:rsidRPr="008126EB">
        <w:t xml:space="preserve"> </w:t>
      </w:r>
      <w:r w:rsidR="006B4450">
        <w:t>take</w:t>
      </w:r>
      <w:r w:rsidR="006B4450" w:rsidRPr="008126EB">
        <w:t xml:space="preserve"> </w:t>
      </w:r>
      <w:r w:rsidR="00E41552" w:rsidRPr="00FC5F82">
        <w:rPr>
          <w:rFonts w:hint="eastAsia"/>
        </w:rPr>
        <w:t xml:space="preserve">stock returns into </w:t>
      </w:r>
      <w:r w:rsidR="006B4450" w:rsidRPr="00FC5F82">
        <w:t xml:space="preserve">account </w:t>
      </w:r>
      <w:r w:rsidR="005E6248">
        <w:t>if</w:t>
      </w:r>
      <w:r w:rsidRPr="008126EB">
        <w:t xml:space="preserve"> th</w:t>
      </w:r>
      <w:r w:rsidR="00472FB3">
        <w:rPr>
          <w:rFonts w:hint="eastAsia"/>
        </w:rPr>
        <w:t>e</w:t>
      </w:r>
      <w:r w:rsidRPr="008126EB">
        <w:t xml:space="preserve"> equity</w:t>
      </w:r>
      <w:r w:rsidR="00472FB3">
        <w:rPr>
          <w:rFonts w:hint="eastAsia"/>
        </w:rPr>
        <w:t>-based pay</w:t>
      </w:r>
      <w:r w:rsidRPr="008126EB">
        <w:t xml:space="preserve"> constitute</w:t>
      </w:r>
      <w:r w:rsidR="00F955AC" w:rsidRPr="008126EB">
        <w:t>s</w:t>
      </w:r>
      <w:r w:rsidRPr="008126EB">
        <w:t xml:space="preserve"> a significant </w:t>
      </w:r>
      <w:r w:rsidR="007174E3" w:rsidRPr="008126EB">
        <w:t>portion</w:t>
      </w:r>
      <w:r w:rsidRPr="008126EB">
        <w:t xml:space="preserve"> of </w:t>
      </w:r>
      <w:r w:rsidR="00472FB3">
        <w:rPr>
          <w:rFonts w:hint="eastAsia"/>
        </w:rPr>
        <w:t xml:space="preserve">their total </w:t>
      </w:r>
      <w:r w:rsidRPr="008126EB">
        <w:t>compensation</w:t>
      </w:r>
      <w:r w:rsidR="00CB58A9">
        <w:t xml:space="preserve"> when </w:t>
      </w:r>
      <w:r w:rsidR="00AB1FBF">
        <w:t xml:space="preserve">determining whether, and to what extent, to manipulate </w:t>
      </w:r>
      <w:r w:rsidR="00C473A3">
        <w:t>earnings</w:t>
      </w:r>
      <w:r w:rsidRPr="008126EB">
        <w:t xml:space="preserve">. </w:t>
      </w:r>
      <w:r w:rsidR="0014643A">
        <w:t>I</w:t>
      </w:r>
      <w:r w:rsidR="00814865">
        <w:t>f</w:t>
      </w:r>
      <w:r w:rsidR="00814865" w:rsidRPr="008126EB">
        <w:t xml:space="preserve"> th</w:t>
      </w:r>
      <w:r w:rsidR="0014643A">
        <w:t xml:space="preserve">e portion of </w:t>
      </w:r>
      <w:r w:rsidR="00814865" w:rsidRPr="008126EB">
        <w:t>equity</w:t>
      </w:r>
      <w:r w:rsidR="0014643A">
        <w:t>-based</w:t>
      </w:r>
      <w:r w:rsidR="00814865" w:rsidRPr="008126EB">
        <w:t xml:space="preserve"> </w:t>
      </w:r>
      <w:r w:rsidR="00814865">
        <w:t xml:space="preserve">compensation </w:t>
      </w:r>
      <w:r w:rsidR="0014643A">
        <w:t xml:space="preserve">specified </w:t>
      </w:r>
      <w:r w:rsidR="00814865" w:rsidRPr="008126EB">
        <w:t xml:space="preserve">in the </w:t>
      </w:r>
      <w:r w:rsidR="0014643A">
        <w:t xml:space="preserve">executive </w:t>
      </w:r>
      <w:r w:rsidR="00814865">
        <w:t>contract</w:t>
      </w:r>
      <w:r w:rsidR="0014643A">
        <w:t xml:space="preserve"> is relatively insignificant</w:t>
      </w:r>
      <w:r w:rsidRPr="008126EB">
        <w:t xml:space="preserve">, </w:t>
      </w:r>
      <w:r w:rsidR="00AB1FBF">
        <w:t xml:space="preserve">on the other hand, </w:t>
      </w:r>
      <w:r w:rsidR="007174E3" w:rsidRPr="008126EB">
        <w:t xml:space="preserve">it </w:t>
      </w:r>
      <w:r w:rsidR="00DE4487">
        <w:t>is</w:t>
      </w:r>
      <w:r w:rsidR="007174E3" w:rsidRPr="008126EB">
        <w:t xml:space="preserve"> </w:t>
      </w:r>
      <w:r w:rsidR="00814865">
        <w:t>un</w:t>
      </w:r>
      <w:r w:rsidR="007174E3" w:rsidRPr="008126EB">
        <w:t xml:space="preserve">likely for </w:t>
      </w:r>
      <w:r w:rsidR="00AB1FBF">
        <w:t xml:space="preserve">corporate </w:t>
      </w:r>
      <w:r w:rsidRPr="008126EB">
        <w:t xml:space="preserve">executives </w:t>
      </w:r>
      <w:r w:rsidR="007174E3" w:rsidRPr="008126EB">
        <w:t xml:space="preserve">to </w:t>
      </w:r>
      <w:r w:rsidR="00814865">
        <w:t>take</w:t>
      </w:r>
      <w:r w:rsidRPr="008126EB">
        <w:t xml:space="preserve"> </w:t>
      </w:r>
      <w:r w:rsidR="005A7F02">
        <w:rPr>
          <w:rFonts w:hint="eastAsia"/>
        </w:rPr>
        <w:t>stock returns into</w:t>
      </w:r>
      <w:r w:rsidR="00814865">
        <w:t xml:space="preserve"> account</w:t>
      </w:r>
      <w:r w:rsidR="00814865" w:rsidRPr="00814865">
        <w:t xml:space="preserve"> </w:t>
      </w:r>
      <w:r w:rsidR="00CB58A9">
        <w:t>w</w:t>
      </w:r>
      <w:r w:rsidR="00472FB3">
        <w:rPr>
          <w:rFonts w:hint="eastAsia"/>
        </w:rPr>
        <w:t>hen</w:t>
      </w:r>
      <w:r w:rsidR="00CB58A9">
        <w:t xml:space="preserve"> </w:t>
      </w:r>
      <w:r w:rsidR="00814865">
        <w:t xml:space="preserve">contemplating </w:t>
      </w:r>
      <w:r w:rsidR="005E6248">
        <w:t xml:space="preserve">whether to engage in </w:t>
      </w:r>
      <w:r w:rsidR="00C473A3">
        <w:t>earnings man</w:t>
      </w:r>
      <w:r w:rsidR="005E6248">
        <w:t>agement</w:t>
      </w:r>
      <w:r w:rsidRPr="008126EB">
        <w:t>.</w:t>
      </w:r>
      <w:r w:rsidR="00F955AC" w:rsidRPr="008126EB">
        <w:t xml:space="preserve"> </w:t>
      </w:r>
      <w:r w:rsidRPr="008126EB">
        <w:t xml:space="preserve">To </w:t>
      </w:r>
      <w:r w:rsidR="00CB58A9">
        <w:t>examine</w:t>
      </w:r>
      <w:r w:rsidR="00CB58A9" w:rsidRPr="008126EB">
        <w:t xml:space="preserve"> </w:t>
      </w:r>
      <w:r w:rsidRPr="008126EB">
        <w:t>th</w:t>
      </w:r>
      <w:r w:rsidR="00814865">
        <w:t>is</w:t>
      </w:r>
      <w:r w:rsidRPr="008126EB">
        <w:t xml:space="preserve"> </w:t>
      </w:r>
      <w:r w:rsidR="0003724F">
        <w:t>concern</w:t>
      </w:r>
      <w:r w:rsidRPr="008126EB">
        <w:t>, we obtain</w:t>
      </w:r>
      <w:r w:rsidR="00FF3929">
        <w:t xml:space="preserve"> the amount of</w:t>
      </w:r>
      <w:r w:rsidRPr="008126EB">
        <w:t xml:space="preserve"> </w:t>
      </w:r>
      <w:r w:rsidR="00FF3929" w:rsidRPr="008126EB">
        <w:t xml:space="preserve">total </w:t>
      </w:r>
      <w:r w:rsidR="00FF3929">
        <w:t>and</w:t>
      </w:r>
      <w:r w:rsidR="00FF3929" w:rsidRPr="008126EB">
        <w:t xml:space="preserve"> </w:t>
      </w:r>
      <w:r w:rsidR="00DE1F14">
        <w:rPr>
          <w:rFonts w:hint="eastAsia"/>
        </w:rPr>
        <w:t>equity</w:t>
      </w:r>
      <w:r w:rsidRPr="008126EB">
        <w:t xml:space="preserve">-based </w:t>
      </w:r>
      <w:r w:rsidR="00DE1F14">
        <w:rPr>
          <w:rFonts w:hint="eastAsia"/>
        </w:rPr>
        <w:t xml:space="preserve">(including restricted stocks and stock options) </w:t>
      </w:r>
      <w:r w:rsidRPr="008126EB">
        <w:t xml:space="preserve">compensation </w:t>
      </w:r>
      <w:r w:rsidR="00FF3929">
        <w:t xml:space="preserve">awarded to CEO </w:t>
      </w:r>
      <w:r w:rsidRPr="008126EB">
        <w:t>from</w:t>
      </w:r>
      <w:r w:rsidR="00B1466E">
        <w:t xml:space="preserve"> the</w:t>
      </w:r>
      <w:r w:rsidRPr="008126EB">
        <w:t xml:space="preserve"> S</w:t>
      </w:r>
      <w:r w:rsidR="00B26438" w:rsidRPr="008126EB">
        <w:t>&amp;</w:t>
      </w:r>
      <w:r w:rsidRPr="008126EB">
        <w:t xml:space="preserve">P’s </w:t>
      </w:r>
      <w:r w:rsidRPr="008126EB">
        <w:rPr>
          <w:i/>
        </w:rPr>
        <w:t>ExecuComp</w:t>
      </w:r>
      <w:r w:rsidRPr="008126EB">
        <w:t xml:space="preserve"> database</w:t>
      </w:r>
      <w:r w:rsidR="007174E3" w:rsidRPr="008126EB">
        <w:t xml:space="preserve">. </w:t>
      </w:r>
      <w:r w:rsidR="00FF3929">
        <w:t xml:space="preserve">Then, we </w:t>
      </w:r>
      <w:r w:rsidR="00A73AF9">
        <w:t xml:space="preserve">use these data to </w:t>
      </w:r>
      <w:r w:rsidRPr="008126EB">
        <w:t xml:space="preserve">calculate </w:t>
      </w:r>
      <w:r w:rsidR="00472FB3">
        <w:rPr>
          <w:rFonts w:hint="eastAsia"/>
        </w:rPr>
        <w:t xml:space="preserve">the equity-based </w:t>
      </w:r>
      <w:r w:rsidR="00DE1F14">
        <w:rPr>
          <w:rFonts w:hint="eastAsia"/>
        </w:rPr>
        <w:t xml:space="preserve">compensation </w:t>
      </w:r>
      <w:r w:rsidR="00AB1FBF">
        <w:t xml:space="preserve">ratio </w:t>
      </w:r>
      <w:r w:rsidR="00DE1F14" w:rsidRPr="007E38AC">
        <w:rPr>
          <w:rFonts w:hint="eastAsia"/>
        </w:rPr>
        <w:t xml:space="preserve">(i.e., </w:t>
      </w:r>
      <w:r w:rsidR="005E6248" w:rsidRPr="007E38AC">
        <w:t>amount of e</w:t>
      </w:r>
      <w:r w:rsidR="00DE1F14" w:rsidRPr="007E38AC">
        <w:rPr>
          <w:rFonts w:hint="eastAsia"/>
        </w:rPr>
        <w:t>quity-based</w:t>
      </w:r>
      <w:r w:rsidR="005E6248" w:rsidRPr="007E38AC">
        <w:t xml:space="preserve"> pay</w:t>
      </w:r>
      <w:r w:rsidR="00DE1F14" w:rsidRPr="007E38AC">
        <w:rPr>
          <w:rFonts w:hint="eastAsia"/>
        </w:rPr>
        <w:t>/</w:t>
      </w:r>
      <w:r w:rsidR="005E6248" w:rsidRPr="007E38AC">
        <w:t>amount of t</w:t>
      </w:r>
      <w:r w:rsidR="00DE1F14" w:rsidRPr="007E38AC">
        <w:rPr>
          <w:rFonts w:hint="eastAsia"/>
        </w:rPr>
        <w:t>otal</w:t>
      </w:r>
      <w:r w:rsidR="005E6248" w:rsidRPr="007E38AC">
        <w:t xml:space="preserve"> pay</w:t>
      </w:r>
      <w:r w:rsidR="00DE1F14" w:rsidRPr="007E38AC">
        <w:rPr>
          <w:rFonts w:hint="eastAsia"/>
        </w:rPr>
        <w:t>).</w:t>
      </w:r>
      <w:r w:rsidR="00DE1F14">
        <w:rPr>
          <w:rFonts w:hint="eastAsia"/>
        </w:rPr>
        <w:t xml:space="preserve"> </w:t>
      </w:r>
      <w:r w:rsidR="00D6180A">
        <w:t>T</w:t>
      </w:r>
      <w:r w:rsidRPr="008126EB">
        <w:t xml:space="preserve">he result shows that the </w:t>
      </w:r>
      <w:r w:rsidR="00D6180A">
        <w:t xml:space="preserve">average percentage of </w:t>
      </w:r>
      <w:r w:rsidR="00DE1F14">
        <w:rPr>
          <w:rFonts w:hint="eastAsia"/>
        </w:rPr>
        <w:t>equity</w:t>
      </w:r>
      <w:r w:rsidRPr="008126EB">
        <w:t xml:space="preserve">-based </w:t>
      </w:r>
      <w:r w:rsidR="0014643A">
        <w:t xml:space="preserve">compensation in the </w:t>
      </w:r>
      <w:r w:rsidRPr="008126EB">
        <w:t>CEO</w:t>
      </w:r>
      <w:r w:rsidR="0014643A">
        <w:t xml:space="preserve"> contract</w:t>
      </w:r>
      <w:r w:rsidRPr="008126EB">
        <w:t xml:space="preserve">s </w:t>
      </w:r>
      <w:r w:rsidR="00D6180A">
        <w:t xml:space="preserve">accounts for </w:t>
      </w:r>
      <w:r w:rsidRPr="008126EB">
        <w:t xml:space="preserve">41% of total compensation </w:t>
      </w:r>
      <w:r w:rsidR="00DE4487">
        <w:t>of executives</w:t>
      </w:r>
      <w:r w:rsidR="00D6180A" w:rsidRPr="00D6180A">
        <w:t xml:space="preserve"> </w:t>
      </w:r>
      <w:r w:rsidR="00D6180A">
        <w:t>a</w:t>
      </w:r>
      <w:r w:rsidR="00D6180A" w:rsidRPr="008126EB">
        <w:t>mong the studied firms</w:t>
      </w:r>
      <w:r w:rsidRPr="008126EB">
        <w:t>.</w:t>
      </w:r>
    </w:p>
    <w:p w:rsidR="00B32255" w:rsidRPr="008126EB" w:rsidRDefault="00B32255" w:rsidP="00FE1E17">
      <w:pPr>
        <w:widowControl/>
        <w:adjustRightInd w:val="0"/>
        <w:snapToGrid w:val="0"/>
        <w:spacing w:line="288" w:lineRule="auto"/>
        <w:ind w:firstLine="709"/>
        <w:jc w:val="both"/>
      </w:pPr>
    </w:p>
    <w:p w:rsidR="003E43FA" w:rsidRDefault="00A73AF9" w:rsidP="00FE1E17">
      <w:pPr>
        <w:widowControl/>
        <w:adjustRightInd w:val="0"/>
        <w:snapToGrid w:val="0"/>
        <w:spacing w:line="288" w:lineRule="auto"/>
        <w:ind w:firstLine="709"/>
        <w:jc w:val="both"/>
      </w:pPr>
      <w:r>
        <w:t>W</w:t>
      </w:r>
      <w:r w:rsidR="00691B4A" w:rsidRPr="008126EB">
        <w:t xml:space="preserve">e </w:t>
      </w:r>
      <w:r w:rsidR="005E6248">
        <w:t xml:space="preserve">then use this percentage to </w:t>
      </w:r>
      <w:r w:rsidR="00691B4A" w:rsidRPr="008126EB">
        <w:t>divide observations into two subgroups: (1) equity constitut</w:t>
      </w:r>
      <w:r w:rsidR="00B1466E">
        <w:t>ing</w:t>
      </w:r>
      <w:r w:rsidR="00691B4A" w:rsidRPr="008126EB">
        <w:t xml:space="preserve"> more than 41% of </w:t>
      </w:r>
      <w:r w:rsidR="00B1466E">
        <w:t xml:space="preserve">the </w:t>
      </w:r>
      <w:r w:rsidR="00691B4A" w:rsidRPr="008126EB">
        <w:t>compensation package</w:t>
      </w:r>
      <w:r>
        <w:t xml:space="preserve"> </w:t>
      </w:r>
      <w:r w:rsidR="00CB58A9">
        <w:t>as</w:t>
      </w:r>
      <w:r>
        <w:t xml:space="preserve"> </w:t>
      </w:r>
      <w:r w:rsidR="007174E3" w:rsidRPr="008126EB">
        <w:t>the</w:t>
      </w:r>
      <w:r w:rsidR="00691B4A" w:rsidRPr="008126EB">
        <w:t xml:space="preserve"> high equity</w:t>
      </w:r>
      <w:r w:rsidR="00691B4A" w:rsidRPr="008126EB">
        <w:rPr>
          <w:rFonts w:hint="eastAsia"/>
        </w:rPr>
        <w:t>-based</w:t>
      </w:r>
      <w:r w:rsidR="00691B4A" w:rsidRPr="008126EB">
        <w:t xml:space="preserve"> compensation group; and (2) equity constitut</w:t>
      </w:r>
      <w:r w:rsidR="00B1466E">
        <w:t>ing</w:t>
      </w:r>
      <w:r w:rsidR="00691B4A" w:rsidRPr="008126EB">
        <w:t xml:space="preserve"> </w:t>
      </w:r>
      <w:r w:rsidR="001927FA" w:rsidRPr="008126EB">
        <w:rPr>
          <w:rFonts w:eastAsia="PMingLiU" w:hint="eastAsia"/>
        </w:rPr>
        <w:t>less</w:t>
      </w:r>
      <w:r w:rsidR="00691B4A" w:rsidRPr="008126EB">
        <w:t xml:space="preserve"> than 41% of </w:t>
      </w:r>
      <w:r w:rsidR="00B1466E">
        <w:t xml:space="preserve">the </w:t>
      </w:r>
      <w:r w:rsidR="00691B4A" w:rsidRPr="008126EB">
        <w:t>compensation package</w:t>
      </w:r>
      <w:r>
        <w:t xml:space="preserve"> </w:t>
      </w:r>
      <w:r w:rsidR="00CB58A9">
        <w:t>as</w:t>
      </w:r>
      <w:r>
        <w:t xml:space="preserve"> </w:t>
      </w:r>
      <w:r w:rsidR="007174E3" w:rsidRPr="008126EB">
        <w:t xml:space="preserve">the </w:t>
      </w:r>
      <w:r w:rsidR="00691B4A" w:rsidRPr="008126EB">
        <w:t>low equity</w:t>
      </w:r>
      <w:r w:rsidR="00691B4A" w:rsidRPr="008126EB">
        <w:rPr>
          <w:rFonts w:hint="eastAsia"/>
        </w:rPr>
        <w:t>-based</w:t>
      </w:r>
      <w:r w:rsidR="00691B4A" w:rsidRPr="008126EB">
        <w:t xml:space="preserve"> compensation group. Then, we estimate the </w:t>
      </w:r>
      <w:r w:rsidRPr="008126EB">
        <w:t xml:space="preserve">QR </w:t>
      </w:r>
      <w:r>
        <w:t xml:space="preserve">and </w:t>
      </w:r>
      <w:r w:rsidR="00691B4A" w:rsidRPr="008126EB">
        <w:t xml:space="preserve">OLS separately for </w:t>
      </w:r>
      <w:r w:rsidR="00CB58A9">
        <w:t>both</w:t>
      </w:r>
      <w:r w:rsidR="00CB58A9" w:rsidRPr="008126EB">
        <w:t xml:space="preserve"> </w:t>
      </w:r>
      <w:r w:rsidR="00691B4A" w:rsidRPr="008126EB">
        <w:t xml:space="preserve">subgroups. </w:t>
      </w:r>
      <w:r w:rsidR="00D0786D">
        <w:rPr>
          <w:rFonts w:hint="eastAsia"/>
        </w:rPr>
        <w:t>Table 3 present</w:t>
      </w:r>
      <w:r w:rsidR="00C32991">
        <w:t>s</w:t>
      </w:r>
      <w:r w:rsidR="00D0786D">
        <w:rPr>
          <w:rFonts w:hint="eastAsia"/>
        </w:rPr>
        <w:t xml:space="preserve"> the results</w:t>
      </w:r>
      <w:r w:rsidR="00D6180A">
        <w:t xml:space="preserve"> of estimation</w:t>
      </w:r>
      <w:r w:rsidR="00FF3929">
        <w:t>; whereas</w:t>
      </w:r>
      <w:r w:rsidR="00D0786D">
        <w:rPr>
          <w:rFonts w:hint="eastAsia"/>
        </w:rPr>
        <w:t xml:space="preserve"> </w:t>
      </w:r>
      <w:r w:rsidR="00FF3929" w:rsidRPr="008126EB">
        <w:t xml:space="preserve">Panel A and Panel B </w:t>
      </w:r>
      <w:r w:rsidR="00FF3929">
        <w:t>of</w:t>
      </w:r>
      <w:r w:rsidR="00FF3929">
        <w:rPr>
          <w:rFonts w:hint="eastAsia"/>
        </w:rPr>
        <w:t xml:space="preserve"> </w:t>
      </w:r>
      <w:r w:rsidR="00C32991">
        <w:rPr>
          <w:rFonts w:hint="eastAsia"/>
        </w:rPr>
        <w:t xml:space="preserve">Figure 4 </w:t>
      </w:r>
      <w:r w:rsidR="00FF3929">
        <w:t xml:space="preserve">graph </w:t>
      </w:r>
      <w:r w:rsidR="00D6180A">
        <w:t>companies</w:t>
      </w:r>
      <w:r w:rsidR="005A7F02">
        <w:rPr>
          <w:rFonts w:hint="eastAsia"/>
        </w:rPr>
        <w:t xml:space="preserve"> </w:t>
      </w:r>
      <w:r w:rsidR="00D6180A">
        <w:t xml:space="preserve">provide </w:t>
      </w:r>
      <w:r w:rsidR="00691B4A" w:rsidRPr="008126EB">
        <w:t xml:space="preserve">high </w:t>
      </w:r>
      <w:r w:rsidR="00D6180A">
        <w:t>versus</w:t>
      </w:r>
      <w:r w:rsidR="00D6180A" w:rsidRPr="008126EB">
        <w:t xml:space="preserve"> </w:t>
      </w:r>
      <w:r w:rsidR="00691B4A" w:rsidRPr="008126EB">
        <w:t xml:space="preserve">low </w:t>
      </w:r>
      <w:r w:rsidR="006C73F0">
        <w:t xml:space="preserve">level of </w:t>
      </w:r>
      <w:r w:rsidR="00691B4A" w:rsidRPr="008126EB">
        <w:t>equity</w:t>
      </w:r>
      <w:r w:rsidR="00691B4A" w:rsidRPr="008126EB">
        <w:rPr>
          <w:rFonts w:hint="eastAsia"/>
        </w:rPr>
        <w:t>-based</w:t>
      </w:r>
      <w:r w:rsidR="00691B4A" w:rsidRPr="008126EB">
        <w:t xml:space="preserve"> compensation</w:t>
      </w:r>
      <w:r w:rsidR="00D6180A">
        <w:t xml:space="preserve"> to their executives</w:t>
      </w:r>
      <w:r w:rsidR="00691B4A" w:rsidRPr="008126EB">
        <w:t>.</w:t>
      </w:r>
    </w:p>
    <w:p w:rsidR="00B32255" w:rsidRPr="008126EB" w:rsidRDefault="00B32255" w:rsidP="00FE1E17">
      <w:pPr>
        <w:widowControl/>
        <w:adjustRightInd w:val="0"/>
        <w:snapToGrid w:val="0"/>
        <w:spacing w:line="288" w:lineRule="auto"/>
        <w:ind w:firstLine="709"/>
        <w:jc w:val="both"/>
      </w:pPr>
    </w:p>
    <w:p w:rsidR="003E43FA" w:rsidRPr="008126EB" w:rsidRDefault="00F955AC" w:rsidP="00FE1E17">
      <w:pPr>
        <w:widowControl/>
        <w:adjustRightInd w:val="0"/>
        <w:snapToGrid w:val="0"/>
        <w:spacing w:line="288" w:lineRule="auto"/>
        <w:ind w:firstLine="709"/>
        <w:jc w:val="both"/>
      </w:pPr>
      <w:r w:rsidRPr="008126EB">
        <w:t xml:space="preserve">Referring to </w:t>
      </w:r>
      <w:r w:rsidR="00B26438" w:rsidRPr="008126EB">
        <w:t>Table 3 a</w:t>
      </w:r>
      <w:r w:rsidRPr="008126EB">
        <w:t xml:space="preserve">nd Figure </w:t>
      </w:r>
      <w:r w:rsidR="00BE07AC">
        <w:t>4</w:t>
      </w:r>
      <w:r w:rsidR="00691B4A" w:rsidRPr="008126EB">
        <w:t xml:space="preserve">, </w:t>
      </w:r>
      <w:r w:rsidR="00D6180A" w:rsidRPr="008126EB">
        <w:rPr>
          <w:rFonts w:hint="eastAsia"/>
        </w:rPr>
        <w:t xml:space="preserve">firms </w:t>
      </w:r>
      <w:r w:rsidR="00D6180A">
        <w:t xml:space="preserve">reward </w:t>
      </w:r>
      <w:r w:rsidR="00A1291E">
        <w:t xml:space="preserve">their </w:t>
      </w:r>
      <w:r w:rsidR="00D6180A">
        <w:t xml:space="preserve">executives with </w:t>
      </w:r>
      <w:r w:rsidR="00D6180A" w:rsidRPr="008126EB">
        <w:t>high</w:t>
      </w:r>
      <w:r w:rsidR="00D6180A" w:rsidRPr="008126EB">
        <w:rPr>
          <w:rFonts w:hint="eastAsia"/>
        </w:rPr>
        <w:t xml:space="preserve"> </w:t>
      </w:r>
      <w:r w:rsidR="00A1291E">
        <w:t>level</w:t>
      </w:r>
      <w:r w:rsidR="00D6180A">
        <w:t xml:space="preserve"> of </w:t>
      </w:r>
      <w:r w:rsidR="00D6180A" w:rsidRPr="008126EB">
        <w:rPr>
          <w:rFonts w:hint="eastAsia"/>
        </w:rPr>
        <w:t>equity-based compensation</w:t>
      </w:r>
      <w:r w:rsidR="00D6180A" w:rsidRPr="008126EB">
        <w:t xml:space="preserve"> </w:t>
      </w:r>
      <w:r w:rsidR="00A1291E">
        <w:t xml:space="preserve">has a significant and positive </w:t>
      </w:r>
      <w:r w:rsidR="00691B4A" w:rsidRPr="008126EB">
        <w:rPr>
          <w:rFonts w:hint="eastAsia"/>
          <w:i/>
        </w:rPr>
        <w:t>|DA|</w:t>
      </w:r>
      <w:r w:rsidR="00A1291E">
        <w:t xml:space="preserve"> according to</w:t>
      </w:r>
      <w:r w:rsidR="00691B4A" w:rsidRPr="008126EB">
        <w:rPr>
          <w:rFonts w:hint="eastAsia"/>
          <w:i/>
        </w:rPr>
        <w:t xml:space="preserve"> </w:t>
      </w:r>
      <w:r w:rsidR="00A1291E" w:rsidRPr="008126EB">
        <w:rPr>
          <w:rFonts w:hint="eastAsia"/>
        </w:rPr>
        <w:t xml:space="preserve">the OLS estimate </w:t>
      </w:r>
      <w:r w:rsidR="00691B4A" w:rsidRPr="008126EB">
        <w:rPr>
          <w:rFonts w:hint="eastAsia"/>
          <w:i/>
        </w:rPr>
        <w:t>(p</w:t>
      </w:r>
      <w:r w:rsidR="00691B4A" w:rsidRPr="00235D3B">
        <w:rPr>
          <w:i/>
        </w:rPr>
        <w:t>-value</w:t>
      </w:r>
      <w:r w:rsidRPr="008126EB">
        <w:rPr>
          <w:i/>
        </w:rPr>
        <w:t xml:space="preserve"> </w:t>
      </w:r>
      <w:r w:rsidR="001927FA" w:rsidRPr="008126EB">
        <w:rPr>
          <w:rFonts w:eastAsia="PMingLiU" w:hint="eastAsia"/>
        </w:rPr>
        <w:t>&lt;</w:t>
      </w:r>
      <w:r w:rsidRPr="008126EB">
        <w:t xml:space="preserve"> </w:t>
      </w:r>
      <w:r w:rsidR="00691B4A" w:rsidRPr="008126EB">
        <w:t>0.0</w:t>
      </w:r>
      <w:r w:rsidR="001927FA" w:rsidRPr="008126EB">
        <w:rPr>
          <w:rFonts w:eastAsia="PMingLiU" w:hint="eastAsia"/>
        </w:rPr>
        <w:t>1</w:t>
      </w:r>
      <w:r w:rsidR="00691B4A" w:rsidRPr="008126EB">
        <w:rPr>
          <w:rFonts w:hint="eastAsia"/>
        </w:rPr>
        <w:t>)</w:t>
      </w:r>
      <w:r w:rsidR="00691B4A" w:rsidRPr="008126EB">
        <w:t xml:space="preserve">. </w:t>
      </w:r>
      <w:r w:rsidR="00A1291E">
        <w:t>In contrast, t</w:t>
      </w:r>
      <w:r w:rsidR="00691B4A" w:rsidRPr="008126EB">
        <w:rPr>
          <w:rFonts w:hint="eastAsia"/>
        </w:rPr>
        <w:t xml:space="preserve">he </w:t>
      </w:r>
      <w:r w:rsidR="001927FA" w:rsidRPr="008126EB">
        <w:rPr>
          <w:rFonts w:eastAsia="PMingLiU"/>
        </w:rPr>
        <w:t>est</w:t>
      </w:r>
      <w:r w:rsidR="001927FA" w:rsidRPr="008126EB">
        <w:rPr>
          <w:rFonts w:eastAsia="PMingLiU" w:hint="eastAsia"/>
        </w:rPr>
        <w:t xml:space="preserve">imated </w:t>
      </w:r>
      <w:r w:rsidR="00691B4A" w:rsidRPr="008126EB">
        <w:rPr>
          <w:rFonts w:hint="eastAsia"/>
          <w:i/>
        </w:rPr>
        <w:t>|DA|</w:t>
      </w:r>
      <w:r w:rsidR="00691B4A" w:rsidRPr="008126EB">
        <w:rPr>
          <w:rFonts w:hint="eastAsia"/>
        </w:rPr>
        <w:t xml:space="preserve"> </w:t>
      </w:r>
      <w:r w:rsidR="001927FA" w:rsidRPr="008126EB">
        <w:rPr>
          <w:rFonts w:eastAsia="PMingLiU" w:hint="eastAsia"/>
        </w:rPr>
        <w:t xml:space="preserve">coefficient </w:t>
      </w:r>
      <w:r w:rsidR="00691B4A" w:rsidRPr="008126EB">
        <w:rPr>
          <w:rFonts w:hint="eastAsia"/>
        </w:rPr>
        <w:t>becomes insignificant</w:t>
      </w:r>
      <w:r w:rsidR="00A1291E">
        <w:t xml:space="preserve"> when firms </w:t>
      </w:r>
      <w:r w:rsidR="00A1291E">
        <w:lastRenderedPageBreak/>
        <w:t xml:space="preserve">only provide </w:t>
      </w:r>
      <w:r w:rsidR="00691B4A" w:rsidRPr="008126EB">
        <w:rPr>
          <w:rFonts w:hint="eastAsia"/>
        </w:rPr>
        <w:t xml:space="preserve">low </w:t>
      </w:r>
      <w:r w:rsidR="00A1291E">
        <w:t xml:space="preserve">level of </w:t>
      </w:r>
      <w:r w:rsidR="00691B4A" w:rsidRPr="008126EB">
        <w:rPr>
          <w:rFonts w:hint="eastAsia"/>
        </w:rPr>
        <w:t xml:space="preserve">equity-based compensation </w:t>
      </w:r>
      <w:r w:rsidR="00691B4A" w:rsidRPr="008126EB">
        <w:rPr>
          <w:rFonts w:hint="eastAsia"/>
          <w:i/>
        </w:rPr>
        <w:t>(p</w:t>
      </w:r>
      <w:r w:rsidR="00691B4A" w:rsidRPr="00235D3B">
        <w:t>-value</w:t>
      </w:r>
      <w:r w:rsidR="00874212" w:rsidRPr="008126EB">
        <w:rPr>
          <w:i/>
        </w:rPr>
        <w:t xml:space="preserve"> </w:t>
      </w:r>
      <w:r w:rsidR="00691B4A" w:rsidRPr="008126EB">
        <w:rPr>
          <w:rFonts w:hint="eastAsia"/>
        </w:rPr>
        <w:t>=</w:t>
      </w:r>
      <w:r w:rsidR="00874212" w:rsidRPr="008126EB">
        <w:t xml:space="preserve"> </w:t>
      </w:r>
      <w:r w:rsidR="00691B4A" w:rsidRPr="008126EB">
        <w:t>0.101</w:t>
      </w:r>
      <w:r w:rsidR="00691B4A" w:rsidRPr="008126EB">
        <w:rPr>
          <w:rFonts w:hint="eastAsia"/>
        </w:rPr>
        <w:t xml:space="preserve">). </w:t>
      </w:r>
      <w:r w:rsidR="00691B4A" w:rsidRPr="008126EB">
        <w:t>T</w:t>
      </w:r>
      <w:r w:rsidR="00691B4A" w:rsidRPr="008126EB">
        <w:rPr>
          <w:rFonts w:hint="eastAsia"/>
        </w:rPr>
        <w:t xml:space="preserve">his result </w:t>
      </w:r>
      <w:r w:rsidR="00DB7CD1">
        <w:t>indicates</w:t>
      </w:r>
      <w:r w:rsidR="00691B4A" w:rsidRPr="008126EB">
        <w:t xml:space="preserve"> that </w:t>
      </w:r>
      <w:r w:rsidR="00DB7CD1">
        <w:t xml:space="preserve">corporate </w:t>
      </w:r>
      <w:r w:rsidR="00691B4A" w:rsidRPr="008126EB">
        <w:t xml:space="preserve">executives may (may not) take </w:t>
      </w:r>
      <w:r w:rsidR="00691B4A" w:rsidRPr="008126EB">
        <w:rPr>
          <w:rFonts w:hint="eastAsia"/>
        </w:rPr>
        <w:t>stock return (</w:t>
      </w:r>
      <w:r w:rsidR="00C32991">
        <w:t xml:space="preserve">i.e., </w:t>
      </w:r>
      <w:r w:rsidR="00691B4A" w:rsidRPr="008126EB">
        <w:rPr>
          <w:rFonts w:hint="eastAsia"/>
        </w:rPr>
        <w:t xml:space="preserve">change in </w:t>
      </w:r>
      <w:r w:rsidR="001927FA" w:rsidRPr="008126EB">
        <w:rPr>
          <w:rFonts w:eastAsia="PMingLiU" w:hint="eastAsia"/>
        </w:rPr>
        <w:t>equity price</w:t>
      </w:r>
      <w:r w:rsidR="00691B4A" w:rsidRPr="008126EB">
        <w:rPr>
          <w:rFonts w:hint="eastAsia"/>
        </w:rPr>
        <w:t xml:space="preserve">) </w:t>
      </w:r>
      <w:r w:rsidR="00691B4A" w:rsidRPr="008126EB">
        <w:t xml:space="preserve">into </w:t>
      </w:r>
      <w:r w:rsidR="00DB7CD1">
        <w:t>consideration</w:t>
      </w:r>
      <w:r w:rsidR="00691B4A" w:rsidRPr="008126EB">
        <w:t xml:space="preserve"> </w:t>
      </w:r>
      <w:r w:rsidR="00691B4A" w:rsidRPr="008126EB">
        <w:rPr>
          <w:rFonts w:hint="eastAsia"/>
        </w:rPr>
        <w:t xml:space="preserve">when </w:t>
      </w:r>
      <w:r w:rsidR="00DB7CD1">
        <w:t>the</w:t>
      </w:r>
      <w:r w:rsidR="00691B4A" w:rsidRPr="008126EB">
        <w:rPr>
          <w:rFonts w:hint="eastAsia"/>
        </w:rPr>
        <w:t xml:space="preserve"> </w:t>
      </w:r>
      <w:r w:rsidR="00691B4A" w:rsidRPr="008126EB">
        <w:t>equity</w:t>
      </w:r>
      <w:r w:rsidR="00691B4A" w:rsidRPr="008126EB">
        <w:rPr>
          <w:rFonts w:hint="eastAsia"/>
        </w:rPr>
        <w:t xml:space="preserve">-based compensation </w:t>
      </w:r>
      <w:r w:rsidR="00DB7CD1">
        <w:t xml:space="preserve">constitutes a high (low) percentage of </w:t>
      </w:r>
      <w:r w:rsidR="00D64207">
        <w:t xml:space="preserve">total </w:t>
      </w:r>
      <w:r w:rsidR="00047E04">
        <w:t xml:space="preserve">rewards in </w:t>
      </w:r>
      <w:r w:rsidR="00DB7CD1" w:rsidRPr="008126EB">
        <w:t>the</w:t>
      </w:r>
      <w:r w:rsidR="00DB7CD1">
        <w:t xml:space="preserve">ir </w:t>
      </w:r>
      <w:r w:rsidR="00691B4A" w:rsidRPr="008126EB">
        <w:t>employment contracts.</w:t>
      </w:r>
      <w:r w:rsidR="00691B4A" w:rsidRPr="008126EB">
        <w:rPr>
          <w:rFonts w:hint="eastAsia"/>
        </w:rPr>
        <w:t xml:space="preserve"> </w:t>
      </w:r>
      <w:r w:rsidR="00047E04">
        <w:t xml:space="preserve">Then, </w:t>
      </w:r>
      <w:r w:rsidR="00047E04">
        <w:rPr>
          <w:rFonts w:eastAsia="PMingLiU"/>
        </w:rPr>
        <w:t xml:space="preserve">we </w:t>
      </w:r>
      <w:r w:rsidR="00691B4A" w:rsidRPr="008126EB">
        <w:t xml:space="preserve">examine the QR results. </w:t>
      </w:r>
      <w:r w:rsidR="008B50FC">
        <w:t>T</w:t>
      </w:r>
      <w:r w:rsidR="00D0786D">
        <w:rPr>
          <w:rFonts w:hint="eastAsia"/>
        </w:rPr>
        <w:t xml:space="preserve">he pattern of quantile-varying estimates </w:t>
      </w:r>
      <w:r w:rsidR="00DB7CD1">
        <w:t>diagrammed in</w:t>
      </w:r>
      <w:r w:rsidR="00D0786D">
        <w:rPr>
          <w:rFonts w:hint="eastAsia"/>
        </w:rPr>
        <w:t xml:space="preserve"> Panels A and B of Figure 4</w:t>
      </w:r>
      <w:r w:rsidR="008B50FC">
        <w:t xml:space="preserve"> is</w:t>
      </w:r>
      <w:r w:rsidR="00691B4A" w:rsidRPr="008126EB">
        <w:t xml:space="preserve"> </w:t>
      </w:r>
      <w:r w:rsidR="00A1291E">
        <w:t>in line</w:t>
      </w:r>
      <w:r w:rsidR="00A1291E" w:rsidRPr="008126EB">
        <w:t xml:space="preserve"> </w:t>
      </w:r>
      <w:r w:rsidR="00691B4A" w:rsidRPr="008126EB">
        <w:t xml:space="preserve">with the </w:t>
      </w:r>
      <w:r w:rsidR="00691B4A" w:rsidRPr="008126EB">
        <w:rPr>
          <w:rFonts w:hint="eastAsia"/>
        </w:rPr>
        <w:t>|</w:t>
      </w:r>
      <w:r w:rsidR="00691B4A" w:rsidRPr="008126EB">
        <w:rPr>
          <w:i/>
        </w:rPr>
        <w:t>DA</w:t>
      </w:r>
      <w:r w:rsidR="00691B4A" w:rsidRPr="008126EB">
        <w:rPr>
          <w:rFonts w:hint="eastAsia"/>
          <w:i/>
        </w:rPr>
        <w:t>|</w:t>
      </w:r>
      <w:r w:rsidR="00691B4A" w:rsidRPr="008126EB">
        <w:t>–</w:t>
      </w:r>
      <w:r w:rsidR="00691B4A" w:rsidRPr="008126EB">
        <w:rPr>
          <w:rFonts w:hint="eastAsia"/>
          <w:i/>
        </w:rPr>
        <w:t>RETURN</w:t>
      </w:r>
      <w:r w:rsidR="00691B4A" w:rsidRPr="008126EB">
        <w:t xml:space="preserve"> relation demonstrated </w:t>
      </w:r>
      <w:r w:rsidR="00CB71A6" w:rsidRPr="008126EB">
        <w:t>in</w:t>
      </w:r>
      <w:r w:rsidR="003B4266">
        <w:t xml:space="preserve"> </w:t>
      </w:r>
      <w:r w:rsidR="00691B4A" w:rsidRPr="008126EB">
        <w:t>Section 5</w:t>
      </w:r>
      <w:r w:rsidR="00874212" w:rsidRPr="008126EB">
        <w:t>.2</w:t>
      </w:r>
      <w:r w:rsidR="00691B4A" w:rsidRPr="008126EB">
        <w:t xml:space="preserve">. Therefore, </w:t>
      </w:r>
      <w:r w:rsidR="00691B4A" w:rsidRPr="008126EB">
        <w:rPr>
          <w:rFonts w:hint="eastAsia"/>
        </w:rPr>
        <w:t>our argument</w:t>
      </w:r>
      <w:r w:rsidR="00691B4A" w:rsidRPr="008126EB">
        <w:t xml:space="preserve"> </w:t>
      </w:r>
      <w:r w:rsidR="003B4266">
        <w:t>with respect</w:t>
      </w:r>
      <w:r w:rsidR="00691B4A" w:rsidRPr="008126EB">
        <w:t xml:space="preserve"> to</w:t>
      </w:r>
      <w:r w:rsidR="00C32991">
        <w:t xml:space="preserve"> the</w:t>
      </w:r>
      <w:r w:rsidR="00691B4A" w:rsidRPr="008126EB">
        <w:rPr>
          <w:rFonts w:hint="eastAsia"/>
        </w:rPr>
        <w:t xml:space="preserve"> prospect theory </w:t>
      </w:r>
      <w:r w:rsidR="00691B4A" w:rsidRPr="008126EB">
        <w:t xml:space="preserve">holds when considering the </w:t>
      </w:r>
      <w:r w:rsidR="00C2585B">
        <w:t>impact</w:t>
      </w:r>
      <w:r w:rsidR="00C2585B" w:rsidRPr="008126EB">
        <w:t xml:space="preserve"> </w:t>
      </w:r>
      <w:r w:rsidR="00691B4A" w:rsidRPr="008126EB">
        <w:t>of</w:t>
      </w:r>
      <w:r w:rsidR="00047E04">
        <w:t xml:space="preserve"> managerial </w:t>
      </w:r>
      <w:r w:rsidR="00691B4A" w:rsidRPr="008126EB">
        <w:t xml:space="preserve">incentive on </w:t>
      </w:r>
      <w:r w:rsidR="00C473A3">
        <w:t>earnings manipulation</w:t>
      </w:r>
      <w:r w:rsidR="00691B4A" w:rsidRPr="008126EB">
        <w:rPr>
          <w:rFonts w:hint="eastAsia"/>
        </w:rPr>
        <w:t>.</w:t>
      </w:r>
    </w:p>
    <w:p w:rsidR="00B32255" w:rsidRDefault="00B32255" w:rsidP="00FE1E17">
      <w:pPr>
        <w:snapToGrid w:val="0"/>
        <w:spacing w:line="0" w:lineRule="atLeast"/>
        <w:jc w:val="center"/>
        <w:rPr>
          <w:rFonts w:eastAsia="DFKai-SB"/>
          <w:b/>
          <w:sz w:val="22"/>
          <w:szCs w:val="22"/>
        </w:rPr>
      </w:pPr>
      <w:bookmarkStart w:id="3" w:name="_Toc358302846"/>
      <w:bookmarkStart w:id="4" w:name="_Toc359095296"/>
      <w:bookmarkStart w:id="5" w:name="_Toc358302845"/>
      <w:bookmarkStart w:id="6" w:name="_Toc359095295"/>
    </w:p>
    <w:p w:rsidR="00FE1E17" w:rsidRPr="00FE1E17" w:rsidRDefault="00FE1E17" w:rsidP="00754050">
      <w:pPr>
        <w:snapToGrid w:val="0"/>
        <w:spacing w:line="0" w:lineRule="atLeast"/>
        <w:jc w:val="center"/>
        <w:rPr>
          <w:rFonts w:eastAsia="DFKai-SB"/>
          <w:b/>
          <w:sz w:val="22"/>
          <w:szCs w:val="22"/>
          <w:lang w:val="en-NZ"/>
        </w:rPr>
      </w:pPr>
      <w:r w:rsidRPr="00FE1E17">
        <w:rPr>
          <w:rFonts w:eastAsia="DFKai-SB"/>
          <w:b/>
          <w:sz w:val="22"/>
          <w:szCs w:val="22"/>
        </w:rPr>
        <w:t xml:space="preserve">Table </w:t>
      </w:r>
      <w:r w:rsidRPr="00FE1E17">
        <w:rPr>
          <w:b/>
          <w:sz w:val="22"/>
          <w:szCs w:val="22"/>
        </w:rPr>
        <w:t>3</w:t>
      </w:r>
      <w:r w:rsidR="00754050">
        <w:rPr>
          <w:b/>
          <w:sz w:val="22"/>
          <w:szCs w:val="22"/>
        </w:rPr>
        <w:t xml:space="preserve">: </w:t>
      </w:r>
      <w:r w:rsidRPr="00FE1E17">
        <w:rPr>
          <w:rFonts w:eastAsia="DFKai-SB"/>
          <w:b/>
          <w:sz w:val="22"/>
          <w:szCs w:val="22"/>
          <w:lang w:val="en-NZ"/>
        </w:rPr>
        <w:t xml:space="preserve">The </w:t>
      </w:r>
      <w:r w:rsidRPr="00FE1E17">
        <w:rPr>
          <w:rFonts w:eastAsia="DFKai-SB"/>
          <w:b/>
          <w:i/>
          <w:iCs/>
          <w:sz w:val="22"/>
          <w:szCs w:val="22"/>
          <w:lang w:val="en-NZ"/>
        </w:rPr>
        <w:t>|DA|–RETURN</w:t>
      </w:r>
      <w:r w:rsidR="008B5B2B">
        <w:rPr>
          <w:rFonts w:eastAsia="DFKai-SB"/>
          <w:b/>
          <w:sz w:val="22"/>
          <w:szCs w:val="22"/>
          <w:lang w:val="en-NZ"/>
        </w:rPr>
        <w:t xml:space="preserve"> Relation across Various Quantiles of Stock R</w:t>
      </w:r>
      <w:r w:rsidRPr="00FE1E17">
        <w:rPr>
          <w:rFonts w:eastAsia="DFKai-SB"/>
          <w:b/>
          <w:sz w:val="22"/>
          <w:szCs w:val="22"/>
          <w:lang w:val="en-NZ"/>
        </w:rPr>
        <w:t>eturns:</w:t>
      </w:r>
    </w:p>
    <w:p w:rsidR="00FE1E17" w:rsidRPr="00FE1E17" w:rsidRDefault="008B5B2B" w:rsidP="00FE1E17">
      <w:pPr>
        <w:spacing w:line="0" w:lineRule="atLeast"/>
        <w:jc w:val="center"/>
        <w:rPr>
          <w:rFonts w:eastAsia="DFKai-SB"/>
          <w:b/>
          <w:sz w:val="22"/>
          <w:szCs w:val="22"/>
          <w:lang w:val="en-NZ"/>
        </w:rPr>
      </w:pPr>
      <w:r>
        <w:rPr>
          <w:rFonts w:eastAsia="DFKai-SB"/>
          <w:b/>
          <w:sz w:val="22"/>
          <w:szCs w:val="22"/>
          <w:lang w:val="en-NZ"/>
        </w:rPr>
        <w:t>High versus Low Equity-Based C</w:t>
      </w:r>
      <w:r w:rsidR="00FE1E17" w:rsidRPr="00FE1E17">
        <w:rPr>
          <w:rFonts w:eastAsia="DFKai-SB"/>
          <w:b/>
          <w:sz w:val="22"/>
          <w:szCs w:val="22"/>
          <w:lang w:val="en-NZ"/>
        </w:rPr>
        <w:t>ompensation</w:t>
      </w:r>
    </w:p>
    <w:p w:rsidR="00FE1E17" w:rsidRPr="00FE1E17" w:rsidRDefault="00FE1E17" w:rsidP="00FE1E17">
      <w:pPr>
        <w:spacing w:line="0" w:lineRule="atLeast"/>
        <w:jc w:val="center"/>
        <w:rPr>
          <w:rFonts w:eastAsia="DFKai-SB"/>
          <w:b/>
          <w:sz w:val="22"/>
          <w:szCs w:val="22"/>
          <w:lang w:val="en-NZ"/>
        </w:rPr>
      </w:pPr>
    </w:p>
    <w:p w:rsidR="00FE1E17" w:rsidRPr="00FE1E17" w:rsidRDefault="00FE1E17" w:rsidP="00FE1E17">
      <w:pPr>
        <w:spacing w:after="120"/>
        <w:jc w:val="center"/>
        <w:rPr>
          <w:sz w:val="22"/>
          <w:szCs w:val="22"/>
          <w:lang w:val="fr-FR"/>
        </w:rPr>
      </w:pPr>
      <w:r w:rsidRPr="00FE1E17">
        <w:rPr>
          <w:rFonts w:eastAsia="DFKai-SB"/>
          <w:i/>
          <w:sz w:val="22"/>
          <w:szCs w:val="22"/>
          <w:lang w:val="fr-FR"/>
        </w:rPr>
        <w:t>RETURN</w:t>
      </w:r>
      <w:r w:rsidRPr="00FE1E17">
        <w:rPr>
          <w:rFonts w:eastAsia="DFKai-SB"/>
          <w:i/>
          <w:sz w:val="22"/>
          <w:szCs w:val="22"/>
          <w:vertAlign w:val="subscript"/>
          <w:lang w:val="fr-FR"/>
        </w:rPr>
        <w:t>i,t</w:t>
      </w:r>
      <w:r w:rsidRPr="00FE1E17">
        <w:rPr>
          <w:i/>
          <w:sz w:val="22"/>
          <w:szCs w:val="22"/>
          <w:vertAlign w:val="subscript"/>
          <w:lang w:val="fr-FR"/>
        </w:rPr>
        <w:t>+1</w:t>
      </w:r>
      <w:r w:rsidRPr="00FE1E17">
        <w:rPr>
          <w:rFonts w:eastAsia="DFKai-SB"/>
          <w:sz w:val="22"/>
          <w:szCs w:val="22"/>
          <w:lang w:val="fr-FR"/>
        </w:rPr>
        <w:t xml:space="preserve"> =</w:t>
      </w:r>
      <w:r w:rsidRPr="00FE1E17">
        <w:rPr>
          <w:rFonts w:eastAsia="DFKai-SB"/>
          <w:i/>
          <w:sz w:val="22"/>
          <w:szCs w:val="22"/>
          <w:lang w:val="fr-FR"/>
        </w:rPr>
        <w:t xml:space="preserve"> </w:t>
      </w:r>
      <w:r w:rsidRPr="00FE1E17">
        <w:rPr>
          <w:i/>
          <w:sz w:val="22"/>
          <w:szCs w:val="22"/>
        </w:rPr>
        <w:sym w:font="Symbol" w:char="F062"/>
      </w:r>
      <w:r w:rsidRPr="00FE1E17">
        <w:rPr>
          <w:rFonts w:eastAsia="DFKai-SB"/>
          <w:sz w:val="22"/>
          <w:szCs w:val="22"/>
          <w:vertAlign w:val="subscript"/>
          <w:lang w:val="fr-FR"/>
        </w:rPr>
        <w:t>0</w:t>
      </w:r>
      <w:r w:rsidRPr="00FE1E17">
        <w:rPr>
          <w:rFonts w:eastAsia="DFKai-SB"/>
          <w:i/>
          <w:sz w:val="22"/>
          <w:szCs w:val="22"/>
          <w:lang w:val="fr-FR"/>
        </w:rPr>
        <w:t xml:space="preserve"> + </w:t>
      </w:r>
      <w:r w:rsidRPr="00FE1E17">
        <w:rPr>
          <w:i/>
          <w:sz w:val="22"/>
          <w:szCs w:val="22"/>
        </w:rPr>
        <w:sym w:font="Symbol" w:char="F062"/>
      </w:r>
      <w:r w:rsidRPr="00FE1E17">
        <w:rPr>
          <w:rFonts w:eastAsia="DFKai-SB"/>
          <w:sz w:val="22"/>
          <w:szCs w:val="22"/>
          <w:vertAlign w:val="subscript"/>
          <w:lang w:val="fr-FR"/>
        </w:rPr>
        <w:t xml:space="preserve">1 </w:t>
      </w:r>
      <w:r w:rsidRPr="00FE1E17">
        <w:rPr>
          <w:rFonts w:eastAsia="DFKai-SB"/>
          <w:i/>
          <w:sz w:val="22"/>
          <w:szCs w:val="22"/>
          <w:lang w:val="fr-FR"/>
        </w:rPr>
        <w:t>|DA</w:t>
      </w:r>
      <w:r w:rsidRPr="00FE1E17">
        <w:rPr>
          <w:rFonts w:eastAsia="DFKai-SB"/>
          <w:i/>
          <w:sz w:val="22"/>
          <w:szCs w:val="22"/>
          <w:vertAlign w:val="subscript"/>
          <w:lang w:val="fr-FR"/>
        </w:rPr>
        <w:t>i,t</w:t>
      </w:r>
      <w:r w:rsidRPr="00FE1E17">
        <w:rPr>
          <w:rFonts w:eastAsia="DFKai-SB"/>
          <w:i/>
          <w:sz w:val="22"/>
          <w:szCs w:val="22"/>
          <w:lang w:val="fr-FR"/>
        </w:rPr>
        <w:t xml:space="preserve"> |+ </w:t>
      </w:r>
      <w:r w:rsidRPr="00FE1E17">
        <w:rPr>
          <w:i/>
          <w:sz w:val="22"/>
          <w:szCs w:val="22"/>
        </w:rPr>
        <w:sym w:font="Symbol" w:char="F062"/>
      </w:r>
      <w:r w:rsidRPr="00FE1E17">
        <w:rPr>
          <w:rFonts w:eastAsia="DFKai-SB"/>
          <w:sz w:val="22"/>
          <w:szCs w:val="22"/>
          <w:vertAlign w:val="subscript"/>
          <w:lang w:val="fr-FR"/>
        </w:rPr>
        <w:t xml:space="preserve">2 </w:t>
      </w:r>
      <w:r w:rsidRPr="00FE1E17">
        <w:rPr>
          <w:rFonts w:eastAsia="DFKai-SB"/>
          <w:i/>
          <w:sz w:val="22"/>
          <w:szCs w:val="22"/>
          <w:lang w:val="fr-FR"/>
        </w:rPr>
        <w:t>MKT</w:t>
      </w:r>
      <w:r w:rsidRPr="00FE1E17">
        <w:rPr>
          <w:rFonts w:eastAsia="DFKai-SB"/>
          <w:i/>
          <w:sz w:val="22"/>
          <w:szCs w:val="22"/>
          <w:vertAlign w:val="subscript"/>
          <w:lang w:val="fr-FR"/>
        </w:rPr>
        <w:t>t</w:t>
      </w:r>
      <w:r w:rsidRPr="00FE1E17">
        <w:rPr>
          <w:rFonts w:eastAsia="DFKai-SB"/>
          <w:i/>
          <w:sz w:val="22"/>
          <w:szCs w:val="22"/>
          <w:lang w:val="fr-FR"/>
        </w:rPr>
        <w:t xml:space="preserve"> + </w:t>
      </w:r>
      <w:r w:rsidRPr="00FE1E17">
        <w:rPr>
          <w:i/>
          <w:sz w:val="22"/>
          <w:szCs w:val="22"/>
        </w:rPr>
        <w:sym w:font="Symbol" w:char="F062"/>
      </w:r>
      <w:r w:rsidRPr="00FE1E17">
        <w:rPr>
          <w:rFonts w:eastAsia="DFKai-SB"/>
          <w:sz w:val="22"/>
          <w:szCs w:val="22"/>
          <w:vertAlign w:val="subscript"/>
          <w:lang w:val="fr-FR"/>
        </w:rPr>
        <w:t xml:space="preserve">3 </w:t>
      </w:r>
      <w:r w:rsidRPr="00FE1E17">
        <w:rPr>
          <w:rFonts w:eastAsia="DFKai-SB"/>
          <w:i/>
          <w:sz w:val="22"/>
          <w:szCs w:val="22"/>
          <w:lang w:val="fr-FR"/>
        </w:rPr>
        <w:t>SIZE</w:t>
      </w:r>
      <w:r w:rsidRPr="00FE1E17">
        <w:rPr>
          <w:rFonts w:eastAsia="DFKai-SB"/>
          <w:i/>
          <w:sz w:val="22"/>
          <w:szCs w:val="22"/>
          <w:vertAlign w:val="subscript"/>
          <w:lang w:val="fr-FR"/>
        </w:rPr>
        <w:t>i,t</w:t>
      </w:r>
      <w:r w:rsidRPr="00FE1E17">
        <w:rPr>
          <w:rFonts w:eastAsia="DFKai-SB"/>
          <w:i/>
          <w:sz w:val="22"/>
          <w:szCs w:val="22"/>
          <w:lang w:val="fr-FR"/>
        </w:rPr>
        <w:t xml:space="preserve"> +</w:t>
      </w:r>
      <w:r w:rsidRPr="00FE1E17">
        <w:rPr>
          <w:i/>
          <w:sz w:val="22"/>
          <w:szCs w:val="22"/>
        </w:rPr>
        <w:sym w:font="Symbol" w:char="F062"/>
      </w:r>
      <w:r w:rsidRPr="00FE1E17">
        <w:rPr>
          <w:rFonts w:eastAsia="DFKai-SB"/>
          <w:sz w:val="22"/>
          <w:szCs w:val="22"/>
          <w:vertAlign w:val="subscript"/>
          <w:lang w:val="fr-FR"/>
        </w:rPr>
        <w:t xml:space="preserve">4 </w:t>
      </w:r>
      <w:r w:rsidRPr="00FE1E17">
        <w:rPr>
          <w:rFonts w:eastAsia="DFKai-SB"/>
          <w:i/>
          <w:sz w:val="22"/>
          <w:szCs w:val="22"/>
          <w:lang w:val="fr-FR"/>
        </w:rPr>
        <w:t>MB</w:t>
      </w:r>
      <w:r w:rsidRPr="00FE1E17">
        <w:rPr>
          <w:rFonts w:eastAsia="DFKai-SB"/>
          <w:i/>
          <w:sz w:val="22"/>
          <w:szCs w:val="22"/>
          <w:vertAlign w:val="subscript"/>
          <w:lang w:val="fr-FR"/>
        </w:rPr>
        <w:t>i,t</w:t>
      </w:r>
      <w:r w:rsidRPr="00FE1E17">
        <w:rPr>
          <w:rFonts w:eastAsia="DFKai-SB"/>
          <w:i/>
          <w:sz w:val="22"/>
          <w:szCs w:val="22"/>
          <w:lang w:val="fr-FR"/>
        </w:rPr>
        <w:t xml:space="preserve"> + </w:t>
      </w:r>
      <w:r w:rsidRPr="00FE1E17">
        <w:rPr>
          <w:i/>
          <w:sz w:val="22"/>
          <w:szCs w:val="22"/>
        </w:rPr>
        <w:sym w:font="Symbol" w:char="F062"/>
      </w:r>
      <w:r w:rsidRPr="00FE1E17">
        <w:rPr>
          <w:rFonts w:eastAsia="DFKai-SB"/>
          <w:sz w:val="22"/>
          <w:szCs w:val="22"/>
          <w:vertAlign w:val="subscript"/>
          <w:lang w:val="fr-FR"/>
        </w:rPr>
        <w:t xml:space="preserve">5 </w:t>
      </w:r>
      <w:r w:rsidRPr="00FE1E17">
        <w:rPr>
          <w:rFonts w:eastAsia="DFKai-SB"/>
          <w:i/>
          <w:sz w:val="22"/>
          <w:szCs w:val="22"/>
          <w:lang w:val="fr-FR"/>
        </w:rPr>
        <w:t>MOM</w:t>
      </w:r>
      <w:r w:rsidRPr="00FE1E17">
        <w:rPr>
          <w:rFonts w:eastAsia="DFKai-SB"/>
          <w:i/>
          <w:sz w:val="22"/>
          <w:szCs w:val="22"/>
          <w:vertAlign w:val="subscript"/>
          <w:lang w:val="fr-FR"/>
        </w:rPr>
        <w:t>i,t</w:t>
      </w:r>
      <w:r w:rsidRPr="00FE1E17">
        <w:rPr>
          <w:rFonts w:eastAsia="DFKai-SB"/>
          <w:i/>
          <w:sz w:val="22"/>
          <w:szCs w:val="22"/>
          <w:lang w:val="fr-FR"/>
        </w:rPr>
        <w:t>+ u</w:t>
      </w:r>
      <w:r w:rsidRPr="00FE1E17">
        <w:rPr>
          <w:rFonts w:eastAsia="DFKai-SB"/>
          <w:i/>
          <w:sz w:val="22"/>
          <w:szCs w:val="22"/>
          <w:vertAlign w:val="subscript"/>
          <w:lang w:val="fr-FR"/>
        </w:rPr>
        <w:t>i,t</w:t>
      </w:r>
      <w:r w:rsidRPr="00FE1E17">
        <w:rPr>
          <w:i/>
          <w:sz w:val="22"/>
          <w:szCs w:val="22"/>
          <w:vertAlign w:val="subscript"/>
          <w:lang w:val="fr-FR"/>
        </w:rPr>
        <w:t>+1</w:t>
      </w:r>
    </w:p>
    <w:tbl>
      <w:tblPr>
        <w:tblW w:w="5008" w:type="pct"/>
        <w:tblLayout w:type="fixed"/>
        <w:tblCellMar>
          <w:left w:w="0" w:type="dxa"/>
          <w:right w:w="0" w:type="dxa"/>
        </w:tblCellMar>
        <w:tblLook w:val="0000" w:firstRow="0" w:lastRow="0" w:firstColumn="0" w:lastColumn="0" w:noHBand="0" w:noVBand="0"/>
      </w:tblPr>
      <w:tblGrid>
        <w:gridCol w:w="930"/>
        <w:gridCol w:w="1868"/>
        <w:gridCol w:w="920"/>
        <w:gridCol w:w="7"/>
        <w:gridCol w:w="1947"/>
        <w:gridCol w:w="1264"/>
        <w:gridCol w:w="2105"/>
      </w:tblGrid>
      <w:tr w:rsidR="00FE1E17" w:rsidRPr="00FE1E17" w:rsidTr="00583009">
        <w:trPr>
          <w:trHeight w:val="345"/>
        </w:trPr>
        <w:tc>
          <w:tcPr>
            <w:tcW w:w="3137" w:type="pct"/>
            <w:gridSpan w:val="5"/>
            <w:tcBorders>
              <w:top w:val="single" w:sz="12" w:space="0" w:color="auto"/>
              <w:left w:val="nil"/>
              <w:right w:val="single" w:sz="12" w:space="0" w:color="auto"/>
            </w:tcBorders>
            <w:shd w:val="clear" w:color="auto" w:fill="auto"/>
            <w:noWrap/>
            <w:vAlign w:val="center"/>
          </w:tcPr>
          <w:p w:rsidR="00FE1E17" w:rsidRPr="00FE1E17" w:rsidRDefault="00FE1E17" w:rsidP="00583009">
            <w:pPr>
              <w:ind w:left="-180"/>
              <w:jc w:val="center"/>
              <w:rPr>
                <w:rFonts w:eastAsia="DFKai-SB"/>
                <w:i/>
                <w:sz w:val="22"/>
                <w:szCs w:val="22"/>
              </w:rPr>
            </w:pPr>
            <w:r w:rsidRPr="00FE1E17">
              <w:rPr>
                <w:rFonts w:eastAsia="DFKai-SB"/>
                <w:i/>
                <w:sz w:val="22"/>
                <w:szCs w:val="22"/>
              </w:rPr>
              <w:t xml:space="preserve">Coefficient estimates on </w:t>
            </w:r>
            <w:r w:rsidRPr="00FE1E17">
              <w:rPr>
                <w:i/>
                <w:sz w:val="22"/>
                <w:szCs w:val="22"/>
              </w:rPr>
              <w:t>|DA|: QR</w:t>
            </w:r>
            <w:r w:rsidRPr="00FE1E17">
              <w:rPr>
                <w:rFonts w:eastAsia="DFKai-SB"/>
                <w:i/>
                <w:sz w:val="22"/>
                <w:szCs w:val="22"/>
              </w:rPr>
              <w:t xml:space="preserve"> vs. OLS </w:t>
            </w:r>
          </w:p>
        </w:tc>
        <w:tc>
          <w:tcPr>
            <w:tcW w:w="1863" w:type="pct"/>
            <w:gridSpan w:val="2"/>
            <w:tcBorders>
              <w:top w:val="single" w:sz="12" w:space="0" w:color="auto"/>
              <w:left w:val="single" w:sz="12"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 xml:space="preserve">Tests of equality </w:t>
            </w:r>
            <w:r w:rsidRPr="00FE1E17">
              <w:rPr>
                <w:i/>
                <w:sz w:val="22"/>
                <w:szCs w:val="22"/>
              </w:rPr>
              <w:t>across quantiles</w:t>
            </w:r>
          </w:p>
        </w:tc>
      </w:tr>
      <w:tr w:rsidR="00FE1E17" w:rsidRPr="00FE1E17" w:rsidTr="00583009">
        <w:trPr>
          <w:trHeight w:val="345"/>
        </w:trPr>
        <w:tc>
          <w:tcPr>
            <w:tcW w:w="514"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Quant</w:t>
            </w:r>
            <w:r w:rsidRPr="00FE1E17">
              <w:rPr>
                <w:i/>
                <w:sz w:val="22"/>
                <w:szCs w:val="22"/>
              </w:rPr>
              <w:t>.</w:t>
            </w:r>
          </w:p>
        </w:tc>
        <w:tc>
          <w:tcPr>
            <w:tcW w:w="1033"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rFonts w:eastAsia="DFKai-SB"/>
                <w:i/>
                <w:sz w:val="22"/>
                <w:szCs w:val="22"/>
              </w:rPr>
            </w:pPr>
            <w:r w:rsidRPr="00FE1E17">
              <w:rPr>
                <w:i/>
                <w:sz w:val="22"/>
                <w:szCs w:val="22"/>
              </w:rPr>
              <w:t>Coeff.</w:t>
            </w:r>
            <w:r w:rsidRPr="00FE1E17">
              <w:rPr>
                <w:rFonts w:eastAsia="DFKai-SB"/>
                <w:i/>
                <w:sz w:val="22"/>
                <w:szCs w:val="22"/>
              </w:rPr>
              <w:t xml:space="preserve"> (p-value)</w:t>
            </w:r>
          </w:p>
        </w:tc>
        <w:tc>
          <w:tcPr>
            <w:tcW w:w="509"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Quant</w:t>
            </w:r>
            <w:r w:rsidRPr="00FE1E17">
              <w:rPr>
                <w:i/>
                <w:sz w:val="22"/>
                <w:szCs w:val="22"/>
              </w:rPr>
              <w:t>.</w:t>
            </w:r>
          </w:p>
        </w:tc>
        <w:tc>
          <w:tcPr>
            <w:tcW w:w="1081" w:type="pct"/>
            <w:gridSpan w:val="2"/>
            <w:tcBorders>
              <w:top w:val="nil"/>
              <w:left w:val="nil"/>
              <w:bottom w:val="single" w:sz="8" w:space="0" w:color="auto"/>
              <w:right w:val="single" w:sz="12" w:space="0" w:color="auto"/>
            </w:tcBorders>
            <w:shd w:val="clear" w:color="auto" w:fill="auto"/>
            <w:noWrap/>
            <w:vAlign w:val="center"/>
          </w:tcPr>
          <w:p w:rsidR="00FE1E17" w:rsidRPr="00FE1E17" w:rsidRDefault="00FE1E17" w:rsidP="00583009">
            <w:pPr>
              <w:jc w:val="center"/>
              <w:rPr>
                <w:rFonts w:eastAsia="DFKai-SB"/>
                <w:i/>
                <w:sz w:val="22"/>
                <w:szCs w:val="22"/>
              </w:rPr>
            </w:pPr>
            <w:r w:rsidRPr="00FE1E17">
              <w:rPr>
                <w:i/>
                <w:sz w:val="22"/>
                <w:szCs w:val="22"/>
              </w:rPr>
              <w:t>Coeff.</w:t>
            </w:r>
            <w:r w:rsidRPr="00FE1E17">
              <w:rPr>
                <w:rFonts w:eastAsia="DFKai-SB"/>
                <w:i/>
                <w:sz w:val="22"/>
                <w:szCs w:val="22"/>
              </w:rPr>
              <w:t xml:space="preserve"> (p-value)</w:t>
            </w:r>
          </w:p>
        </w:tc>
        <w:tc>
          <w:tcPr>
            <w:tcW w:w="699" w:type="pct"/>
            <w:tcBorders>
              <w:top w:val="nil"/>
              <w:left w:val="single" w:sz="12" w:space="0" w:color="auto"/>
              <w:bottom w:val="single" w:sz="8"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Quant</w:t>
            </w:r>
            <w:r w:rsidRPr="00FE1E17">
              <w:rPr>
                <w:i/>
                <w:sz w:val="22"/>
                <w:szCs w:val="22"/>
              </w:rPr>
              <w:t>.</w:t>
            </w:r>
          </w:p>
        </w:tc>
        <w:tc>
          <w:tcPr>
            <w:tcW w:w="1164"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rFonts w:eastAsia="DFKai-SB"/>
                <w:i/>
                <w:sz w:val="22"/>
                <w:szCs w:val="22"/>
              </w:rPr>
            </w:pPr>
            <w:r w:rsidRPr="00FE1E17">
              <w:rPr>
                <w:i/>
                <w:sz w:val="22"/>
                <w:szCs w:val="22"/>
              </w:rPr>
              <w:t>F-statistic</w:t>
            </w:r>
            <w:r w:rsidRPr="00FE1E17">
              <w:rPr>
                <w:rFonts w:eastAsia="DFKai-SB"/>
                <w:i/>
                <w:sz w:val="22"/>
                <w:szCs w:val="22"/>
              </w:rPr>
              <w:t xml:space="preserve"> (p-value)</w:t>
            </w:r>
          </w:p>
        </w:tc>
      </w:tr>
      <w:tr w:rsidR="00FE1E17" w:rsidRPr="00FE1E17" w:rsidTr="00583009">
        <w:trPr>
          <w:trHeight w:val="397"/>
        </w:trPr>
        <w:tc>
          <w:tcPr>
            <w:tcW w:w="3137" w:type="pct"/>
            <w:gridSpan w:val="5"/>
            <w:tcBorders>
              <w:left w:val="nil"/>
              <w:right w:val="single" w:sz="12" w:space="0" w:color="auto"/>
            </w:tcBorders>
            <w:shd w:val="clear" w:color="auto" w:fill="auto"/>
            <w:noWrap/>
            <w:vAlign w:val="center"/>
          </w:tcPr>
          <w:p w:rsidR="00FE1E17" w:rsidRPr="008B5B2B" w:rsidRDefault="00FE1E17" w:rsidP="00583009">
            <w:pPr>
              <w:adjustRightInd w:val="0"/>
              <w:snapToGrid w:val="0"/>
              <w:rPr>
                <w:rFonts w:eastAsia="DFKai-SB"/>
                <w:sz w:val="22"/>
                <w:szCs w:val="22"/>
              </w:rPr>
            </w:pPr>
            <w:r w:rsidRPr="008B5B2B">
              <w:rPr>
                <w:rFonts w:eastAsia="DFKai-SB"/>
                <w:sz w:val="22"/>
                <w:szCs w:val="22"/>
              </w:rPr>
              <w:t xml:space="preserve">Panel A: </w:t>
            </w:r>
            <w:r w:rsidRPr="008B5B2B">
              <w:rPr>
                <w:sz w:val="22"/>
                <w:szCs w:val="22"/>
              </w:rPr>
              <w:t xml:space="preserve">High equity-based compensation </w:t>
            </w:r>
          </w:p>
        </w:tc>
        <w:tc>
          <w:tcPr>
            <w:tcW w:w="699" w:type="pct"/>
            <w:tcBorders>
              <w:left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c>
          <w:tcPr>
            <w:tcW w:w="1164" w:type="pct"/>
            <w:tcBorders>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r>
      <w:tr w:rsidR="00FE1E17" w:rsidRPr="00FE1E17" w:rsidTr="00583009">
        <w:trPr>
          <w:trHeight w:val="397"/>
        </w:trPr>
        <w:tc>
          <w:tcPr>
            <w:tcW w:w="514" w:type="pct"/>
            <w:tcBorders>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5</w:t>
            </w:r>
            <w:r w:rsidRPr="00FE1E17">
              <w:rPr>
                <w:sz w:val="22"/>
                <w:szCs w:val="22"/>
              </w:rPr>
              <w:t>%</w:t>
            </w:r>
          </w:p>
        </w:tc>
        <w:tc>
          <w:tcPr>
            <w:tcW w:w="1033" w:type="pct"/>
            <w:tcBorders>
              <w:left w:val="nil"/>
              <w:bottom w:val="nil"/>
              <w:right w:val="nil"/>
            </w:tcBorders>
            <w:shd w:val="clear" w:color="auto" w:fill="auto"/>
            <w:noWrap/>
          </w:tcPr>
          <w:p w:rsidR="00FE1E17" w:rsidRPr="00FE1E17" w:rsidRDefault="00FE1E17" w:rsidP="00583009">
            <w:pPr>
              <w:adjustRightInd w:val="0"/>
              <w:snapToGrid w:val="0"/>
              <w:jc w:val="center"/>
              <w:rPr>
                <w:sz w:val="22"/>
                <w:szCs w:val="22"/>
              </w:rPr>
            </w:pPr>
            <w:r w:rsidRPr="00FE1E17">
              <w:rPr>
                <w:sz w:val="22"/>
                <w:szCs w:val="22"/>
              </w:rPr>
              <w:t>-0.518 (0.000)**</w:t>
            </w:r>
          </w:p>
        </w:tc>
        <w:tc>
          <w:tcPr>
            <w:tcW w:w="509" w:type="pct"/>
            <w:tcBorders>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95</w:t>
            </w:r>
            <w:r w:rsidRPr="00FE1E17">
              <w:rPr>
                <w:sz w:val="22"/>
                <w:szCs w:val="22"/>
              </w:rPr>
              <w:t>%</w:t>
            </w:r>
          </w:p>
        </w:tc>
        <w:tc>
          <w:tcPr>
            <w:tcW w:w="1081" w:type="pct"/>
            <w:gridSpan w:val="2"/>
            <w:tcBorders>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2.872 (0.000)**</w:t>
            </w:r>
          </w:p>
        </w:tc>
        <w:tc>
          <w:tcPr>
            <w:tcW w:w="699" w:type="pct"/>
            <w:tcBorders>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5</w:t>
            </w:r>
            <w:r w:rsidRPr="00FE1E17">
              <w:rPr>
                <w:sz w:val="22"/>
                <w:szCs w:val="22"/>
              </w:rPr>
              <w:t>%</w:t>
            </w:r>
            <w:r w:rsidRPr="00FE1E17">
              <w:rPr>
                <w:rFonts w:eastAsia="DFKai-SB"/>
                <w:sz w:val="22"/>
                <w:szCs w:val="22"/>
              </w:rPr>
              <w:t xml:space="preserve"> </w:t>
            </w:r>
            <w:r w:rsidRPr="00FE1E17">
              <w:rPr>
                <w:sz w:val="22"/>
                <w:szCs w:val="22"/>
              </w:rPr>
              <w:t xml:space="preserve">vs. </w:t>
            </w:r>
            <w:r w:rsidRPr="00FE1E17">
              <w:rPr>
                <w:rFonts w:eastAsia="DFKai-SB"/>
                <w:sz w:val="22"/>
                <w:szCs w:val="22"/>
              </w:rPr>
              <w:t>95</w:t>
            </w:r>
            <w:r w:rsidRPr="00FE1E17">
              <w:rPr>
                <w:sz w:val="22"/>
                <w:szCs w:val="22"/>
              </w:rPr>
              <w:t>%</w:t>
            </w:r>
          </w:p>
        </w:tc>
        <w:tc>
          <w:tcPr>
            <w:tcW w:w="1164" w:type="pct"/>
            <w:tcBorders>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17.32 (0.000)**</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10</w:t>
            </w:r>
            <w:r w:rsidRPr="00FE1E17">
              <w:rPr>
                <w:sz w:val="22"/>
                <w:szCs w:val="22"/>
              </w:rPr>
              <w:t>%</w:t>
            </w:r>
          </w:p>
        </w:tc>
        <w:tc>
          <w:tcPr>
            <w:tcW w:w="1033" w:type="pct"/>
            <w:tcBorders>
              <w:top w:val="nil"/>
              <w:left w:val="nil"/>
              <w:bottom w:val="nil"/>
              <w:right w:val="nil"/>
            </w:tcBorders>
            <w:shd w:val="clear" w:color="auto" w:fill="auto"/>
            <w:noWrap/>
          </w:tcPr>
          <w:p w:rsidR="00FE1E17" w:rsidRPr="00FE1E17" w:rsidRDefault="00FE1E17" w:rsidP="00583009">
            <w:pPr>
              <w:adjustRightInd w:val="0"/>
              <w:snapToGrid w:val="0"/>
              <w:jc w:val="center"/>
              <w:rPr>
                <w:sz w:val="22"/>
                <w:szCs w:val="22"/>
              </w:rPr>
            </w:pPr>
            <w:r w:rsidRPr="00FE1E17">
              <w:rPr>
                <w:sz w:val="22"/>
                <w:szCs w:val="22"/>
              </w:rPr>
              <w:t>-0.502 (0.000)**</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90</w:t>
            </w:r>
            <w:r w:rsidRPr="00FE1E17">
              <w:rPr>
                <w:sz w:val="22"/>
                <w:szCs w:val="22"/>
              </w:rPr>
              <w:t>%</w:t>
            </w:r>
          </w:p>
        </w:tc>
        <w:tc>
          <w:tcPr>
            <w:tcW w:w="1081" w:type="pct"/>
            <w:gridSpan w:val="2"/>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1.430 (0.027)*</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10</w:t>
            </w:r>
            <w:r w:rsidRPr="00FE1E17">
              <w:rPr>
                <w:sz w:val="22"/>
                <w:szCs w:val="22"/>
              </w:rPr>
              <w:t>%</w:t>
            </w:r>
            <w:r w:rsidRPr="00FE1E17">
              <w:rPr>
                <w:rFonts w:eastAsia="DFKai-SB"/>
                <w:sz w:val="22"/>
                <w:szCs w:val="22"/>
              </w:rPr>
              <w:t xml:space="preserve"> </w:t>
            </w:r>
            <w:r w:rsidRPr="00FE1E17">
              <w:rPr>
                <w:sz w:val="22"/>
                <w:szCs w:val="22"/>
              </w:rPr>
              <w:t xml:space="preserve">vs. </w:t>
            </w:r>
            <w:r w:rsidRPr="00FE1E17">
              <w:rPr>
                <w:rFonts w:eastAsia="DFKai-SB"/>
                <w:sz w:val="22"/>
                <w:szCs w:val="22"/>
              </w:rPr>
              <w:t>90</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9.32 (0.002)**</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15</w:t>
            </w:r>
            <w:r w:rsidRPr="00FE1E17">
              <w:rPr>
                <w:sz w:val="22"/>
                <w:szCs w:val="22"/>
              </w:rPr>
              <w:t>%</w:t>
            </w:r>
          </w:p>
        </w:tc>
        <w:tc>
          <w:tcPr>
            <w:tcW w:w="1033" w:type="pct"/>
            <w:tcBorders>
              <w:top w:val="nil"/>
              <w:left w:val="nil"/>
              <w:bottom w:val="nil"/>
              <w:right w:val="nil"/>
            </w:tcBorders>
            <w:shd w:val="clear" w:color="auto" w:fill="auto"/>
            <w:noWrap/>
          </w:tcPr>
          <w:p w:rsidR="00FE1E17" w:rsidRPr="00FE1E17" w:rsidRDefault="00FE1E17" w:rsidP="00583009">
            <w:pPr>
              <w:adjustRightInd w:val="0"/>
              <w:snapToGrid w:val="0"/>
              <w:jc w:val="center"/>
              <w:rPr>
                <w:sz w:val="22"/>
                <w:szCs w:val="22"/>
              </w:rPr>
            </w:pPr>
            <w:r w:rsidRPr="00FE1E17">
              <w:rPr>
                <w:sz w:val="22"/>
                <w:szCs w:val="22"/>
              </w:rPr>
              <w:t>-0.430 (0.000)**</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85</w:t>
            </w:r>
            <w:r w:rsidRPr="00FE1E17">
              <w:rPr>
                <w:sz w:val="22"/>
                <w:szCs w:val="22"/>
              </w:rPr>
              <w:t>%</w:t>
            </w:r>
          </w:p>
        </w:tc>
        <w:tc>
          <w:tcPr>
            <w:tcW w:w="1081" w:type="pct"/>
            <w:gridSpan w:val="2"/>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0.475 (0.162)</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85</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7.590 (0.006)**</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-0.435 (0.000)**</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80</w:t>
            </w:r>
            <w:r w:rsidRPr="00FE1E17">
              <w:rPr>
                <w:sz w:val="22"/>
                <w:szCs w:val="22"/>
              </w:rPr>
              <w:t>%</w:t>
            </w:r>
          </w:p>
        </w:tc>
        <w:tc>
          <w:tcPr>
            <w:tcW w:w="1081" w:type="pct"/>
            <w:gridSpan w:val="2"/>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0.215 (0.294)</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80</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10.07 (0.002)**</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25</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-0.367 (0.000)**</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75</w:t>
            </w:r>
            <w:r w:rsidRPr="00FE1E17">
              <w:rPr>
                <w:sz w:val="22"/>
                <w:szCs w:val="22"/>
              </w:rPr>
              <w:t>%</w:t>
            </w:r>
          </w:p>
        </w:tc>
        <w:tc>
          <w:tcPr>
            <w:tcW w:w="1081" w:type="pct"/>
            <w:gridSpan w:val="2"/>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0.034 (0.828)</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75</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5.70 (0.017)*</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-0.344 (0.000)**</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70</w:t>
            </w:r>
            <w:r w:rsidRPr="00FE1E17">
              <w:rPr>
                <w:sz w:val="22"/>
                <w:szCs w:val="22"/>
              </w:rPr>
              <w:t>%</w:t>
            </w:r>
          </w:p>
        </w:tc>
        <w:tc>
          <w:tcPr>
            <w:tcW w:w="1081" w:type="pct"/>
            <w:gridSpan w:val="2"/>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-0.085 (0.380)</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70</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4.69 (0.030)*</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35</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-0.291 (0.000)**</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65</w:t>
            </w:r>
            <w:r w:rsidRPr="00FE1E17">
              <w:rPr>
                <w:sz w:val="22"/>
                <w:szCs w:val="22"/>
              </w:rPr>
              <w:t>%</w:t>
            </w:r>
          </w:p>
        </w:tc>
        <w:tc>
          <w:tcPr>
            <w:tcW w:w="1081" w:type="pct"/>
            <w:gridSpan w:val="2"/>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-0.078 (0.141)</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65</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5.71 (0.017)*</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-0.229 (0.001)**</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60</w:t>
            </w:r>
            <w:r w:rsidRPr="00FE1E17">
              <w:rPr>
                <w:sz w:val="22"/>
                <w:szCs w:val="22"/>
              </w:rPr>
              <w:t>%</w:t>
            </w:r>
          </w:p>
        </w:tc>
        <w:tc>
          <w:tcPr>
            <w:tcW w:w="1081" w:type="pct"/>
            <w:gridSpan w:val="2"/>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-0.099 (0.020)*</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60</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4.87 (0.027)*</w:t>
            </w:r>
          </w:p>
        </w:tc>
      </w:tr>
      <w:tr w:rsidR="00FE1E17" w:rsidRPr="00FE1E17" w:rsidTr="00583009">
        <w:trPr>
          <w:trHeight w:val="397"/>
        </w:trPr>
        <w:tc>
          <w:tcPr>
            <w:tcW w:w="514"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45</w:t>
            </w:r>
            <w:r w:rsidRPr="00FE1E17">
              <w:rPr>
                <w:sz w:val="22"/>
                <w:szCs w:val="22"/>
              </w:rPr>
              <w:t>%</w:t>
            </w:r>
          </w:p>
        </w:tc>
        <w:tc>
          <w:tcPr>
            <w:tcW w:w="1033"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-0.169 (0.010)**</w:t>
            </w:r>
          </w:p>
        </w:tc>
        <w:tc>
          <w:tcPr>
            <w:tcW w:w="509"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55</w:t>
            </w:r>
            <w:r w:rsidRPr="00FE1E17">
              <w:rPr>
                <w:sz w:val="22"/>
                <w:szCs w:val="22"/>
              </w:rPr>
              <w:t>%</w:t>
            </w:r>
          </w:p>
        </w:tc>
        <w:tc>
          <w:tcPr>
            <w:tcW w:w="1081" w:type="pct"/>
            <w:gridSpan w:val="2"/>
            <w:tcBorders>
              <w:top w:val="nil"/>
              <w:left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-0.149 (0.010)**</w:t>
            </w:r>
          </w:p>
        </w:tc>
        <w:tc>
          <w:tcPr>
            <w:tcW w:w="699" w:type="pct"/>
            <w:tcBorders>
              <w:top w:val="nil"/>
              <w:left w:val="single" w:sz="12" w:space="0" w:color="auto"/>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55</w:t>
            </w:r>
            <w:r w:rsidRPr="00FE1E17">
              <w:rPr>
                <w:sz w:val="22"/>
                <w:szCs w:val="22"/>
              </w:rPr>
              <w:t>%</w:t>
            </w:r>
          </w:p>
        </w:tc>
        <w:tc>
          <w:tcPr>
            <w:tcW w:w="1164"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0.45 (0.500)</w:t>
            </w:r>
          </w:p>
        </w:tc>
      </w:tr>
      <w:tr w:rsidR="00FE1E17" w:rsidRPr="00FE1E17" w:rsidTr="00583009">
        <w:trPr>
          <w:trHeight w:val="397"/>
        </w:trPr>
        <w:tc>
          <w:tcPr>
            <w:tcW w:w="514"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b/>
                <w:sz w:val="22"/>
                <w:szCs w:val="22"/>
              </w:rPr>
            </w:pPr>
            <w:r w:rsidRPr="00FE1E17">
              <w:rPr>
                <w:rFonts w:eastAsia="DFKai-SB"/>
                <w:b/>
                <w:sz w:val="22"/>
                <w:szCs w:val="22"/>
              </w:rPr>
              <w:t>50</w:t>
            </w:r>
            <w:r w:rsidRPr="00FE1E17">
              <w:rPr>
                <w:b/>
                <w:sz w:val="22"/>
                <w:szCs w:val="22"/>
              </w:rPr>
              <w:t>%</w:t>
            </w:r>
          </w:p>
        </w:tc>
        <w:tc>
          <w:tcPr>
            <w:tcW w:w="1033"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-0.170 (0.000)**</w:t>
            </w:r>
          </w:p>
        </w:tc>
        <w:tc>
          <w:tcPr>
            <w:tcW w:w="509"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rFonts w:eastAsia="DFKai-SB"/>
                <w:b/>
                <w:sz w:val="22"/>
                <w:szCs w:val="22"/>
              </w:rPr>
            </w:pPr>
            <w:r w:rsidRPr="00FE1E17">
              <w:rPr>
                <w:rFonts w:eastAsia="DFKai-SB"/>
                <w:b/>
                <w:sz w:val="22"/>
                <w:szCs w:val="22"/>
              </w:rPr>
              <w:t>OLS</w:t>
            </w:r>
          </w:p>
        </w:tc>
        <w:tc>
          <w:tcPr>
            <w:tcW w:w="1081" w:type="pct"/>
            <w:gridSpan w:val="2"/>
            <w:tcBorders>
              <w:top w:val="nil"/>
              <w:left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0.211 (0.000)**</w:t>
            </w:r>
          </w:p>
        </w:tc>
        <w:tc>
          <w:tcPr>
            <w:tcW w:w="699" w:type="pct"/>
            <w:tcBorders>
              <w:top w:val="nil"/>
              <w:left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c>
          <w:tcPr>
            <w:tcW w:w="1164"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r>
      <w:tr w:rsidR="00FE1E17" w:rsidRPr="00FE1E17" w:rsidTr="00583009">
        <w:trPr>
          <w:trHeight w:val="397"/>
        </w:trPr>
        <w:tc>
          <w:tcPr>
            <w:tcW w:w="3137" w:type="pct"/>
            <w:gridSpan w:val="5"/>
            <w:tcBorders>
              <w:left w:val="nil"/>
              <w:right w:val="single" w:sz="12" w:space="0" w:color="auto"/>
            </w:tcBorders>
            <w:shd w:val="clear" w:color="auto" w:fill="auto"/>
            <w:noWrap/>
            <w:vAlign w:val="center"/>
          </w:tcPr>
          <w:p w:rsidR="00FE1E17" w:rsidRPr="008B5B2B" w:rsidRDefault="00FE1E17" w:rsidP="00583009">
            <w:pPr>
              <w:adjustRightInd w:val="0"/>
              <w:snapToGrid w:val="0"/>
              <w:rPr>
                <w:sz w:val="22"/>
                <w:szCs w:val="22"/>
              </w:rPr>
            </w:pPr>
            <w:r w:rsidRPr="008B5B2B">
              <w:rPr>
                <w:rFonts w:eastAsia="DFKai-SB"/>
                <w:sz w:val="22"/>
                <w:szCs w:val="22"/>
              </w:rPr>
              <w:t xml:space="preserve">Panel B: </w:t>
            </w:r>
            <w:r w:rsidRPr="008B5B2B">
              <w:rPr>
                <w:sz w:val="22"/>
                <w:szCs w:val="22"/>
              </w:rPr>
              <w:t xml:space="preserve">Low equity-based compensation </w:t>
            </w:r>
          </w:p>
        </w:tc>
        <w:tc>
          <w:tcPr>
            <w:tcW w:w="699" w:type="pct"/>
            <w:tcBorders>
              <w:left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c>
          <w:tcPr>
            <w:tcW w:w="1164" w:type="pct"/>
            <w:tcBorders>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r>
      <w:tr w:rsidR="00FE1E17" w:rsidRPr="00FE1E17" w:rsidTr="00583009">
        <w:trPr>
          <w:trHeight w:val="397"/>
        </w:trPr>
        <w:tc>
          <w:tcPr>
            <w:tcW w:w="514" w:type="pct"/>
            <w:tcBorders>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5</w:t>
            </w:r>
            <w:r w:rsidRPr="00FE1E17">
              <w:rPr>
                <w:sz w:val="22"/>
                <w:szCs w:val="22"/>
              </w:rPr>
              <w:t>%</w:t>
            </w:r>
          </w:p>
        </w:tc>
        <w:tc>
          <w:tcPr>
            <w:tcW w:w="1033" w:type="pct"/>
            <w:tcBorders>
              <w:left w:val="nil"/>
              <w:bottom w:val="nil"/>
              <w:right w:val="nil"/>
            </w:tcBorders>
            <w:shd w:val="clear" w:color="auto" w:fill="auto"/>
            <w:noWrap/>
          </w:tcPr>
          <w:p w:rsidR="00FE1E17" w:rsidRPr="00FE1E17" w:rsidRDefault="00FE1E17" w:rsidP="00583009">
            <w:pPr>
              <w:adjustRightInd w:val="0"/>
              <w:snapToGrid w:val="0"/>
              <w:spacing w:before="120"/>
              <w:jc w:val="center"/>
              <w:rPr>
                <w:sz w:val="22"/>
                <w:szCs w:val="22"/>
              </w:rPr>
            </w:pPr>
            <w:r w:rsidRPr="00FE1E17">
              <w:rPr>
                <w:sz w:val="22"/>
                <w:szCs w:val="22"/>
              </w:rPr>
              <w:t>-0.616 (0.000)**</w:t>
            </w:r>
          </w:p>
        </w:tc>
        <w:tc>
          <w:tcPr>
            <w:tcW w:w="513" w:type="pct"/>
            <w:gridSpan w:val="2"/>
            <w:tcBorders>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95</w:t>
            </w:r>
            <w:r w:rsidRPr="00FE1E17">
              <w:rPr>
                <w:sz w:val="22"/>
                <w:szCs w:val="22"/>
              </w:rPr>
              <w:t>%</w:t>
            </w:r>
          </w:p>
        </w:tc>
        <w:tc>
          <w:tcPr>
            <w:tcW w:w="1077" w:type="pct"/>
            <w:tcBorders>
              <w:left w:val="nil"/>
              <w:bottom w:val="nil"/>
              <w:right w:val="single" w:sz="12" w:space="0" w:color="auto"/>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sz w:val="22"/>
                <w:szCs w:val="22"/>
              </w:rPr>
              <w:t>1.213 (0.001)**</w:t>
            </w:r>
          </w:p>
        </w:tc>
        <w:tc>
          <w:tcPr>
            <w:tcW w:w="699" w:type="pct"/>
            <w:tcBorders>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5</w:t>
            </w:r>
            <w:r w:rsidRPr="00FE1E17">
              <w:rPr>
                <w:sz w:val="22"/>
                <w:szCs w:val="22"/>
              </w:rPr>
              <w:t>%</w:t>
            </w:r>
            <w:r w:rsidRPr="00FE1E17">
              <w:rPr>
                <w:rFonts w:eastAsia="DFKai-SB"/>
                <w:sz w:val="22"/>
                <w:szCs w:val="22"/>
              </w:rPr>
              <w:t xml:space="preserve"> </w:t>
            </w:r>
            <w:r w:rsidRPr="00FE1E17">
              <w:rPr>
                <w:sz w:val="22"/>
                <w:szCs w:val="22"/>
              </w:rPr>
              <w:t xml:space="preserve">vs. </w:t>
            </w:r>
            <w:r w:rsidRPr="00FE1E17">
              <w:rPr>
                <w:rFonts w:eastAsia="DFKai-SB"/>
                <w:sz w:val="22"/>
                <w:szCs w:val="22"/>
              </w:rPr>
              <w:t>95</w:t>
            </w:r>
            <w:r w:rsidRPr="00FE1E17">
              <w:rPr>
                <w:sz w:val="22"/>
                <w:szCs w:val="22"/>
              </w:rPr>
              <w:t>%</w:t>
            </w:r>
          </w:p>
        </w:tc>
        <w:tc>
          <w:tcPr>
            <w:tcW w:w="1164" w:type="pct"/>
            <w:tcBorders>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25.20 (0.000)**</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10</w:t>
            </w:r>
            <w:r w:rsidRPr="00FE1E17">
              <w:rPr>
                <w:sz w:val="22"/>
                <w:szCs w:val="22"/>
              </w:rPr>
              <w:t>%</w:t>
            </w:r>
          </w:p>
        </w:tc>
        <w:tc>
          <w:tcPr>
            <w:tcW w:w="1033" w:type="pct"/>
            <w:tcBorders>
              <w:top w:val="nil"/>
              <w:left w:val="nil"/>
              <w:bottom w:val="nil"/>
              <w:right w:val="nil"/>
            </w:tcBorders>
            <w:shd w:val="clear" w:color="auto" w:fill="auto"/>
            <w:noWrap/>
          </w:tcPr>
          <w:p w:rsidR="00FE1E17" w:rsidRPr="00FE1E17" w:rsidRDefault="00FE1E17" w:rsidP="00583009">
            <w:pPr>
              <w:adjustRightInd w:val="0"/>
              <w:snapToGrid w:val="0"/>
              <w:spacing w:before="120"/>
              <w:jc w:val="center"/>
              <w:rPr>
                <w:sz w:val="22"/>
                <w:szCs w:val="22"/>
              </w:rPr>
            </w:pPr>
            <w:r w:rsidRPr="00FE1E17">
              <w:rPr>
                <w:sz w:val="22"/>
                <w:szCs w:val="22"/>
              </w:rPr>
              <w:t>-0.613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90</w:t>
            </w:r>
            <w:r w:rsidRPr="00FE1E17">
              <w:rPr>
                <w:sz w:val="22"/>
                <w:szCs w:val="22"/>
              </w:rPr>
              <w:t>%</w:t>
            </w:r>
          </w:p>
        </w:tc>
        <w:tc>
          <w:tcPr>
            <w:tcW w:w="1077"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sz w:val="22"/>
                <w:szCs w:val="22"/>
              </w:rPr>
              <w:t>0.939 (0.037)*</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90</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10.91 (0.001)**</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15</w:t>
            </w:r>
            <w:r w:rsidRPr="00FE1E17">
              <w:rPr>
                <w:sz w:val="22"/>
                <w:szCs w:val="22"/>
              </w:rPr>
              <w:t>%</w:t>
            </w:r>
          </w:p>
        </w:tc>
        <w:tc>
          <w:tcPr>
            <w:tcW w:w="1033" w:type="pct"/>
            <w:tcBorders>
              <w:top w:val="nil"/>
              <w:left w:val="nil"/>
              <w:bottom w:val="nil"/>
              <w:right w:val="nil"/>
            </w:tcBorders>
            <w:shd w:val="clear" w:color="auto" w:fill="auto"/>
            <w:noWrap/>
          </w:tcPr>
          <w:p w:rsidR="00FE1E17" w:rsidRPr="00FE1E17" w:rsidRDefault="00FE1E17" w:rsidP="00583009">
            <w:pPr>
              <w:adjustRightInd w:val="0"/>
              <w:snapToGrid w:val="0"/>
              <w:spacing w:before="120"/>
              <w:jc w:val="center"/>
              <w:rPr>
                <w:sz w:val="22"/>
                <w:szCs w:val="22"/>
              </w:rPr>
            </w:pPr>
            <w:r w:rsidRPr="00FE1E17">
              <w:rPr>
                <w:sz w:val="22"/>
                <w:szCs w:val="22"/>
              </w:rPr>
              <w:t>-0.661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85</w:t>
            </w:r>
            <w:r w:rsidRPr="00FE1E17">
              <w:rPr>
                <w:sz w:val="22"/>
                <w:szCs w:val="22"/>
              </w:rPr>
              <w:t>%</w:t>
            </w:r>
          </w:p>
        </w:tc>
        <w:tc>
          <w:tcPr>
            <w:tcW w:w="1077"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sz w:val="22"/>
                <w:szCs w:val="22"/>
              </w:rPr>
              <w:t>0.592 (0.015)*</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85</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25.79 (0.000)**</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-0.618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80</w:t>
            </w:r>
            <w:r w:rsidRPr="00FE1E17">
              <w:rPr>
                <w:sz w:val="22"/>
                <w:szCs w:val="22"/>
              </w:rPr>
              <w:t>%</w:t>
            </w:r>
          </w:p>
        </w:tc>
        <w:tc>
          <w:tcPr>
            <w:tcW w:w="1077"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0.364 (0.150)</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80</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15.03 (0.000)**</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25</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-0.559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75</w:t>
            </w:r>
            <w:r w:rsidRPr="00FE1E17">
              <w:rPr>
                <w:sz w:val="22"/>
                <w:szCs w:val="22"/>
              </w:rPr>
              <w:t>%</w:t>
            </w:r>
          </w:p>
        </w:tc>
        <w:tc>
          <w:tcPr>
            <w:tcW w:w="1077"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0.102 (0.603)</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75</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9.00 (0.003)**</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-0.526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70</w:t>
            </w:r>
            <w:r w:rsidRPr="00FE1E17">
              <w:rPr>
                <w:sz w:val="22"/>
                <w:szCs w:val="22"/>
              </w:rPr>
              <w:t>%</w:t>
            </w:r>
          </w:p>
        </w:tc>
        <w:tc>
          <w:tcPr>
            <w:tcW w:w="1077"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-0.015 (0.915)</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70</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8.59 (0.003)**</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35</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-0.410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65</w:t>
            </w:r>
            <w:r w:rsidRPr="00FE1E17">
              <w:rPr>
                <w:sz w:val="22"/>
                <w:szCs w:val="22"/>
              </w:rPr>
              <w:t>%</w:t>
            </w:r>
          </w:p>
        </w:tc>
        <w:tc>
          <w:tcPr>
            <w:tcW w:w="1077"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-0.092 (0.349)</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65</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9.90 (0.002)**</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-0.354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60</w:t>
            </w:r>
            <w:r w:rsidRPr="00FE1E17">
              <w:rPr>
                <w:sz w:val="22"/>
                <w:szCs w:val="22"/>
              </w:rPr>
              <w:t>%</w:t>
            </w:r>
          </w:p>
        </w:tc>
        <w:tc>
          <w:tcPr>
            <w:tcW w:w="1077"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-0.169 (0.084)</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60</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2.84 (0.092)</w:t>
            </w:r>
          </w:p>
        </w:tc>
      </w:tr>
      <w:tr w:rsidR="00FE1E17" w:rsidRPr="00FE1E17" w:rsidTr="00583009">
        <w:trPr>
          <w:trHeight w:val="397"/>
        </w:trPr>
        <w:tc>
          <w:tcPr>
            <w:tcW w:w="514"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45</w:t>
            </w:r>
            <w:r w:rsidRPr="00FE1E17">
              <w:rPr>
                <w:sz w:val="22"/>
                <w:szCs w:val="22"/>
              </w:rPr>
              <w:t>%</w:t>
            </w:r>
          </w:p>
        </w:tc>
        <w:tc>
          <w:tcPr>
            <w:tcW w:w="1033"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 xml:space="preserve">-0.317 </w:t>
            </w:r>
            <w:r w:rsidRPr="00FE1E17">
              <w:rPr>
                <w:sz w:val="22"/>
                <w:szCs w:val="22"/>
              </w:rPr>
              <w:tab/>
              <w:t>(0.000)**</w:t>
            </w:r>
          </w:p>
        </w:tc>
        <w:tc>
          <w:tcPr>
            <w:tcW w:w="513" w:type="pct"/>
            <w:gridSpan w:val="2"/>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55</w:t>
            </w:r>
            <w:r w:rsidRPr="00FE1E17">
              <w:rPr>
                <w:sz w:val="22"/>
                <w:szCs w:val="22"/>
              </w:rPr>
              <w:t>%</w:t>
            </w:r>
          </w:p>
        </w:tc>
        <w:tc>
          <w:tcPr>
            <w:tcW w:w="1077" w:type="pct"/>
            <w:tcBorders>
              <w:top w:val="nil"/>
              <w:left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 xml:space="preserve">-0.236 </w:t>
            </w:r>
            <w:r w:rsidRPr="00FE1E17">
              <w:rPr>
                <w:sz w:val="22"/>
                <w:szCs w:val="22"/>
              </w:rPr>
              <w:tab/>
              <w:t>(0.000)**</w:t>
            </w:r>
          </w:p>
        </w:tc>
        <w:tc>
          <w:tcPr>
            <w:tcW w:w="699" w:type="pct"/>
            <w:tcBorders>
              <w:top w:val="nil"/>
              <w:left w:val="single" w:sz="12" w:space="0" w:color="auto"/>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55</w:t>
            </w:r>
            <w:r w:rsidRPr="00FE1E17">
              <w:rPr>
                <w:sz w:val="22"/>
                <w:szCs w:val="22"/>
              </w:rPr>
              <w:t>%</w:t>
            </w:r>
          </w:p>
        </w:tc>
        <w:tc>
          <w:tcPr>
            <w:tcW w:w="1164"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1.630 (0.202)</w:t>
            </w:r>
          </w:p>
        </w:tc>
      </w:tr>
      <w:tr w:rsidR="00FE1E17" w:rsidRPr="00FE1E17" w:rsidTr="00583009">
        <w:trPr>
          <w:trHeight w:val="397"/>
        </w:trPr>
        <w:tc>
          <w:tcPr>
            <w:tcW w:w="514"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b/>
                <w:sz w:val="22"/>
                <w:szCs w:val="22"/>
              </w:rPr>
            </w:pPr>
            <w:r w:rsidRPr="00FE1E17">
              <w:rPr>
                <w:rFonts w:eastAsia="DFKai-SB"/>
                <w:b/>
                <w:sz w:val="22"/>
                <w:szCs w:val="22"/>
              </w:rPr>
              <w:t>50</w:t>
            </w:r>
            <w:r w:rsidRPr="00FE1E17">
              <w:rPr>
                <w:b/>
                <w:sz w:val="22"/>
                <w:szCs w:val="22"/>
              </w:rPr>
              <w:t>%</w:t>
            </w:r>
          </w:p>
        </w:tc>
        <w:tc>
          <w:tcPr>
            <w:tcW w:w="1033"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 xml:space="preserve">-0.274 </w:t>
            </w:r>
            <w:r w:rsidRPr="00FE1E17">
              <w:rPr>
                <w:sz w:val="22"/>
                <w:szCs w:val="22"/>
              </w:rPr>
              <w:tab/>
              <w:t>(0.000)**</w:t>
            </w:r>
          </w:p>
        </w:tc>
        <w:tc>
          <w:tcPr>
            <w:tcW w:w="513" w:type="pct"/>
            <w:gridSpan w:val="2"/>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b/>
                <w:sz w:val="22"/>
                <w:szCs w:val="22"/>
              </w:rPr>
            </w:pPr>
            <w:r w:rsidRPr="00FE1E17">
              <w:rPr>
                <w:rFonts w:eastAsia="DFKai-SB"/>
                <w:b/>
                <w:sz w:val="22"/>
                <w:szCs w:val="22"/>
              </w:rPr>
              <w:t>OLS</w:t>
            </w:r>
          </w:p>
        </w:tc>
        <w:tc>
          <w:tcPr>
            <w:tcW w:w="1077" w:type="pct"/>
            <w:tcBorders>
              <w:top w:val="nil"/>
              <w:left w:val="nil"/>
              <w:bottom w:val="single" w:sz="12" w:space="0" w:color="auto"/>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 xml:space="preserve">0.156 </w:t>
            </w:r>
            <w:r w:rsidRPr="00FE1E17">
              <w:rPr>
                <w:sz w:val="22"/>
                <w:szCs w:val="22"/>
              </w:rPr>
              <w:tab/>
              <w:t>(0.101)**</w:t>
            </w:r>
          </w:p>
        </w:tc>
        <w:tc>
          <w:tcPr>
            <w:tcW w:w="699" w:type="pct"/>
            <w:tcBorders>
              <w:top w:val="nil"/>
              <w:left w:val="single" w:sz="12" w:space="0" w:color="auto"/>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 xml:space="preserve">　</w:t>
            </w:r>
          </w:p>
        </w:tc>
        <w:tc>
          <w:tcPr>
            <w:tcW w:w="1164"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r>
    </w:tbl>
    <w:p w:rsidR="00FE1E17" w:rsidRPr="00754050" w:rsidRDefault="00FE1E17" w:rsidP="00FE1E17">
      <w:pPr>
        <w:adjustRightInd w:val="0"/>
        <w:snapToGrid w:val="0"/>
        <w:spacing w:before="120"/>
        <w:rPr>
          <w:sz w:val="20"/>
          <w:szCs w:val="20"/>
        </w:rPr>
      </w:pPr>
      <w:r w:rsidRPr="00754050">
        <w:rPr>
          <w:i/>
          <w:sz w:val="20"/>
          <w:szCs w:val="20"/>
        </w:rPr>
        <w:t>Notes:</w:t>
      </w:r>
      <w:r w:rsidRPr="00754050">
        <w:rPr>
          <w:sz w:val="20"/>
          <w:szCs w:val="20"/>
        </w:rPr>
        <w:t xml:space="preserve"> The ** and * denote a 1% and a 5% level of significance, respectively.</w:t>
      </w:r>
    </w:p>
    <w:p w:rsidR="006B555F" w:rsidRPr="00403A8F" w:rsidRDefault="006B555F" w:rsidP="006B555F">
      <w:pPr>
        <w:snapToGrid w:val="0"/>
        <w:spacing w:line="0" w:lineRule="atLeast"/>
        <w:jc w:val="center"/>
        <w:rPr>
          <w:rFonts w:eastAsia="DFKai-SB"/>
          <w:b/>
          <w:sz w:val="22"/>
          <w:szCs w:val="22"/>
        </w:rPr>
      </w:pPr>
      <w:r w:rsidRPr="00403A8F">
        <w:rPr>
          <w:rFonts w:eastAsia="DFKai-SB"/>
          <w:b/>
          <w:sz w:val="22"/>
          <w:szCs w:val="22"/>
        </w:rPr>
        <w:lastRenderedPageBreak/>
        <w:t>Figure 4</w:t>
      </w:r>
      <w:r w:rsidR="00754050">
        <w:rPr>
          <w:rFonts w:eastAsia="DFKai-SB"/>
          <w:b/>
          <w:sz w:val="22"/>
          <w:szCs w:val="22"/>
        </w:rPr>
        <w:t xml:space="preserve">: </w:t>
      </w:r>
      <w:r w:rsidR="00EC2448">
        <w:rPr>
          <w:rFonts w:eastAsia="DFKai-SB"/>
          <w:b/>
          <w:sz w:val="22"/>
          <w:szCs w:val="22"/>
        </w:rPr>
        <w:t>The QR and OLS E</w:t>
      </w:r>
      <w:r w:rsidRPr="00403A8F">
        <w:rPr>
          <w:rFonts w:eastAsia="DFKai-SB"/>
          <w:b/>
          <w:sz w:val="22"/>
          <w:szCs w:val="22"/>
        </w:rPr>
        <w:t xml:space="preserve">stimates of </w:t>
      </w:r>
      <w:r w:rsidRPr="00403A8F">
        <w:rPr>
          <w:rFonts w:eastAsia="DFKai-SB"/>
          <w:b/>
          <w:i/>
          <w:sz w:val="22"/>
          <w:szCs w:val="22"/>
        </w:rPr>
        <w:t>|DA|</w:t>
      </w:r>
      <w:r w:rsidR="00EC2448">
        <w:rPr>
          <w:b/>
          <w:sz w:val="22"/>
          <w:szCs w:val="22"/>
        </w:rPr>
        <w:t xml:space="preserve"> Across Various Q</w:t>
      </w:r>
      <w:r w:rsidRPr="00403A8F">
        <w:rPr>
          <w:b/>
          <w:sz w:val="22"/>
          <w:szCs w:val="22"/>
        </w:rPr>
        <w:t>uantiles</w:t>
      </w:r>
      <w:r w:rsidR="00EC2448">
        <w:rPr>
          <w:rFonts w:eastAsia="DFKai-SB"/>
          <w:b/>
          <w:sz w:val="22"/>
          <w:szCs w:val="22"/>
        </w:rPr>
        <w:t xml:space="preserve"> of Stock R</w:t>
      </w:r>
      <w:r w:rsidRPr="00403A8F">
        <w:rPr>
          <w:rFonts w:eastAsia="DFKai-SB"/>
          <w:b/>
          <w:sz w:val="22"/>
          <w:szCs w:val="22"/>
        </w:rPr>
        <w:t xml:space="preserve">eturns: </w:t>
      </w:r>
    </w:p>
    <w:p w:rsidR="006B555F" w:rsidRPr="00403A8F" w:rsidRDefault="006B555F" w:rsidP="006B555F">
      <w:pPr>
        <w:snapToGrid w:val="0"/>
        <w:spacing w:line="0" w:lineRule="atLeast"/>
        <w:jc w:val="center"/>
        <w:rPr>
          <w:b/>
          <w:sz w:val="22"/>
          <w:szCs w:val="22"/>
        </w:rPr>
      </w:pPr>
      <w:r w:rsidRPr="00403A8F">
        <w:rPr>
          <w:rFonts w:hint="eastAsia"/>
          <w:b/>
          <w:sz w:val="22"/>
          <w:szCs w:val="22"/>
        </w:rPr>
        <w:t xml:space="preserve">High </w:t>
      </w:r>
      <w:r w:rsidR="00EC2448">
        <w:rPr>
          <w:rFonts w:eastAsia="DFKai-SB"/>
          <w:b/>
          <w:sz w:val="22"/>
          <w:szCs w:val="22"/>
        </w:rPr>
        <w:t>versus</w:t>
      </w:r>
      <w:r w:rsidRPr="00403A8F">
        <w:rPr>
          <w:rFonts w:eastAsia="DFKai-SB"/>
          <w:b/>
          <w:sz w:val="22"/>
          <w:szCs w:val="22"/>
        </w:rPr>
        <w:t xml:space="preserve"> </w:t>
      </w:r>
      <w:r w:rsidR="00EC2448">
        <w:rPr>
          <w:b/>
          <w:sz w:val="22"/>
          <w:szCs w:val="22"/>
        </w:rPr>
        <w:t>L</w:t>
      </w:r>
      <w:r w:rsidRPr="00403A8F">
        <w:rPr>
          <w:rFonts w:hint="eastAsia"/>
          <w:b/>
          <w:sz w:val="22"/>
          <w:szCs w:val="22"/>
        </w:rPr>
        <w:t xml:space="preserve">ow </w:t>
      </w:r>
      <w:r w:rsidR="00EC2448">
        <w:rPr>
          <w:b/>
          <w:sz w:val="22"/>
          <w:szCs w:val="22"/>
        </w:rPr>
        <w:t>L</w:t>
      </w:r>
      <w:r w:rsidR="00EC2448">
        <w:rPr>
          <w:rFonts w:hint="eastAsia"/>
          <w:b/>
          <w:sz w:val="22"/>
          <w:szCs w:val="22"/>
        </w:rPr>
        <w:t xml:space="preserve">evel of </w:t>
      </w:r>
      <w:r w:rsidR="00EC2448">
        <w:rPr>
          <w:b/>
          <w:sz w:val="22"/>
          <w:szCs w:val="22"/>
        </w:rPr>
        <w:t>E</w:t>
      </w:r>
      <w:r w:rsidR="00EC2448">
        <w:rPr>
          <w:rFonts w:hint="eastAsia"/>
          <w:b/>
          <w:sz w:val="22"/>
          <w:szCs w:val="22"/>
        </w:rPr>
        <w:t>quity-</w:t>
      </w:r>
      <w:r w:rsidR="00EC2448">
        <w:rPr>
          <w:b/>
          <w:sz w:val="22"/>
          <w:szCs w:val="22"/>
        </w:rPr>
        <w:t>B</w:t>
      </w:r>
      <w:r w:rsidR="00EC2448">
        <w:rPr>
          <w:rFonts w:hint="eastAsia"/>
          <w:b/>
          <w:sz w:val="22"/>
          <w:szCs w:val="22"/>
        </w:rPr>
        <w:t xml:space="preserve">ased </w:t>
      </w:r>
      <w:r w:rsidR="00EC2448">
        <w:rPr>
          <w:b/>
          <w:sz w:val="22"/>
          <w:szCs w:val="22"/>
        </w:rPr>
        <w:t>C</w:t>
      </w:r>
      <w:r w:rsidRPr="00403A8F">
        <w:rPr>
          <w:rFonts w:hint="eastAsia"/>
          <w:b/>
          <w:sz w:val="22"/>
          <w:szCs w:val="22"/>
        </w:rPr>
        <w:t>ompensation</w:t>
      </w:r>
    </w:p>
    <w:p w:rsidR="006B555F" w:rsidRPr="00403A8F" w:rsidRDefault="006B555F" w:rsidP="006B555F">
      <w:pPr>
        <w:widowControl/>
        <w:rPr>
          <w:rFonts w:eastAsia="DFKai-SB"/>
          <w:b/>
          <w:sz w:val="22"/>
          <w:szCs w:val="22"/>
        </w:rPr>
      </w:pPr>
    </w:p>
    <w:p w:rsidR="006B555F" w:rsidRPr="00403A8F" w:rsidRDefault="006B555F" w:rsidP="006B555F">
      <w:pPr>
        <w:snapToGrid w:val="0"/>
        <w:spacing w:line="0" w:lineRule="atLeast"/>
        <w:jc w:val="center"/>
        <w:rPr>
          <w:sz w:val="22"/>
          <w:szCs w:val="22"/>
        </w:rPr>
      </w:pPr>
      <w:r w:rsidRPr="00403A8F">
        <w:rPr>
          <w:rFonts w:eastAsia="DFKai-SB"/>
          <w:sz w:val="22"/>
          <w:szCs w:val="22"/>
        </w:rPr>
        <w:t xml:space="preserve">Panel A: </w:t>
      </w:r>
      <w:r w:rsidR="00EC2448">
        <w:rPr>
          <w:rFonts w:hint="eastAsia"/>
          <w:sz w:val="22"/>
          <w:szCs w:val="22"/>
        </w:rPr>
        <w:t xml:space="preserve">Firms </w:t>
      </w:r>
      <w:r w:rsidR="00EC2448">
        <w:rPr>
          <w:sz w:val="22"/>
          <w:szCs w:val="22"/>
        </w:rPr>
        <w:t>H</w:t>
      </w:r>
      <w:r w:rsidRPr="00403A8F">
        <w:rPr>
          <w:rFonts w:hint="eastAsia"/>
          <w:sz w:val="22"/>
          <w:szCs w:val="22"/>
        </w:rPr>
        <w:t xml:space="preserve">aving </w:t>
      </w:r>
      <w:r w:rsidR="00EC2448">
        <w:rPr>
          <w:sz w:val="22"/>
          <w:szCs w:val="22"/>
        </w:rPr>
        <w:t>H</w:t>
      </w:r>
      <w:r w:rsidRPr="00403A8F">
        <w:rPr>
          <w:sz w:val="22"/>
          <w:szCs w:val="22"/>
        </w:rPr>
        <w:t>igh</w:t>
      </w:r>
      <w:r w:rsidR="00EC2448">
        <w:rPr>
          <w:rFonts w:hint="eastAsia"/>
          <w:sz w:val="22"/>
          <w:szCs w:val="22"/>
        </w:rPr>
        <w:t xml:space="preserve"> </w:t>
      </w:r>
      <w:r w:rsidR="00EC2448">
        <w:rPr>
          <w:sz w:val="22"/>
          <w:szCs w:val="22"/>
        </w:rPr>
        <w:t>L</w:t>
      </w:r>
      <w:r w:rsidR="00EC2448">
        <w:rPr>
          <w:rFonts w:hint="eastAsia"/>
          <w:sz w:val="22"/>
          <w:szCs w:val="22"/>
        </w:rPr>
        <w:t xml:space="preserve">evel of </w:t>
      </w:r>
      <w:r w:rsidR="00EC2448">
        <w:rPr>
          <w:sz w:val="22"/>
          <w:szCs w:val="22"/>
        </w:rPr>
        <w:t>E</w:t>
      </w:r>
      <w:r w:rsidR="00EC2448">
        <w:rPr>
          <w:rFonts w:hint="eastAsia"/>
          <w:sz w:val="22"/>
          <w:szCs w:val="22"/>
        </w:rPr>
        <w:t>quity-</w:t>
      </w:r>
      <w:r w:rsidR="00EC2448">
        <w:rPr>
          <w:sz w:val="22"/>
          <w:szCs w:val="22"/>
        </w:rPr>
        <w:t>B</w:t>
      </w:r>
      <w:r w:rsidRPr="00403A8F">
        <w:rPr>
          <w:rFonts w:hint="eastAsia"/>
          <w:sz w:val="22"/>
          <w:szCs w:val="22"/>
        </w:rPr>
        <w:t xml:space="preserve">ased </w:t>
      </w:r>
      <w:r w:rsidR="00EC2448">
        <w:rPr>
          <w:sz w:val="22"/>
          <w:szCs w:val="22"/>
        </w:rPr>
        <w:t>C</w:t>
      </w:r>
      <w:r w:rsidRPr="00403A8F">
        <w:rPr>
          <w:sz w:val="22"/>
          <w:szCs w:val="22"/>
        </w:rPr>
        <w:t>ompensation</w:t>
      </w:r>
      <w:r w:rsidRPr="00403A8F">
        <w:rPr>
          <w:rFonts w:hint="eastAsia"/>
          <w:sz w:val="22"/>
          <w:szCs w:val="22"/>
        </w:rPr>
        <w:t xml:space="preserve"> </w:t>
      </w:r>
    </w:p>
    <w:p w:rsidR="006B555F" w:rsidRDefault="006B555F" w:rsidP="006B555F">
      <w:pPr>
        <w:snapToGrid w:val="0"/>
        <w:spacing w:line="0" w:lineRule="atLeast"/>
        <w:jc w:val="center"/>
      </w:pPr>
      <w:r>
        <w:rPr>
          <w:noProof/>
          <w:lang w:val="en-NZ" w:eastAsia="en-NZ"/>
        </w:rPr>
        <w:drawing>
          <wp:inline distT="0" distB="0" distL="0" distR="0" wp14:anchorId="4BB245BD" wp14:editId="112A2E71">
            <wp:extent cx="5486400" cy="3340735"/>
            <wp:effectExtent l="0" t="0" r="0" b="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B555F" w:rsidRDefault="006B555F" w:rsidP="006B555F">
      <w:pPr>
        <w:snapToGrid w:val="0"/>
        <w:spacing w:line="0" w:lineRule="atLeast"/>
        <w:jc w:val="center"/>
      </w:pPr>
    </w:p>
    <w:p w:rsidR="006B555F" w:rsidRPr="00403A8F" w:rsidRDefault="006B555F" w:rsidP="006B555F">
      <w:pPr>
        <w:snapToGrid w:val="0"/>
        <w:spacing w:line="0" w:lineRule="atLeast"/>
        <w:jc w:val="center"/>
        <w:rPr>
          <w:rFonts w:eastAsia="DFKai-SB"/>
          <w:b/>
          <w:sz w:val="22"/>
          <w:szCs w:val="22"/>
        </w:rPr>
      </w:pPr>
      <w:r w:rsidRPr="00403A8F">
        <w:rPr>
          <w:rFonts w:eastAsia="DFKai-SB"/>
          <w:sz w:val="22"/>
          <w:szCs w:val="22"/>
        </w:rPr>
        <w:t xml:space="preserve">Panel B: </w:t>
      </w:r>
      <w:r w:rsidR="00EC2448">
        <w:rPr>
          <w:rFonts w:hint="eastAsia"/>
          <w:sz w:val="22"/>
          <w:szCs w:val="22"/>
        </w:rPr>
        <w:t xml:space="preserve">Firms </w:t>
      </w:r>
      <w:r w:rsidR="00EC2448">
        <w:rPr>
          <w:sz w:val="22"/>
          <w:szCs w:val="22"/>
        </w:rPr>
        <w:t>H</w:t>
      </w:r>
      <w:r w:rsidR="00EC2448">
        <w:rPr>
          <w:rFonts w:hint="eastAsia"/>
          <w:sz w:val="22"/>
          <w:szCs w:val="22"/>
        </w:rPr>
        <w:t xml:space="preserve">aving </w:t>
      </w:r>
      <w:r w:rsidR="00EC2448">
        <w:rPr>
          <w:sz w:val="22"/>
          <w:szCs w:val="22"/>
        </w:rPr>
        <w:t>L</w:t>
      </w:r>
      <w:r w:rsidR="00EC2448">
        <w:rPr>
          <w:rFonts w:hint="eastAsia"/>
          <w:sz w:val="22"/>
          <w:szCs w:val="22"/>
        </w:rPr>
        <w:t xml:space="preserve">ow </w:t>
      </w:r>
      <w:r w:rsidR="00EC2448">
        <w:rPr>
          <w:sz w:val="22"/>
          <w:szCs w:val="22"/>
        </w:rPr>
        <w:t>L</w:t>
      </w:r>
      <w:r w:rsidR="00EC2448">
        <w:rPr>
          <w:rFonts w:hint="eastAsia"/>
          <w:sz w:val="22"/>
          <w:szCs w:val="22"/>
        </w:rPr>
        <w:t xml:space="preserve">evel of </w:t>
      </w:r>
      <w:r w:rsidR="00EC2448">
        <w:rPr>
          <w:sz w:val="22"/>
          <w:szCs w:val="22"/>
        </w:rPr>
        <w:t>E</w:t>
      </w:r>
      <w:r w:rsidR="00EC2448">
        <w:rPr>
          <w:rFonts w:hint="eastAsia"/>
          <w:sz w:val="22"/>
          <w:szCs w:val="22"/>
        </w:rPr>
        <w:t>quity-</w:t>
      </w:r>
      <w:r w:rsidR="00EC2448">
        <w:rPr>
          <w:sz w:val="22"/>
          <w:szCs w:val="22"/>
        </w:rPr>
        <w:t>B</w:t>
      </w:r>
      <w:r w:rsidR="00EC2448">
        <w:rPr>
          <w:rFonts w:hint="eastAsia"/>
          <w:sz w:val="22"/>
          <w:szCs w:val="22"/>
        </w:rPr>
        <w:t xml:space="preserve">ased </w:t>
      </w:r>
      <w:r w:rsidR="00EC2448">
        <w:rPr>
          <w:sz w:val="22"/>
          <w:szCs w:val="22"/>
        </w:rPr>
        <w:t>C</w:t>
      </w:r>
      <w:r w:rsidRPr="00403A8F">
        <w:rPr>
          <w:rFonts w:hint="eastAsia"/>
          <w:sz w:val="22"/>
          <w:szCs w:val="22"/>
        </w:rPr>
        <w:t xml:space="preserve">ompensation </w:t>
      </w:r>
    </w:p>
    <w:p w:rsidR="006B555F" w:rsidRDefault="006B555F" w:rsidP="006B555F">
      <w:pPr>
        <w:widowControl/>
        <w:spacing w:after="160" w:line="259" w:lineRule="auto"/>
        <w:rPr>
          <w:rFonts w:eastAsia="DFKai-SB"/>
          <w:b/>
        </w:rPr>
      </w:pPr>
      <w:r>
        <w:rPr>
          <w:noProof/>
          <w:lang w:val="en-NZ" w:eastAsia="en-NZ"/>
        </w:rPr>
        <w:drawing>
          <wp:inline distT="0" distB="0" distL="0" distR="0" wp14:anchorId="1A44632B" wp14:editId="4C9D325A">
            <wp:extent cx="5486400" cy="3335020"/>
            <wp:effectExtent l="0" t="0" r="0" b="0"/>
            <wp:docPr id="9"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bookmarkEnd w:id="3"/>
    <w:bookmarkEnd w:id="4"/>
    <w:bookmarkEnd w:id="5"/>
    <w:bookmarkEnd w:id="6"/>
    <w:p w:rsidR="00FE1E17" w:rsidRDefault="00FE1E17" w:rsidP="00FE1E17">
      <w:pPr>
        <w:widowControl/>
        <w:adjustRightInd w:val="0"/>
        <w:snapToGrid w:val="0"/>
        <w:spacing w:line="288" w:lineRule="auto"/>
        <w:jc w:val="center"/>
      </w:pPr>
    </w:p>
    <w:p w:rsidR="00FE1E17" w:rsidRPr="008126EB" w:rsidRDefault="00FE1E17" w:rsidP="00FE1E17">
      <w:pPr>
        <w:widowControl/>
        <w:adjustRightInd w:val="0"/>
        <w:snapToGrid w:val="0"/>
        <w:spacing w:line="288" w:lineRule="auto"/>
        <w:jc w:val="center"/>
      </w:pPr>
    </w:p>
    <w:p w:rsidR="00691B4A" w:rsidRDefault="00691B4A" w:rsidP="00FE1E17">
      <w:pPr>
        <w:keepNext/>
        <w:widowControl/>
        <w:adjustRightInd w:val="0"/>
        <w:snapToGrid w:val="0"/>
        <w:spacing w:line="288" w:lineRule="auto"/>
        <w:jc w:val="both"/>
        <w:rPr>
          <w:rFonts w:eastAsia="PMingLiU"/>
          <w:b/>
        </w:rPr>
      </w:pPr>
      <w:proofErr w:type="gramStart"/>
      <w:r w:rsidRPr="00754050">
        <w:rPr>
          <w:b/>
        </w:rPr>
        <w:lastRenderedPageBreak/>
        <w:t>6</w:t>
      </w:r>
      <w:r w:rsidRPr="00754050">
        <w:rPr>
          <w:rFonts w:hint="eastAsia"/>
          <w:b/>
        </w:rPr>
        <w:t>.</w:t>
      </w:r>
      <w:r w:rsidRPr="00754050">
        <w:rPr>
          <w:b/>
        </w:rPr>
        <w:t>2</w:t>
      </w:r>
      <w:r w:rsidRPr="00754050">
        <w:rPr>
          <w:rFonts w:hint="eastAsia"/>
          <w:b/>
        </w:rPr>
        <w:t xml:space="preserve"> </w:t>
      </w:r>
      <w:r w:rsidR="002A61C1">
        <w:rPr>
          <w:b/>
        </w:rPr>
        <w:t xml:space="preserve"> </w:t>
      </w:r>
      <w:r w:rsidR="00A1291E" w:rsidRPr="00754050">
        <w:rPr>
          <w:b/>
        </w:rPr>
        <w:t>Using</w:t>
      </w:r>
      <w:proofErr w:type="gramEnd"/>
      <w:r w:rsidR="00A1291E" w:rsidRPr="00754050">
        <w:rPr>
          <w:b/>
        </w:rPr>
        <w:t xml:space="preserve"> </w:t>
      </w:r>
      <w:r w:rsidR="00DB7CD1" w:rsidRPr="00754050">
        <w:rPr>
          <w:rFonts w:eastAsia="PMingLiU" w:hint="eastAsia"/>
          <w:b/>
        </w:rPr>
        <w:t>Tobin</w:t>
      </w:r>
      <w:r w:rsidR="00DB7CD1" w:rsidRPr="00754050">
        <w:rPr>
          <w:rFonts w:eastAsia="PMingLiU"/>
          <w:b/>
        </w:rPr>
        <w:t>’</w:t>
      </w:r>
      <w:r w:rsidR="00DB7CD1" w:rsidRPr="00754050">
        <w:rPr>
          <w:rFonts w:eastAsia="PMingLiU" w:hint="eastAsia"/>
          <w:b/>
        </w:rPr>
        <w:t xml:space="preserve">s </w:t>
      </w:r>
      <w:r w:rsidR="00D64207" w:rsidRPr="00754050">
        <w:rPr>
          <w:rFonts w:eastAsia="PMingLiU"/>
          <w:b/>
        </w:rPr>
        <w:t>q</w:t>
      </w:r>
      <w:r w:rsidR="00A1291E" w:rsidRPr="00754050">
        <w:rPr>
          <w:rFonts w:eastAsia="PMingLiU"/>
          <w:b/>
        </w:rPr>
        <w:t xml:space="preserve"> as an</w:t>
      </w:r>
      <w:r w:rsidR="00A1291E" w:rsidRPr="00754050">
        <w:rPr>
          <w:rFonts w:eastAsia="PMingLiU" w:hint="eastAsia"/>
          <w:b/>
        </w:rPr>
        <w:t xml:space="preserve"> </w:t>
      </w:r>
      <w:r w:rsidR="002A61C1">
        <w:rPr>
          <w:rFonts w:eastAsia="PMingLiU"/>
          <w:b/>
        </w:rPr>
        <w:t>A</w:t>
      </w:r>
      <w:r w:rsidR="001927FA" w:rsidRPr="00754050">
        <w:rPr>
          <w:rFonts w:eastAsia="PMingLiU" w:hint="eastAsia"/>
          <w:b/>
        </w:rPr>
        <w:t xml:space="preserve">lternative </w:t>
      </w:r>
      <w:r w:rsidR="002A61C1">
        <w:rPr>
          <w:rFonts w:eastAsia="PMingLiU"/>
          <w:b/>
        </w:rPr>
        <w:t>M</w:t>
      </w:r>
      <w:r w:rsidR="00A1291E" w:rsidRPr="00754050">
        <w:rPr>
          <w:rFonts w:eastAsia="PMingLiU"/>
          <w:b/>
        </w:rPr>
        <w:t xml:space="preserve">easure of </w:t>
      </w:r>
      <w:r w:rsidR="002A61C1">
        <w:rPr>
          <w:rFonts w:eastAsia="PMingLiU"/>
          <w:b/>
        </w:rPr>
        <w:t>F</w:t>
      </w:r>
      <w:r w:rsidR="002A61C1">
        <w:rPr>
          <w:rFonts w:eastAsia="PMingLiU" w:hint="eastAsia"/>
          <w:b/>
        </w:rPr>
        <w:t xml:space="preserve">irm </w:t>
      </w:r>
      <w:r w:rsidR="002A61C1">
        <w:rPr>
          <w:rFonts w:eastAsia="PMingLiU"/>
          <w:b/>
        </w:rPr>
        <w:t>P</w:t>
      </w:r>
      <w:r w:rsidR="001927FA" w:rsidRPr="00754050">
        <w:rPr>
          <w:rFonts w:eastAsia="PMingLiU" w:hint="eastAsia"/>
          <w:b/>
        </w:rPr>
        <w:t xml:space="preserve">erformance </w:t>
      </w:r>
    </w:p>
    <w:p w:rsidR="00A5381D" w:rsidRPr="00A5381D" w:rsidRDefault="00A5381D" w:rsidP="00FE1E17">
      <w:pPr>
        <w:keepNext/>
        <w:widowControl/>
        <w:adjustRightInd w:val="0"/>
        <w:snapToGrid w:val="0"/>
        <w:spacing w:line="288" w:lineRule="auto"/>
        <w:jc w:val="both"/>
        <w:rPr>
          <w:b/>
          <w:sz w:val="6"/>
          <w:szCs w:val="6"/>
        </w:rPr>
      </w:pPr>
    </w:p>
    <w:p w:rsidR="00691B4A" w:rsidRDefault="00A1291E" w:rsidP="00403A8F">
      <w:pPr>
        <w:widowControl/>
        <w:adjustRightInd w:val="0"/>
        <w:snapToGrid w:val="0"/>
        <w:spacing w:line="288" w:lineRule="auto"/>
        <w:jc w:val="both"/>
      </w:pPr>
      <w:r>
        <w:t>In this subsection, w</w:t>
      </w:r>
      <w:r w:rsidRPr="008126EB">
        <w:t xml:space="preserve">e </w:t>
      </w:r>
      <w:r w:rsidR="001927FA" w:rsidRPr="008126EB">
        <w:rPr>
          <w:rFonts w:eastAsia="PMingLiU" w:hint="eastAsia"/>
        </w:rPr>
        <w:t>re</w:t>
      </w:r>
      <w:r w:rsidR="005B017A">
        <w:rPr>
          <w:rFonts w:eastAsia="PMingLiU"/>
        </w:rPr>
        <w:t>-</w:t>
      </w:r>
      <w:r w:rsidR="00691B4A" w:rsidRPr="008126EB">
        <w:t xml:space="preserve">examine the relation between </w:t>
      </w:r>
      <w:r w:rsidR="00C473A3">
        <w:rPr>
          <w:rFonts w:hint="eastAsia"/>
        </w:rPr>
        <w:t>earnings manipulation</w:t>
      </w:r>
      <w:r w:rsidR="00691B4A" w:rsidRPr="008126EB">
        <w:t xml:space="preserve"> and </w:t>
      </w:r>
      <w:r w:rsidR="00DB7CD1" w:rsidRPr="008126EB">
        <w:t xml:space="preserve">Tobin’s </w:t>
      </w:r>
      <w:r w:rsidR="00D64207">
        <w:rPr>
          <w:i/>
          <w:kern w:val="0"/>
        </w:rPr>
        <w:t>q</w:t>
      </w:r>
      <w:r w:rsidR="00047E04">
        <w:rPr>
          <w:i/>
          <w:kern w:val="0"/>
        </w:rPr>
        <w:t xml:space="preserve"> </w:t>
      </w:r>
      <w:r w:rsidR="00CB71A6" w:rsidRPr="008126EB">
        <w:rPr>
          <w:rFonts w:eastAsia="PMingLiU"/>
        </w:rPr>
        <w:t>(</w:t>
      </w:r>
      <w:r w:rsidR="00CB71A6" w:rsidRPr="008126EB">
        <w:t>Jiraporn et al., 2008)</w:t>
      </w:r>
      <w:r w:rsidR="00691B4A" w:rsidRPr="008126EB">
        <w:rPr>
          <w:rFonts w:hint="eastAsia"/>
        </w:rPr>
        <w:t>.</w:t>
      </w:r>
      <w:r w:rsidR="00047E04" w:rsidRPr="008126EB">
        <w:rPr>
          <w:rStyle w:val="FootnoteReference"/>
        </w:rPr>
        <w:footnoteReference w:id="4"/>
      </w:r>
      <w:r w:rsidR="00047E04" w:rsidRPr="008126EB">
        <w:rPr>
          <w:rFonts w:eastAsia="PMingLiU"/>
        </w:rPr>
        <w:t xml:space="preserve"> </w:t>
      </w:r>
      <w:r w:rsidR="00691B4A" w:rsidRPr="008126EB">
        <w:t>Since earnings power</w:t>
      </w:r>
      <w:r w:rsidR="00DB7CD1">
        <w:t xml:space="preserve"> among </w:t>
      </w:r>
      <w:r w:rsidR="00DB7CD1" w:rsidRPr="008126EB">
        <w:t xml:space="preserve">industries </w:t>
      </w:r>
      <w:r w:rsidR="00DB7CD1">
        <w:t>varies</w:t>
      </w:r>
      <w:r w:rsidR="00691B4A" w:rsidRPr="008126EB">
        <w:t xml:space="preserve">, we </w:t>
      </w:r>
      <w:r w:rsidR="00940EB6">
        <w:t>employ</w:t>
      </w:r>
      <w:r w:rsidR="00691B4A" w:rsidRPr="008126EB">
        <w:t xml:space="preserve"> industry-adjusted, </w:t>
      </w:r>
      <w:r w:rsidR="00D4196E">
        <w:t xml:space="preserve">instead of </w:t>
      </w:r>
      <w:r w:rsidR="00940EB6">
        <w:t>using</w:t>
      </w:r>
      <w:r w:rsidR="00D4196E">
        <w:t xml:space="preserve"> </w:t>
      </w:r>
      <w:r w:rsidR="00691B4A" w:rsidRPr="008126EB">
        <w:t xml:space="preserve">unadjusted, </w:t>
      </w:r>
      <w:r w:rsidR="00940EB6" w:rsidRPr="008126EB">
        <w:t xml:space="preserve">measures </w:t>
      </w:r>
      <w:r w:rsidR="00691B4A" w:rsidRPr="008126EB">
        <w:t>in our analysis.</w:t>
      </w:r>
      <w:r w:rsidR="00691B4A" w:rsidRPr="008126EB">
        <w:rPr>
          <w:rFonts w:hint="eastAsia"/>
        </w:rPr>
        <w:t xml:space="preserve"> </w:t>
      </w:r>
      <w:r w:rsidR="00691B4A" w:rsidRPr="008126EB">
        <w:t xml:space="preserve">Accordingly, the industry-adjusted Tobin’s </w:t>
      </w:r>
      <w:r w:rsidR="00D64207">
        <w:rPr>
          <w:i/>
          <w:kern w:val="0"/>
        </w:rPr>
        <w:t>q</w:t>
      </w:r>
      <w:r w:rsidR="00691B4A" w:rsidRPr="008126EB">
        <w:t xml:space="preserve"> effectively contro</w:t>
      </w:r>
      <w:r w:rsidR="005B017A">
        <w:t>ls for</w:t>
      </w:r>
      <w:r w:rsidR="00691B4A" w:rsidRPr="008126EB">
        <w:t xml:space="preserve"> the potential industry effect. </w:t>
      </w:r>
      <w:r w:rsidR="00940EB6">
        <w:t>To obtain this measure</w:t>
      </w:r>
      <w:r w:rsidR="00691B4A" w:rsidRPr="008126EB">
        <w:t xml:space="preserve">, </w:t>
      </w:r>
      <w:r w:rsidR="00940EB6">
        <w:t>we calculate</w:t>
      </w:r>
      <w:r w:rsidR="00691B4A" w:rsidRPr="008126EB">
        <w:t xml:space="preserve"> industry </w:t>
      </w:r>
      <w:r w:rsidR="00940EB6">
        <w:t xml:space="preserve">Tobin’s </w:t>
      </w:r>
      <w:r w:rsidR="00D64207">
        <w:rPr>
          <w:i/>
        </w:rPr>
        <w:t>q</w:t>
      </w:r>
      <w:r w:rsidR="00691B4A" w:rsidRPr="008126EB">
        <w:t xml:space="preserve"> </w:t>
      </w:r>
      <w:r w:rsidR="00940EB6">
        <w:t>for</w:t>
      </w:r>
      <w:r w:rsidR="00691B4A" w:rsidRPr="008126EB">
        <w:t xml:space="preserve"> all firms with the same first </w:t>
      </w:r>
      <w:r w:rsidR="00123CE4">
        <w:t xml:space="preserve">digit of </w:t>
      </w:r>
      <w:r w:rsidR="00691B4A" w:rsidRPr="008126EB">
        <w:t xml:space="preserve">SIC </w:t>
      </w:r>
      <w:r w:rsidR="00515F92">
        <w:t xml:space="preserve">code </w:t>
      </w:r>
      <w:r w:rsidR="00691B4A" w:rsidRPr="008126EB">
        <w:t>as those of the sampled firm</w:t>
      </w:r>
      <w:r w:rsidR="008C61AB" w:rsidRPr="008126EB">
        <w:t>s</w:t>
      </w:r>
      <w:r w:rsidR="00691B4A" w:rsidRPr="008126EB">
        <w:t xml:space="preserve">. </w:t>
      </w:r>
      <w:r w:rsidR="00CB71A6" w:rsidRPr="008126EB">
        <w:rPr>
          <w:rFonts w:eastAsia="PMingLiU"/>
        </w:rPr>
        <w:t>Then</w:t>
      </w:r>
      <w:r w:rsidR="00691B4A" w:rsidRPr="008126EB">
        <w:t xml:space="preserve">, </w:t>
      </w:r>
      <w:r w:rsidR="00D4196E" w:rsidRPr="008126EB">
        <w:t xml:space="preserve">industry Tobin’s </w:t>
      </w:r>
      <w:r w:rsidR="00D64207">
        <w:rPr>
          <w:i/>
          <w:kern w:val="0"/>
        </w:rPr>
        <w:t>q</w:t>
      </w:r>
      <w:r w:rsidR="00D4196E" w:rsidRPr="008126EB">
        <w:t xml:space="preserve"> </w:t>
      </w:r>
      <w:r w:rsidR="006C73F0">
        <w:t xml:space="preserve">is subtracted </w:t>
      </w:r>
      <w:r w:rsidR="00D4196E" w:rsidRPr="008126EB">
        <w:t xml:space="preserve">from firm Tobin’s </w:t>
      </w:r>
      <w:r w:rsidR="00D64207">
        <w:rPr>
          <w:i/>
          <w:kern w:val="0"/>
        </w:rPr>
        <w:t>q</w:t>
      </w:r>
      <w:r w:rsidR="00D4196E" w:rsidRPr="008126EB">
        <w:t xml:space="preserve"> </w:t>
      </w:r>
      <w:r w:rsidR="00D4196E">
        <w:t xml:space="preserve">to </w:t>
      </w:r>
      <w:r w:rsidR="00047E04">
        <w:t>produce</w:t>
      </w:r>
      <w:r w:rsidR="00047E04" w:rsidRPr="008126EB">
        <w:t xml:space="preserve"> </w:t>
      </w:r>
      <w:r w:rsidR="00691B4A" w:rsidRPr="008126EB">
        <w:t xml:space="preserve">industry-adjusted Tobin’s </w:t>
      </w:r>
      <w:r w:rsidR="00D64207">
        <w:rPr>
          <w:i/>
          <w:kern w:val="0"/>
        </w:rPr>
        <w:t>q</w:t>
      </w:r>
      <w:r w:rsidR="00691B4A" w:rsidRPr="008126EB">
        <w:t>. Finally, w</w:t>
      </w:r>
      <w:r w:rsidR="00691B4A" w:rsidRPr="008126EB">
        <w:rPr>
          <w:rFonts w:hint="eastAsia"/>
        </w:rPr>
        <w:t xml:space="preserve">e </w:t>
      </w:r>
      <w:r>
        <w:t xml:space="preserve">incorporate </w:t>
      </w:r>
      <w:r w:rsidR="00691B4A" w:rsidRPr="008126EB">
        <w:rPr>
          <w:rFonts w:hint="eastAsia"/>
        </w:rPr>
        <w:t>six control variables</w:t>
      </w:r>
      <w:r w:rsidR="00D4196E">
        <w:t xml:space="preserve"> </w:t>
      </w:r>
      <w:r w:rsidR="00047E04">
        <w:t xml:space="preserve">in the regression </w:t>
      </w:r>
      <w:r w:rsidR="00067D4E">
        <w:t xml:space="preserve">model </w:t>
      </w:r>
      <w:r>
        <w:t xml:space="preserve">in </w:t>
      </w:r>
      <w:r w:rsidR="00940EB6">
        <w:t>accord</w:t>
      </w:r>
      <w:r>
        <w:t xml:space="preserve">ance with </w:t>
      </w:r>
      <w:r w:rsidR="00D4196E">
        <w:t xml:space="preserve">what have been reported in the </w:t>
      </w:r>
      <w:r w:rsidR="00691B4A" w:rsidRPr="008126EB">
        <w:t>literature. Th</w:t>
      </w:r>
      <w:r w:rsidR="00067D4E">
        <w:t xml:space="preserve">is </w:t>
      </w:r>
      <w:r w:rsidR="00691B4A" w:rsidRPr="008126EB">
        <w:t xml:space="preserve">model is labelled </w:t>
      </w:r>
      <w:r w:rsidR="008B50FC">
        <w:t xml:space="preserve">as </w:t>
      </w:r>
      <w:r w:rsidR="00FE0B8A">
        <w:t>e</w:t>
      </w:r>
      <w:r w:rsidR="00F85192">
        <w:t>quation</w:t>
      </w:r>
      <w:r w:rsidR="00691B4A" w:rsidRPr="008126EB">
        <w:t xml:space="preserve"> (8)</w:t>
      </w:r>
      <w:r w:rsidR="00691B4A" w:rsidRPr="008126EB">
        <w:rPr>
          <w:rFonts w:hint="eastAsia"/>
        </w:rPr>
        <w:t>:</w:t>
      </w:r>
    </w:p>
    <w:p w:rsidR="00403A8F" w:rsidRDefault="00993909" w:rsidP="00993909">
      <w:pPr>
        <w:widowControl/>
        <w:tabs>
          <w:tab w:val="left" w:pos="1360"/>
        </w:tabs>
        <w:adjustRightInd w:val="0"/>
        <w:snapToGrid w:val="0"/>
        <w:spacing w:line="288" w:lineRule="auto"/>
        <w:jc w:val="both"/>
        <w:rPr>
          <w:sz w:val="22"/>
          <w:szCs w:val="22"/>
        </w:rPr>
      </w:pPr>
      <w:r w:rsidRPr="00993909">
        <w:rPr>
          <w:sz w:val="22"/>
          <w:szCs w:val="22"/>
        </w:rPr>
        <w:tab/>
      </w:r>
    </w:p>
    <w:p w:rsidR="008B5B2B" w:rsidRPr="00993909" w:rsidRDefault="008B5B2B" w:rsidP="00993909">
      <w:pPr>
        <w:widowControl/>
        <w:tabs>
          <w:tab w:val="left" w:pos="1360"/>
        </w:tabs>
        <w:adjustRightInd w:val="0"/>
        <w:snapToGrid w:val="0"/>
        <w:spacing w:line="288" w:lineRule="auto"/>
        <w:jc w:val="both"/>
        <w:rPr>
          <w:sz w:val="22"/>
          <w:szCs w:val="22"/>
        </w:rPr>
      </w:pPr>
    </w:p>
    <w:p w:rsidR="00B26438" w:rsidRPr="00993909" w:rsidRDefault="00993909" w:rsidP="00993909">
      <w:pPr>
        <w:widowControl/>
        <w:spacing w:line="288" w:lineRule="auto"/>
        <w:ind w:firstLineChars="295" w:firstLine="649"/>
        <w:jc w:val="both"/>
        <w:rPr>
          <w:rFonts w:eastAsia="DFKai-SB"/>
          <w:i/>
          <w:sz w:val="22"/>
          <w:szCs w:val="22"/>
          <w:vertAlign w:val="subscript"/>
        </w:rPr>
      </w:pPr>
      <w:r>
        <w:rPr>
          <w:rFonts w:eastAsia="DFKai-SB"/>
          <w:i/>
          <w:sz w:val="22"/>
          <w:szCs w:val="22"/>
        </w:rPr>
        <w:t xml:space="preserve">             </w:t>
      </w:r>
      <w:r w:rsidR="00691B4A" w:rsidRPr="00993909">
        <w:rPr>
          <w:rFonts w:eastAsia="DFKai-SB"/>
          <w:i/>
          <w:sz w:val="22"/>
          <w:szCs w:val="22"/>
        </w:rPr>
        <w:t>TOB</w:t>
      </w:r>
      <w:r w:rsidR="00B26438" w:rsidRPr="00993909">
        <w:rPr>
          <w:rFonts w:eastAsia="DFKai-SB"/>
          <w:i/>
          <w:sz w:val="22"/>
          <w:szCs w:val="22"/>
        </w:rPr>
        <w:t>IN</w:t>
      </w:r>
      <w:r w:rsidR="00B26438" w:rsidRPr="00993909">
        <w:rPr>
          <w:rFonts w:eastAsia="DFKai-SB"/>
          <w:i/>
          <w:sz w:val="22"/>
          <w:szCs w:val="22"/>
          <w:vertAlign w:val="subscript"/>
        </w:rPr>
        <w:t>i,t</w:t>
      </w:r>
      <w:r w:rsidR="00A04046" w:rsidRPr="00993909">
        <w:rPr>
          <w:rFonts w:hint="eastAsia"/>
          <w:i/>
          <w:sz w:val="22"/>
          <w:szCs w:val="22"/>
          <w:vertAlign w:val="subscript"/>
        </w:rPr>
        <w:t>+1</w:t>
      </w:r>
      <w:r w:rsidR="00B26438" w:rsidRPr="00993909">
        <w:rPr>
          <w:rFonts w:eastAsia="DFKai-SB"/>
          <w:sz w:val="22"/>
          <w:szCs w:val="22"/>
        </w:rPr>
        <w:t xml:space="preserve"> </w:t>
      </w:r>
      <w:r w:rsidR="00691B4A" w:rsidRPr="00993909">
        <w:rPr>
          <w:rFonts w:eastAsia="DFKai-SB"/>
          <w:sz w:val="22"/>
          <w:szCs w:val="22"/>
        </w:rPr>
        <w:t>=</w:t>
      </w:r>
      <w:r w:rsidR="00691B4A" w:rsidRPr="00993909">
        <w:rPr>
          <w:rFonts w:eastAsia="DFKai-SB"/>
          <w:i/>
          <w:sz w:val="22"/>
          <w:szCs w:val="22"/>
        </w:rPr>
        <w:t xml:space="preserve"> </w:t>
      </w:r>
      <w:r w:rsidR="00691B4A" w:rsidRPr="00993909">
        <w:rPr>
          <w:i/>
          <w:sz w:val="22"/>
          <w:szCs w:val="22"/>
        </w:rPr>
        <w:sym w:font="Symbol" w:char="F062"/>
      </w:r>
      <w:r w:rsidR="00691B4A" w:rsidRPr="00993909">
        <w:rPr>
          <w:rFonts w:eastAsia="DFKai-SB"/>
          <w:sz w:val="22"/>
          <w:szCs w:val="22"/>
          <w:vertAlign w:val="subscript"/>
        </w:rPr>
        <w:t>0</w:t>
      </w:r>
      <w:r w:rsidR="00691B4A" w:rsidRPr="00993909">
        <w:rPr>
          <w:rFonts w:eastAsia="DFKai-SB"/>
          <w:i/>
          <w:sz w:val="22"/>
          <w:szCs w:val="22"/>
        </w:rPr>
        <w:t xml:space="preserve"> + </w:t>
      </w:r>
      <w:r w:rsidR="00691B4A" w:rsidRPr="00993909">
        <w:rPr>
          <w:i/>
          <w:sz w:val="22"/>
          <w:szCs w:val="22"/>
        </w:rPr>
        <w:sym w:font="Symbol" w:char="F062"/>
      </w:r>
      <w:r w:rsidR="00691B4A" w:rsidRPr="00993909">
        <w:rPr>
          <w:rFonts w:eastAsia="DFKai-SB"/>
          <w:sz w:val="22"/>
          <w:szCs w:val="22"/>
          <w:vertAlign w:val="subscript"/>
        </w:rPr>
        <w:t xml:space="preserve">1 </w:t>
      </w:r>
      <w:r w:rsidR="00691B4A" w:rsidRPr="00993909">
        <w:rPr>
          <w:rFonts w:eastAsia="DFKai-SB"/>
          <w:i/>
          <w:sz w:val="22"/>
          <w:szCs w:val="22"/>
        </w:rPr>
        <w:t>|</w:t>
      </w:r>
      <w:r w:rsidR="00B26438" w:rsidRPr="00993909">
        <w:rPr>
          <w:rFonts w:eastAsia="DFKai-SB"/>
          <w:i/>
          <w:sz w:val="22"/>
          <w:szCs w:val="22"/>
        </w:rPr>
        <w:t>DA</w:t>
      </w:r>
      <w:r w:rsidR="00B26438" w:rsidRPr="00993909">
        <w:rPr>
          <w:rFonts w:eastAsia="DFKai-SB"/>
          <w:i/>
          <w:sz w:val="22"/>
          <w:szCs w:val="22"/>
          <w:vertAlign w:val="subscript"/>
        </w:rPr>
        <w:t>i,t</w:t>
      </w:r>
      <w:r w:rsidR="00B26438" w:rsidRPr="00993909">
        <w:rPr>
          <w:rFonts w:eastAsia="DFKai-SB"/>
          <w:i/>
          <w:sz w:val="22"/>
          <w:szCs w:val="22"/>
        </w:rPr>
        <w:t xml:space="preserve"> </w:t>
      </w:r>
      <w:r w:rsidR="00691B4A" w:rsidRPr="00993909">
        <w:rPr>
          <w:rFonts w:eastAsia="DFKai-SB"/>
          <w:i/>
          <w:sz w:val="22"/>
          <w:szCs w:val="22"/>
        </w:rPr>
        <w:t xml:space="preserve">|+ </w:t>
      </w:r>
      <w:r w:rsidR="00691B4A" w:rsidRPr="00993909">
        <w:rPr>
          <w:i/>
          <w:sz w:val="22"/>
          <w:szCs w:val="22"/>
        </w:rPr>
        <w:sym w:font="Symbol" w:char="F062"/>
      </w:r>
      <w:r w:rsidR="00691B4A" w:rsidRPr="00993909">
        <w:rPr>
          <w:rFonts w:eastAsia="DFKai-SB"/>
          <w:sz w:val="22"/>
          <w:szCs w:val="22"/>
          <w:vertAlign w:val="subscript"/>
        </w:rPr>
        <w:t xml:space="preserve">2 </w:t>
      </w:r>
      <w:r w:rsidR="00691B4A" w:rsidRPr="00993909">
        <w:rPr>
          <w:rFonts w:eastAsia="DFKai-SB"/>
          <w:i/>
          <w:sz w:val="22"/>
          <w:szCs w:val="22"/>
        </w:rPr>
        <w:t>SI</w:t>
      </w:r>
      <w:r w:rsidR="00B26438" w:rsidRPr="00993909">
        <w:rPr>
          <w:rFonts w:eastAsia="DFKai-SB"/>
          <w:i/>
          <w:sz w:val="22"/>
          <w:szCs w:val="22"/>
        </w:rPr>
        <w:t>ZE</w:t>
      </w:r>
      <w:r w:rsidR="00B26438" w:rsidRPr="00993909">
        <w:rPr>
          <w:rFonts w:eastAsia="DFKai-SB"/>
          <w:i/>
          <w:sz w:val="22"/>
          <w:szCs w:val="22"/>
          <w:vertAlign w:val="subscript"/>
        </w:rPr>
        <w:t>i,t</w:t>
      </w:r>
      <w:r w:rsidR="00B26438" w:rsidRPr="00993909">
        <w:rPr>
          <w:rFonts w:eastAsia="DFKai-SB"/>
          <w:i/>
          <w:sz w:val="22"/>
          <w:szCs w:val="22"/>
        </w:rPr>
        <w:t xml:space="preserve"> </w:t>
      </w:r>
      <w:r w:rsidR="00691B4A" w:rsidRPr="00993909">
        <w:rPr>
          <w:rFonts w:eastAsia="DFKai-SB"/>
          <w:i/>
          <w:sz w:val="22"/>
          <w:szCs w:val="22"/>
        </w:rPr>
        <w:t xml:space="preserve">+ </w:t>
      </w:r>
      <w:r w:rsidR="00691B4A" w:rsidRPr="00993909">
        <w:rPr>
          <w:i/>
          <w:sz w:val="22"/>
          <w:szCs w:val="22"/>
        </w:rPr>
        <w:sym w:font="Symbol" w:char="F062"/>
      </w:r>
      <w:r w:rsidR="00691B4A" w:rsidRPr="00993909">
        <w:rPr>
          <w:rFonts w:eastAsia="DFKai-SB"/>
          <w:sz w:val="22"/>
          <w:szCs w:val="22"/>
          <w:vertAlign w:val="subscript"/>
        </w:rPr>
        <w:t xml:space="preserve">3 </w:t>
      </w:r>
      <w:r w:rsidR="00691B4A" w:rsidRPr="00993909">
        <w:rPr>
          <w:rFonts w:eastAsia="DFKai-SB"/>
          <w:i/>
          <w:sz w:val="22"/>
          <w:szCs w:val="22"/>
        </w:rPr>
        <w:t>L</w:t>
      </w:r>
      <w:r w:rsidR="00B26438" w:rsidRPr="00993909">
        <w:rPr>
          <w:rFonts w:eastAsia="DFKai-SB"/>
          <w:i/>
          <w:sz w:val="22"/>
          <w:szCs w:val="22"/>
        </w:rPr>
        <w:t>EV</w:t>
      </w:r>
      <w:r w:rsidR="00B26438" w:rsidRPr="00993909">
        <w:rPr>
          <w:rFonts w:eastAsia="DFKai-SB"/>
          <w:i/>
          <w:sz w:val="22"/>
          <w:szCs w:val="22"/>
          <w:vertAlign w:val="subscript"/>
        </w:rPr>
        <w:t>i,t</w:t>
      </w:r>
      <w:r w:rsidR="00B26438" w:rsidRPr="00993909">
        <w:rPr>
          <w:rFonts w:eastAsia="DFKai-SB"/>
          <w:i/>
          <w:sz w:val="22"/>
          <w:szCs w:val="22"/>
        </w:rPr>
        <w:t xml:space="preserve"> </w:t>
      </w:r>
      <w:r w:rsidR="00691B4A" w:rsidRPr="00993909">
        <w:rPr>
          <w:rFonts w:eastAsia="DFKai-SB"/>
          <w:i/>
          <w:sz w:val="22"/>
          <w:szCs w:val="22"/>
        </w:rPr>
        <w:t>+</w:t>
      </w:r>
      <w:r w:rsidR="00691B4A" w:rsidRPr="00993909">
        <w:rPr>
          <w:i/>
          <w:sz w:val="22"/>
          <w:szCs w:val="22"/>
        </w:rPr>
        <w:sym w:font="Symbol" w:char="F062"/>
      </w:r>
      <w:r w:rsidR="00691B4A" w:rsidRPr="00993909">
        <w:rPr>
          <w:rFonts w:eastAsia="DFKai-SB"/>
          <w:sz w:val="22"/>
          <w:szCs w:val="22"/>
          <w:vertAlign w:val="subscript"/>
        </w:rPr>
        <w:t xml:space="preserve">4 </w:t>
      </w:r>
      <w:r w:rsidR="00691B4A" w:rsidRPr="00993909">
        <w:rPr>
          <w:rFonts w:eastAsia="DFKai-SB"/>
          <w:i/>
          <w:sz w:val="22"/>
          <w:szCs w:val="22"/>
        </w:rPr>
        <w:t>I</w:t>
      </w:r>
      <w:r w:rsidR="00B26438" w:rsidRPr="00993909">
        <w:rPr>
          <w:rFonts w:eastAsia="DFKai-SB"/>
          <w:i/>
          <w:sz w:val="22"/>
          <w:szCs w:val="22"/>
        </w:rPr>
        <w:t>NT</w:t>
      </w:r>
      <w:r w:rsidR="00B26438" w:rsidRPr="00993909">
        <w:rPr>
          <w:rFonts w:eastAsia="DFKai-SB"/>
          <w:i/>
          <w:sz w:val="22"/>
          <w:szCs w:val="22"/>
          <w:vertAlign w:val="subscript"/>
        </w:rPr>
        <w:t>i,t</w:t>
      </w:r>
      <w:r w:rsidR="00B26438" w:rsidRPr="00993909">
        <w:rPr>
          <w:rFonts w:eastAsia="DFKai-SB"/>
          <w:i/>
          <w:sz w:val="22"/>
          <w:szCs w:val="22"/>
        </w:rPr>
        <w:t xml:space="preserve"> </w:t>
      </w:r>
      <w:r w:rsidR="00691B4A" w:rsidRPr="00993909">
        <w:rPr>
          <w:rFonts w:eastAsia="DFKai-SB"/>
          <w:i/>
          <w:sz w:val="22"/>
          <w:szCs w:val="22"/>
        </w:rPr>
        <w:t xml:space="preserve">+ </w:t>
      </w:r>
      <w:r w:rsidR="00691B4A" w:rsidRPr="00993909">
        <w:rPr>
          <w:i/>
          <w:sz w:val="22"/>
          <w:szCs w:val="22"/>
        </w:rPr>
        <w:sym w:font="Symbol" w:char="F062"/>
      </w:r>
      <w:r w:rsidR="00691B4A" w:rsidRPr="00993909">
        <w:rPr>
          <w:rFonts w:eastAsia="DFKai-SB"/>
          <w:sz w:val="22"/>
          <w:szCs w:val="22"/>
          <w:vertAlign w:val="subscript"/>
        </w:rPr>
        <w:t xml:space="preserve">5 </w:t>
      </w:r>
      <w:r w:rsidR="00691B4A" w:rsidRPr="00993909">
        <w:rPr>
          <w:rFonts w:eastAsia="DFKai-SB"/>
          <w:i/>
          <w:sz w:val="22"/>
          <w:szCs w:val="22"/>
        </w:rPr>
        <w:t>R</w:t>
      </w:r>
      <w:r w:rsidR="00B26438" w:rsidRPr="00993909">
        <w:rPr>
          <w:rFonts w:eastAsia="DFKai-SB"/>
          <w:i/>
          <w:sz w:val="22"/>
          <w:szCs w:val="22"/>
        </w:rPr>
        <w:t>OA</w:t>
      </w:r>
      <w:r w:rsidR="00B26438" w:rsidRPr="00993909">
        <w:rPr>
          <w:rFonts w:eastAsia="DFKai-SB"/>
          <w:i/>
          <w:sz w:val="22"/>
          <w:szCs w:val="22"/>
          <w:vertAlign w:val="subscript"/>
        </w:rPr>
        <w:t>i,t</w:t>
      </w:r>
    </w:p>
    <w:p w:rsidR="00B26438" w:rsidRPr="008126EB" w:rsidRDefault="00691B4A" w:rsidP="00993909">
      <w:pPr>
        <w:widowControl/>
        <w:spacing w:line="288" w:lineRule="auto"/>
        <w:ind w:firstLineChars="650" w:firstLine="1430"/>
        <w:jc w:val="both"/>
        <w:rPr>
          <w:rFonts w:eastAsia="DFKai-SB"/>
        </w:rPr>
      </w:pPr>
      <w:r w:rsidRPr="00993909">
        <w:rPr>
          <w:rFonts w:eastAsia="DFKai-SB"/>
          <w:i/>
          <w:sz w:val="22"/>
          <w:szCs w:val="22"/>
        </w:rPr>
        <w:t>+</w:t>
      </w:r>
      <w:r w:rsidRPr="00993909">
        <w:rPr>
          <w:i/>
          <w:sz w:val="22"/>
          <w:szCs w:val="22"/>
        </w:rPr>
        <w:sym w:font="Symbol" w:char="F062"/>
      </w:r>
      <w:r w:rsidRPr="00993909">
        <w:rPr>
          <w:rFonts w:eastAsia="DFKai-SB"/>
          <w:sz w:val="22"/>
          <w:szCs w:val="22"/>
          <w:vertAlign w:val="subscript"/>
        </w:rPr>
        <w:t xml:space="preserve">6 </w:t>
      </w:r>
      <w:r w:rsidR="00B26438" w:rsidRPr="00993909">
        <w:rPr>
          <w:rFonts w:eastAsia="DFKai-SB"/>
          <w:i/>
          <w:sz w:val="22"/>
          <w:szCs w:val="22"/>
        </w:rPr>
        <w:t>RD</w:t>
      </w:r>
      <w:r w:rsidR="00B26438" w:rsidRPr="00993909">
        <w:rPr>
          <w:rFonts w:eastAsia="DFKai-SB"/>
          <w:i/>
          <w:sz w:val="22"/>
          <w:szCs w:val="22"/>
          <w:vertAlign w:val="subscript"/>
        </w:rPr>
        <w:t>i,t</w:t>
      </w:r>
      <w:r w:rsidR="00B26438" w:rsidRPr="00993909">
        <w:rPr>
          <w:rFonts w:eastAsia="DFKai-SB"/>
          <w:i/>
          <w:sz w:val="22"/>
          <w:szCs w:val="22"/>
        </w:rPr>
        <w:t>+</w:t>
      </w:r>
      <w:r w:rsidRPr="00993909">
        <w:rPr>
          <w:i/>
          <w:sz w:val="22"/>
          <w:szCs w:val="22"/>
        </w:rPr>
        <w:sym w:font="Symbol" w:char="F062"/>
      </w:r>
      <w:r w:rsidRPr="00993909">
        <w:rPr>
          <w:rFonts w:eastAsia="DFKai-SB"/>
          <w:sz w:val="22"/>
          <w:szCs w:val="22"/>
          <w:vertAlign w:val="subscript"/>
        </w:rPr>
        <w:t xml:space="preserve">7 </w:t>
      </w:r>
      <w:r w:rsidRPr="00993909">
        <w:rPr>
          <w:rFonts w:eastAsia="DFKai-SB"/>
          <w:i/>
          <w:sz w:val="22"/>
          <w:szCs w:val="22"/>
        </w:rPr>
        <w:t>INSID</w:t>
      </w:r>
      <w:r w:rsidR="00B26438" w:rsidRPr="00993909">
        <w:rPr>
          <w:rFonts w:eastAsia="DFKai-SB"/>
          <w:i/>
          <w:sz w:val="22"/>
          <w:szCs w:val="22"/>
        </w:rPr>
        <w:t>ER</w:t>
      </w:r>
      <w:r w:rsidR="00B26438" w:rsidRPr="00993909">
        <w:rPr>
          <w:rFonts w:eastAsia="DFKai-SB"/>
          <w:i/>
          <w:sz w:val="22"/>
          <w:szCs w:val="22"/>
          <w:vertAlign w:val="subscript"/>
        </w:rPr>
        <w:t>i,t</w:t>
      </w:r>
      <w:r w:rsidR="00B26438" w:rsidRPr="00993909">
        <w:rPr>
          <w:rFonts w:eastAsia="DFKai-SB"/>
          <w:i/>
          <w:sz w:val="22"/>
          <w:szCs w:val="22"/>
        </w:rPr>
        <w:t xml:space="preserve"> +</w:t>
      </w:r>
      <w:r w:rsidR="00B26438" w:rsidRPr="00993909">
        <w:rPr>
          <w:rFonts w:eastAsia="DFKai-SB"/>
          <w:sz w:val="22"/>
          <w:szCs w:val="22"/>
        </w:rPr>
        <w:sym w:font="Symbol" w:char="F065"/>
      </w:r>
      <w:r w:rsidR="00B26438" w:rsidRPr="00993909">
        <w:rPr>
          <w:rFonts w:eastAsia="DFKai-SB"/>
          <w:i/>
          <w:sz w:val="22"/>
          <w:szCs w:val="22"/>
          <w:vertAlign w:val="subscript"/>
        </w:rPr>
        <w:t>i,t</w:t>
      </w:r>
      <w:r w:rsidR="00A04046" w:rsidRPr="00993909">
        <w:rPr>
          <w:rFonts w:hint="eastAsia"/>
          <w:i/>
          <w:sz w:val="22"/>
          <w:szCs w:val="22"/>
          <w:vertAlign w:val="subscript"/>
        </w:rPr>
        <w:t>+1</w:t>
      </w:r>
      <w:r w:rsidR="00B26438" w:rsidRPr="008126EB">
        <w:rPr>
          <w:rFonts w:eastAsia="DFKai-SB" w:hint="eastAsia"/>
        </w:rPr>
        <w:t xml:space="preserve">                                   </w:t>
      </w:r>
      <w:r w:rsidRPr="008126EB">
        <w:rPr>
          <w:rFonts w:eastAsia="DFKai-SB"/>
        </w:rPr>
        <w:t xml:space="preserve"> </w:t>
      </w:r>
      <w:r w:rsidR="00197E2E" w:rsidRPr="008126EB">
        <w:rPr>
          <w:rFonts w:eastAsia="DFKai-SB"/>
        </w:rPr>
        <w:tab/>
      </w:r>
      <w:r w:rsidR="006F17BE" w:rsidRPr="008126EB">
        <w:rPr>
          <w:rFonts w:eastAsia="DFKai-SB"/>
        </w:rPr>
        <w:tab/>
      </w:r>
      <w:r w:rsidR="00993909">
        <w:rPr>
          <w:rFonts w:eastAsia="DFKai-SB"/>
        </w:rPr>
        <w:t xml:space="preserve">                </w:t>
      </w:r>
      <w:r w:rsidR="00B26438" w:rsidRPr="008126EB">
        <w:rPr>
          <w:rFonts w:eastAsia="DFKai-SB"/>
        </w:rPr>
        <w:t xml:space="preserve"> </w:t>
      </w:r>
      <w:r w:rsidR="00B26438" w:rsidRPr="008126EB">
        <w:rPr>
          <w:rFonts w:eastAsia="DFKai-SB" w:hint="eastAsia"/>
        </w:rPr>
        <w:t>(8)</w:t>
      </w:r>
    </w:p>
    <w:p w:rsidR="00B26438" w:rsidRDefault="00B26438" w:rsidP="00FE1E17">
      <w:pPr>
        <w:widowControl/>
        <w:adjustRightInd w:val="0"/>
        <w:snapToGrid w:val="0"/>
        <w:spacing w:line="288" w:lineRule="auto"/>
        <w:jc w:val="both"/>
      </w:pPr>
    </w:p>
    <w:p w:rsidR="008B5B2B" w:rsidRPr="008126EB" w:rsidRDefault="008B5B2B" w:rsidP="00FE1E17">
      <w:pPr>
        <w:widowControl/>
        <w:adjustRightInd w:val="0"/>
        <w:snapToGrid w:val="0"/>
        <w:spacing w:line="288" w:lineRule="auto"/>
        <w:jc w:val="both"/>
      </w:pPr>
    </w:p>
    <w:p w:rsidR="00691B4A" w:rsidRDefault="00993909" w:rsidP="00FE1E17">
      <w:pPr>
        <w:widowControl/>
        <w:adjustRightInd w:val="0"/>
        <w:snapToGrid w:val="0"/>
        <w:spacing w:line="288" w:lineRule="auto"/>
        <w:jc w:val="both"/>
      </w:pPr>
      <w:r>
        <w:tab/>
      </w:r>
      <w:r w:rsidR="00BD38C6">
        <w:t xml:space="preserve">In </w:t>
      </w:r>
      <w:r w:rsidR="00FE0B8A">
        <w:t>e</w:t>
      </w:r>
      <w:r w:rsidR="00F85192">
        <w:t>quation</w:t>
      </w:r>
      <w:r w:rsidR="00BD38C6">
        <w:t xml:space="preserve"> (8)</w:t>
      </w:r>
      <w:r w:rsidR="00067D4E">
        <w:t xml:space="preserve"> above</w:t>
      </w:r>
      <w:r w:rsidR="00BD38C6">
        <w:t xml:space="preserve">, </w:t>
      </w:r>
      <w:r w:rsidR="00691B4A" w:rsidRPr="008126EB">
        <w:rPr>
          <w:i/>
        </w:rPr>
        <w:t>SIZE</w:t>
      </w:r>
      <w:r w:rsidR="00691B4A" w:rsidRPr="008126EB">
        <w:t xml:space="preserve"> is the natural </w:t>
      </w:r>
      <w:r w:rsidR="00691B4A" w:rsidRPr="008126EB">
        <w:rPr>
          <w:rStyle w:val="tgc"/>
          <w:bCs/>
        </w:rPr>
        <w:t>logarithm</w:t>
      </w:r>
      <w:r w:rsidR="008C61AB" w:rsidRPr="008126EB">
        <w:t xml:space="preserve"> </w:t>
      </w:r>
      <w:r w:rsidR="00A1291E">
        <w:t xml:space="preserve">value </w:t>
      </w:r>
      <w:r w:rsidR="008C61AB" w:rsidRPr="008126EB">
        <w:t xml:space="preserve">of total assets; </w:t>
      </w:r>
      <w:r w:rsidR="00691B4A" w:rsidRPr="008126EB">
        <w:rPr>
          <w:i/>
        </w:rPr>
        <w:t>LEV</w:t>
      </w:r>
      <w:r w:rsidR="00691B4A" w:rsidRPr="008126EB">
        <w:t xml:space="preserve"> </w:t>
      </w:r>
      <w:r w:rsidR="00A1291E">
        <w:t>is the ratio between</w:t>
      </w:r>
      <w:r w:rsidR="00A1291E" w:rsidRPr="008126EB">
        <w:t xml:space="preserve"> </w:t>
      </w:r>
      <w:r w:rsidR="00D4196E">
        <w:t xml:space="preserve">the </w:t>
      </w:r>
      <w:r w:rsidR="00B3684B">
        <w:t xml:space="preserve">amount of </w:t>
      </w:r>
      <w:r w:rsidR="00691B4A" w:rsidRPr="008126EB">
        <w:t>debt</w:t>
      </w:r>
      <w:r w:rsidR="00B3684B">
        <w:t>s</w:t>
      </w:r>
      <w:r w:rsidR="00691B4A" w:rsidRPr="008126EB">
        <w:t xml:space="preserve"> </w:t>
      </w:r>
      <w:r w:rsidR="00B3684B">
        <w:t>and</w:t>
      </w:r>
      <w:r w:rsidR="00691B4A" w:rsidRPr="008126EB">
        <w:t xml:space="preserve"> </w:t>
      </w:r>
      <w:r w:rsidR="00D4196E">
        <w:t xml:space="preserve">the amount of </w:t>
      </w:r>
      <w:r w:rsidR="00B3684B">
        <w:t xml:space="preserve">total </w:t>
      </w:r>
      <w:r w:rsidR="00691B4A" w:rsidRPr="008126EB">
        <w:t>assets</w:t>
      </w:r>
      <w:r w:rsidR="00977EEC">
        <w:t>;</w:t>
      </w:r>
      <w:r w:rsidR="00691B4A" w:rsidRPr="008126EB">
        <w:t xml:space="preserve"> </w:t>
      </w:r>
      <w:r w:rsidR="00691B4A" w:rsidRPr="008126EB">
        <w:rPr>
          <w:i/>
        </w:rPr>
        <w:t>INT</w:t>
      </w:r>
      <w:r w:rsidR="00691B4A" w:rsidRPr="008126EB">
        <w:t xml:space="preserve"> denotes a ratio </w:t>
      </w:r>
      <w:r w:rsidR="00067D4E">
        <w:t>between</w:t>
      </w:r>
      <w:r w:rsidR="00067D4E" w:rsidRPr="008126EB">
        <w:t xml:space="preserve"> </w:t>
      </w:r>
      <w:r w:rsidR="00691B4A" w:rsidRPr="008126EB">
        <w:t xml:space="preserve">intangible assets and total assets; </w:t>
      </w:r>
      <w:r w:rsidR="00691B4A" w:rsidRPr="008126EB">
        <w:rPr>
          <w:i/>
        </w:rPr>
        <w:t>ROA</w:t>
      </w:r>
      <w:r w:rsidR="00691B4A" w:rsidRPr="008126EB">
        <w:t xml:space="preserve"> is </w:t>
      </w:r>
      <w:r w:rsidR="00B3684B">
        <w:t>ratio between</w:t>
      </w:r>
      <w:r w:rsidR="00691B4A" w:rsidRPr="008126EB">
        <w:t xml:space="preserve"> </w:t>
      </w:r>
      <w:r w:rsidR="00D4196E">
        <w:t xml:space="preserve">the amount of </w:t>
      </w:r>
      <w:r w:rsidR="00691B4A" w:rsidRPr="008126EB">
        <w:t xml:space="preserve">net income </w:t>
      </w:r>
      <w:r w:rsidR="00B3684B">
        <w:t xml:space="preserve">and </w:t>
      </w:r>
      <w:r w:rsidR="00D4196E">
        <w:t xml:space="preserve">the amount of </w:t>
      </w:r>
      <w:r w:rsidR="00B3684B">
        <w:t xml:space="preserve">total </w:t>
      </w:r>
      <w:r w:rsidR="00691B4A" w:rsidRPr="008126EB">
        <w:t>assets</w:t>
      </w:r>
      <w:r w:rsidR="00977EEC">
        <w:t>;</w:t>
      </w:r>
      <w:r w:rsidR="00691B4A" w:rsidRPr="008126EB">
        <w:t xml:space="preserve"> </w:t>
      </w:r>
      <w:r w:rsidR="00691B4A" w:rsidRPr="008126EB">
        <w:rPr>
          <w:i/>
        </w:rPr>
        <w:t>RD</w:t>
      </w:r>
      <w:r w:rsidR="00691B4A" w:rsidRPr="008126EB">
        <w:t xml:space="preserve"> is </w:t>
      </w:r>
      <w:r w:rsidR="00067D4E">
        <w:t xml:space="preserve">a ratio between </w:t>
      </w:r>
      <w:r w:rsidR="00D4196E">
        <w:t xml:space="preserve">the amount of </w:t>
      </w:r>
      <w:r w:rsidR="00691B4A" w:rsidRPr="008126EB">
        <w:t>research and development expenditure</w:t>
      </w:r>
      <w:r w:rsidR="00C2585B">
        <w:t>s</w:t>
      </w:r>
      <w:r w:rsidR="00691B4A" w:rsidRPr="008126EB">
        <w:t xml:space="preserve"> </w:t>
      </w:r>
      <w:r w:rsidR="00067D4E">
        <w:t xml:space="preserve">and </w:t>
      </w:r>
      <w:r w:rsidR="00D4196E">
        <w:t xml:space="preserve">the amount of </w:t>
      </w:r>
      <w:r w:rsidR="00691B4A" w:rsidRPr="008126EB">
        <w:t>sales</w:t>
      </w:r>
      <w:r w:rsidR="00D4196E">
        <w:t xml:space="preserve"> revenue</w:t>
      </w:r>
      <w:r w:rsidR="00691B4A" w:rsidRPr="008126EB">
        <w:t xml:space="preserve">; </w:t>
      </w:r>
      <w:r w:rsidR="00977EEC">
        <w:t>and</w:t>
      </w:r>
      <w:r w:rsidR="00691B4A" w:rsidRPr="008126EB">
        <w:t xml:space="preserve"> </w:t>
      </w:r>
      <w:r w:rsidR="00691B4A" w:rsidRPr="008126EB">
        <w:rPr>
          <w:i/>
        </w:rPr>
        <w:t>INSIDER</w:t>
      </w:r>
      <w:r w:rsidR="00691B4A" w:rsidRPr="008126EB">
        <w:t xml:space="preserve"> </w:t>
      </w:r>
      <w:r w:rsidR="00940EB6">
        <w:t xml:space="preserve">represents the </w:t>
      </w:r>
      <w:r w:rsidR="00691B4A" w:rsidRPr="008126EB">
        <w:t xml:space="preserve">percentage of </w:t>
      </w:r>
      <w:r w:rsidR="00940EB6">
        <w:t xml:space="preserve">equity </w:t>
      </w:r>
      <w:r w:rsidR="00691B4A" w:rsidRPr="008126EB">
        <w:t>shares owned by corporate insiders.</w:t>
      </w:r>
    </w:p>
    <w:p w:rsidR="00993909" w:rsidRPr="008126EB" w:rsidRDefault="00993909" w:rsidP="00FE1E17">
      <w:pPr>
        <w:widowControl/>
        <w:adjustRightInd w:val="0"/>
        <w:snapToGrid w:val="0"/>
        <w:spacing w:line="288" w:lineRule="auto"/>
        <w:jc w:val="both"/>
      </w:pPr>
    </w:p>
    <w:p w:rsidR="00691B4A" w:rsidRPr="008126EB" w:rsidRDefault="00B26438" w:rsidP="00FE1E17">
      <w:pPr>
        <w:widowControl/>
        <w:adjustRightInd w:val="0"/>
        <w:snapToGrid w:val="0"/>
        <w:spacing w:line="288" w:lineRule="auto"/>
        <w:ind w:firstLineChars="295" w:firstLine="708"/>
        <w:jc w:val="both"/>
      </w:pPr>
      <w:r w:rsidRPr="008126EB">
        <w:t>Table 4 p</w:t>
      </w:r>
      <w:r w:rsidR="00691B4A" w:rsidRPr="008126EB">
        <w:t xml:space="preserve">rovides </w:t>
      </w:r>
      <w:r w:rsidR="00D4196E">
        <w:t xml:space="preserve">the </w:t>
      </w:r>
      <w:r w:rsidR="00691B4A" w:rsidRPr="008126EB">
        <w:t xml:space="preserve">OLS and </w:t>
      </w:r>
      <w:r w:rsidR="0003724F">
        <w:t xml:space="preserve">the </w:t>
      </w:r>
      <w:r w:rsidR="00691B4A" w:rsidRPr="008126EB">
        <w:t xml:space="preserve">QR estimates of the relation between </w:t>
      </w:r>
      <w:r w:rsidR="00C473A3">
        <w:rPr>
          <w:rFonts w:hint="eastAsia"/>
        </w:rPr>
        <w:t>earnings manipulation</w:t>
      </w:r>
      <w:r w:rsidR="00691B4A" w:rsidRPr="008126EB">
        <w:rPr>
          <w:rFonts w:hint="eastAsia"/>
        </w:rPr>
        <w:t xml:space="preserve"> </w:t>
      </w:r>
      <w:r w:rsidR="00691B4A" w:rsidRPr="008126EB">
        <w:t xml:space="preserve">and </w:t>
      </w:r>
      <w:r w:rsidR="00691B4A" w:rsidRPr="008126EB">
        <w:rPr>
          <w:rFonts w:hint="eastAsia"/>
        </w:rPr>
        <w:t>industry-adjusted T</w:t>
      </w:r>
      <w:r w:rsidR="00691B4A" w:rsidRPr="008126EB">
        <w:t xml:space="preserve">obin’s </w:t>
      </w:r>
      <w:r w:rsidR="00D64207">
        <w:rPr>
          <w:i/>
          <w:kern w:val="0"/>
        </w:rPr>
        <w:t>q</w:t>
      </w:r>
      <w:r w:rsidR="00691B4A" w:rsidRPr="008126EB">
        <w:rPr>
          <w:rFonts w:hint="eastAsia"/>
        </w:rPr>
        <w:t xml:space="preserve">. </w:t>
      </w:r>
      <w:r w:rsidR="00691B4A" w:rsidRPr="008126EB">
        <w:t xml:space="preserve">The statistics of the corresponding estimates are </w:t>
      </w:r>
      <w:r w:rsidR="00B3684B">
        <w:t>diagrammed</w:t>
      </w:r>
      <w:r w:rsidR="00B3684B" w:rsidRPr="008126EB">
        <w:t xml:space="preserve"> </w:t>
      </w:r>
      <w:r w:rsidR="00691B4A" w:rsidRPr="008126EB">
        <w:t xml:space="preserve">in Figure </w:t>
      </w:r>
      <w:r w:rsidR="00BE07AC">
        <w:t>5</w:t>
      </w:r>
      <w:r w:rsidR="00691B4A" w:rsidRPr="008126EB">
        <w:t xml:space="preserve">. </w:t>
      </w:r>
      <w:r w:rsidR="00B3684B">
        <w:t>According to</w:t>
      </w:r>
      <w:r w:rsidR="00C2585B">
        <w:t xml:space="preserve"> the result of</w:t>
      </w:r>
      <w:r w:rsidR="00B3684B">
        <w:t xml:space="preserve"> </w:t>
      </w:r>
      <w:r w:rsidR="00B3684B" w:rsidRPr="008126EB">
        <w:t>OLS</w:t>
      </w:r>
      <w:r w:rsidR="00C2585B">
        <w:t xml:space="preserve"> estimate</w:t>
      </w:r>
      <w:r w:rsidR="00691B4A" w:rsidRPr="008126EB">
        <w:t>, the</w:t>
      </w:r>
      <w:r w:rsidR="00B3684B">
        <w:t>re is a significant and positive</w:t>
      </w:r>
      <w:r w:rsidR="00691B4A" w:rsidRPr="008126EB">
        <w:t xml:space="preserve"> </w:t>
      </w:r>
      <w:r w:rsidR="00691B4A" w:rsidRPr="008126EB">
        <w:rPr>
          <w:lang w:eastAsia="ko-KR"/>
        </w:rPr>
        <w:t xml:space="preserve">coefficient </w:t>
      </w:r>
      <w:r w:rsidR="0025734B">
        <w:rPr>
          <w:lang w:eastAsia="ko-KR"/>
        </w:rPr>
        <w:t xml:space="preserve">on </w:t>
      </w:r>
      <w:r w:rsidR="00691B4A" w:rsidRPr="008126EB">
        <w:rPr>
          <w:rFonts w:hint="eastAsia"/>
          <w:i/>
        </w:rPr>
        <w:t>|DA|</w:t>
      </w:r>
      <w:r w:rsidR="00691B4A" w:rsidRPr="008126EB">
        <w:rPr>
          <w:rFonts w:hint="eastAsia"/>
        </w:rPr>
        <w:t xml:space="preserve"> (</w:t>
      </w:r>
      <w:r w:rsidR="00691B4A" w:rsidRPr="008126EB">
        <w:t xml:space="preserve">coefficient = 1.526, </w:t>
      </w:r>
      <w:r w:rsidR="00691B4A" w:rsidRPr="008126EB">
        <w:rPr>
          <w:i/>
        </w:rPr>
        <w:t>p</w:t>
      </w:r>
      <w:r w:rsidR="00691B4A" w:rsidRPr="008126EB">
        <w:t>-value</w:t>
      </w:r>
      <w:r w:rsidR="00691B4A" w:rsidRPr="008126EB">
        <w:rPr>
          <w:i/>
        </w:rPr>
        <w:t xml:space="preserve"> </w:t>
      </w:r>
      <w:r w:rsidR="00691B4A" w:rsidRPr="008126EB">
        <w:t>&lt; 0.01).</w:t>
      </w:r>
      <w:r w:rsidR="00691B4A" w:rsidRPr="008126EB">
        <w:rPr>
          <w:rFonts w:hint="eastAsia"/>
        </w:rPr>
        <w:t xml:space="preserve"> </w:t>
      </w:r>
      <w:r w:rsidR="00977EEC">
        <w:t>W</w:t>
      </w:r>
      <w:r w:rsidR="00691B4A" w:rsidRPr="008126EB">
        <w:rPr>
          <w:lang w:eastAsia="ko-KR"/>
        </w:rPr>
        <w:t xml:space="preserve">e </w:t>
      </w:r>
      <w:r w:rsidR="00960B35">
        <w:rPr>
          <w:lang w:eastAsia="ko-KR"/>
        </w:rPr>
        <w:t xml:space="preserve">then </w:t>
      </w:r>
      <w:r w:rsidR="00691B4A" w:rsidRPr="008126EB">
        <w:rPr>
          <w:rFonts w:hint="eastAsia"/>
        </w:rPr>
        <w:t>examine</w:t>
      </w:r>
      <w:r w:rsidR="00B3684B">
        <w:t xml:space="preserve"> whether</w:t>
      </w:r>
      <w:r w:rsidR="00691B4A" w:rsidRPr="008126EB">
        <w:rPr>
          <w:rFonts w:hint="eastAsia"/>
        </w:rPr>
        <w:t xml:space="preserve"> </w:t>
      </w:r>
      <w:r w:rsidR="00691B4A" w:rsidRPr="008126EB">
        <w:t xml:space="preserve">the relation between </w:t>
      </w:r>
      <w:r w:rsidR="0025734B" w:rsidRPr="0025734B">
        <w:rPr>
          <w:i/>
          <w:iCs/>
        </w:rPr>
        <w:t>|DA|</w:t>
      </w:r>
      <w:r w:rsidR="00691B4A" w:rsidRPr="008126EB">
        <w:t xml:space="preserve"> and </w:t>
      </w:r>
      <w:r w:rsidR="00691B4A" w:rsidRPr="008126EB">
        <w:rPr>
          <w:rFonts w:hint="eastAsia"/>
        </w:rPr>
        <w:t>T</w:t>
      </w:r>
      <w:r w:rsidR="00691B4A" w:rsidRPr="008126EB">
        <w:t xml:space="preserve">obin’s </w:t>
      </w:r>
      <w:r w:rsidR="00D64207">
        <w:rPr>
          <w:i/>
          <w:kern w:val="0"/>
        </w:rPr>
        <w:t>q</w:t>
      </w:r>
      <w:r w:rsidR="00B3684B" w:rsidRPr="00B3684B">
        <w:t xml:space="preserve"> </w:t>
      </w:r>
      <w:r w:rsidR="00B3684B">
        <w:t xml:space="preserve">is </w:t>
      </w:r>
      <w:r w:rsidR="00B3684B" w:rsidRPr="008126EB">
        <w:t>non-uniform</w:t>
      </w:r>
      <w:r w:rsidR="00691B4A" w:rsidRPr="008126EB">
        <w:rPr>
          <w:rFonts w:hint="eastAsia"/>
        </w:rPr>
        <w:t>.</w:t>
      </w:r>
      <w:r w:rsidR="00691B4A" w:rsidRPr="008126EB">
        <w:rPr>
          <w:lang w:eastAsia="ko-KR"/>
        </w:rPr>
        <w:t xml:space="preserve"> </w:t>
      </w:r>
      <w:r w:rsidR="004A4452">
        <w:rPr>
          <w:rFonts w:hint="eastAsia"/>
        </w:rPr>
        <w:t xml:space="preserve">As </w:t>
      </w:r>
      <w:r w:rsidR="004A4452">
        <w:t>shown</w:t>
      </w:r>
      <w:r w:rsidR="004A4452">
        <w:rPr>
          <w:rFonts w:hint="eastAsia"/>
        </w:rPr>
        <w:t xml:space="preserve"> in </w:t>
      </w:r>
      <w:r w:rsidRPr="008126EB">
        <w:rPr>
          <w:rFonts w:hint="eastAsia"/>
        </w:rPr>
        <w:t xml:space="preserve">Table </w:t>
      </w:r>
      <w:r w:rsidRPr="008126EB">
        <w:t>4</w:t>
      </w:r>
      <w:r w:rsidR="004A4452">
        <w:rPr>
          <w:rFonts w:hint="eastAsia"/>
        </w:rPr>
        <w:t xml:space="preserve">, the </w:t>
      </w:r>
      <w:r w:rsidR="00691B4A" w:rsidRPr="008126EB">
        <w:rPr>
          <w:rFonts w:hint="eastAsia"/>
          <w:i/>
        </w:rPr>
        <w:t>|DA|</w:t>
      </w:r>
      <w:r w:rsidR="00691B4A" w:rsidRPr="008126EB">
        <w:rPr>
          <w:rFonts w:hint="eastAsia"/>
        </w:rPr>
        <w:t xml:space="preserve"> </w:t>
      </w:r>
      <w:r w:rsidR="004A4452">
        <w:rPr>
          <w:rFonts w:hint="eastAsia"/>
        </w:rPr>
        <w:t xml:space="preserve">estimate is </w:t>
      </w:r>
      <w:r w:rsidR="00691B4A" w:rsidRPr="008126EB">
        <w:t>significant</w:t>
      </w:r>
      <w:r w:rsidR="004A4452">
        <w:rPr>
          <w:rFonts w:hint="eastAsia"/>
        </w:rPr>
        <w:t xml:space="preserve"> and </w:t>
      </w:r>
      <w:r w:rsidR="00691B4A" w:rsidRPr="008126EB">
        <w:t xml:space="preserve">positive between </w:t>
      </w:r>
      <w:r w:rsidR="00691B4A" w:rsidRPr="008126EB">
        <w:rPr>
          <w:rFonts w:hint="eastAsia"/>
        </w:rPr>
        <w:t>35</w:t>
      </w:r>
      <w:r w:rsidR="000173C0">
        <w:t>%</w:t>
      </w:r>
      <w:r w:rsidR="00691B4A" w:rsidRPr="008126EB">
        <w:t xml:space="preserve"> and </w:t>
      </w:r>
      <w:r w:rsidR="00691B4A" w:rsidRPr="008126EB">
        <w:rPr>
          <w:rFonts w:hint="eastAsia"/>
        </w:rPr>
        <w:t>95</w:t>
      </w:r>
      <w:r w:rsidR="000173C0">
        <w:t>%</w:t>
      </w:r>
      <w:r w:rsidR="00691B4A" w:rsidRPr="008126EB">
        <w:t xml:space="preserve"> </w:t>
      </w:r>
      <w:r w:rsidR="008B50FC">
        <w:t xml:space="preserve">quantiles </w:t>
      </w:r>
      <w:r w:rsidR="00067D4E" w:rsidRPr="008126EB">
        <w:t xml:space="preserve">of </w:t>
      </w:r>
      <w:r w:rsidR="00067D4E" w:rsidRPr="008126EB">
        <w:rPr>
          <w:rFonts w:hint="eastAsia"/>
        </w:rPr>
        <w:t>Tobin</w:t>
      </w:r>
      <w:r w:rsidR="00067D4E" w:rsidRPr="008126EB">
        <w:t>’</w:t>
      </w:r>
      <w:r w:rsidR="00067D4E" w:rsidRPr="008126EB">
        <w:rPr>
          <w:rFonts w:hint="eastAsia"/>
        </w:rPr>
        <w:t xml:space="preserve">s </w:t>
      </w:r>
      <w:r w:rsidR="00D64207">
        <w:rPr>
          <w:i/>
          <w:kern w:val="0"/>
        </w:rPr>
        <w:t>q</w:t>
      </w:r>
      <w:r w:rsidR="00691B4A" w:rsidRPr="008126EB">
        <w:t>.</w:t>
      </w:r>
      <w:r w:rsidR="00960B35">
        <w:t xml:space="preserve"> However,</w:t>
      </w:r>
      <w:r w:rsidR="00691B4A" w:rsidRPr="008126EB">
        <w:t xml:space="preserve"> </w:t>
      </w:r>
      <w:r w:rsidR="00691B4A" w:rsidRPr="008126EB">
        <w:rPr>
          <w:rFonts w:hint="eastAsia"/>
          <w:i/>
        </w:rPr>
        <w:t>|DA|</w:t>
      </w:r>
      <w:r w:rsidR="00691B4A" w:rsidRPr="008126EB">
        <w:t xml:space="preserve"> </w:t>
      </w:r>
      <w:r w:rsidR="00067D4E">
        <w:rPr>
          <w:rFonts w:hint="eastAsia"/>
        </w:rPr>
        <w:t xml:space="preserve">estimate </w:t>
      </w:r>
      <w:r w:rsidR="00960B35">
        <w:t xml:space="preserve">turns </w:t>
      </w:r>
      <w:r w:rsidR="00691B4A" w:rsidRPr="008126EB">
        <w:t xml:space="preserve">insignificant between </w:t>
      </w:r>
      <w:r w:rsidR="00691B4A" w:rsidRPr="008126EB">
        <w:rPr>
          <w:rFonts w:hint="eastAsia"/>
        </w:rPr>
        <w:t>1</w:t>
      </w:r>
      <w:r w:rsidR="00691B4A" w:rsidRPr="008126EB">
        <w:t>5</w:t>
      </w:r>
      <w:r w:rsidR="000173C0">
        <w:t>%</w:t>
      </w:r>
      <w:r w:rsidR="00691B4A" w:rsidRPr="008126EB">
        <w:t xml:space="preserve"> and </w:t>
      </w:r>
      <w:r w:rsidR="00691B4A" w:rsidRPr="008126EB">
        <w:rPr>
          <w:rFonts w:hint="eastAsia"/>
        </w:rPr>
        <w:t>3</w:t>
      </w:r>
      <w:r w:rsidR="00691B4A" w:rsidRPr="008126EB">
        <w:t>0</w:t>
      </w:r>
      <w:r w:rsidR="000173C0">
        <w:t>%</w:t>
      </w:r>
      <w:r w:rsidR="00691B4A" w:rsidRPr="008126EB">
        <w:t xml:space="preserve"> </w:t>
      </w:r>
      <w:r w:rsidR="008B50FC">
        <w:t xml:space="preserve">quantiles </w:t>
      </w:r>
      <w:r w:rsidR="00067D4E" w:rsidRPr="008126EB">
        <w:t xml:space="preserve">of </w:t>
      </w:r>
      <w:r w:rsidR="00067D4E" w:rsidRPr="008126EB">
        <w:rPr>
          <w:rFonts w:hint="eastAsia"/>
        </w:rPr>
        <w:t>Tobin</w:t>
      </w:r>
      <w:r w:rsidR="00067D4E" w:rsidRPr="008126EB">
        <w:t>’</w:t>
      </w:r>
      <w:r w:rsidR="00067D4E" w:rsidRPr="008126EB">
        <w:rPr>
          <w:rFonts w:hint="eastAsia"/>
        </w:rPr>
        <w:t xml:space="preserve">s </w:t>
      </w:r>
      <w:r w:rsidR="00D64207">
        <w:rPr>
          <w:i/>
          <w:kern w:val="0"/>
        </w:rPr>
        <w:t>q</w:t>
      </w:r>
      <w:r w:rsidR="00691B4A" w:rsidRPr="008126EB">
        <w:t xml:space="preserve">. Finally, the </w:t>
      </w:r>
      <w:r w:rsidR="004A4452">
        <w:rPr>
          <w:rFonts w:hint="eastAsia"/>
        </w:rPr>
        <w:t xml:space="preserve">estimate </w:t>
      </w:r>
      <w:r w:rsidR="00960B35">
        <w:t>becomes</w:t>
      </w:r>
      <w:r w:rsidR="00691B4A" w:rsidRPr="008126EB">
        <w:t xml:space="preserve"> significantly negative </w:t>
      </w:r>
      <w:r w:rsidR="00067D4E">
        <w:t xml:space="preserve">between </w:t>
      </w:r>
      <w:r w:rsidR="00067D4E" w:rsidRPr="008126EB">
        <w:rPr>
          <w:rFonts w:hint="eastAsia"/>
        </w:rPr>
        <w:t>5</w:t>
      </w:r>
      <w:r w:rsidR="00067D4E">
        <w:t>%</w:t>
      </w:r>
      <w:r w:rsidR="00067D4E" w:rsidRPr="008126EB">
        <w:t xml:space="preserve"> and </w:t>
      </w:r>
      <w:r w:rsidR="00067D4E">
        <w:t>1</w:t>
      </w:r>
      <w:r w:rsidR="00067D4E" w:rsidRPr="008126EB">
        <w:rPr>
          <w:rFonts w:hint="eastAsia"/>
        </w:rPr>
        <w:t>0</w:t>
      </w:r>
      <w:r w:rsidR="00067D4E">
        <w:t xml:space="preserve">% </w:t>
      </w:r>
      <w:r w:rsidR="008B50FC">
        <w:t xml:space="preserve">quantiles of </w:t>
      </w:r>
      <w:r w:rsidR="00067D4E" w:rsidRPr="008126EB">
        <w:rPr>
          <w:rFonts w:hint="eastAsia"/>
        </w:rPr>
        <w:t>Tobin</w:t>
      </w:r>
      <w:r w:rsidR="00067D4E" w:rsidRPr="008126EB">
        <w:t>’</w:t>
      </w:r>
      <w:r w:rsidR="00067D4E" w:rsidRPr="008126EB">
        <w:rPr>
          <w:rFonts w:hint="eastAsia"/>
        </w:rPr>
        <w:t xml:space="preserve">s </w:t>
      </w:r>
      <w:r w:rsidR="00D64207">
        <w:rPr>
          <w:i/>
          <w:kern w:val="0"/>
        </w:rPr>
        <w:t>q</w:t>
      </w:r>
      <w:r w:rsidR="00691B4A" w:rsidRPr="008126EB">
        <w:t xml:space="preserve">. The </w:t>
      </w:r>
      <w:r w:rsidR="00960B35" w:rsidRPr="008126EB">
        <w:rPr>
          <w:i/>
        </w:rPr>
        <w:t>F</w:t>
      </w:r>
      <w:r w:rsidR="00960B35" w:rsidRPr="008126EB">
        <w:t xml:space="preserve"> </w:t>
      </w:r>
      <w:r w:rsidR="004A4452">
        <w:t>statistics</w:t>
      </w:r>
      <w:r w:rsidR="004A4452">
        <w:rPr>
          <w:rFonts w:hint="eastAsia"/>
        </w:rPr>
        <w:t xml:space="preserve"> </w:t>
      </w:r>
      <w:r w:rsidR="00960B35">
        <w:t xml:space="preserve">affirm </w:t>
      </w:r>
      <w:r w:rsidR="004A4452">
        <w:rPr>
          <w:rFonts w:hint="eastAsia"/>
        </w:rPr>
        <w:t xml:space="preserve">the quantile-varying estimate pattern is significant. </w:t>
      </w:r>
      <w:r w:rsidR="00123CE4">
        <w:t>By</w:t>
      </w:r>
      <w:r w:rsidR="004A4452">
        <w:rPr>
          <w:rFonts w:hint="eastAsia"/>
        </w:rPr>
        <w:t xml:space="preserve"> compari</w:t>
      </w:r>
      <w:r w:rsidR="00123CE4">
        <w:t xml:space="preserve">ng </w:t>
      </w:r>
      <w:r w:rsidRPr="008126EB">
        <w:t>Figure</w:t>
      </w:r>
      <w:r w:rsidR="004A4452">
        <w:rPr>
          <w:rFonts w:hint="eastAsia"/>
        </w:rPr>
        <w:t>s</w:t>
      </w:r>
      <w:r w:rsidRPr="008126EB">
        <w:t xml:space="preserve"> </w:t>
      </w:r>
      <w:r w:rsidR="00BE07AC">
        <w:t>2</w:t>
      </w:r>
      <w:r w:rsidRPr="008126EB">
        <w:t xml:space="preserve"> a</w:t>
      </w:r>
      <w:r w:rsidR="00691B4A" w:rsidRPr="008126EB">
        <w:t xml:space="preserve">nd </w:t>
      </w:r>
      <w:r w:rsidR="00BE07AC">
        <w:t>5</w:t>
      </w:r>
      <w:r w:rsidR="00123CE4">
        <w:t xml:space="preserve">, it </w:t>
      </w:r>
      <w:r w:rsidR="00B3684B">
        <w:t xml:space="preserve">demonstrates </w:t>
      </w:r>
      <w:r w:rsidR="004A4452">
        <w:rPr>
          <w:rFonts w:hint="eastAsia"/>
        </w:rPr>
        <w:t xml:space="preserve">that the </w:t>
      </w:r>
      <w:r w:rsidR="00B3684B">
        <w:t xml:space="preserve">pattern of </w:t>
      </w:r>
      <w:r w:rsidR="00164ECF">
        <w:t xml:space="preserve">quantile-varying </w:t>
      </w:r>
      <w:r w:rsidR="004A4452">
        <w:rPr>
          <w:rFonts w:hint="eastAsia"/>
        </w:rPr>
        <w:t xml:space="preserve">QR estimates </w:t>
      </w:r>
      <w:r w:rsidR="00164ECF">
        <w:t xml:space="preserve">on </w:t>
      </w:r>
      <w:r w:rsidR="004A4452" w:rsidRPr="004A4452">
        <w:rPr>
          <w:rFonts w:hint="eastAsia"/>
          <w:i/>
        </w:rPr>
        <w:t>|DA|</w:t>
      </w:r>
      <w:r w:rsidR="004A4452">
        <w:rPr>
          <w:rFonts w:hint="eastAsia"/>
        </w:rPr>
        <w:t xml:space="preserve"> variable is </w:t>
      </w:r>
      <w:r w:rsidR="00691B4A" w:rsidRPr="008126EB">
        <w:t>robust</w:t>
      </w:r>
      <w:r w:rsidR="00E9123A">
        <w:t xml:space="preserve"> when measuring </w:t>
      </w:r>
      <w:r w:rsidR="00164ECF">
        <w:t>firm performance</w:t>
      </w:r>
      <w:r w:rsidR="00E9123A">
        <w:t xml:space="preserve"> using Tobin’s </w:t>
      </w:r>
      <w:r w:rsidR="00D64207">
        <w:rPr>
          <w:i/>
        </w:rPr>
        <w:t>q</w:t>
      </w:r>
      <w:r w:rsidR="00164ECF">
        <w:t xml:space="preserve">. </w:t>
      </w:r>
    </w:p>
    <w:p w:rsidR="00691B4A" w:rsidRDefault="00691B4A" w:rsidP="00FE1E17">
      <w:pPr>
        <w:widowControl/>
        <w:adjustRightInd w:val="0"/>
        <w:snapToGrid w:val="0"/>
        <w:spacing w:line="288" w:lineRule="auto"/>
        <w:jc w:val="center"/>
      </w:pPr>
      <w:r w:rsidRPr="008126EB">
        <w:t>[</w:t>
      </w:r>
    </w:p>
    <w:p w:rsidR="00FE0B8A" w:rsidRDefault="00FE0B8A">
      <w:pPr>
        <w:widowControl/>
        <w:spacing w:after="160" w:line="259" w:lineRule="auto"/>
        <w:rPr>
          <w:rFonts w:eastAsia="DFKai-SB"/>
          <w:b/>
          <w:sz w:val="22"/>
          <w:szCs w:val="22"/>
        </w:rPr>
      </w:pPr>
      <w:r>
        <w:rPr>
          <w:rFonts w:eastAsia="DFKai-SB"/>
          <w:b/>
          <w:sz w:val="22"/>
          <w:szCs w:val="22"/>
        </w:rPr>
        <w:br w:type="page"/>
      </w:r>
    </w:p>
    <w:p w:rsidR="00EC2448" w:rsidRDefault="00FE1E17" w:rsidP="00FE1E17">
      <w:pPr>
        <w:snapToGrid w:val="0"/>
        <w:spacing w:line="0" w:lineRule="atLeast"/>
        <w:jc w:val="center"/>
        <w:rPr>
          <w:rFonts w:eastAsia="DFKai-SB"/>
          <w:b/>
          <w:sz w:val="22"/>
          <w:szCs w:val="22"/>
        </w:rPr>
      </w:pPr>
      <w:r w:rsidRPr="00FE1E17">
        <w:rPr>
          <w:rFonts w:eastAsia="DFKai-SB"/>
          <w:b/>
          <w:sz w:val="22"/>
          <w:szCs w:val="22"/>
        </w:rPr>
        <w:lastRenderedPageBreak/>
        <w:t>Table 4</w:t>
      </w:r>
      <w:r w:rsidR="00FE0B8A">
        <w:rPr>
          <w:rFonts w:eastAsia="DFKai-SB"/>
          <w:b/>
          <w:sz w:val="22"/>
          <w:szCs w:val="22"/>
        </w:rPr>
        <w:t xml:space="preserve">: </w:t>
      </w:r>
      <w:r w:rsidR="00EC2448">
        <w:rPr>
          <w:rFonts w:eastAsia="DFKai-SB"/>
          <w:b/>
          <w:sz w:val="22"/>
          <w:szCs w:val="22"/>
        </w:rPr>
        <w:t xml:space="preserve"> The R</w:t>
      </w:r>
      <w:r w:rsidRPr="00FE1E17">
        <w:rPr>
          <w:rFonts w:eastAsia="DFKai-SB"/>
          <w:b/>
          <w:sz w:val="22"/>
          <w:szCs w:val="22"/>
        </w:rPr>
        <w:t xml:space="preserve">elation between </w:t>
      </w:r>
      <w:r w:rsidRPr="00FE1E17">
        <w:rPr>
          <w:b/>
          <w:sz w:val="22"/>
          <w:szCs w:val="22"/>
        </w:rPr>
        <w:t>|</w:t>
      </w:r>
      <w:r w:rsidRPr="00FE1E17">
        <w:rPr>
          <w:b/>
          <w:i/>
          <w:sz w:val="22"/>
          <w:szCs w:val="22"/>
        </w:rPr>
        <w:t xml:space="preserve">DA| </w:t>
      </w:r>
      <w:r w:rsidR="00EC2448">
        <w:rPr>
          <w:rFonts w:eastAsia="DFKai-SB"/>
          <w:b/>
          <w:sz w:val="22"/>
          <w:szCs w:val="22"/>
        </w:rPr>
        <w:t>and Industry-A</w:t>
      </w:r>
      <w:r w:rsidRPr="00FE1E17">
        <w:rPr>
          <w:rFonts w:eastAsia="DFKai-SB"/>
          <w:b/>
          <w:sz w:val="22"/>
          <w:szCs w:val="22"/>
        </w:rPr>
        <w:t xml:space="preserve">djusted Tobin’s </w:t>
      </w:r>
      <w:r w:rsidRPr="00FE1E17">
        <w:rPr>
          <w:b/>
          <w:i/>
          <w:kern w:val="0"/>
          <w:sz w:val="22"/>
          <w:szCs w:val="22"/>
        </w:rPr>
        <w:t>Q</w:t>
      </w:r>
      <w:r w:rsidRPr="00FE1E17">
        <w:rPr>
          <w:rFonts w:eastAsia="DFKai-SB"/>
          <w:b/>
          <w:sz w:val="22"/>
          <w:szCs w:val="22"/>
        </w:rPr>
        <w:t xml:space="preserve"> </w:t>
      </w:r>
    </w:p>
    <w:p w:rsidR="00FE1E17" w:rsidRPr="00FE1E17" w:rsidRDefault="00FE1E17" w:rsidP="00FE1E17">
      <w:pPr>
        <w:snapToGrid w:val="0"/>
        <w:spacing w:line="0" w:lineRule="atLeast"/>
        <w:jc w:val="center"/>
        <w:rPr>
          <w:rFonts w:eastAsia="DFKai-SB"/>
          <w:b/>
          <w:sz w:val="22"/>
          <w:szCs w:val="22"/>
          <w:lang w:val="fr-FR"/>
        </w:rPr>
      </w:pPr>
      <w:proofErr w:type="gramStart"/>
      <w:r w:rsidRPr="00FE1E17">
        <w:rPr>
          <w:rFonts w:eastAsia="DFKai-SB"/>
          <w:b/>
          <w:sz w:val="22"/>
          <w:szCs w:val="22"/>
        </w:rPr>
        <w:t>across</w:t>
      </w:r>
      <w:proofErr w:type="gramEnd"/>
      <w:r w:rsidRPr="00FE1E17">
        <w:rPr>
          <w:rFonts w:eastAsia="DFKai-SB"/>
          <w:b/>
          <w:sz w:val="22"/>
          <w:szCs w:val="22"/>
        </w:rPr>
        <w:t xml:space="preserve"> </w:t>
      </w:r>
      <w:proofErr w:type="spellStart"/>
      <w:r w:rsidR="00EC2448">
        <w:rPr>
          <w:rFonts w:eastAsia="DFKai-SB"/>
          <w:b/>
          <w:sz w:val="22"/>
          <w:szCs w:val="22"/>
          <w:lang w:val="fr-FR"/>
        </w:rPr>
        <w:t>Various</w:t>
      </w:r>
      <w:proofErr w:type="spellEnd"/>
      <w:r w:rsidR="00EC2448">
        <w:rPr>
          <w:rFonts w:eastAsia="DFKai-SB"/>
          <w:b/>
          <w:sz w:val="22"/>
          <w:szCs w:val="22"/>
          <w:lang w:val="fr-FR"/>
        </w:rPr>
        <w:t xml:space="preserve"> Q</w:t>
      </w:r>
      <w:r w:rsidRPr="00FE1E17">
        <w:rPr>
          <w:rFonts w:eastAsia="DFKai-SB"/>
          <w:b/>
          <w:sz w:val="22"/>
          <w:szCs w:val="22"/>
          <w:lang w:val="fr-FR"/>
        </w:rPr>
        <w:t xml:space="preserve">uantiles of </w:t>
      </w:r>
      <w:proofErr w:type="spellStart"/>
      <w:r w:rsidRPr="00FE1E17">
        <w:rPr>
          <w:rFonts w:eastAsia="DFKai-SB"/>
          <w:b/>
          <w:sz w:val="22"/>
          <w:szCs w:val="22"/>
          <w:lang w:val="fr-FR"/>
        </w:rPr>
        <w:t>Tobin’s</w:t>
      </w:r>
      <w:proofErr w:type="spellEnd"/>
      <w:r w:rsidRPr="00FE1E17">
        <w:rPr>
          <w:rFonts w:eastAsia="DFKai-SB"/>
          <w:b/>
          <w:sz w:val="22"/>
          <w:szCs w:val="22"/>
          <w:lang w:val="fr-FR"/>
        </w:rPr>
        <w:t xml:space="preserve"> </w:t>
      </w:r>
      <w:r w:rsidRPr="00FE1E17">
        <w:rPr>
          <w:rFonts w:eastAsia="DFKai-SB"/>
          <w:b/>
          <w:i/>
          <w:iCs/>
          <w:sz w:val="22"/>
          <w:szCs w:val="22"/>
          <w:lang w:val="fr-FR"/>
        </w:rPr>
        <w:t>Q</w:t>
      </w:r>
    </w:p>
    <w:p w:rsidR="00FE1E17" w:rsidRPr="00A5381D" w:rsidRDefault="00FE1E17" w:rsidP="00FE1E17">
      <w:pPr>
        <w:snapToGrid w:val="0"/>
        <w:spacing w:line="0" w:lineRule="atLeast"/>
        <w:jc w:val="center"/>
        <w:rPr>
          <w:rFonts w:eastAsia="DFKai-SB"/>
          <w:b/>
          <w:sz w:val="10"/>
          <w:szCs w:val="10"/>
          <w:lang w:val="fr-FR"/>
        </w:rPr>
      </w:pPr>
    </w:p>
    <w:p w:rsidR="00FE1E17" w:rsidRPr="00FE1E17" w:rsidRDefault="00FE1E17" w:rsidP="00FE1E17">
      <w:pPr>
        <w:jc w:val="center"/>
        <w:rPr>
          <w:rFonts w:eastAsia="DFKai-SB"/>
          <w:i/>
          <w:sz w:val="22"/>
          <w:szCs w:val="22"/>
          <w:vertAlign w:val="subscript"/>
          <w:lang w:val="fr-FR"/>
        </w:rPr>
      </w:pPr>
      <w:r w:rsidRPr="00FE1E17">
        <w:rPr>
          <w:rFonts w:eastAsia="DFKai-SB"/>
          <w:i/>
          <w:sz w:val="22"/>
          <w:szCs w:val="22"/>
          <w:lang w:val="fr-FR"/>
        </w:rPr>
        <w:t>TOBIN</w:t>
      </w:r>
      <w:r w:rsidRPr="00FE1E17">
        <w:rPr>
          <w:rFonts w:eastAsia="DFKai-SB"/>
          <w:i/>
          <w:sz w:val="22"/>
          <w:szCs w:val="22"/>
          <w:vertAlign w:val="subscript"/>
          <w:lang w:val="fr-FR"/>
        </w:rPr>
        <w:t>i,t</w:t>
      </w:r>
      <w:r w:rsidRPr="00FE1E17">
        <w:rPr>
          <w:i/>
          <w:sz w:val="22"/>
          <w:szCs w:val="22"/>
          <w:vertAlign w:val="subscript"/>
          <w:lang w:val="fr-FR"/>
        </w:rPr>
        <w:t>+1</w:t>
      </w:r>
      <w:r w:rsidRPr="00FE1E17">
        <w:rPr>
          <w:rFonts w:eastAsia="DFKai-SB"/>
          <w:sz w:val="22"/>
          <w:szCs w:val="22"/>
          <w:lang w:val="fr-FR"/>
        </w:rPr>
        <w:t xml:space="preserve"> =</w:t>
      </w:r>
      <w:r w:rsidRPr="00FE1E17">
        <w:rPr>
          <w:rFonts w:eastAsia="DFKai-SB"/>
          <w:i/>
          <w:sz w:val="22"/>
          <w:szCs w:val="22"/>
          <w:lang w:val="fr-FR"/>
        </w:rPr>
        <w:t xml:space="preserve"> </w:t>
      </w:r>
      <w:r w:rsidRPr="00FE1E17">
        <w:rPr>
          <w:i/>
          <w:sz w:val="22"/>
          <w:szCs w:val="22"/>
        </w:rPr>
        <w:sym w:font="Symbol" w:char="F062"/>
      </w:r>
      <w:r w:rsidRPr="00FE1E17">
        <w:rPr>
          <w:rFonts w:eastAsia="DFKai-SB"/>
          <w:sz w:val="22"/>
          <w:szCs w:val="22"/>
          <w:vertAlign w:val="subscript"/>
          <w:lang w:val="fr-FR"/>
        </w:rPr>
        <w:t>0</w:t>
      </w:r>
      <w:r w:rsidRPr="00FE1E17">
        <w:rPr>
          <w:rFonts w:eastAsia="DFKai-SB"/>
          <w:i/>
          <w:sz w:val="22"/>
          <w:szCs w:val="22"/>
          <w:lang w:val="fr-FR"/>
        </w:rPr>
        <w:t xml:space="preserve"> + </w:t>
      </w:r>
      <w:r w:rsidRPr="00FE1E17">
        <w:rPr>
          <w:i/>
          <w:sz w:val="22"/>
          <w:szCs w:val="22"/>
        </w:rPr>
        <w:sym w:font="Symbol" w:char="F062"/>
      </w:r>
      <w:r w:rsidRPr="00FE1E17">
        <w:rPr>
          <w:rFonts w:eastAsia="DFKai-SB"/>
          <w:sz w:val="22"/>
          <w:szCs w:val="22"/>
          <w:vertAlign w:val="subscript"/>
          <w:lang w:val="fr-FR"/>
        </w:rPr>
        <w:t xml:space="preserve">1 </w:t>
      </w:r>
      <w:r w:rsidRPr="00FE1E17">
        <w:rPr>
          <w:rFonts w:eastAsia="DFKai-SB"/>
          <w:i/>
          <w:sz w:val="22"/>
          <w:szCs w:val="22"/>
          <w:lang w:val="fr-FR"/>
        </w:rPr>
        <w:t>|DA</w:t>
      </w:r>
      <w:r w:rsidRPr="00FE1E17">
        <w:rPr>
          <w:rFonts w:eastAsia="DFKai-SB"/>
          <w:i/>
          <w:sz w:val="22"/>
          <w:szCs w:val="22"/>
          <w:vertAlign w:val="subscript"/>
          <w:lang w:val="fr-FR"/>
        </w:rPr>
        <w:t>i,t</w:t>
      </w:r>
      <w:r w:rsidRPr="00FE1E17">
        <w:rPr>
          <w:rFonts w:eastAsia="DFKai-SB"/>
          <w:i/>
          <w:sz w:val="22"/>
          <w:szCs w:val="22"/>
          <w:lang w:val="fr-FR"/>
        </w:rPr>
        <w:t xml:space="preserve"> |+ </w:t>
      </w:r>
      <w:r w:rsidRPr="00FE1E17">
        <w:rPr>
          <w:i/>
          <w:sz w:val="22"/>
          <w:szCs w:val="22"/>
        </w:rPr>
        <w:sym w:font="Symbol" w:char="F062"/>
      </w:r>
      <w:r w:rsidRPr="00FE1E17">
        <w:rPr>
          <w:rFonts w:eastAsia="DFKai-SB"/>
          <w:sz w:val="22"/>
          <w:szCs w:val="22"/>
          <w:vertAlign w:val="subscript"/>
          <w:lang w:val="fr-FR"/>
        </w:rPr>
        <w:t xml:space="preserve">2 </w:t>
      </w:r>
      <w:r w:rsidRPr="00FE1E17">
        <w:rPr>
          <w:rFonts w:eastAsia="DFKai-SB"/>
          <w:i/>
          <w:sz w:val="22"/>
          <w:szCs w:val="22"/>
          <w:lang w:val="fr-FR"/>
        </w:rPr>
        <w:t>SIZE</w:t>
      </w:r>
      <w:r w:rsidRPr="00FE1E17">
        <w:rPr>
          <w:rFonts w:eastAsia="DFKai-SB"/>
          <w:i/>
          <w:sz w:val="22"/>
          <w:szCs w:val="22"/>
          <w:vertAlign w:val="subscript"/>
          <w:lang w:val="fr-FR"/>
        </w:rPr>
        <w:t>i,t</w:t>
      </w:r>
      <w:r w:rsidRPr="00FE1E17">
        <w:rPr>
          <w:rFonts w:eastAsia="DFKai-SB"/>
          <w:i/>
          <w:sz w:val="22"/>
          <w:szCs w:val="22"/>
          <w:lang w:val="fr-FR"/>
        </w:rPr>
        <w:t xml:space="preserve"> + </w:t>
      </w:r>
      <w:r w:rsidRPr="00FE1E17">
        <w:rPr>
          <w:i/>
          <w:sz w:val="22"/>
          <w:szCs w:val="22"/>
        </w:rPr>
        <w:sym w:font="Symbol" w:char="F062"/>
      </w:r>
      <w:r w:rsidRPr="00FE1E17">
        <w:rPr>
          <w:rFonts w:eastAsia="DFKai-SB"/>
          <w:sz w:val="22"/>
          <w:szCs w:val="22"/>
          <w:vertAlign w:val="subscript"/>
          <w:lang w:val="fr-FR"/>
        </w:rPr>
        <w:t xml:space="preserve">3 </w:t>
      </w:r>
      <w:r w:rsidRPr="00FE1E17">
        <w:rPr>
          <w:rFonts w:eastAsia="DFKai-SB"/>
          <w:i/>
          <w:sz w:val="22"/>
          <w:szCs w:val="22"/>
          <w:lang w:val="fr-FR"/>
        </w:rPr>
        <w:t>LEV</w:t>
      </w:r>
      <w:r w:rsidRPr="00FE1E17">
        <w:rPr>
          <w:rFonts w:eastAsia="DFKai-SB"/>
          <w:i/>
          <w:sz w:val="22"/>
          <w:szCs w:val="22"/>
          <w:vertAlign w:val="subscript"/>
          <w:lang w:val="fr-FR"/>
        </w:rPr>
        <w:t>i,t</w:t>
      </w:r>
      <w:r w:rsidRPr="00FE1E17">
        <w:rPr>
          <w:rFonts w:eastAsia="DFKai-SB"/>
          <w:i/>
          <w:sz w:val="22"/>
          <w:szCs w:val="22"/>
          <w:lang w:val="fr-FR"/>
        </w:rPr>
        <w:t xml:space="preserve"> +</w:t>
      </w:r>
      <w:r w:rsidRPr="00FE1E17">
        <w:rPr>
          <w:i/>
          <w:sz w:val="22"/>
          <w:szCs w:val="22"/>
        </w:rPr>
        <w:sym w:font="Symbol" w:char="F062"/>
      </w:r>
      <w:r w:rsidRPr="00FE1E17">
        <w:rPr>
          <w:rFonts w:eastAsia="DFKai-SB"/>
          <w:sz w:val="22"/>
          <w:szCs w:val="22"/>
          <w:vertAlign w:val="subscript"/>
          <w:lang w:val="fr-FR"/>
        </w:rPr>
        <w:t xml:space="preserve">4 </w:t>
      </w:r>
      <w:r w:rsidRPr="00FE1E17">
        <w:rPr>
          <w:rFonts w:eastAsia="DFKai-SB"/>
          <w:i/>
          <w:sz w:val="22"/>
          <w:szCs w:val="22"/>
          <w:lang w:val="fr-FR"/>
        </w:rPr>
        <w:t>INT</w:t>
      </w:r>
      <w:r w:rsidRPr="00FE1E17">
        <w:rPr>
          <w:rFonts w:eastAsia="DFKai-SB"/>
          <w:i/>
          <w:sz w:val="22"/>
          <w:szCs w:val="22"/>
          <w:vertAlign w:val="subscript"/>
          <w:lang w:val="fr-FR"/>
        </w:rPr>
        <w:t>i,t</w:t>
      </w:r>
      <w:r w:rsidRPr="00FE1E17">
        <w:rPr>
          <w:rFonts w:eastAsia="DFKai-SB"/>
          <w:i/>
          <w:sz w:val="22"/>
          <w:szCs w:val="22"/>
          <w:lang w:val="fr-FR"/>
        </w:rPr>
        <w:t xml:space="preserve"> + </w:t>
      </w:r>
      <w:r w:rsidRPr="00FE1E17">
        <w:rPr>
          <w:i/>
          <w:sz w:val="22"/>
          <w:szCs w:val="22"/>
        </w:rPr>
        <w:sym w:font="Symbol" w:char="F062"/>
      </w:r>
      <w:r w:rsidRPr="00FE1E17">
        <w:rPr>
          <w:rFonts w:eastAsia="DFKai-SB"/>
          <w:sz w:val="22"/>
          <w:szCs w:val="22"/>
          <w:vertAlign w:val="subscript"/>
          <w:lang w:val="fr-FR"/>
        </w:rPr>
        <w:t xml:space="preserve">5 </w:t>
      </w:r>
      <w:r w:rsidRPr="00FE1E17">
        <w:rPr>
          <w:rFonts w:eastAsia="DFKai-SB"/>
          <w:i/>
          <w:sz w:val="22"/>
          <w:szCs w:val="22"/>
          <w:lang w:val="fr-FR"/>
        </w:rPr>
        <w:t>ROA</w:t>
      </w:r>
      <w:r w:rsidRPr="00FE1E17">
        <w:rPr>
          <w:rFonts w:eastAsia="DFKai-SB"/>
          <w:i/>
          <w:sz w:val="22"/>
          <w:szCs w:val="22"/>
          <w:vertAlign w:val="subscript"/>
          <w:lang w:val="fr-FR"/>
        </w:rPr>
        <w:t>i,t</w:t>
      </w:r>
    </w:p>
    <w:p w:rsidR="00FE1E17" w:rsidRPr="00FE1E17" w:rsidRDefault="00FE1E17" w:rsidP="00FE1E17">
      <w:pPr>
        <w:spacing w:after="120"/>
        <w:jc w:val="center"/>
        <w:rPr>
          <w:i/>
          <w:sz w:val="22"/>
          <w:szCs w:val="22"/>
          <w:vertAlign w:val="subscript"/>
          <w:lang w:val="fr-FR"/>
        </w:rPr>
      </w:pPr>
      <w:r w:rsidRPr="00FE1E17">
        <w:rPr>
          <w:rFonts w:eastAsia="DFKai-SB"/>
          <w:i/>
          <w:sz w:val="22"/>
          <w:szCs w:val="22"/>
          <w:lang w:val="fr-FR"/>
        </w:rPr>
        <w:t>+</w:t>
      </w:r>
      <w:r w:rsidRPr="00FE1E17">
        <w:rPr>
          <w:i/>
          <w:sz w:val="22"/>
          <w:szCs w:val="22"/>
        </w:rPr>
        <w:sym w:font="Symbol" w:char="F062"/>
      </w:r>
      <w:r w:rsidRPr="00FE1E17">
        <w:rPr>
          <w:rFonts w:eastAsia="DFKai-SB"/>
          <w:sz w:val="22"/>
          <w:szCs w:val="22"/>
          <w:vertAlign w:val="subscript"/>
          <w:lang w:val="fr-FR"/>
        </w:rPr>
        <w:t xml:space="preserve">6 </w:t>
      </w:r>
      <w:r w:rsidRPr="00FE1E17">
        <w:rPr>
          <w:rFonts w:eastAsia="DFKai-SB"/>
          <w:i/>
          <w:sz w:val="22"/>
          <w:szCs w:val="22"/>
          <w:lang w:val="fr-FR"/>
        </w:rPr>
        <w:t>RD</w:t>
      </w:r>
      <w:r w:rsidRPr="00FE1E17">
        <w:rPr>
          <w:rFonts w:eastAsia="DFKai-SB"/>
          <w:i/>
          <w:sz w:val="22"/>
          <w:szCs w:val="22"/>
          <w:vertAlign w:val="subscript"/>
          <w:lang w:val="fr-FR"/>
        </w:rPr>
        <w:t>i,t</w:t>
      </w:r>
      <w:r w:rsidRPr="00FE1E17">
        <w:rPr>
          <w:rFonts w:eastAsia="DFKai-SB"/>
          <w:i/>
          <w:sz w:val="22"/>
          <w:szCs w:val="22"/>
          <w:lang w:val="fr-FR"/>
        </w:rPr>
        <w:t>+</w:t>
      </w:r>
      <w:r w:rsidRPr="00FE1E17">
        <w:rPr>
          <w:i/>
          <w:sz w:val="22"/>
          <w:szCs w:val="22"/>
        </w:rPr>
        <w:sym w:font="Symbol" w:char="F062"/>
      </w:r>
      <w:r w:rsidRPr="00FE1E17">
        <w:rPr>
          <w:rFonts w:eastAsia="DFKai-SB"/>
          <w:sz w:val="22"/>
          <w:szCs w:val="22"/>
          <w:vertAlign w:val="subscript"/>
          <w:lang w:val="fr-FR"/>
        </w:rPr>
        <w:t xml:space="preserve">7 </w:t>
      </w:r>
      <w:r w:rsidRPr="00FE1E17">
        <w:rPr>
          <w:rFonts w:eastAsia="DFKai-SB"/>
          <w:i/>
          <w:sz w:val="22"/>
          <w:szCs w:val="22"/>
          <w:lang w:val="fr-FR"/>
        </w:rPr>
        <w:t>INSIDER</w:t>
      </w:r>
      <w:r w:rsidRPr="00FE1E17">
        <w:rPr>
          <w:rFonts w:eastAsia="DFKai-SB"/>
          <w:i/>
          <w:sz w:val="22"/>
          <w:szCs w:val="22"/>
          <w:vertAlign w:val="subscript"/>
          <w:lang w:val="fr-FR"/>
        </w:rPr>
        <w:t>i,t</w:t>
      </w:r>
      <w:r w:rsidRPr="00FE1E17">
        <w:rPr>
          <w:rFonts w:eastAsia="DFKai-SB"/>
          <w:i/>
          <w:sz w:val="22"/>
          <w:szCs w:val="22"/>
          <w:lang w:val="fr-FR"/>
        </w:rPr>
        <w:t xml:space="preserve"> +u</w:t>
      </w:r>
      <w:r w:rsidRPr="00FE1E17">
        <w:rPr>
          <w:rFonts w:eastAsia="DFKai-SB"/>
          <w:i/>
          <w:sz w:val="22"/>
          <w:szCs w:val="22"/>
          <w:vertAlign w:val="subscript"/>
          <w:lang w:val="fr-FR"/>
        </w:rPr>
        <w:t>i,t</w:t>
      </w:r>
      <w:r w:rsidRPr="00FE1E17">
        <w:rPr>
          <w:i/>
          <w:sz w:val="22"/>
          <w:szCs w:val="22"/>
          <w:vertAlign w:val="subscript"/>
          <w:lang w:val="fr-FR"/>
        </w:rPr>
        <w:t>+1</w:t>
      </w:r>
    </w:p>
    <w:p w:rsidR="00FE1E17" w:rsidRPr="00EC2448" w:rsidRDefault="00FE1E17" w:rsidP="00FE1E17">
      <w:pPr>
        <w:jc w:val="center"/>
        <w:rPr>
          <w:i/>
          <w:sz w:val="10"/>
          <w:szCs w:val="10"/>
          <w:vertAlign w:val="subscript"/>
          <w:lang w:val="fr-FR"/>
        </w:rPr>
      </w:pPr>
    </w:p>
    <w:tbl>
      <w:tblPr>
        <w:tblW w:w="5004" w:type="pct"/>
        <w:tblLayout w:type="fixed"/>
        <w:tblCellMar>
          <w:left w:w="0" w:type="dxa"/>
          <w:right w:w="0" w:type="dxa"/>
        </w:tblCellMar>
        <w:tblLook w:val="0000" w:firstRow="0" w:lastRow="0" w:firstColumn="0" w:lastColumn="0" w:noHBand="0" w:noVBand="0"/>
      </w:tblPr>
      <w:tblGrid>
        <w:gridCol w:w="926"/>
        <w:gridCol w:w="1866"/>
        <w:gridCol w:w="925"/>
        <w:gridCol w:w="1870"/>
        <w:gridCol w:w="1337"/>
        <w:gridCol w:w="2110"/>
      </w:tblGrid>
      <w:tr w:rsidR="00FE1E17" w:rsidRPr="00FE1E17" w:rsidTr="00583009">
        <w:trPr>
          <w:trHeight w:val="345"/>
        </w:trPr>
        <w:tc>
          <w:tcPr>
            <w:tcW w:w="3092" w:type="pct"/>
            <w:gridSpan w:val="4"/>
            <w:tcBorders>
              <w:top w:val="single" w:sz="12" w:space="0" w:color="auto"/>
              <w:left w:val="nil"/>
              <w:right w:val="single" w:sz="12" w:space="0" w:color="auto"/>
            </w:tcBorders>
            <w:shd w:val="clear" w:color="auto" w:fill="auto"/>
            <w:noWrap/>
            <w:vAlign w:val="center"/>
          </w:tcPr>
          <w:p w:rsidR="00FE1E17" w:rsidRPr="00FE1E17" w:rsidRDefault="00FE1E17" w:rsidP="00583009">
            <w:pPr>
              <w:ind w:left="-180"/>
              <w:jc w:val="center"/>
              <w:rPr>
                <w:rFonts w:eastAsia="DFKai-SB"/>
                <w:i/>
                <w:sz w:val="22"/>
                <w:szCs w:val="22"/>
              </w:rPr>
            </w:pPr>
            <w:r w:rsidRPr="00FE1E17">
              <w:rPr>
                <w:rFonts w:eastAsia="DFKai-SB"/>
                <w:i/>
                <w:sz w:val="22"/>
                <w:szCs w:val="22"/>
              </w:rPr>
              <w:t xml:space="preserve">Coefficient estimates on </w:t>
            </w:r>
            <w:r w:rsidRPr="00FE1E17">
              <w:rPr>
                <w:i/>
                <w:sz w:val="22"/>
                <w:szCs w:val="22"/>
              </w:rPr>
              <w:t>|DA|: QR</w:t>
            </w:r>
            <w:r w:rsidRPr="00FE1E17">
              <w:rPr>
                <w:rFonts w:eastAsia="DFKai-SB"/>
                <w:i/>
                <w:sz w:val="22"/>
                <w:szCs w:val="22"/>
              </w:rPr>
              <w:t xml:space="preserve"> vs. OLS </w:t>
            </w:r>
          </w:p>
        </w:tc>
        <w:tc>
          <w:tcPr>
            <w:tcW w:w="1908" w:type="pct"/>
            <w:gridSpan w:val="2"/>
            <w:tcBorders>
              <w:top w:val="single" w:sz="12" w:space="0" w:color="auto"/>
              <w:left w:val="single" w:sz="12"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 xml:space="preserve">Tests of equality </w:t>
            </w:r>
            <w:r w:rsidRPr="00FE1E17">
              <w:rPr>
                <w:i/>
                <w:sz w:val="22"/>
                <w:szCs w:val="22"/>
              </w:rPr>
              <w:t>across quantiles</w:t>
            </w:r>
          </w:p>
        </w:tc>
      </w:tr>
      <w:tr w:rsidR="00FE1E17" w:rsidRPr="00FE1E17" w:rsidTr="00583009">
        <w:trPr>
          <w:trHeight w:val="345"/>
        </w:trPr>
        <w:tc>
          <w:tcPr>
            <w:tcW w:w="512"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Quant</w:t>
            </w:r>
            <w:r w:rsidRPr="00FE1E17">
              <w:rPr>
                <w:i/>
                <w:sz w:val="22"/>
                <w:szCs w:val="22"/>
              </w:rPr>
              <w:t>.</w:t>
            </w:r>
          </w:p>
        </w:tc>
        <w:tc>
          <w:tcPr>
            <w:tcW w:w="1033"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rFonts w:eastAsia="DFKai-SB"/>
                <w:i/>
                <w:sz w:val="22"/>
                <w:szCs w:val="22"/>
              </w:rPr>
            </w:pPr>
            <w:r w:rsidRPr="00FE1E17">
              <w:rPr>
                <w:i/>
                <w:sz w:val="22"/>
                <w:szCs w:val="22"/>
              </w:rPr>
              <w:t>Coeff.</w:t>
            </w:r>
            <w:r w:rsidRPr="00FE1E17">
              <w:rPr>
                <w:rFonts w:eastAsia="DFKai-SB"/>
                <w:i/>
                <w:sz w:val="22"/>
                <w:szCs w:val="22"/>
              </w:rPr>
              <w:t xml:space="preserve"> (p-value)</w:t>
            </w:r>
          </w:p>
        </w:tc>
        <w:tc>
          <w:tcPr>
            <w:tcW w:w="512"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Quant</w:t>
            </w:r>
            <w:r w:rsidRPr="00FE1E17">
              <w:rPr>
                <w:i/>
                <w:sz w:val="22"/>
                <w:szCs w:val="22"/>
              </w:rPr>
              <w:t>.</w:t>
            </w:r>
          </w:p>
        </w:tc>
        <w:tc>
          <w:tcPr>
            <w:tcW w:w="1035" w:type="pct"/>
            <w:tcBorders>
              <w:top w:val="nil"/>
              <w:left w:val="nil"/>
              <w:bottom w:val="single" w:sz="8" w:space="0" w:color="auto"/>
              <w:right w:val="single" w:sz="12" w:space="0" w:color="auto"/>
            </w:tcBorders>
            <w:shd w:val="clear" w:color="auto" w:fill="auto"/>
            <w:noWrap/>
            <w:vAlign w:val="center"/>
          </w:tcPr>
          <w:p w:rsidR="00FE1E17" w:rsidRPr="00FE1E17" w:rsidRDefault="00FE1E17" w:rsidP="00583009">
            <w:pPr>
              <w:jc w:val="center"/>
              <w:rPr>
                <w:rFonts w:eastAsia="DFKai-SB"/>
                <w:i/>
                <w:sz w:val="22"/>
                <w:szCs w:val="22"/>
              </w:rPr>
            </w:pPr>
            <w:r w:rsidRPr="00FE1E17">
              <w:rPr>
                <w:i/>
                <w:sz w:val="22"/>
                <w:szCs w:val="22"/>
              </w:rPr>
              <w:t>Coeff.</w:t>
            </w:r>
            <w:r w:rsidRPr="00FE1E17">
              <w:rPr>
                <w:rFonts w:eastAsia="DFKai-SB"/>
                <w:i/>
                <w:sz w:val="22"/>
                <w:szCs w:val="22"/>
              </w:rPr>
              <w:t xml:space="preserve"> (p-value)</w:t>
            </w:r>
          </w:p>
        </w:tc>
        <w:tc>
          <w:tcPr>
            <w:tcW w:w="740" w:type="pct"/>
            <w:tcBorders>
              <w:top w:val="nil"/>
              <w:left w:val="single" w:sz="12" w:space="0" w:color="auto"/>
              <w:bottom w:val="single" w:sz="8"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Quant</w:t>
            </w:r>
            <w:r w:rsidRPr="00FE1E17">
              <w:rPr>
                <w:i/>
                <w:sz w:val="22"/>
                <w:szCs w:val="22"/>
              </w:rPr>
              <w:t>.</w:t>
            </w:r>
          </w:p>
        </w:tc>
        <w:tc>
          <w:tcPr>
            <w:tcW w:w="1168"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rFonts w:eastAsia="DFKai-SB"/>
                <w:i/>
                <w:sz w:val="22"/>
                <w:szCs w:val="22"/>
              </w:rPr>
            </w:pPr>
            <w:r w:rsidRPr="00FE1E17">
              <w:rPr>
                <w:i/>
                <w:sz w:val="22"/>
                <w:szCs w:val="22"/>
              </w:rPr>
              <w:t>F-statistic</w:t>
            </w:r>
            <w:r w:rsidRPr="00FE1E17">
              <w:rPr>
                <w:rFonts w:eastAsia="DFKai-SB"/>
                <w:i/>
                <w:sz w:val="22"/>
                <w:szCs w:val="22"/>
              </w:rPr>
              <w:t xml:space="preserve"> (p-value)</w:t>
            </w:r>
          </w:p>
        </w:tc>
      </w:tr>
      <w:tr w:rsidR="00FE1E17" w:rsidRPr="00FE1E17" w:rsidTr="00583009">
        <w:trPr>
          <w:trHeight w:val="397"/>
        </w:trPr>
        <w:tc>
          <w:tcPr>
            <w:tcW w:w="512" w:type="pct"/>
            <w:tcBorders>
              <w:top w:val="single" w:sz="8" w:space="0" w:color="auto"/>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5</w:t>
            </w:r>
            <w:r w:rsidRPr="00FE1E17">
              <w:rPr>
                <w:sz w:val="22"/>
                <w:szCs w:val="22"/>
              </w:rPr>
              <w:t>%</w:t>
            </w:r>
          </w:p>
        </w:tc>
        <w:tc>
          <w:tcPr>
            <w:tcW w:w="1033" w:type="pct"/>
            <w:tcBorders>
              <w:top w:val="single" w:sz="8" w:space="0" w:color="auto"/>
              <w:left w:val="nil"/>
              <w:bottom w:val="nil"/>
              <w:right w:val="nil"/>
            </w:tcBorders>
            <w:shd w:val="clear" w:color="auto" w:fill="auto"/>
            <w:noWrap/>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-1.043</w:t>
            </w:r>
            <w:r w:rsidRPr="00FE1E17">
              <w:rPr>
                <w:rFonts w:eastAsia="DFKai-SB"/>
                <w:sz w:val="22"/>
                <w:szCs w:val="22"/>
              </w:rPr>
              <w:t xml:space="preserve"> (0.000)**</w:t>
            </w:r>
          </w:p>
        </w:tc>
        <w:tc>
          <w:tcPr>
            <w:tcW w:w="512" w:type="pct"/>
            <w:tcBorders>
              <w:top w:val="single" w:sz="8" w:space="0" w:color="auto"/>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95</w:t>
            </w:r>
            <w:r w:rsidRPr="00FE1E17">
              <w:rPr>
                <w:sz w:val="22"/>
                <w:szCs w:val="22"/>
              </w:rPr>
              <w:t>%</w:t>
            </w:r>
          </w:p>
        </w:tc>
        <w:tc>
          <w:tcPr>
            <w:tcW w:w="1035" w:type="pct"/>
            <w:tcBorders>
              <w:top w:val="single" w:sz="8" w:space="0" w:color="auto"/>
              <w:left w:val="nil"/>
              <w:bottom w:val="nil"/>
              <w:right w:val="single" w:sz="12" w:space="0" w:color="auto"/>
            </w:tcBorders>
            <w:shd w:val="clear" w:color="auto" w:fill="auto"/>
            <w:noWrap/>
            <w:vAlign w:val="center"/>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9.981</w:t>
            </w:r>
            <w:r w:rsidRPr="00FE1E17">
              <w:rPr>
                <w:rFonts w:eastAsia="DFKai-SB"/>
                <w:sz w:val="22"/>
                <w:szCs w:val="22"/>
              </w:rPr>
              <w:t xml:space="preserve"> (0.000)**</w:t>
            </w:r>
          </w:p>
        </w:tc>
        <w:tc>
          <w:tcPr>
            <w:tcW w:w="740" w:type="pct"/>
            <w:tcBorders>
              <w:top w:val="single" w:sz="8" w:space="0" w:color="auto"/>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5</w:t>
            </w:r>
            <w:r w:rsidRPr="00FE1E17">
              <w:rPr>
                <w:sz w:val="22"/>
                <w:szCs w:val="22"/>
              </w:rPr>
              <w:t>%</w:t>
            </w:r>
            <w:r w:rsidRPr="00FE1E17">
              <w:rPr>
                <w:rFonts w:eastAsia="DFKai-SB"/>
                <w:sz w:val="22"/>
                <w:szCs w:val="22"/>
              </w:rPr>
              <w:t xml:space="preserve"> </w:t>
            </w:r>
            <w:r w:rsidRPr="00FE1E17">
              <w:rPr>
                <w:sz w:val="22"/>
                <w:szCs w:val="22"/>
              </w:rPr>
              <w:t xml:space="preserve">vs. </w:t>
            </w:r>
            <w:r w:rsidRPr="00FE1E17">
              <w:rPr>
                <w:rFonts w:eastAsia="DFKai-SB"/>
                <w:sz w:val="22"/>
                <w:szCs w:val="22"/>
              </w:rPr>
              <w:t>95</w:t>
            </w:r>
            <w:r w:rsidRPr="00FE1E17">
              <w:rPr>
                <w:sz w:val="22"/>
                <w:szCs w:val="22"/>
              </w:rPr>
              <w:t>%</w:t>
            </w:r>
          </w:p>
        </w:tc>
        <w:tc>
          <w:tcPr>
            <w:tcW w:w="1168" w:type="pct"/>
            <w:tcBorders>
              <w:top w:val="single" w:sz="8" w:space="0" w:color="auto"/>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98.96 (0.0000)**</w:t>
            </w:r>
          </w:p>
        </w:tc>
      </w:tr>
      <w:tr w:rsidR="00FE1E17" w:rsidRPr="00FE1E17" w:rsidTr="00583009">
        <w:trPr>
          <w:trHeight w:val="397"/>
        </w:trPr>
        <w:tc>
          <w:tcPr>
            <w:tcW w:w="512"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10</w:t>
            </w:r>
            <w:r w:rsidRPr="00FE1E17">
              <w:rPr>
                <w:sz w:val="22"/>
                <w:szCs w:val="22"/>
              </w:rPr>
              <w:t>%</w:t>
            </w:r>
          </w:p>
        </w:tc>
        <w:tc>
          <w:tcPr>
            <w:tcW w:w="1033" w:type="pct"/>
            <w:tcBorders>
              <w:top w:val="nil"/>
              <w:left w:val="nil"/>
              <w:bottom w:val="nil"/>
              <w:right w:val="nil"/>
            </w:tcBorders>
            <w:shd w:val="clear" w:color="auto" w:fill="auto"/>
            <w:noWrap/>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-0.414</w:t>
            </w:r>
            <w:r w:rsidRPr="00FE1E17">
              <w:rPr>
                <w:rFonts w:eastAsia="DFKai-SB"/>
                <w:sz w:val="22"/>
                <w:szCs w:val="22"/>
              </w:rPr>
              <w:t xml:space="preserve"> (0.011)*</w:t>
            </w:r>
          </w:p>
        </w:tc>
        <w:tc>
          <w:tcPr>
            <w:tcW w:w="512"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90</w:t>
            </w:r>
            <w:r w:rsidRPr="00FE1E17">
              <w:rPr>
                <w:sz w:val="22"/>
                <w:szCs w:val="22"/>
              </w:rPr>
              <w:t>%</w:t>
            </w:r>
          </w:p>
        </w:tc>
        <w:tc>
          <w:tcPr>
            <w:tcW w:w="1035"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7.682</w:t>
            </w:r>
            <w:r w:rsidRPr="00FE1E17">
              <w:rPr>
                <w:rFonts w:eastAsia="DFKai-SB"/>
                <w:sz w:val="22"/>
                <w:szCs w:val="22"/>
              </w:rPr>
              <w:t xml:space="preserve"> (0.000)**</w:t>
            </w:r>
          </w:p>
        </w:tc>
        <w:tc>
          <w:tcPr>
            <w:tcW w:w="740"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90</w:t>
            </w:r>
            <w:r w:rsidRPr="00FE1E17">
              <w:rPr>
                <w:sz w:val="22"/>
                <w:szCs w:val="22"/>
              </w:rPr>
              <w:t>%</w:t>
            </w:r>
          </w:p>
        </w:tc>
        <w:tc>
          <w:tcPr>
            <w:tcW w:w="1168"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131.16 (0.0000)**</w:t>
            </w:r>
          </w:p>
        </w:tc>
      </w:tr>
      <w:tr w:rsidR="00FE1E17" w:rsidRPr="00FE1E17" w:rsidTr="00583009">
        <w:trPr>
          <w:trHeight w:val="397"/>
        </w:trPr>
        <w:tc>
          <w:tcPr>
            <w:tcW w:w="512"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15</w:t>
            </w:r>
            <w:r w:rsidRPr="00FE1E17">
              <w:rPr>
                <w:sz w:val="22"/>
                <w:szCs w:val="22"/>
              </w:rPr>
              <w:t>%</w:t>
            </w:r>
          </w:p>
        </w:tc>
        <w:tc>
          <w:tcPr>
            <w:tcW w:w="1033" w:type="pct"/>
            <w:tcBorders>
              <w:top w:val="nil"/>
              <w:left w:val="nil"/>
              <w:bottom w:val="nil"/>
              <w:right w:val="nil"/>
            </w:tcBorders>
            <w:shd w:val="clear" w:color="auto" w:fill="auto"/>
            <w:noWrap/>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-0.138</w:t>
            </w:r>
            <w:r w:rsidRPr="00FE1E17">
              <w:rPr>
                <w:rFonts w:eastAsia="DFKai-SB"/>
                <w:sz w:val="22"/>
                <w:szCs w:val="22"/>
              </w:rPr>
              <w:t xml:space="preserve"> (0.227)</w:t>
            </w:r>
          </w:p>
        </w:tc>
        <w:tc>
          <w:tcPr>
            <w:tcW w:w="512"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85</w:t>
            </w:r>
            <w:r w:rsidRPr="00FE1E17">
              <w:rPr>
                <w:sz w:val="22"/>
                <w:szCs w:val="22"/>
              </w:rPr>
              <w:t>%</w:t>
            </w:r>
          </w:p>
        </w:tc>
        <w:tc>
          <w:tcPr>
            <w:tcW w:w="1035"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5.785</w:t>
            </w:r>
            <w:r w:rsidRPr="00FE1E17">
              <w:rPr>
                <w:rFonts w:eastAsia="DFKai-SB"/>
                <w:sz w:val="22"/>
                <w:szCs w:val="22"/>
              </w:rPr>
              <w:t xml:space="preserve"> (0.000)**</w:t>
            </w:r>
          </w:p>
        </w:tc>
        <w:tc>
          <w:tcPr>
            <w:tcW w:w="740"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85</w:t>
            </w:r>
            <w:r w:rsidRPr="00FE1E17">
              <w:rPr>
                <w:sz w:val="22"/>
                <w:szCs w:val="22"/>
              </w:rPr>
              <w:t>%</w:t>
            </w:r>
          </w:p>
        </w:tc>
        <w:tc>
          <w:tcPr>
            <w:tcW w:w="1168"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115.90 (0.0000)**</w:t>
            </w:r>
          </w:p>
        </w:tc>
      </w:tr>
      <w:tr w:rsidR="00FE1E17" w:rsidRPr="00FE1E17" w:rsidTr="00583009">
        <w:trPr>
          <w:trHeight w:val="397"/>
        </w:trPr>
        <w:tc>
          <w:tcPr>
            <w:tcW w:w="512"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-0.016</w:t>
            </w:r>
            <w:r w:rsidRPr="00FE1E17">
              <w:rPr>
                <w:rFonts w:eastAsia="DFKai-SB"/>
                <w:sz w:val="22"/>
                <w:szCs w:val="22"/>
              </w:rPr>
              <w:t xml:space="preserve"> (0.875)</w:t>
            </w:r>
          </w:p>
        </w:tc>
        <w:tc>
          <w:tcPr>
            <w:tcW w:w="512"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80</w:t>
            </w:r>
            <w:r w:rsidRPr="00FE1E17">
              <w:rPr>
                <w:sz w:val="22"/>
                <w:szCs w:val="22"/>
              </w:rPr>
              <w:t>%</w:t>
            </w:r>
          </w:p>
        </w:tc>
        <w:tc>
          <w:tcPr>
            <w:tcW w:w="1035"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4.715</w:t>
            </w:r>
            <w:r w:rsidRPr="00FE1E17">
              <w:rPr>
                <w:rFonts w:eastAsia="DFKai-SB"/>
                <w:sz w:val="22"/>
                <w:szCs w:val="22"/>
              </w:rPr>
              <w:t xml:space="preserve"> (0.000)**</w:t>
            </w:r>
          </w:p>
        </w:tc>
        <w:tc>
          <w:tcPr>
            <w:tcW w:w="740"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80</w:t>
            </w:r>
            <w:r w:rsidRPr="00FE1E17">
              <w:rPr>
                <w:sz w:val="22"/>
                <w:szCs w:val="22"/>
              </w:rPr>
              <w:t>%</w:t>
            </w:r>
          </w:p>
        </w:tc>
        <w:tc>
          <w:tcPr>
            <w:tcW w:w="1168"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109.48 (0.0000)**</w:t>
            </w:r>
          </w:p>
        </w:tc>
      </w:tr>
      <w:tr w:rsidR="00FE1E17" w:rsidRPr="00FE1E17" w:rsidTr="00583009">
        <w:trPr>
          <w:trHeight w:val="397"/>
        </w:trPr>
        <w:tc>
          <w:tcPr>
            <w:tcW w:w="512"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25</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0.083</w:t>
            </w:r>
            <w:r w:rsidRPr="00FE1E17">
              <w:rPr>
                <w:rFonts w:eastAsia="DFKai-SB"/>
                <w:sz w:val="22"/>
                <w:szCs w:val="22"/>
              </w:rPr>
              <w:t xml:space="preserve"> (0.661)</w:t>
            </w:r>
          </w:p>
        </w:tc>
        <w:tc>
          <w:tcPr>
            <w:tcW w:w="512"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75</w:t>
            </w:r>
            <w:r w:rsidRPr="00FE1E17">
              <w:rPr>
                <w:sz w:val="22"/>
                <w:szCs w:val="22"/>
              </w:rPr>
              <w:t>%</w:t>
            </w:r>
          </w:p>
        </w:tc>
        <w:tc>
          <w:tcPr>
            <w:tcW w:w="1035"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3.858</w:t>
            </w:r>
            <w:r w:rsidRPr="00FE1E17">
              <w:rPr>
                <w:rFonts w:eastAsia="DFKai-SB"/>
                <w:sz w:val="22"/>
                <w:szCs w:val="22"/>
              </w:rPr>
              <w:t xml:space="preserve"> (0.000)**</w:t>
            </w:r>
          </w:p>
        </w:tc>
        <w:tc>
          <w:tcPr>
            <w:tcW w:w="740"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75</w:t>
            </w:r>
            <w:r w:rsidRPr="00FE1E17">
              <w:rPr>
                <w:sz w:val="22"/>
                <w:szCs w:val="22"/>
              </w:rPr>
              <w:t>%</w:t>
            </w:r>
          </w:p>
        </w:tc>
        <w:tc>
          <w:tcPr>
            <w:tcW w:w="1168"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179.14 (0.0000)**</w:t>
            </w:r>
          </w:p>
        </w:tc>
      </w:tr>
      <w:tr w:rsidR="00FE1E17" w:rsidRPr="00FE1E17" w:rsidTr="00583009">
        <w:trPr>
          <w:trHeight w:val="397"/>
        </w:trPr>
        <w:tc>
          <w:tcPr>
            <w:tcW w:w="512"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0.343</w:t>
            </w:r>
            <w:r w:rsidRPr="00FE1E17">
              <w:rPr>
                <w:rFonts w:eastAsia="DFKai-SB"/>
                <w:sz w:val="22"/>
                <w:szCs w:val="22"/>
              </w:rPr>
              <w:t xml:space="preserve"> (0.134)</w:t>
            </w:r>
          </w:p>
        </w:tc>
        <w:tc>
          <w:tcPr>
            <w:tcW w:w="512"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70</w:t>
            </w:r>
            <w:r w:rsidRPr="00FE1E17">
              <w:rPr>
                <w:sz w:val="22"/>
                <w:szCs w:val="22"/>
              </w:rPr>
              <w:t>%</w:t>
            </w:r>
          </w:p>
        </w:tc>
        <w:tc>
          <w:tcPr>
            <w:tcW w:w="1035"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3.383</w:t>
            </w:r>
            <w:r w:rsidRPr="00FE1E17">
              <w:rPr>
                <w:rFonts w:eastAsia="DFKai-SB"/>
                <w:sz w:val="22"/>
                <w:szCs w:val="22"/>
              </w:rPr>
              <w:t xml:space="preserve"> (0.000)**</w:t>
            </w:r>
          </w:p>
        </w:tc>
        <w:tc>
          <w:tcPr>
            <w:tcW w:w="740"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70</w:t>
            </w:r>
            <w:r w:rsidRPr="00FE1E17">
              <w:rPr>
                <w:sz w:val="22"/>
                <w:szCs w:val="22"/>
              </w:rPr>
              <w:t>%</w:t>
            </w:r>
          </w:p>
        </w:tc>
        <w:tc>
          <w:tcPr>
            <w:tcW w:w="1168"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160.16 (0.0000)**</w:t>
            </w:r>
          </w:p>
        </w:tc>
      </w:tr>
      <w:tr w:rsidR="00FE1E17" w:rsidRPr="00FE1E17" w:rsidTr="00583009">
        <w:trPr>
          <w:trHeight w:val="397"/>
        </w:trPr>
        <w:tc>
          <w:tcPr>
            <w:tcW w:w="512"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35</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0.628</w:t>
            </w:r>
            <w:r w:rsidRPr="00FE1E17">
              <w:rPr>
                <w:rFonts w:eastAsia="DFKai-SB"/>
                <w:sz w:val="22"/>
                <w:szCs w:val="22"/>
              </w:rPr>
              <w:t xml:space="preserve"> (0.012)*</w:t>
            </w:r>
          </w:p>
        </w:tc>
        <w:tc>
          <w:tcPr>
            <w:tcW w:w="512"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65</w:t>
            </w:r>
            <w:r w:rsidRPr="00FE1E17">
              <w:rPr>
                <w:sz w:val="22"/>
                <w:szCs w:val="22"/>
              </w:rPr>
              <w:t>%</w:t>
            </w:r>
          </w:p>
        </w:tc>
        <w:tc>
          <w:tcPr>
            <w:tcW w:w="1035"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2.796</w:t>
            </w:r>
            <w:r w:rsidRPr="00FE1E17">
              <w:rPr>
                <w:rFonts w:eastAsia="DFKai-SB"/>
                <w:sz w:val="22"/>
                <w:szCs w:val="22"/>
              </w:rPr>
              <w:t xml:space="preserve"> (0.000)**</w:t>
            </w:r>
          </w:p>
        </w:tc>
        <w:tc>
          <w:tcPr>
            <w:tcW w:w="740"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65</w:t>
            </w:r>
            <w:r w:rsidRPr="00FE1E17">
              <w:rPr>
                <w:sz w:val="22"/>
                <w:szCs w:val="22"/>
              </w:rPr>
              <w:t>%</w:t>
            </w:r>
          </w:p>
        </w:tc>
        <w:tc>
          <w:tcPr>
            <w:tcW w:w="1168"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111.37 (0.0000)**</w:t>
            </w:r>
          </w:p>
        </w:tc>
      </w:tr>
      <w:tr w:rsidR="00FE1E17" w:rsidRPr="00FE1E17" w:rsidTr="00583009">
        <w:trPr>
          <w:trHeight w:val="397"/>
        </w:trPr>
        <w:tc>
          <w:tcPr>
            <w:tcW w:w="512"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0.797</w:t>
            </w:r>
            <w:r w:rsidRPr="00FE1E17">
              <w:rPr>
                <w:rFonts w:eastAsia="DFKai-SB"/>
                <w:sz w:val="22"/>
                <w:szCs w:val="22"/>
              </w:rPr>
              <w:t xml:space="preserve"> (0.000)**</w:t>
            </w:r>
          </w:p>
        </w:tc>
        <w:tc>
          <w:tcPr>
            <w:tcW w:w="512"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60</w:t>
            </w:r>
            <w:r w:rsidRPr="00FE1E17">
              <w:rPr>
                <w:sz w:val="22"/>
                <w:szCs w:val="22"/>
              </w:rPr>
              <w:t>%</w:t>
            </w:r>
          </w:p>
        </w:tc>
        <w:tc>
          <w:tcPr>
            <w:tcW w:w="1035"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2.270</w:t>
            </w:r>
            <w:r w:rsidRPr="00FE1E17">
              <w:rPr>
                <w:rFonts w:eastAsia="DFKai-SB"/>
                <w:sz w:val="22"/>
                <w:szCs w:val="22"/>
              </w:rPr>
              <w:t xml:space="preserve"> (0.000)**</w:t>
            </w:r>
          </w:p>
        </w:tc>
        <w:tc>
          <w:tcPr>
            <w:tcW w:w="740"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60</w:t>
            </w:r>
            <w:r w:rsidRPr="00FE1E17">
              <w:rPr>
                <w:sz w:val="22"/>
                <w:szCs w:val="22"/>
              </w:rPr>
              <w:t>%</w:t>
            </w:r>
          </w:p>
        </w:tc>
        <w:tc>
          <w:tcPr>
            <w:tcW w:w="1168"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117.04 (0.0000)**</w:t>
            </w:r>
          </w:p>
        </w:tc>
      </w:tr>
      <w:tr w:rsidR="00FE1E17" w:rsidRPr="00FE1E17" w:rsidTr="00583009">
        <w:trPr>
          <w:trHeight w:val="397"/>
        </w:trPr>
        <w:tc>
          <w:tcPr>
            <w:tcW w:w="512"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45</w:t>
            </w:r>
            <w:r w:rsidRPr="00FE1E17">
              <w:rPr>
                <w:sz w:val="22"/>
                <w:szCs w:val="22"/>
              </w:rPr>
              <w:t>%</w:t>
            </w:r>
          </w:p>
        </w:tc>
        <w:tc>
          <w:tcPr>
            <w:tcW w:w="1033"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1.086</w:t>
            </w:r>
            <w:r w:rsidRPr="00FE1E17">
              <w:rPr>
                <w:rFonts w:eastAsia="DFKai-SB"/>
                <w:sz w:val="22"/>
                <w:szCs w:val="22"/>
              </w:rPr>
              <w:t xml:space="preserve"> (0.000)**</w:t>
            </w:r>
          </w:p>
        </w:tc>
        <w:tc>
          <w:tcPr>
            <w:tcW w:w="512"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55</w:t>
            </w:r>
            <w:r w:rsidRPr="00FE1E17">
              <w:rPr>
                <w:sz w:val="22"/>
                <w:szCs w:val="22"/>
              </w:rPr>
              <w:t>%</w:t>
            </w:r>
          </w:p>
        </w:tc>
        <w:tc>
          <w:tcPr>
            <w:tcW w:w="1035" w:type="pct"/>
            <w:tcBorders>
              <w:top w:val="nil"/>
              <w:left w:val="nil"/>
              <w:right w:val="single" w:sz="12" w:space="0" w:color="auto"/>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1.780</w:t>
            </w:r>
            <w:r w:rsidRPr="00FE1E17">
              <w:rPr>
                <w:rFonts w:eastAsia="DFKai-SB"/>
                <w:sz w:val="22"/>
                <w:szCs w:val="22"/>
              </w:rPr>
              <w:t xml:space="preserve"> (0.000)**</w:t>
            </w:r>
          </w:p>
        </w:tc>
        <w:tc>
          <w:tcPr>
            <w:tcW w:w="740" w:type="pct"/>
            <w:tcBorders>
              <w:top w:val="nil"/>
              <w:left w:val="single" w:sz="12" w:space="0" w:color="auto"/>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55</w:t>
            </w:r>
            <w:r w:rsidRPr="00FE1E17">
              <w:rPr>
                <w:sz w:val="22"/>
                <w:szCs w:val="22"/>
              </w:rPr>
              <w:t>%</w:t>
            </w:r>
          </w:p>
        </w:tc>
        <w:tc>
          <w:tcPr>
            <w:tcW w:w="1168"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29.13 (0.0000)**</w:t>
            </w:r>
          </w:p>
        </w:tc>
      </w:tr>
      <w:tr w:rsidR="00FE1E17" w:rsidRPr="00FE1E17" w:rsidTr="00583009">
        <w:trPr>
          <w:trHeight w:val="397"/>
        </w:trPr>
        <w:tc>
          <w:tcPr>
            <w:tcW w:w="512"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b/>
                <w:sz w:val="22"/>
                <w:szCs w:val="22"/>
              </w:rPr>
            </w:pPr>
            <w:r w:rsidRPr="00FE1E17">
              <w:rPr>
                <w:rFonts w:eastAsia="DFKai-SB"/>
                <w:b/>
                <w:sz w:val="22"/>
                <w:szCs w:val="22"/>
              </w:rPr>
              <w:t>50</w:t>
            </w:r>
            <w:r w:rsidRPr="00FE1E17">
              <w:rPr>
                <w:b/>
                <w:sz w:val="22"/>
                <w:szCs w:val="22"/>
              </w:rPr>
              <w:t>%</w:t>
            </w:r>
          </w:p>
        </w:tc>
        <w:tc>
          <w:tcPr>
            <w:tcW w:w="1033"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1.443</w:t>
            </w:r>
            <w:r w:rsidRPr="00FE1E17">
              <w:rPr>
                <w:rFonts w:eastAsia="DFKai-SB"/>
                <w:sz w:val="22"/>
                <w:szCs w:val="22"/>
              </w:rPr>
              <w:t xml:space="preserve"> (0.000)**</w:t>
            </w:r>
          </w:p>
        </w:tc>
        <w:tc>
          <w:tcPr>
            <w:tcW w:w="512"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b/>
                <w:sz w:val="22"/>
                <w:szCs w:val="22"/>
              </w:rPr>
            </w:pPr>
            <w:r w:rsidRPr="00FE1E17">
              <w:rPr>
                <w:rFonts w:eastAsia="DFKai-SB"/>
                <w:b/>
                <w:sz w:val="22"/>
                <w:szCs w:val="22"/>
              </w:rPr>
              <w:t>OLS</w:t>
            </w:r>
          </w:p>
        </w:tc>
        <w:tc>
          <w:tcPr>
            <w:tcW w:w="1035" w:type="pct"/>
            <w:tcBorders>
              <w:top w:val="nil"/>
              <w:left w:val="nil"/>
              <w:bottom w:val="single" w:sz="12" w:space="0" w:color="auto"/>
              <w:right w:val="single" w:sz="12" w:space="0" w:color="auto"/>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1.526 (0.000)**</w:t>
            </w:r>
          </w:p>
        </w:tc>
        <w:tc>
          <w:tcPr>
            <w:tcW w:w="740" w:type="pct"/>
            <w:tcBorders>
              <w:top w:val="nil"/>
              <w:left w:val="single" w:sz="12" w:space="0" w:color="auto"/>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color w:val="FF0000"/>
                <w:sz w:val="22"/>
                <w:szCs w:val="22"/>
              </w:rPr>
            </w:pPr>
          </w:p>
        </w:tc>
        <w:tc>
          <w:tcPr>
            <w:tcW w:w="1168"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color w:val="FF0000"/>
                <w:sz w:val="22"/>
                <w:szCs w:val="22"/>
              </w:rPr>
            </w:pPr>
          </w:p>
        </w:tc>
      </w:tr>
    </w:tbl>
    <w:p w:rsidR="00FE1E17" w:rsidRPr="00FE1E17" w:rsidRDefault="00FE1E17" w:rsidP="00FE1E17">
      <w:pPr>
        <w:adjustRightInd w:val="0"/>
        <w:snapToGrid w:val="0"/>
        <w:spacing w:before="120"/>
        <w:rPr>
          <w:sz w:val="22"/>
          <w:szCs w:val="22"/>
        </w:rPr>
      </w:pPr>
      <w:r w:rsidRPr="00FE1E17">
        <w:rPr>
          <w:sz w:val="22"/>
          <w:szCs w:val="22"/>
        </w:rPr>
        <w:t>Notes: The ** and * denote a 1% and a 5% level of significance, respectively.</w:t>
      </w:r>
    </w:p>
    <w:p w:rsidR="00FE1E17" w:rsidRDefault="00FE1E17" w:rsidP="00FE1E17">
      <w:pPr>
        <w:widowControl/>
        <w:spacing w:after="160" w:line="259" w:lineRule="auto"/>
        <w:rPr>
          <w:rFonts w:eastAsia="DFKai-SB"/>
          <w:b/>
          <w:sz w:val="22"/>
          <w:szCs w:val="22"/>
        </w:rPr>
      </w:pPr>
    </w:p>
    <w:p w:rsidR="00EC2448" w:rsidRPr="00FE1E17" w:rsidRDefault="00EC2448" w:rsidP="00FE1E17">
      <w:pPr>
        <w:widowControl/>
        <w:spacing w:after="160" w:line="259" w:lineRule="auto"/>
        <w:rPr>
          <w:rFonts w:eastAsia="DFKai-SB"/>
          <w:b/>
          <w:sz w:val="22"/>
          <w:szCs w:val="22"/>
        </w:rPr>
      </w:pPr>
    </w:p>
    <w:p w:rsidR="006B555F" w:rsidRPr="00993909" w:rsidRDefault="006B555F" w:rsidP="006B555F">
      <w:pPr>
        <w:snapToGrid w:val="0"/>
        <w:spacing w:line="0" w:lineRule="atLeast"/>
        <w:jc w:val="center"/>
        <w:rPr>
          <w:rFonts w:eastAsia="DFKai-SB"/>
          <w:b/>
          <w:sz w:val="22"/>
          <w:szCs w:val="22"/>
        </w:rPr>
      </w:pPr>
      <w:r w:rsidRPr="00993909">
        <w:rPr>
          <w:rFonts w:eastAsia="DFKai-SB"/>
          <w:b/>
          <w:sz w:val="22"/>
          <w:szCs w:val="22"/>
        </w:rPr>
        <w:t>Figure 5</w:t>
      </w:r>
      <w:r w:rsidR="00EC2448">
        <w:rPr>
          <w:rFonts w:eastAsia="DFKai-SB"/>
          <w:b/>
          <w:sz w:val="22"/>
          <w:szCs w:val="22"/>
        </w:rPr>
        <w:t>:  The QR and OLS E</w:t>
      </w:r>
      <w:r w:rsidRPr="00993909">
        <w:rPr>
          <w:rFonts w:eastAsia="DFKai-SB"/>
          <w:b/>
          <w:sz w:val="22"/>
          <w:szCs w:val="22"/>
        </w:rPr>
        <w:t xml:space="preserve">stimates of </w:t>
      </w:r>
      <w:r w:rsidRPr="00993909">
        <w:rPr>
          <w:rFonts w:eastAsia="DFKai-SB"/>
          <w:b/>
          <w:i/>
          <w:sz w:val="22"/>
          <w:szCs w:val="22"/>
        </w:rPr>
        <w:t>|DA|</w:t>
      </w:r>
      <w:r w:rsidR="00EC2448">
        <w:rPr>
          <w:b/>
          <w:sz w:val="22"/>
          <w:szCs w:val="22"/>
        </w:rPr>
        <w:t xml:space="preserve"> Across Various Q</w:t>
      </w:r>
      <w:r w:rsidRPr="00993909">
        <w:rPr>
          <w:b/>
          <w:sz w:val="22"/>
          <w:szCs w:val="22"/>
        </w:rPr>
        <w:t>uantiles</w:t>
      </w:r>
      <w:r w:rsidRPr="00993909">
        <w:rPr>
          <w:rFonts w:eastAsia="DFKai-SB"/>
          <w:b/>
          <w:sz w:val="22"/>
          <w:szCs w:val="22"/>
        </w:rPr>
        <w:t xml:space="preserve"> of Tobin’s </w:t>
      </w:r>
      <w:r w:rsidRPr="00993909">
        <w:rPr>
          <w:rFonts w:eastAsia="DFKai-SB"/>
          <w:b/>
          <w:i/>
          <w:iCs/>
          <w:sz w:val="22"/>
          <w:szCs w:val="22"/>
        </w:rPr>
        <w:t>Q</w:t>
      </w:r>
      <w:r w:rsidRPr="00993909">
        <w:rPr>
          <w:rFonts w:eastAsia="DFKai-SB" w:hint="eastAsia"/>
          <w:b/>
          <w:sz w:val="22"/>
          <w:szCs w:val="22"/>
        </w:rPr>
        <w:t xml:space="preserve">: </w:t>
      </w:r>
    </w:p>
    <w:p w:rsidR="006B555F" w:rsidRPr="00993909" w:rsidRDefault="00EC2448" w:rsidP="006B555F">
      <w:pPr>
        <w:snapToGrid w:val="0"/>
        <w:spacing w:line="0" w:lineRule="atLeast"/>
        <w:jc w:val="center"/>
        <w:rPr>
          <w:rFonts w:eastAsia="DFKai-SB"/>
          <w:b/>
          <w:sz w:val="22"/>
          <w:szCs w:val="22"/>
        </w:rPr>
      </w:pPr>
      <w:proofErr w:type="gramStart"/>
      <w:r>
        <w:rPr>
          <w:rFonts w:eastAsia="DFKai-SB"/>
          <w:b/>
          <w:sz w:val="22"/>
          <w:szCs w:val="22"/>
        </w:rPr>
        <w:t>u</w:t>
      </w:r>
      <w:r>
        <w:rPr>
          <w:rFonts w:eastAsia="DFKai-SB" w:hint="eastAsia"/>
          <w:b/>
          <w:sz w:val="22"/>
          <w:szCs w:val="22"/>
        </w:rPr>
        <w:t>sing</w:t>
      </w:r>
      <w:proofErr w:type="gramEnd"/>
      <w:r>
        <w:rPr>
          <w:rFonts w:eastAsia="DFKai-SB" w:hint="eastAsia"/>
          <w:b/>
          <w:sz w:val="22"/>
          <w:szCs w:val="22"/>
        </w:rPr>
        <w:t xml:space="preserve"> </w:t>
      </w:r>
      <w:r>
        <w:rPr>
          <w:rFonts w:eastAsia="DFKai-SB"/>
          <w:b/>
          <w:sz w:val="22"/>
          <w:szCs w:val="22"/>
        </w:rPr>
        <w:t>Industry-A</w:t>
      </w:r>
      <w:r w:rsidR="006B555F" w:rsidRPr="00993909">
        <w:rPr>
          <w:rFonts w:eastAsia="DFKai-SB"/>
          <w:b/>
          <w:sz w:val="22"/>
          <w:szCs w:val="22"/>
        </w:rPr>
        <w:t>djusted Tobin’s</w:t>
      </w:r>
      <w:r w:rsidR="006B555F" w:rsidRPr="00993909">
        <w:rPr>
          <w:rFonts w:eastAsia="DFKai-SB"/>
          <w:b/>
          <w:i/>
          <w:sz w:val="22"/>
          <w:szCs w:val="22"/>
        </w:rPr>
        <w:t xml:space="preserve"> Q</w:t>
      </w:r>
      <w:r w:rsidR="006B555F" w:rsidRPr="00993909">
        <w:rPr>
          <w:rFonts w:eastAsia="DFKai-SB" w:hint="eastAsia"/>
          <w:b/>
          <w:sz w:val="22"/>
          <w:szCs w:val="22"/>
        </w:rPr>
        <w:t xml:space="preserve"> as an</w:t>
      </w:r>
      <w:r>
        <w:rPr>
          <w:rFonts w:eastAsia="DFKai-SB"/>
          <w:b/>
          <w:sz w:val="22"/>
          <w:szCs w:val="22"/>
        </w:rPr>
        <w:t xml:space="preserve"> Alternative Measure of P</w:t>
      </w:r>
      <w:r w:rsidR="006B555F" w:rsidRPr="00993909">
        <w:rPr>
          <w:rFonts w:eastAsia="DFKai-SB"/>
          <w:b/>
          <w:sz w:val="22"/>
          <w:szCs w:val="22"/>
        </w:rPr>
        <w:t xml:space="preserve">erformance </w:t>
      </w:r>
    </w:p>
    <w:p w:rsidR="006B555F" w:rsidRPr="003F6839" w:rsidRDefault="006B555F" w:rsidP="006B555F">
      <w:pPr>
        <w:snapToGrid w:val="0"/>
        <w:spacing w:line="0" w:lineRule="atLeast"/>
        <w:jc w:val="center"/>
        <w:rPr>
          <w:rFonts w:eastAsia="DFKai-SB"/>
          <w:b/>
        </w:rPr>
      </w:pPr>
    </w:p>
    <w:p w:rsidR="006B555F" w:rsidRPr="003F6839" w:rsidRDefault="006B555F" w:rsidP="006B555F">
      <w:pPr>
        <w:snapToGrid w:val="0"/>
        <w:spacing w:line="0" w:lineRule="atLeast"/>
        <w:rPr>
          <w:rFonts w:eastAsia="DFKai-SB"/>
          <w:b/>
        </w:rPr>
      </w:pPr>
      <w:r>
        <w:rPr>
          <w:rFonts w:eastAsia="DFKai-SB"/>
          <w:b/>
          <w:noProof/>
          <w:lang w:val="en-NZ" w:eastAsia="en-NZ"/>
        </w:rPr>
        <w:drawing>
          <wp:inline distT="0" distB="0" distL="0" distR="0" wp14:anchorId="0801894C" wp14:editId="3DFCE8AC">
            <wp:extent cx="5275580" cy="3206115"/>
            <wp:effectExtent l="0" t="0" r="0" b="0"/>
            <wp:docPr id="10" name="圖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E1E17" w:rsidRPr="008126EB" w:rsidRDefault="00FE1E17" w:rsidP="00FE1E17">
      <w:pPr>
        <w:widowControl/>
        <w:adjustRightInd w:val="0"/>
        <w:snapToGrid w:val="0"/>
        <w:spacing w:line="288" w:lineRule="auto"/>
        <w:jc w:val="center"/>
      </w:pPr>
    </w:p>
    <w:p w:rsidR="002A61C1" w:rsidRDefault="002A61C1">
      <w:pPr>
        <w:widowControl/>
        <w:spacing w:after="160" w:line="259" w:lineRule="auto"/>
        <w:rPr>
          <w:b/>
        </w:rPr>
      </w:pPr>
      <w:r>
        <w:rPr>
          <w:b/>
        </w:rPr>
        <w:br w:type="page"/>
      </w:r>
    </w:p>
    <w:p w:rsidR="00691B4A" w:rsidRPr="00FE0B8A" w:rsidRDefault="00691B4A" w:rsidP="00FE1E17">
      <w:pPr>
        <w:keepNext/>
        <w:widowControl/>
        <w:adjustRightInd w:val="0"/>
        <w:snapToGrid w:val="0"/>
        <w:spacing w:line="288" w:lineRule="auto"/>
        <w:jc w:val="both"/>
        <w:rPr>
          <w:b/>
        </w:rPr>
      </w:pPr>
      <w:r w:rsidRPr="00FE0B8A">
        <w:rPr>
          <w:b/>
        </w:rPr>
        <w:lastRenderedPageBreak/>
        <w:t xml:space="preserve">6.3 </w:t>
      </w:r>
      <w:r w:rsidR="00AA7B36" w:rsidRPr="00FE0B8A">
        <w:rPr>
          <w:b/>
        </w:rPr>
        <w:t>I</w:t>
      </w:r>
      <w:r w:rsidR="00EC2448">
        <w:rPr>
          <w:b/>
        </w:rPr>
        <w:t>ndustry and Y</w:t>
      </w:r>
      <w:r w:rsidRPr="00FE0B8A">
        <w:rPr>
          <w:b/>
        </w:rPr>
        <w:t xml:space="preserve">ear </w:t>
      </w:r>
      <w:r w:rsidR="00EC2448">
        <w:rPr>
          <w:b/>
        </w:rPr>
        <w:t>E</w:t>
      </w:r>
      <w:r w:rsidR="00AA7B36" w:rsidRPr="00FE0B8A">
        <w:rPr>
          <w:b/>
        </w:rPr>
        <w:t xml:space="preserve">ffect </w:t>
      </w:r>
      <w:r w:rsidRPr="00FE0B8A">
        <w:rPr>
          <w:b/>
        </w:rPr>
        <w:t xml:space="preserve">on </w:t>
      </w:r>
      <w:r w:rsidRPr="00FE0B8A">
        <w:rPr>
          <w:rFonts w:hint="eastAsia"/>
          <w:b/>
        </w:rPr>
        <w:t>|</w:t>
      </w:r>
      <w:r w:rsidRPr="00FE0B8A">
        <w:rPr>
          <w:b/>
        </w:rPr>
        <w:t>DA</w:t>
      </w:r>
      <w:r w:rsidRPr="00FE0B8A">
        <w:rPr>
          <w:rFonts w:hint="eastAsia"/>
          <w:b/>
        </w:rPr>
        <w:t>|</w:t>
      </w:r>
      <w:r w:rsidRPr="00FE0B8A">
        <w:rPr>
          <w:b/>
        </w:rPr>
        <w:t>–</w:t>
      </w:r>
      <w:r w:rsidRPr="00FE0B8A">
        <w:rPr>
          <w:rFonts w:hint="eastAsia"/>
          <w:b/>
        </w:rPr>
        <w:t>RETURN</w:t>
      </w:r>
      <w:r w:rsidR="00EC2448">
        <w:rPr>
          <w:b/>
        </w:rPr>
        <w:t xml:space="preserve"> R</w:t>
      </w:r>
      <w:r w:rsidRPr="00FE0B8A">
        <w:rPr>
          <w:b/>
        </w:rPr>
        <w:t>elation</w:t>
      </w:r>
    </w:p>
    <w:p w:rsidR="002A61C1" w:rsidRPr="002A61C1" w:rsidRDefault="002A61C1" w:rsidP="00993909">
      <w:pPr>
        <w:widowControl/>
        <w:adjustRightInd w:val="0"/>
        <w:snapToGrid w:val="0"/>
        <w:spacing w:line="288" w:lineRule="auto"/>
        <w:jc w:val="both"/>
        <w:rPr>
          <w:sz w:val="6"/>
          <w:szCs w:val="6"/>
        </w:rPr>
      </w:pPr>
    </w:p>
    <w:p w:rsidR="00691B4A" w:rsidRDefault="00CF1288" w:rsidP="00993909">
      <w:pPr>
        <w:widowControl/>
        <w:adjustRightInd w:val="0"/>
        <w:snapToGrid w:val="0"/>
        <w:spacing w:line="288" w:lineRule="auto"/>
        <w:jc w:val="both"/>
      </w:pPr>
      <w:r>
        <w:t>To</w:t>
      </w:r>
      <w:r>
        <w:rPr>
          <w:rFonts w:hint="eastAsia"/>
        </w:rPr>
        <w:t xml:space="preserve"> </w:t>
      </w:r>
      <w:r>
        <w:t>find out</w:t>
      </w:r>
      <w:r>
        <w:rPr>
          <w:rFonts w:hint="eastAsia"/>
        </w:rPr>
        <w:t xml:space="preserve"> whether </w:t>
      </w:r>
      <w:r w:rsidRPr="008126EB">
        <w:t>industr</w:t>
      </w:r>
      <w:r>
        <w:t>y</w:t>
      </w:r>
      <w:r w:rsidRPr="008126EB">
        <w:t xml:space="preserve"> and year</w:t>
      </w:r>
      <w:r>
        <w:rPr>
          <w:rFonts w:hint="eastAsia"/>
        </w:rPr>
        <w:t xml:space="preserve"> affect our </w:t>
      </w:r>
      <w:r>
        <w:t xml:space="preserve">empirical results, we </w:t>
      </w:r>
      <w:r w:rsidR="00FD7131">
        <w:t>include</w:t>
      </w:r>
      <w:r>
        <w:t xml:space="preserve"> these variables as </w:t>
      </w:r>
      <w:r w:rsidR="001D71D9" w:rsidRPr="008126EB">
        <w:t>dumm</w:t>
      </w:r>
      <w:r w:rsidR="001D71D9">
        <w:rPr>
          <w:rFonts w:hint="eastAsia"/>
        </w:rPr>
        <w:t>ies</w:t>
      </w:r>
      <w:r w:rsidR="001D71D9" w:rsidRPr="008126EB">
        <w:t xml:space="preserve"> in the regression </w:t>
      </w:r>
      <w:r>
        <w:t>analysis</w:t>
      </w:r>
      <w:r w:rsidR="001D71D9">
        <w:rPr>
          <w:rFonts w:hint="eastAsia"/>
        </w:rPr>
        <w:t xml:space="preserve">. </w:t>
      </w:r>
      <w:r w:rsidRPr="00FC5AC5">
        <w:t>Using</w:t>
      </w:r>
      <w:r w:rsidR="00FD7131" w:rsidRPr="00FC5AC5">
        <w:t xml:space="preserve"> </w:t>
      </w:r>
      <w:r w:rsidR="00FD7131" w:rsidRPr="00FC5AC5">
        <w:rPr>
          <w:rFonts w:hint="eastAsia"/>
        </w:rPr>
        <w:t>the first digit of SIC code</w:t>
      </w:r>
      <w:r w:rsidR="00FD7131" w:rsidRPr="00FC5AC5">
        <w:t xml:space="preserve"> </w:t>
      </w:r>
      <w:r w:rsidRPr="00FC5AC5">
        <w:t xml:space="preserve">to </w:t>
      </w:r>
      <w:r w:rsidR="00067D4E" w:rsidRPr="00FC5AC5">
        <w:t xml:space="preserve">classify </w:t>
      </w:r>
      <w:r w:rsidRPr="00FC5AC5">
        <w:t>i</w:t>
      </w:r>
      <w:r w:rsidR="001D71D9" w:rsidRPr="00FC5AC5">
        <w:rPr>
          <w:rFonts w:hint="eastAsia"/>
        </w:rPr>
        <w:t>ndustr</w:t>
      </w:r>
      <w:r w:rsidR="00067D4E" w:rsidRPr="00FC5AC5">
        <w:t xml:space="preserve">ies </w:t>
      </w:r>
      <w:r w:rsidRPr="00FC5AC5">
        <w:t xml:space="preserve">and incorporating year </w:t>
      </w:r>
      <w:r w:rsidR="00D64207" w:rsidRPr="00FC5AC5">
        <w:t>in the analyses</w:t>
      </w:r>
      <w:r w:rsidRPr="00FC5AC5">
        <w:t xml:space="preserve"> </w:t>
      </w:r>
      <w:r w:rsidR="001D71D9" w:rsidRPr="00FC5AC5">
        <w:rPr>
          <w:rFonts w:hint="eastAsia"/>
        </w:rPr>
        <w:t xml:space="preserve">allow us to </w:t>
      </w:r>
      <w:r w:rsidR="00FC5AC5">
        <w:t xml:space="preserve">further </w:t>
      </w:r>
      <w:r w:rsidR="001D71D9" w:rsidRPr="00FC5AC5">
        <w:rPr>
          <w:rFonts w:hint="eastAsia"/>
        </w:rPr>
        <w:t xml:space="preserve">control </w:t>
      </w:r>
      <w:r w:rsidR="001D71D9" w:rsidRPr="00FC5AC5">
        <w:t>the panel structure</w:t>
      </w:r>
      <w:r w:rsidR="001D71D9" w:rsidRPr="00FC5AC5">
        <w:rPr>
          <w:rFonts w:hint="eastAsia"/>
        </w:rPr>
        <w:t xml:space="preserve"> in </w:t>
      </w:r>
      <w:r w:rsidRPr="00FC5AC5">
        <w:t xml:space="preserve">the </w:t>
      </w:r>
      <w:r w:rsidR="001D71D9" w:rsidRPr="00FC5AC5">
        <w:rPr>
          <w:rFonts w:hint="eastAsia"/>
        </w:rPr>
        <w:t>data</w:t>
      </w:r>
      <w:r w:rsidRPr="00FC5AC5">
        <w:t>set</w:t>
      </w:r>
      <w:r w:rsidR="001D71D9" w:rsidRPr="00FC5AC5">
        <w:rPr>
          <w:rFonts w:hint="eastAsia"/>
        </w:rPr>
        <w:t xml:space="preserve">. </w:t>
      </w:r>
      <w:r w:rsidR="00E9123A" w:rsidRPr="00FC5AC5">
        <w:t xml:space="preserve">In Table </w:t>
      </w:r>
      <w:r w:rsidR="00B26438" w:rsidRPr="00FC5AC5">
        <w:t>5</w:t>
      </w:r>
      <w:r w:rsidR="00E9123A" w:rsidRPr="00FC5AC5">
        <w:t>,</w:t>
      </w:r>
      <w:r w:rsidR="00E9123A">
        <w:t xml:space="preserve"> we</w:t>
      </w:r>
      <w:r w:rsidR="00B26438" w:rsidRPr="008126EB">
        <w:t xml:space="preserve"> r</w:t>
      </w:r>
      <w:r w:rsidR="00691B4A" w:rsidRPr="008126EB">
        <w:t xml:space="preserve">eport the </w:t>
      </w:r>
      <w:r w:rsidR="00691B4A" w:rsidRPr="008126EB">
        <w:rPr>
          <w:rFonts w:hint="eastAsia"/>
          <w:i/>
        </w:rPr>
        <w:t>|DA|</w:t>
      </w:r>
      <w:r w:rsidR="00691B4A" w:rsidRPr="008126EB">
        <w:t xml:space="preserve"> </w:t>
      </w:r>
      <w:r w:rsidR="00067D4E">
        <w:t xml:space="preserve">estimate </w:t>
      </w:r>
      <w:r w:rsidR="00E9123A">
        <w:t xml:space="preserve">by incorporating industry and year </w:t>
      </w:r>
      <w:r w:rsidR="00D51E76" w:rsidRPr="008126EB">
        <w:t>dumm</w:t>
      </w:r>
      <w:r w:rsidR="00D51E76">
        <w:t xml:space="preserve">ies </w:t>
      </w:r>
      <w:r w:rsidR="00691B4A" w:rsidRPr="008126EB">
        <w:t xml:space="preserve">in the </w:t>
      </w:r>
      <w:r w:rsidR="00CB71A6" w:rsidRPr="008126EB">
        <w:t>model</w:t>
      </w:r>
      <w:r w:rsidR="00067D4E">
        <w:t>s</w:t>
      </w:r>
      <w:r w:rsidR="00691B4A" w:rsidRPr="008126EB">
        <w:t xml:space="preserve">. </w:t>
      </w:r>
      <w:r w:rsidR="001D71D9">
        <w:rPr>
          <w:rFonts w:hint="eastAsia"/>
        </w:rPr>
        <w:t xml:space="preserve">Figure 6 </w:t>
      </w:r>
      <w:r w:rsidR="007C7974">
        <w:t>illustrate</w:t>
      </w:r>
      <w:r w:rsidR="00067D4E">
        <w:t>s</w:t>
      </w:r>
      <w:r w:rsidR="007C7974">
        <w:rPr>
          <w:rFonts w:hint="eastAsia"/>
        </w:rPr>
        <w:t xml:space="preserve"> </w:t>
      </w:r>
      <w:r w:rsidR="00691B4A" w:rsidRPr="008126EB">
        <w:t xml:space="preserve">the </w:t>
      </w:r>
      <w:r w:rsidR="001D71D9">
        <w:rPr>
          <w:rFonts w:hint="eastAsia"/>
        </w:rPr>
        <w:t xml:space="preserve">QR and OLS </w:t>
      </w:r>
      <w:r w:rsidR="001D71D9" w:rsidRPr="007C7974">
        <w:rPr>
          <w:rFonts w:hint="eastAsia"/>
        </w:rPr>
        <w:t>e</w:t>
      </w:r>
      <w:r w:rsidR="00691B4A" w:rsidRPr="007C7974">
        <w:t>stimates</w:t>
      </w:r>
      <w:r w:rsidR="000935A5" w:rsidRPr="000935A5">
        <w:rPr>
          <w:rFonts w:eastAsia="DFKai-SB"/>
        </w:rPr>
        <w:t xml:space="preserve"> </w:t>
      </w:r>
      <w:r w:rsidR="002C6982">
        <w:rPr>
          <w:rFonts w:eastAsia="DFKai-SB"/>
        </w:rPr>
        <w:t xml:space="preserve">of </w:t>
      </w:r>
      <w:r w:rsidR="002C6982" w:rsidRPr="002C6982">
        <w:rPr>
          <w:rFonts w:eastAsia="DFKai-SB"/>
          <w:i/>
          <w:iCs/>
        </w:rPr>
        <w:t>|DA|</w:t>
      </w:r>
      <w:r w:rsidR="002C6982">
        <w:rPr>
          <w:rFonts w:eastAsia="DFKai-SB"/>
        </w:rPr>
        <w:t xml:space="preserve"> </w:t>
      </w:r>
      <w:r w:rsidR="00067D4E">
        <w:rPr>
          <w:rFonts w:eastAsia="DFKai-SB"/>
        </w:rPr>
        <w:t>with</w:t>
      </w:r>
      <w:r w:rsidR="002C6982">
        <w:rPr>
          <w:rFonts w:eastAsia="DFKai-SB"/>
        </w:rPr>
        <w:t xml:space="preserve"> </w:t>
      </w:r>
      <w:r w:rsidR="000935A5" w:rsidRPr="000935A5">
        <w:rPr>
          <w:rFonts w:eastAsia="DFKai-SB"/>
        </w:rPr>
        <w:t>95% confidence intervals</w:t>
      </w:r>
      <w:r w:rsidR="00691B4A" w:rsidRPr="007C7974">
        <w:t>.</w:t>
      </w:r>
    </w:p>
    <w:p w:rsidR="00A5381D" w:rsidRDefault="00A5381D" w:rsidP="00993909">
      <w:pPr>
        <w:widowControl/>
        <w:adjustRightInd w:val="0"/>
        <w:snapToGrid w:val="0"/>
        <w:spacing w:line="288" w:lineRule="auto"/>
        <w:jc w:val="both"/>
      </w:pPr>
    </w:p>
    <w:p w:rsidR="00A5381D" w:rsidRPr="008126EB" w:rsidRDefault="00A5381D" w:rsidP="00993909">
      <w:pPr>
        <w:widowControl/>
        <w:adjustRightInd w:val="0"/>
        <w:snapToGrid w:val="0"/>
        <w:spacing w:line="288" w:lineRule="auto"/>
        <w:jc w:val="both"/>
      </w:pPr>
    </w:p>
    <w:p w:rsidR="00EC2448" w:rsidRDefault="00FE1E17" w:rsidP="00FE1E17">
      <w:pPr>
        <w:snapToGrid w:val="0"/>
        <w:spacing w:line="0" w:lineRule="atLeast"/>
        <w:jc w:val="center"/>
        <w:rPr>
          <w:rFonts w:eastAsia="DFKai-SB"/>
          <w:b/>
          <w:sz w:val="22"/>
          <w:szCs w:val="22"/>
        </w:rPr>
      </w:pPr>
      <w:r w:rsidRPr="00FE1E17">
        <w:rPr>
          <w:rFonts w:eastAsia="DFKai-SB"/>
          <w:b/>
          <w:sz w:val="22"/>
          <w:szCs w:val="22"/>
        </w:rPr>
        <w:t>Table 5</w:t>
      </w:r>
      <w:r w:rsidR="00FE0B8A">
        <w:rPr>
          <w:rFonts w:eastAsia="DFKai-SB"/>
          <w:b/>
          <w:sz w:val="22"/>
          <w:szCs w:val="22"/>
        </w:rPr>
        <w:t xml:space="preserve">: </w:t>
      </w:r>
      <w:r w:rsidRPr="00FE1E17">
        <w:rPr>
          <w:rFonts w:eastAsia="DFKai-SB"/>
          <w:b/>
          <w:sz w:val="22"/>
          <w:szCs w:val="22"/>
        </w:rPr>
        <w:t xml:space="preserve"> The </w:t>
      </w:r>
      <w:r w:rsidRPr="00FE1E17">
        <w:rPr>
          <w:b/>
          <w:sz w:val="22"/>
          <w:szCs w:val="22"/>
        </w:rPr>
        <w:t>|</w:t>
      </w:r>
      <w:r w:rsidRPr="00FE1E17">
        <w:rPr>
          <w:b/>
          <w:i/>
          <w:sz w:val="22"/>
          <w:szCs w:val="22"/>
        </w:rPr>
        <w:t>DA|</w:t>
      </w:r>
      <w:r w:rsidRPr="00FE1E17">
        <w:rPr>
          <w:b/>
          <w:sz w:val="22"/>
          <w:szCs w:val="22"/>
        </w:rPr>
        <w:t>–</w:t>
      </w:r>
      <w:r w:rsidRPr="00FE1E17">
        <w:rPr>
          <w:b/>
          <w:i/>
          <w:sz w:val="22"/>
          <w:szCs w:val="22"/>
        </w:rPr>
        <w:t xml:space="preserve">RETURN </w:t>
      </w:r>
      <w:r w:rsidR="00EC2448">
        <w:rPr>
          <w:b/>
          <w:sz w:val="22"/>
          <w:szCs w:val="22"/>
        </w:rPr>
        <w:t>R</w:t>
      </w:r>
      <w:r w:rsidRPr="00FE1E17">
        <w:rPr>
          <w:b/>
          <w:sz w:val="22"/>
          <w:szCs w:val="22"/>
        </w:rPr>
        <w:t xml:space="preserve">elation </w:t>
      </w:r>
      <w:r w:rsidR="00EC2448">
        <w:rPr>
          <w:rFonts w:eastAsia="DFKai-SB"/>
          <w:b/>
          <w:sz w:val="22"/>
          <w:szCs w:val="22"/>
        </w:rPr>
        <w:t>with Year and Industry D</w:t>
      </w:r>
      <w:r w:rsidRPr="00FE1E17">
        <w:rPr>
          <w:rFonts w:eastAsia="DFKai-SB"/>
          <w:b/>
          <w:sz w:val="22"/>
          <w:szCs w:val="22"/>
        </w:rPr>
        <w:t xml:space="preserve">ummies </w:t>
      </w:r>
    </w:p>
    <w:p w:rsidR="00FE1E17" w:rsidRPr="00FE1E17" w:rsidRDefault="00FE1E17" w:rsidP="00FE1E17">
      <w:pPr>
        <w:snapToGrid w:val="0"/>
        <w:spacing w:line="0" w:lineRule="atLeast"/>
        <w:jc w:val="center"/>
        <w:rPr>
          <w:rFonts w:eastAsia="DFKai-SB"/>
          <w:b/>
          <w:sz w:val="22"/>
          <w:szCs w:val="22"/>
        </w:rPr>
      </w:pPr>
      <w:proofErr w:type="gramStart"/>
      <w:r w:rsidRPr="00FE1E17">
        <w:rPr>
          <w:rFonts w:eastAsia="DFKai-SB"/>
          <w:b/>
          <w:sz w:val="22"/>
          <w:szCs w:val="22"/>
        </w:rPr>
        <w:t>across</w:t>
      </w:r>
      <w:proofErr w:type="gramEnd"/>
      <w:r w:rsidRPr="00FE1E17">
        <w:rPr>
          <w:rFonts w:eastAsia="DFKai-SB"/>
          <w:b/>
          <w:sz w:val="22"/>
          <w:szCs w:val="22"/>
        </w:rPr>
        <w:t xml:space="preserve"> </w:t>
      </w:r>
      <w:r w:rsidR="00EC2448">
        <w:rPr>
          <w:rFonts w:eastAsia="DFKai-SB"/>
          <w:b/>
          <w:sz w:val="22"/>
          <w:szCs w:val="22"/>
        </w:rPr>
        <w:t>Various Quantiles of Stock R</w:t>
      </w:r>
      <w:r w:rsidRPr="00FE1E17">
        <w:rPr>
          <w:rFonts w:eastAsia="DFKai-SB"/>
          <w:b/>
          <w:sz w:val="22"/>
          <w:szCs w:val="22"/>
        </w:rPr>
        <w:t>eturns</w:t>
      </w:r>
    </w:p>
    <w:p w:rsidR="00FE1E17" w:rsidRDefault="00FE1E17" w:rsidP="00FE1E17">
      <w:pPr>
        <w:snapToGrid w:val="0"/>
        <w:spacing w:line="0" w:lineRule="atLeast"/>
        <w:jc w:val="center"/>
        <w:rPr>
          <w:rFonts w:eastAsia="DFKai-SB"/>
          <w:b/>
          <w:sz w:val="10"/>
          <w:szCs w:val="10"/>
        </w:rPr>
      </w:pPr>
    </w:p>
    <w:p w:rsidR="002A61C1" w:rsidRPr="00B32255" w:rsidRDefault="002A61C1" w:rsidP="00FE1E17">
      <w:pPr>
        <w:snapToGrid w:val="0"/>
        <w:spacing w:line="0" w:lineRule="atLeast"/>
        <w:jc w:val="center"/>
        <w:rPr>
          <w:rFonts w:eastAsia="DFKai-SB"/>
          <w:b/>
          <w:sz w:val="10"/>
          <w:szCs w:val="10"/>
        </w:rPr>
      </w:pPr>
    </w:p>
    <w:p w:rsidR="00FE1E17" w:rsidRPr="00FE1E17" w:rsidRDefault="00FE1E17" w:rsidP="00FE1E17">
      <w:pPr>
        <w:jc w:val="center"/>
        <w:rPr>
          <w:rFonts w:eastAsia="DFKai-SB"/>
          <w:sz w:val="22"/>
          <w:szCs w:val="22"/>
        </w:rPr>
      </w:pPr>
      <w:r w:rsidRPr="00FE1E17">
        <w:rPr>
          <w:rFonts w:eastAsia="DFKai-SB"/>
          <w:i/>
          <w:sz w:val="22"/>
          <w:szCs w:val="22"/>
        </w:rPr>
        <w:t>RETURN</w:t>
      </w:r>
      <w:r w:rsidRPr="00FE1E17">
        <w:rPr>
          <w:rFonts w:eastAsia="DFKai-SB"/>
          <w:i/>
          <w:sz w:val="22"/>
          <w:szCs w:val="22"/>
          <w:vertAlign w:val="subscript"/>
        </w:rPr>
        <w:t>i</w:t>
      </w:r>
      <w:proofErr w:type="gramStart"/>
      <w:r w:rsidRPr="00FE1E17">
        <w:rPr>
          <w:rFonts w:eastAsia="DFKai-SB"/>
          <w:i/>
          <w:sz w:val="22"/>
          <w:szCs w:val="22"/>
          <w:vertAlign w:val="subscript"/>
        </w:rPr>
        <w:t>,t</w:t>
      </w:r>
      <w:proofErr w:type="gramEnd"/>
      <w:r w:rsidRPr="00FE1E17">
        <w:rPr>
          <w:i/>
          <w:sz w:val="22"/>
          <w:szCs w:val="22"/>
          <w:vertAlign w:val="subscript"/>
        </w:rPr>
        <w:t>+1</w:t>
      </w:r>
      <w:r w:rsidRPr="00FE1E17">
        <w:rPr>
          <w:rFonts w:eastAsia="DFKai-SB"/>
          <w:sz w:val="22"/>
          <w:szCs w:val="22"/>
        </w:rPr>
        <w:t xml:space="preserve"> =</w:t>
      </w:r>
      <w:r w:rsidRPr="00FE1E17">
        <w:rPr>
          <w:rFonts w:eastAsia="DFKai-SB"/>
          <w:i/>
          <w:sz w:val="22"/>
          <w:szCs w:val="22"/>
        </w:rPr>
        <w:t xml:space="preserve"> </w:t>
      </w:r>
      <w:r w:rsidRPr="00FE1E17">
        <w:rPr>
          <w:i/>
          <w:sz w:val="22"/>
          <w:szCs w:val="22"/>
        </w:rPr>
        <w:sym w:font="Symbol" w:char="F062"/>
      </w:r>
      <w:r w:rsidRPr="00FE1E17">
        <w:rPr>
          <w:rFonts w:eastAsia="DFKai-SB"/>
          <w:sz w:val="22"/>
          <w:szCs w:val="22"/>
          <w:vertAlign w:val="subscript"/>
        </w:rPr>
        <w:t>0</w:t>
      </w:r>
      <w:r w:rsidRPr="00FE1E17">
        <w:rPr>
          <w:rFonts w:eastAsia="DFKai-SB"/>
          <w:i/>
          <w:sz w:val="22"/>
          <w:szCs w:val="22"/>
        </w:rPr>
        <w:t xml:space="preserve"> + </w:t>
      </w:r>
      <w:r w:rsidRPr="00FE1E17">
        <w:rPr>
          <w:i/>
          <w:sz w:val="22"/>
          <w:szCs w:val="22"/>
        </w:rPr>
        <w:sym w:font="Symbol" w:char="F062"/>
      </w:r>
      <w:r w:rsidRPr="00FE1E17">
        <w:rPr>
          <w:rFonts w:eastAsia="DFKai-SB"/>
          <w:sz w:val="22"/>
          <w:szCs w:val="22"/>
          <w:vertAlign w:val="subscript"/>
        </w:rPr>
        <w:t xml:space="preserve">1 </w:t>
      </w:r>
      <w:r w:rsidRPr="00FE1E17">
        <w:rPr>
          <w:rFonts w:eastAsia="DFKai-SB"/>
          <w:i/>
          <w:sz w:val="22"/>
          <w:szCs w:val="22"/>
        </w:rPr>
        <w:t>|DA</w:t>
      </w:r>
      <w:r w:rsidRPr="00FE1E17">
        <w:rPr>
          <w:rFonts w:eastAsia="DFKai-SB"/>
          <w:i/>
          <w:sz w:val="22"/>
          <w:szCs w:val="22"/>
          <w:vertAlign w:val="subscript"/>
        </w:rPr>
        <w:t>i,t</w:t>
      </w:r>
      <w:r w:rsidRPr="00FE1E17">
        <w:rPr>
          <w:rFonts w:eastAsia="DFKai-SB"/>
          <w:i/>
          <w:sz w:val="22"/>
          <w:szCs w:val="22"/>
        </w:rPr>
        <w:t xml:space="preserve"> |+ </w:t>
      </w:r>
      <w:r w:rsidRPr="00FE1E17">
        <w:rPr>
          <w:i/>
          <w:sz w:val="22"/>
          <w:szCs w:val="22"/>
        </w:rPr>
        <w:sym w:font="Symbol" w:char="F062"/>
      </w:r>
      <w:r w:rsidRPr="00FE1E17">
        <w:rPr>
          <w:rFonts w:eastAsia="DFKai-SB"/>
          <w:sz w:val="22"/>
          <w:szCs w:val="22"/>
          <w:vertAlign w:val="subscript"/>
        </w:rPr>
        <w:t xml:space="preserve">2 </w:t>
      </w:r>
      <w:r w:rsidRPr="00FE1E17">
        <w:rPr>
          <w:rFonts w:eastAsia="DFKai-SB"/>
          <w:i/>
          <w:sz w:val="22"/>
          <w:szCs w:val="22"/>
        </w:rPr>
        <w:t>MKT</w:t>
      </w:r>
      <w:r w:rsidRPr="00FE1E17">
        <w:rPr>
          <w:rFonts w:eastAsia="DFKai-SB"/>
          <w:i/>
          <w:sz w:val="22"/>
          <w:szCs w:val="22"/>
          <w:vertAlign w:val="subscript"/>
        </w:rPr>
        <w:t>t</w:t>
      </w:r>
      <w:r w:rsidRPr="00FE1E17">
        <w:rPr>
          <w:rFonts w:eastAsia="DFKai-SB"/>
          <w:i/>
          <w:sz w:val="22"/>
          <w:szCs w:val="22"/>
        </w:rPr>
        <w:t xml:space="preserve"> + </w:t>
      </w:r>
      <w:r w:rsidRPr="00FE1E17">
        <w:rPr>
          <w:i/>
          <w:sz w:val="22"/>
          <w:szCs w:val="22"/>
        </w:rPr>
        <w:sym w:font="Symbol" w:char="F062"/>
      </w:r>
      <w:r w:rsidRPr="00FE1E17">
        <w:rPr>
          <w:rFonts w:eastAsia="DFKai-SB"/>
          <w:sz w:val="22"/>
          <w:szCs w:val="22"/>
          <w:vertAlign w:val="subscript"/>
        </w:rPr>
        <w:t xml:space="preserve">3 </w:t>
      </w:r>
      <w:r w:rsidRPr="00FE1E17">
        <w:rPr>
          <w:rFonts w:eastAsia="DFKai-SB"/>
          <w:i/>
          <w:sz w:val="22"/>
          <w:szCs w:val="22"/>
        </w:rPr>
        <w:t>SIZE</w:t>
      </w:r>
      <w:r w:rsidRPr="00FE1E17">
        <w:rPr>
          <w:rFonts w:eastAsia="DFKai-SB"/>
          <w:i/>
          <w:sz w:val="22"/>
          <w:szCs w:val="22"/>
          <w:vertAlign w:val="subscript"/>
        </w:rPr>
        <w:t>i,t</w:t>
      </w:r>
      <w:r w:rsidRPr="00FE1E17">
        <w:rPr>
          <w:rFonts w:eastAsia="DFKai-SB"/>
          <w:i/>
          <w:sz w:val="22"/>
          <w:szCs w:val="22"/>
        </w:rPr>
        <w:t xml:space="preserve"> +</w:t>
      </w:r>
      <w:r w:rsidRPr="00FE1E17">
        <w:rPr>
          <w:i/>
          <w:sz w:val="22"/>
          <w:szCs w:val="22"/>
        </w:rPr>
        <w:sym w:font="Symbol" w:char="F062"/>
      </w:r>
      <w:r w:rsidRPr="00FE1E17">
        <w:rPr>
          <w:rFonts w:eastAsia="DFKai-SB"/>
          <w:sz w:val="22"/>
          <w:szCs w:val="22"/>
          <w:vertAlign w:val="subscript"/>
        </w:rPr>
        <w:t xml:space="preserve">4 </w:t>
      </w:r>
      <w:r w:rsidRPr="00FE1E17">
        <w:rPr>
          <w:rFonts w:eastAsia="DFKai-SB"/>
          <w:i/>
          <w:sz w:val="22"/>
          <w:szCs w:val="22"/>
        </w:rPr>
        <w:t>MB</w:t>
      </w:r>
      <w:r w:rsidRPr="00FE1E17">
        <w:rPr>
          <w:rFonts w:eastAsia="DFKai-SB"/>
          <w:i/>
          <w:sz w:val="22"/>
          <w:szCs w:val="22"/>
          <w:vertAlign w:val="subscript"/>
        </w:rPr>
        <w:t>i,t</w:t>
      </w:r>
      <w:r w:rsidRPr="00FE1E17">
        <w:rPr>
          <w:rFonts w:eastAsia="DFKai-SB"/>
          <w:i/>
          <w:sz w:val="22"/>
          <w:szCs w:val="22"/>
        </w:rPr>
        <w:t xml:space="preserve"> + </w:t>
      </w:r>
      <w:r w:rsidRPr="00FE1E17">
        <w:rPr>
          <w:i/>
          <w:sz w:val="22"/>
          <w:szCs w:val="22"/>
        </w:rPr>
        <w:sym w:font="Symbol" w:char="F062"/>
      </w:r>
      <w:r w:rsidRPr="00FE1E17">
        <w:rPr>
          <w:rFonts w:eastAsia="DFKai-SB"/>
          <w:sz w:val="22"/>
          <w:szCs w:val="22"/>
          <w:vertAlign w:val="subscript"/>
        </w:rPr>
        <w:t xml:space="preserve">5 </w:t>
      </w:r>
      <w:r w:rsidRPr="00FE1E17">
        <w:rPr>
          <w:rFonts w:eastAsia="DFKai-SB"/>
          <w:i/>
          <w:sz w:val="22"/>
          <w:szCs w:val="22"/>
        </w:rPr>
        <w:t>MOM</w:t>
      </w:r>
      <w:r w:rsidRPr="00FE1E17">
        <w:rPr>
          <w:rFonts w:eastAsia="DFKai-SB"/>
          <w:i/>
          <w:sz w:val="22"/>
          <w:szCs w:val="22"/>
          <w:vertAlign w:val="subscript"/>
        </w:rPr>
        <w:t>i,t</w:t>
      </w:r>
    </w:p>
    <w:p w:rsidR="00FE1E17" w:rsidRDefault="00FE1E17" w:rsidP="00FE1E17">
      <w:pPr>
        <w:spacing w:after="120"/>
        <w:jc w:val="center"/>
        <w:rPr>
          <w:i/>
          <w:sz w:val="22"/>
          <w:szCs w:val="22"/>
          <w:vertAlign w:val="subscript"/>
        </w:rPr>
      </w:pPr>
      <w:r w:rsidRPr="00FE1E17">
        <w:rPr>
          <w:rFonts w:eastAsia="DFKai-SB"/>
          <w:i/>
          <w:sz w:val="22"/>
          <w:szCs w:val="22"/>
        </w:rPr>
        <w:t xml:space="preserve">+ </w:t>
      </w:r>
      <w:proofErr w:type="gramStart"/>
      <w:r w:rsidRPr="00FE1E17">
        <w:rPr>
          <w:rFonts w:eastAsia="DFKai-SB"/>
          <w:i/>
          <w:sz w:val="22"/>
          <w:szCs w:val="22"/>
        </w:rPr>
        <w:t>year</w:t>
      </w:r>
      <w:proofErr w:type="gramEnd"/>
      <w:r w:rsidRPr="00FE1E17">
        <w:rPr>
          <w:rFonts w:eastAsia="DFKai-SB"/>
          <w:i/>
          <w:sz w:val="22"/>
          <w:szCs w:val="22"/>
        </w:rPr>
        <w:t xml:space="preserve"> dummies+ industry dummies + u</w:t>
      </w:r>
      <w:r w:rsidRPr="00FE1E17">
        <w:rPr>
          <w:rFonts w:eastAsia="DFKai-SB"/>
          <w:i/>
          <w:sz w:val="22"/>
          <w:szCs w:val="22"/>
          <w:vertAlign w:val="subscript"/>
        </w:rPr>
        <w:t>i,t</w:t>
      </w:r>
      <w:r w:rsidRPr="00FE1E17">
        <w:rPr>
          <w:i/>
          <w:sz w:val="22"/>
          <w:szCs w:val="22"/>
          <w:vertAlign w:val="subscript"/>
        </w:rPr>
        <w:t>+1</w:t>
      </w:r>
    </w:p>
    <w:p w:rsidR="002A61C1" w:rsidRPr="002A61C1" w:rsidRDefault="002A61C1" w:rsidP="00FE1E17">
      <w:pPr>
        <w:spacing w:after="120"/>
        <w:jc w:val="center"/>
        <w:rPr>
          <w:i/>
          <w:sz w:val="6"/>
          <w:szCs w:val="6"/>
          <w:vertAlign w:val="subscript"/>
        </w:rPr>
      </w:pPr>
    </w:p>
    <w:tbl>
      <w:tblPr>
        <w:tblW w:w="5003" w:type="pct"/>
        <w:tblLayout w:type="fixed"/>
        <w:tblCellMar>
          <w:left w:w="0" w:type="dxa"/>
          <w:right w:w="0" w:type="dxa"/>
        </w:tblCellMar>
        <w:tblLook w:val="0000" w:firstRow="0" w:lastRow="0" w:firstColumn="0" w:lastColumn="0" w:noHBand="0" w:noVBand="0"/>
      </w:tblPr>
      <w:tblGrid>
        <w:gridCol w:w="921"/>
        <w:gridCol w:w="1870"/>
        <w:gridCol w:w="923"/>
        <w:gridCol w:w="1868"/>
        <w:gridCol w:w="1342"/>
        <w:gridCol w:w="2108"/>
      </w:tblGrid>
      <w:tr w:rsidR="00FE1E17" w:rsidRPr="00FE1E17" w:rsidTr="00583009">
        <w:trPr>
          <w:trHeight w:val="345"/>
        </w:trPr>
        <w:tc>
          <w:tcPr>
            <w:tcW w:w="3090" w:type="pct"/>
            <w:gridSpan w:val="4"/>
            <w:tcBorders>
              <w:top w:val="single" w:sz="12" w:space="0" w:color="auto"/>
              <w:left w:val="nil"/>
              <w:right w:val="single" w:sz="12" w:space="0" w:color="auto"/>
            </w:tcBorders>
            <w:shd w:val="clear" w:color="auto" w:fill="auto"/>
            <w:noWrap/>
            <w:vAlign w:val="center"/>
          </w:tcPr>
          <w:p w:rsidR="00FE1E17" w:rsidRPr="00FE1E17" w:rsidRDefault="00FE1E17" w:rsidP="00583009">
            <w:pPr>
              <w:ind w:left="-180"/>
              <w:jc w:val="center"/>
              <w:rPr>
                <w:rFonts w:eastAsia="DFKai-SB"/>
                <w:i/>
                <w:sz w:val="22"/>
                <w:szCs w:val="22"/>
              </w:rPr>
            </w:pPr>
            <w:r w:rsidRPr="00FE1E17">
              <w:rPr>
                <w:rFonts w:eastAsia="DFKai-SB"/>
                <w:i/>
                <w:sz w:val="22"/>
                <w:szCs w:val="22"/>
              </w:rPr>
              <w:t xml:space="preserve">Coefficient estimates on </w:t>
            </w:r>
            <w:r w:rsidRPr="00FE1E17">
              <w:rPr>
                <w:i/>
                <w:sz w:val="22"/>
                <w:szCs w:val="22"/>
              </w:rPr>
              <w:t>|DA|: QR</w:t>
            </w:r>
            <w:r w:rsidRPr="00FE1E17">
              <w:rPr>
                <w:rFonts w:eastAsia="DFKai-SB"/>
                <w:i/>
                <w:sz w:val="22"/>
                <w:szCs w:val="22"/>
              </w:rPr>
              <w:t xml:space="preserve"> vs. OLS </w:t>
            </w:r>
          </w:p>
        </w:tc>
        <w:tc>
          <w:tcPr>
            <w:tcW w:w="1910" w:type="pct"/>
            <w:gridSpan w:val="2"/>
            <w:tcBorders>
              <w:top w:val="single" w:sz="12" w:space="0" w:color="auto"/>
              <w:left w:val="single" w:sz="12"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 xml:space="preserve">Tests of equality </w:t>
            </w:r>
            <w:r w:rsidRPr="00FE1E17">
              <w:rPr>
                <w:i/>
                <w:sz w:val="22"/>
                <w:szCs w:val="22"/>
              </w:rPr>
              <w:t>across quantiles</w:t>
            </w:r>
          </w:p>
        </w:tc>
      </w:tr>
      <w:tr w:rsidR="00FE1E17" w:rsidRPr="00FE1E17" w:rsidTr="00583009">
        <w:trPr>
          <w:trHeight w:val="345"/>
        </w:trPr>
        <w:tc>
          <w:tcPr>
            <w:tcW w:w="510"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Quant</w:t>
            </w:r>
            <w:r w:rsidRPr="00FE1E17">
              <w:rPr>
                <w:i/>
                <w:sz w:val="22"/>
                <w:szCs w:val="22"/>
              </w:rPr>
              <w:t>.</w:t>
            </w:r>
          </w:p>
        </w:tc>
        <w:tc>
          <w:tcPr>
            <w:tcW w:w="1035"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rFonts w:eastAsia="DFKai-SB"/>
                <w:i/>
                <w:sz w:val="22"/>
                <w:szCs w:val="22"/>
              </w:rPr>
            </w:pPr>
            <w:r w:rsidRPr="00FE1E17">
              <w:rPr>
                <w:i/>
                <w:sz w:val="22"/>
                <w:szCs w:val="22"/>
              </w:rPr>
              <w:t>Coeff.</w:t>
            </w:r>
            <w:r w:rsidRPr="00FE1E17">
              <w:rPr>
                <w:rFonts w:eastAsia="DFKai-SB"/>
                <w:i/>
                <w:sz w:val="22"/>
                <w:szCs w:val="22"/>
              </w:rPr>
              <w:t xml:space="preserve"> (p-value)</w:t>
            </w:r>
          </w:p>
        </w:tc>
        <w:tc>
          <w:tcPr>
            <w:tcW w:w="511"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Quant</w:t>
            </w:r>
            <w:r w:rsidRPr="00FE1E17">
              <w:rPr>
                <w:i/>
                <w:sz w:val="22"/>
                <w:szCs w:val="22"/>
              </w:rPr>
              <w:t>.</w:t>
            </w:r>
          </w:p>
        </w:tc>
        <w:tc>
          <w:tcPr>
            <w:tcW w:w="1034" w:type="pct"/>
            <w:tcBorders>
              <w:top w:val="nil"/>
              <w:left w:val="nil"/>
              <w:bottom w:val="single" w:sz="8" w:space="0" w:color="auto"/>
              <w:right w:val="single" w:sz="12" w:space="0" w:color="auto"/>
            </w:tcBorders>
            <w:shd w:val="clear" w:color="auto" w:fill="auto"/>
            <w:noWrap/>
            <w:vAlign w:val="center"/>
          </w:tcPr>
          <w:p w:rsidR="00FE1E17" w:rsidRPr="00FE1E17" w:rsidRDefault="00FE1E17" w:rsidP="00583009">
            <w:pPr>
              <w:jc w:val="center"/>
              <w:rPr>
                <w:rFonts w:eastAsia="DFKai-SB"/>
                <w:i/>
                <w:sz w:val="22"/>
                <w:szCs w:val="22"/>
              </w:rPr>
            </w:pPr>
            <w:r w:rsidRPr="00FE1E17">
              <w:rPr>
                <w:i/>
                <w:sz w:val="22"/>
                <w:szCs w:val="22"/>
              </w:rPr>
              <w:t>Coeff.</w:t>
            </w:r>
            <w:r w:rsidRPr="00FE1E17">
              <w:rPr>
                <w:rFonts w:eastAsia="DFKai-SB"/>
                <w:i/>
                <w:sz w:val="22"/>
                <w:szCs w:val="22"/>
              </w:rPr>
              <w:t xml:space="preserve"> (p-value)</w:t>
            </w:r>
          </w:p>
        </w:tc>
        <w:tc>
          <w:tcPr>
            <w:tcW w:w="743" w:type="pct"/>
            <w:tcBorders>
              <w:top w:val="nil"/>
              <w:left w:val="single" w:sz="12" w:space="0" w:color="auto"/>
              <w:bottom w:val="single" w:sz="8"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Quant</w:t>
            </w:r>
            <w:r w:rsidRPr="00FE1E17">
              <w:rPr>
                <w:i/>
                <w:sz w:val="22"/>
                <w:szCs w:val="22"/>
              </w:rPr>
              <w:t>.</w:t>
            </w:r>
          </w:p>
        </w:tc>
        <w:tc>
          <w:tcPr>
            <w:tcW w:w="1167"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rFonts w:eastAsia="DFKai-SB"/>
                <w:i/>
                <w:sz w:val="22"/>
                <w:szCs w:val="22"/>
              </w:rPr>
            </w:pPr>
            <w:r w:rsidRPr="00FE1E17">
              <w:rPr>
                <w:i/>
                <w:sz w:val="22"/>
                <w:szCs w:val="22"/>
              </w:rPr>
              <w:t>F-statistic</w:t>
            </w:r>
            <w:r w:rsidRPr="00FE1E17">
              <w:rPr>
                <w:rFonts w:eastAsia="DFKai-SB"/>
                <w:i/>
                <w:sz w:val="22"/>
                <w:szCs w:val="22"/>
              </w:rPr>
              <w:t xml:space="preserve"> (p-value)</w:t>
            </w:r>
          </w:p>
        </w:tc>
      </w:tr>
      <w:tr w:rsidR="00FE1E17" w:rsidRPr="00FE1E17" w:rsidTr="00583009">
        <w:trPr>
          <w:trHeight w:val="397"/>
        </w:trPr>
        <w:tc>
          <w:tcPr>
            <w:tcW w:w="510" w:type="pct"/>
            <w:tcBorders>
              <w:top w:val="single" w:sz="8" w:space="0" w:color="auto"/>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5</w:t>
            </w:r>
            <w:r w:rsidRPr="00FE1E17">
              <w:rPr>
                <w:sz w:val="22"/>
                <w:szCs w:val="22"/>
              </w:rPr>
              <w:t>%</w:t>
            </w:r>
          </w:p>
        </w:tc>
        <w:tc>
          <w:tcPr>
            <w:tcW w:w="1035" w:type="pct"/>
            <w:tcBorders>
              <w:top w:val="single" w:sz="8" w:space="0" w:color="auto"/>
              <w:left w:val="nil"/>
              <w:bottom w:val="nil"/>
              <w:right w:val="nil"/>
            </w:tcBorders>
            <w:shd w:val="clear" w:color="auto" w:fill="auto"/>
            <w:noWrap/>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-0.608</w:t>
            </w:r>
            <w:r w:rsidRPr="00FE1E17">
              <w:rPr>
                <w:rFonts w:eastAsia="DFKai-SB"/>
                <w:sz w:val="22"/>
                <w:szCs w:val="22"/>
              </w:rPr>
              <w:t xml:space="preserve"> (0.000)**</w:t>
            </w:r>
          </w:p>
        </w:tc>
        <w:tc>
          <w:tcPr>
            <w:tcW w:w="511" w:type="pct"/>
            <w:tcBorders>
              <w:top w:val="single" w:sz="8" w:space="0" w:color="auto"/>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95</w:t>
            </w:r>
            <w:r w:rsidRPr="00FE1E17">
              <w:rPr>
                <w:sz w:val="22"/>
                <w:szCs w:val="22"/>
              </w:rPr>
              <w:t>%</w:t>
            </w:r>
          </w:p>
        </w:tc>
        <w:tc>
          <w:tcPr>
            <w:tcW w:w="1034" w:type="pct"/>
            <w:tcBorders>
              <w:top w:val="single" w:sz="8" w:space="0" w:color="auto"/>
              <w:left w:val="nil"/>
              <w:bottom w:val="nil"/>
              <w:right w:val="single" w:sz="12" w:space="0" w:color="auto"/>
            </w:tcBorders>
            <w:shd w:val="clear" w:color="auto" w:fill="auto"/>
            <w:noWrap/>
            <w:vAlign w:val="center"/>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1.758</w:t>
            </w:r>
            <w:r w:rsidRPr="00FE1E17">
              <w:rPr>
                <w:rFonts w:eastAsia="DFKai-SB"/>
                <w:sz w:val="22"/>
                <w:szCs w:val="22"/>
              </w:rPr>
              <w:t xml:space="preserve"> (0.000)**</w:t>
            </w:r>
          </w:p>
        </w:tc>
        <w:tc>
          <w:tcPr>
            <w:tcW w:w="743" w:type="pct"/>
            <w:tcBorders>
              <w:top w:val="single" w:sz="8" w:space="0" w:color="auto"/>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5</w:t>
            </w:r>
            <w:r w:rsidRPr="00FE1E17">
              <w:rPr>
                <w:sz w:val="22"/>
                <w:szCs w:val="22"/>
              </w:rPr>
              <w:t>%</w:t>
            </w:r>
            <w:r w:rsidRPr="00FE1E17">
              <w:rPr>
                <w:rFonts w:eastAsia="DFKai-SB"/>
                <w:sz w:val="22"/>
                <w:szCs w:val="22"/>
              </w:rPr>
              <w:t xml:space="preserve"> </w:t>
            </w:r>
            <w:r w:rsidRPr="00FE1E17">
              <w:rPr>
                <w:sz w:val="22"/>
                <w:szCs w:val="22"/>
              </w:rPr>
              <w:t xml:space="preserve">vs. </w:t>
            </w:r>
            <w:r w:rsidRPr="00FE1E17">
              <w:rPr>
                <w:rFonts w:eastAsia="DFKai-SB"/>
                <w:sz w:val="22"/>
                <w:szCs w:val="22"/>
              </w:rPr>
              <w:t>95</w:t>
            </w:r>
            <w:r w:rsidRPr="00FE1E17">
              <w:rPr>
                <w:sz w:val="22"/>
                <w:szCs w:val="22"/>
              </w:rPr>
              <w:t>%</w:t>
            </w:r>
          </w:p>
        </w:tc>
        <w:tc>
          <w:tcPr>
            <w:tcW w:w="1167" w:type="pct"/>
            <w:tcBorders>
              <w:top w:val="single" w:sz="8" w:space="0" w:color="auto"/>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36.51 (0.0000)**</w:t>
            </w:r>
          </w:p>
        </w:tc>
      </w:tr>
      <w:tr w:rsidR="00FE1E17" w:rsidRPr="00FE1E17" w:rsidTr="00583009">
        <w:trPr>
          <w:trHeight w:val="397"/>
        </w:trPr>
        <w:tc>
          <w:tcPr>
            <w:tcW w:w="510"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10</w:t>
            </w:r>
            <w:r w:rsidRPr="00FE1E17">
              <w:rPr>
                <w:sz w:val="22"/>
                <w:szCs w:val="22"/>
              </w:rPr>
              <w:t>%</w:t>
            </w:r>
          </w:p>
        </w:tc>
        <w:tc>
          <w:tcPr>
            <w:tcW w:w="1035" w:type="pct"/>
            <w:tcBorders>
              <w:top w:val="nil"/>
              <w:left w:val="nil"/>
              <w:bottom w:val="nil"/>
              <w:right w:val="nil"/>
            </w:tcBorders>
            <w:shd w:val="clear" w:color="auto" w:fill="auto"/>
            <w:noWrap/>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-0.616</w:t>
            </w:r>
            <w:r w:rsidRPr="00FE1E17">
              <w:rPr>
                <w:rFonts w:eastAsia="DFKai-SB"/>
                <w:sz w:val="22"/>
                <w:szCs w:val="22"/>
              </w:rPr>
              <w:t xml:space="preserve"> (0.000)**</w:t>
            </w:r>
          </w:p>
        </w:tc>
        <w:tc>
          <w:tcPr>
            <w:tcW w:w="511"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90</w:t>
            </w:r>
            <w:r w:rsidRPr="00FE1E17">
              <w:rPr>
                <w:sz w:val="22"/>
                <w:szCs w:val="22"/>
              </w:rPr>
              <w:t>%</w:t>
            </w:r>
          </w:p>
        </w:tc>
        <w:tc>
          <w:tcPr>
            <w:tcW w:w="1034"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0.855</w:t>
            </w:r>
            <w:r w:rsidRPr="00FE1E17">
              <w:rPr>
                <w:rFonts w:eastAsia="DFKai-SB"/>
                <w:sz w:val="22"/>
                <w:szCs w:val="22"/>
              </w:rPr>
              <w:t xml:space="preserve"> (0.007)**</w:t>
            </w:r>
          </w:p>
        </w:tc>
        <w:tc>
          <w:tcPr>
            <w:tcW w:w="743"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90</w:t>
            </w:r>
            <w:r w:rsidRPr="00FE1E17">
              <w:rPr>
                <w:sz w:val="22"/>
                <w:szCs w:val="22"/>
              </w:rPr>
              <w:t>%</w:t>
            </w:r>
          </w:p>
        </w:tc>
        <w:tc>
          <w:tcPr>
            <w:tcW w:w="1167"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21.50 (0.0000)**</w:t>
            </w:r>
          </w:p>
        </w:tc>
      </w:tr>
      <w:tr w:rsidR="00FE1E17" w:rsidRPr="00FE1E17" w:rsidTr="00583009">
        <w:trPr>
          <w:trHeight w:val="397"/>
        </w:trPr>
        <w:tc>
          <w:tcPr>
            <w:tcW w:w="510"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15</w:t>
            </w:r>
            <w:r w:rsidRPr="00FE1E17">
              <w:rPr>
                <w:sz w:val="22"/>
                <w:szCs w:val="22"/>
              </w:rPr>
              <w:t>%</w:t>
            </w:r>
          </w:p>
        </w:tc>
        <w:tc>
          <w:tcPr>
            <w:tcW w:w="1035" w:type="pct"/>
            <w:tcBorders>
              <w:top w:val="nil"/>
              <w:left w:val="nil"/>
              <w:bottom w:val="nil"/>
              <w:right w:val="nil"/>
            </w:tcBorders>
            <w:shd w:val="clear" w:color="auto" w:fill="auto"/>
            <w:noWrap/>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-0.565</w:t>
            </w:r>
            <w:r w:rsidRPr="00FE1E17">
              <w:rPr>
                <w:rFonts w:eastAsia="DFKai-SB"/>
                <w:sz w:val="22"/>
                <w:szCs w:val="22"/>
              </w:rPr>
              <w:t xml:space="preserve"> (0.000)**</w:t>
            </w:r>
          </w:p>
        </w:tc>
        <w:tc>
          <w:tcPr>
            <w:tcW w:w="511"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85</w:t>
            </w:r>
            <w:r w:rsidRPr="00FE1E17">
              <w:rPr>
                <w:sz w:val="22"/>
                <w:szCs w:val="22"/>
              </w:rPr>
              <w:t>%</w:t>
            </w:r>
          </w:p>
        </w:tc>
        <w:tc>
          <w:tcPr>
            <w:tcW w:w="1034"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0.462</w:t>
            </w:r>
            <w:r w:rsidRPr="00FE1E17">
              <w:rPr>
                <w:rFonts w:eastAsia="DFKai-SB"/>
                <w:sz w:val="22"/>
                <w:szCs w:val="22"/>
              </w:rPr>
              <w:t xml:space="preserve"> (0.005)**</w:t>
            </w:r>
          </w:p>
        </w:tc>
        <w:tc>
          <w:tcPr>
            <w:tcW w:w="743"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85</w:t>
            </w:r>
            <w:r w:rsidRPr="00FE1E17">
              <w:rPr>
                <w:sz w:val="22"/>
                <w:szCs w:val="22"/>
              </w:rPr>
              <w:t>%</w:t>
            </w:r>
          </w:p>
        </w:tc>
        <w:tc>
          <w:tcPr>
            <w:tcW w:w="1167"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40.12 (0.0000)**</w:t>
            </w:r>
          </w:p>
        </w:tc>
      </w:tr>
      <w:tr w:rsidR="00FE1E17" w:rsidRPr="00FE1E17" w:rsidTr="00583009">
        <w:trPr>
          <w:trHeight w:val="397"/>
        </w:trPr>
        <w:tc>
          <w:tcPr>
            <w:tcW w:w="510"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20</w:t>
            </w:r>
            <w:r w:rsidRPr="00FE1E17">
              <w:rPr>
                <w:sz w:val="22"/>
                <w:szCs w:val="22"/>
              </w:rPr>
              <w:t>%</w:t>
            </w:r>
          </w:p>
        </w:tc>
        <w:tc>
          <w:tcPr>
            <w:tcW w:w="1035"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-0.534</w:t>
            </w:r>
            <w:r w:rsidRPr="00FE1E17">
              <w:rPr>
                <w:rFonts w:eastAsia="DFKai-SB"/>
                <w:sz w:val="22"/>
                <w:szCs w:val="22"/>
              </w:rPr>
              <w:t xml:space="preserve"> (0.000)**</w:t>
            </w:r>
          </w:p>
        </w:tc>
        <w:tc>
          <w:tcPr>
            <w:tcW w:w="511"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80</w:t>
            </w:r>
            <w:r w:rsidRPr="00FE1E17">
              <w:rPr>
                <w:sz w:val="22"/>
                <w:szCs w:val="22"/>
              </w:rPr>
              <w:t>%</w:t>
            </w:r>
          </w:p>
        </w:tc>
        <w:tc>
          <w:tcPr>
            <w:tcW w:w="1034"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0.218</w:t>
            </w:r>
            <w:r w:rsidRPr="00FE1E17">
              <w:rPr>
                <w:rFonts w:eastAsia="DFKai-SB"/>
                <w:sz w:val="22"/>
                <w:szCs w:val="22"/>
              </w:rPr>
              <w:t xml:space="preserve"> (0.189)</w:t>
            </w:r>
          </w:p>
        </w:tc>
        <w:tc>
          <w:tcPr>
            <w:tcW w:w="743"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80</w:t>
            </w:r>
            <w:r w:rsidRPr="00FE1E17">
              <w:rPr>
                <w:sz w:val="22"/>
                <w:szCs w:val="22"/>
              </w:rPr>
              <w:t>%</w:t>
            </w:r>
          </w:p>
        </w:tc>
        <w:tc>
          <w:tcPr>
            <w:tcW w:w="1167"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20.78 (0.0000)**</w:t>
            </w:r>
          </w:p>
        </w:tc>
      </w:tr>
      <w:tr w:rsidR="00FE1E17" w:rsidRPr="00FE1E17" w:rsidTr="00583009">
        <w:trPr>
          <w:trHeight w:val="397"/>
        </w:trPr>
        <w:tc>
          <w:tcPr>
            <w:tcW w:w="510"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25</w:t>
            </w:r>
            <w:r w:rsidRPr="00FE1E17">
              <w:rPr>
                <w:sz w:val="22"/>
                <w:szCs w:val="22"/>
              </w:rPr>
              <w:t>%</w:t>
            </w:r>
          </w:p>
        </w:tc>
        <w:tc>
          <w:tcPr>
            <w:tcW w:w="1035"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-0.498</w:t>
            </w:r>
            <w:r w:rsidRPr="00FE1E17">
              <w:rPr>
                <w:rFonts w:eastAsia="DFKai-SB"/>
                <w:sz w:val="22"/>
                <w:szCs w:val="22"/>
              </w:rPr>
              <w:t xml:space="preserve"> (0.000)**</w:t>
            </w:r>
          </w:p>
        </w:tc>
        <w:tc>
          <w:tcPr>
            <w:tcW w:w="511"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75</w:t>
            </w:r>
            <w:r w:rsidRPr="00FE1E17">
              <w:rPr>
                <w:sz w:val="22"/>
                <w:szCs w:val="22"/>
              </w:rPr>
              <w:t>%</w:t>
            </w:r>
          </w:p>
        </w:tc>
        <w:tc>
          <w:tcPr>
            <w:tcW w:w="1034"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0.055</w:t>
            </w:r>
            <w:r w:rsidRPr="00FE1E17">
              <w:rPr>
                <w:rFonts w:eastAsia="DFKai-SB"/>
                <w:sz w:val="22"/>
                <w:szCs w:val="22"/>
              </w:rPr>
              <w:t xml:space="preserve"> (0.657)</w:t>
            </w:r>
          </w:p>
        </w:tc>
        <w:tc>
          <w:tcPr>
            <w:tcW w:w="743"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75</w:t>
            </w:r>
            <w:r w:rsidRPr="00FE1E17">
              <w:rPr>
                <w:sz w:val="22"/>
                <w:szCs w:val="22"/>
              </w:rPr>
              <w:t>%</w:t>
            </w:r>
          </w:p>
        </w:tc>
        <w:tc>
          <w:tcPr>
            <w:tcW w:w="1167"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23.76 (0.0000)**</w:t>
            </w:r>
          </w:p>
        </w:tc>
      </w:tr>
      <w:tr w:rsidR="00FE1E17" w:rsidRPr="00FE1E17" w:rsidTr="00583009">
        <w:trPr>
          <w:trHeight w:val="397"/>
        </w:trPr>
        <w:tc>
          <w:tcPr>
            <w:tcW w:w="510"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30</w:t>
            </w:r>
            <w:r w:rsidRPr="00FE1E17">
              <w:rPr>
                <w:sz w:val="22"/>
                <w:szCs w:val="22"/>
              </w:rPr>
              <w:t>%</w:t>
            </w:r>
          </w:p>
        </w:tc>
        <w:tc>
          <w:tcPr>
            <w:tcW w:w="1035"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-0.467</w:t>
            </w:r>
            <w:r w:rsidRPr="00FE1E17">
              <w:rPr>
                <w:rFonts w:eastAsia="DFKai-SB"/>
                <w:sz w:val="22"/>
                <w:szCs w:val="22"/>
              </w:rPr>
              <w:t xml:space="preserve"> (0.000)**</w:t>
            </w:r>
          </w:p>
        </w:tc>
        <w:tc>
          <w:tcPr>
            <w:tcW w:w="511"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70</w:t>
            </w:r>
            <w:r w:rsidRPr="00FE1E17">
              <w:rPr>
                <w:sz w:val="22"/>
                <w:szCs w:val="22"/>
              </w:rPr>
              <w:t>%</w:t>
            </w:r>
          </w:p>
        </w:tc>
        <w:tc>
          <w:tcPr>
            <w:tcW w:w="1034"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-0.094</w:t>
            </w:r>
            <w:r w:rsidRPr="00FE1E17">
              <w:rPr>
                <w:rFonts w:eastAsia="DFKai-SB"/>
                <w:sz w:val="22"/>
                <w:szCs w:val="22"/>
              </w:rPr>
              <w:t xml:space="preserve"> (0.234)</w:t>
            </w:r>
          </w:p>
        </w:tc>
        <w:tc>
          <w:tcPr>
            <w:tcW w:w="743"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70</w:t>
            </w:r>
            <w:r w:rsidRPr="00FE1E17">
              <w:rPr>
                <w:sz w:val="22"/>
                <w:szCs w:val="22"/>
              </w:rPr>
              <w:t>%</w:t>
            </w:r>
          </w:p>
        </w:tc>
        <w:tc>
          <w:tcPr>
            <w:tcW w:w="1167"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24.72 (0.0000)**</w:t>
            </w:r>
          </w:p>
        </w:tc>
      </w:tr>
      <w:tr w:rsidR="00FE1E17" w:rsidRPr="00FE1E17" w:rsidTr="00583009">
        <w:trPr>
          <w:trHeight w:val="397"/>
        </w:trPr>
        <w:tc>
          <w:tcPr>
            <w:tcW w:w="510"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35</w:t>
            </w:r>
            <w:r w:rsidRPr="00FE1E17">
              <w:rPr>
                <w:sz w:val="22"/>
                <w:szCs w:val="22"/>
              </w:rPr>
              <w:t>%</w:t>
            </w:r>
          </w:p>
        </w:tc>
        <w:tc>
          <w:tcPr>
            <w:tcW w:w="1035"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-0.413</w:t>
            </w:r>
            <w:r w:rsidRPr="00FE1E17">
              <w:rPr>
                <w:rFonts w:eastAsia="DFKai-SB"/>
                <w:sz w:val="22"/>
                <w:szCs w:val="22"/>
              </w:rPr>
              <w:t xml:space="preserve"> (0.000)**</w:t>
            </w:r>
          </w:p>
        </w:tc>
        <w:tc>
          <w:tcPr>
            <w:tcW w:w="511"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65</w:t>
            </w:r>
            <w:r w:rsidRPr="00FE1E17">
              <w:rPr>
                <w:sz w:val="22"/>
                <w:szCs w:val="22"/>
              </w:rPr>
              <w:t>%</w:t>
            </w:r>
          </w:p>
        </w:tc>
        <w:tc>
          <w:tcPr>
            <w:tcW w:w="1034"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-0.136</w:t>
            </w:r>
            <w:r w:rsidRPr="00FE1E17">
              <w:rPr>
                <w:rFonts w:eastAsia="DFKai-SB"/>
                <w:sz w:val="22"/>
                <w:szCs w:val="22"/>
              </w:rPr>
              <w:t xml:space="preserve"> (0.031)*</w:t>
            </w:r>
          </w:p>
        </w:tc>
        <w:tc>
          <w:tcPr>
            <w:tcW w:w="743"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65</w:t>
            </w:r>
            <w:r w:rsidRPr="00FE1E17">
              <w:rPr>
                <w:sz w:val="22"/>
                <w:szCs w:val="22"/>
              </w:rPr>
              <w:t>%</w:t>
            </w:r>
          </w:p>
        </w:tc>
        <w:tc>
          <w:tcPr>
            <w:tcW w:w="1167"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25.45 (0.0000)**</w:t>
            </w:r>
          </w:p>
        </w:tc>
      </w:tr>
      <w:tr w:rsidR="00FE1E17" w:rsidRPr="00FE1E17" w:rsidTr="00583009">
        <w:trPr>
          <w:trHeight w:val="397"/>
        </w:trPr>
        <w:tc>
          <w:tcPr>
            <w:tcW w:w="510"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w:t>
            </w:r>
            <w:r w:rsidRPr="00FE1E17">
              <w:rPr>
                <w:sz w:val="22"/>
                <w:szCs w:val="22"/>
              </w:rPr>
              <w:t>%</w:t>
            </w:r>
          </w:p>
        </w:tc>
        <w:tc>
          <w:tcPr>
            <w:tcW w:w="1035"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-0.380</w:t>
            </w:r>
            <w:r w:rsidRPr="00FE1E17">
              <w:rPr>
                <w:rFonts w:eastAsia="DFKai-SB"/>
                <w:sz w:val="22"/>
                <w:szCs w:val="22"/>
              </w:rPr>
              <w:t xml:space="preserve"> (0.000)**</w:t>
            </w:r>
          </w:p>
        </w:tc>
        <w:tc>
          <w:tcPr>
            <w:tcW w:w="511"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60</w:t>
            </w:r>
            <w:r w:rsidRPr="00FE1E17">
              <w:rPr>
                <w:sz w:val="22"/>
                <w:szCs w:val="22"/>
              </w:rPr>
              <w:t>%</w:t>
            </w:r>
          </w:p>
        </w:tc>
        <w:tc>
          <w:tcPr>
            <w:tcW w:w="1034"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-0.163</w:t>
            </w:r>
            <w:r w:rsidRPr="00FE1E17">
              <w:rPr>
                <w:rFonts w:eastAsia="DFKai-SB"/>
                <w:sz w:val="22"/>
                <w:szCs w:val="22"/>
              </w:rPr>
              <w:t xml:space="preserve"> (0.005)**</w:t>
            </w:r>
          </w:p>
        </w:tc>
        <w:tc>
          <w:tcPr>
            <w:tcW w:w="743"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60</w:t>
            </w:r>
            <w:r w:rsidRPr="00FE1E17">
              <w:rPr>
                <w:sz w:val="22"/>
                <w:szCs w:val="22"/>
              </w:rPr>
              <w:t>%</w:t>
            </w:r>
          </w:p>
        </w:tc>
        <w:tc>
          <w:tcPr>
            <w:tcW w:w="1167"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21.05 (0.0000)**</w:t>
            </w:r>
          </w:p>
        </w:tc>
      </w:tr>
      <w:tr w:rsidR="00FE1E17" w:rsidRPr="00FE1E17" w:rsidTr="00583009">
        <w:trPr>
          <w:trHeight w:val="397"/>
        </w:trPr>
        <w:tc>
          <w:tcPr>
            <w:tcW w:w="510"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45</w:t>
            </w:r>
            <w:r w:rsidRPr="00FE1E17">
              <w:rPr>
                <w:sz w:val="22"/>
                <w:szCs w:val="22"/>
              </w:rPr>
              <w:t>%</w:t>
            </w:r>
          </w:p>
        </w:tc>
        <w:tc>
          <w:tcPr>
            <w:tcW w:w="1035"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-0.323</w:t>
            </w:r>
            <w:r w:rsidRPr="00FE1E17">
              <w:rPr>
                <w:rFonts w:eastAsia="DFKai-SB"/>
                <w:sz w:val="22"/>
                <w:szCs w:val="22"/>
              </w:rPr>
              <w:t xml:space="preserve"> (0.000)**</w:t>
            </w:r>
          </w:p>
        </w:tc>
        <w:tc>
          <w:tcPr>
            <w:tcW w:w="511"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55</w:t>
            </w:r>
            <w:r w:rsidRPr="00FE1E17">
              <w:rPr>
                <w:sz w:val="22"/>
                <w:szCs w:val="22"/>
              </w:rPr>
              <w:t>%</w:t>
            </w:r>
          </w:p>
        </w:tc>
        <w:tc>
          <w:tcPr>
            <w:tcW w:w="1034" w:type="pct"/>
            <w:tcBorders>
              <w:top w:val="nil"/>
              <w:left w:val="nil"/>
              <w:right w:val="single" w:sz="12" w:space="0" w:color="auto"/>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-0.243</w:t>
            </w:r>
            <w:r w:rsidRPr="00FE1E17">
              <w:rPr>
                <w:rFonts w:eastAsia="DFKai-SB"/>
                <w:sz w:val="22"/>
                <w:szCs w:val="22"/>
              </w:rPr>
              <w:t xml:space="preserve"> (0.000)**</w:t>
            </w:r>
          </w:p>
        </w:tc>
        <w:tc>
          <w:tcPr>
            <w:tcW w:w="743" w:type="pct"/>
            <w:tcBorders>
              <w:top w:val="nil"/>
              <w:left w:val="single" w:sz="12" w:space="0" w:color="auto"/>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55</w:t>
            </w:r>
            <w:r w:rsidRPr="00FE1E17">
              <w:rPr>
                <w:sz w:val="22"/>
                <w:szCs w:val="22"/>
              </w:rPr>
              <w:t>%</w:t>
            </w:r>
          </w:p>
        </w:tc>
        <w:tc>
          <w:tcPr>
            <w:tcW w:w="1167"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11.08 (0.0009)**</w:t>
            </w:r>
          </w:p>
        </w:tc>
      </w:tr>
      <w:tr w:rsidR="00FE1E17" w:rsidRPr="00FE1E17" w:rsidTr="00583009">
        <w:trPr>
          <w:trHeight w:val="397"/>
        </w:trPr>
        <w:tc>
          <w:tcPr>
            <w:tcW w:w="510"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b/>
                <w:sz w:val="22"/>
                <w:szCs w:val="22"/>
              </w:rPr>
            </w:pPr>
            <w:r w:rsidRPr="00FE1E17">
              <w:rPr>
                <w:rFonts w:eastAsia="DFKai-SB"/>
                <w:b/>
                <w:sz w:val="22"/>
                <w:szCs w:val="22"/>
              </w:rPr>
              <w:t>50</w:t>
            </w:r>
            <w:r w:rsidRPr="00FE1E17">
              <w:rPr>
                <w:b/>
                <w:sz w:val="22"/>
                <w:szCs w:val="22"/>
              </w:rPr>
              <w:t>%</w:t>
            </w:r>
          </w:p>
        </w:tc>
        <w:tc>
          <w:tcPr>
            <w:tcW w:w="1035"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-0.307</w:t>
            </w:r>
            <w:r w:rsidRPr="00FE1E17">
              <w:rPr>
                <w:rFonts w:eastAsia="DFKai-SB"/>
                <w:sz w:val="22"/>
                <w:szCs w:val="22"/>
              </w:rPr>
              <w:t xml:space="preserve"> (0.000)**</w:t>
            </w:r>
          </w:p>
        </w:tc>
        <w:tc>
          <w:tcPr>
            <w:tcW w:w="511"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b/>
                <w:sz w:val="22"/>
                <w:szCs w:val="22"/>
              </w:rPr>
            </w:pPr>
            <w:r w:rsidRPr="00FE1E17">
              <w:rPr>
                <w:rFonts w:eastAsia="DFKai-SB"/>
                <w:b/>
                <w:sz w:val="22"/>
                <w:szCs w:val="22"/>
              </w:rPr>
              <w:t>OLS</w:t>
            </w:r>
          </w:p>
        </w:tc>
        <w:tc>
          <w:tcPr>
            <w:tcW w:w="1034" w:type="pct"/>
            <w:tcBorders>
              <w:top w:val="nil"/>
              <w:left w:val="nil"/>
              <w:bottom w:val="single" w:sz="12" w:space="0" w:color="auto"/>
              <w:right w:val="single" w:sz="12" w:space="0" w:color="auto"/>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0.117 (0.017)*</w:t>
            </w:r>
          </w:p>
        </w:tc>
        <w:tc>
          <w:tcPr>
            <w:tcW w:w="743" w:type="pct"/>
            <w:tcBorders>
              <w:top w:val="nil"/>
              <w:left w:val="single" w:sz="12" w:space="0" w:color="auto"/>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color w:val="FF0000"/>
                <w:sz w:val="22"/>
                <w:szCs w:val="22"/>
              </w:rPr>
            </w:pPr>
          </w:p>
        </w:tc>
        <w:tc>
          <w:tcPr>
            <w:tcW w:w="1167"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r>
    </w:tbl>
    <w:p w:rsidR="00A5381D" w:rsidRDefault="00A5381D" w:rsidP="00FE0B8A">
      <w:pPr>
        <w:adjustRightInd w:val="0"/>
        <w:snapToGrid w:val="0"/>
        <w:spacing w:before="60"/>
        <w:rPr>
          <w:i/>
          <w:sz w:val="22"/>
          <w:szCs w:val="22"/>
        </w:rPr>
      </w:pPr>
      <w:r>
        <w:rPr>
          <w:i/>
          <w:sz w:val="22"/>
          <w:szCs w:val="22"/>
        </w:rPr>
        <w:t>Notes</w:t>
      </w:r>
    </w:p>
    <w:p w:rsidR="00FE1E17" w:rsidRPr="00FE1E17" w:rsidRDefault="00FE1E17" w:rsidP="00FE0B8A">
      <w:pPr>
        <w:adjustRightInd w:val="0"/>
        <w:snapToGrid w:val="0"/>
        <w:spacing w:before="60"/>
        <w:rPr>
          <w:sz w:val="22"/>
          <w:szCs w:val="22"/>
        </w:rPr>
      </w:pPr>
      <w:r w:rsidRPr="00FE1E17">
        <w:rPr>
          <w:sz w:val="22"/>
          <w:szCs w:val="22"/>
        </w:rPr>
        <w:t>The ** and * denote a 1% and a 5% level of significance, respectively.</w:t>
      </w:r>
    </w:p>
    <w:p w:rsidR="00FE1E17" w:rsidRPr="00FE1E17" w:rsidRDefault="00FE1E17" w:rsidP="00FE1E17">
      <w:pPr>
        <w:spacing w:line="0" w:lineRule="atLeast"/>
        <w:jc w:val="both"/>
        <w:rPr>
          <w:rFonts w:eastAsia="DFKai-SB"/>
          <w:sz w:val="22"/>
          <w:szCs w:val="22"/>
        </w:rPr>
      </w:pPr>
    </w:p>
    <w:p w:rsidR="00FE0B8A" w:rsidRDefault="00FE0B8A">
      <w:pPr>
        <w:widowControl/>
        <w:spacing w:after="160" w:line="259" w:lineRule="auto"/>
        <w:rPr>
          <w:rFonts w:eastAsia="DFKai-SB"/>
          <w:b/>
          <w:sz w:val="22"/>
          <w:szCs w:val="22"/>
        </w:rPr>
      </w:pPr>
      <w:bookmarkStart w:id="7" w:name="_Toc359094847"/>
      <w:r>
        <w:rPr>
          <w:rFonts w:eastAsia="DFKai-SB"/>
          <w:b/>
          <w:sz w:val="22"/>
          <w:szCs w:val="22"/>
        </w:rPr>
        <w:br w:type="page"/>
      </w:r>
    </w:p>
    <w:p w:rsidR="003B49C5" w:rsidRPr="00B32255" w:rsidRDefault="003B49C5" w:rsidP="003B49C5">
      <w:pPr>
        <w:snapToGrid w:val="0"/>
        <w:spacing w:line="0" w:lineRule="atLeast"/>
        <w:jc w:val="center"/>
        <w:rPr>
          <w:rFonts w:eastAsia="DFKai-SB"/>
          <w:b/>
          <w:sz w:val="22"/>
          <w:szCs w:val="22"/>
        </w:rPr>
      </w:pPr>
      <w:r w:rsidRPr="00B32255">
        <w:rPr>
          <w:rFonts w:eastAsia="DFKai-SB"/>
          <w:b/>
          <w:sz w:val="22"/>
          <w:szCs w:val="22"/>
        </w:rPr>
        <w:lastRenderedPageBreak/>
        <w:t>Figure 6</w:t>
      </w:r>
      <w:r w:rsidR="00FE0B8A">
        <w:rPr>
          <w:rFonts w:eastAsia="DFKai-SB"/>
          <w:b/>
          <w:sz w:val="22"/>
          <w:szCs w:val="22"/>
        </w:rPr>
        <w:t xml:space="preserve">: </w:t>
      </w:r>
      <w:r w:rsidR="00EC2448">
        <w:rPr>
          <w:rFonts w:eastAsia="DFKai-SB"/>
          <w:b/>
          <w:sz w:val="22"/>
          <w:szCs w:val="22"/>
        </w:rPr>
        <w:t xml:space="preserve"> The QR and OLS E</w:t>
      </w:r>
      <w:r w:rsidRPr="00B32255">
        <w:rPr>
          <w:rFonts w:eastAsia="DFKai-SB"/>
          <w:b/>
          <w:sz w:val="22"/>
          <w:szCs w:val="22"/>
        </w:rPr>
        <w:t xml:space="preserve">stimates of </w:t>
      </w:r>
      <w:r w:rsidRPr="00B32255">
        <w:rPr>
          <w:rFonts w:eastAsia="DFKai-SB"/>
          <w:b/>
          <w:i/>
          <w:sz w:val="22"/>
          <w:szCs w:val="22"/>
        </w:rPr>
        <w:t>|DA|</w:t>
      </w:r>
      <w:r w:rsidR="00EC2448">
        <w:rPr>
          <w:b/>
          <w:sz w:val="22"/>
          <w:szCs w:val="22"/>
        </w:rPr>
        <w:t xml:space="preserve"> Across Various Q</w:t>
      </w:r>
      <w:r w:rsidRPr="00B32255">
        <w:rPr>
          <w:b/>
          <w:sz w:val="22"/>
          <w:szCs w:val="22"/>
        </w:rPr>
        <w:t>uantiles</w:t>
      </w:r>
      <w:r w:rsidR="00EC2448">
        <w:rPr>
          <w:rFonts w:eastAsia="DFKai-SB"/>
          <w:b/>
          <w:sz w:val="22"/>
          <w:szCs w:val="22"/>
        </w:rPr>
        <w:t xml:space="preserve"> of Stock R</w:t>
      </w:r>
      <w:r w:rsidRPr="00B32255">
        <w:rPr>
          <w:rFonts w:eastAsia="DFKai-SB"/>
          <w:b/>
          <w:sz w:val="22"/>
          <w:szCs w:val="22"/>
        </w:rPr>
        <w:t>eturns</w:t>
      </w:r>
      <w:r w:rsidRPr="00B32255">
        <w:rPr>
          <w:rFonts w:eastAsia="DFKai-SB" w:hint="eastAsia"/>
          <w:b/>
          <w:sz w:val="22"/>
          <w:szCs w:val="22"/>
        </w:rPr>
        <w:t xml:space="preserve">: </w:t>
      </w:r>
    </w:p>
    <w:p w:rsidR="003B49C5" w:rsidRPr="00B32255" w:rsidRDefault="00EC2448" w:rsidP="003B49C5">
      <w:pPr>
        <w:snapToGrid w:val="0"/>
        <w:spacing w:line="0" w:lineRule="atLeast"/>
        <w:jc w:val="center"/>
        <w:rPr>
          <w:rFonts w:eastAsia="DFKai-SB"/>
          <w:b/>
          <w:sz w:val="22"/>
          <w:szCs w:val="22"/>
        </w:rPr>
      </w:pPr>
      <w:proofErr w:type="gramStart"/>
      <w:r>
        <w:rPr>
          <w:rFonts w:eastAsia="DFKai-SB"/>
          <w:b/>
          <w:sz w:val="22"/>
          <w:szCs w:val="22"/>
        </w:rPr>
        <w:t>with</w:t>
      </w:r>
      <w:proofErr w:type="gramEnd"/>
      <w:r>
        <w:rPr>
          <w:rFonts w:eastAsia="DFKai-SB"/>
          <w:b/>
          <w:sz w:val="22"/>
          <w:szCs w:val="22"/>
        </w:rPr>
        <w:t xml:space="preserve"> Year and Industry D</w:t>
      </w:r>
      <w:r w:rsidR="003B49C5" w:rsidRPr="00B32255">
        <w:rPr>
          <w:rFonts w:eastAsia="DFKai-SB"/>
          <w:b/>
          <w:sz w:val="22"/>
          <w:szCs w:val="22"/>
        </w:rPr>
        <w:t>ummies</w:t>
      </w:r>
      <w:bookmarkEnd w:id="7"/>
    </w:p>
    <w:p w:rsidR="003B49C5" w:rsidRDefault="003B49C5" w:rsidP="003B49C5">
      <w:pPr>
        <w:snapToGrid w:val="0"/>
        <w:spacing w:line="0" w:lineRule="atLeast"/>
        <w:rPr>
          <w:rFonts w:eastAsia="DFKai-SB"/>
          <w:b/>
        </w:rPr>
      </w:pPr>
    </w:p>
    <w:p w:rsidR="003B49C5" w:rsidRPr="00B32255" w:rsidRDefault="003B49C5" w:rsidP="003B49C5">
      <w:pPr>
        <w:snapToGrid w:val="0"/>
        <w:spacing w:line="0" w:lineRule="atLeast"/>
        <w:rPr>
          <w:rFonts w:eastAsia="DFKai-SB"/>
          <w:b/>
          <w:sz w:val="2"/>
          <w:szCs w:val="2"/>
        </w:rPr>
      </w:pPr>
    </w:p>
    <w:p w:rsidR="003B49C5" w:rsidRPr="003F6839" w:rsidRDefault="000D38E4" w:rsidP="003B49C5">
      <w:pPr>
        <w:snapToGrid w:val="0"/>
        <w:spacing w:line="0" w:lineRule="atLeast"/>
        <w:rPr>
          <w:rFonts w:eastAsia="DFKai-SB"/>
          <w:b/>
        </w:rPr>
      </w:pPr>
      <w:r>
        <w:rPr>
          <w:rFonts w:eastAsia="DFKai-SB"/>
          <w:noProof/>
          <w:sz w:val="22"/>
          <w:lang w:val="en-NZ" w:eastAsia="en-NZ"/>
        </w:rPr>
        <w:drawing>
          <wp:inline distT="0" distB="0" distL="0" distR="0" wp14:anchorId="2A76F3F0" wp14:editId="307915C8">
            <wp:extent cx="6172200" cy="3017520"/>
            <wp:effectExtent l="0" t="0" r="0" b="0"/>
            <wp:docPr id="11" name="圖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B49C5" w:rsidRPr="003F6839" w:rsidRDefault="003B49C5" w:rsidP="003B49C5">
      <w:pPr>
        <w:snapToGrid w:val="0"/>
        <w:spacing w:line="0" w:lineRule="atLeast"/>
        <w:rPr>
          <w:rFonts w:eastAsia="DFKai-SB"/>
          <w:b/>
        </w:rPr>
      </w:pPr>
    </w:p>
    <w:p w:rsidR="00691B4A" w:rsidRDefault="00515F92" w:rsidP="00FE1E17">
      <w:pPr>
        <w:widowControl/>
        <w:adjustRightInd w:val="0"/>
        <w:snapToGrid w:val="0"/>
        <w:spacing w:line="288" w:lineRule="auto"/>
        <w:ind w:firstLineChars="295" w:firstLine="708"/>
        <w:jc w:val="both"/>
      </w:pPr>
      <w:r>
        <w:t xml:space="preserve">As shown in </w:t>
      </w:r>
      <w:r w:rsidR="00691B4A" w:rsidRPr="008126EB">
        <w:t xml:space="preserve">Table 5, </w:t>
      </w:r>
      <w:r w:rsidR="000173C0">
        <w:t xml:space="preserve">sign and significance of </w:t>
      </w:r>
      <w:r w:rsidR="00691B4A" w:rsidRPr="008126EB">
        <w:rPr>
          <w:rFonts w:hint="eastAsia"/>
          <w:i/>
        </w:rPr>
        <w:t>|DA|</w:t>
      </w:r>
      <w:r w:rsidR="00691B4A" w:rsidRPr="008126EB">
        <w:t xml:space="preserve"> coefficients </w:t>
      </w:r>
      <w:r w:rsidR="000173C0">
        <w:t xml:space="preserve">vary </w:t>
      </w:r>
      <w:r>
        <w:t xml:space="preserve">significantly </w:t>
      </w:r>
      <w:r w:rsidR="000173C0">
        <w:t xml:space="preserve">across </w:t>
      </w:r>
      <w:r w:rsidR="000173C0" w:rsidRPr="000173C0">
        <w:rPr>
          <w:i/>
          <w:iCs/>
        </w:rPr>
        <w:t>RETURN</w:t>
      </w:r>
      <w:r w:rsidR="000173C0">
        <w:t xml:space="preserve"> quantiles. Moreover, t</w:t>
      </w:r>
      <w:r w:rsidR="00691B4A" w:rsidRPr="008126EB">
        <w:t xml:space="preserve">he </w:t>
      </w:r>
      <w:r w:rsidR="00CF1288" w:rsidRPr="008126EB">
        <w:rPr>
          <w:i/>
        </w:rPr>
        <w:t>F</w:t>
      </w:r>
      <w:r w:rsidR="00CF1288">
        <w:t xml:space="preserve"> </w:t>
      </w:r>
      <w:r w:rsidR="00AC5216">
        <w:rPr>
          <w:rFonts w:hint="eastAsia"/>
        </w:rPr>
        <w:t>statistics support</w:t>
      </w:r>
      <w:r w:rsidR="007C7974">
        <w:t xml:space="preserve"> that</w:t>
      </w:r>
      <w:r w:rsidR="00AC5216">
        <w:rPr>
          <w:rFonts w:hint="eastAsia"/>
        </w:rPr>
        <w:t xml:space="preserve"> inequalities </w:t>
      </w:r>
      <w:r w:rsidR="00AC5216" w:rsidRPr="008126EB">
        <w:t xml:space="preserve">in </w:t>
      </w:r>
      <w:r w:rsidR="00AC5216">
        <w:rPr>
          <w:rFonts w:hint="eastAsia"/>
        </w:rPr>
        <w:t xml:space="preserve">QR estimates of </w:t>
      </w:r>
      <w:r w:rsidR="00AC5216" w:rsidRPr="008126EB">
        <w:rPr>
          <w:rFonts w:hint="eastAsia"/>
          <w:i/>
        </w:rPr>
        <w:t>|DA|</w:t>
      </w:r>
      <w:r w:rsidR="00AC5216" w:rsidRPr="008126EB">
        <w:t xml:space="preserve"> </w:t>
      </w:r>
      <w:r w:rsidR="00344041">
        <w:rPr>
          <w:rFonts w:hint="eastAsia"/>
        </w:rPr>
        <w:t>are</w:t>
      </w:r>
      <w:r w:rsidR="00AC5216">
        <w:rPr>
          <w:rFonts w:hint="eastAsia"/>
        </w:rPr>
        <w:t xml:space="preserve"> significant over </w:t>
      </w:r>
      <w:r w:rsidR="00AC5216" w:rsidRPr="008126EB">
        <w:rPr>
          <w:rFonts w:hint="eastAsia"/>
          <w:i/>
        </w:rPr>
        <w:t>RETURN</w:t>
      </w:r>
      <w:r w:rsidR="00AC5216" w:rsidRPr="008126EB">
        <w:t xml:space="preserve"> quantiles</w:t>
      </w:r>
      <w:r w:rsidR="00AC5216">
        <w:rPr>
          <w:rFonts w:hint="eastAsia"/>
        </w:rPr>
        <w:t xml:space="preserve"> (</w:t>
      </w:r>
      <w:r>
        <w:t>please refer to</w:t>
      </w:r>
      <w:r>
        <w:rPr>
          <w:rFonts w:hint="eastAsia"/>
        </w:rPr>
        <w:t xml:space="preserve"> </w:t>
      </w:r>
      <w:r w:rsidR="00AC5216" w:rsidRPr="008126EB">
        <w:t>the two right-most columns of Table 5</w:t>
      </w:r>
      <w:r w:rsidR="00AC5216">
        <w:rPr>
          <w:rFonts w:hint="eastAsia"/>
        </w:rPr>
        <w:t>)</w:t>
      </w:r>
      <w:r w:rsidR="00AC5216" w:rsidRPr="008126EB">
        <w:t>.</w:t>
      </w:r>
      <w:r w:rsidR="00AC5216">
        <w:rPr>
          <w:rFonts w:hint="eastAsia"/>
        </w:rPr>
        <w:t xml:space="preserve"> </w:t>
      </w:r>
      <w:r w:rsidR="007C7974">
        <w:t>By</w:t>
      </w:r>
      <w:r w:rsidR="00AC5216">
        <w:rPr>
          <w:rFonts w:hint="eastAsia"/>
        </w:rPr>
        <w:t xml:space="preserve"> compari</w:t>
      </w:r>
      <w:r w:rsidR="007C7974">
        <w:t xml:space="preserve">ng </w:t>
      </w:r>
      <w:r w:rsidR="00691B4A" w:rsidRPr="008126EB">
        <w:t>Figure</w:t>
      </w:r>
      <w:r w:rsidR="00AC5216">
        <w:rPr>
          <w:rFonts w:hint="eastAsia"/>
        </w:rPr>
        <w:t>s</w:t>
      </w:r>
      <w:r w:rsidR="00691B4A" w:rsidRPr="008126EB">
        <w:t> </w:t>
      </w:r>
      <w:r w:rsidR="00BE07AC">
        <w:t>2</w:t>
      </w:r>
      <w:r w:rsidR="00691B4A" w:rsidRPr="008126EB">
        <w:t xml:space="preserve"> </w:t>
      </w:r>
      <w:r w:rsidR="00AC5216">
        <w:rPr>
          <w:rFonts w:hint="eastAsia"/>
        </w:rPr>
        <w:t xml:space="preserve">and </w:t>
      </w:r>
      <w:r w:rsidR="00BE07AC">
        <w:t>6</w:t>
      </w:r>
      <w:r w:rsidR="007C7974">
        <w:t xml:space="preserve">, </w:t>
      </w:r>
      <w:r w:rsidR="00AC5216">
        <w:rPr>
          <w:rFonts w:hint="eastAsia"/>
        </w:rPr>
        <w:t xml:space="preserve">the quantile-varying pattern is robust with </w:t>
      </w:r>
      <w:r w:rsidR="00CF1288">
        <w:t>consideration</w:t>
      </w:r>
      <w:r w:rsidR="00691B4A" w:rsidRPr="008126EB">
        <w:t xml:space="preserve"> of the industry and </w:t>
      </w:r>
      <w:r w:rsidR="00691B4A" w:rsidRPr="008126EB">
        <w:rPr>
          <w:rFonts w:hint="eastAsia"/>
        </w:rPr>
        <w:t>year</w:t>
      </w:r>
      <w:r w:rsidR="00691B4A" w:rsidRPr="008126EB">
        <w:t xml:space="preserve"> dummies. In addition, we take industry-adjusted and market-adjusted stock returns into account wh</w:t>
      </w:r>
      <w:r w:rsidR="00CB71A6" w:rsidRPr="008126EB">
        <w:t xml:space="preserve">en </w:t>
      </w:r>
      <w:r w:rsidR="00691B4A" w:rsidRPr="008126EB">
        <w:t xml:space="preserve">conducting these tests. </w:t>
      </w:r>
      <w:r w:rsidR="00CF1288">
        <w:t>The</w:t>
      </w:r>
      <w:r>
        <w:t>se</w:t>
      </w:r>
      <w:r w:rsidR="00691B4A" w:rsidRPr="008126EB">
        <w:t xml:space="preserve"> analyses </w:t>
      </w:r>
      <w:r w:rsidR="001B2C15">
        <w:t xml:space="preserve">also </w:t>
      </w:r>
      <w:r w:rsidR="00691B4A" w:rsidRPr="008126EB">
        <w:t xml:space="preserve">indicate that the results obtained from </w:t>
      </w:r>
      <w:r w:rsidR="001B2C15">
        <w:t>the examinations</w:t>
      </w:r>
      <w:r w:rsidR="00CF1288">
        <w:t xml:space="preserve"> are </w:t>
      </w:r>
      <w:r w:rsidR="00E9123A">
        <w:t>resemble</w:t>
      </w:r>
      <w:r w:rsidR="00CF1288">
        <w:t xml:space="preserve"> </w:t>
      </w:r>
      <w:r w:rsidR="00691B4A" w:rsidRPr="008126EB">
        <w:t xml:space="preserve">the QR </w:t>
      </w:r>
      <w:r w:rsidR="00E9123A">
        <w:t>findings</w:t>
      </w:r>
      <w:r w:rsidR="00E9123A" w:rsidRPr="008126EB">
        <w:t xml:space="preserve"> </w:t>
      </w:r>
      <w:r w:rsidR="00691B4A" w:rsidRPr="008126EB">
        <w:t xml:space="preserve">reported </w:t>
      </w:r>
      <w:r w:rsidR="00E9123A">
        <w:t>in this study</w:t>
      </w:r>
      <w:r w:rsidR="00691B4A" w:rsidRPr="008126EB">
        <w:t xml:space="preserve">. </w:t>
      </w:r>
      <w:r w:rsidR="001B2C15">
        <w:t>Hence</w:t>
      </w:r>
      <w:r w:rsidR="00691B4A" w:rsidRPr="008126EB">
        <w:t xml:space="preserve">, the quantile-varying </w:t>
      </w:r>
      <w:r w:rsidR="00060B07" w:rsidRPr="008126EB">
        <w:rPr>
          <w:rFonts w:hint="eastAsia"/>
        </w:rPr>
        <w:t>|</w:t>
      </w:r>
      <w:r w:rsidR="00060B07" w:rsidRPr="008126EB">
        <w:rPr>
          <w:i/>
        </w:rPr>
        <w:t>DA</w:t>
      </w:r>
      <w:r w:rsidR="00060B07" w:rsidRPr="008126EB">
        <w:rPr>
          <w:rFonts w:hint="eastAsia"/>
          <w:i/>
        </w:rPr>
        <w:t>|</w:t>
      </w:r>
      <w:r w:rsidR="00060B07">
        <w:t>–</w:t>
      </w:r>
      <w:r w:rsidR="00060B07" w:rsidRPr="008126EB">
        <w:rPr>
          <w:rFonts w:hint="eastAsia"/>
          <w:i/>
        </w:rPr>
        <w:t>RETURN</w:t>
      </w:r>
      <w:r w:rsidR="00060B07" w:rsidRPr="008126EB">
        <w:t xml:space="preserve"> </w:t>
      </w:r>
      <w:r w:rsidR="00691B4A" w:rsidRPr="008126EB">
        <w:t xml:space="preserve">relation </w:t>
      </w:r>
      <w:r w:rsidR="00CB71A6" w:rsidRPr="008126EB">
        <w:t>reported</w:t>
      </w:r>
      <w:r w:rsidR="00691B4A" w:rsidRPr="008126EB">
        <w:t xml:space="preserve"> in this </w:t>
      </w:r>
      <w:r w:rsidR="001B2C15">
        <w:t xml:space="preserve">study </w:t>
      </w:r>
      <w:r w:rsidR="00691B4A" w:rsidRPr="008126EB">
        <w:t xml:space="preserve">is robust </w:t>
      </w:r>
      <w:r w:rsidR="00E9123A">
        <w:t>when</w:t>
      </w:r>
      <w:r w:rsidR="00691B4A" w:rsidRPr="008126EB">
        <w:t xml:space="preserve"> </w:t>
      </w:r>
      <w:r w:rsidR="002C6982">
        <w:t xml:space="preserve">industry and year </w:t>
      </w:r>
      <w:r w:rsidR="001B2C15">
        <w:t>dummies</w:t>
      </w:r>
      <w:r w:rsidR="00E9123A">
        <w:t xml:space="preserve"> are included in the analyses</w:t>
      </w:r>
      <w:r w:rsidR="002C6982">
        <w:t xml:space="preserve">. </w:t>
      </w:r>
    </w:p>
    <w:p w:rsidR="000D38E4" w:rsidRPr="008126EB" w:rsidRDefault="000D38E4" w:rsidP="00FE1E17">
      <w:pPr>
        <w:widowControl/>
        <w:adjustRightInd w:val="0"/>
        <w:snapToGrid w:val="0"/>
        <w:spacing w:line="288" w:lineRule="auto"/>
        <w:ind w:firstLineChars="295" w:firstLine="708"/>
        <w:jc w:val="both"/>
      </w:pPr>
    </w:p>
    <w:p w:rsidR="00691B4A" w:rsidRPr="00FE0B8A" w:rsidRDefault="00691B4A" w:rsidP="00FE1E17">
      <w:pPr>
        <w:keepNext/>
        <w:widowControl/>
        <w:adjustRightInd w:val="0"/>
        <w:snapToGrid w:val="0"/>
        <w:spacing w:line="288" w:lineRule="auto"/>
        <w:jc w:val="both"/>
        <w:rPr>
          <w:b/>
        </w:rPr>
      </w:pPr>
      <w:proofErr w:type="gramStart"/>
      <w:r w:rsidRPr="00FE0B8A">
        <w:rPr>
          <w:b/>
        </w:rPr>
        <w:t xml:space="preserve">6.4 </w:t>
      </w:r>
      <w:r w:rsidR="00FE0B8A">
        <w:rPr>
          <w:b/>
        </w:rPr>
        <w:t xml:space="preserve"> </w:t>
      </w:r>
      <w:r w:rsidR="00AA7B36" w:rsidRPr="00FE0B8A">
        <w:rPr>
          <w:b/>
        </w:rPr>
        <w:t>U</w:t>
      </w:r>
      <w:r w:rsidRPr="00FE0B8A">
        <w:rPr>
          <w:b/>
        </w:rPr>
        <w:t>pward</w:t>
      </w:r>
      <w:proofErr w:type="gramEnd"/>
      <w:r w:rsidRPr="00FE0B8A">
        <w:rPr>
          <w:b/>
        </w:rPr>
        <w:t xml:space="preserve"> </w:t>
      </w:r>
      <w:r w:rsidR="00EC2448">
        <w:rPr>
          <w:rFonts w:hint="eastAsia"/>
          <w:b/>
        </w:rPr>
        <w:t xml:space="preserve">versus </w:t>
      </w:r>
      <w:r w:rsidR="00EC2448">
        <w:rPr>
          <w:b/>
        </w:rPr>
        <w:t>D</w:t>
      </w:r>
      <w:r w:rsidRPr="00FE0B8A">
        <w:rPr>
          <w:b/>
        </w:rPr>
        <w:t xml:space="preserve">ownward </w:t>
      </w:r>
      <w:r w:rsidR="00EC2448">
        <w:rPr>
          <w:b/>
        </w:rPr>
        <w:t>Earnings M</w:t>
      </w:r>
      <w:r w:rsidR="00C473A3" w:rsidRPr="00FE0B8A">
        <w:rPr>
          <w:b/>
        </w:rPr>
        <w:t>anipulation</w:t>
      </w:r>
      <w:r w:rsidR="00AA7B36" w:rsidRPr="00FE0B8A">
        <w:rPr>
          <w:b/>
        </w:rPr>
        <w:t xml:space="preserve"> on </w:t>
      </w:r>
      <w:r w:rsidR="00AA7B36" w:rsidRPr="00FE0B8A">
        <w:rPr>
          <w:rFonts w:hint="eastAsia"/>
          <w:b/>
        </w:rPr>
        <w:t>|</w:t>
      </w:r>
      <w:r w:rsidR="00AA7B36" w:rsidRPr="00FE0B8A">
        <w:rPr>
          <w:b/>
        </w:rPr>
        <w:t>DA</w:t>
      </w:r>
      <w:r w:rsidR="00AA7B36" w:rsidRPr="00FE0B8A">
        <w:rPr>
          <w:rFonts w:hint="eastAsia"/>
          <w:b/>
        </w:rPr>
        <w:t>|</w:t>
      </w:r>
      <w:r w:rsidR="00AA7B36" w:rsidRPr="00FE0B8A">
        <w:rPr>
          <w:b/>
        </w:rPr>
        <w:t>–</w:t>
      </w:r>
      <w:r w:rsidR="00AA7B36" w:rsidRPr="00FE0B8A">
        <w:rPr>
          <w:rFonts w:hint="eastAsia"/>
          <w:b/>
        </w:rPr>
        <w:t>RETURN</w:t>
      </w:r>
      <w:r w:rsidR="00EC2448">
        <w:rPr>
          <w:b/>
        </w:rPr>
        <w:t xml:space="preserve"> R</w:t>
      </w:r>
      <w:r w:rsidR="00AA7B36" w:rsidRPr="00FE0B8A">
        <w:rPr>
          <w:b/>
        </w:rPr>
        <w:t>elation</w:t>
      </w:r>
    </w:p>
    <w:p w:rsidR="00FE0B8A" w:rsidRPr="00FE0B8A" w:rsidRDefault="00FE0B8A" w:rsidP="00993909">
      <w:pPr>
        <w:widowControl/>
        <w:adjustRightInd w:val="0"/>
        <w:snapToGrid w:val="0"/>
        <w:spacing w:line="288" w:lineRule="auto"/>
        <w:jc w:val="both"/>
        <w:rPr>
          <w:kern w:val="0"/>
          <w:sz w:val="6"/>
          <w:szCs w:val="6"/>
        </w:rPr>
      </w:pPr>
    </w:p>
    <w:p w:rsidR="00691B4A" w:rsidRDefault="00A26EA1" w:rsidP="00993909">
      <w:pPr>
        <w:widowControl/>
        <w:adjustRightInd w:val="0"/>
        <w:snapToGrid w:val="0"/>
        <w:spacing w:line="288" w:lineRule="auto"/>
        <w:jc w:val="both"/>
      </w:pPr>
      <w:r>
        <w:rPr>
          <w:kern w:val="0"/>
        </w:rPr>
        <w:t>So</w:t>
      </w:r>
      <w:r w:rsidR="00977EEC">
        <w:rPr>
          <w:kern w:val="0"/>
        </w:rPr>
        <w:t xml:space="preserve"> </w:t>
      </w:r>
      <w:r w:rsidR="00691B4A" w:rsidRPr="008126EB">
        <w:rPr>
          <w:kern w:val="0"/>
        </w:rPr>
        <w:t>far, w</w:t>
      </w:r>
      <w:r w:rsidR="00691B4A" w:rsidRPr="008126EB">
        <w:t xml:space="preserve">e have </w:t>
      </w:r>
      <w:r w:rsidR="00E9123A">
        <w:t>employed</w:t>
      </w:r>
      <w:r w:rsidR="00F43DE6">
        <w:t xml:space="preserve"> the absolute value of discretionary accruals, </w:t>
      </w:r>
      <w:r w:rsidR="00E9123A" w:rsidRPr="008126EB">
        <w:rPr>
          <w:rFonts w:hint="eastAsia"/>
        </w:rPr>
        <w:t>|</w:t>
      </w:r>
      <w:r w:rsidR="00E9123A" w:rsidRPr="008126EB">
        <w:rPr>
          <w:i/>
        </w:rPr>
        <w:t>DA</w:t>
      </w:r>
      <w:r w:rsidR="00E9123A" w:rsidRPr="008126EB">
        <w:rPr>
          <w:rFonts w:hint="eastAsia"/>
          <w:i/>
        </w:rPr>
        <w:t>|</w:t>
      </w:r>
      <w:r w:rsidR="00F43DE6">
        <w:t>,</w:t>
      </w:r>
      <w:r w:rsidR="00E9123A">
        <w:rPr>
          <w:i/>
        </w:rPr>
        <w:t xml:space="preserve"> </w:t>
      </w:r>
      <w:r>
        <w:t>to</w:t>
      </w:r>
      <w:r w:rsidR="00691B4A" w:rsidRPr="008126EB">
        <w:t xml:space="preserve"> </w:t>
      </w:r>
      <w:r w:rsidR="00AA7B36">
        <w:t>evaluate</w:t>
      </w:r>
      <w:r>
        <w:t xml:space="preserve"> </w:t>
      </w:r>
      <w:r w:rsidR="00691B4A" w:rsidRPr="008126EB">
        <w:t xml:space="preserve">the quantile-varying </w:t>
      </w:r>
      <w:r w:rsidR="00691B4A" w:rsidRPr="008126EB">
        <w:rPr>
          <w:rFonts w:hint="eastAsia"/>
        </w:rPr>
        <w:t>|</w:t>
      </w:r>
      <w:r w:rsidR="00691B4A" w:rsidRPr="008126EB">
        <w:rPr>
          <w:i/>
        </w:rPr>
        <w:t>DA</w:t>
      </w:r>
      <w:r w:rsidR="00691B4A" w:rsidRPr="008126EB">
        <w:rPr>
          <w:rFonts w:hint="eastAsia"/>
          <w:i/>
        </w:rPr>
        <w:t>|</w:t>
      </w:r>
      <w:r w:rsidR="00691B4A" w:rsidRPr="008126EB">
        <w:t>–</w:t>
      </w:r>
      <w:r w:rsidR="00691B4A" w:rsidRPr="008126EB">
        <w:rPr>
          <w:rFonts w:hint="eastAsia"/>
          <w:i/>
        </w:rPr>
        <w:t>RETURN</w:t>
      </w:r>
      <w:r w:rsidR="00691B4A" w:rsidRPr="008126EB">
        <w:t xml:space="preserve"> relation. However, </w:t>
      </w:r>
      <w:r w:rsidR="00691B4A" w:rsidRPr="008126EB">
        <w:rPr>
          <w:kern w:val="0"/>
        </w:rPr>
        <w:t xml:space="preserve">firms may </w:t>
      </w:r>
      <w:r w:rsidR="007C7974">
        <w:rPr>
          <w:kern w:val="0"/>
        </w:rPr>
        <w:t>manage the</w:t>
      </w:r>
      <w:r w:rsidR="001B2C15">
        <w:rPr>
          <w:kern w:val="0"/>
        </w:rPr>
        <w:t xml:space="preserve"> reported income </w:t>
      </w:r>
      <w:r w:rsidR="00691B4A" w:rsidRPr="008126EB">
        <w:rPr>
          <w:kern w:val="0"/>
        </w:rPr>
        <w:t>upward</w:t>
      </w:r>
      <w:r w:rsidR="001B2C15">
        <w:rPr>
          <w:kern w:val="0"/>
        </w:rPr>
        <w:t>ly</w:t>
      </w:r>
      <w:r w:rsidR="00691B4A" w:rsidRPr="008126EB">
        <w:rPr>
          <w:kern w:val="0"/>
        </w:rPr>
        <w:t xml:space="preserve"> or downward</w:t>
      </w:r>
      <w:r w:rsidR="001B2C15">
        <w:rPr>
          <w:kern w:val="0"/>
        </w:rPr>
        <w:t>ly</w:t>
      </w:r>
      <w:r w:rsidR="00691B4A" w:rsidRPr="008126EB">
        <w:rPr>
          <w:kern w:val="0"/>
        </w:rPr>
        <w:t>. Therefore, it is imperative to take th</w:t>
      </w:r>
      <w:r w:rsidR="00F43DE6">
        <w:rPr>
          <w:kern w:val="0"/>
        </w:rPr>
        <w:t xml:space="preserve">e sign of </w:t>
      </w:r>
      <w:r w:rsidR="00F43DE6" w:rsidRPr="00743BC9">
        <w:rPr>
          <w:i/>
          <w:kern w:val="0"/>
        </w:rPr>
        <w:t>DA</w:t>
      </w:r>
      <w:r w:rsidR="00F43DE6">
        <w:rPr>
          <w:i/>
          <w:kern w:val="0"/>
        </w:rPr>
        <w:t>s</w:t>
      </w:r>
      <w:r w:rsidR="00F43DE6">
        <w:rPr>
          <w:kern w:val="0"/>
        </w:rPr>
        <w:t xml:space="preserve"> </w:t>
      </w:r>
      <w:r w:rsidR="00691B4A" w:rsidRPr="008126EB">
        <w:rPr>
          <w:kern w:val="0"/>
        </w:rPr>
        <w:t>into consideration wh</w:t>
      </w:r>
      <w:r w:rsidR="00977EEC">
        <w:rPr>
          <w:kern w:val="0"/>
        </w:rPr>
        <w:t>en</w:t>
      </w:r>
      <w:r w:rsidR="00691B4A" w:rsidRPr="008126EB">
        <w:rPr>
          <w:kern w:val="0"/>
        </w:rPr>
        <w:t xml:space="preserve"> examining our research </w:t>
      </w:r>
      <w:r>
        <w:rPr>
          <w:kern w:val="0"/>
        </w:rPr>
        <w:t>inquiries</w:t>
      </w:r>
      <w:r w:rsidR="00691B4A" w:rsidRPr="008126EB">
        <w:rPr>
          <w:kern w:val="0"/>
        </w:rPr>
        <w:t xml:space="preserve">. </w:t>
      </w:r>
      <w:r w:rsidR="007C7974">
        <w:rPr>
          <w:kern w:val="0"/>
        </w:rPr>
        <w:t>For this analysis</w:t>
      </w:r>
      <w:r w:rsidR="00691B4A" w:rsidRPr="008126EB">
        <w:t xml:space="preserve">, </w:t>
      </w:r>
      <w:r w:rsidR="00691B4A" w:rsidRPr="008126EB">
        <w:rPr>
          <w:rFonts w:hint="eastAsia"/>
        </w:rPr>
        <w:t>w</w:t>
      </w:r>
      <w:r w:rsidR="00691B4A" w:rsidRPr="008126EB">
        <w:t xml:space="preserve">e </w:t>
      </w:r>
      <w:r w:rsidR="00691B4A" w:rsidRPr="008126EB">
        <w:rPr>
          <w:rFonts w:hint="eastAsia"/>
        </w:rPr>
        <w:t xml:space="preserve">divide </w:t>
      </w:r>
      <w:r w:rsidR="00691B4A" w:rsidRPr="008126EB">
        <w:t>the pool of</w:t>
      </w:r>
      <w:r w:rsidR="00691B4A" w:rsidRPr="008126EB">
        <w:rPr>
          <w:rFonts w:hint="eastAsia"/>
        </w:rPr>
        <w:t xml:space="preserve"> </w:t>
      </w:r>
      <w:r w:rsidR="00691B4A" w:rsidRPr="008126EB">
        <w:t xml:space="preserve">observations </w:t>
      </w:r>
      <w:r w:rsidR="00691B4A" w:rsidRPr="008126EB">
        <w:rPr>
          <w:rFonts w:hint="eastAsia"/>
        </w:rPr>
        <w:t xml:space="preserve">into two </w:t>
      </w:r>
      <w:r w:rsidR="00691B4A" w:rsidRPr="008126EB">
        <w:t>sub</w:t>
      </w:r>
      <w:r w:rsidR="00691B4A" w:rsidRPr="008126EB">
        <w:rPr>
          <w:rFonts w:hint="eastAsia"/>
        </w:rPr>
        <w:t xml:space="preserve">groups: </w:t>
      </w:r>
      <w:r w:rsidR="00691B4A" w:rsidRPr="008126EB">
        <w:t xml:space="preserve">(1) </w:t>
      </w:r>
      <w:r w:rsidR="00691B4A" w:rsidRPr="008126EB">
        <w:rPr>
          <w:rFonts w:hint="eastAsia"/>
        </w:rPr>
        <w:t>observations with positive</w:t>
      </w:r>
      <w:r w:rsidR="00691B4A" w:rsidRPr="008126EB">
        <w:t xml:space="preserve"> </w:t>
      </w:r>
      <w:r w:rsidR="00691B4A" w:rsidRPr="008126EB">
        <w:rPr>
          <w:i/>
        </w:rPr>
        <w:t>DAs</w:t>
      </w:r>
      <w:r w:rsidR="00691B4A" w:rsidRPr="008126EB">
        <w:t xml:space="preserve">, which </w:t>
      </w:r>
      <w:r w:rsidR="009C79AA" w:rsidRPr="008126EB">
        <w:t>indicate</w:t>
      </w:r>
      <w:r w:rsidR="00691B4A" w:rsidRPr="008126EB">
        <w:t xml:space="preserve"> upward </w:t>
      </w:r>
      <w:r w:rsidR="00C473A3">
        <w:t>earnings manipulation</w:t>
      </w:r>
      <w:r w:rsidR="00D64207">
        <w:t xml:space="preserve"> behavior</w:t>
      </w:r>
      <w:r w:rsidR="00691B4A" w:rsidRPr="008126EB">
        <w:t>, and (2)</w:t>
      </w:r>
      <w:r w:rsidR="00691B4A" w:rsidRPr="008126EB">
        <w:rPr>
          <w:rFonts w:hint="eastAsia"/>
        </w:rPr>
        <w:t xml:space="preserve"> observations with negative</w:t>
      </w:r>
      <w:r w:rsidR="00691B4A" w:rsidRPr="008126EB">
        <w:t xml:space="preserve"> </w:t>
      </w:r>
      <w:r w:rsidR="00691B4A" w:rsidRPr="008126EB">
        <w:rPr>
          <w:i/>
        </w:rPr>
        <w:t>DAs</w:t>
      </w:r>
      <w:r w:rsidR="00691B4A" w:rsidRPr="008126EB">
        <w:t xml:space="preserve">, which </w:t>
      </w:r>
      <w:r w:rsidR="009C79AA" w:rsidRPr="008126EB">
        <w:t>show</w:t>
      </w:r>
      <w:r w:rsidR="00691B4A" w:rsidRPr="008126EB">
        <w:t xml:space="preserve"> downward </w:t>
      </w:r>
      <w:r w:rsidR="00C473A3">
        <w:t>earnings manipulation</w:t>
      </w:r>
      <w:r w:rsidR="00D64207" w:rsidRPr="00D64207">
        <w:rPr>
          <w:rFonts w:hint="eastAsia"/>
        </w:rPr>
        <w:t xml:space="preserve"> </w:t>
      </w:r>
      <w:r w:rsidR="00D64207">
        <w:rPr>
          <w:rFonts w:hint="eastAsia"/>
        </w:rPr>
        <w:t>compensation</w:t>
      </w:r>
      <w:r w:rsidR="00691B4A" w:rsidRPr="008126EB">
        <w:t xml:space="preserve">. </w:t>
      </w:r>
      <w:r w:rsidR="00D64207">
        <w:t>W</w:t>
      </w:r>
      <w:r w:rsidR="00691B4A" w:rsidRPr="008126EB">
        <w:t xml:space="preserve">e </w:t>
      </w:r>
      <w:r w:rsidR="00D64207">
        <w:t xml:space="preserve">then </w:t>
      </w:r>
      <w:r w:rsidR="00691B4A" w:rsidRPr="008126EB">
        <w:t xml:space="preserve">re-investigate </w:t>
      </w:r>
      <w:r w:rsidR="00AA7B36" w:rsidRPr="00AA7B36">
        <w:t xml:space="preserve">whether </w:t>
      </w:r>
      <w:r w:rsidR="00AA7B36" w:rsidRPr="00AA7B36">
        <w:rPr>
          <w:rFonts w:hint="eastAsia"/>
        </w:rPr>
        <w:t>|</w:t>
      </w:r>
      <w:r w:rsidR="00AA7B36" w:rsidRPr="00AA7B36">
        <w:rPr>
          <w:i/>
        </w:rPr>
        <w:t>DA</w:t>
      </w:r>
      <w:r w:rsidR="00AA7B36" w:rsidRPr="00AA7B36">
        <w:rPr>
          <w:rFonts w:hint="eastAsia"/>
          <w:i/>
        </w:rPr>
        <w:t>|</w:t>
      </w:r>
      <w:r w:rsidR="00AA7B36" w:rsidRPr="00AA7B36">
        <w:rPr>
          <w:i/>
        </w:rPr>
        <w:t>–</w:t>
      </w:r>
      <w:r w:rsidR="00AA7B36" w:rsidRPr="00AA7B36">
        <w:rPr>
          <w:rFonts w:hint="eastAsia"/>
          <w:i/>
        </w:rPr>
        <w:t>RETURN</w:t>
      </w:r>
      <w:r w:rsidR="00AA7B36" w:rsidRPr="00AA7B36">
        <w:rPr>
          <w:i/>
        </w:rPr>
        <w:t xml:space="preserve"> </w:t>
      </w:r>
      <w:r w:rsidR="00AA7B36" w:rsidRPr="00AA7B36">
        <w:t>relation changes</w:t>
      </w:r>
      <w:r w:rsidR="00691B4A" w:rsidRPr="008126EB">
        <w:t xml:space="preserve"> across </w:t>
      </w:r>
      <w:r w:rsidR="00AA7B36">
        <w:t>two</w:t>
      </w:r>
      <w:r w:rsidR="00691B4A" w:rsidRPr="008126EB">
        <w:t xml:space="preserve"> subgroups of observations.</w:t>
      </w:r>
    </w:p>
    <w:p w:rsidR="000D38E4" w:rsidRPr="008126EB" w:rsidRDefault="000D38E4" w:rsidP="00FE1E17">
      <w:pPr>
        <w:widowControl/>
        <w:adjustRightInd w:val="0"/>
        <w:snapToGrid w:val="0"/>
        <w:spacing w:line="288" w:lineRule="auto"/>
        <w:ind w:firstLineChars="295" w:firstLine="708"/>
        <w:jc w:val="both"/>
      </w:pPr>
    </w:p>
    <w:p w:rsidR="00691B4A" w:rsidRPr="008126EB" w:rsidRDefault="00E9123A" w:rsidP="00FE1E17">
      <w:pPr>
        <w:widowControl/>
        <w:adjustRightInd w:val="0"/>
        <w:snapToGrid w:val="0"/>
        <w:spacing w:line="288" w:lineRule="auto"/>
        <w:ind w:firstLine="708"/>
        <w:jc w:val="both"/>
      </w:pPr>
      <w:r w:rsidRPr="008126EB">
        <w:t>Panel</w:t>
      </w:r>
      <w:r>
        <w:rPr>
          <w:rFonts w:hint="eastAsia"/>
        </w:rPr>
        <w:t>s</w:t>
      </w:r>
      <w:r w:rsidRPr="008126EB">
        <w:t xml:space="preserve"> A </w:t>
      </w:r>
      <w:r>
        <w:rPr>
          <w:rFonts w:hint="eastAsia"/>
        </w:rPr>
        <w:t>and</w:t>
      </w:r>
      <w:r w:rsidRPr="008126EB">
        <w:t xml:space="preserve"> B of Table 6</w:t>
      </w:r>
      <w:r>
        <w:t xml:space="preserve"> report the </w:t>
      </w:r>
      <w:r w:rsidR="00AA7B36">
        <w:t>findings</w:t>
      </w:r>
      <w:r w:rsidR="00691B4A" w:rsidRPr="008126EB">
        <w:t xml:space="preserve"> of estimation for positive </w:t>
      </w:r>
      <w:r w:rsidR="00691B4A" w:rsidRPr="008126EB">
        <w:rPr>
          <w:i/>
        </w:rPr>
        <w:t>DA</w:t>
      </w:r>
      <w:r w:rsidR="00691B4A" w:rsidRPr="008126EB">
        <w:t xml:space="preserve"> and negative </w:t>
      </w:r>
      <w:r w:rsidR="00691B4A" w:rsidRPr="008126EB">
        <w:rPr>
          <w:i/>
        </w:rPr>
        <w:t>DA</w:t>
      </w:r>
      <w:r w:rsidR="00A03D95">
        <w:rPr>
          <w:rFonts w:hint="eastAsia"/>
        </w:rPr>
        <w:t>,</w:t>
      </w:r>
      <w:r w:rsidR="00691B4A" w:rsidRPr="008126EB">
        <w:t xml:space="preserve"> respectively.</w:t>
      </w:r>
      <w:r w:rsidR="00691B4A" w:rsidRPr="008126EB">
        <w:rPr>
          <w:rFonts w:hint="eastAsia"/>
        </w:rPr>
        <w:t xml:space="preserve"> </w:t>
      </w:r>
      <w:r w:rsidR="00691B4A" w:rsidRPr="008126EB">
        <w:t xml:space="preserve">The corresponding statistics are diagrammed in Figure </w:t>
      </w:r>
      <w:r w:rsidR="00BE07AC">
        <w:t>7</w:t>
      </w:r>
      <w:r w:rsidR="00691B4A" w:rsidRPr="008126EB">
        <w:t>.</w:t>
      </w:r>
      <w:r w:rsidR="00691B4A" w:rsidRPr="008126EB">
        <w:rPr>
          <w:rFonts w:hint="eastAsia"/>
        </w:rPr>
        <w:t xml:space="preserve"> </w:t>
      </w:r>
      <w:r w:rsidR="00691B4A" w:rsidRPr="008126EB">
        <w:t xml:space="preserve">Comparing </w:t>
      </w:r>
      <w:r w:rsidR="00AA7B36">
        <w:t>two p</w:t>
      </w:r>
      <w:r w:rsidR="00B26438" w:rsidRPr="008126EB">
        <w:t>anel</w:t>
      </w:r>
      <w:r w:rsidR="00AA7B36">
        <w:t>s</w:t>
      </w:r>
      <w:r w:rsidR="00B26438" w:rsidRPr="008126EB">
        <w:t xml:space="preserve"> </w:t>
      </w:r>
      <w:r w:rsidR="009C79AA" w:rsidRPr="008126EB">
        <w:t>of Table 6</w:t>
      </w:r>
      <w:r w:rsidR="00AA7B36">
        <w:t xml:space="preserve">, the </w:t>
      </w:r>
      <w:r w:rsidR="00691B4A" w:rsidRPr="008126EB">
        <w:t xml:space="preserve">quantile-varying </w:t>
      </w:r>
      <w:r w:rsidR="00691B4A" w:rsidRPr="008126EB">
        <w:rPr>
          <w:rFonts w:hint="eastAsia"/>
        </w:rPr>
        <w:t>|</w:t>
      </w:r>
      <w:r w:rsidR="00691B4A" w:rsidRPr="008126EB">
        <w:rPr>
          <w:i/>
        </w:rPr>
        <w:t>DA</w:t>
      </w:r>
      <w:r w:rsidR="00691B4A" w:rsidRPr="008126EB">
        <w:rPr>
          <w:rFonts w:hint="eastAsia"/>
          <w:i/>
        </w:rPr>
        <w:t>|</w:t>
      </w:r>
      <w:r w:rsidR="00691B4A" w:rsidRPr="008126EB">
        <w:t>–</w:t>
      </w:r>
      <w:r w:rsidR="00691B4A" w:rsidRPr="008126EB">
        <w:rPr>
          <w:rFonts w:hint="eastAsia"/>
          <w:i/>
        </w:rPr>
        <w:t>RETURN</w:t>
      </w:r>
      <w:r w:rsidR="00691B4A" w:rsidRPr="008126EB">
        <w:t xml:space="preserve"> relation</w:t>
      </w:r>
      <w:r w:rsidR="00691B4A" w:rsidRPr="008126EB">
        <w:rPr>
          <w:rFonts w:hint="eastAsia"/>
        </w:rPr>
        <w:t xml:space="preserve"> is robust with </w:t>
      </w:r>
      <w:r w:rsidR="00691B4A" w:rsidRPr="008126EB">
        <w:t xml:space="preserve">respect to </w:t>
      </w:r>
      <w:r w:rsidR="00A26EA1">
        <w:t xml:space="preserve">the sign of </w:t>
      </w:r>
      <w:r w:rsidR="00691B4A" w:rsidRPr="008126EB">
        <w:rPr>
          <w:i/>
        </w:rPr>
        <w:t>DAs</w:t>
      </w:r>
      <w:r w:rsidR="00691B4A" w:rsidRPr="008126EB">
        <w:t>.</w:t>
      </w:r>
    </w:p>
    <w:p w:rsidR="00FE1E17" w:rsidRPr="00FE1E17" w:rsidRDefault="00FE1E17" w:rsidP="00FE1E17">
      <w:pPr>
        <w:snapToGrid w:val="0"/>
        <w:spacing w:line="0" w:lineRule="atLeast"/>
        <w:jc w:val="center"/>
        <w:rPr>
          <w:b/>
          <w:sz w:val="22"/>
          <w:szCs w:val="22"/>
        </w:rPr>
      </w:pPr>
      <w:r w:rsidRPr="00FE1E17">
        <w:rPr>
          <w:rFonts w:eastAsia="DFKai-SB"/>
          <w:b/>
          <w:sz w:val="22"/>
          <w:szCs w:val="22"/>
        </w:rPr>
        <w:lastRenderedPageBreak/>
        <w:t>Table 6</w:t>
      </w:r>
      <w:r w:rsidR="00FE0B8A">
        <w:rPr>
          <w:rFonts w:eastAsia="DFKai-SB"/>
          <w:b/>
          <w:sz w:val="22"/>
          <w:szCs w:val="22"/>
        </w:rPr>
        <w:t xml:space="preserve">: </w:t>
      </w:r>
      <w:r w:rsidRPr="00FE1E17">
        <w:rPr>
          <w:rFonts w:eastAsia="DFKai-SB"/>
          <w:b/>
          <w:sz w:val="22"/>
          <w:szCs w:val="22"/>
        </w:rPr>
        <w:t xml:space="preserve">The </w:t>
      </w:r>
      <w:r w:rsidRPr="00FE1E17">
        <w:rPr>
          <w:b/>
          <w:sz w:val="22"/>
          <w:szCs w:val="22"/>
        </w:rPr>
        <w:t>|</w:t>
      </w:r>
      <w:r w:rsidRPr="00FE1E17">
        <w:rPr>
          <w:b/>
          <w:i/>
          <w:sz w:val="22"/>
          <w:szCs w:val="22"/>
        </w:rPr>
        <w:t>DA|</w:t>
      </w:r>
      <w:r w:rsidRPr="00FE1E17">
        <w:rPr>
          <w:b/>
          <w:sz w:val="22"/>
          <w:szCs w:val="22"/>
        </w:rPr>
        <w:t>–</w:t>
      </w:r>
      <w:r w:rsidRPr="00FE1E17">
        <w:rPr>
          <w:b/>
          <w:i/>
          <w:sz w:val="22"/>
          <w:szCs w:val="22"/>
        </w:rPr>
        <w:t xml:space="preserve">RETURN </w:t>
      </w:r>
      <w:r w:rsidR="0015071E">
        <w:rPr>
          <w:b/>
          <w:sz w:val="22"/>
          <w:szCs w:val="22"/>
        </w:rPr>
        <w:t>Relation Across Various Q</w:t>
      </w:r>
      <w:r w:rsidRPr="00FE1E17">
        <w:rPr>
          <w:b/>
          <w:sz w:val="22"/>
          <w:szCs w:val="22"/>
        </w:rPr>
        <w:t>uantiles</w:t>
      </w:r>
      <w:r w:rsidR="0015071E">
        <w:rPr>
          <w:rFonts w:eastAsia="DFKai-SB"/>
          <w:b/>
          <w:sz w:val="22"/>
          <w:szCs w:val="22"/>
        </w:rPr>
        <w:t xml:space="preserve"> of S</w:t>
      </w:r>
      <w:r w:rsidRPr="00FE1E17">
        <w:rPr>
          <w:rFonts w:eastAsia="DFKai-SB"/>
          <w:b/>
          <w:sz w:val="22"/>
          <w:szCs w:val="22"/>
        </w:rPr>
        <w:t>to</w:t>
      </w:r>
      <w:r w:rsidR="0015071E">
        <w:rPr>
          <w:rFonts w:eastAsia="DFKai-SB"/>
          <w:b/>
          <w:sz w:val="22"/>
          <w:szCs w:val="22"/>
        </w:rPr>
        <w:t>ck R</w:t>
      </w:r>
      <w:r w:rsidRPr="00FE1E17">
        <w:rPr>
          <w:rFonts w:eastAsia="DFKai-SB"/>
          <w:b/>
          <w:sz w:val="22"/>
          <w:szCs w:val="22"/>
        </w:rPr>
        <w:t>eturns</w:t>
      </w:r>
      <w:r w:rsidRPr="00FE1E17">
        <w:rPr>
          <w:b/>
          <w:sz w:val="22"/>
          <w:szCs w:val="22"/>
        </w:rPr>
        <w:t>:</w:t>
      </w:r>
    </w:p>
    <w:p w:rsidR="00FE1E17" w:rsidRPr="00FE1E17" w:rsidRDefault="0015071E" w:rsidP="00FE1E17">
      <w:pPr>
        <w:snapToGrid w:val="0"/>
        <w:spacing w:line="0" w:lineRule="atLeast"/>
        <w:jc w:val="center"/>
        <w:rPr>
          <w:rFonts w:eastAsia="DFKai-SB"/>
          <w:b/>
          <w:sz w:val="22"/>
          <w:szCs w:val="22"/>
        </w:rPr>
      </w:pPr>
      <w:r>
        <w:rPr>
          <w:rFonts w:eastAsia="DFKai-SB"/>
          <w:b/>
          <w:sz w:val="22"/>
          <w:szCs w:val="22"/>
        </w:rPr>
        <w:t>Managing Earnings Upward or D</w:t>
      </w:r>
      <w:r w:rsidR="00FE1E17" w:rsidRPr="00FE1E17">
        <w:rPr>
          <w:rFonts w:eastAsia="DFKai-SB"/>
          <w:b/>
          <w:sz w:val="22"/>
          <w:szCs w:val="22"/>
        </w:rPr>
        <w:t>ownward</w:t>
      </w:r>
    </w:p>
    <w:p w:rsidR="00FE1E17" w:rsidRPr="00FE0B8A" w:rsidRDefault="00FE1E17" w:rsidP="00FE1E17">
      <w:pPr>
        <w:spacing w:line="0" w:lineRule="atLeast"/>
        <w:jc w:val="center"/>
        <w:rPr>
          <w:rFonts w:eastAsia="DFKai-SB"/>
          <w:b/>
          <w:sz w:val="10"/>
          <w:szCs w:val="10"/>
        </w:rPr>
      </w:pPr>
    </w:p>
    <w:p w:rsidR="00FE1E17" w:rsidRPr="00FE1E17" w:rsidRDefault="00FE1E17" w:rsidP="00FE1E17">
      <w:pPr>
        <w:spacing w:after="120"/>
        <w:jc w:val="center"/>
        <w:rPr>
          <w:sz w:val="22"/>
          <w:szCs w:val="22"/>
          <w:lang w:val="fr-FR"/>
        </w:rPr>
      </w:pPr>
      <w:r w:rsidRPr="00FE1E17">
        <w:rPr>
          <w:rFonts w:eastAsia="DFKai-SB"/>
          <w:i/>
          <w:sz w:val="22"/>
          <w:szCs w:val="22"/>
          <w:lang w:val="fr-FR"/>
        </w:rPr>
        <w:t>RETURN</w:t>
      </w:r>
      <w:r w:rsidRPr="00FE1E17">
        <w:rPr>
          <w:rFonts w:eastAsia="DFKai-SB"/>
          <w:i/>
          <w:sz w:val="22"/>
          <w:szCs w:val="22"/>
          <w:vertAlign w:val="subscript"/>
          <w:lang w:val="fr-FR"/>
        </w:rPr>
        <w:t>i,t</w:t>
      </w:r>
      <w:r w:rsidRPr="00FE1E17">
        <w:rPr>
          <w:i/>
          <w:sz w:val="22"/>
          <w:szCs w:val="22"/>
          <w:vertAlign w:val="subscript"/>
          <w:lang w:val="fr-FR"/>
        </w:rPr>
        <w:t>+1</w:t>
      </w:r>
      <w:r w:rsidRPr="00FE1E17">
        <w:rPr>
          <w:rFonts w:eastAsia="DFKai-SB"/>
          <w:sz w:val="22"/>
          <w:szCs w:val="22"/>
          <w:lang w:val="fr-FR"/>
        </w:rPr>
        <w:t xml:space="preserve"> =</w:t>
      </w:r>
      <w:r w:rsidRPr="00FE1E17">
        <w:rPr>
          <w:rFonts w:eastAsia="DFKai-SB"/>
          <w:i/>
          <w:sz w:val="22"/>
          <w:szCs w:val="22"/>
          <w:lang w:val="fr-FR"/>
        </w:rPr>
        <w:t xml:space="preserve"> </w:t>
      </w:r>
      <w:r w:rsidRPr="00FE1E17">
        <w:rPr>
          <w:i/>
          <w:sz w:val="22"/>
          <w:szCs w:val="22"/>
        </w:rPr>
        <w:sym w:font="Symbol" w:char="F062"/>
      </w:r>
      <w:r w:rsidRPr="00FE1E17">
        <w:rPr>
          <w:rFonts w:eastAsia="DFKai-SB"/>
          <w:sz w:val="22"/>
          <w:szCs w:val="22"/>
          <w:vertAlign w:val="subscript"/>
          <w:lang w:val="fr-FR"/>
        </w:rPr>
        <w:t>0</w:t>
      </w:r>
      <w:r w:rsidRPr="00FE1E17">
        <w:rPr>
          <w:rFonts w:eastAsia="DFKai-SB"/>
          <w:i/>
          <w:sz w:val="22"/>
          <w:szCs w:val="22"/>
          <w:lang w:val="fr-FR"/>
        </w:rPr>
        <w:t xml:space="preserve"> + </w:t>
      </w:r>
      <w:r w:rsidRPr="00FE1E17">
        <w:rPr>
          <w:i/>
          <w:sz w:val="22"/>
          <w:szCs w:val="22"/>
        </w:rPr>
        <w:sym w:font="Symbol" w:char="F062"/>
      </w:r>
      <w:r w:rsidRPr="00FE1E17">
        <w:rPr>
          <w:rFonts w:eastAsia="DFKai-SB"/>
          <w:sz w:val="22"/>
          <w:szCs w:val="22"/>
          <w:vertAlign w:val="subscript"/>
          <w:lang w:val="fr-FR"/>
        </w:rPr>
        <w:t xml:space="preserve">1 </w:t>
      </w:r>
      <w:r w:rsidRPr="00FE1E17">
        <w:rPr>
          <w:rFonts w:eastAsia="DFKai-SB"/>
          <w:i/>
          <w:sz w:val="22"/>
          <w:szCs w:val="22"/>
          <w:lang w:val="fr-FR"/>
        </w:rPr>
        <w:t>|DA</w:t>
      </w:r>
      <w:r w:rsidRPr="00FE1E17">
        <w:rPr>
          <w:rFonts w:eastAsia="DFKai-SB"/>
          <w:i/>
          <w:sz w:val="22"/>
          <w:szCs w:val="22"/>
          <w:vertAlign w:val="subscript"/>
          <w:lang w:val="fr-FR"/>
        </w:rPr>
        <w:t>i,t</w:t>
      </w:r>
      <w:r w:rsidRPr="00FE1E17">
        <w:rPr>
          <w:rFonts w:eastAsia="DFKai-SB"/>
          <w:i/>
          <w:sz w:val="22"/>
          <w:szCs w:val="22"/>
          <w:lang w:val="fr-FR"/>
        </w:rPr>
        <w:t xml:space="preserve"> |+ </w:t>
      </w:r>
      <w:r w:rsidRPr="00FE1E17">
        <w:rPr>
          <w:i/>
          <w:sz w:val="22"/>
          <w:szCs w:val="22"/>
        </w:rPr>
        <w:sym w:font="Symbol" w:char="F062"/>
      </w:r>
      <w:r w:rsidRPr="00FE1E17">
        <w:rPr>
          <w:rFonts w:eastAsia="DFKai-SB"/>
          <w:sz w:val="22"/>
          <w:szCs w:val="22"/>
          <w:vertAlign w:val="subscript"/>
          <w:lang w:val="fr-FR"/>
        </w:rPr>
        <w:t xml:space="preserve">2 </w:t>
      </w:r>
      <w:r w:rsidRPr="00FE1E17">
        <w:rPr>
          <w:rFonts w:eastAsia="DFKai-SB"/>
          <w:i/>
          <w:sz w:val="22"/>
          <w:szCs w:val="22"/>
          <w:lang w:val="fr-FR"/>
        </w:rPr>
        <w:t>MKT</w:t>
      </w:r>
      <w:r w:rsidRPr="00FE1E17">
        <w:rPr>
          <w:rFonts w:eastAsia="DFKai-SB"/>
          <w:i/>
          <w:sz w:val="22"/>
          <w:szCs w:val="22"/>
          <w:vertAlign w:val="subscript"/>
          <w:lang w:val="fr-FR"/>
        </w:rPr>
        <w:t>t</w:t>
      </w:r>
      <w:r w:rsidRPr="00FE1E17">
        <w:rPr>
          <w:rFonts w:eastAsia="DFKai-SB"/>
          <w:i/>
          <w:sz w:val="22"/>
          <w:szCs w:val="22"/>
          <w:lang w:val="fr-FR"/>
        </w:rPr>
        <w:t xml:space="preserve"> + </w:t>
      </w:r>
      <w:r w:rsidRPr="00FE1E17">
        <w:rPr>
          <w:i/>
          <w:sz w:val="22"/>
          <w:szCs w:val="22"/>
        </w:rPr>
        <w:sym w:font="Symbol" w:char="F062"/>
      </w:r>
      <w:r w:rsidRPr="00FE1E17">
        <w:rPr>
          <w:rFonts w:eastAsia="DFKai-SB"/>
          <w:sz w:val="22"/>
          <w:szCs w:val="22"/>
          <w:vertAlign w:val="subscript"/>
          <w:lang w:val="fr-FR"/>
        </w:rPr>
        <w:t xml:space="preserve">3 </w:t>
      </w:r>
      <w:r w:rsidRPr="00FE1E17">
        <w:rPr>
          <w:rFonts w:eastAsia="DFKai-SB"/>
          <w:i/>
          <w:sz w:val="22"/>
          <w:szCs w:val="22"/>
          <w:lang w:val="fr-FR"/>
        </w:rPr>
        <w:t>SIZE</w:t>
      </w:r>
      <w:r w:rsidRPr="00FE1E17">
        <w:rPr>
          <w:rFonts w:eastAsia="DFKai-SB"/>
          <w:i/>
          <w:sz w:val="22"/>
          <w:szCs w:val="22"/>
          <w:vertAlign w:val="subscript"/>
          <w:lang w:val="fr-FR"/>
        </w:rPr>
        <w:t>i,t</w:t>
      </w:r>
      <w:r w:rsidRPr="00FE1E17">
        <w:rPr>
          <w:rFonts w:eastAsia="DFKai-SB"/>
          <w:i/>
          <w:sz w:val="22"/>
          <w:szCs w:val="22"/>
          <w:lang w:val="fr-FR"/>
        </w:rPr>
        <w:t xml:space="preserve"> +</w:t>
      </w:r>
      <w:r w:rsidRPr="00FE1E17">
        <w:rPr>
          <w:i/>
          <w:sz w:val="22"/>
          <w:szCs w:val="22"/>
        </w:rPr>
        <w:sym w:font="Symbol" w:char="F062"/>
      </w:r>
      <w:r w:rsidRPr="00FE1E17">
        <w:rPr>
          <w:rFonts w:eastAsia="DFKai-SB"/>
          <w:sz w:val="22"/>
          <w:szCs w:val="22"/>
          <w:vertAlign w:val="subscript"/>
          <w:lang w:val="fr-FR"/>
        </w:rPr>
        <w:t xml:space="preserve">4 </w:t>
      </w:r>
      <w:r w:rsidRPr="00FE1E17">
        <w:rPr>
          <w:rFonts w:eastAsia="DFKai-SB"/>
          <w:i/>
          <w:sz w:val="22"/>
          <w:szCs w:val="22"/>
          <w:lang w:val="fr-FR"/>
        </w:rPr>
        <w:t>MB</w:t>
      </w:r>
      <w:r w:rsidRPr="00FE1E17">
        <w:rPr>
          <w:rFonts w:eastAsia="DFKai-SB"/>
          <w:i/>
          <w:sz w:val="22"/>
          <w:szCs w:val="22"/>
          <w:vertAlign w:val="subscript"/>
          <w:lang w:val="fr-FR"/>
        </w:rPr>
        <w:t>i,t</w:t>
      </w:r>
      <w:r w:rsidRPr="00FE1E17">
        <w:rPr>
          <w:rFonts w:eastAsia="DFKai-SB"/>
          <w:i/>
          <w:sz w:val="22"/>
          <w:szCs w:val="22"/>
          <w:lang w:val="fr-FR"/>
        </w:rPr>
        <w:t xml:space="preserve"> + </w:t>
      </w:r>
      <w:r w:rsidRPr="00FE1E17">
        <w:rPr>
          <w:i/>
          <w:sz w:val="22"/>
          <w:szCs w:val="22"/>
        </w:rPr>
        <w:sym w:font="Symbol" w:char="F062"/>
      </w:r>
      <w:r w:rsidRPr="00FE1E17">
        <w:rPr>
          <w:rFonts w:eastAsia="DFKai-SB"/>
          <w:sz w:val="22"/>
          <w:szCs w:val="22"/>
          <w:vertAlign w:val="subscript"/>
          <w:lang w:val="fr-FR"/>
        </w:rPr>
        <w:t xml:space="preserve">5 </w:t>
      </w:r>
      <w:r w:rsidRPr="00FE1E17">
        <w:rPr>
          <w:rFonts w:eastAsia="DFKai-SB"/>
          <w:i/>
          <w:sz w:val="22"/>
          <w:szCs w:val="22"/>
          <w:lang w:val="fr-FR"/>
        </w:rPr>
        <w:t>MOM</w:t>
      </w:r>
      <w:r w:rsidRPr="00FE1E17">
        <w:rPr>
          <w:rFonts w:eastAsia="DFKai-SB"/>
          <w:i/>
          <w:sz w:val="22"/>
          <w:szCs w:val="22"/>
          <w:vertAlign w:val="subscript"/>
          <w:lang w:val="fr-FR"/>
        </w:rPr>
        <w:t>i,t</w:t>
      </w:r>
      <w:r w:rsidRPr="00FE1E17">
        <w:rPr>
          <w:rFonts w:eastAsia="DFKai-SB"/>
          <w:i/>
          <w:sz w:val="22"/>
          <w:szCs w:val="22"/>
          <w:lang w:val="fr-FR"/>
        </w:rPr>
        <w:t xml:space="preserve">+ </w:t>
      </w:r>
      <w:r w:rsidRPr="00FE1E17">
        <w:rPr>
          <w:rFonts w:eastAsia="DFKai-SB"/>
          <w:i/>
          <w:sz w:val="22"/>
          <w:szCs w:val="22"/>
        </w:rPr>
        <w:t>u</w:t>
      </w:r>
      <w:r w:rsidRPr="00FE1E17">
        <w:rPr>
          <w:rFonts w:eastAsia="DFKai-SB"/>
          <w:i/>
          <w:sz w:val="22"/>
          <w:szCs w:val="22"/>
          <w:vertAlign w:val="subscript"/>
          <w:lang w:val="fr-FR"/>
        </w:rPr>
        <w:t>i,t</w:t>
      </w:r>
      <w:r w:rsidRPr="00FE1E17">
        <w:rPr>
          <w:i/>
          <w:sz w:val="22"/>
          <w:szCs w:val="22"/>
          <w:vertAlign w:val="subscript"/>
          <w:lang w:val="fr-FR"/>
        </w:rPr>
        <w:t>+1</w:t>
      </w:r>
    </w:p>
    <w:tbl>
      <w:tblPr>
        <w:tblW w:w="5008" w:type="pct"/>
        <w:tblLayout w:type="fixed"/>
        <w:tblCellMar>
          <w:left w:w="0" w:type="dxa"/>
          <w:right w:w="0" w:type="dxa"/>
        </w:tblCellMar>
        <w:tblLook w:val="0000" w:firstRow="0" w:lastRow="0" w:firstColumn="0" w:lastColumn="0" w:noHBand="0" w:noVBand="0"/>
      </w:tblPr>
      <w:tblGrid>
        <w:gridCol w:w="930"/>
        <w:gridCol w:w="1868"/>
        <w:gridCol w:w="920"/>
        <w:gridCol w:w="7"/>
        <w:gridCol w:w="1947"/>
        <w:gridCol w:w="1264"/>
        <w:gridCol w:w="2105"/>
      </w:tblGrid>
      <w:tr w:rsidR="00FE1E17" w:rsidRPr="00FE1E17" w:rsidTr="00583009">
        <w:trPr>
          <w:trHeight w:val="345"/>
        </w:trPr>
        <w:tc>
          <w:tcPr>
            <w:tcW w:w="3137" w:type="pct"/>
            <w:gridSpan w:val="5"/>
            <w:tcBorders>
              <w:top w:val="single" w:sz="12" w:space="0" w:color="auto"/>
              <w:left w:val="nil"/>
              <w:right w:val="single" w:sz="12" w:space="0" w:color="auto"/>
            </w:tcBorders>
            <w:shd w:val="clear" w:color="auto" w:fill="auto"/>
            <w:noWrap/>
            <w:vAlign w:val="center"/>
          </w:tcPr>
          <w:p w:rsidR="00FE1E17" w:rsidRPr="00FE1E17" w:rsidRDefault="00FE1E17" w:rsidP="00583009">
            <w:pPr>
              <w:ind w:left="-180"/>
              <w:jc w:val="center"/>
              <w:rPr>
                <w:rFonts w:eastAsia="DFKai-SB"/>
                <w:i/>
                <w:sz w:val="22"/>
                <w:szCs w:val="22"/>
              </w:rPr>
            </w:pPr>
            <w:r w:rsidRPr="00FE1E17">
              <w:rPr>
                <w:rFonts w:eastAsia="DFKai-SB"/>
                <w:i/>
                <w:sz w:val="22"/>
                <w:szCs w:val="22"/>
              </w:rPr>
              <w:t xml:space="preserve">Coefficient estimates on </w:t>
            </w:r>
            <w:r w:rsidRPr="00FE1E17">
              <w:rPr>
                <w:i/>
                <w:sz w:val="22"/>
                <w:szCs w:val="22"/>
              </w:rPr>
              <w:t>|DA|: QR</w:t>
            </w:r>
            <w:r w:rsidRPr="00FE1E17">
              <w:rPr>
                <w:rFonts w:eastAsia="DFKai-SB"/>
                <w:i/>
                <w:sz w:val="22"/>
                <w:szCs w:val="22"/>
              </w:rPr>
              <w:t xml:space="preserve"> vs. OLS </w:t>
            </w:r>
          </w:p>
        </w:tc>
        <w:tc>
          <w:tcPr>
            <w:tcW w:w="1863" w:type="pct"/>
            <w:gridSpan w:val="2"/>
            <w:tcBorders>
              <w:top w:val="single" w:sz="12" w:space="0" w:color="auto"/>
              <w:left w:val="single" w:sz="12"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 xml:space="preserve">Tests of equality </w:t>
            </w:r>
            <w:r w:rsidRPr="00FE1E17">
              <w:rPr>
                <w:i/>
                <w:sz w:val="22"/>
                <w:szCs w:val="22"/>
              </w:rPr>
              <w:t>across quantiles</w:t>
            </w:r>
          </w:p>
        </w:tc>
      </w:tr>
      <w:tr w:rsidR="00FE1E17" w:rsidRPr="00FE1E17" w:rsidTr="00583009">
        <w:trPr>
          <w:trHeight w:val="345"/>
        </w:trPr>
        <w:tc>
          <w:tcPr>
            <w:tcW w:w="514"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Quant</w:t>
            </w:r>
            <w:r w:rsidRPr="00FE1E17">
              <w:rPr>
                <w:i/>
                <w:sz w:val="22"/>
                <w:szCs w:val="22"/>
              </w:rPr>
              <w:t>.</w:t>
            </w:r>
          </w:p>
        </w:tc>
        <w:tc>
          <w:tcPr>
            <w:tcW w:w="1033"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rFonts w:eastAsia="DFKai-SB"/>
                <w:i/>
                <w:sz w:val="22"/>
                <w:szCs w:val="22"/>
              </w:rPr>
            </w:pPr>
            <w:r w:rsidRPr="00FE1E17">
              <w:rPr>
                <w:i/>
                <w:sz w:val="22"/>
                <w:szCs w:val="22"/>
              </w:rPr>
              <w:t>Coeff.</w:t>
            </w:r>
            <w:r w:rsidRPr="00FE1E17">
              <w:rPr>
                <w:rFonts w:eastAsia="DFKai-SB"/>
                <w:i/>
                <w:sz w:val="22"/>
                <w:szCs w:val="22"/>
              </w:rPr>
              <w:t xml:space="preserve"> (p-value)</w:t>
            </w:r>
          </w:p>
        </w:tc>
        <w:tc>
          <w:tcPr>
            <w:tcW w:w="509"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Quant</w:t>
            </w:r>
            <w:r w:rsidRPr="00FE1E17">
              <w:rPr>
                <w:i/>
                <w:sz w:val="22"/>
                <w:szCs w:val="22"/>
              </w:rPr>
              <w:t>.</w:t>
            </w:r>
          </w:p>
        </w:tc>
        <w:tc>
          <w:tcPr>
            <w:tcW w:w="1081" w:type="pct"/>
            <w:gridSpan w:val="2"/>
            <w:tcBorders>
              <w:top w:val="nil"/>
              <w:left w:val="nil"/>
              <w:bottom w:val="single" w:sz="8" w:space="0" w:color="auto"/>
              <w:right w:val="single" w:sz="12" w:space="0" w:color="auto"/>
            </w:tcBorders>
            <w:shd w:val="clear" w:color="auto" w:fill="auto"/>
            <w:noWrap/>
            <w:vAlign w:val="center"/>
          </w:tcPr>
          <w:p w:rsidR="00FE1E17" w:rsidRPr="00FE1E17" w:rsidRDefault="00FE1E17" w:rsidP="00583009">
            <w:pPr>
              <w:jc w:val="center"/>
              <w:rPr>
                <w:rFonts w:eastAsia="DFKai-SB"/>
                <w:i/>
                <w:sz w:val="22"/>
                <w:szCs w:val="22"/>
              </w:rPr>
            </w:pPr>
            <w:r w:rsidRPr="00FE1E17">
              <w:rPr>
                <w:i/>
                <w:sz w:val="22"/>
                <w:szCs w:val="22"/>
              </w:rPr>
              <w:t>Coeff.</w:t>
            </w:r>
            <w:r w:rsidRPr="00FE1E17">
              <w:rPr>
                <w:rFonts w:eastAsia="DFKai-SB"/>
                <w:i/>
                <w:sz w:val="22"/>
                <w:szCs w:val="22"/>
              </w:rPr>
              <w:t xml:space="preserve"> (p-value)</w:t>
            </w:r>
          </w:p>
        </w:tc>
        <w:tc>
          <w:tcPr>
            <w:tcW w:w="699" w:type="pct"/>
            <w:tcBorders>
              <w:top w:val="nil"/>
              <w:left w:val="single" w:sz="12" w:space="0" w:color="auto"/>
              <w:bottom w:val="single" w:sz="8"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Quant</w:t>
            </w:r>
            <w:r w:rsidRPr="00FE1E17">
              <w:rPr>
                <w:i/>
                <w:sz w:val="22"/>
                <w:szCs w:val="22"/>
              </w:rPr>
              <w:t>.</w:t>
            </w:r>
          </w:p>
        </w:tc>
        <w:tc>
          <w:tcPr>
            <w:tcW w:w="1164"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rFonts w:eastAsia="DFKai-SB"/>
                <w:i/>
                <w:sz w:val="22"/>
                <w:szCs w:val="22"/>
              </w:rPr>
            </w:pPr>
            <w:r w:rsidRPr="00FE1E17">
              <w:rPr>
                <w:i/>
                <w:sz w:val="22"/>
                <w:szCs w:val="22"/>
              </w:rPr>
              <w:t>F-statistic</w:t>
            </w:r>
            <w:r w:rsidRPr="00FE1E17">
              <w:rPr>
                <w:rFonts w:eastAsia="DFKai-SB"/>
                <w:i/>
                <w:sz w:val="22"/>
                <w:szCs w:val="22"/>
              </w:rPr>
              <w:t xml:space="preserve"> (p-value)</w:t>
            </w:r>
          </w:p>
        </w:tc>
      </w:tr>
      <w:tr w:rsidR="00FE1E17" w:rsidRPr="00FE1E17" w:rsidTr="00583009">
        <w:trPr>
          <w:trHeight w:val="397"/>
        </w:trPr>
        <w:tc>
          <w:tcPr>
            <w:tcW w:w="3137" w:type="pct"/>
            <w:gridSpan w:val="5"/>
            <w:tcBorders>
              <w:left w:val="nil"/>
              <w:right w:val="single" w:sz="12" w:space="0" w:color="auto"/>
            </w:tcBorders>
            <w:shd w:val="clear" w:color="auto" w:fill="auto"/>
            <w:noWrap/>
            <w:vAlign w:val="center"/>
          </w:tcPr>
          <w:p w:rsidR="00FE1E17" w:rsidRPr="00FE1E17" w:rsidRDefault="00FE1E17" w:rsidP="00583009">
            <w:pPr>
              <w:adjustRightInd w:val="0"/>
              <w:snapToGrid w:val="0"/>
              <w:rPr>
                <w:rFonts w:eastAsia="DFKai-SB"/>
                <w:b/>
                <w:i/>
                <w:sz w:val="22"/>
                <w:szCs w:val="22"/>
              </w:rPr>
            </w:pPr>
            <w:r w:rsidRPr="00FE1E17">
              <w:rPr>
                <w:rFonts w:eastAsia="DFKai-SB"/>
                <w:b/>
                <w:i/>
                <w:sz w:val="22"/>
                <w:szCs w:val="22"/>
              </w:rPr>
              <w:t>Panel A: Upward earnings manipulation (Positive DA)</w:t>
            </w:r>
          </w:p>
        </w:tc>
        <w:tc>
          <w:tcPr>
            <w:tcW w:w="699" w:type="pct"/>
            <w:tcBorders>
              <w:left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c>
          <w:tcPr>
            <w:tcW w:w="1164" w:type="pct"/>
            <w:tcBorders>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r>
      <w:tr w:rsidR="00FE1E17" w:rsidRPr="00FE1E17" w:rsidTr="00583009">
        <w:trPr>
          <w:trHeight w:val="397"/>
        </w:trPr>
        <w:tc>
          <w:tcPr>
            <w:tcW w:w="514" w:type="pct"/>
            <w:tcBorders>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5</w:t>
            </w:r>
            <w:r w:rsidRPr="00FE1E17">
              <w:rPr>
                <w:sz w:val="22"/>
                <w:szCs w:val="22"/>
              </w:rPr>
              <w:t>%</w:t>
            </w:r>
          </w:p>
        </w:tc>
        <w:tc>
          <w:tcPr>
            <w:tcW w:w="1033" w:type="pct"/>
            <w:tcBorders>
              <w:left w:val="nil"/>
              <w:bottom w:val="nil"/>
              <w:right w:val="nil"/>
            </w:tcBorders>
            <w:shd w:val="clear" w:color="auto" w:fill="auto"/>
            <w:noWrap/>
          </w:tcPr>
          <w:p w:rsidR="00FE1E17" w:rsidRPr="00FE1E17" w:rsidRDefault="00FE1E17" w:rsidP="00583009">
            <w:pPr>
              <w:adjustRightInd w:val="0"/>
              <w:snapToGrid w:val="0"/>
              <w:spacing w:before="120"/>
              <w:jc w:val="center"/>
              <w:rPr>
                <w:sz w:val="22"/>
                <w:szCs w:val="22"/>
              </w:rPr>
            </w:pPr>
            <w:r w:rsidRPr="00FE1E17">
              <w:rPr>
                <w:kern w:val="0"/>
                <w:sz w:val="22"/>
                <w:szCs w:val="22"/>
              </w:rPr>
              <w:t>-0.499</w:t>
            </w:r>
            <w:r w:rsidRPr="00FE1E17">
              <w:rPr>
                <w:sz w:val="22"/>
                <w:szCs w:val="22"/>
              </w:rPr>
              <w:t xml:space="preserve"> (0.000)**</w:t>
            </w:r>
          </w:p>
        </w:tc>
        <w:tc>
          <w:tcPr>
            <w:tcW w:w="509" w:type="pct"/>
            <w:tcBorders>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95</w:t>
            </w:r>
            <w:r w:rsidRPr="00FE1E17">
              <w:rPr>
                <w:sz w:val="22"/>
                <w:szCs w:val="22"/>
              </w:rPr>
              <w:t>%</w:t>
            </w:r>
          </w:p>
        </w:tc>
        <w:tc>
          <w:tcPr>
            <w:tcW w:w="1081" w:type="pct"/>
            <w:gridSpan w:val="2"/>
            <w:tcBorders>
              <w:left w:val="nil"/>
              <w:bottom w:val="nil"/>
              <w:right w:val="single" w:sz="12" w:space="0" w:color="auto"/>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kern w:val="0"/>
                <w:sz w:val="22"/>
                <w:szCs w:val="22"/>
              </w:rPr>
              <w:t>3.498</w:t>
            </w:r>
            <w:r w:rsidRPr="00FE1E17">
              <w:rPr>
                <w:sz w:val="22"/>
                <w:szCs w:val="22"/>
              </w:rPr>
              <w:t xml:space="preserve"> (0.002)**</w:t>
            </w:r>
          </w:p>
        </w:tc>
        <w:tc>
          <w:tcPr>
            <w:tcW w:w="699" w:type="pct"/>
            <w:tcBorders>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5</w:t>
            </w:r>
            <w:r w:rsidRPr="00FE1E17">
              <w:rPr>
                <w:sz w:val="22"/>
                <w:szCs w:val="22"/>
              </w:rPr>
              <w:t>%</w:t>
            </w:r>
            <w:r w:rsidRPr="00FE1E17">
              <w:rPr>
                <w:rFonts w:eastAsia="DFKai-SB"/>
                <w:sz w:val="22"/>
                <w:szCs w:val="22"/>
              </w:rPr>
              <w:t xml:space="preserve"> </w:t>
            </w:r>
            <w:r w:rsidRPr="00FE1E17">
              <w:rPr>
                <w:sz w:val="22"/>
                <w:szCs w:val="22"/>
              </w:rPr>
              <w:t xml:space="preserve">vs. </w:t>
            </w:r>
            <w:r w:rsidRPr="00FE1E17">
              <w:rPr>
                <w:rFonts w:eastAsia="DFKai-SB"/>
                <w:sz w:val="22"/>
                <w:szCs w:val="22"/>
              </w:rPr>
              <w:t>95</w:t>
            </w:r>
            <w:r w:rsidRPr="00FE1E17">
              <w:rPr>
                <w:sz w:val="22"/>
                <w:szCs w:val="22"/>
              </w:rPr>
              <w:t>%</w:t>
            </w:r>
          </w:p>
        </w:tc>
        <w:tc>
          <w:tcPr>
            <w:tcW w:w="1164" w:type="pct"/>
            <w:tcBorders>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12.15 (0.0005)**</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10</w:t>
            </w:r>
            <w:r w:rsidRPr="00FE1E17">
              <w:rPr>
                <w:sz w:val="22"/>
                <w:szCs w:val="22"/>
              </w:rPr>
              <w:t>%</w:t>
            </w:r>
          </w:p>
        </w:tc>
        <w:tc>
          <w:tcPr>
            <w:tcW w:w="1033" w:type="pct"/>
            <w:tcBorders>
              <w:top w:val="nil"/>
              <w:left w:val="nil"/>
              <w:bottom w:val="nil"/>
              <w:right w:val="nil"/>
            </w:tcBorders>
            <w:shd w:val="clear" w:color="auto" w:fill="auto"/>
            <w:noWrap/>
          </w:tcPr>
          <w:p w:rsidR="00FE1E17" w:rsidRPr="00FE1E17" w:rsidRDefault="00FE1E17" w:rsidP="00583009">
            <w:pPr>
              <w:adjustRightInd w:val="0"/>
              <w:snapToGrid w:val="0"/>
              <w:spacing w:before="120"/>
              <w:jc w:val="center"/>
              <w:rPr>
                <w:sz w:val="22"/>
                <w:szCs w:val="22"/>
              </w:rPr>
            </w:pPr>
            <w:r w:rsidRPr="00FE1E17">
              <w:rPr>
                <w:kern w:val="0"/>
                <w:sz w:val="22"/>
                <w:szCs w:val="22"/>
              </w:rPr>
              <w:t>-0.347</w:t>
            </w:r>
            <w:r w:rsidRPr="00FE1E17">
              <w:rPr>
                <w:sz w:val="22"/>
                <w:szCs w:val="22"/>
              </w:rPr>
              <w:t xml:space="preserve"> (0.000)**</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90</w:t>
            </w:r>
            <w:r w:rsidRPr="00FE1E17">
              <w:rPr>
                <w:sz w:val="22"/>
                <w:szCs w:val="22"/>
              </w:rPr>
              <w:t>%</w:t>
            </w:r>
          </w:p>
        </w:tc>
        <w:tc>
          <w:tcPr>
            <w:tcW w:w="1081" w:type="pct"/>
            <w:gridSpan w:val="2"/>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kern w:val="0"/>
                <w:sz w:val="22"/>
                <w:szCs w:val="22"/>
              </w:rPr>
              <w:t>2.011</w:t>
            </w:r>
            <w:r w:rsidRPr="00FE1E17">
              <w:rPr>
                <w:sz w:val="22"/>
                <w:szCs w:val="22"/>
              </w:rPr>
              <w:t xml:space="preserve"> (0.005)**</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90</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11.01 (0.0009)**</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15</w:t>
            </w:r>
            <w:r w:rsidRPr="00FE1E17">
              <w:rPr>
                <w:sz w:val="22"/>
                <w:szCs w:val="22"/>
              </w:rPr>
              <w:t>%</w:t>
            </w:r>
          </w:p>
        </w:tc>
        <w:tc>
          <w:tcPr>
            <w:tcW w:w="1033" w:type="pct"/>
            <w:tcBorders>
              <w:top w:val="nil"/>
              <w:left w:val="nil"/>
              <w:bottom w:val="nil"/>
              <w:right w:val="nil"/>
            </w:tcBorders>
            <w:shd w:val="clear" w:color="auto" w:fill="auto"/>
            <w:noWrap/>
          </w:tcPr>
          <w:p w:rsidR="00FE1E17" w:rsidRPr="00FE1E17" w:rsidRDefault="00FE1E17" w:rsidP="00583009">
            <w:pPr>
              <w:adjustRightInd w:val="0"/>
              <w:snapToGrid w:val="0"/>
              <w:spacing w:before="120"/>
              <w:jc w:val="center"/>
              <w:rPr>
                <w:sz w:val="22"/>
                <w:szCs w:val="22"/>
              </w:rPr>
            </w:pPr>
            <w:r w:rsidRPr="00FE1E17">
              <w:rPr>
                <w:kern w:val="0"/>
                <w:sz w:val="22"/>
                <w:szCs w:val="22"/>
              </w:rPr>
              <w:t>-0.324</w:t>
            </w:r>
            <w:r w:rsidRPr="00FE1E17">
              <w:rPr>
                <w:sz w:val="22"/>
                <w:szCs w:val="22"/>
              </w:rPr>
              <w:t xml:space="preserve"> (0.000)**</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85</w:t>
            </w:r>
            <w:r w:rsidRPr="00FE1E17">
              <w:rPr>
                <w:sz w:val="22"/>
                <w:szCs w:val="22"/>
              </w:rPr>
              <w:t>%</w:t>
            </w:r>
          </w:p>
        </w:tc>
        <w:tc>
          <w:tcPr>
            <w:tcW w:w="1081" w:type="pct"/>
            <w:gridSpan w:val="2"/>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kern w:val="0"/>
                <w:sz w:val="22"/>
                <w:szCs w:val="22"/>
              </w:rPr>
              <w:t>1.021</w:t>
            </w:r>
            <w:r w:rsidRPr="00FE1E17">
              <w:rPr>
                <w:sz w:val="22"/>
                <w:szCs w:val="22"/>
              </w:rPr>
              <w:t xml:space="preserve"> (0.001)**</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85</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17.96 (0.0000)**</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-0.202</w:t>
            </w:r>
            <w:r w:rsidRPr="00FE1E17">
              <w:rPr>
                <w:sz w:val="22"/>
                <w:szCs w:val="22"/>
              </w:rPr>
              <w:t xml:space="preserve"> (0.031)*</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80</w:t>
            </w:r>
            <w:r w:rsidRPr="00FE1E17">
              <w:rPr>
                <w:sz w:val="22"/>
                <w:szCs w:val="22"/>
              </w:rPr>
              <w:t>%</w:t>
            </w:r>
          </w:p>
        </w:tc>
        <w:tc>
          <w:tcPr>
            <w:tcW w:w="1081" w:type="pct"/>
            <w:gridSpan w:val="2"/>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0.686</w:t>
            </w:r>
            <w:r w:rsidRPr="00FE1E17">
              <w:rPr>
                <w:sz w:val="22"/>
                <w:szCs w:val="22"/>
              </w:rPr>
              <w:t xml:space="preserve"> (0.000)**</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80</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16.41 (0.0001)**</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25</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-0.183</w:t>
            </w:r>
            <w:r w:rsidRPr="00FE1E17">
              <w:rPr>
                <w:sz w:val="22"/>
                <w:szCs w:val="22"/>
              </w:rPr>
              <w:t xml:space="preserve"> (0.002)**</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75</w:t>
            </w:r>
            <w:r w:rsidRPr="00FE1E17">
              <w:rPr>
                <w:sz w:val="22"/>
                <w:szCs w:val="22"/>
              </w:rPr>
              <w:t>%</w:t>
            </w:r>
          </w:p>
        </w:tc>
        <w:tc>
          <w:tcPr>
            <w:tcW w:w="1081" w:type="pct"/>
            <w:gridSpan w:val="2"/>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0.641</w:t>
            </w:r>
            <w:r w:rsidRPr="00FE1E17">
              <w:rPr>
                <w:sz w:val="22"/>
                <w:szCs w:val="22"/>
              </w:rPr>
              <w:t xml:space="preserve"> (0.000)**</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75</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24.61 (0.0000)**</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-0.142</w:t>
            </w:r>
            <w:r w:rsidRPr="00FE1E17">
              <w:rPr>
                <w:sz w:val="22"/>
                <w:szCs w:val="22"/>
              </w:rPr>
              <w:t xml:space="preserve"> (0.000)**</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70</w:t>
            </w:r>
            <w:r w:rsidRPr="00FE1E17">
              <w:rPr>
                <w:sz w:val="22"/>
                <w:szCs w:val="22"/>
              </w:rPr>
              <w:t>%</w:t>
            </w:r>
          </w:p>
        </w:tc>
        <w:tc>
          <w:tcPr>
            <w:tcW w:w="1081" w:type="pct"/>
            <w:gridSpan w:val="2"/>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0.519</w:t>
            </w:r>
            <w:r w:rsidRPr="00FE1E17">
              <w:rPr>
                <w:sz w:val="22"/>
                <w:szCs w:val="22"/>
              </w:rPr>
              <w:t xml:space="preserve"> (0.004)**</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70</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13.08 (0.0003)**</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35</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-0.141</w:t>
            </w:r>
            <w:r w:rsidRPr="00FE1E17">
              <w:rPr>
                <w:sz w:val="22"/>
                <w:szCs w:val="22"/>
              </w:rPr>
              <w:t xml:space="preserve"> (0.006)**</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65</w:t>
            </w:r>
            <w:r w:rsidRPr="00FE1E17">
              <w:rPr>
                <w:sz w:val="22"/>
                <w:szCs w:val="22"/>
              </w:rPr>
              <w:t>%</w:t>
            </w:r>
          </w:p>
        </w:tc>
        <w:tc>
          <w:tcPr>
            <w:tcW w:w="1081" w:type="pct"/>
            <w:gridSpan w:val="2"/>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0.286</w:t>
            </w:r>
            <w:r w:rsidRPr="00FE1E17">
              <w:rPr>
                <w:sz w:val="22"/>
                <w:szCs w:val="22"/>
              </w:rPr>
              <w:t xml:space="preserve"> (0.054)</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65</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7.97 (0.0048)**</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-0.089</w:t>
            </w:r>
            <w:r w:rsidRPr="00FE1E17">
              <w:rPr>
                <w:sz w:val="22"/>
                <w:szCs w:val="22"/>
              </w:rPr>
              <w:t xml:space="preserve"> (0.063)</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60</w:t>
            </w:r>
            <w:r w:rsidRPr="00FE1E17">
              <w:rPr>
                <w:sz w:val="22"/>
                <w:szCs w:val="22"/>
              </w:rPr>
              <w:t>%</w:t>
            </w:r>
          </w:p>
        </w:tc>
        <w:tc>
          <w:tcPr>
            <w:tcW w:w="1081" w:type="pct"/>
            <w:gridSpan w:val="2"/>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0.224</w:t>
            </w:r>
            <w:r w:rsidRPr="00FE1E17">
              <w:rPr>
                <w:sz w:val="22"/>
                <w:szCs w:val="22"/>
              </w:rPr>
              <w:t xml:space="preserve"> (0.126)</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60</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4.44 (0.0352)*</w:t>
            </w:r>
          </w:p>
        </w:tc>
      </w:tr>
      <w:tr w:rsidR="00FE1E17" w:rsidRPr="00FE1E17" w:rsidTr="00583009">
        <w:trPr>
          <w:trHeight w:val="397"/>
        </w:trPr>
        <w:tc>
          <w:tcPr>
            <w:tcW w:w="514"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45</w:t>
            </w:r>
            <w:r w:rsidRPr="00FE1E17">
              <w:rPr>
                <w:sz w:val="22"/>
                <w:szCs w:val="22"/>
              </w:rPr>
              <w:t>%</w:t>
            </w:r>
          </w:p>
        </w:tc>
        <w:tc>
          <w:tcPr>
            <w:tcW w:w="1033"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-0.077</w:t>
            </w:r>
            <w:r w:rsidRPr="00FE1E17">
              <w:rPr>
                <w:sz w:val="22"/>
                <w:szCs w:val="22"/>
              </w:rPr>
              <w:t xml:space="preserve"> (0.172)</w:t>
            </w:r>
          </w:p>
        </w:tc>
        <w:tc>
          <w:tcPr>
            <w:tcW w:w="509"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55</w:t>
            </w:r>
            <w:r w:rsidRPr="00FE1E17">
              <w:rPr>
                <w:sz w:val="22"/>
                <w:szCs w:val="22"/>
              </w:rPr>
              <w:t>%</w:t>
            </w:r>
          </w:p>
        </w:tc>
        <w:tc>
          <w:tcPr>
            <w:tcW w:w="1081" w:type="pct"/>
            <w:gridSpan w:val="2"/>
            <w:tcBorders>
              <w:top w:val="nil"/>
              <w:left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0.079</w:t>
            </w:r>
            <w:r w:rsidRPr="00FE1E17">
              <w:rPr>
                <w:sz w:val="22"/>
                <w:szCs w:val="22"/>
              </w:rPr>
              <w:t xml:space="preserve"> (0.499)</w:t>
            </w:r>
          </w:p>
        </w:tc>
        <w:tc>
          <w:tcPr>
            <w:tcW w:w="699" w:type="pct"/>
            <w:tcBorders>
              <w:top w:val="nil"/>
              <w:left w:val="single" w:sz="12" w:space="0" w:color="auto"/>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55</w:t>
            </w:r>
            <w:r w:rsidRPr="00FE1E17">
              <w:rPr>
                <w:sz w:val="22"/>
                <w:szCs w:val="22"/>
              </w:rPr>
              <w:t>%</w:t>
            </w:r>
          </w:p>
        </w:tc>
        <w:tc>
          <w:tcPr>
            <w:tcW w:w="1164"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3.03 (0.0816)</w:t>
            </w:r>
          </w:p>
        </w:tc>
      </w:tr>
      <w:tr w:rsidR="00FE1E17" w:rsidRPr="00FE1E17" w:rsidTr="00583009">
        <w:trPr>
          <w:trHeight w:val="397"/>
        </w:trPr>
        <w:tc>
          <w:tcPr>
            <w:tcW w:w="514"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b/>
                <w:sz w:val="22"/>
                <w:szCs w:val="22"/>
              </w:rPr>
            </w:pPr>
            <w:r w:rsidRPr="00FE1E17">
              <w:rPr>
                <w:rFonts w:eastAsia="DFKai-SB"/>
                <w:b/>
                <w:sz w:val="22"/>
                <w:szCs w:val="22"/>
              </w:rPr>
              <w:t>50</w:t>
            </w:r>
            <w:r w:rsidRPr="00FE1E17">
              <w:rPr>
                <w:b/>
                <w:sz w:val="22"/>
                <w:szCs w:val="22"/>
              </w:rPr>
              <w:t>%</w:t>
            </w:r>
          </w:p>
        </w:tc>
        <w:tc>
          <w:tcPr>
            <w:tcW w:w="1033"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-0.053</w:t>
            </w:r>
            <w:r w:rsidRPr="00FE1E17">
              <w:rPr>
                <w:sz w:val="22"/>
                <w:szCs w:val="22"/>
              </w:rPr>
              <w:t xml:space="preserve"> (0.627)</w:t>
            </w:r>
          </w:p>
        </w:tc>
        <w:tc>
          <w:tcPr>
            <w:tcW w:w="509"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rFonts w:eastAsia="DFKai-SB"/>
                <w:b/>
                <w:sz w:val="22"/>
                <w:szCs w:val="22"/>
              </w:rPr>
            </w:pPr>
            <w:r w:rsidRPr="00FE1E17">
              <w:rPr>
                <w:rFonts w:eastAsia="DFKai-SB"/>
                <w:b/>
                <w:sz w:val="22"/>
                <w:szCs w:val="22"/>
              </w:rPr>
              <w:t>OLS</w:t>
            </w:r>
          </w:p>
        </w:tc>
        <w:tc>
          <w:tcPr>
            <w:tcW w:w="1081" w:type="pct"/>
            <w:gridSpan w:val="2"/>
            <w:tcBorders>
              <w:top w:val="nil"/>
              <w:left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0.458 (0.000)**</w:t>
            </w:r>
          </w:p>
        </w:tc>
        <w:tc>
          <w:tcPr>
            <w:tcW w:w="699" w:type="pct"/>
            <w:tcBorders>
              <w:top w:val="nil"/>
              <w:left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c>
          <w:tcPr>
            <w:tcW w:w="1164"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r>
      <w:tr w:rsidR="00FE1E17" w:rsidRPr="00FE1E17" w:rsidTr="00583009">
        <w:trPr>
          <w:trHeight w:val="397"/>
        </w:trPr>
        <w:tc>
          <w:tcPr>
            <w:tcW w:w="3137" w:type="pct"/>
            <w:gridSpan w:val="5"/>
            <w:tcBorders>
              <w:left w:val="nil"/>
              <w:right w:val="single" w:sz="12" w:space="0" w:color="auto"/>
            </w:tcBorders>
            <w:shd w:val="clear" w:color="auto" w:fill="auto"/>
            <w:noWrap/>
            <w:vAlign w:val="center"/>
          </w:tcPr>
          <w:p w:rsidR="00FE1E17" w:rsidRPr="00FE1E17" w:rsidRDefault="00FE1E17" w:rsidP="00583009">
            <w:pPr>
              <w:adjustRightInd w:val="0"/>
              <w:snapToGrid w:val="0"/>
              <w:rPr>
                <w:rFonts w:eastAsia="DFKai-SB"/>
                <w:b/>
                <w:i/>
                <w:sz w:val="22"/>
                <w:szCs w:val="22"/>
              </w:rPr>
            </w:pPr>
            <w:r w:rsidRPr="00FE1E17">
              <w:rPr>
                <w:rFonts w:eastAsia="DFKai-SB"/>
                <w:b/>
                <w:i/>
                <w:sz w:val="22"/>
                <w:szCs w:val="22"/>
              </w:rPr>
              <w:t>Panel B: Downward earnings manipulation (Negative DA)</w:t>
            </w:r>
          </w:p>
        </w:tc>
        <w:tc>
          <w:tcPr>
            <w:tcW w:w="699" w:type="pct"/>
            <w:tcBorders>
              <w:left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c>
          <w:tcPr>
            <w:tcW w:w="1164" w:type="pct"/>
            <w:tcBorders>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r>
      <w:tr w:rsidR="00FE1E17" w:rsidRPr="00FE1E17" w:rsidTr="00583009">
        <w:trPr>
          <w:trHeight w:val="397"/>
        </w:trPr>
        <w:tc>
          <w:tcPr>
            <w:tcW w:w="514" w:type="pct"/>
            <w:tcBorders>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5</w:t>
            </w:r>
            <w:r w:rsidRPr="00FE1E17">
              <w:rPr>
                <w:sz w:val="22"/>
                <w:szCs w:val="22"/>
              </w:rPr>
              <w:t>%</w:t>
            </w:r>
          </w:p>
        </w:tc>
        <w:tc>
          <w:tcPr>
            <w:tcW w:w="1033" w:type="pct"/>
            <w:tcBorders>
              <w:left w:val="nil"/>
              <w:bottom w:val="nil"/>
              <w:right w:val="nil"/>
            </w:tcBorders>
            <w:shd w:val="clear" w:color="auto" w:fill="auto"/>
            <w:noWrap/>
          </w:tcPr>
          <w:p w:rsidR="00FE1E17" w:rsidRPr="00FE1E17" w:rsidRDefault="00FE1E17" w:rsidP="00583009">
            <w:pPr>
              <w:adjustRightInd w:val="0"/>
              <w:snapToGrid w:val="0"/>
              <w:spacing w:before="120"/>
              <w:jc w:val="center"/>
              <w:rPr>
                <w:sz w:val="22"/>
                <w:szCs w:val="22"/>
              </w:rPr>
            </w:pPr>
            <w:r w:rsidRPr="00FE1E17">
              <w:rPr>
                <w:kern w:val="0"/>
                <w:sz w:val="22"/>
                <w:szCs w:val="22"/>
              </w:rPr>
              <w:t>-0.756</w:t>
            </w:r>
            <w:r w:rsidRPr="00FE1E17">
              <w:rPr>
                <w:sz w:val="22"/>
                <w:szCs w:val="22"/>
              </w:rPr>
              <w:t xml:space="preserve"> (0.000)**</w:t>
            </w:r>
          </w:p>
        </w:tc>
        <w:tc>
          <w:tcPr>
            <w:tcW w:w="513" w:type="pct"/>
            <w:gridSpan w:val="2"/>
            <w:tcBorders>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95</w:t>
            </w:r>
            <w:r w:rsidRPr="00FE1E17">
              <w:rPr>
                <w:sz w:val="22"/>
                <w:szCs w:val="22"/>
              </w:rPr>
              <w:t>%</w:t>
            </w:r>
          </w:p>
        </w:tc>
        <w:tc>
          <w:tcPr>
            <w:tcW w:w="1077" w:type="pct"/>
            <w:tcBorders>
              <w:left w:val="nil"/>
              <w:bottom w:val="nil"/>
              <w:right w:val="single" w:sz="12" w:space="0" w:color="auto"/>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kern w:val="0"/>
                <w:sz w:val="22"/>
                <w:szCs w:val="22"/>
              </w:rPr>
              <w:t>1.349</w:t>
            </w:r>
            <w:r w:rsidRPr="00FE1E17">
              <w:rPr>
                <w:sz w:val="22"/>
                <w:szCs w:val="22"/>
              </w:rPr>
              <w:t xml:space="preserve"> (0.023)*</w:t>
            </w:r>
          </w:p>
        </w:tc>
        <w:tc>
          <w:tcPr>
            <w:tcW w:w="699" w:type="pct"/>
            <w:tcBorders>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5</w:t>
            </w:r>
            <w:r w:rsidRPr="00FE1E17">
              <w:rPr>
                <w:sz w:val="22"/>
                <w:szCs w:val="22"/>
              </w:rPr>
              <w:t>%</w:t>
            </w:r>
            <w:r w:rsidRPr="00FE1E17">
              <w:rPr>
                <w:rFonts w:eastAsia="DFKai-SB"/>
                <w:sz w:val="22"/>
                <w:szCs w:val="22"/>
              </w:rPr>
              <w:t xml:space="preserve"> </w:t>
            </w:r>
            <w:r w:rsidRPr="00FE1E17">
              <w:rPr>
                <w:sz w:val="22"/>
                <w:szCs w:val="22"/>
              </w:rPr>
              <w:t xml:space="preserve">vs. </w:t>
            </w:r>
            <w:r w:rsidRPr="00FE1E17">
              <w:rPr>
                <w:rFonts w:eastAsia="DFKai-SB"/>
                <w:sz w:val="22"/>
                <w:szCs w:val="22"/>
              </w:rPr>
              <w:t>95</w:t>
            </w:r>
            <w:r w:rsidRPr="00FE1E17">
              <w:rPr>
                <w:sz w:val="22"/>
                <w:szCs w:val="22"/>
              </w:rPr>
              <w:t>%</w:t>
            </w:r>
          </w:p>
        </w:tc>
        <w:tc>
          <w:tcPr>
            <w:tcW w:w="1164" w:type="pct"/>
            <w:tcBorders>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11.92 (0.0006)**</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10</w:t>
            </w:r>
            <w:r w:rsidRPr="00FE1E17">
              <w:rPr>
                <w:sz w:val="22"/>
                <w:szCs w:val="22"/>
              </w:rPr>
              <w:t>%</w:t>
            </w:r>
          </w:p>
        </w:tc>
        <w:tc>
          <w:tcPr>
            <w:tcW w:w="1033" w:type="pct"/>
            <w:tcBorders>
              <w:top w:val="nil"/>
              <w:left w:val="nil"/>
              <w:bottom w:val="nil"/>
              <w:right w:val="nil"/>
            </w:tcBorders>
            <w:shd w:val="clear" w:color="auto" w:fill="auto"/>
            <w:noWrap/>
          </w:tcPr>
          <w:p w:rsidR="00FE1E17" w:rsidRPr="00FE1E17" w:rsidRDefault="00FE1E17" w:rsidP="00583009">
            <w:pPr>
              <w:adjustRightInd w:val="0"/>
              <w:snapToGrid w:val="0"/>
              <w:spacing w:before="120"/>
              <w:jc w:val="center"/>
              <w:rPr>
                <w:sz w:val="22"/>
                <w:szCs w:val="22"/>
              </w:rPr>
            </w:pPr>
            <w:r w:rsidRPr="00FE1E17">
              <w:rPr>
                <w:kern w:val="0"/>
                <w:sz w:val="22"/>
                <w:szCs w:val="22"/>
              </w:rPr>
              <w:t>-0.735</w:t>
            </w:r>
            <w:r w:rsidRPr="00FE1E17">
              <w:rPr>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90</w:t>
            </w:r>
            <w:r w:rsidRPr="00FE1E17">
              <w:rPr>
                <w:sz w:val="22"/>
                <w:szCs w:val="22"/>
              </w:rPr>
              <w:t>%</w:t>
            </w:r>
          </w:p>
        </w:tc>
        <w:tc>
          <w:tcPr>
            <w:tcW w:w="1077"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kern w:val="0"/>
                <w:sz w:val="22"/>
                <w:szCs w:val="22"/>
              </w:rPr>
              <w:t>0.586</w:t>
            </w:r>
            <w:r w:rsidRPr="00FE1E17">
              <w:rPr>
                <w:sz w:val="22"/>
                <w:szCs w:val="22"/>
              </w:rPr>
              <w:t xml:space="preserve"> (0.062)</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90</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17.58 (0.0000)**</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15</w:t>
            </w:r>
            <w:r w:rsidRPr="00FE1E17">
              <w:rPr>
                <w:sz w:val="22"/>
                <w:szCs w:val="22"/>
              </w:rPr>
              <w:t>%</w:t>
            </w:r>
          </w:p>
        </w:tc>
        <w:tc>
          <w:tcPr>
            <w:tcW w:w="1033" w:type="pct"/>
            <w:tcBorders>
              <w:top w:val="nil"/>
              <w:left w:val="nil"/>
              <w:bottom w:val="nil"/>
              <w:right w:val="nil"/>
            </w:tcBorders>
            <w:shd w:val="clear" w:color="auto" w:fill="auto"/>
            <w:noWrap/>
          </w:tcPr>
          <w:p w:rsidR="00FE1E17" w:rsidRPr="00FE1E17" w:rsidRDefault="00FE1E17" w:rsidP="00583009">
            <w:pPr>
              <w:adjustRightInd w:val="0"/>
              <w:snapToGrid w:val="0"/>
              <w:spacing w:before="120"/>
              <w:jc w:val="center"/>
              <w:rPr>
                <w:sz w:val="22"/>
                <w:szCs w:val="22"/>
              </w:rPr>
            </w:pPr>
            <w:r w:rsidRPr="00FE1E17">
              <w:rPr>
                <w:kern w:val="0"/>
                <w:sz w:val="22"/>
                <w:szCs w:val="22"/>
              </w:rPr>
              <w:t>-0.725</w:t>
            </w:r>
            <w:r w:rsidRPr="00FE1E17">
              <w:rPr>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85</w:t>
            </w:r>
            <w:r w:rsidRPr="00FE1E17">
              <w:rPr>
                <w:sz w:val="22"/>
                <w:szCs w:val="22"/>
              </w:rPr>
              <w:t>%</w:t>
            </w:r>
          </w:p>
        </w:tc>
        <w:tc>
          <w:tcPr>
            <w:tcW w:w="1077"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kern w:val="0"/>
                <w:sz w:val="22"/>
                <w:szCs w:val="22"/>
              </w:rPr>
              <w:t>0.154</w:t>
            </w:r>
            <w:r w:rsidRPr="00FE1E17">
              <w:rPr>
                <w:sz w:val="22"/>
                <w:szCs w:val="22"/>
              </w:rPr>
              <w:t xml:space="preserve"> (0.349)</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85</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24.03 (0.0000)**</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-0.717</w:t>
            </w:r>
            <w:r w:rsidRPr="00FE1E17">
              <w:rPr>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80</w:t>
            </w:r>
            <w:r w:rsidRPr="00FE1E17">
              <w:rPr>
                <w:sz w:val="22"/>
                <w:szCs w:val="22"/>
              </w:rPr>
              <w:t>%</w:t>
            </w:r>
          </w:p>
        </w:tc>
        <w:tc>
          <w:tcPr>
            <w:tcW w:w="1077"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-0.034</w:t>
            </w:r>
            <w:r w:rsidRPr="00FE1E17">
              <w:rPr>
                <w:sz w:val="22"/>
                <w:szCs w:val="22"/>
              </w:rPr>
              <w:t xml:space="preserve"> (0.809)</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80</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21.86 (0.0000)**</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25</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-0.677</w:t>
            </w:r>
            <w:r w:rsidRPr="00FE1E17">
              <w:rPr>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75</w:t>
            </w:r>
            <w:r w:rsidRPr="00FE1E17">
              <w:rPr>
                <w:sz w:val="22"/>
                <w:szCs w:val="22"/>
              </w:rPr>
              <w:t>%</w:t>
            </w:r>
          </w:p>
        </w:tc>
        <w:tc>
          <w:tcPr>
            <w:tcW w:w="1077"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-0.225</w:t>
            </w:r>
            <w:r w:rsidRPr="00FE1E17">
              <w:rPr>
                <w:sz w:val="22"/>
                <w:szCs w:val="22"/>
              </w:rPr>
              <w:t xml:space="preserve"> (0.035)*</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75</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19.96 (0.0000)**</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-0.610</w:t>
            </w:r>
            <w:r w:rsidRPr="00FE1E17">
              <w:rPr>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70</w:t>
            </w:r>
            <w:r w:rsidRPr="00FE1E17">
              <w:rPr>
                <w:sz w:val="22"/>
                <w:szCs w:val="22"/>
              </w:rPr>
              <w:t>%</w:t>
            </w:r>
          </w:p>
        </w:tc>
        <w:tc>
          <w:tcPr>
            <w:tcW w:w="1077"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-0.265</w:t>
            </w:r>
            <w:r w:rsidRPr="00FE1E17">
              <w:rPr>
                <w:sz w:val="22"/>
                <w:szCs w:val="22"/>
              </w:rPr>
              <w:t xml:space="preserve"> (0.000)**</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70</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23.57 (0.0000)**</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35</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-0.558</w:t>
            </w:r>
            <w:r w:rsidRPr="00FE1E17">
              <w:rPr>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65</w:t>
            </w:r>
            <w:r w:rsidRPr="00FE1E17">
              <w:rPr>
                <w:sz w:val="22"/>
                <w:szCs w:val="22"/>
              </w:rPr>
              <w:t>%</w:t>
            </w:r>
          </w:p>
        </w:tc>
        <w:tc>
          <w:tcPr>
            <w:tcW w:w="1077"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-0.304</w:t>
            </w:r>
            <w:r w:rsidRPr="00FE1E17">
              <w:rPr>
                <w:sz w:val="22"/>
                <w:szCs w:val="22"/>
              </w:rPr>
              <w:t xml:space="preserve"> (0.000)**</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65</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14.43 (0.0001)**</w:t>
            </w:r>
          </w:p>
        </w:tc>
      </w:tr>
      <w:tr w:rsidR="00FE1E17" w:rsidRPr="00FE1E17" w:rsidTr="00583009">
        <w:trPr>
          <w:trHeight w:val="397"/>
        </w:trPr>
        <w:tc>
          <w:tcPr>
            <w:tcW w:w="51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-0.505</w:t>
            </w:r>
            <w:r w:rsidRPr="00FE1E17">
              <w:rPr>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60</w:t>
            </w:r>
            <w:r w:rsidRPr="00FE1E17">
              <w:rPr>
                <w:sz w:val="22"/>
                <w:szCs w:val="22"/>
              </w:rPr>
              <w:t>%</w:t>
            </w:r>
          </w:p>
        </w:tc>
        <w:tc>
          <w:tcPr>
            <w:tcW w:w="1077" w:type="pct"/>
            <w:tcBorders>
              <w:top w:val="nil"/>
              <w:left w:val="nil"/>
              <w:bottom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-0.341</w:t>
            </w:r>
            <w:r w:rsidRPr="00FE1E17">
              <w:rPr>
                <w:sz w:val="22"/>
                <w:szCs w:val="22"/>
              </w:rPr>
              <w:t xml:space="preserve"> (0.000)**</w:t>
            </w:r>
          </w:p>
        </w:tc>
        <w:tc>
          <w:tcPr>
            <w:tcW w:w="699"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60</w:t>
            </w:r>
            <w:r w:rsidRPr="00FE1E17">
              <w:rPr>
                <w:sz w:val="22"/>
                <w:szCs w:val="22"/>
              </w:rPr>
              <w:t>%</w:t>
            </w:r>
          </w:p>
        </w:tc>
        <w:tc>
          <w:tcPr>
            <w:tcW w:w="1164"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11.83 (0.0006)**</w:t>
            </w:r>
          </w:p>
        </w:tc>
      </w:tr>
      <w:tr w:rsidR="00FE1E17" w:rsidRPr="00FE1E17" w:rsidTr="00583009">
        <w:trPr>
          <w:trHeight w:val="397"/>
        </w:trPr>
        <w:tc>
          <w:tcPr>
            <w:tcW w:w="514"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45</w:t>
            </w:r>
            <w:r w:rsidRPr="00FE1E17">
              <w:rPr>
                <w:sz w:val="22"/>
                <w:szCs w:val="22"/>
              </w:rPr>
              <w:t>%</w:t>
            </w:r>
          </w:p>
        </w:tc>
        <w:tc>
          <w:tcPr>
            <w:tcW w:w="1033"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-0.457</w:t>
            </w:r>
            <w:r w:rsidRPr="00FE1E17">
              <w:rPr>
                <w:sz w:val="22"/>
                <w:szCs w:val="22"/>
              </w:rPr>
              <w:t xml:space="preserve"> (0.000)**</w:t>
            </w:r>
          </w:p>
        </w:tc>
        <w:tc>
          <w:tcPr>
            <w:tcW w:w="513" w:type="pct"/>
            <w:gridSpan w:val="2"/>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55</w:t>
            </w:r>
            <w:r w:rsidRPr="00FE1E17">
              <w:rPr>
                <w:sz w:val="22"/>
                <w:szCs w:val="22"/>
              </w:rPr>
              <w:t>%</w:t>
            </w:r>
          </w:p>
        </w:tc>
        <w:tc>
          <w:tcPr>
            <w:tcW w:w="1077" w:type="pct"/>
            <w:tcBorders>
              <w:top w:val="nil"/>
              <w:left w:val="nil"/>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-0.378</w:t>
            </w:r>
            <w:r w:rsidRPr="00FE1E17">
              <w:rPr>
                <w:sz w:val="22"/>
                <w:szCs w:val="22"/>
              </w:rPr>
              <w:t xml:space="preserve"> (0.000)**</w:t>
            </w:r>
          </w:p>
        </w:tc>
        <w:tc>
          <w:tcPr>
            <w:tcW w:w="699" w:type="pct"/>
            <w:tcBorders>
              <w:top w:val="nil"/>
              <w:left w:val="single" w:sz="12" w:space="0" w:color="auto"/>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55</w:t>
            </w:r>
            <w:r w:rsidRPr="00FE1E17">
              <w:rPr>
                <w:sz w:val="22"/>
                <w:szCs w:val="22"/>
              </w:rPr>
              <w:t>%</w:t>
            </w:r>
          </w:p>
        </w:tc>
        <w:tc>
          <w:tcPr>
            <w:tcW w:w="1164"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8.71 (0.0032)**</w:t>
            </w:r>
          </w:p>
        </w:tc>
      </w:tr>
      <w:tr w:rsidR="00FE1E17" w:rsidRPr="00FE1E17" w:rsidTr="00583009">
        <w:trPr>
          <w:trHeight w:val="397"/>
        </w:trPr>
        <w:tc>
          <w:tcPr>
            <w:tcW w:w="514"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b/>
                <w:sz w:val="22"/>
                <w:szCs w:val="22"/>
              </w:rPr>
            </w:pPr>
            <w:r w:rsidRPr="00FE1E17">
              <w:rPr>
                <w:rFonts w:eastAsia="DFKai-SB"/>
                <w:b/>
                <w:sz w:val="22"/>
                <w:szCs w:val="22"/>
              </w:rPr>
              <w:t>50</w:t>
            </w:r>
            <w:r w:rsidRPr="00FE1E17">
              <w:rPr>
                <w:b/>
                <w:sz w:val="22"/>
                <w:szCs w:val="22"/>
              </w:rPr>
              <w:t>%</w:t>
            </w:r>
          </w:p>
        </w:tc>
        <w:tc>
          <w:tcPr>
            <w:tcW w:w="1033"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kern w:val="0"/>
                <w:sz w:val="22"/>
                <w:szCs w:val="22"/>
              </w:rPr>
              <w:t>-0.416</w:t>
            </w:r>
            <w:r w:rsidRPr="00FE1E17">
              <w:rPr>
                <w:sz w:val="22"/>
                <w:szCs w:val="22"/>
              </w:rPr>
              <w:t xml:space="preserve"> (0.000)**</w:t>
            </w:r>
          </w:p>
        </w:tc>
        <w:tc>
          <w:tcPr>
            <w:tcW w:w="513" w:type="pct"/>
            <w:gridSpan w:val="2"/>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b/>
                <w:sz w:val="22"/>
                <w:szCs w:val="22"/>
              </w:rPr>
            </w:pPr>
            <w:r w:rsidRPr="00FE1E17">
              <w:rPr>
                <w:rFonts w:eastAsia="DFKai-SB"/>
                <w:b/>
                <w:sz w:val="22"/>
                <w:szCs w:val="22"/>
              </w:rPr>
              <w:t>OLS</w:t>
            </w:r>
          </w:p>
        </w:tc>
        <w:tc>
          <w:tcPr>
            <w:tcW w:w="1077" w:type="pct"/>
            <w:tcBorders>
              <w:top w:val="nil"/>
              <w:left w:val="nil"/>
              <w:bottom w:val="single" w:sz="12" w:space="0" w:color="auto"/>
              <w:right w:val="single" w:sz="12" w:space="0" w:color="auto"/>
            </w:tcBorders>
            <w:shd w:val="clear" w:color="auto" w:fill="auto"/>
            <w:noWrap/>
            <w:vAlign w:val="center"/>
          </w:tcPr>
          <w:p w:rsidR="00FE1E17" w:rsidRPr="00FE1E17" w:rsidRDefault="00FE1E17" w:rsidP="00583009">
            <w:pPr>
              <w:adjustRightInd w:val="0"/>
              <w:snapToGrid w:val="0"/>
              <w:jc w:val="center"/>
              <w:rPr>
                <w:sz w:val="22"/>
                <w:szCs w:val="22"/>
              </w:rPr>
            </w:pPr>
            <w:r w:rsidRPr="00FE1E17">
              <w:rPr>
                <w:sz w:val="22"/>
                <w:szCs w:val="22"/>
              </w:rPr>
              <w:t>-0.107 (0.174)</w:t>
            </w:r>
          </w:p>
        </w:tc>
        <w:tc>
          <w:tcPr>
            <w:tcW w:w="699" w:type="pct"/>
            <w:tcBorders>
              <w:top w:val="nil"/>
              <w:left w:val="single" w:sz="12" w:space="0" w:color="auto"/>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 xml:space="preserve">　</w:t>
            </w:r>
          </w:p>
        </w:tc>
        <w:tc>
          <w:tcPr>
            <w:tcW w:w="1164"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r>
    </w:tbl>
    <w:p w:rsidR="00A5381D" w:rsidRDefault="00A5381D" w:rsidP="00FE1E17">
      <w:pPr>
        <w:adjustRightInd w:val="0"/>
        <w:snapToGrid w:val="0"/>
        <w:spacing w:before="120"/>
        <w:rPr>
          <w:i/>
          <w:sz w:val="22"/>
          <w:szCs w:val="22"/>
        </w:rPr>
      </w:pPr>
      <w:r>
        <w:rPr>
          <w:i/>
          <w:sz w:val="22"/>
          <w:szCs w:val="22"/>
        </w:rPr>
        <w:t>Note</w:t>
      </w:r>
    </w:p>
    <w:p w:rsidR="00FE1E17" w:rsidRPr="00A5381D" w:rsidRDefault="00FE1E17" w:rsidP="00A5381D">
      <w:pPr>
        <w:adjustRightInd w:val="0"/>
        <w:snapToGrid w:val="0"/>
        <w:rPr>
          <w:i/>
          <w:sz w:val="22"/>
          <w:szCs w:val="22"/>
        </w:rPr>
      </w:pPr>
      <w:r w:rsidRPr="00FE1E17">
        <w:rPr>
          <w:sz w:val="22"/>
          <w:szCs w:val="22"/>
        </w:rPr>
        <w:t>The ** and * denote a 1% and a 5% level of significance, respectively.</w:t>
      </w:r>
    </w:p>
    <w:p w:rsidR="003B49C5" w:rsidRDefault="003B49C5" w:rsidP="00A5381D">
      <w:pPr>
        <w:snapToGrid w:val="0"/>
        <w:jc w:val="center"/>
        <w:rPr>
          <w:rFonts w:eastAsia="DFKai-SB"/>
          <w:b/>
          <w:sz w:val="22"/>
          <w:szCs w:val="22"/>
        </w:rPr>
      </w:pPr>
    </w:p>
    <w:p w:rsidR="00FE0B8A" w:rsidRDefault="00FE0B8A">
      <w:pPr>
        <w:widowControl/>
        <w:spacing w:after="160" w:line="259" w:lineRule="auto"/>
        <w:rPr>
          <w:rFonts w:eastAsia="DFKai-SB"/>
          <w:b/>
          <w:sz w:val="22"/>
          <w:szCs w:val="22"/>
        </w:rPr>
      </w:pPr>
      <w:bookmarkStart w:id="8" w:name="_Toc359094852"/>
      <w:r>
        <w:rPr>
          <w:rFonts w:eastAsia="DFKai-SB"/>
          <w:b/>
          <w:sz w:val="22"/>
          <w:szCs w:val="22"/>
        </w:rPr>
        <w:br w:type="page"/>
      </w:r>
    </w:p>
    <w:p w:rsidR="003B49C5" w:rsidRPr="00993909" w:rsidRDefault="003B49C5" w:rsidP="003B49C5">
      <w:pPr>
        <w:snapToGrid w:val="0"/>
        <w:spacing w:line="0" w:lineRule="atLeast"/>
        <w:jc w:val="center"/>
        <w:rPr>
          <w:rFonts w:eastAsia="DFKai-SB"/>
          <w:b/>
          <w:sz w:val="22"/>
          <w:szCs w:val="22"/>
        </w:rPr>
      </w:pPr>
      <w:r w:rsidRPr="00993909">
        <w:rPr>
          <w:rFonts w:eastAsia="DFKai-SB"/>
          <w:b/>
          <w:sz w:val="22"/>
          <w:szCs w:val="22"/>
        </w:rPr>
        <w:lastRenderedPageBreak/>
        <w:t>Figure 7</w:t>
      </w:r>
      <w:r w:rsidR="00FE0B8A">
        <w:rPr>
          <w:rFonts w:eastAsia="DFKai-SB"/>
          <w:b/>
          <w:sz w:val="22"/>
          <w:szCs w:val="22"/>
        </w:rPr>
        <w:t xml:space="preserve">: </w:t>
      </w:r>
      <w:r w:rsidR="0015071E">
        <w:rPr>
          <w:rFonts w:eastAsia="DFKai-SB"/>
          <w:b/>
          <w:sz w:val="22"/>
          <w:szCs w:val="22"/>
        </w:rPr>
        <w:t>The QR and OLS E</w:t>
      </w:r>
      <w:r w:rsidRPr="00993909">
        <w:rPr>
          <w:rFonts w:eastAsia="DFKai-SB"/>
          <w:b/>
          <w:sz w:val="22"/>
          <w:szCs w:val="22"/>
        </w:rPr>
        <w:t>stimates of</w:t>
      </w:r>
      <w:r w:rsidRPr="00993909">
        <w:rPr>
          <w:rFonts w:eastAsia="DFKai-SB"/>
          <w:b/>
          <w:i/>
          <w:sz w:val="22"/>
          <w:szCs w:val="22"/>
        </w:rPr>
        <w:t xml:space="preserve"> |DA|</w:t>
      </w:r>
      <w:r w:rsidR="0015071E">
        <w:rPr>
          <w:b/>
          <w:sz w:val="22"/>
          <w:szCs w:val="22"/>
        </w:rPr>
        <w:t xml:space="preserve"> Across Various Q</w:t>
      </w:r>
      <w:r w:rsidRPr="00993909">
        <w:rPr>
          <w:b/>
          <w:sz w:val="22"/>
          <w:szCs w:val="22"/>
        </w:rPr>
        <w:t>uantiles</w:t>
      </w:r>
      <w:r w:rsidR="0015071E">
        <w:rPr>
          <w:rFonts w:eastAsia="DFKai-SB"/>
          <w:b/>
          <w:sz w:val="22"/>
          <w:szCs w:val="22"/>
        </w:rPr>
        <w:t xml:space="preserve"> of Stock R</w:t>
      </w:r>
      <w:r w:rsidRPr="00993909">
        <w:rPr>
          <w:rFonts w:eastAsia="DFKai-SB"/>
          <w:b/>
          <w:sz w:val="22"/>
          <w:szCs w:val="22"/>
        </w:rPr>
        <w:t>eturns</w:t>
      </w:r>
      <w:r w:rsidRPr="00993909">
        <w:rPr>
          <w:rFonts w:eastAsia="DFKai-SB" w:hint="eastAsia"/>
          <w:b/>
          <w:sz w:val="22"/>
          <w:szCs w:val="22"/>
        </w:rPr>
        <w:t>:</w:t>
      </w:r>
      <w:r w:rsidRPr="00993909">
        <w:rPr>
          <w:rFonts w:eastAsia="DFKai-SB"/>
          <w:b/>
          <w:sz w:val="22"/>
          <w:szCs w:val="22"/>
        </w:rPr>
        <w:t xml:space="preserve"> </w:t>
      </w:r>
      <w:bookmarkEnd w:id="8"/>
    </w:p>
    <w:p w:rsidR="003B49C5" w:rsidRPr="00993909" w:rsidRDefault="0015071E" w:rsidP="003B49C5">
      <w:pPr>
        <w:snapToGrid w:val="0"/>
        <w:spacing w:line="0" w:lineRule="atLeast"/>
        <w:jc w:val="center"/>
        <w:rPr>
          <w:rFonts w:eastAsia="DFKai-SB"/>
          <w:b/>
          <w:sz w:val="22"/>
          <w:szCs w:val="22"/>
        </w:rPr>
      </w:pPr>
      <w:r>
        <w:rPr>
          <w:rFonts w:eastAsia="DFKai-SB"/>
          <w:b/>
          <w:sz w:val="22"/>
          <w:szCs w:val="22"/>
        </w:rPr>
        <w:t>Upward versus Downward Earnings M</w:t>
      </w:r>
      <w:r w:rsidR="003B49C5" w:rsidRPr="00993909">
        <w:rPr>
          <w:rFonts w:eastAsia="DFKai-SB"/>
          <w:b/>
          <w:sz w:val="22"/>
          <w:szCs w:val="22"/>
        </w:rPr>
        <w:t>anipulation</w:t>
      </w:r>
    </w:p>
    <w:p w:rsidR="003B49C5" w:rsidRPr="00993909" w:rsidRDefault="003B49C5" w:rsidP="003B49C5">
      <w:pPr>
        <w:snapToGrid w:val="0"/>
        <w:spacing w:line="0" w:lineRule="atLeast"/>
        <w:jc w:val="center"/>
        <w:rPr>
          <w:sz w:val="22"/>
          <w:szCs w:val="22"/>
        </w:rPr>
      </w:pPr>
    </w:p>
    <w:p w:rsidR="003B49C5" w:rsidRPr="00993909" w:rsidRDefault="003B49C5" w:rsidP="003B49C5">
      <w:pPr>
        <w:snapToGrid w:val="0"/>
        <w:spacing w:line="0" w:lineRule="atLeast"/>
        <w:jc w:val="center"/>
        <w:rPr>
          <w:rFonts w:eastAsia="DFKai-SB"/>
          <w:sz w:val="22"/>
          <w:szCs w:val="22"/>
        </w:rPr>
      </w:pPr>
      <w:r w:rsidRPr="00993909">
        <w:rPr>
          <w:rFonts w:eastAsia="DFKai-SB"/>
          <w:sz w:val="22"/>
          <w:szCs w:val="22"/>
        </w:rPr>
        <w:t xml:space="preserve">Panel A: </w:t>
      </w:r>
      <w:r w:rsidR="0015071E">
        <w:rPr>
          <w:rFonts w:eastAsia="DFKai-SB" w:hint="eastAsia"/>
          <w:sz w:val="22"/>
          <w:szCs w:val="22"/>
        </w:rPr>
        <w:t xml:space="preserve">Upward </w:t>
      </w:r>
      <w:r w:rsidR="0015071E">
        <w:rPr>
          <w:rFonts w:eastAsia="DFKai-SB"/>
          <w:sz w:val="22"/>
          <w:szCs w:val="22"/>
        </w:rPr>
        <w:t>E</w:t>
      </w:r>
      <w:r w:rsidR="0015071E">
        <w:rPr>
          <w:rFonts w:eastAsia="DFKai-SB" w:hint="eastAsia"/>
          <w:sz w:val="22"/>
          <w:szCs w:val="22"/>
        </w:rPr>
        <w:t xml:space="preserve">arnings </w:t>
      </w:r>
      <w:r w:rsidR="0015071E">
        <w:rPr>
          <w:rFonts w:eastAsia="DFKai-SB"/>
          <w:sz w:val="22"/>
          <w:szCs w:val="22"/>
        </w:rPr>
        <w:t>M</w:t>
      </w:r>
      <w:r w:rsidRPr="00993909">
        <w:rPr>
          <w:rFonts w:eastAsia="DFKai-SB" w:hint="eastAsia"/>
          <w:sz w:val="22"/>
          <w:szCs w:val="22"/>
        </w:rPr>
        <w:t xml:space="preserve">anipulation: Positive </w:t>
      </w:r>
      <w:r w:rsidRPr="00993909">
        <w:rPr>
          <w:rFonts w:eastAsia="DFKai-SB" w:hint="eastAsia"/>
          <w:i/>
          <w:sz w:val="22"/>
          <w:szCs w:val="22"/>
        </w:rPr>
        <w:t>DA</w:t>
      </w:r>
    </w:p>
    <w:p w:rsidR="003B49C5" w:rsidRPr="003F6839" w:rsidRDefault="003B49C5" w:rsidP="003B49C5">
      <w:pPr>
        <w:snapToGrid w:val="0"/>
        <w:spacing w:line="0" w:lineRule="atLeast"/>
        <w:jc w:val="center"/>
        <w:rPr>
          <w:rFonts w:eastAsia="DFKai-SB"/>
        </w:rPr>
      </w:pPr>
    </w:p>
    <w:p w:rsidR="003B49C5" w:rsidRPr="003F6839" w:rsidRDefault="003B49C5" w:rsidP="003B49C5">
      <w:pPr>
        <w:snapToGrid w:val="0"/>
        <w:spacing w:line="0" w:lineRule="atLeast"/>
        <w:rPr>
          <w:rFonts w:eastAsia="DFKai-SB"/>
          <w:b/>
        </w:rPr>
      </w:pPr>
      <w:r>
        <w:rPr>
          <w:rFonts w:eastAsia="DFKai-SB"/>
          <w:b/>
          <w:noProof/>
          <w:lang w:val="en-NZ" w:eastAsia="en-NZ"/>
        </w:rPr>
        <w:drawing>
          <wp:inline distT="0" distB="0" distL="0" distR="0" wp14:anchorId="30455A19" wp14:editId="6F9E2CA6">
            <wp:extent cx="5486400" cy="3206115"/>
            <wp:effectExtent l="0" t="0" r="0" b="0"/>
            <wp:docPr id="24" name="圖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B49C5" w:rsidRPr="003F6839" w:rsidRDefault="003B49C5" w:rsidP="003B49C5">
      <w:pPr>
        <w:snapToGrid w:val="0"/>
        <w:spacing w:line="0" w:lineRule="atLeast"/>
        <w:rPr>
          <w:rFonts w:eastAsia="DFKai-SB"/>
          <w:b/>
        </w:rPr>
      </w:pPr>
    </w:p>
    <w:p w:rsidR="003B49C5" w:rsidRPr="00993909" w:rsidRDefault="003B49C5" w:rsidP="003B49C5">
      <w:pPr>
        <w:snapToGrid w:val="0"/>
        <w:spacing w:line="0" w:lineRule="atLeast"/>
        <w:jc w:val="center"/>
        <w:rPr>
          <w:rFonts w:eastAsia="DFKai-SB"/>
          <w:sz w:val="22"/>
          <w:szCs w:val="22"/>
        </w:rPr>
      </w:pPr>
      <w:r w:rsidRPr="00993909">
        <w:rPr>
          <w:rFonts w:eastAsia="DFKai-SB"/>
          <w:sz w:val="22"/>
          <w:szCs w:val="22"/>
        </w:rPr>
        <w:t xml:space="preserve">Panel </w:t>
      </w:r>
      <w:r w:rsidRPr="00993909">
        <w:rPr>
          <w:rFonts w:eastAsia="DFKai-SB" w:hint="eastAsia"/>
          <w:sz w:val="22"/>
          <w:szCs w:val="22"/>
        </w:rPr>
        <w:t>B</w:t>
      </w:r>
      <w:r w:rsidRPr="00993909">
        <w:rPr>
          <w:rFonts w:eastAsia="DFKai-SB"/>
          <w:sz w:val="22"/>
          <w:szCs w:val="22"/>
        </w:rPr>
        <w:t xml:space="preserve">: </w:t>
      </w:r>
      <w:r w:rsidR="0015071E">
        <w:rPr>
          <w:rFonts w:eastAsia="DFKai-SB" w:hint="eastAsia"/>
          <w:sz w:val="22"/>
          <w:szCs w:val="22"/>
        </w:rPr>
        <w:t xml:space="preserve">Downward </w:t>
      </w:r>
      <w:r w:rsidR="0015071E">
        <w:rPr>
          <w:rFonts w:eastAsia="DFKai-SB"/>
          <w:sz w:val="22"/>
          <w:szCs w:val="22"/>
        </w:rPr>
        <w:t>E</w:t>
      </w:r>
      <w:r w:rsidR="0015071E">
        <w:rPr>
          <w:rFonts w:eastAsia="DFKai-SB" w:hint="eastAsia"/>
          <w:sz w:val="22"/>
          <w:szCs w:val="22"/>
        </w:rPr>
        <w:t xml:space="preserve">arnings </w:t>
      </w:r>
      <w:r w:rsidR="0015071E">
        <w:rPr>
          <w:rFonts w:eastAsia="DFKai-SB"/>
          <w:sz w:val="22"/>
          <w:szCs w:val="22"/>
        </w:rPr>
        <w:t>M</w:t>
      </w:r>
      <w:r w:rsidRPr="00993909">
        <w:rPr>
          <w:rFonts w:eastAsia="DFKai-SB" w:hint="eastAsia"/>
          <w:sz w:val="22"/>
          <w:szCs w:val="22"/>
        </w:rPr>
        <w:t xml:space="preserve">anipulation: Negative </w:t>
      </w:r>
      <w:r w:rsidRPr="00993909">
        <w:rPr>
          <w:rFonts w:eastAsia="DFKai-SB" w:hint="eastAsia"/>
          <w:i/>
          <w:sz w:val="22"/>
          <w:szCs w:val="22"/>
        </w:rPr>
        <w:t>DA</w:t>
      </w:r>
    </w:p>
    <w:p w:rsidR="003B49C5" w:rsidRPr="003F6839" w:rsidRDefault="003B49C5" w:rsidP="003B49C5">
      <w:pPr>
        <w:snapToGrid w:val="0"/>
        <w:spacing w:line="0" w:lineRule="atLeast"/>
        <w:rPr>
          <w:rFonts w:eastAsia="DFKai-SB"/>
          <w:b/>
        </w:rPr>
      </w:pPr>
      <w:r>
        <w:rPr>
          <w:rFonts w:eastAsia="DFKai-SB"/>
          <w:b/>
          <w:noProof/>
          <w:lang w:val="en-NZ" w:eastAsia="en-NZ"/>
        </w:rPr>
        <w:drawing>
          <wp:inline distT="0" distB="0" distL="0" distR="0" wp14:anchorId="2223C5A8" wp14:editId="51628058">
            <wp:extent cx="5486400" cy="3200400"/>
            <wp:effectExtent l="0" t="0" r="0" b="0"/>
            <wp:docPr id="25" name="圖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B49C5" w:rsidRDefault="003B49C5" w:rsidP="003B49C5">
      <w:pPr>
        <w:snapToGrid w:val="0"/>
        <w:spacing w:line="0" w:lineRule="atLeast"/>
        <w:jc w:val="center"/>
      </w:pPr>
    </w:p>
    <w:p w:rsidR="003E43FA" w:rsidRPr="00FE0B8A" w:rsidRDefault="00691B4A" w:rsidP="00FE1E17">
      <w:pPr>
        <w:keepNext/>
        <w:widowControl/>
        <w:adjustRightInd w:val="0"/>
        <w:snapToGrid w:val="0"/>
        <w:spacing w:line="288" w:lineRule="auto"/>
        <w:jc w:val="both"/>
        <w:rPr>
          <w:b/>
        </w:rPr>
      </w:pPr>
      <w:r w:rsidRPr="00FE0B8A">
        <w:rPr>
          <w:b/>
        </w:rPr>
        <w:t>6</w:t>
      </w:r>
      <w:r w:rsidR="00AA7B36" w:rsidRPr="00FE0B8A">
        <w:rPr>
          <w:b/>
        </w:rPr>
        <w:t xml:space="preserve">.5 </w:t>
      </w:r>
      <w:r w:rsidRPr="00FE0B8A">
        <w:rPr>
          <w:b/>
        </w:rPr>
        <w:t xml:space="preserve">SOX </w:t>
      </w:r>
      <w:r w:rsidR="00FE0B8A">
        <w:rPr>
          <w:b/>
        </w:rPr>
        <w:t>E</w:t>
      </w:r>
      <w:r w:rsidR="00AA7B36" w:rsidRPr="00FE0B8A">
        <w:rPr>
          <w:b/>
        </w:rPr>
        <w:t xml:space="preserve">ffect </w:t>
      </w:r>
      <w:r w:rsidRPr="00FE0B8A">
        <w:rPr>
          <w:b/>
        </w:rPr>
        <w:t xml:space="preserve">on </w:t>
      </w:r>
      <w:r w:rsidRPr="00FE0B8A">
        <w:rPr>
          <w:rFonts w:hint="eastAsia"/>
          <w:b/>
        </w:rPr>
        <w:t>|</w:t>
      </w:r>
      <w:r w:rsidRPr="00FE0B8A">
        <w:rPr>
          <w:b/>
        </w:rPr>
        <w:t>DA</w:t>
      </w:r>
      <w:r w:rsidRPr="00FE0B8A">
        <w:rPr>
          <w:rFonts w:hint="eastAsia"/>
          <w:b/>
        </w:rPr>
        <w:t>|</w:t>
      </w:r>
      <w:r w:rsidRPr="00FE0B8A">
        <w:rPr>
          <w:b/>
        </w:rPr>
        <w:t>–</w:t>
      </w:r>
      <w:r w:rsidRPr="00FE0B8A">
        <w:rPr>
          <w:rFonts w:hint="eastAsia"/>
          <w:b/>
        </w:rPr>
        <w:t>RETURN</w:t>
      </w:r>
      <w:r w:rsidR="00FE0B8A">
        <w:rPr>
          <w:b/>
        </w:rPr>
        <w:t xml:space="preserve"> R</w:t>
      </w:r>
      <w:r w:rsidRPr="00FE0B8A">
        <w:rPr>
          <w:b/>
        </w:rPr>
        <w:t>elation</w:t>
      </w:r>
    </w:p>
    <w:p w:rsidR="00FE0B8A" w:rsidRPr="00FE0B8A" w:rsidRDefault="00FE0B8A" w:rsidP="00993909">
      <w:pPr>
        <w:widowControl/>
        <w:adjustRightInd w:val="0"/>
        <w:snapToGrid w:val="0"/>
        <w:spacing w:line="288" w:lineRule="auto"/>
        <w:jc w:val="both"/>
        <w:rPr>
          <w:sz w:val="12"/>
          <w:szCs w:val="12"/>
        </w:rPr>
      </w:pPr>
    </w:p>
    <w:p w:rsidR="003E43FA" w:rsidRDefault="00691B4A" w:rsidP="00993909">
      <w:pPr>
        <w:widowControl/>
        <w:adjustRightInd w:val="0"/>
        <w:snapToGrid w:val="0"/>
        <w:spacing w:line="288" w:lineRule="auto"/>
        <w:jc w:val="both"/>
      </w:pPr>
      <w:r w:rsidRPr="008126EB">
        <w:t xml:space="preserve">As Cohen </w:t>
      </w:r>
      <w:r w:rsidRPr="00FE0B8A">
        <w:rPr>
          <w:i/>
        </w:rPr>
        <w:t>et al.</w:t>
      </w:r>
      <w:r w:rsidRPr="008126EB">
        <w:t xml:space="preserve"> (2005) report, the degree of </w:t>
      </w:r>
      <w:r w:rsidR="00C473A3">
        <w:t>earnings manipulation</w:t>
      </w:r>
      <w:r w:rsidRPr="008126EB">
        <w:t xml:space="preserve"> increases </w:t>
      </w:r>
      <w:r w:rsidR="00AA7B36">
        <w:t>gradually</w:t>
      </w:r>
      <w:r w:rsidRPr="008126EB">
        <w:t xml:space="preserve"> until the passage of SOX</w:t>
      </w:r>
      <w:r w:rsidR="00AA7B36">
        <w:t>. A</w:t>
      </w:r>
      <w:r w:rsidR="00AA7B36" w:rsidRPr="008126EB">
        <w:t>fter its enactment</w:t>
      </w:r>
      <w:r w:rsidRPr="008126EB">
        <w:t xml:space="preserve">, </w:t>
      </w:r>
      <w:r w:rsidR="00AA7B36">
        <w:t xml:space="preserve">the degree of income manipulation declines </w:t>
      </w:r>
      <w:r w:rsidRPr="008126EB">
        <w:t>significant</w:t>
      </w:r>
      <w:r w:rsidR="00AA7B36">
        <w:t>ly</w:t>
      </w:r>
      <w:r w:rsidRPr="008126EB">
        <w:t>. T</w:t>
      </w:r>
      <w:r w:rsidR="00AA7B36">
        <w:t xml:space="preserve">his </w:t>
      </w:r>
      <w:r w:rsidR="00D64207">
        <w:t>empirical evidence</w:t>
      </w:r>
      <w:r w:rsidR="00A72534">
        <w:t xml:space="preserve"> </w:t>
      </w:r>
      <w:r w:rsidR="00AA7B36">
        <w:t xml:space="preserve">indicates that regulation may have significant effect on </w:t>
      </w:r>
      <w:r w:rsidR="00AA7B36" w:rsidRPr="008126EB">
        <w:rPr>
          <w:rFonts w:hint="eastAsia"/>
        </w:rPr>
        <w:t>|</w:t>
      </w:r>
      <w:r w:rsidR="00AA7B36" w:rsidRPr="008126EB">
        <w:rPr>
          <w:i/>
        </w:rPr>
        <w:t>DA</w:t>
      </w:r>
      <w:r w:rsidR="00AA7B36" w:rsidRPr="008126EB">
        <w:rPr>
          <w:rFonts w:hint="eastAsia"/>
          <w:i/>
        </w:rPr>
        <w:t>|</w:t>
      </w:r>
      <w:r w:rsidR="00AA7B36" w:rsidRPr="008126EB">
        <w:t>–</w:t>
      </w:r>
      <w:r w:rsidR="00AA7B36" w:rsidRPr="008126EB">
        <w:rPr>
          <w:rFonts w:hint="eastAsia"/>
          <w:i/>
        </w:rPr>
        <w:t>RETURN</w:t>
      </w:r>
      <w:r w:rsidR="00AA7B36" w:rsidRPr="008126EB">
        <w:t xml:space="preserve"> relation</w:t>
      </w:r>
      <w:r w:rsidR="00AA7B36">
        <w:t>. T</w:t>
      </w:r>
      <w:r w:rsidRPr="008126EB">
        <w:t xml:space="preserve">o </w:t>
      </w:r>
      <w:r w:rsidR="00AF607E">
        <w:t>consider</w:t>
      </w:r>
      <w:r w:rsidR="00AF607E" w:rsidRPr="008126EB">
        <w:t xml:space="preserve"> </w:t>
      </w:r>
      <w:r w:rsidRPr="008126EB">
        <w:t xml:space="preserve">this </w:t>
      </w:r>
      <w:r w:rsidR="00AF607E">
        <w:t>effect</w:t>
      </w:r>
      <w:r w:rsidRPr="008126EB">
        <w:t xml:space="preserve">, we </w:t>
      </w:r>
      <w:r w:rsidR="00E9123A">
        <w:t>investigate</w:t>
      </w:r>
      <w:r w:rsidR="00E9123A" w:rsidRPr="008126EB">
        <w:t xml:space="preserve"> </w:t>
      </w:r>
      <w:r w:rsidRPr="008126EB">
        <w:t xml:space="preserve">whether the </w:t>
      </w:r>
      <w:r w:rsidR="00E9123A">
        <w:t xml:space="preserve">enactment </w:t>
      </w:r>
      <w:r w:rsidRPr="008126EB">
        <w:t xml:space="preserve">SOX </w:t>
      </w:r>
      <w:r w:rsidR="00AF607E">
        <w:lastRenderedPageBreak/>
        <w:t>influences</w:t>
      </w:r>
      <w:r w:rsidR="00AF607E" w:rsidRPr="008126EB">
        <w:t xml:space="preserve"> </w:t>
      </w:r>
      <w:r w:rsidRPr="008126EB">
        <w:t xml:space="preserve">the </w:t>
      </w:r>
      <w:r w:rsidRPr="008126EB">
        <w:rPr>
          <w:rFonts w:hint="eastAsia"/>
        </w:rPr>
        <w:t>quantile-varying</w:t>
      </w:r>
      <w:r w:rsidRPr="008126EB">
        <w:t xml:space="preserve"> </w:t>
      </w:r>
      <w:r w:rsidRPr="008126EB">
        <w:rPr>
          <w:rFonts w:hint="eastAsia"/>
        </w:rPr>
        <w:t>|</w:t>
      </w:r>
      <w:r w:rsidRPr="008126EB">
        <w:rPr>
          <w:i/>
        </w:rPr>
        <w:t>DA</w:t>
      </w:r>
      <w:r w:rsidRPr="008126EB">
        <w:rPr>
          <w:rFonts w:hint="eastAsia"/>
          <w:i/>
        </w:rPr>
        <w:t>|</w:t>
      </w:r>
      <w:r w:rsidRPr="008126EB">
        <w:t>–</w:t>
      </w:r>
      <w:r w:rsidRPr="008126EB">
        <w:rPr>
          <w:rFonts w:hint="eastAsia"/>
          <w:i/>
        </w:rPr>
        <w:t>RETURN</w:t>
      </w:r>
      <w:r w:rsidRPr="008126EB">
        <w:t xml:space="preserve"> relation</w:t>
      </w:r>
      <w:r w:rsidR="00F43DE6">
        <w:t xml:space="preserve"> reported in this study</w:t>
      </w:r>
      <w:r w:rsidRPr="008126EB">
        <w:t xml:space="preserve">. </w:t>
      </w:r>
      <w:r w:rsidR="00AF607E">
        <w:t>To analyze this effect</w:t>
      </w:r>
      <w:r w:rsidRPr="008126EB">
        <w:t xml:space="preserve">, we divide </w:t>
      </w:r>
      <w:r w:rsidR="001B2C15">
        <w:t>our</w:t>
      </w:r>
      <w:r w:rsidRPr="008126EB">
        <w:t xml:space="preserve"> observations</w:t>
      </w:r>
      <w:r w:rsidR="001B2C15">
        <w:t xml:space="preserve"> into </w:t>
      </w:r>
      <w:r w:rsidR="005D71EE">
        <w:t xml:space="preserve">two sub-periods: (1) </w:t>
      </w:r>
      <w:r w:rsidRPr="008126EB">
        <w:rPr>
          <w:rFonts w:hint="eastAsia"/>
        </w:rPr>
        <w:t xml:space="preserve">the pre-SOX </w:t>
      </w:r>
      <w:r w:rsidR="00F316E7">
        <w:t>(</w:t>
      </w:r>
      <w:r w:rsidRPr="008126EB">
        <w:t>1992</w:t>
      </w:r>
      <w:r w:rsidR="00F316E7">
        <w:t>~</w:t>
      </w:r>
      <w:r w:rsidRPr="008126EB">
        <w:t>2001</w:t>
      </w:r>
      <w:r w:rsidR="00F316E7">
        <w:t>)</w:t>
      </w:r>
      <w:r w:rsidRPr="008126EB">
        <w:t xml:space="preserve"> and </w:t>
      </w:r>
      <w:r w:rsidR="005D71EE">
        <w:t xml:space="preserve">(2) </w:t>
      </w:r>
      <w:r w:rsidRPr="008126EB">
        <w:rPr>
          <w:rFonts w:hint="eastAsia"/>
        </w:rPr>
        <w:t xml:space="preserve">the post-SOX </w:t>
      </w:r>
      <w:r w:rsidR="00F316E7">
        <w:t>(</w:t>
      </w:r>
      <w:r w:rsidRPr="008126EB">
        <w:t>2003</w:t>
      </w:r>
      <w:r w:rsidR="00F316E7">
        <w:t>~</w:t>
      </w:r>
      <w:r w:rsidRPr="008126EB">
        <w:t>20</w:t>
      </w:r>
      <w:r w:rsidR="00136563">
        <w:t>10</w:t>
      </w:r>
      <w:r w:rsidR="00F316E7">
        <w:t>)</w:t>
      </w:r>
      <w:r w:rsidRPr="008126EB">
        <w:t>.</w:t>
      </w:r>
    </w:p>
    <w:p w:rsidR="00993909" w:rsidRPr="008126EB" w:rsidRDefault="00993909" w:rsidP="00993909">
      <w:pPr>
        <w:widowControl/>
        <w:adjustRightInd w:val="0"/>
        <w:snapToGrid w:val="0"/>
        <w:spacing w:line="288" w:lineRule="auto"/>
        <w:jc w:val="both"/>
      </w:pPr>
    </w:p>
    <w:p w:rsidR="00691B4A" w:rsidRPr="008126EB" w:rsidRDefault="00AF607E" w:rsidP="00FE1E17">
      <w:pPr>
        <w:widowControl/>
        <w:adjustRightInd w:val="0"/>
        <w:snapToGrid w:val="0"/>
        <w:spacing w:line="288" w:lineRule="auto"/>
        <w:ind w:firstLineChars="295" w:firstLine="708"/>
        <w:jc w:val="both"/>
      </w:pPr>
      <w:r w:rsidRPr="008126EB">
        <w:t>Table 7</w:t>
      </w:r>
      <w:r>
        <w:t xml:space="preserve"> presents the results of </w:t>
      </w:r>
      <w:r w:rsidR="001B2C15" w:rsidRPr="008126EB">
        <w:t>th</w:t>
      </w:r>
      <w:r w:rsidR="001B2C15">
        <w:t>is</w:t>
      </w:r>
      <w:r w:rsidR="001B2C15" w:rsidRPr="008126EB">
        <w:t xml:space="preserve"> </w:t>
      </w:r>
      <w:r w:rsidR="00691B4A" w:rsidRPr="008126EB">
        <w:t xml:space="preserve">analysis. </w:t>
      </w:r>
      <w:r w:rsidR="00B26438" w:rsidRPr="008126EB">
        <w:t>Panel A sh</w:t>
      </w:r>
      <w:r w:rsidR="00691B4A" w:rsidRPr="008126EB">
        <w:t xml:space="preserve">ows </w:t>
      </w:r>
      <w:r w:rsidR="00F316E7">
        <w:t>evidence</w:t>
      </w:r>
      <w:r w:rsidR="00691B4A" w:rsidRPr="008126EB">
        <w:t xml:space="preserve"> </w:t>
      </w:r>
      <w:r w:rsidR="00F43DE6">
        <w:t xml:space="preserve">of </w:t>
      </w:r>
      <w:r w:rsidR="00691B4A" w:rsidRPr="008126EB">
        <w:rPr>
          <w:rFonts w:hint="eastAsia"/>
        </w:rPr>
        <w:t>the pre-SOX period</w:t>
      </w:r>
      <w:r w:rsidR="00977EEC">
        <w:t>,</w:t>
      </w:r>
      <w:r w:rsidR="00691B4A" w:rsidRPr="008126EB">
        <w:t xml:space="preserve"> while Panel B demonstrates findings of </w:t>
      </w:r>
      <w:r w:rsidR="00691B4A" w:rsidRPr="008126EB">
        <w:rPr>
          <w:rFonts w:hint="eastAsia"/>
        </w:rPr>
        <w:t xml:space="preserve">the post-SOX </w:t>
      </w:r>
      <w:r w:rsidR="00691B4A" w:rsidRPr="008126EB">
        <w:t xml:space="preserve">era. Comparing these two panels, </w:t>
      </w:r>
      <w:r w:rsidR="001B2C15">
        <w:t xml:space="preserve">we reaffirm </w:t>
      </w:r>
      <w:r w:rsidR="00691B4A" w:rsidRPr="008126EB">
        <w:t xml:space="preserve">the quantile-varying </w:t>
      </w:r>
      <w:r w:rsidR="00691B4A" w:rsidRPr="008126EB">
        <w:rPr>
          <w:rFonts w:hint="eastAsia"/>
        </w:rPr>
        <w:t>|</w:t>
      </w:r>
      <w:r w:rsidR="00691B4A" w:rsidRPr="008126EB">
        <w:rPr>
          <w:i/>
        </w:rPr>
        <w:t>DA</w:t>
      </w:r>
      <w:r w:rsidR="00691B4A" w:rsidRPr="008126EB">
        <w:rPr>
          <w:rFonts w:hint="eastAsia"/>
          <w:i/>
        </w:rPr>
        <w:t>|</w:t>
      </w:r>
      <w:r w:rsidR="00691B4A" w:rsidRPr="008126EB">
        <w:t>–</w:t>
      </w:r>
      <w:r w:rsidR="00691B4A" w:rsidRPr="008126EB">
        <w:rPr>
          <w:rFonts w:hint="eastAsia"/>
          <w:i/>
        </w:rPr>
        <w:t>RETURN</w:t>
      </w:r>
      <w:r w:rsidR="00691B4A" w:rsidRPr="008126EB">
        <w:t xml:space="preserve"> relation reported in Section 5</w:t>
      </w:r>
      <w:r w:rsidR="009C79AA" w:rsidRPr="008126EB">
        <w:t>.2</w:t>
      </w:r>
      <w:r w:rsidR="00691B4A" w:rsidRPr="008126EB">
        <w:t>.</w:t>
      </w:r>
      <w:r w:rsidR="00691B4A" w:rsidRPr="008126EB">
        <w:rPr>
          <w:rFonts w:hint="eastAsia"/>
        </w:rPr>
        <w:t xml:space="preserve"> </w:t>
      </w:r>
      <w:r w:rsidR="008C240E">
        <w:t>T</w:t>
      </w:r>
      <w:r w:rsidR="00691B4A" w:rsidRPr="008126EB">
        <w:t xml:space="preserve">he results </w:t>
      </w:r>
      <w:r w:rsidR="00D64207">
        <w:t xml:space="preserve">of this analysis </w:t>
      </w:r>
      <w:r w:rsidR="00691B4A" w:rsidRPr="008126EB">
        <w:t>are diagrammed in</w:t>
      </w:r>
      <w:r w:rsidR="00691B4A" w:rsidRPr="008126EB">
        <w:rPr>
          <w:rFonts w:hint="eastAsia"/>
        </w:rPr>
        <w:t xml:space="preserve"> Figure </w:t>
      </w:r>
      <w:r w:rsidR="00BE07AC">
        <w:t>8</w:t>
      </w:r>
      <w:r w:rsidR="00691B4A" w:rsidRPr="008126EB">
        <w:t>.</w:t>
      </w:r>
    </w:p>
    <w:p w:rsidR="000D38E4" w:rsidRDefault="000D38E4" w:rsidP="00FE1E17">
      <w:pPr>
        <w:snapToGrid w:val="0"/>
        <w:spacing w:line="0" w:lineRule="atLeast"/>
        <w:jc w:val="center"/>
        <w:rPr>
          <w:rFonts w:eastAsia="DFKai-SB"/>
          <w:b/>
          <w:sz w:val="22"/>
          <w:szCs w:val="22"/>
        </w:rPr>
      </w:pPr>
      <w:bookmarkStart w:id="9" w:name="_Toc358302849"/>
      <w:bookmarkStart w:id="10" w:name="_Toc359095299"/>
    </w:p>
    <w:p w:rsidR="00FE1E17" w:rsidRPr="00FE1E17" w:rsidRDefault="00FE1E17" w:rsidP="00FE1E17">
      <w:pPr>
        <w:snapToGrid w:val="0"/>
        <w:spacing w:line="0" w:lineRule="atLeast"/>
        <w:jc w:val="center"/>
        <w:rPr>
          <w:b/>
          <w:sz w:val="22"/>
          <w:szCs w:val="22"/>
        </w:rPr>
      </w:pPr>
      <w:r w:rsidRPr="00FE1E17">
        <w:rPr>
          <w:rFonts w:eastAsia="DFKai-SB"/>
          <w:b/>
          <w:sz w:val="22"/>
          <w:szCs w:val="22"/>
        </w:rPr>
        <w:t>Table 7</w:t>
      </w:r>
      <w:r w:rsidR="00FE0B8A">
        <w:rPr>
          <w:rFonts w:eastAsia="DFKai-SB"/>
          <w:b/>
          <w:sz w:val="22"/>
          <w:szCs w:val="22"/>
        </w:rPr>
        <w:t xml:space="preserve">: </w:t>
      </w:r>
      <w:r w:rsidRPr="00FE1E17">
        <w:rPr>
          <w:rFonts w:eastAsia="DFKai-SB"/>
          <w:b/>
          <w:sz w:val="22"/>
          <w:szCs w:val="22"/>
        </w:rPr>
        <w:t xml:space="preserve">The </w:t>
      </w:r>
      <w:r w:rsidRPr="00FE1E17">
        <w:rPr>
          <w:b/>
          <w:sz w:val="22"/>
          <w:szCs w:val="22"/>
        </w:rPr>
        <w:t>|</w:t>
      </w:r>
      <w:r w:rsidRPr="00FE1E17">
        <w:rPr>
          <w:b/>
          <w:i/>
          <w:sz w:val="22"/>
          <w:szCs w:val="22"/>
        </w:rPr>
        <w:t>DA|</w:t>
      </w:r>
      <w:r w:rsidRPr="00FE1E17">
        <w:rPr>
          <w:b/>
          <w:sz w:val="22"/>
          <w:szCs w:val="22"/>
        </w:rPr>
        <w:t>–</w:t>
      </w:r>
      <w:r w:rsidRPr="00FE1E17">
        <w:rPr>
          <w:b/>
          <w:i/>
          <w:sz w:val="22"/>
          <w:szCs w:val="22"/>
        </w:rPr>
        <w:t xml:space="preserve">RETURN </w:t>
      </w:r>
      <w:r w:rsidR="0015071E">
        <w:rPr>
          <w:b/>
          <w:sz w:val="22"/>
          <w:szCs w:val="22"/>
        </w:rPr>
        <w:t>Relation Across Various Q</w:t>
      </w:r>
      <w:r w:rsidRPr="00FE1E17">
        <w:rPr>
          <w:b/>
          <w:sz w:val="22"/>
          <w:szCs w:val="22"/>
        </w:rPr>
        <w:t>uantiles</w:t>
      </w:r>
      <w:r w:rsidR="0015071E">
        <w:rPr>
          <w:rFonts w:eastAsia="DFKai-SB"/>
          <w:b/>
          <w:sz w:val="22"/>
          <w:szCs w:val="22"/>
        </w:rPr>
        <w:t xml:space="preserve"> of Stock R</w:t>
      </w:r>
      <w:r w:rsidRPr="00FE1E17">
        <w:rPr>
          <w:rFonts w:eastAsia="DFKai-SB"/>
          <w:b/>
          <w:sz w:val="22"/>
          <w:szCs w:val="22"/>
        </w:rPr>
        <w:t>eturns</w:t>
      </w:r>
      <w:r w:rsidRPr="00FE1E17">
        <w:rPr>
          <w:b/>
          <w:sz w:val="22"/>
          <w:szCs w:val="22"/>
        </w:rPr>
        <w:t>:</w:t>
      </w:r>
    </w:p>
    <w:p w:rsidR="00FE1E17" w:rsidRPr="00FE1E17" w:rsidRDefault="00FE1E17" w:rsidP="00FE1E17">
      <w:pPr>
        <w:snapToGrid w:val="0"/>
        <w:spacing w:line="0" w:lineRule="atLeast"/>
        <w:jc w:val="center"/>
        <w:rPr>
          <w:rFonts w:eastAsia="DFKai-SB"/>
          <w:b/>
          <w:sz w:val="22"/>
          <w:szCs w:val="22"/>
        </w:rPr>
      </w:pPr>
      <w:r w:rsidRPr="00FE1E17">
        <w:rPr>
          <w:rFonts w:eastAsia="DFKai-SB"/>
          <w:b/>
          <w:sz w:val="22"/>
          <w:szCs w:val="22"/>
        </w:rPr>
        <w:t>Pr</w:t>
      </w:r>
      <w:r w:rsidR="0015071E">
        <w:rPr>
          <w:rFonts w:eastAsia="DFKai-SB"/>
          <w:b/>
          <w:sz w:val="22"/>
          <w:szCs w:val="22"/>
        </w:rPr>
        <w:t>e- and Post-Sarbanes Oxley E</w:t>
      </w:r>
      <w:r w:rsidRPr="00FE1E17">
        <w:rPr>
          <w:rFonts w:eastAsia="DFKai-SB"/>
          <w:b/>
          <w:sz w:val="22"/>
          <w:szCs w:val="22"/>
        </w:rPr>
        <w:t xml:space="preserve">ras </w:t>
      </w:r>
    </w:p>
    <w:p w:rsidR="00FE1E17" w:rsidRPr="00A5381D" w:rsidRDefault="00FE1E17" w:rsidP="00FE1E17">
      <w:pPr>
        <w:snapToGrid w:val="0"/>
        <w:spacing w:line="0" w:lineRule="atLeast"/>
        <w:jc w:val="center"/>
        <w:rPr>
          <w:rFonts w:eastAsia="DFKai-SB"/>
          <w:b/>
          <w:sz w:val="10"/>
          <w:szCs w:val="10"/>
        </w:rPr>
      </w:pPr>
    </w:p>
    <w:p w:rsidR="00FE1E17" w:rsidRPr="00FE1E17" w:rsidRDefault="00FE1E17" w:rsidP="00FE1E17">
      <w:pPr>
        <w:spacing w:after="120"/>
        <w:jc w:val="center"/>
        <w:rPr>
          <w:sz w:val="22"/>
          <w:szCs w:val="22"/>
          <w:lang w:val="fr-FR"/>
        </w:rPr>
      </w:pPr>
      <w:r w:rsidRPr="00FE1E17">
        <w:rPr>
          <w:rFonts w:eastAsia="DFKai-SB"/>
          <w:i/>
          <w:sz w:val="22"/>
          <w:szCs w:val="22"/>
          <w:lang w:val="fr-FR"/>
        </w:rPr>
        <w:t>RETURN</w:t>
      </w:r>
      <w:r w:rsidRPr="00FE1E17">
        <w:rPr>
          <w:rFonts w:eastAsia="DFKai-SB"/>
          <w:i/>
          <w:sz w:val="22"/>
          <w:szCs w:val="22"/>
          <w:vertAlign w:val="subscript"/>
          <w:lang w:val="fr-FR"/>
        </w:rPr>
        <w:t>i,t</w:t>
      </w:r>
      <w:r w:rsidRPr="00FE1E17">
        <w:rPr>
          <w:i/>
          <w:sz w:val="22"/>
          <w:szCs w:val="22"/>
          <w:vertAlign w:val="subscript"/>
          <w:lang w:val="fr-FR"/>
        </w:rPr>
        <w:t>+1</w:t>
      </w:r>
      <w:r w:rsidRPr="00FE1E17">
        <w:rPr>
          <w:rFonts w:eastAsia="DFKai-SB"/>
          <w:sz w:val="22"/>
          <w:szCs w:val="22"/>
          <w:lang w:val="fr-FR"/>
        </w:rPr>
        <w:t xml:space="preserve"> =</w:t>
      </w:r>
      <w:r w:rsidRPr="00FE1E17">
        <w:rPr>
          <w:rFonts w:eastAsia="DFKai-SB"/>
          <w:i/>
          <w:sz w:val="22"/>
          <w:szCs w:val="22"/>
          <w:lang w:val="fr-FR"/>
        </w:rPr>
        <w:t xml:space="preserve"> </w:t>
      </w:r>
      <w:r w:rsidRPr="00FE1E17">
        <w:rPr>
          <w:i/>
          <w:sz w:val="22"/>
          <w:szCs w:val="22"/>
        </w:rPr>
        <w:sym w:font="Symbol" w:char="F062"/>
      </w:r>
      <w:r w:rsidRPr="00FE1E17">
        <w:rPr>
          <w:rFonts w:eastAsia="DFKai-SB"/>
          <w:sz w:val="22"/>
          <w:szCs w:val="22"/>
          <w:vertAlign w:val="subscript"/>
          <w:lang w:val="fr-FR"/>
        </w:rPr>
        <w:t>0</w:t>
      </w:r>
      <w:r w:rsidRPr="00FE1E17">
        <w:rPr>
          <w:rFonts w:eastAsia="DFKai-SB"/>
          <w:i/>
          <w:sz w:val="22"/>
          <w:szCs w:val="22"/>
          <w:lang w:val="fr-FR"/>
        </w:rPr>
        <w:t xml:space="preserve"> + </w:t>
      </w:r>
      <w:r w:rsidRPr="00FE1E17">
        <w:rPr>
          <w:i/>
          <w:sz w:val="22"/>
          <w:szCs w:val="22"/>
        </w:rPr>
        <w:sym w:font="Symbol" w:char="F062"/>
      </w:r>
      <w:r w:rsidRPr="00FE1E17">
        <w:rPr>
          <w:rFonts w:eastAsia="DFKai-SB"/>
          <w:sz w:val="22"/>
          <w:szCs w:val="22"/>
          <w:vertAlign w:val="subscript"/>
          <w:lang w:val="fr-FR"/>
        </w:rPr>
        <w:t xml:space="preserve">1 </w:t>
      </w:r>
      <w:r w:rsidRPr="00FE1E17">
        <w:rPr>
          <w:rFonts w:eastAsia="DFKai-SB"/>
          <w:i/>
          <w:sz w:val="22"/>
          <w:szCs w:val="22"/>
          <w:lang w:val="fr-FR"/>
        </w:rPr>
        <w:t>|DA</w:t>
      </w:r>
      <w:r w:rsidRPr="00FE1E17">
        <w:rPr>
          <w:rFonts w:eastAsia="DFKai-SB"/>
          <w:i/>
          <w:sz w:val="22"/>
          <w:szCs w:val="22"/>
          <w:vertAlign w:val="subscript"/>
          <w:lang w:val="fr-FR"/>
        </w:rPr>
        <w:t>i,t</w:t>
      </w:r>
      <w:r w:rsidRPr="00FE1E17">
        <w:rPr>
          <w:rFonts w:eastAsia="DFKai-SB"/>
          <w:i/>
          <w:sz w:val="22"/>
          <w:szCs w:val="22"/>
          <w:lang w:val="fr-FR"/>
        </w:rPr>
        <w:t xml:space="preserve"> |+ </w:t>
      </w:r>
      <w:r w:rsidRPr="00FE1E17">
        <w:rPr>
          <w:i/>
          <w:sz w:val="22"/>
          <w:szCs w:val="22"/>
        </w:rPr>
        <w:sym w:font="Symbol" w:char="F062"/>
      </w:r>
      <w:r w:rsidRPr="00FE1E17">
        <w:rPr>
          <w:rFonts w:eastAsia="DFKai-SB"/>
          <w:sz w:val="22"/>
          <w:szCs w:val="22"/>
          <w:vertAlign w:val="subscript"/>
          <w:lang w:val="fr-FR"/>
        </w:rPr>
        <w:t xml:space="preserve">2 </w:t>
      </w:r>
      <w:r w:rsidRPr="00FE1E17">
        <w:rPr>
          <w:rFonts w:eastAsia="DFKai-SB"/>
          <w:i/>
          <w:sz w:val="22"/>
          <w:szCs w:val="22"/>
          <w:lang w:val="fr-FR"/>
        </w:rPr>
        <w:t>MKT</w:t>
      </w:r>
      <w:r w:rsidRPr="00FE1E17">
        <w:rPr>
          <w:rFonts w:eastAsia="DFKai-SB"/>
          <w:i/>
          <w:sz w:val="22"/>
          <w:szCs w:val="22"/>
          <w:vertAlign w:val="subscript"/>
          <w:lang w:val="fr-FR"/>
        </w:rPr>
        <w:t>t</w:t>
      </w:r>
      <w:r w:rsidRPr="00FE1E17">
        <w:rPr>
          <w:rFonts w:eastAsia="DFKai-SB"/>
          <w:i/>
          <w:sz w:val="22"/>
          <w:szCs w:val="22"/>
          <w:lang w:val="fr-FR"/>
        </w:rPr>
        <w:t xml:space="preserve"> + </w:t>
      </w:r>
      <w:r w:rsidRPr="00FE1E17">
        <w:rPr>
          <w:i/>
          <w:sz w:val="22"/>
          <w:szCs w:val="22"/>
        </w:rPr>
        <w:sym w:font="Symbol" w:char="F062"/>
      </w:r>
      <w:r w:rsidRPr="00FE1E17">
        <w:rPr>
          <w:rFonts w:eastAsia="DFKai-SB"/>
          <w:sz w:val="22"/>
          <w:szCs w:val="22"/>
          <w:vertAlign w:val="subscript"/>
          <w:lang w:val="fr-FR"/>
        </w:rPr>
        <w:t xml:space="preserve">3 </w:t>
      </w:r>
      <w:r w:rsidRPr="00FE1E17">
        <w:rPr>
          <w:rFonts w:eastAsia="DFKai-SB"/>
          <w:i/>
          <w:sz w:val="22"/>
          <w:szCs w:val="22"/>
          <w:lang w:val="fr-FR"/>
        </w:rPr>
        <w:t>SIZE</w:t>
      </w:r>
      <w:r w:rsidRPr="00FE1E17">
        <w:rPr>
          <w:rFonts w:eastAsia="DFKai-SB"/>
          <w:i/>
          <w:sz w:val="22"/>
          <w:szCs w:val="22"/>
          <w:vertAlign w:val="subscript"/>
          <w:lang w:val="fr-FR"/>
        </w:rPr>
        <w:t>i,t</w:t>
      </w:r>
      <w:r w:rsidRPr="00FE1E17">
        <w:rPr>
          <w:rFonts w:eastAsia="DFKai-SB"/>
          <w:i/>
          <w:sz w:val="22"/>
          <w:szCs w:val="22"/>
          <w:lang w:val="fr-FR"/>
        </w:rPr>
        <w:t xml:space="preserve"> +</w:t>
      </w:r>
      <w:r w:rsidRPr="00FE1E17">
        <w:rPr>
          <w:i/>
          <w:sz w:val="22"/>
          <w:szCs w:val="22"/>
        </w:rPr>
        <w:sym w:font="Symbol" w:char="F062"/>
      </w:r>
      <w:r w:rsidRPr="00FE1E17">
        <w:rPr>
          <w:rFonts w:eastAsia="DFKai-SB"/>
          <w:sz w:val="22"/>
          <w:szCs w:val="22"/>
          <w:vertAlign w:val="subscript"/>
          <w:lang w:val="fr-FR"/>
        </w:rPr>
        <w:t xml:space="preserve">4 </w:t>
      </w:r>
      <w:r w:rsidRPr="00FE1E17">
        <w:rPr>
          <w:rFonts w:eastAsia="DFKai-SB"/>
          <w:i/>
          <w:sz w:val="22"/>
          <w:szCs w:val="22"/>
          <w:lang w:val="fr-FR"/>
        </w:rPr>
        <w:t>MB</w:t>
      </w:r>
      <w:r w:rsidRPr="00FE1E17">
        <w:rPr>
          <w:rFonts w:eastAsia="DFKai-SB"/>
          <w:i/>
          <w:sz w:val="22"/>
          <w:szCs w:val="22"/>
          <w:vertAlign w:val="subscript"/>
          <w:lang w:val="fr-FR"/>
        </w:rPr>
        <w:t>i,t</w:t>
      </w:r>
      <w:r w:rsidRPr="00FE1E17">
        <w:rPr>
          <w:rFonts w:eastAsia="DFKai-SB"/>
          <w:i/>
          <w:sz w:val="22"/>
          <w:szCs w:val="22"/>
          <w:lang w:val="fr-FR"/>
        </w:rPr>
        <w:t xml:space="preserve"> + </w:t>
      </w:r>
      <w:r w:rsidRPr="00FE1E17">
        <w:rPr>
          <w:i/>
          <w:sz w:val="22"/>
          <w:szCs w:val="22"/>
        </w:rPr>
        <w:sym w:font="Symbol" w:char="F062"/>
      </w:r>
      <w:r w:rsidRPr="00FE1E17">
        <w:rPr>
          <w:rFonts w:eastAsia="DFKai-SB"/>
          <w:sz w:val="22"/>
          <w:szCs w:val="22"/>
          <w:vertAlign w:val="subscript"/>
          <w:lang w:val="fr-FR"/>
        </w:rPr>
        <w:t xml:space="preserve">5 </w:t>
      </w:r>
      <w:r w:rsidRPr="00FE1E17">
        <w:rPr>
          <w:rFonts w:eastAsia="DFKai-SB"/>
          <w:i/>
          <w:sz w:val="22"/>
          <w:szCs w:val="22"/>
          <w:lang w:val="fr-FR"/>
        </w:rPr>
        <w:t>MOM</w:t>
      </w:r>
      <w:r w:rsidRPr="00FE1E17">
        <w:rPr>
          <w:rFonts w:eastAsia="DFKai-SB"/>
          <w:i/>
          <w:sz w:val="22"/>
          <w:szCs w:val="22"/>
          <w:vertAlign w:val="subscript"/>
          <w:lang w:val="fr-FR"/>
        </w:rPr>
        <w:t>i,t</w:t>
      </w:r>
      <w:r w:rsidRPr="00FE1E17">
        <w:rPr>
          <w:rFonts w:eastAsia="DFKai-SB"/>
          <w:i/>
          <w:sz w:val="22"/>
          <w:szCs w:val="22"/>
          <w:lang w:val="fr-FR"/>
        </w:rPr>
        <w:t xml:space="preserve">+ </w:t>
      </w:r>
      <w:r w:rsidRPr="00FE1E17">
        <w:rPr>
          <w:rFonts w:eastAsia="DFKai-SB"/>
          <w:i/>
          <w:sz w:val="22"/>
          <w:szCs w:val="22"/>
        </w:rPr>
        <w:t>u</w:t>
      </w:r>
      <w:r w:rsidRPr="00FE1E17">
        <w:rPr>
          <w:rFonts w:eastAsia="DFKai-SB"/>
          <w:i/>
          <w:sz w:val="22"/>
          <w:szCs w:val="22"/>
          <w:vertAlign w:val="subscript"/>
          <w:lang w:val="fr-FR"/>
        </w:rPr>
        <w:t>i,t</w:t>
      </w:r>
      <w:r w:rsidRPr="00FE1E17">
        <w:rPr>
          <w:i/>
          <w:sz w:val="22"/>
          <w:szCs w:val="22"/>
          <w:vertAlign w:val="subscript"/>
          <w:lang w:val="fr-FR"/>
        </w:rPr>
        <w:t>+1</w:t>
      </w:r>
    </w:p>
    <w:tbl>
      <w:tblPr>
        <w:tblW w:w="5008" w:type="pct"/>
        <w:tblLayout w:type="fixed"/>
        <w:tblCellMar>
          <w:left w:w="0" w:type="dxa"/>
          <w:right w:w="0" w:type="dxa"/>
        </w:tblCellMar>
        <w:tblLook w:val="0000" w:firstRow="0" w:lastRow="0" w:firstColumn="0" w:lastColumn="0" w:noHBand="0" w:noVBand="0"/>
      </w:tblPr>
      <w:tblGrid>
        <w:gridCol w:w="928"/>
        <w:gridCol w:w="1868"/>
        <w:gridCol w:w="920"/>
        <w:gridCol w:w="7"/>
        <w:gridCol w:w="1868"/>
        <w:gridCol w:w="1342"/>
        <w:gridCol w:w="2108"/>
      </w:tblGrid>
      <w:tr w:rsidR="00FE1E17" w:rsidRPr="00FE1E17" w:rsidTr="00583009">
        <w:trPr>
          <w:trHeight w:val="345"/>
        </w:trPr>
        <w:tc>
          <w:tcPr>
            <w:tcW w:w="3092" w:type="pct"/>
            <w:gridSpan w:val="5"/>
            <w:tcBorders>
              <w:top w:val="single" w:sz="12" w:space="0" w:color="auto"/>
              <w:left w:val="nil"/>
              <w:right w:val="single" w:sz="12" w:space="0" w:color="auto"/>
            </w:tcBorders>
            <w:shd w:val="clear" w:color="auto" w:fill="auto"/>
            <w:noWrap/>
            <w:vAlign w:val="center"/>
          </w:tcPr>
          <w:p w:rsidR="00FE1E17" w:rsidRPr="00FE1E17" w:rsidRDefault="00FE1E17" w:rsidP="00583009">
            <w:pPr>
              <w:ind w:left="-180"/>
              <w:jc w:val="center"/>
              <w:rPr>
                <w:rFonts w:eastAsia="DFKai-SB"/>
                <w:i/>
                <w:sz w:val="22"/>
                <w:szCs w:val="22"/>
              </w:rPr>
            </w:pPr>
            <w:r w:rsidRPr="00FE1E17">
              <w:rPr>
                <w:rFonts w:eastAsia="DFKai-SB"/>
                <w:i/>
                <w:sz w:val="22"/>
                <w:szCs w:val="22"/>
              </w:rPr>
              <w:t xml:space="preserve">Coefficient estimates on </w:t>
            </w:r>
            <w:r w:rsidRPr="00FE1E17">
              <w:rPr>
                <w:i/>
                <w:sz w:val="22"/>
                <w:szCs w:val="22"/>
              </w:rPr>
              <w:t>|DA|: QR</w:t>
            </w:r>
            <w:r w:rsidRPr="00FE1E17">
              <w:rPr>
                <w:rFonts w:eastAsia="DFKai-SB"/>
                <w:i/>
                <w:sz w:val="22"/>
                <w:szCs w:val="22"/>
              </w:rPr>
              <w:t xml:space="preserve"> vs. OLS </w:t>
            </w:r>
          </w:p>
        </w:tc>
        <w:tc>
          <w:tcPr>
            <w:tcW w:w="1908" w:type="pct"/>
            <w:gridSpan w:val="2"/>
            <w:tcBorders>
              <w:top w:val="single" w:sz="12" w:space="0" w:color="auto"/>
              <w:left w:val="single" w:sz="12"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 xml:space="preserve">Tests of equality </w:t>
            </w:r>
            <w:r w:rsidRPr="00FE1E17">
              <w:rPr>
                <w:i/>
                <w:sz w:val="22"/>
                <w:szCs w:val="22"/>
              </w:rPr>
              <w:t>across quantiles</w:t>
            </w:r>
          </w:p>
        </w:tc>
      </w:tr>
      <w:tr w:rsidR="00FE1E17" w:rsidRPr="00FE1E17" w:rsidTr="00583009">
        <w:trPr>
          <w:trHeight w:val="345"/>
        </w:trPr>
        <w:tc>
          <w:tcPr>
            <w:tcW w:w="513"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Quant</w:t>
            </w:r>
            <w:r w:rsidRPr="00FE1E17">
              <w:rPr>
                <w:i/>
                <w:sz w:val="22"/>
                <w:szCs w:val="22"/>
              </w:rPr>
              <w:t>.</w:t>
            </w:r>
          </w:p>
        </w:tc>
        <w:tc>
          <w:tcPr>
            <w:tcW w:w="1033"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rFonts w:eastAsia="DFKai-SB"/>
                <w:i/>
                <w:sz w:val="22"/>
                <w:szCs w:val="22"/>
              </w:rPr>
            </w:pPr>
            <w:r w:rsidRPr="00FE1E17">
              <w:rPr>
                <w:i/>
                <w:sz w:val="22"/>
                <w:szCs w:val="22"/>
              </w:rPr>
              <w:t>Coeff.</w:t>
            </w:r>
            <w:r w:rsidRPr="00FE1E17">
              <w:rPr>
                <w:rFonts w:eastAsia="DFKai-SB"/>
                <w:i/>
                <w:sz w:val="22"/>
                <w:szCs w:val="22"/>
              </w:rPr>
              <w:t xml:space="preserve"> (p-value)</w:t>
            </w:r>
          </w:p>
        </w:tc>
        <w:tc>
          <w:tcPr>
            <w:tcW w:w="509"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Quant</w:t>
            </w:r>
            <w:r w:rsidRPr="00FE1E17">
              <w:rPr>
                <w:i/>
                <w:sz w:val="22"/>
                <w:szCs w:val="22"/>
              </w:rPr>
              <w:t>.</w:t>
            </w:r>
          </w:p>
        </w:tc>
        <w:tc>
          <w:tcPr>
            <w:tcW w:w="1037" w:type="pct"/>
            <w:gridSpan w:val="2"/>
            <w:tcBorders>
              <w:top w:val="nil"/>
              <w:left w:val="nil"/>
              <w:bottom w:val="single" w:sz="8" w:space="0" w:color="auto"/>
              <w:right w:val="single" w:sz="12" w:space="0" w:color="auto"/>
            </w:tcBorders>
            <w:shd w:val="clear" w:color="auto" w:fill="auto"/>
            <w:noWrap/>
            <w:vAlign w:val="center"/>
          </w:tcPr>
          <w:p w:rsidR="00FE1E17" w:rsidRPr="00FE1E17" w:rsidRDefault="00FE1E17" w:rsidP="00583009">
            <w:pPr>
              <w:jc w:val="center"/>
              <w:rPr>
                <w:rFonts w:eastAsia="DFKai-SB"/>
                <w:i/>
                <w:sz w:val="22"/>
                <w:szCs w:val="22"/>
              </w:rPr>
            </w:pPr>
            <w:r w:rsidRPr="00FE1E17">
              <w:rPr>
                <w:i/>
                <w:sz w:val="22"/>
                <w:szCs w:val="22"/>
              </w:rPr>
              <w:t>Coeff.</w:t>
            </w:r>
            <w:r w:rsidRPr="00FE1E17">
              <w:rPr>
                <w:rFonts w:eastAsia="DFKai-SB"/>
                <w:i/>
                <w:sz w:val="22"/>
                <w:szCs w:val="22"/>
              </w:rPr>
              <w:t xml:space="preserve"> (p-value)</w:t>
            </w:r>
          </w:p>
        </w:tc>
        <w:tc>
          <w:tcPr>
            <w:tcW w:w="742" w:type="pct"/>
            <w:tcBorders>
              <w:top w:val="nil"/>
              <w:left w:val="single" w:sz="12" w:space="0" w:color="auto"/>
              <w:bottom w:val="single" w:sz="8" w:space="0" w:color="auto"/>
              <w:right w:val="nil"/>
            </w:tcBorders>
            <w:shd w:val="clear" w:color="auto" w:fill="auto"/>
            <w:noWrap/>
            <w:vAlign w:val="center"/>
          </w:tcPr>
          <w:p w:rsidR="00FE1E17" w:rsidRPr="00FE1E17" w:rsidRDefault="00FE1E17" w:rsidP="00583009">
            <w:pPr>
              <w:jc w:val="center"/>
              <w:rPr>
                <w:i/>
                <w:sz w:val="22"/>
                <w:szCs w:val="22"/>
              </w:rPr>
            </w:pPr>
            <w:r w:rsidRPr="00FE1E17">
              <w:rPr>
                <w:rFonts w:eastAsia="DFKai-SB"/>
                <w:i/>
                <w:sz w:val="22"/>
                <w:szCs w:val="22"/>
              </w:rPr>
              <w:t>Quant</w:t>
            </w:r>
            <w:r w:rsidRPr="00FE1E17">
              <w:rPr>
                <w:i/>
                <w:sz w:val="22"/>
                <w:szCs w:val="22"/>
              </w:rPr>
              <w:t>.</w:t>
            </w:r>
          </w:p>
        </w:tc>
        <w:tc>
          <w:tcPr>
            <w:tcW w:w="1166" w:type="pct"/>
            <w:tcBorders>
              <w:top w:val="nil"/>
              <w:left w:val="nil"/>
              <w:bottom w:val="single" w:sz="8" w:space="0" w:color="auto"/>
              <w:right w:val="nil"/>
            </w:tcBorders>
            <w:shd w:val="clear" w:color="auto" w:fill="auto"/>
            <w:noWrap/>
            <w:vAlign w:val="center"/>
          </w:tcPr>
          <w:p w:rsidR="00FE1E17" w:rsidRPr="00FE1E17" w:rsidRDefault="00FE1E17" w:rsidP="00583009">
            <w:pPr>
              <w:jc w:val="center"/>
              <w:rPr>
                <w:rFonts w:eastAsia="DFKai-SB"/>
                <w:i/>
                <w:sz w:val="22"/>
                <w:szCs w:val="22"/>
              </w:rPr>
            </w:pPr>
            <w:r w:rsidRPr="00FE1E17">
              <w:rPr>
                <w:i/>
                <w:sz w:val="22"/>
                <w:szCs w:val="22"/>
              </w:rPr>
              <w:t>F-statistic</w:t>
            </w:r>
            <w:r w:rsidRPr="00FE1E17">
              <w:rPr>
                <w:rFonts w:eastAsia="DFKai-SB"/>
                <w:i/>
                <w:sz w:val="22"/>
                <w:szCs w:val="22"/>
              </w:rPr>
              <w:t xml:space="preserve"> (p-value)</w:t>
            </w:r>
          </w:p>
        </w:tc>
      </w:tr>
      <w:tr w:rsidR="00FE1E17" w:rsidRPr="00FE1E17" w:rsidTr="00583009">
        <w:trPr>
          <w:trHeight w:val="397"/>
        </w:trPr>
        <w:tc>
          <w:tcPr>
            <w:tcW w:w="3092" w:type="pct"/>
            <w:gridSpan w:val="5"/>
            <w:tcBorders>
              <w:left w:val="nil"/>
              <w:right w:val="single" w:sz="12" w:space="0" w:color="auto"/>
            </w:tcBorders>
            <w:shd w:val="clear" w:color="auto" w:fill="auto"/>
            <w:noWrap/>
            <w:vAlign w:val="center"/>
          </w:tcPr>
          <w:p w:rsidR="00FE1E17" w:rsidRPr="00FE1E17" w:rsidRDefault="00FE1E17" w:rsidP="00583009">
            <w:pPr>
              <w:adjustRightInd w:val="0"/>
              <w:snapToGrid w:val="0"/>
              <w:rPr>
                <w:rFonts w:eastAsia="DFKai-SB"/>
                <w:b/>
                <w:i/>
                <w:sz w:val="22"/>
                <w:szCs w:val="22"/>
              </w:rPr>
            </w:pPr>
            <w:r w:rsidRPr="00FE1E17">
              <w:rPr>
                <w:rFonts w:eastAsia="DFKai-SB"/>
                <w:b/>
                <w:i/>
                <w:sz w:val="22"/>
                <w:szCs w:val="22"/>
              </w:rPr>
              <w:t>Panel A: Pre-SOX (1992~2001)</w:t>
            </w:r>
          </w:p>
        </w:tc>
        <w:tc>
          <w:tcPr>
            <w:tcW w:w="742" w:type="pct"/>
            <w:tcBorders>
              <w:left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c>
          <w:tcPr>
            <w:tcW w:w="1166" w:type="pct"/>
            <w:tcBorders>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r>
      <w:tr w:rsidR="00FE1E17" w:rsidRPr="00FE1E17" w:rsidTr="00583009">
        <w:trPr>
          <w:trHeight w:val="397"/>
        </w:trPr>
        <w:tc>
          <w:tcPr>
            <w:tcW w:w="513" w:type="pct"/>
            <w:tcBorders>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5</w:t>
            </w:r>
            <w:r w:rsidRPr="00FE1E17">
              <w:rPr>
                <w:sz w:val="22"/>
                <w:szCs w:val="22"/>
              </w:rPr>
              <w:t>%</w:t>
            </w:r>
          </w:p>
        </w:tc>
        <w:tc>
          <w:tcPr>
            <w:tcW w:w="1033" w:type="pct"/>
            <w:tcBorders>
              <w:left w:val="nil"/>
              <w:bottom w:val="nil"/>
              <w:right w:val="nil"/>
            </w:tcBorders>
            <w:shd w:val="clear" w:color="auto" w:fill="auto"/>
            <w:noWrap/>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-0.668</w:t>
            </w:r>
            <w:r w:rsidRPr="00FE1E17">
              <w:rPr>
                <w:rFonts w:eastAsia="DFKai-SB"/>
                <w:sz w:val="22"/>
                <w:szCs w:val="22"/>
              </w:rPr>
              <w:t xml:space="preserve"> (0.000)**</w:t>
            </w:r>
          </w:p>
        </w:tc>
        <w:tc>
          <w:tcPr>
            <w:tcW w:w="509" w:type="pct"/>
            <w:tcBorders>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95</w:t>
            </w:r>
            <w:r w:rsidRPr="00FE1E17">
              <w:rPr>
                <w:sz w:val="22"/>
                <w:szCs w:val="22"/>
              </w:rPr>
              <w:t>%</w:t>
            </w:r>
          </w:p>
        </w:tc>
        <w:tc>
          <w:tcPr>
            <w:tcW w:w="1037" w:type="pct"/>
            <w:gridSpan w:val="2"/>
            <w:tcBorders>
              <w:left w:val="nil"/>
              <w:bottom w:val="nil"/>
              <w:right w:val="single" w:sz="12" w:space="0" w:color="auto"/>
            </w:tcBorders>
            <w:shd w:val="clear" w:color="auto" w:fill="auto"/>
            <w:noWrap/>
            <w:vAlign w:val="center"/>
          </w:tcPr>
          <w:p w:rsidR="00FE1E17" w:rsidRPr="00FE1E17" w:rsidRDefault="00FE1E17" w:rsidP="0015071E">
            <w:pPr>
              <w:tabs>
                <w:tab w:val="decimal" w:pos="395"/>
              </w:tabs>
              <w:adjustRightInd w:val="0"/>
              <w:snapToGrid w:val="0"/>
              <w:spacing w:before="120"/>
              <w:rPr>
                <w:rFonts w:eastAsia="DFKai-SB"/>
                <w:sz w:val="22"/>
                <w:szCs w:val="22"/>
              </w:rPr>
            </w:pPr>
            <w:r w:rsidRPr="00FE1E17">
              <w:rPr>
                <w:rFonts w:eastAsia="DFKai-SB"/>
                <w:kern w:val="0"/>
                <w:sz w:val="22"/>
                <w:szCs w:val="22"/>
              </w:rPr>
              <w:t>2.994</w:t>
            </w:r>
            <w:r w:rsidRPr="00FE1E17">
              <w:rPr>
                <w:rFonts w:eastAsia="DFKai-SB"/>
                <w:sz w:val="22"/>
                <w:szCs w:val="22"/>
              </w:rPr>
              <w:t xml:space="preserve"> (0.000)**</w:t>
            </w:r>
          </w:p>
        </w:tc>
        <w:tc>
          <w:tcPr>
            <w:tcW w:w="742" w:type="pct"/>
            <w:tcBorders>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5</w:t>
            </w:r>
            <w:r w:rsidRPr="00FE1E17">
              <w:rPr>
                <w:sz w:val="22"/>
                <w:szCs w:val="22"/>
              </w:rPr>
              <w:t>%</w:t>
            </w:r>
            <w:r w:rsidRPr="00FE1E17">
              <w:rPr>
                <w:rFonts w:eastAsia="DFKai-SB"/>
                <w:sz w:val="22"/>
                <w:szCs w:val="22"/>
              </w:rPr>
              <w:t xml:space="preserve"> </w:t>
            </w:r>
            <w:r w:rsidRPr="00FE1E17">
              <w:rPr>
                <w:sz w:val="22"/>
                <w:szCs w:val="22"/>
              </w:rPr>
              <w:t xml:space="preserve">vs. </w:t>
            </w:r>
            <w:r w:rsidRPr="00FE1E17">
              <w:rPr>
                <w:rFonts w:eastAsia="DFKai-SB"/>
                <w:sz w:val="22"/>
                <w:szCs w:val="22"/>
              </w:rPr>
              <w:t>95</w:t>
            </w:r>
            <w:r w:rsidRPr="00FE1E17">
              <w:rPr>
                <w:sz w:val="22"/>
                <w:szCs w:val="22"/>
              </w:rPr>
              <w:t>%</w:t>
            </w:r>
          </w:p>
        </w:tc>
        <w:tc>
          <w:tcPr>
            <w:tcW w:w="1166" w:type="pct"/>
            <w:tcBorders>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44.56 (0.0000)**</w:t>
            </w:r>
          </w:p>
        </w:tc>
      </w:tr>
      <w:tr w:rsidR="00FE1E17" w:rsidRPr="00FE1E17" w:rsidTr="00583009">
        <w:trPr>
          <w:trHeight w:val="397"/>
        </w:trPr>
        <w:tc>
          <w:tcPr>
            <w:tcW w:w="513"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10</w:t>
            </w:r>
            <w:r w:rsidRPr="00FE1E17">
              <w:rPr>
                <w:sz w:val="22"/>
                <w:szCs w:val="22"/>
              </w:rPr>
              <w:t>%</w:t>
            </w:r>
          </w:p>
        </w:tc>
        <w:tc>
          <w:tcPr>
            <w:tcW w:w="1033" w:type="pct"/>
            <w:tcBorders>
              <w:top w:val="nil"/>
              <w:left w:val="nil"/>
              <w:bottom w:val="nil"/>
              <w:right w:val="nil"/>
            </w:tcBorders>
            <w:shd w:val="clear" w:color="auto" w:fill="auto"/>
            <w:noWrap/>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-0.699</w:t>
            </w:r>
            <w:r w:rsidRPr="00FE1E17">
              <w:rPr>
                <w:rFonts w:eastAsia="DFKai-SB"/>
                <w:sz w:val="22"/>
                <w:szCs w:val="22"/>
              </w:rPr>
              <w:t xml:space="preserve"> (0.000)**</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90</w:t>
            </w:r>
            <w:r w:rsidRPr="00FE1E17">
              <w:rPr>
                <w:sz w:val="22"/>
                <w:szCs w:val="22"/>
              </w:rPr>
              <w:t>%</w:t>
            </w:r>
          </w:p>
        </w:tc>
        <w:tc>
          <w:tcPr>
            <w:tcW w:w="1037" w:type="pct"/>
            <w:gridSpan w:val="2"/>
            <w:tcBorders>
              <w:top w:val="nil"/>
              <w:left w:val="nil"/>
              <w:bottom w:val="nil"/>
              <w:right w:val="single" w:sz="12" w:space="0" w:color="auto"/>
            </w:tcBorders>
            <w:shd w:val="clear" w:color="auto" w:fill="auto"/>
            <w:noWrap/>
            <w:vAlign w:val="center"/>
          </w:tcPr>
          <w:p w:rsidR="00FE1E17" w:rsidRPr="00FE1E17" w:rsidRDefault="00FE1E17" w:rsidP="0015071E">
            <w:pPr>
              <w:tabs>
                <w:tab w:val="decimal" w:pos="395"/>
              </w:tabs>
              <w:adjustRightInd w:val="0"/>
              <w:snapToGrid w:val="0"/>
              <w:spacing w:before="120"/>
              <w:rPr>
                <w:rFonts w:eastAsia="DFKai-SB"/>
                <w:sz w:val="22"/>
                <w:szCs w:val="22"/>
              </w:rPr>
            </w:pPr>
            <w:r w:rsidRPr="00FE1E17">
              <w:rPr>
                <w:rFonts w:eastAsia="DFKai-SB"/>
                <w:kern w:val="0"/>
                <w:sz w:val="22"/>
                <w:szCs w:val="22"/>
              </w:rPr>
              <w:t>1.475</w:t>
            </w:r>
            <w:r w:rsidRPr="00FE1E17">
              <w:rPr>
                <w:rFonts w:eastAsia="DFKai-SB"/>
                <w:sz w:val="22"/>
                <w:szCs w:val="22"/>
              </w:rPr>
              <w:t xml:space="preserve"> (0.000)**</w:t>
            </w:r>
          </w:p>
        </w:tc>
        <w:tc>
          <w:tcPr>
            <w:tcW w:w="742"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90</w:t>
            </w:r>
            <w:r w:rsidRPr="00FE1E17">
              <w:rPr>
                <w:sz w:val="22"/>
                <w:szCs w:val="22"/>
              </w:rPr>
              <w:t>%</w:t>
            </w:r>
          </w:p>
        </w:tc>
        <w:tc>
          <w:tcPr>
            <w:tcW w:w="1166"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25.90 (0.0000)**</w:t>
            </w:r>
          </w:p>
        </w:tc>
      </w:tr>
      <w:tr w:rsidR="00FE1E17" w:rsidRPr="00FE1E17" w:rsidTr="00583009">
        <w:trPr>
          <w:trHeight w:val="397"/>
        </w:trPr>
        <w:tc>
          <w:tcPr>
            <w:tcW w:w="513"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15</w:t>
            </w:r>
            <w:r w:rsidRPr="00FE1E17">
              <w:rPr>
                <w:sz w:val="22"/>
                <w:szCs w:val="22"/>
              </w:rPr>
              <w:t>%</w:t>
            </w:r>
          </w:p>
        </w:tc>
        <w:tc>
          <w:tcPr>
            <w:tcW w:w="1033" w:type="pct"/>
            <w:tcBorders>
              <w:top w:val="nil"/>
              <w:left w:val="nil"/>
              <w:bottom w:val="nil"/>
              <w:right w:val="nil"/>
            </w:tcBorders>
            <w:shd w:val="clear" w:color="auto" w:fill="auto"/>
            <w:noWrap/>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-0.641</w:t>
            </w:r>
            <w:r w:rsidRPr="00FE1E17">
              <w:rPr>
                <w:rFonts w:eastAsia="DFKai-SB"/>
                <w:sz w:val="22"/>
                <w:szCs w:val="22"/>
              </w:rPr>
              <w:t xml:space="preserve"> (0.000)**</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85</w:t>
            </w:r>
            <w:r w:rsidRPr="00FE1E17">
              <w:rPr>
                <w:sz w:val="22"/>
                <w:szCs w:val="22"/>
              </w:rPr>
              <w:t>%</w:t>
            </w:r>
          </w:p>
        </w:tc>
        <w:tc>
          <w:tcPr>
            <w:tcW w:w="1037" w:type="pct"/>
            <w:gridSpan w:val="2"/>
            <w:tcBorders>
              <w:top w:val="nil"/>
              <w:left w:val="nil"/>
              <w:bottom w:val="nil"/>
              <w:right w:val="single" w:sz="12" w:space="0" w:color="auto"/>
            </w:tcBorders>
            <w:shd w:val="clear" w:color="auto" w:fill="auto"/>
            <w:noWrap/>
            <w:vAlign w:val="center"/>
          </w:tcPr>
          <w:p w:rsidR="00FE1E17" w:rsidRPr="00FE1E17" w:rsidRDefault="00FE1E17" w:rsidP="0015071E">
            <w:pPr>
              <w:tabs>
                <w:tab w:val="decimal" w:pos="395"/>
              </w:tabs>
              <w:adjustRightInd w:val="0"/>
              <w:snapToGrid w:val="0"/>
              <w:spacing w:before="120"/>
              <w:rPr>
                <w:rFonts w:eastAsia="DFKai-SB"/>
                <w:sz w:val="22"/>
                <w:szCs w:val="22"/>
              </w:rPr>
            </w:pPr>
            <w:r w:rsidRPr="00FE1E17">
              <w:rPr>
                <w:rFonts w:eastAsia="DFKai-SB"/>
                <w:kern w:val="0"/>
                <w:sz w:val="22"/>
                <w:szCs w:val="22"/>
              </w:rPr>
              <w:t>0.914</w:t>
            </w:r>
            <w:r w:rsidRPr="00FE1E17">
              <w:rPr>
                <w:rFonts w:eastAsia="DFKai-SB"/>
                <w:sz w:val="22"/>
                <w:szCs w:val="22"/>
              </w:rPr>
              <w:t xml:space="preserve"> (0.000)**</w:t>
            </w:r>
          </w:p>
        </w:tc>
        <w:tc>
          <w:tcPr>
            <w:tcW w:w="742"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85</w:t>
            </w:r>
            <w:r w:rsidRPr="00FE1E17">
              <w:rPr>
                <w:sz w:val="22"/>
                <w:szCs w:val="22"/>
              </w:rPr>
              <w:t>%</w:t>
            </w:r>
          </w:p>
        </w:tc>
        <w:tc>
          <w:tcPr>
            <w:tcW w:w="1166"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55.74 (0.0000)**</w:t>
            </w:r>
          </w:p>
        </w:tc>
      </w:tr>
      <w:tr w:rsidR="00FE1E17" w:rsidRPr="00FE1E17" w:rsidTr="00583009">
        <w:trPr>
          <w:trHeight w:val="397"/>
        </w:trPr>
        <w:tc>
          <w:tcPr>
            <w:tcW w:w="51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-0.583</w:t>
            </w:r>
            <w:r w:rsidRPr="00FE1E17">
              <w:rPr>
                <w:rFonts w:eastAsia="DFKai-SB"/>
                <w:sz w:val="22"/>
                <w:szCs w:val="22"/>
              </w:rPr>
              <w:t xml:space="preserve"> (0.000)**</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80</w:t>
            </w:r>
            <w:r w:rsidRPr="00FE1E17">
              <w:rPr>
                <w:sz w:val="22"/>
                <w:szCs w:val="22"/>
              </w:rPr>
              <w:t>%</w:t>
            </w:r>
          </w:p>
        </w:tc>
        <w:tc>
          <w:tcPr>
            <w:tcW w:w="1037" w:type="pct"/>
            <w:gridSpan w:val="2"/>
            <w:tcBorders>
              <w:top w:val="nil"/>
              <w:left w:val="nil"/>
              <w:bottom w:val="nil"/>
              <w:right w:val="single" w:sz="12" w:space="0" w:color="auto"/>
            </w:tcBorders>
            <w:shd w:val="clear" w:color="auto" w:fill="auto"/>
            <w:noWrap/>
            <w:vAlign w:val="center"/>
          </w:tcPr>
          <w:p w:rsidR="00FE1E17" w:rsidRPr="00FE1E17" w:rsidRDefault="00FE1E17" w:rsidP="0015071E">
            <w:pPr>
              <w:tabs>
                <w:tab w:val="decimal" w:pos="395"/>
              </w:tabs>
              <w:adjustRightInd w:val="0"/>
              <w:snapToGrid w:val="0"/>
              <w:rPr>
                <w:rFonts w:eastAsia="DFKai-SB"/>
                <w:sz w:val="22"/>
                <w:szCs w:val="22"/>
              </w:rPr>
            </w:pPr>
            <w:r w:rsidRPr="00FE1E17">
              <w:rPr>
                <w:rFonts w:eastAsia="DFKai-SB"/>
                <w:kern w:val="0"/>
                <w:sz w:val="22"/>
                <w:szCs w:val="22"/>
              </w:rPr>
              <w:t>0.450</w:t>
            </w:r>
            <w:r w:rsidRPr="00FE1E17">
              <w:rPr>
                <w:rFonts w:eastAsia="DFKai-SB"/>
                <w:sz w:val="22"/>
                <w:szCs w:val="22"/>
              </w:rPr>
              <w:t xml:space="preserve"> (0.030)*</w:t>
            </w:r>
          </w:p>
        </w:tc>
        <w:tc>
          <w:tcPr>
            <w:tcW w:w="742"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80</w:t>
            </w:r>
            <w:r w:rsidRPr="00FE1E17">
              <w:rPr>
                <w:sz w:val="22"/>
                <w:szCs w:val="22"/>
              </w:rPr>
              <w:t>%</w:t>
            </w:r>
          </w:p>
        </w:tc>
        <w:tc>
          <w:tcPr>
            <w:tcW w:w="1166"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25.50 (0.0000)**</w:t>
            </w:r>
          </w:p>
        </w:tc>
      </w:tr>
      <w:tr w:rsidR="00FE1E17" w:rsidRPr="00FE1E17" w:rsidTr="00583009">
        <w:trPr>
          <w:trHeight w:val="397"/>
        </w:trPr>
        <w:tc>
          <w:tcPr>
            <w:tcW w:w="51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25</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-0.531</w:t>
            </w:r>
            <w:r w:rsidRPr="00FE1E17">
              <w:rPr>
                <w:rFonts w:eastAsia="DFKai-SB"/>
                <w:sz w:val="22"/>
                <w:szCs w:val="22"/>
              </w:rPr>
              <w:t xml:space="preserve"> (0.000)**</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75</w:t>
            </w:r>
            <w:r w:rsidRPr="00FE1E17">
              <w:rPr>
                <w:sz w:val="22"/>
                <w:szCs w:val="22"/>
              </w:rPr>
              <w:t>%</w:t>
            </w:r>
          </w:p>
        </w:tc>
        <w:tc>
          <w:tcPr>
            <w:tcW w:w="1037" w:type="pct"/>
            <w:gridSpan w:val="2"/>
            <w:tcBorders>
              <w:top w:val="nil"/>
              <w:left w:val="nil"/>
              <w:bottom w:val="nil"/>
              <w:right w:val="single" w:sz="12" w:space="0" w:color="auto"/>
            </w:tcBorders>
            <w:shd w:val="clear" w:color="auto" w:fill="auto"/>
            <w:noWrap/>
            <w:vAlign w:val="center"/>
          </w:tcPr>
          <w:p w:rsidR="00FE1E17" w:rsidRPr="00FE1E17" w:rsidRDefault="00FE1E17" w:rsidP="0015071E">
            <w:pPr>
              <w:tabs>
                <w:tab w:val="decimal" w:pos="395"/>
              </w:tabs>
              <w:adjustRightInd w:val="0"/>
              <w:snapToGrid w:val="0"/>
              <w:rPr>
                <w:rFonts w:eastAsia="DFKai-SB"/>
                <w:sz w:val="22"/>
                <w:szCs w:val="22"/>
              </w:rPr>
            </w:pPr>
            <w:r w:rsidRPr="00FE1E17">
              <w:rPr>
                <w:rFonts w:eastAsia="DFKai-SB"/>
                <w:kern w:val="0"/>
                <w:sz w:val="22"/>
                <w:szCs w:val="22"/>
              </w:rPr>
              <w:t>0.222</w:t>
            </w:r>
            <w:r w:rsidRPr="00FE1E17">
              <w:rPr>
                <w:rFonts w:eastAsia="DFKai-SB"/>
                <w:sz w:val="22"/>
                <w:szCs w:val="22"/>
              </w:rPr>
              <w:t xml:space="preserve"> (0.150)</w:t>
            </w:r>
          </w:p>
        </w:tc>
        <w:tc>
          <w:tcPr>
            <w:tcW w:w="742"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75</w:t>
            </w:r>
            <w:r w:rsidRPr="00FE1E17">
              <w:rPr>
                <w:sz w:val="22"/>
                <w:szCs w:val="22"/>
              </w:rPr>
              <w:t>%</w:t>
            </w:r>
          </w:p>
        </w:tc>
        <w:tc>
          <w:tcPr>
            <w:tcW w:w="1166"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20.19 (0.0000)**</w:t>
            </w:r>
          </w:p>
        </w:tc>
      </w:tr>
      <w:tr w:rsidR="00FE1E17" w:rsidRPr="00FE1E17" w:rsidTr="00583009">
        <w:trPr>
          <w:trHeight w:val="397"/>
        </w:trPr>
        <w:tc>
          <w:tcPr>
            <w:tcW w:w="51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-0.449</w:t>
            </w:r>
            <w:r w:rsidRPr="00FE1E17">
              <w:rPr>
                <w:rFonts w:eastAsia="DFKai-SB"/>
                <w:sz w:val="22"/>
                <w:szCs w:val="22"/>
              </w:rPr>
              <w:t xml:space="preserve"> (0.000)**</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70</w:t>
            </w:r>
            <w:r w:rsidRPr="00FE1E17">
              <w:rPr>
                <w:sz w:val="22"/>
                <w:szCs w:val="22"/>
              </w:rPr>
              <w:t>%</w:t>
            </w:r>
          </w:p>
        </w:tc>
        <w:tc>
          <w:tcPr>
            <w:tcW w:w="1037" w:type="pct"/>
            <w:gridSpan w:val="2"/>
            <w:tcBorders>
              <w:top w:val="nil"/>
              <w:left w:val="nil"/>
              <w:bottom w:val="nil"/>
              <w:right w:val="single" w:sz="12" w:space="0" w:color="auto"/>
            </w:tcBorders>
            <w:shd w:val="clear" w:color="auto" w:fill="auto"/>
            <w:noWrap/>
            <w:vAlign w:val="center"/>
          </w:tcPr>
          <w:p w:rsidR="00FE1E17" w:rsidRPr="00FE1E17" w:rsidRDefault="00FE1E17" w:rsidP="0015071E">
            <w:pPr>
              <w:tabs>
                <w:tab w:val="decimal" w:pos="395"/>
              </w:tabs>
              <w:adjustRightInd w:val="0"/>
              <w:snapToGrid w:val="0"/>
              <w:rPr>
                <w:rFonts w:eastAsia="DFKai-SB"/>
                <w:sz w:val="22"/>
                <w:szCs w:val="22"/>
              </w:rPr>
            </w:pPr>
            <w:r w:rsidRPr="00FE1E17">
              <w:rPr>
                <w:rFonts w:eastAsia="DFKai-SB"/>
                <w:kern w:val="0"/>
                <w:sz w:val="22"/>
                <w:szCs w:val="22"/>
              </w:rPr>
              <w:t>0.027</w:t>
            </w:r>
            <w:r w:rsidRPr="00FE1E17">
              <w:rPr>
                <w:rFonts w:eastAsia="DFKai-SB"/>
                <w:sz w:val="22"/>
                <w:szCs w:val="22"/>
              </w:rPr>
              <w:t xml:space="preserve"> (0.759)</w:t>
            </w:r>
          </w:p>
        </w:tc>
        <w:tc>
          <w:tcPr>
            <w:tcW w:w="742"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70</w:t>
            </w:r>
            <w:r w:rsidRPr="00FE1E17">
              <w:rPr>
                <w:sz w:val="22"/>
                <w:szCs w:val="22"/>
              </w:rPr>
              <w:t>%</w:t>
            </w:r>
          </w:p>
        </w:tc>
        <w:tc>
          <w:tcPr>
            <w:tcW w:w="1166"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25.20 (0.0000)**</w:t>
            </w:r>
          </w:p>
        </w:tc>
      </w:tr>
      <w:tr w:rsidR="00FE1E17" w:rsidRPr="00FE1E17" w:rsidTr="00583009">
        <w:trPr>
          <w:trHeight w:val="397"/>
        </w:trPr>
        <w:tc>
          <w:tcPr>
            <w:tcW w:w="51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35</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-0.324</w:t>
            </w:r>
            <w:r w:rsidRPr="00FE1E17">
              <w:rPr>
                <w:rFonts w:eastAsia="DFKai-SB"/>
                <w:sz w:val="22"/>
                <w:szCs w:val="22"/>
              </w:rPr>
              <w:t xml:space="preserve"> (0.000)**</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65</w:t>
            </w:r>
            <w:r w:rsidRPr="00FE1E17">
              <w:rPr>
                <w:sz w:val="22"/>
                <w:szCs w:val="22"/>
              </w:rPr>
              <w:t>%</w:t>
            </w:r>
          </w:p>
        </w:tc>
        <w:tc>
          <w:tcPr>
            <w:tcW w:w="1037" w:type="pct"/>
            <w:gridSpan w:val="2"/>
            <w:tcBorders>
              <w:top w:val="nil"/>
              <w:left w:val="nil"/>
              <w:bottom w:val="nil"/>
              <w:right w:val="single" w:sz="12" w:space="0" w:color="auto"/>
            </w:tcBorders>
            <w:shd w:val="clear" w:color="auto" w:fill="auto"/>
            <w:noWrap/>
            <w:vAlign w:val="center"/>
          </w:tcPr>
          <w:p w:rsidR="00FE1E17" w:rsidRPr="00FE1E17" w:rsidRDefault="00FE1E17" w:rsidP="0015071E">
            <w:pPr>
              <w:tabs>
                <w:tab w:val="decimal" w:pos="395"/>
              </w:tabs>
              <w:adjustRightInd w:val="0"/>
              <w:snapToGrid w:val="0"/>
              <w:rPr>
                <w:rFonts w:eastAsia="DFKai-SB"/>
                <w:sz w:val="22"/>
                <w:szCs w:val="22"/>
              </w:rPr>
            </w:pPr>
            <w:r w:rsidRPr="00FE1E17">
              <w:rPr>
                <w:rFonts w:eastAsia="DFKai-SB"/>
                <w:kern w:val="0"/>
                <w:sz w:val="22"/>
                <w:szCs w:val="22"/>
              </w:rPr>
              <w:t>-0.080</w:t>
            </w:r>
            <w:r w:rsidRPr="00FE1E17">
              <w:rPr>
                <w:rFonts w:eastAsia="DFKai-SB"/>
                <w:sz w:val="22"/>
                <w:szCs w:val="22"/>
              </w:rPr>
              <w:t xml:space="preserve"> (0.184)</w:t>
            </w:r>
          </w:p>
        </w:tc>
        <w:tc>
          <w:tcPr>
            <w:tcW w:w="742"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65</w:t>
            </w:r>
            <w:r w:rsidRPr="00FE1E17">
              <w:rPr>
                <w:sz w:val="22"/>
                <w:szCs w:val="22"/>
              </w:rPr>
              <w:t>%</w:t>
            </w:r>
          </w:p>
        </w:tc>
        <w:tc>
          <w:tcPr>
            <w:tcW w:w="1166"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9.05 (0.0026)**</w:t>
            </w:r>
          </w:p>
        </w:tc>
      </w:tr>
      <w:tr w:rsidR="00FE1E17" w:rsidRPr="00FE1E17" w:rsidTr="00583009">
        <w:trPr>
          <w:trHeight w:val="397"/>
        </w:trPr>
        <w:tc>
          <w:tcPr>
            <w:tcW w:w="51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-0.288</w:t>
            </w:r>
            <w:r w:rsidRPr="00FE1E17">
              <w:rPr>
                <w:rFonts w:eastAsia="DFKai-SB"/>
                <w:sz w:val="22"/>
                <w:szCs w:val="22"/>
              </w:rPr>
              <w:t xml:space="preserve"> (0.000)**</w:t>
            </w:r>
          </w:p>
        </w:tc>
        <w:tc>
          <w:tcPr>
            <w:tcW w:w="509"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60</w:t>
            </w:r>
            <w:r w:rsidRPr="00FE1E17">
              <w:rPr>
                <w:sz w:val="22"/>
                <w:szCs w:val="22"/>
              </w:rPr>
              <w:t>%</w:t>
            </w:r>
          </w:p>
        </w:tc>
        <w:tc>
          <w:tcPr>
            <w:tcW w:w="1037" w:type="pct"/>
            <w:gridSpan w:val="2"/>
            <w:tcBorders>
              <w:top w:val="nil"/>
              <w:left w:val="nil"/>
              <w:bottom w:val="nil"/>
              <w:right w:val="single" w:sz="12" w:space="0" w:color="auto"/>
            </w:tcBorders>
            <w:shd w:val="clear" w:color="auto" w:fill="auto"/>
            <w:noWrap/>
            <w:vAlign w:val="center"/>
          </w:tcPr>
          <w:p w:rsidR="00FE1E17" w:rsidRPr="00FE1E17" w:rsidRDefault="00FE1E17" w:rsidP="0015071E">
            <w:pPr>
              <w:tabs>
                <w:tab w:val="decimal" w:pos="395"/>
              </w:tabs>
              <w:adjustRightInd w:val="0"/>
              <w:snapToGrid w:val="0"/>
              <w:rPr>
                <w:rFonts w:eastAsia="DFKai-SB"/>
                <w:sz w:val="22"/>
                <w:szCs w:val="22"/>
              </w:rPr>
            </w:pPr>
            <w:r w:rsidRPr="00FE1E17">
              <w:rPr>
                <w:rFonts w:eastAsia="DFKai-SB"/>
                <w:kern w:val="0"/>
                <w:sz w:val="22"/>
                <w:szCs w:val="22"/>
              </w:rPr>
              <w:t>-0.110</w:t>
            </w:r>
            <w:r w:rsidRPr="00FE1E17">
              <w:rPr>
                <w:rFonts w:eastAsia="DFKai-SB"/>
                <w:sz w:val="22"/>
                <w:szCs w:val="22"/>
              </w:rPr>
              <w:t xml:space="preserve"> (0.026)*</w:t>
            </w:r>
          </w:p>
        </w:tc>
        <w:tc>
          <w:tcPr>
            <w:tcW w:w="742"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60</w:t>
            </w:r>
            <w:r w:rsidRPr="00FE1E17">
              <w:rPr>
                <w:sz w:val="22"/>
                <w:szCs w:val="22"/>
              </w:rPr>
              <w:t>%</w:t>
            </w:r>
          </w:p>
        </w:tc>
        <w:tc>
          <w:tcPr>
            <w:tcW w:w="1166"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13.35 (0.0003)**</w:t>
            </w:r>
          </w:p>
        </w:tc>
      </w:tr>
      <w:tr w:rsidR="00FE1E17" w:rsidRPr="00FE1E17" w:rsidTr="00583009">
        <w:trPr>
          <w:trHeight w:val="397"/>
        </w:trPr>
        <w:tc>
          <w:tcPr>
            <w:tcW w:w="513"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45</w:t>
            </w:r>
            <w:r w:rsidRPr="00FE1E17">
              <w:rPr>
                <w:sz w:val="22"/>
                <w:szCs w:val="22"/>
              </w:rPr>
              <w:t>%</w:t>
            </w:r>
          </w:p>
        </w:tc>
        <w:tc>
          <w:tcPr>
            <w:tcW w:w="1033"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-0.262</w:t>
            </w:r>
            <w:r w:rsidRPr="00FE1E17">
              <w:rPr>
                <w:rFonts w:eastAsia="DFKai-SB"/>
                <w:sz w:val="22"/>
                <w:szCs w:val="22"/>
              </w:rPr>
              <w:t xml:space="preserve"> (0.000)**</w:t>
            </w:r>
          </w:p>
        </w:tc>
        <w:tc>
          <w:tcPr>
            <w:tcW w:w="509"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55</w:t>
            </w:r>
            <w:r w:rsidRPr="00FE1E17">
              <w:rPr>
                <w:sz w:val="22"/>
                <w:szCs w:val="22"/>
              </w:rPr>
              <w:t>%</w:t>
            </w:r>
          </w:p>
        </w:tc>
        <w:tc>
          <w:tcPr>
            <w:tcW w:w="1037" w:type="pct"/>
            <w:gridSpan w:val="2"/>
            <w:tcBorders>
              <w:top w:val="nil"/>
              <w:left w:val="nil"/>
              <w:right w:val="single" w:sz="12" w:space="0" w:color="auto"/>
            </w:tcBorders>
            <w:shd w:val="clear" w:color="auto" w:fill="auto"/>
            <w:noWrap/>
            <w:vAlign w:val="center"/>
          </w:tcPr>
          <w:p w:rsidR="00FE1E17" w:rsidRPr="00FE1E17" w:rsidRDefault="00FE1E17" w:rsidP="0015071E">
            <w:pPr>
              <w:tabs>
                <w:tab w:val="decimal" w:pos="395"/>
              </w:tabs>
              <w:adjustRightInd w:val="0"/>
              <w:snapToGrid w:val="0"/>
              <w:rPr>
                <w:rFonts w:eastAsia="DFKai-SB"/>
                <w:sz w:val="22"/>
                <w:szCs w:val="22"/>
              </w:rPr>
            </w:pPr>
            <w:r w:rsidRPr="00FE1E17">
              <w:rPr>
                <w:rFonts w:eastAsia="DFKai-SB"/>
                <w:kern w:val="0"/>
                <w:sz w:val="22"/>
                <w:szCs w:val="22"/>
              </w:rPr>
              <w:t>-0.148</w:t>
            </w:r>
            <w:r w:rsidRPr="00FE1E17">
              <w:rPr>
                <w:rFonts w:eastAsia="DFKai-SB"/>
                <w:sz w:val="22"/>
                <w:szCs w:val="22"/>
              </w:rPr>
              <w:t xml:space="preserve"> (0.011)*</w:t>
            </w:r>
          </w:p>
        </w:tc>
        <w:tc>
          <w:tcPr>
            <w:tcW w:w="742" w:type="pct"/>
            <w:tcBorders>
              <w:top w:val="nil"/>
              <w:left w:val="single" w:sz="12" w:space="0" w:color="auto"/>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55</w:t>
            </w:r>
            <w:r w:rsidRPr="00FE1E17">
              <w:rPr>
                <w:sz w:val="22"/>
                <w:szCs w:val="22"/>
              </w:rPr>
              <w:t>%</w:t>
            </w:r>
          </w:p>
        </w:tc>
        <w:tc>
          <w:tcPr>
            <w:tcW w:w="1166"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8.21 (0.0042)**</w:t>
            </w:r>
          </w:p>
        </w:tc>
      </w:tr>
      <w:tr w:rsidR="00FE1E17" w:rsidRPr="00FE1E17" w:rsidTr="00583009">
        <w:trPr>
          <w:trHeight w:val="397"/>
        </w:trPr>
        <w:tc>
          <w:tcPr>
            <w:tcW w:w="513"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b/>
                <w:sz w:val="22"/>
                <w:szCs w:val="22"/>
              </w:rPr>
            </w:pPr>
            <w:r w:rsidRPr="00FE1E17">
              <w:rPr>
                <w:rFonts w:eastAsia="DFKai-SB"/>
                <w:b/>
                <w:sz w:val="22"/>
                <w:szCs w:val="22"/>
              </w:rPr>
              <w:t>50</w:t>
            </w:r>
            <w:r w:rsidRPr="00FE1E17">
              <w:rPr>
                <w:b/>
                <w:sz w:val="22"/>
                <w:szCs w:val="22"/>
              </w:rPr>
              <w:t>%</w:t>
            </w:r>
          </w:p>
        </w:tc>
        <w:tc>
          <w:tcPr>
            <w:tcW w:w="1033"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-0.263</w:t>
            </w:r>
            <w:r w:rsidRPr="00FE1E17">
              <w:rPr>
                <w:rFonts w:eastAsia="DFKai-SB"/>
                <w:sz w:val="22"/>
                <w:szCs w:val="22"/>
              </w:rPr>
              <w:t xml:space="preserve"> (0.000)**</w:t>
            </w:r>
          </w:p>
        </w:tc>
        <w:tc>
          <w:tcPr>
            <w:tcW w:w="509"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rFonts w:eastAsia="DFKai-SB"/>
                <w:b/>
                <w:sz w:val="22"/>
                <w:szCs w:val="22"/>
              </w:rPr>
            </w:pPr>
            <w:r w:rsidRPr="00FE1E17">
              <w:rPr>
                <w:rFonts w:eastAsia="DFKai-SB"/>
                <w:b/>
                <w:sz w:val="22"/>
                <w:szCs w:val="22"/>
              </w:rPr>
              <w:t>OLS</w:t>
            </w:r>
          </w:p>
        </w:tc>
        <w:tc>
          <w:tcPr>
            <w:tcW w:w="1037" w:type="pct"/>
            <w:gridSpan w:val="2"/>
            <w:tcBorders>
              <w:top w:val="nil"/>
              <w:left w:val="nil"/>
              <w:right w:val="single" w:sz="12" w:space="0" w:color="auto"/>
            </w:tcBorders>
            <w:shd w:val="clear" w:color="auto" w:fill="auto"/>
            <w:noWrap/>
            <w:vAlign w:val="center"/>
          </w:tcPr>
          <w:p w:rsidR="00FE1E17" w:rsidRPr="00FE1E17" w:rsidRDefault="00FE1E17" w:rsidP="0015071E">
            <w:pPr>
              <w:tabs>
                <w:tab w:val="decimal" w:pos="395"/>
              </w:tabs>
              <w:adjustRightInd w:val="0"/>
              <w:snapToGrid w:val="0"/>
              <w:rPr>
                <w:rFonts w:eastAsia="DFKai-SB"/>
                <w:sz w:val="22"/>
                <w:szCs w:val="22"/>
              </w:rPr>
            </w:pPr>
            <w:r w:rsidRPr="00FE1E17">
              <w:rPr>
                <w:rFonts w:eastAsia="DFKai-SB"/>
                <w:sz w:val="22"/>
                <w:szCs w:val="22"/>
              </w:rPr>
              <w:t>0.205 (0.000)**</w:t>
            </w:r>
          </w:p>
        </w:tc>
        <w:tc>
          <w:tcPr>
            <w:tcW w:w="742" w:type="pct"/>
            <w:tcBorders>
              <w:top w:val="nil"/>
              <w:left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c>
          <w:tcPr>
            <w:tcW w:w="1166"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r>
      <w:tr w:rsidR="00FE1E17" w:rsidRPr="00FE1E17" w:rsidTr="00583009">
        <w:trPr>
          <w:trHeight w:val="397"/>
        </w:trPr>
        <w:tc>
          <w:tcPr>
            <w:tcW w:w="3092" w:type="pct"/>
            <w:gridSpan w:val="5"/>
            <w:tcBorders>
              <w:left w:val="nil"/>
              <w:right w:val="single" w:sz="12" w:space="0" w:color="auto"/>
            </w:tcBorders>
            <w:shd w:val="clear" w:color="auto" w:fill="auto"/>
            <w:noWrap/>
            <w:vAlign w:val="center"/>
          </w:tcPr>
          <w:p w:rsidR="00FE1E17" w:rsidRPr="00FE0B8A" w:rsidRDefault="00FE1E17" w:rsidP="00FE0B8A">
            <w:pPr>
              <w:adjustRightInd w:val="0"/>
              <w:snapToGrid w:val="0"/>
              <w:rPr>
                <w:rFonts w:eastAsia="DFKai-SB"/>
                <w:b/>
                <w:i/>
                <w:sz w:val="8"/>
                <w:szCs w:val="8"/>
              </w:rPr>
            </w:pPr>
          </w:p>
          <w:p w:rsidR="00FE1E17" w:rsidRPr="00FE1E17" w:rsidRDefault="00FE1E17" w:rsidP="00FE0B8A">
            <w:pPr>
              <w:adjustRightInd w:val="0"/>
              <w:snapToGrid w:val="0"/>
              <w:rPr>
                <w:rFonts w:eastAsia="DFKai-SB"/>
                <w:b/>
                <w:i/>
                <w:sz w:val="22"/>
                <w:szCs w:val="22"/>
              </w:rPr>
            </w:pPr>
            <w:r w:rsidRPr="00FE1E17">
              <w:rPr>
                <w:rFonts w:eastAsia="DFKai-SB"/>
                <w:b/>
                <w:i/>
                <w:sz w:val="22"/>
                <w:szCs w:val="22"/>
              </w:rPr>
              <w:t>Panel B: Post-SOX (2003~2010)</w:t>
            </w:r>
          </w:p>
        </w:tc>
        <w:tc>
          <w:tcPr>
            <w:tcW w:w="742" w:type="pct"/>
            <w:tcBorders>
              <w:left w:val="single" w:sz="12" w:space="0" w:color="auto"/>
              <w:right w:val="nil"/>
            </w:tcBorders>
            <w:shd w:val="clear" w:color="auto" w:fill="auto"/>
            <w:noWrap/>
            <w:vAlign w:val="center"/>
          </w:tcPr>
          <w:p w:rsidR="00FE1E17" w:rsidRPr="00FE1E17" w:rsidRDefault="00FE1E17" w:rsidP="00FE0B8A">
            <w:pPr>
              <w:adjustRightInd w:val="0"/>
              <w:snapToGrid w:val="0"/>
              <w:jc w:val="center"/>
              <w:rPr>
                <w:rFonts w:eastAsia="DFKai-SB"/>
                <w:sz w:val="22"/>
                <w:szCs w:val="22"/>
              </w:rPr>
            </w:pPr>
          </w:p>
        </w:tc>
        <w:tc>
          <w:tcPr>
            <w:tcW w:w="1166" w:type="pct"/>
            <w:tcBorders>
              <w:left w:val="nil"/>
              <w:right w:val="nil"/>
            </w:tcBorders>
            <w:shd w:val="clear" w:color="auto" w:fill="auto"/>
            <w:noWrap/>
            <w:vAlign w:val="center"/>
          </w:tcPr>
          <w:p w:rsidR="00FE1E17" w:rsidRPr="00FE1E17" w:rsidRDefault="00FE1E17" w:rsidP="00FE0B8A">
            <w:pPr>
              <w:adjustRightInd w:val="0"/>
              <w:snapToGrid w:val="0"/>
              <w:jc w:val="center"/>
              <w:rPr>
                <w:rFonts w:eastAsia="DFKai-SB"/>
                <w:sz w:val="22"/>
                <w:szCs w:val="22"/>
              </w:rPr>
            </w:pPr>
          </w:p>
        </w:tc>
      </w:tr>
      <w:tr w:rsidR="00FE1E17" w:rsidRPr="00FE1E17" w:rsidTr="00583009">
        <w:trPr>
          <w:trHeight w:val="397"/>
        </w:trPr>
        <w:tc>
          <w:tcPr>
            <w:tcW w:w="513" w:type="pct"/>
            <w:tcBorders>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5</w:t>
            </w:r>
            <w:r w:rsidRPr="00FE1E17">
              <w:rPr>
                <w:sz w:val="22"/>
                <w:szCs w:val="22"/>
              </w:rPr>
              <w:t>%</w:t>
            </w:r>
          </w:p>
        </w:tc>
        <w:tc>
          <w:tcPr>
            <w:tcW w:w="1033" w:type="pct"/>
            <w:tcBorders>
              <w:left w:val="nil"/>
              <w:bottom w:val="nil"/>
              <w:right w:val="nil"/>
            </w:tcBorders>
            <w:shd w:val="clear" w:color="auto" w:fill="auto"/>
            <w:noWrap/>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-0.534</w:t>
            </w:r>
            <w:r w:rsidRPr="00FE1E17">
              <w:rPr>
                <w:rFonts w:eastAsia="DFKai-SB"/>
                <w:sz w:val="22"/>
                <w:szCs w:val="22"/>
              </w:rPr>
              <w:t xml:space="preserve"> (0.000)**</w:t>
            </w:r>
          </w:p>
        </w:tc>
        <w:tc>
          <w:tcPr>
            <w:tcW w:w="513" w:type="pct"/>
            <w:gridSpan w:val="2"/>
            <w:tcBorders>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95</w:t>
            </w:r>
            <w:r w:rsidRPr="00FE1E17">
              <w:rPr>
                <w:sz w:val="22"/>
                <w:szCs w:val="22"/>
              </w:rPr>
              <w:t>%</w:t>
            </w:r>
          </w:p>
        </w:tc>
        <w:tc>
          <w:tcPr>
            <w:tcW w:w="1033" w:type="pct"/>
            <w:tcBorders>
              <w:left w:val="nil"/>
              <w:bottom w:val="nil"/>
              <w:right w:val="single" w:sz="12" w:space="0" w:color="auto"/>
            </w:tcBorders>
            <w:shd w:val="clear" w:color="auto" w:fill="auto"/>
            <w:noWrap/>
            <w:vAlign w:val="center"/>
          </w:tcPr>
          <w:p w:rsidR="00FE1E17" w:rsidRPr="00FE1E17" w:rsidRDefault="00FE1E17" w:rsidP="0015071E">
            <w:pPr>
              <w:tabs>
                <w:tab w:val="decimal" w:pos="388"/>
              </w:tabs>
              <w:adjustRightInd w:val="0"/>
              <w:snapToGrid w:val="0"/>
              <w:spacing w:before="120"/>
              <w:rPr>
                <w:rFonts w:eastAsia="DFKai-SB"/>
                <w:sz w:val="22"/>
                <w:szCs w:val="22"/>
              </w:rPr>
            </w:pPr>
            <w:r w:rsidRPr="00FE1E17">
              <w:rPr>
                <w:rFonts w:eastAsia="DFKai-SB"/>
                <w:kern w:val="0"/>
                <w:sz w:val="22"/>
                <w:szCs w:val="22"/>
              </w:rPr>
              <w:t>1.136</w:t>
            </w:r>
            <w:r w:rsidRPr="00FE1E17">
              <w:rPr>
                <w:rFonts w:eastAsia="DFKai-SB"/>
                <w:sz w:val="22"/>
                <w:szCs w:val="22"/>
              </w:rPr>
              <w:t xml:space="preserve"> (0.006)**</w:t>
            </w:r>
          </w:p>
        </w:tc>
        <w:tc>
          <w:tcPr>
            <w:tcW w:w="742" w:type="pct"/>
            <w:tcBorders>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5</w:t>
            </w:r>
            <w:r w:rsidRPr="00FE1E17">
              <w:rPr>
                <w:sz w:val="22"/>
                <w:szCs w:val="22"/>
              </w:rPr>
              <w:t>%</w:t>
            </w:r>
            <w:r w:rsidRPr="00FE1E17">
              <w:rPr>
                <w:rFonts w:eastAsia="DFKai-SB"/>
                <w:sz w:val="22"/>
                <w:szCs w:val="22"/>
              </w:rPr>
              <w:t xml:space="preserve"> </w:t>
            </w:r>
            <w:r w:rsidRPr="00FE1E17">
              <w:rPr>
                <w:sz w:val="22"/>
                <w:szCs w:val="22"/>
              </w:rPr>
              <w:t xml:space="preserve">vs. </w:t>
            </w:r>
            <w:r w:rsidRPr="00FE1E17">
              <w:rPr>
                <w:rFonts w:eastAsia="DFKai-SB"/>
                <w:sz w:val="22"/>
                <w:szCs w:val="22"/>
              </w:rPr>
              <w:t>95</w:t>
            </w:r>
            <w:r w:rsidRPr="00FE1E17">
              <w:rPr>
                <w:sz w:val="22"/>
                <w:szCs w:val="22"/>
              </w:rPr>
              <w:t>%</w:t>
            </w:r>
          </w:p>
        </w:tc>
        <w:tc>
          <w:tcPr>
            <w:tcW w:w="1166" w:type="pct"/>
            <w:tcBorders>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16.25</w:t>
            </w:r>
            <w:r w:rsidRPr="00FE1E17">
              <w:rPr>
                <w:sz w:val="22"/>
                <w:szCs w:val="22"/>
              </w:rPr>
              <w:t xml:space="preserve"> </w:t>
            </w:r>
            <w:r w:rsidRPr="00FE1E17">
              <w:rPr>
                <w:rFonts w:eastAsia="DFKai-SB"/>
                <w:sz w:val="22"/>
                <w:szCs w:val="22"/>
              </w:rPr>
              <w:t>(0.0001)</w:t>
            </w:r>
          </w:p>
        </w:tc>
      </w:tr>
      <w:tr w:rsidR="00FE1E17" w:rsidRPr="00FE1E17" w:rsidTr="00583009">
        <w:trPr>
          <w:trHeight w:val="397"/>
        </w:trPr>
        <w:tc>
          <w:tcPr>
            <w:tcW w:w="513"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10</w:t>
            </w:r>
            <w:r w:rsidRPr="00FE1E17">
              <w:rPr>
                <w:sz w:val="22"/>
                <w:szCs w:val="22"/>
              </w:rPr>
              <w:t>%</w:t>
            </w:r>
          </w:p>
        </w:tc>
        <w:tc>
          <w:tcPr>
            <w:tcW w:w="1033" w:type="pct"/>
            <w:tcBorders>
              <w:top w:val="nil"/>
              <w:left w:val="nil"/>
              <w:bottom w:val="nil"/>
              <w:right w:val="nil"/>
            </w:tcBorders>
            <w:shd w:val="clear" w:color="auto" w:fill="auto"/>
            <w:noWrap/>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-0.525</w:t>
            </w:r>
            <w:r w:rsidRPr="00FE1E17">
              <w:rPr>
                <w:rFonts w:eastAsia="DFKai-SB"/>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90</w:t>
            </w:r>
            <w:r w:rsidRPr="00FE1E17">
              <w:rPr>
                <w:sz w:val="22"/>
                <w:szCs w:val="22"/>
              </w:rPr>
              <w:t>%</w:t>
            </w:r>
          </w:p>
        </w:tc>
        <w:tc>
          <w:tcPr>
            <w:tcW w:w="1033" w:type="pct"/>
            <w:tcBorders>
              <w:top w:val="nil"/>
              <w:left w:val="nil"/>
              <w:bottom w:val="nil"/>
              <w:right w:val="single" w:sz="12" w:space="0" w:color="auto"/>
            </w:tcBorders>
            <w:shd w:val="clear" w:color="auto" w:fill="auto"/>
            <w:noWrap/>
            <w:vAlign w:val="center"/>
          </w:tcPr>
          <w:p w:rsidR="00FE1E17" w:rsidRPr="00FE1E17" w:rsidRDefault="00FE1E17" w:rsidP="0015071E">
            <w:pPr>
              <w:tabs>
                <w:tab w:val="decimal" w:pos="388"/>
              </w:tabs>
              <w:adjustRightInd w:val="0"/>
              <w:snapToGrid w:val="0"/>
              <w:spacing w:before="120"/>
              <w:rPr>
                <w:rFonts w:eastAsia="DFKai-SB"/>
                <w:sz w:val="22"/>
                <w:szCs w:val="22"/>
              </w:rPr>
            </w:pPr>
            <w:r w:rsidRPr="00FE1E17">
              <w:rPr>
                <w:rFonts w:eastAsia="DFKai-SB"/>
                <w:kern w:val="0"/>
                <w:sz w:val="22"/>
                <w:szCs w:val="22"/>
              </w:rPr>
              <w:t>0.687</w:t>
            </w:r>
            <w:r w:rsidRPr="00FE1E17">
              <w:rPr>
                <w:rFonts w:eastAsia="DFKai-SB"/>
                <w:sz w:val="22"/>
                <w:szCs w:val="22"/>
              </w:rPr>
              <w:t xml:space="preserve"> (0.020)*</w:t>
            </w:r>
          </w:p>
        </w:tc>
        <w:tc>
          <w:tcPr>
            <w:tcW w:w="742"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90</w:t>
            </w:r>
            <w:r w:rsidRPr="00FE1E17">
              <w:rPr>
                <w:sz w:val="22"/>
                <w:szCs w:val="22"/>
              </w:rPr>
              <w:t>%</w:t>
            </w:r>
          </w:p>
        </w:tc>
        <w:tc>
          <w:tcPr>
            <w:tcW w:w="1166"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15.59</w:t>
            </w:r>
            <w:r w:rsidRPr="00FE1E17">
              <w:rPr>
                <w:sz w:val="22"/>
                <w:szCs w:val="22"/>
              </w:rPr>
              <w:t xml:space="preserve"> </w:t>
            </w:r>
            <w:r w:rsidRPr="00FE1E17">
              <w:rPr>
                <w:rFonts w:eastAsia="DFKai-SB"/>
                <w:sz w:val="22"/>
                <w:szCs w:val="22"/>
              </w:rPr>
              <w:t>(0.0001)</w:t>
            </w:r>
            <w:r w:rsidRPr="00FE1E17">
              <w:rPr>
                <w:sz w:val="22"/>
                <w:szCs w:val="22"/>
              </w:rPr>
              <w:t>**</w:t>
            </w:r>
          </w:p>
        </w:tc>
      </w:tr>
      <w:tr w:rsidR="00FE1E17" w:rsidRPr="00FE1E17" w:rsidTr="00583009">
        <w:trPr>
          <w:trHeight w:val="397"/>
        </w:trPr>
        <w:tc>
          <w:tcPr>
            <w:tcW w:w="513" w:type="pct"/>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15</w:t>
            </w:r>
            <w:r w:rsidRPr="00FE1E17">
              <w:rPr>
                <w:sz w:val="22"/>
                <w:szCs w:val="22"/>
              </w:rPr>
              <w:t>%</w:t>
            </w:r>
          </w:p>
        </w:tc>
        <w:tc>
          <w:tcPr>
            <w:tcW w:w="1033" w:type="pct"/>
            <w:tcBorders>
              <w:top w:val="nil"/>
              <w:left w:val="nil"/>
              <w:bottom w:val="nil"/>
              <w:right w:val="nil"/>
            </w:tcBorders>
            <w:shd w:val="clear" w:color="auto" w:fill="auto"/>
            <w:noWrap/>
          </w:tcPr>
          <w:p w:rsidR="00FE1E17" w:rsidRPr="00FE1E17" w:rsidRDefault="00FE1E17" w:rsidP="00583009">
            <w:pPr>
              <w:adjustRightInd w:val="0"/>
              <w:snapToGrid w:val="0"/>
              <w:spacing w:before="120"/>
              <w:jc w:val="center"/>
              <w:rPr>
                <w:rFonts w:eastAsia="DFKai-SB"/>
                <w:sz w:val="22"/>
                <w:szCs w:val="22"/>
              </w:rPr>
            </w:pPr>
            <w:r w:rsidRPr="00FE1E17">
              <w:rPr>
                <w:rFonts w:eastAsia="DFKai-SB"/>
                <w:kern w:val="0"/>
                <w:sz w:val="22"/>
                <w:szCs w:val="22"/>
              </w:rPr>
              <w:t>-0.426</w:t>
            </w:r>
            <w:r w:rsidRPr="00FE1E17">
              <w:rPr>
                <w:rFonts w:eastAsia="DFKai-SB"/>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spacing w:before="120"/>
              <w:jc w:val="center"/>
              <w:rPr>
                <w:sz w:val="22"/>
                <w:szCs w:val="22"/>
              </w:rPr>
            </w:pPr>
            <w:r w:rsidRPr="00FE1E17">
              <w:rPr>
                <w:rFonts w:eastAsia="DFKai-SB"/>
                <w:sz w:val="22"/>
                <w:szCs w:val="22"/>
              </w:rPr>
              <w:t>85</w:t>
            </w:r>
            <w:r w:rsidRPr="00FE1E17">
              <w:rPr>
                <w:sz w:val="22"/>
                <w:szCs w:val="22"/>
              </w:rPr>
              <w:t>%</w:t>
            </w:r>
          </w:p>
        </w:tc>
        <w:tc>
          <w:tcPr>
            <w:tcW w:w="1033" w:type="pct"/>
            <w:tcBorders>
              <w:top w:val="nil"/>
              <w:left w:val="nil"/>
              <w:bottom w:val="nil"/>
              <w:right w:val="single" w:sz="12" w:space="0" w:color="auto"/>
            </w:tcBorders>
            <w:shd w:val="clear" w:color="auto" w:fill="auto"/>
            <w:noWrap/>
            <w:vAlign w:val="center"/>
          </w:tcPr>
          <w:p w:rsidR="00FE1E17" w:rsidRPr="00FE1E17" w:rsidRDefault="00FE1E17" w:rsidP="0015071E">
            <w:pPr>
              <w:tabs>
                <w:tab w:val="decimal" w:pos="388"/>
              </w:tabs>
              <w:adjustRightInd w:val="0"/>
              <w:snapToGrid w:val="0"/>
              <w:spacing w:before="120"/>
              <w:rPr>
                <w:rFonts w:eastAsia="DFKai-SB"/>
                <w:sz w:val="22"/>
                <w:szCs w:val="22"/>
              </w:rPr>
            </w:pPr>
            <w:r w:rsidRPr="00FE1E17">
              <w:rPr>
                <w:rFonts w:eastAsia="DFKai-SB"/>
                <w:kern w:val="0"/>
                <w:sz w:val="22"/>
                <w:szCs w:val="22"/>
              </w:rPr>
              <w:t>0.564</w:t>
            </w:r>
            <w:r w:rsidRPr="00FE1E17">
              <w:rPr>
                <w:rFonts w:eastAsia="DFKai-SB"/>
                <w:sz w:val="22"/>
                <w:szCs w:val="22"/>
              </w:rPr>
              <w:t xml:space="preserve"> (0.001)**</w:t>
            </w:r>
          </w:p>
        </w:tc>
        <w:tc>
          <w:tcPr>
            <w:tcW w:w="742"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15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85</w:t>
            </w:r>
            <w:r w:rsidRPr="00FE1E17">
              <w:rPr>
                <w:sz w:val="22"/>
                <w:szCs w:val="22"/>
              </w:rPr>
              <w:t>%</w:t>
            </w:r>
          </w:p>
        </w:tc>
        <w:tc>
          <w:tcPr>
            <w:tcW w:w="1166"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32.83</w:t>
            </w:r>
            <w:r w:rsidRPr="00FE1E17">
              <w:rPr>
                <w:sz w:val="22"/>
                <w:szCs w:val="22"/>
              </w:rPr>
              <w:t xml:space="preserve"> </w:t>
            </w:r>
            <w:r w:rsidRPr="00FE1E17">
              <w:rPr>
                <w:rFonts w:eastAsia="DFKai-SB"/>
                <w:sz w:val="22"/>
                <w:szCs w:val="22"/>
              </w:rPr>
              <w:t>(0.0000)</w:t>
            </w:r>
            <w:r w:rsidRPr="00FE1E17">
              <w:rPr>
                <w:sz w:val="22"/>
                <w:szCs w:val="22"/>
              </w:rPr>
              <w:t>**</w:t>
            </w:r>
          </w:p>
        </w:tc>
      </w:tr>
      <w:tr w:rsidR="00FE1E17" w:rsidRPr="00FE1E17" w:rsidTr="00583009">
        <w:trPr>
          <w:trHeight w:val="397"/>
        </w:trPr>
        <w:tc>
          <w:tcPr>
            <w:tcW w:w="51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-0.424</w:t>
            </w:r>
            <w:r w:rsidRPr="00FE1E17">
              <w:rPr>
                <w:rFonts w:eastAsia="DFKai-SB"/>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80</w:t>
            </w:r>
            <w:r w:rsidRPr="00FE1E17">
              <w:rPr>
                <w:sz w:val="22"/>
                <w:szCs w:val="22"/>
              </w:rPr>
              <w:t>%</w:t>
            </w:r>
          </w:p>
        </w:tc>
        <w:tc>
          <w:tcPr>
            <w:tcW w:w="1033" w:type="pct"/>
            <w:tcBorders>
              <w:top w:val="nil"/>
              <w:left w:val="nil"/>
              <w:bottom w:val="nil"/>
              <w:right w:val="single" w:sz="12" w:space="0" w:color="auto"/>
            </w:tcBorders>
            <w:shd w:val="clear" w:color="auto" w:fill="auto"/>
            <w:noWrap/>
            <w:vAlign w:val="center"/>
          </w:tcPr>
          <w:p w:rsidR="00FE1E17" w:rsidRPr="00FE1E17" w:rsidRDefault="00FE1E17" w:rsidP="0015071E">
            <w:pPr>
              <w:tabs>
                <w:tab w:val="decimal" w:pos="388"/>
              </w:tabs>
              <w:adjustRightInd w:val="0"/>
              <w:snapToGrid w:val="0"/>
              <w:rPr>
                <w:rFonts w:eastAsia="DFKai-SB"/>
                <w:sz w:val="22"/>
                <w:szCs w:val="22"/>
              </w:rPr>
            </w:pPr>
            <w:r w:rsidRPr="00FE1E17">
              <w:rPr>
                <w:rFonts w:eastAsia="DFKai-SB"/>
                <w:kern w:val="0"/>
                <w:sz w:val="22"/>
                <w:szCs w:val="22"/>
              </w:rPr>
              <w:t>0.260</w:t>
            </w:r>
            <w:r w:rsidRPr="00FE1E17">
              <w:rPr>
                <w:rFonts w:eastAsia="DFKai-SB"/>
                <w:sz w:val="22"/>
                <w:szCs w:val="22"/>
              </w:rPr>
              <w:t xml:space="preserve"> (0.013)*</w:t>
            </w:r>
          </w:p>
        </w:tc>
        <w:tc>
          <w:tcPr>
            <w:tcW w:w="742"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80</w:t>
            </w:r>
            <w:r w:rsidRPr="00FE1E17">
              <w:rPr>
                <w:sz w:val="22"/>
                <w:szCs w:val="22"/>
              </w:rPr>
              <w:t>%</w:t>
            </w:r>
          </w:p>
        </w:tc>
        <w:tc>
          <w:tcPr>
            <w:tcW w:w="1166"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40.38</w:t>
            </w:r>
            <w:r w:rsidRPr="00FE1E17">
              <w:rPr>
                <w:sz w:val="22"/>
                <w:szCs w:val="22"/>
              </w:rPr>
              <w:t xml:space="preserve"> </w:t>
            </w:r>
            <w:r w:rsidRPr="00FE1E17">
              <w:rPr>
                <w:rFonts w:eastAsia="DFKai-SB"/>
                <w:sz w:val="22"/>
                <w:szCs w:val="22"/>
              </w:rPr>
              <w:t>(0.0000)</w:t>
            </w:r>
            <w:r w:rsidRPr="00FE1E17">
              <w:rPr>
                <w:sz w:val="22"/>
                <w:szCs w:val="22"/>
              </w:rPr>
              <w:t>**</w:t>
            </w:r>
          </w:p>
        </w:tc>
      </w:tr>
      <w:tr w:rsidR="00FE1E17" w:rsidRPr="00FE1E17" w:rsidTr="00583009">
        <w:trPr>
          <w:trHeight w:val="397"/>
        </w:trPr>
        <w:tc>
          <w:tcPr>
            <w:tcW w:w="51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25</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-0.461</w:t>
            </w:r>
            <w:r w:rsidRPr="00FE1E17">
              <w:rPr>
                <w:rFonts w:eastAsia="DFKai-SB"/>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75</w:t>
            </w:r>
            <w:r w:rsidRPr="00FE1E17">
              <w:rPr>
                <w:sz w:val="22"/>
                <w:szCs w:val="22"/>
              </w:rPr>
              <w:t>%</w:t>
            </w:r>
          </w:p>
        </w:tc>
        <w:tc>
          <w:tcPr>
            <w:tcW w:w="1033" w:type="pct"/>
            <w:tcBorders>
              <w:top w:val="nil"/>
              <w:left w:val="nil"/>
              <w:bottom w:val="nil"/>
              <w:right w:val="single" w:sz="12" w:space="0" w:color="auto"/>
            </w:tcBorders>
            <w:shd w:val="clear" w:color="auto" w:fill="auto"/>
            <w:noWrap/>
            <w:vAlign w:val="center"/>
          </w:tcPr>
          <w:p w:rsidR="00FE1E17" w:rsidRPr="00FE1E17" w:rsidRDefault="00FE1E17" w:rsidP="0015071E">
            <w:pPr>
              <w:tabs>
                <w:tab w:val="decimal" w:pos="388"/>
              </w:tabs>
              <w:adjustRightInd w:val="0"/>
              <w:snapToGrid w:val="0"/>
              <w:rPr>
                <w:rFonts w:eastAsia="DFKai-SB"/>
                <w:sz w:val="22"/>
                <w:szCs w:val="22"/>
              </w:rPr>
            </w:pPr>
            <w:r w:rsidRPr="00FE1E17">
              <w:rPr>
                <w:rFonts w:eastAsia="DFKai-SB"/>
                <w:kern w:val="0"/>
                <w:sz w:val="22"/>
                <w:szCs w:val="22"/>
              </w:rPr>
              <w:t>0.267</w:t>
            </w:r>
            <w:r w:rsidRPr="00FE1E17">
              <w:rPr>
                <w:rFonts w:eastAsia="DFKai-SB"/>
                <w:sz w:val="22"/>
                <w:szCs w:val="22"/>
              </w:rPr>
              <w:t xml:space="preserve"> (0.004)**</w:t>
            </w:r>
          </w:p>
        </w:tc>
        <w:tc>
          <w:tcPr>
            <w:tcW w:w="742"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25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75</w:t>
            </w:r>
            <w:r w:rsidRPr="00FE1E17">
              <w:rPr>
                <w:sz w:val="22"/>
                <w:szCs w:val="22"/>
              </w:rPr>
              <w:t>%</w:t>
            </w:r>
          </w:p>
        </w:tc>
        <w:tc>
          <w:tcPr>
            <w:tcW w:w="1166"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41.86</w:t>
            </w:r>
            <w:r w:rsidRPr="00FE1E17">
              <w:rPr>
                <w:sz w:val="22"/>
                <w:szCs w:val="22"/>
              </w:rPr>
              <w:t xml:space="preserve"> </w:t>
            </w:r>
            <w:r w:rsidRPr="00FE1E17">
              <w:rPr>
                <w:rFonts w:eastAsia="DFKai-SB"/>
                <w:sz w:val="22"/>
                <w:szCs w:val="22"/>
              </w:rPr>
              <w:t>(0.0000)</w:t>
            </w:r>
            <w:r w:rsidRPr="00FE1E17">
              <w:rPr>
                <w:sz w:val="22"/>
                <w:szCs w:val="22"/>
              </w:rPr>
              <w:t>**</w:t>
            </w:r>
          </w:p>
        </w:tc>
      </w:tr>
      <w:tr w:rsidR="00FE1E17" w:rsidRPr="00FE1E17" w:rsidTr="00583009">
        <w:trPr>
          <w:trHeight w:val="397"/>
        </w:trPr>
        <w:tc>
          <w:tcPr>
            <w:tcW w:w="51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-0.423</w:t>
            </w:r>
            <w:r w:rsidRPr="00FE1E17">
              <w:rPr>
                <w:rFonts w:eastAsia="DFKai-SB"/>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70</w:t>
            </w:r>
            <w:r w:rsidRPr="00FE1E17">
              <w:rPr>
                <w:sz w:val="22"/>
                <w:szCs w:val="22"/>
              </w:rPr>
              <w:t>%</w:t>
            </w:r>
          </w:p>
        </w:tc>
        <w:tc>
          <w:tcPr>
            <w:tcW w:w="1033" w:type="pct"/>
            <w:tcBorders>
              <w:top w:val="nil"/>
              <w:left w:val="nil"/>
              <w:bottom w:val="nil"/>
              <w:right w:val="single" w:sz="12" w:space="0" w:color="auto"/>
            </w:tcBorders>
            <w:shd w:val="clear" w:color="auto" w:fill="auto"/>
            <w:noWrap/>
            <w:vAlign w:val="center"/>
          </w:tcPr>
          <w:p w:rsidR="00FE1E17" w:rsidRPr="00FE1E17" w:rsidRDefault="00FE1E17" w:rsidP="0015071E">
            <w:pPr>
              <w:tabs>
                <w:tab w:val="decimal" w:pos="388"/>
              </w:tabs>
              <w:adjustRightInd w:val="0"/>
              <w:snapToGrid w:val="0"/>
              <w:rPr>
                <w:rFonts w:eastAsia="DFKai-SB"/>
                <w:sz w:val="22"/>
                <w:szCs w:val="22"/>
              </w:rPr>
            </w:pPr>
            <w:r w:rsidRPr="00FE1E17">
              <w:rPr>
                <w:rFonts w:eastAsia="DFKai-SB"/>
                <w:kern w:val="0"/>
                <w:sz w:val="22"/>
                <w:szCs w:val="22"/>
              </w:rPr>
              <w:t>-0.000</w:t>
            </w:r>
            <w:r w:rsidRPr="00FE1E17">
              <w:rPr>
                <w:rFonts w:eastAsia="DFKai-SB"/>
                <w:sz w:val="22"/>
                <w:szCs w:val="22"/>
              </w:rPr>
              <w:t xml:space="preserve"> (1.000)</w:t>
            </w:r>
          </w:p>
        </w:tc>
        <w:tc>
          <w:tcPr>
            <w:tcW w:w="742"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70</w:t>
            </w:r>
            <w:r w:rsidRPr="00FE1E17">
              <w:rPr>
                <w:sz w:val="22"/>
                <w:szCs w:val="22"/>
              </w:rPr>
              <w:t>%</w:t>
            </w:r>
          </w:p>
        </w:tc>
        <w:tc>
          <w:tcPr>
            <w:tcW w:w="1166"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9.73 (0.0018)</w:t>
            </w:r>
          </w:p>
        </w:tc>
      </w:tr>
      <w:tr w:rsidR="00FE1E17" w:rsidRPr="00FE1E17" w:rsidTr="00583009">
        <w:trPr>
          <w:trHeight w:val="397"/>
        </w:trPr>
        <w:tc>
          <w:tcPr>
            <w:tcW w:w="51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35</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-0.372</w:t>
            </w:r>
            <w:r w:rsidRPr="00FE1E17">
              <w:rPr>
                <w:rFonts w:eastAsia="DFKai-SB"/>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65</w:t>
            </w:r>
            <w:r w:rsidRPr="00FE1E17">
              <w:rPr>
                <w:sz w:val="22"/>
                <w:szCs w:val="22"/>
              </w:rPr>
              <w:t>%</w:t>
            </w:r>
          </w:p>
        </w:tc>
        <w:tc>
          <w:tcPr>
            <w:tcW w:w="1033" w:type="pct"/>
            <w:tcBorders>
              <w:top w:val="nil"/>
              <w:left w:val="nil"/>
              <w:bottom w:val="nil"/>
              <w:right w:val="single" w:sz="12" w:space="0" w:color="auto"/>
            </w:tcBorders>
            <w:shd w:val="clear" w:color="auto" w:fill="auto"/>
            <w:noWrap/>
            <w:vAlign w:val="center"/>
          </w:tcPr>
          <w:p w:rsidR="00FE1E17" w:rsidRPr="00FE1E17" w:rsidRDefault="00FE1E17" w:rsidP="0015071E">
            <w:pPr>
              <w:tabs>
                <w:tab w:val="decimal" w:pos="388"/>
              </w:tabs>
              <w:adjustRightInd w:val="0"/>
              <w:snapToGrid w:val="0"/>
              <w:rPr>
                <w:rFonts w:eastAsia="DFKai-SB"/>
                <w:sz w:val="22"/>
                <w:szCs w:val="22"/>
              </w:rPr>
            </w:pPr>
            <w:r w:rsidRPr="00FE1E17">
              <w:rPr>
                <w:rFonts w:eastAsia="DFKai-SB"/>
                <w:kern w:val="0"/>
                <w:sz w:val="22"/>
                <w:szCs w:val="22"/>
              </w:rPr>
              <w:t>-0.154</w:t>
            </w:r>
            <w:r w:rsidRPr="00FE1E17">
              <w:rPr>
                <w:rFonts w:eastAsia="DFKai-SB"/>
                <w:sz w:val="22"/>
                <w:szCs w:val="22"/>
              </w:rPr>
              <w:t xml:space="preserve"> (0.158)</w:t>
            </w:r>
          </w:p>
        </w:tc>
        <w:tc>
          <w:tcPr>
            <w:tcW w:w="742"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35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65</w:t>
            </w:r>
            <w:r w:rsidRPr="00FE1E17">
              <w:rPr>
                <w:sz w:val="22"/>
                <w:szCs w:val="22"/>
              </w:rPr>
              <w:t>%</w:t>
            </w:r>
          </w:p>
        </w:tc>
        <w:tc>
          <w:tcPr>
            <w:tcW w:w="1166"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4.34 (0.0372)</w:t>
            </w:r>
          </w:p>
        </w:tc>
      </w:tr>
      <w:tr w:rsidR="00FE1E17" w:rsidRPr="00FE1E17" w:rsidTr="00583009">
        <w:trPr>
          <w:trHeight w:val="397"/>
        </w:trPr>
        <w:tc>
          <w:tcPr>
            <w:tcW w:w="51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w:t>
            </w:r>
            <w:r w:rsidRPr="00FE1E17">
              <w:rPr>
                <w:sz w:val="22"/>
                <w:szCs w:val="22"/>
              </w:rPr>
              <w:t>%</w:t>
            </w:r>
          </w:p>
        </w:tc>
        <w:tc>
          <w:tcPr>
            <w:tcW w:w="1033"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-0.331</w:t>
            </w:r>
            <w:r w:rsidRPr="00FE1E17">
              <w:rPr>
                <w:rFonts w:eastAsia="DFKai-SB"/>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60</w:t>
            </w:r>
            <w:r w:rsidRPr="00FE1E17">
              <w:rPr>
                <w:sz w:val="22"/>
                <w:szCs w:val="22"/>
              </w:rPr>
              <w:t>%</w:t>
            </w:r>
          </w:p>
        </w:tc>
        <w:tc>
          <w:tcPr>
            <w:tcW w:w="1033" w:type="pct"/>
            <w:tcBorders>
              <w:top w:val="nil"/>
              <w:left w:val="nil"/>
              <w:bottom w:val="nil"/>
              <w:right w:val="single" w:sz="12" w:space="0" w:color="auto"/>
            </w:tcBorders>
            <w:shd w:val="clear" w:color="auto" w:fill="auto"/>
            <w:noWrap/>
            <w:vAlign w:val="center"/>
          </w:tcPr>
          <w:p w:rsidR="00FE1E17" w:rsidRPr="00FE1E17" w:rsidRDefault="00FE1E17" w:rsidP="0015071E">
            <w:pPr>
              <w:tabs>
                <w:tab w:val="decimal" w:pos="388"/>
              </w:tabs>
              <w:adjustRightInd w:val="0"/>
              <w:snapToGrid w:val="0"/>
              <w:rPr>
                <w:rFonts w:eastAsia="DFKai-SB"/>
                <w:sz w:val="22"/>
                <w:szCs w:val="22"/>
              </w:rPr>
            </w:pPr>
            <w:r w:rsidRPr="00FE1E17">
              <w:rPr>
                <w:rFonts w:eastAsia="DFKai-SB"/>
                <w:kern w:val="0"/>
                <w:sz w:val="22"/>
                <w:szCs w:val="22"/>
              </w:rPr>
              <w:t>-0.175</w:t>
            </w:r>
            <w:r w:rsidRPr="00FE1E17">
              <w:rPr>
                <w:rFonts w:eastAsia="DFKai-SB"/>
                <w:sz w:val="22"/>
                <w:szCs w:val="22"/>
              </w:rPr>
              <w:t xml:space="preserve"> (0.086)</w:t>
            </w:r>
          </w:p>
        </w:tc>
        <w:tc>
          <w:tcPr>
            <w:tcW w:w="742" w:type="pct"/>
            <w:tcBorders>
              <w:top w:val="nil"/>
              <w:left w:val="single" w:sz="12" w:space="0" w:color="auto"/>
              <w:bottom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40</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60</w:t>
            </w:r>
            <w:r w:rsidRPr="00FE1E17">
              <w:rPr>
                <w:sz w:val="22"/>
                <w:szCs w:val="22"/>
              </w:rPr>
              <w:t>%</w:t>
            </w:r>
          </w:p>
        </w:tc>
        <w:tc>
          <w:tcPr>
            <w:tcW w:w="1166" w:type="pct"/>
            <w:tcBorders>
              <w:top w:val="nil"/>
              <w:left w:val="nil"/>
              <w:bottom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2.36 (0.1243)</w:t>
            </w:r>
          </w:p>
        </w:tc>
      </w:tr>
      <w:tr w:rsidR="00FE1E17" w:rsidRPr="00FE1E17" w:rsidTr="00583009">
        <w:trPr>
          <w:trHeight w:val="397"/>
        </w:trPr>
        <w:tc>
          <w:tcPr>
            <w:tcW w:w="513"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45</w:t>
            </w:r>
            <w:r w:rsidRPr="00FE1E17">
              <w:rPr>
                <w:sz w:val="22"/>
                <w:szCs w:val="22"/>
              </w:rPr>
              <w:t>%</w:t>
            </w:r>
          </w:p>
        </w:tc>
        <w:tc>
          <w:tcPr>
            <w:tcW w:w="1033"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-0.306</w:t>
            </w:r>
            <w:r w:rsidRPr="00FE1E17">
              <w:rPr>
                <w:rFonts w:eastAsia="DFKai-SB"/>
                <w:sz w:val="22"/>
                <w:szCs w:val="22"/>
              </w:rPr>
              <w:t xml:space="preserve"> (0.000)**</w:t>
            </w:r>
          </w:p>
        </w:tc>
        <w:tc>
          <w:tcPr>
            <w:tcW w:w="513" w:type="pct"/>
            <w:gridSpan w:val="2"/>
            <w:tcBorders>
              <w:top w:val="nil"/>
              <w:left w:val="nil"/>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55</w:t>
            </w:r>
            <w:r w:rsidRPr="00FE1E17">
              <w:rPr>
                <w:sz w:val="22"/>
                <w:szCs w:val="22"/>
              </w:rPr>
              <w:t>%</w:t>
            </w:r>
          </w:p>
        </w:tc>
        <w:tc>
          <w:tcPr>
            <w:tcW w:w="1033" w:type="pct"/>
            <w:tcBorders>
              <w:top w:val="nil"/>
              <w:left w:val="nil"/>
              <w:right w:val="single" w:sz="12" w:space="0" w:color="auto"/>
            </w:tcBorders>
            <w:shd w:val="clear" w:color="auto" w:fill="auto"/>
            <w:noWrap/>
            <w:vAlign w:val="center"/>
          </w:tcPr>
          <w:p w:rsidR="00FE1E17" w:rsidRPr="00FE1E17" w:rsidRDefault="00FE1E17" w:rsidP="0015071E">
            <w:pPr>
              <w:tabs>
                <w:tab w:val="decimal" w:pos="388"/>
              </w:tabs>
              <w:adjustRightInd w:val="0"/>
              <w:snapToGrid w:val="0"/>
              <w:rPr>
                <w:rFonts w:eastAsia="DFKai-SB"/>
                <w:sz w:val="22"/>
                <w:szCs w:val="22"/>
              </w:rPr>
            </w:pPr>
            <w:r w:rsidRPr="00FE1E17">
              <w:rPr>
                <w:rFonts w:eastAsia="DFKai-SB"/>
                <w:kern w:val="0"/>
                <w:sz w:val="22"/>
                <w:szCs w:val="22"/>
              </w:rPr>
              <w:t>-0.192</w:t>
            </w:r>
            <w:r w:rsidRPr="00FE1E17">
              <w:rPr>
                <w:rFonts w:eastAsia="DFKai-SB"/>
                <w:sz w:val="22"/>
                <w:szCs w:val="22"/>
              </w:rPr>
              <w:t xml:space="preserve"> (0.013)*</w:t>
            </w:r>
          </w:p>
        </w:tc>
        <w:tc>
          <w:tcPr>
            <w:tcW w:w="742" w:type="pct"/>
            <w:tcBorders>
              <w:top w:val="nil"/>
              <w:left w:val="single" w:sz="12" w:space="0" w:color="auto"/>
              <w:right w:val="nil"/>
            </w:tcBorders>
            <w:shd w:val="clear" w:color="auto" w:fill="auto"/>
            <w:noWrap/>
            <w:vAlign w:val="center"/>
          </w:tcPr>
          <w:p w:rsidR="00FE1E17" w:rsidRPr="00FE1E17" w:rsidRDefault="00FE1E17" w:rsidP="00583009">
            <w:pPr>
              <w:adjustRightInd w:val="0"/>
              <w:snapToGrid w:val="0"/>
              <w:jc w:val="center"/>
              <w:rPr>
                <w:sz w:val="22"/>
                <w:szCs w:val="22"/>
              </w:rPr>
            </w:pPr>
            <w:r w:rsidRPr="00FE1E17">
              <w:rPr>
                <w:rFonts w:eastAsia="DFKai-SB"/>
                <w:sz w:val="22"/>
                <w:szCs w:val="22"/>
              </w:rPr>
              <w:t>45</w:t>
            </w:r>
            <w:r w:rsidRPr="00FE1E17">
              <w:rPr>
                <w:sz w:val="22"/>
                <w:szCs w:val="22"/>
              </w:rPr>
              <w:t>%</w:t>
            </w:r>
            <w:r w:rsidRPr="00FE1E17">
              <w:rPr>
                <w:rFonts w:eastAsia="DFKai-SB"/>
                <w:sz w:val="22"/>
                <w:szCs w:val="22"/>
              </w:rPr>
              <w:t xml:space="preserve"> </w:t>
            </w:r>
            <w:r w:rsidRPr="00FE1E17">
              <w:rPr>
                <w:sz w:val="22"/>
                <w:szCs w:val="22"/>
              </w:rPr>
              <w:t>vs.</w:t>
            </w:r>
            <w:r w:rsidRPr="00FE1E17">
              <w:rPr>
                <w:rFonts w:eastAsia="DFKai-SB"/>
                <w:sz w:val="22"/>
                <w:szCs w:val="22"/>
              </w:rPr>
              <w:t xml:space="preserve"> 55</w:t>
            </w:r>
            <w:r w:rsidRPr="00FE1E17">
              <w:rPr>
                <w:sz w:val="22"/>
                <w:szCs w:val="22"/>
              </w:rPr>
              <w:t>%</w:t>
            </w:r>
          </w:p>
        </w:tc>
        <w:tc>
          <w:tcPr>
            <w:tcW w:w="1166" w:type="pct"/>
            <w:tcBorders>
              <w:top w:val="nil"/>
              <w:left w:val="nil"/>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2.63 (0.1046)</w:t>
            </w:r>
          </w:p>
        </w:tc>
      </w:tr>
      <w:tr w:rsidR="00FE1E17" w:rsidRPr="00FE1E17" w:rsidTr="00583009">
        <w:trPr>
          <w:trHeight w:val="397"/>
        </w:trPr>
        <w:tc>
          <w:tcPr>
            <w:tcW w:w="513"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b/>
                <w:sz w:val="22"/>
                <w:szCs w:val="22"/>
              </w:rPr>
            </w:pPr>
            <w:r w:rsidRPr="00FE1E17">
              <w:rPr>
                <w:rFonts w:eastAsia="DFKai-SB"/>
                <w:b/>
                <w:sz w:val="22"/>
                <w:szCs w:val="22"/>
              </w:rPr>
              <w:t>50</w:t>
            </w:r>
            <w:r w:rsidRPr="00FE1E17">
              <w:rPr>
                <w:b/>
                <w:sz w:val="22"/>
                <w:szCs w:val="22"/>
              </w:rPr>
              <w:t>%</w:t>
            </w:r>
          </w:p>
        </w:tc>
        <w:tc>
          <w:tcPr>
            <w:tcW w:w="1033"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kern w:val="0"/>
                <w:sz w:val="22"/>
                <w:szCs w:val="22"/>
              </w:rPr>
              <w:t>-0.245</w:t>
            </w:r>
            <w:r w:rsidRPr="00FE1E17">
              <w:rPr>
                <w:rFonts w:eastAsia="DFKai-SB"/>
                <w:sz w:val="22"/>
                <w:szCs w:val="22"/>
              </w:rPr>
              <w:t xml:space="preserve"> (0.002)**</w:t>
            </w:r>
          </w:p>
        </w:tc>
        <w:tc>
          <w:tcPr>
            <w:tcW w:w="513" w:type="pct"/>
            <w:gridSpan w:val="2"/>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b/>
                <w:sz w:val="22"/>
                <w:szCs w:val="22"/>
              </w:rPr>
            </w:pPr>
            <w:r w:rsidRPr="00FE1E17">
              <w:rPr>
                <w:rFonts w:eastAsia="DFKai-SB"/>
                <w:b/>
                <w:sz w:val="22"/>
                <w:szCs w:val="22"/>
              </w:rPr>
              <w:t>OLS</w:t>
            </w:r>
          </w:p>
        </w:tc>
        <w:tc>
          <w:tcPr>
            <w:tcW w:w="1033" w:type="pct"/>
            <w:tcBorders>
              <w:top w:val="nil"/>
              <w:left w:val="nil"/>
              <w:bottom w:val="single" w:sz="12" w:space="0" w:color="auto"/>
              <w:right w:val="single" w:sz="12" w:space="0" w:color="auto"/>
            </w:tcBorders>
            <w:shd w:val="clear" w:color="auto" w:fill="auto"/>
            <w:noWrap/>
            <w:vAlign w:val="center"/>
          </w:tcPr>
          <w:p w:rsidR="00FE1E17" w:rsidRPr="00FE1E17" w:rsidRDefault="00FE1E17" w:rsidP="0015071E">
            <w:pPr>
              <w:tabs>
                <w:tab w:val="decimal" w:pos="388"/>
              </w:tabs>
              <w:adjustRightInd w:val="0"/>
              <w:snapToGrid w:val="0"/>
              <w:rPr>
                <w:rFonts w:eastAsia="DFKai-SB"/>
                <w:sz w:val="22"/>
                <w:szCs w:val="22"/>
              </w:rPr>
            </w:pPr>
            <w:r w:rsidRPr="00FE1E17">
              <w:rPr>
                <w:rFonts w:eastAsia="DFKai-SB"/>
                <w:sz w:val="22"/>
                <w:szCs w:val="22"/>
              </w:rPr>
              <w:t>0.045 (0.689)</w:t>
            </w:r>
          </w:p>
        </w:tc>
        <w:tc>
          <w:tcPr>
            <w:tcW w:w="742" w:type="pct"/>
            <w:tcBorders>
              <w:top w:val="nil"/>
              <w:left w:val="single" w:sz="12" w:space="0" w:color="auto"/>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r w:rsidRPr="00FE1E17">
              <w:rPr>
                <w:rFonts w:eastAsia="DFKai-SB"/>
                <w:sz w:val="22"/>
                <w:szCs w:val="22"/>
              </w:rPr>
              <w:t xml:space="preserve">　</w:t>
            </w:r>
          </w:p>
        </w:tc>
        <w:tc>
          <w:tcPr>
            <w:tcW w:w="1166" w:type="pct"/>
            <w:tcBorders>
              <w:top w:val="nil"/>
              <w:left w:val="nil"/>
              <w:bottom w:val="single" w:sz="12" w:space="0" w:color="auto"/>
              <w:right w:val="nil"/>
            </w:tcBorders>
            <w:shd w:val="clear" w:color="auto" w:fill="auto"/>
            <w:noWrap/>
            <w:vAlign w:val="center"/>
          </w:tcPr>
          <w:p w:rsidR="00FE1E17" w:rsidRPr="00FE1E17" w:rsidRDefault="00FE1E17" w:rsidP="00583009">
            <w:pPr>
              <w:adjustRightInd w:val="0"/>
              <w:snapToGrid w:val="0"/>
              <w:jc w:val="center"/>
              <w:rPr>
                <w:rFonts w:eastAsia="DFKai-SB"/>
                <w:sz w:val="22"/>
                <w:szCs w:val="22"/>
              </w:rPr>
            </w:pPr>
          </w:p>
        </w:tc>
      </w:tr>
    </w:tbl>
    <w:p w:rsidR="00FE1E17" w:rsidRPr="00FE0B8A" w:rsidRDefault="00FE1E17" w:rsidP="00FE0B8A">
      <w:pPr>
        <w:adjustRightInd w:val="0"/>
        <w:snapToGrid w:val="0"/>
        <w:spacing w:before="60"/>
        <w:rPr>
          <w:sz w:val="20"/>
          <w:szCs w:val="20"/>
        </w:rPr>
      </w:pPr>
      <w:r w:rsidRPr="00FE0B8A">
        <w:rPr>
          <w:i/>
          <w:sz w:val="20"/>
          <w:szCs w:val="20"/>
        </w:rPr>
        <w:t>Notes:</w:t>
      </w:r>
      <w:r w:rsidRPr="00FE0B8A">
        <w:rPr>
          <w:sz w:val="20"/>
          <w:szCs w:val="20"/>
        </w:rPr>
        <w:t xml:space="preserve"> The ** and * denote a 1% and a 5% level of significance, respectively.</w:t>
      </w:r>
    </w:p>
    <w:p w:rsidR="00FE1E17" w:rsidRPr="00FE1E17" w:rsidRDefault="00FE1E17" w:rsidP="00FE1E17">
      <w:pPr>
        <w:adjustRightInd w:val="0"/>
        <w:snapToGrid w:val="0"/>
        <w:spacing w:before="120" w:line="0" w:lineRule="atLeast"/>
        <w:jc w:val="both"/>
        <w:rPr>
          <w:sz w:val="22"/>
          <w:szCs w:val="22"/>
        </w:rPr>
      </w:pPr>
      <w:r w:rsidRPr="00FE1E17">
        <w:rPr>
          <w:sz w:val="22"/>
          <w:szCs w:val="22"/>
        </w:rPr>
        <w:lastRenderedPageBreak/>
        <w:t xml:space="preserve"> </w:t>
      </w:r>
    </w:p>
    <w:p w:rsidR="003B49C5" w:rsidRPr="00993909" w:rsidRDefault="00FE0B8A" w:rsidP="003B49C5">
      <w:pPr>
        <w:snapToGrid w:val="0"/>
        <w:spacing w:line="0" w:lineRule="atLeast"/>
        <w:jc w:val="center"/>
        <w:rPr>
          <w:rFonts w:eastAsia="DFKai-SB"/>
          <w:b/>
          <w:sz w:val="22"/>
          <w:szCs w:val="22"/>
        </w:rPr>
      </w:pPr>
      <w:bookmarkStart w:id="11" w:name="_Toc359094850"/>
      <w:r>
        <w:rPr>
          <w:rFonts w:eastAsia="DFKai-SB"/>
          <w:b/>
          <w:sz w:val="22"/>
          <w:szCs w:val="22"/>
        </w:rPr>
        <w:t xml:space="preserve">Figure 8: </w:t>
      </w:r>
      <w:r w:rsidR="005E0594">
        <w:rPr>
          <w:rFonts w:eastAsia="DFKai-SB"/>
          <w:b/>
          <w:sz w:val="22"/>
          <w:szCs w:val="22"/>
        </w:rPr>
        <w:t>The QR and OLS E</w:t>
      </w:r>
      <w:r w:rsidR="003B49C5" w:rsidRPr="00993909">
        <w:rPr>
          <w:rFonts w:eastAsia="DFKai-SB"/>
          <w:b/>
          <w:sz w:val="22"/>
          <w:szCs w:val="22"/>
        </w:rPr>
        <w:t xml:space="preserve">stimates of </w:t>
      </w:r>
      <w:r w:rsidR="003B49C5" w:rsidRPr="00993909">
        <w:rPr>
          <w:rFonts w:eastAsia="DFKai-SB"/>
          <w:b/>
          <w:i/>
          <w:sz w:val="22"/>
          <w:szCs w:val="22"/>
        </w:rPr>
        <w:t>|DA|</w:t>
      </w:r>
      <w:r w:rsidR="005E0594">
        <w:rPr>
          <w:b/>
          <w:sz w:val="22"/>
          <w:szCs w:val="22"/>
        </w:rPr>
        <w:t xml:space="preserve"> Across Various Q</w:t>
      </w:r>
      <w:r w:rsidR="003B49C5" w:rsidRPr="00993909">
        <w:rPr>
          <w:b/>
          <w:sz w:val="22"/>
          <w:szCs w:val="22"/>
        </w:rPr>
        <w:t>uantiles</w:t>
      </w:r>
      <w:r w:rsidR="005E0594">
        <w:rPr>
          <w:rFonts w:eastAsia="DFKai-SB"/>
          <w:b/>
          <w:sz w:val="22"/>
          <w:szCs w:val="22"/>
        </w:rPr>
        <w:t xml:space="preserve"> of Stock R</w:t>
      </w:r>
      <w:r w:rsidR="003B49C5" w:rsidRPr="00993909">
        <w:rPr>
          <w:rFonts w:eastAsia="DFKai-SB"/>
          <w:b/>
          <w:sz w:val="22"/>
          <w:szCs w:val="22"/>
        </w:rPr>
        <w:t xml:space="preserve">eturns: </w:t>
      </w:r>
      <w:bookmarkEnd w:id="11"/>
    </w:p>
    <w:p w:rsidR="003B49C5" w:rsidRPr="00993909" w:rsidRDefault="0015071E" w:rsidP="003B49C5">
      <w:pPr>
        <w:snapToGrid w:val="0"/>
        <w:spacing w:line="0" w:lineRule="atLeast"/>
        <w:jc w:val="center"/>
        <w:rPr>
          <w:rFonts w:eastAsia="DFKai-SB"/>
          <w:b/>
          <w:sz w:val="22"/>
          <w:szCs w:val="22"/>
          <w:lang w:val="fr-FR"/>
        </w:rPr>
      </w:pPr>
      <w:r>
        <w:rPr>
          <w:rFonts w:eastAsia="DFKai-SB"/>
          <w:b/>
          <w:sz w:val="22"/>
          <w:szCs w:val="22"/>
          <w:lang w:val="fr-FR"/>
        </w:rPr>
        <w:t>Pre- versus</w:t>
      </w:r>
      <w:r w:rsidR="005E0594">
        <w:rPr>
          <w:rFonts w:eastAsia="DFKai-SB"/>
          <w:b/>
          <w:sz w:val="22"/>
          <w:szCs w:val="22"/>
          <w:lang w:val="fr-FR"/>
        </w:rPr>
        <w:t xml:space="preserve"> P</w:t>
      </w:r>
      <w:r w:rsidR="00FE0B8A">
        <w:rPr>
          <w:rFonts w:eastAsia="DFKai-SB"/>
          <w:b/>
          <w:sz w:val="22"/>
          <w:szCs w:val="22"/>
          <w:lang w:val="fr-FR"/>
        </w:rPr>
        <w:t>ost-Sarbanes Oxley E</w:t>
      </w:r>
      <w:r w:rsidR="003B49C5" w:rsidRPr="00993909">
        <w:rPr>
          <w:rFonts w:eastAsia="DFKai-SB"/>
          <w:b/>
          <w:sz w:val="22"/>
          <w:szCs w:val="22"/>
          <w:lang w:val="fr-FR"/>
        </w:rPr>
        <w:t>ras</w:t>
      </w:r>
    </w:p>
    <w:p w:rsidR="003B49C5" w:rsidRPr="00993909" w:rsidRDefault="003B49C5" w:rsidP="003B49C5">
      <w:pPr>
        <w:snapToGrid w:val="0"/>
        <w:spacing w:line="0" w:lineRule="atLeast"/>
        <w:jc w:val="center"/>
        <w:rPr>
          <w:rFonts w:eastAsia="DFKai-SB"/>
          <w:b/>
          <w:sz w:val="22"/>
          <w:szCs w:val="22"/>
          <w:lang w:val="fr-FR"/>
        </w:rPr>
      </w:pPr>
    </w:p>
    <w:p w:rsidR="005E0594" w:rsidRDefault="003B49C5" w:rsidP="003B49C5">
      <w:pPr>
        <w:snapToGrid w:val="0"/>
        <w:spacing w:line="0" w:lineRule="atLeast"/>
        <w:jc w:val="center"/>
        <w:rPr>
          <w:rFonts w:eastAsia="DFKai-SB"/>
          <w:sz w:val="22"/>
          <w:szCs w:val="22"/>
        </w:rPr>
      </w:pPr>
      <w:r w:rsidRPr="00993909">
        <w:rPr>
          <w:rFonts w:eastAsia="DFKai-SB"/>
          <w:sz w:val="22"/>
          <w:szCs w:val="22"/>
        </w:rPr>
        <w:t xml:space="preserve">Panel A: </w:t>
      </w:r>
      <w:r w:rsidRPr="00993909">
        <w:rPr>
          <w:rFonts w:eastAsia="DFKai-SB" w:hint="eastAsia"/>
          <w:sz w:val="22"/>
          <w:szCs w:val="22"/>
        </w:rPr>
        <w:t>The pre-</w:t>
      </w:r>
      <w:r w:rsidRPr="00993909">
        <w:rPr>
          <w:rFonts w:eastAsia="DFKai-SB"/>
          <w:sz w:val="22"/>
          <w:szCs w:val="22"/>
        </w:rPr>
        <w:t xml:space="preserve">SOX </w:t>
      </w:r>
      <w:r w:rsidR="005E0594">
        <w:rPr>
          <w:rFonts w:eastAsia="DFKai-SB"/>
          <w:sz w:val="22"/>
          <w:szCs w:val="22"/>
        </w:rPr>
        <w:t xml:space="preserve">Period </w:t>
      </w:r>
    </w:p>
    <w:p w:rsidR="003B49C5" w:rsidRPr="00993909" w:rsidRDefault="003B49C5" w:rsidP="003B49C5">
      <w:pPr>
        <w:snapToGrid w:val="0"/>
        <w:spacing w:line="0" w:lineRule="atLeast"/>
        <w:jc w:val="center"/>
        <w:rPr>
          <w:rFonts w:eastAsia="DFKai-SB"/>
          <w:sz w:val="22"/>
          <w:szCs w:val="22"/>
        </w:rPr>
      </w:pPr>
      <w:r w:rsidRPr="00993909">
        <w:rPr>
          <w:rFonts w:eastAsia="DFKai-SB"/>
          <w:sz w:val="22"/>
          <w:szCs w:val="22"/>
        </w:rPr>
        <w:t>(1992~2001)</w:t>
      </w:r>
    </w:p>
    <w:p w:rsidR="003B49C5" w:rsidRPr="003F6839" w:rsidRDefault="003B49C5" w:rsidP="003B49C5">
      <w:pPr>
        <w:snapToGrid w:val="0"/>
        <w:spacing w:line="0" w:lineRule="atLeast"/>
        <w:jc w:val="center"/>
        <w:rPr>
          <w:rFonts w:eastAsia="DFKai-SB"/>
        </w:rPr>
      </w:pPr>
    </w:p>
    <w:p w:rsidR="003B49C5" w:rsidRPr="003F6839" w:rsidRDefault="003B49C5" w:rsidP="003B49C5">
      <w:pPr>
        <w:snapToGrid w:val="0"/>
        <w:spacing w:line="0" w:lineRule="atLeast"/>
        <w:rPr>
          <w:rFonts w:eastAsia="DFKai-SB"/>
          <w:b/>
        </w:rPr>
      </w:pPr>
      <w:r>
        <w:rPr>
          <w:rFonts w:eastAsia="DFKai-SB"/>
          <w:b/>
          <w:noProof/>
          <w:lang w:val="en-NZ" w:eastAsia="en-NZ"/>
        </w:rPr>
        <w:drawing>
          <wp:inline distT="0" distB="0" distL="0" distR="0" wp14:anchorId="4AE2804B" wp14:editId="6E608C4B">
            <wp:extent cx="5269230" cy="3206115"/>
            <wp:effectExtent l="0" t="0" r="0" b="0"/>
            <wp:docPr id="26" name="圖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E0594" w:rsidRDefault="003B49C5" w:rsidP="003B49C5">
      <w:pPr>
        <w:snapToGrid w:val="0"/>
        <w:spacing w:line="0" w:lineRule="atLeast"/>
        <w:jc w:val="center"/>
        <w:rPr>
          <w:rFonts w:eastAsia="DFKai-SB"/>
          <w:sz w:val="22"/>
          <w:szCs w:val="22"/>
        </w:rPr>
      </w:pPr>
      <w:r w:rsidRPr="00993909">
        <w:rPr>
          <w:rFonts w:eastAsia="DFKai-SB"/>
          <w:sz w:val="22"/>
          <w:szCs w:val="22"/>
        </w:rPr>
        <w:t xml:space="preserve">Panel B: </w:t>
      </w:r>
      <w:r w:rsidR="005E0594">
        <w:rPr>
          <w:rFonts w:eastAsia="DFKai-SB" w:hint="eastAsia"/>
          <w:sz w:val="22"/>
          <w:szCs w:val="22"/>
        </w:rPr>
        <w:t xml:space="preserve">The </w:t>
      </w:r>
      <w:r w:rsidR="005E0594">
        <w:rPr>
          <w:rFonts w:eastAsia="DFKai-SB"/>
          <w:sz w:val="22"/>
          <w:szCs w:val="22"/>
        </w:rPr>
        <w:t>P</w:t>
      </w:r>
      <w:r w:rsidRPr="00993909">
        <w:rPr>
          <w:rFonts w:eastAsia="DFKai-SB" w:hint="eastAsia"/>
          <w:sz w:val="22"/>
          <w:szCs w:val="22"/>
        </w:rPr>
        <w:t>ost-</w:t>
      </w:r>
      <w:r w:rsidRPr="00993909">
        <w:rPr>
          <w:rFonts w:eastAsia="DFKai-SB"/>
          <w:sz w:val="22"/>
          <w:szCs w:val="22"/>
        </w:rPr>
        <w:t xml:space="preserve">SOX </w:t>
      </w:r>
      <w:r w:rsidR="005E0594">
        <w:rPr>
          <w:rFonts w:eastAsia="DFKai-SB"/>
          <w:sz w:val="22"/>
          <w:szCs w:val="22"/>
        </w:rPr>
        <w:t>P</w:t>
      </w:r>
      <w:r w:rsidRPr="00993909">
        <w:rPr>
          <w:rFonts w:eastAsia="DFKai-SB" w:hint="eastAsia"/>
          <w:sz w:val="22"/>
          <w:szCs w:val="22"/>
        </w:rPr>
        <w:t xml:space="preserve">eriod </w:t>
      </w:r>
    </w:p>
    <w:p w:rsidR="003B49C5" w:rsidRDefault="003B49C5" w:rsidP="003B49C5">
      <w:pPr>
        <w:snapToGrid w:val="0"/>
        <w:spacing w:line="0" w:lineRule="atLeast"/>
        <w:jc w:val="center"/>
        <w:rPr>
          <w:rFonts w:eastAsia="DFKai-SB"/>
          <w:sz w:val="22"/>
          <w:szCs w:val="22"/>
        </w:rPr>
      </w:pPr>
      <w:r w:rsidRPr="00993909">
        <w:rPr>
          <w:rFonts w:eastAsia="DFKai-SB"/>
          <w:sz w:val="22"/>
          <w:szCs w:val="22"/>
        </w:rPr>
        <w:t>(2003~2010)</w:t>
      </w:r>
    </w:p>
    <w:p w:rsidR="003B49C5" w:rsidRPr="003F6839" w:rsidRDefault="003B49C5" w:rsidP="003B49C5">
      <w:pPr>
        <w:snapToGrid w:val="0"/>
        <w:spacing w:line="0" w:lineRule="atLeast"/>
        <w:rPr>
          <w:rFonts w:eastAsia="DFKai-SB"/>
          <w:b/>
        </w:rPr>
      </w:pPr>
      <w:r>
        <w:rPr>
          <w:rFonts w:eastAsia="DFKai-SB"/>
          <w:b/>
          <w:noProof/>
          <w:lang w:val="en-NZ" w:eastAsia="en-NZ"/>
        </w:rPr>
        <w:drawing>
          <wp:inline distT="0" distB="0" distL="0" distR="0" wp14:anchorId="08F30B4A" wp14:editId="6F04DAE4">
            <wp:extent cx="5269230" cy="3206115"/>
            <wp:effectExtent l="0" t="0" r="0" b="0"/>
            <wp:docPr id="27" name="圖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B49C5" w:rsidRPr="00FE1E17" w:rsidRDefault="003B49C5" w:rsidP="003B49C5">
      <w:pPr>
        <w:snapToGrid w:val="0"/>
        <w:spacing w:line="0" w:lineRule="atLeast"/>
        <w:ind w:left="480" w:hanging="480"/>
        <w:jc w:val="center"/>
        <w:rPr>
          <w:sz w:val="22"/>
          <w:szCs w:val="22"/>
        </w:rPr>
      </w:pPr>
      <w:r w:rsidRPr="00FE1E17">
        <w:rPr>
          <w:sz w:val="22"/>
          <w:szCs w:val="22"/>
        </w:rPr>
        <w:t xml:space="preserve"> </w:t>
      </w:r>
    </w:p>
    <w:bookmarkEnd w:id="9"/>
    <w:bookmarkEnd w:id="10"/>
    <w:p w:rsidR="00FE1E17" w:rsidRPr="00FE0B8A" w:rsidRDefault="00FE1E17" w:rsidP="00FE1E17">
      <w:pPr>
        <w:widowControl/>
        <w:adjustRightInd w:val="0"/>
        <w:snapToGrid w:val="0"/>
        <w:spacing w:line="288" w:lineRule="auto"/>
        <w:jc w:val="center"/>
      </w:pPr>
    </w:p>
    <w:p w:rsidR="00691B4A" w:rsidRDefault="00691B4A" w:rsidP="00FE1E17">
      <w:pPr>
        <w:keepNext/>
        <w:widowControl/>
        <w:adjustRightInd w:val="0"/>
        <w:snapToGrid w:val="0"/>
        <w:spacing w:line="288" w:lineRule="auto"/>
        <w:jc w:val="both"/>
        <w:rPr>
          <w:b/>
        </w:rPr>
      </w:pPr>
      <w:r w:rsidRPr="00FE0B8A">
        <w:rPr>
          <w:b/>
        </w:rPr>
        <w:lastRenderedPageBreak/>
        <w:t xml:space="preserve">6.6 </w:t>
      </w:r>
      <w:r w:rsidR="00F316E7" w:rsidRPr="00FE0B8A">
        <w:rPr>
          <w:b/>
        </w:rPr>
        <w:t xml:space="preserve">Potential </w:t>
      </w:r>
      <w:r w:rsidR="00FE0B8A">
        <w:rPr>
          <w:b/>
        </w:rPr>
        <w:t>O</w:t>
      </w:r>
      <w:r w:rsidRPr="00FE0B8A">
        <w:rPr>
          <w:b/>
        </w:rPr>
        <w:t xml:space="preserve">utliers and </w:t>
      </w:r>
      <w:r w:rsidR="00FE0B8A">
        <w:rPr>
          <w:b/>
        </w:rPr>
        <w:t>P</w:t>
      </w:r>
      <w:r w:rsidR="00F316E7" w:rsidRPr="00FE0B8A">
        <w:rPr>
          <w:b/>
        </w:rPr>
        <w:t xml:space="preserve">ossible </w:t>
      </w:r>
      <w:r w:rsidR="00FE0B8A">
        <w:rPr>
          <w:b/>
        </w:rPr>
        <w:t>Measurement E</w:t>
      </w:r>
      <w:r w:rsidRPr="00FE0B8A">
        <w:rPr>
          <w:b/>
        </w:rPr>
        <w:t xml:space="preserve">rrors in </w:t>
      </w:r>
      <w:r w:rsidR="00FE0B8A">
        <w:rPr>
          <w:b/>
        </w:rPr>
        <w:t>E</w:t>
      </w:r>
      <w:r w:rsidR="005D71EE" w:rsidRPr="00FE0B8A">
        <w:rPr>
          <w:b/>
        </w:rPr>
        <w:t xml:space="preserve">stimating </w:t>
      </w:r>
      <w:r w:rsidR="00952A93" w:rsidRPr="00FE0B8A">
        <w:rPr>
          <w:b/>
        </w:rPr>
        <w:t>DA</w:t>
      </w:r>
      <w:r w:rsidRPr="00FE0B8A">
        <w:rPr>
          <w:b/>
        </w:rPr>
        <w:t xml:space="preserve"> </w:t>
      </w:r>
    </w:p>
    <w:p w:rsidR="00A5381D" w:rsidRPr="00A5381D" w:rsidRDefault="00A5381D" w:rsidP="00FE1E17">
      <w:pPr>
        <w:keepNext/>
        <w:widowControl/>
        <w:adjustRightInd w:val="0"/>
        <w:snapToGrid w:val="0"/>
        <w:spacing w:line="288" w:lineRule="auto"/>
        <w:jc w:val="both"/>
        <w:rPr>
          <w:b/>
          <w:sz w:val="6"/>
          <w:szCs w:val="6"/>
        </w:rPr>
      </w:pPr>
    </w:p>
    <w:p w:rsidR="003E43FA" w:rsidRDefault="00F43DE6" w:rsidP="00993909">
      <w:pPr>
        <w:widowControl/>
        <w:adjustRightInd w:val="0"/>
        <w:snapToGrid w:val="0"/>
        <w:spacing w:line="288" w:lineRule="auto"/>
        <w:jc w:val="both"/>
      </w:pPr>
      <w:r>
        <w:t xml:space="preserve">As illustrated in </w:t>
      </w:r>
      <w:r w:rsidR="00691B4A" w:rsidRPr="008126EB">
        <w:t xml:space="preserve">Section 4.2, we </w:t>
      </w:r>
      <w:r w:rsidR="001B2C15">
        <w:t xml:space="preserve">use </w:t>
      </w:r>
      <w:r w:rsidR="005E0594">
        <w:t>e</w:t>
      </w:r>
      <w:r w:rsidR="00F85192">
        <w:t>quation</w:t>
      </w:r>
      <w:r w:rsidR="00F316E7" w:rsidRPr="008126EB">
        <w:t xml:space="preserve"> (6) to estimate</w:t>
      </w:r>
      <w:r w:rsidR="005D71EE">
        <w:t xml:space="preserve"> a firm’s </w:t>
      </w:r>
      <w:r w:rsidR="005D71EE" w:rsidRPr="008126EB">
        <w:rPr>
          <w:rFonts w:hint="eastAsia"/>
        </w:rPr>
        <w:t>|</w:t>
      </w:r>
      <w:r w:rsidR="005D71EE" w:rsidRPr="008126EB">
        <w:rPr>
          <w:i/>
        </w:rPr>
        <w:t>DA</w:t>
      </w:r>
      <w:r w:rsidR="005D71EE" w:rsidRPr="008126EB">
        <w:rPr>
          <w:rFonts w:hint="eastAsia"/>
          <w:i/>
        </w:rPr>
        <w:t>|</w:t>
      </w:r>
      <w:r w:rsidR="00F316E7" w:rsidRPr="008126EB">
        <w:t xml:space="preserve"> </w:t>
      </w:r>
      <w:r w:rsidR="00F316E7">
        <w:t xml:space="preserve">according to </w:t>
      </w:r>
      <w:r w:rsidR="00AF607E">
        <w:rPr>
          <w:bCs/>
        </w:rPr>
        <w:t>the</w:t>
      </w:r>
      <w:r w:rsidR="00AF607E" w:rsidRPr="008126EB">
        <w:rPr>
          <w:bCs/>
        </w:rPr>
        <w:t xml:space="preserve"> </w:t>
      </w:r>
      <w:r w:rsidR="00691B4A" w:rsidRPr="008126EB">
        <w:rPr>
          <w:bCs/>
        </w:rPr>
        <w:t>modified Jones</w:t>
      </w:r>
      <w:r w:rsidR="00691B4A" w:rsidRPr="008126EB">
        <w:t xml:space="preserve"> model. </w:t>
      </w:r>
      <w:r w:rsidR="00F316E7">
        <w:t>All</w:t>
      </w:r>
      <w:r w:rsidR="00691B4A" w:rsidRPr="008126EB">
        <w:t xml:space="preserve"> parameters of the model are estimated </w:t>
      </w:r>
      <w:r w:rsidR="00F316E7">
        <w:t>based on</w:t>
      </w:r>
      <w:r w:rsidR="00691B4A" w:rsidRPr="008126EB">
        <w:t xml:space="preserve"> the industry observations. </w:t>
      </w:r>
      <w:r w:rsidR="009D6D42">
        <w:t xml:space="preserve">According to </w:t>
      </w:r>
      <w:r w:rsidR="009D6D42" w:rsidRPr="008126EB">
        <w:t>Klein</w:t>
      </w:r>
      <w:r w:rsidR="009D6D42">
        <w:t xml:space="preserve"> (</w:t>
      </w:r>
      <w:r w:rsidR="009D6D42" w:rsidRPr="008126EB">
        <w:t>2002)</w:t>
      </w:r>
      <w:r w:rsidR="00F316E7">
        <w:t>, it</w:t>
      </w:r>
      <w:r w:rsidR="00691B4A" w:rsidRPr="008126EB">
        <w:t xml:space="preserve"> requires </w:t>
      </w:r>
      <w:r w:rsidR="00F316E7" w:rsidRPr="008126EB">
        <w:t xml:space="preserve">at least 10 firm–year observations </w:t>
      </w:r>
      <w:r w:rsidR="00F316E7">
        <w:t>with</w:t>
      </w:r>
      <w:r w:rsidR="00691B4A" w:rsidRPr="008126EB">
        <w:t xml:space="preserve"> the same two-digit SIC</w:t>
      </w:r>
      <w:r w:rsidR="009D6D42" w:rsidRPr="009D6D42">
        <w:t xml:space="preserve"> </w:t>
      </w:r>
      <w:r w:rsidR="00515F92">
        <w:t xml:space="preserve">code </w:t>
      </w:r>
      <w:r w:rsidR="009D6D42">
        <w:t>to make estimates</w:t>
      </w:r>
      <w:r w:rsidR="00691B4A" w:rsidRPr="008126EB">
        <w:t xml:space="preserve">. </w:t>
      </w:r>
      <w:r w:rsidR="009D6D42">
        <w:t>Since</w:t>
      </w:r>
      <w:r w:rsidR="009D6D42" w:rsidRPr="008126EB">
        <w:t xml:space="preserve"> </w:t>
      </w:r>
      <w:r w:rsidR="00691B4A" w:rsidRPr="008126EB">
        <w:t>the number of observations used</w:t>
      </w:r>
      <w:r w:rsidR="00F316E7" w:rsidRPr="00F316E7">
        <w:t xml:space="preserve"> </w:t>
      </w:r>
      <w:r w:rsidR="00F316E7">
        <w:t>to</w:t>
      </w:r>
      <w:r w:rsidR="00F316E7" w:rsidRPr="008126EB">
        <w:t xml:space="preserve"> estimat</w:t>
      </w:r>
      <w:r w:rsidR="00F316E7">
        <w:t xml:space="preserve">e </w:t>
      </w:r>
      <w:r w:rsidR="00F316E7" w:rsidRPr="008126EB">
        <w:t xml:space="preserve">the amount </w:t>
      </w:r>
      <w:r w:rsidR="00F316E7" w:rsidRPr="00F316E7">
        <w:rPr>
          <w:i/>
        </w:rPr>
        <w:t>DA</w:t>
      </w:r>
      <w:r w:rsidR="009D6D42">
        <w:t xml:space="preserve"> </w:t>
      </w:r>
      <w:r w:rsidR="00A72534">
        <w:t xml:space="preserve">might be </w:t>
      </w:r>
      <w:r w:rsidR="009D6D42">
        <w:t>small</w:t>
      </w:r>
      <w:r w:rsidR="00F316E7">
        <w:t>,</w:t>
      </w:r>
      <w:r w:rsidR="009D6D42">
        <w:t xml:space="preserve"> </w:t>
      </w:r>
      <w:r w:rsidR="00A72534">
        <w:t>this section a</w:t>
      </w:r>
      <w:r w:rsidR="009D6D42">
        <w:t>ddress</w:t>
      </w:r>
      <w:r w:rsidR="00A72534">
        <w:t>es</w:t>
      </w:r>
      <w:r w:rsidR="00F316E7">
        <w:t xml:space="preserve"> </w:t>
      </w:r>
      <w:r w:rsidR="009D6D42">
        <w:t xml:space="preserve">potential </w:t>
      </w:r>
      <w:r w:rsidR="00691B4A" w:rsidRPr="008126EB">
        <w:t xml:space="preserve">outliers </w:t>
      </w:r>
      <w:r>
        <w:t xml:space="preserve">issue </w:t>
      </w:r>
      <w:r w:rsidR="00691B4A" w:rsidRPr="008126EB">
        <w:t xml:space="preserve">and </w:t>
      </w:r>
      <w:r w:rsidR="00ED55A1">
        <w:t xml:space="preserve">concerns over the </w:t>
      </w:r>
      <w:r w:rsidR="009D6D42">
        <w:t xml:space="preserve">possible </w:t>
      </w:r>
      <w:r w:rsidR="00691B4A" w:rsidRPr="008126EB">
        <w:t>measurement error</w:t>
      </w:r>
      <w:r w:rsidR="00ED55A1">
        <w:t>s</w:t>
      </w:r>
      <w:r w:rsidR="00691B4A" w:rsidRPr="008126EB">
        <w:t>.</w:t>
      </w:r>
    </w:p>
    <w:p w:rsidR="000D38E4" w:rsidRPr="008126EB" w:rsidRDefault="000D38E4" w:rsidP="00FE1E17">
      <w:pPr>
        <w:widowControl/>
        <w:adjustRightInd w:val="0"/>
        <w:snapToGrid w:val="0"/>
        <w:spacing w:line="288" w:lineRule="auto"/>
        <w:ind w:firstLineChars="295" w:firstLine="708"/>
        <w:jc w:val="both"/>
      </w:pPr>
    </w:p>
    <w:p w:rsidR="00691B4A" w:rsidRPr="008126EB" w:rsidRDefault="009D6D42" w:rsidP="00FE1E17">
      <w:pPr>
        <w:widowControl/>
        <w:adjustRightInd w:val="0"/>
        <w:snapToGrid w:val="0"/>
        <w:spacing w:line="288" w:lineRule="auto"/>
        <w:ind w:firstLineChars="295" w:firstLine="708"/>
        <w:jc w:val="both"/>
      </w:pPr>
      <w:r>
        <w:t>For this examination</w:t>
      </w:r>
      <w:r w:rsidR="00691B4A" w:rsidRPr="008126EB">
        <w:t xml:space="preserve">, </w:t>
      </w:r>
      <w:r>
        <w:t>we</w:t>
      </w:r>
      <w:r w:rsidR="00691B4A" w:rsidRPr="008126EB">
        <w:t xml:space="preserve"> </w:t>
      </w:r>
      <w:r>
        <w:t xml:space="preserve">first </w:t>
      </w:r>
      <w:r w:rsidR="00691B4A" w:rsidRPr="008126EB">
        <w:t xml:space="preserve">identify </w:t>
      </w:r>
      <w:r>
        <w:t>firm-year observations with</w:t>
      </w:r>
      <w:r w:rsidR="00691B4A" w:rsidRPr="008126EB">
        <w:t xml:space="preserve"> the same two-digit SIC </w:t>
      </w:r>
      <w:r w:rsidR="00515F92">
        <w:t xml:space="preserve">code </w:t>
      </w:r>
      <w:r w:rsidR="00691B4A" w:rsidRPr="008126EB">
        <w:t>in the Compustat. For industries with less than 50 observations, we</w:t>
      </w:r>
      <w:r w:rsidR="00AF607E">
        <w:t xml:space="preserve"> </w:t>
      </w:r>
      <w:r w:rsidR="00691B4A" w:rsidRPr="008126EB">
        <w:t>remove the</w:t>
      </w:r>
      <w:r w:rsidR="00AF607E">
        <w:t xml:space="preserve">m </w:t>
      </w:r>
      <w:r w:rsidR="00691B4A" w:rsidRPr="008126EB">
        <w:t>from</w:t>
      </w:r>
      <w:r w:rsidR="008C240E">
        <w:t xml:space="preserve"> </w:t>
      </w:r>
      <w:r w:rsidR="0003724F">
        <w:t>analyses</w:t>
      </w:r>
      <w:r w:rsidR="00691B4A" w:rsidRPr="008126EB">
        <w:t xml:space="preserve">. </w:t>
      </w:r>
      <w:r>
        <w:t>As the result</w:t>
      </w:r>
      <w:r w:rsidR="00F43DE6">
        <w:t xml:space="preserve"> of this procedure</w:t>
      </w:r>
      <w:r w:rsidR="00691B4A" w:rsidRPr="008126EB">
        <w:t xml:space="preserve">, the number of observations </w:t>
      </w:r>
      <w:r w:rsidR="00ED55A1">
        <w:t>drop</w:t>
      </w:r>
      <w:r w:rsidR="00691B4A" w:rsidRPr="008126EB">
        <w:t xml:space="preserve"> </w:t>
      </w:r>
      <w:r w:rsidR="00F43DE6">
        <w:t xml:space="preserve">significantly </w:t>
      </w:r>
      <w:r w:rsidR="00691B4A" w:rsidRPr="008126EB">
        <w:t xml:space="preserve">from 20,350 </w:t>
      </w:r>
      <w:r w:rsidR="00D045ED" w:rsidRPr="008126EB">
        <w:t xml:space="preserve">firm–year </w:t>
      </w:r>
      <w:r w:rsidR="00691B4A" w:rsidRPr="008126EB">
        <w:t>to 10,635 firm–year observations.</w:t>
      </w:r>
      <w:r w:rsidR="00691B4A" w:rsidRPr="008126EB">
        <w:rPr>
          <w:rStyle w:val="FootnoteReference"/>
        </w:rPr>
        <w:footnoteReference w:id="5"/>
      </w:r>
      <w:r>
        <w:t xml:space="preserve"> </w:t>
      </w:r>
      <w:r w:rsidR="00F43DE6">
        <w:t>After this removal</w:t>
      </w:r>
      <w:r>
        <w:t xml:space="preserve">, we rerun the analysis. </w:t>
      </w:r>
      <w:r w:rsidR="005D71EE" w:rsidRPr="008126EB">
        <w:t>Table 8</w:t>
      </w:r>
      <w:r w:rsidR="005D71EE">
        <w:t xml:space="preserve"> shows the </w:t>
      </w:r>
      <w:r w:rsidR="004C12B5" w:rsidRPr="008126EB">
        <w:t xml:space="preserve">results of the </w:t>
      </w:r>
      <w:r w:rsidR="004C12B5" w:rsidRPr="008126EB">
        <w:rPr>
          <w:rFonts w:hint="eastAsia"/>
        </w:rPr>
        <w:t>|</w:t>
      </w:r>
      <w:r w:rsidR="004C12B5" w:rsidRPr="008126EB">
        <w:rPr>
          <w:i/>
        </w:rPr>
        <w:t>DA</w:t>
      </w:r>
      <w:r w:rsidR="004C12B5" w:rsidRPr="008126EB">
        <w:rPr>
          <w:rFonts w:hint="eastAsia"/>
          <w:i/>
        </w:rPr>
        <w:t>|</w:t>
      </w:r>
      <w:r w:rsidR="004C12B5" w:rsidRPr="008126EB">
        <w:t>–</w:t>
      </w:r>
      <w:r w:rsidR="004C12B5" w:rsidRPr="008126EB">
        <w:rPr>
          <w:rFonts w:hint="eastAsia"/>
          <w:i/>
        </w:rPr>
        <w:t>RETURN</w:t>
      </w:r>
      <w:r w:rsidR="004C12B5" w:rsidRPr="008126EB">
        <w:t xml:space="preserve"> relation</w:t>
      </w:r>
      <w:r w:rsidR="00691B4A" w:rsidRPr="008126EB">
        <w:t>.</w:t>
      </w:r>
      <w:r w:rsidR="00691B4A" w:rsidRPr="008126EB">
        <w:rPr>
          <w:rFonts w:hint="eastAsia"/>
        </w:rPr>
        <w:t xml:space="preserve"> </w:t>
      </w:r>
      <w:r w:rsidR="004C12B5">
        <w:t xml:space="preserve">We also </w:t>
      </w:r>
      <w:r w:rsidR="00A72534">
        <w:t>graph</w:t>
      </w:r>
      <w:r w:rsidR="004C12B5">
        <w:t xml:space="preserve"> </w:t>
      </w:r>
      <w:r w:rsidR="00AC5216">
        <w:rPr>
          <w:rFonts w:hint="eastAsia"/>
        </w:rPr>
        <w:t xml:space="preserve">the QR and OLS estimates </w:t>
      </w:r>
      <w:r w:rsidR="004C12B5">
        <w:t xml:space="preserve">in </w:t>
      </w:r>
      <w:r w:rsidR="004C12B5">
        <w:rPr>
          <w:rFonts w:hint="eastAsia"/>
        </w:rPr>
        <w:t>Figure 9</w:t>
      </w:r>
      <w:r w:rsidR="00AC5216">
        <w:rPr>
          <w:rFonts w:hint="eastAsia"/>
        </w:rPr>
        <w:t xml:space="preserve">. </w:t>
      </w:r>
      <w:r w:rsidR="00691B4A" w:rsidRPr="008126EB">
        <w:t xml:space="preserve">Comparing </w:t>
      </w:r>
      <w:r w:rsidR="00B26438" w:rsidRPr="008126EB">
        <w:t>Figure</w:t>
      </w:r>
      <w:r w:rsidR="004C12B5">
        <w:t>s</w:t>
      </w:r>
      <w:r w:rsidR="008C240E">
        <w:t> </w:t>
      </w:r>
      <w:r w:rsidR="00BE07AC">
        <w:t>2</w:t>
      </w:r>
      <w:r w:rsidR="00B26438" w:rsidRPr="008126EB">
        <w:t xml:space="preserve"> </w:t>
      </w:r>
      <w:r w:rsidR="004C12B5">
        <w:t xml:space="preserve">and </w:t>
      </w:r>
      <w:r w:rsidR="00BE07AC">
        <w:t>9</w:t>
      </w:r>
      <w:r w:rsidR="004C12B5">
        <w:t xml:space="preserve">, </w:t>
      </w:r>
      <w:r w:rsidR="00AC5216">
        <w:rPr>
          <w:rFonts w:hint="eastAsia"/>
        </w:rPr>
        <w:t xml:space="preserve">the quantile-varying pattern of </w:t>
      </w:r>
      <w:r w:rsidR="00AC5216" w:rsidRPr="00AC5216">
        <w:rPr>
          <w:rFonts w:hint="eastAsia"/>
          <w:i/>
        </w:rPr>
        <w:t xml:space="preserve">|DA| </w:t>
      </w:r>
      <w:r w:rsidR="00AC5216">
        <w:rPr>
          <w:rFonts w:hint="eastAsia"/>
        </w:rPr>
        <w:t>estimates</w:t>
      </w:r>
      <w:r>
        <w:t xml:space="preserve"> reported in the main analysis</w:t>
      </w:r>
      <w:r w:rsidR="00AC5216">
        <w:rPr>
          <w:rFonts w:hint="eastAsia"/>
        </w:rPr>
        <w:t xml:space="preserve"> </w:t>
      </w:r>
      <w:r w:rsidR="004C12B5">
        <w:t xml:space="preserve">is robust. Hence, </w:t>
      </w:r>
      <w:r w:rsidR="008C240E">
        <w:t>the</w:t>
      </w:r>
      <w:r w:rsidR="00691B4A" w:rsidRPr="008126EB">
        <w:t xml:space="preserve"> </w:t>
      </w:r>
      <w:r w:rsidR="00F43DE6">
        <w:t xml:space="preserve">potential </w:t>
      </w:r>
      <w:r w:rsidR="00691B4A" w:rsidRPr="008126EB">
        <w:t xml:space="preserve">outliers </w:t>
      </w:r>
      <w:r w:rsidR="00F43DE6">
        <w:t xml:space="preserve">issue </w:t>
      </w:r>
      <w:r w:rsidR="00691B4A" w:rsidRPr="008126EB">
        <w:t>and</w:t>
      </w:r>
      <w:r w:rsidR="008C240E">
        <w:t xml:space="preserve"> </w:t>
      </w:r>
      <w:r w:rsidR="00F43DE6">
        <w:t xml:space="preserve">concerns over the possible </w:t>
      </w:r>
      <w:r w:rsidR="00691B4A" w:rsidRPr="008126EB">
        <w:t>measurement error</w:t>
      </w:r>
      <w:r>
        <w:t>s</w:t>
      </w:r>
      <w:r w:rsidR="004C12B5">
        <w:t xml:space="preserve"> </w:t>
      </w:r>
      <w:r w:rsidR="00A72534">
        <w:t xml:space="preserve">for </w:t>
      </w:r>
      <w:r w:rsidR="00A72534" w:rsidRPr="00A72534">
        <w:rPr>
          <w:i/>
          <w:iCs/>
        </w:rPr>
        <w:t>DA</w:t>
      </w:r>
      <w:r w:rsidR="00A72534">
        <w:t xml:space="preserve"> estimation </w:t>
      </w:r>
      <w:r w:rsidR="004C12B5">
        <w:t xml:space="preserve">should not </w:t>
      </w:r>
      <w:r w:rsidR="00F43DE6">
        <w:t xml:space="preserve">affect </w:t>
      </w:r>
      <w:r w:rsidR="00A72534">
        <w:t>our empirical findings</w:t>
      </w:r>
      <w:r w:rsidR="00691B4A" w:rsidRPr="008126EB">
        <w:t>.</w:t>
      </w:r>
    </w:p>
    <w:p w:rsidR="000D38E4" w:rsidRDefault="000D38E4" w:rsidP="00FE1E17">
      <w:pPr>
        <w:snapToGrid w:val="0"/>
        <w:spacing w:line="0" w:lineRule="atLeast"/>
        <w:jc w:val="center"/>
        <w:rPr>
          <w:rFonts w:eastAsia="DFKai-SB"/>
          <w:b/>
          <w:sz w:val="22"/>
          <w:szCs w:val="22"/>
        </w:rPr>
      </w:pPr>
    </w:p>
    <w:p w:rsidR="007F6068" w:rsidRDefault="007F6068" w:rsidP="00FE1E17">
      <w:pPr>
        <w:snapToGrid w:val="0"/>
        <w:spacing w:line="0" w:lineRule="atLeast"/>
        <w:jc w:val="center"/>
        <w:rPr>
          <w:rFonts w:eastAsia="DFKai-SB"/>
          <w:b/>
          <w:sz w:val="22"/>
          <w:szCs w:val="22"/>
        </w:rPr>
      </w:pPr>
    </w:p>
    <w:p w:rsidR="00FE1E17" w:rsidRPr="007F6068" w:rsidRDefault="00FE1E17" w:rsidP="00FE1E17">
      <w:pPr>
        <w:snapToGrid w:val="0"/>
        <w:spacing w:line="0" w:lineRule="atLeast"/>
        <w:jc w:val="center"/>
        <w:rPr>
          <w:b/>
          <w:sz w:val="22"/>
          <w:szCs w:val="22"/>
        </w:rPr>
      </w:pPr>
      <w:r w:rsidRPr="007F6068">
        <w:rPr>
          <w:rFonts w:eastAsia="DFKai-SB"/>
          <w:b/>
          <w:sz w:val="22"/>
          <w:szCs w:val="22"/>
        </w:rPr>
        <w:t>Table 8</w:t>
      </w:r>
      <w:r w:rsidR="00FE0B8A" w:rsidRPr="007F6068">
        <w:rPr>
          <w:rFonts w:eastAsia="DFKai-SB"/>
          <w:b/>
          <w:sz w:val="22"/>
          <w:szCs w:val="22"/>
        </w:rPr>
        <w:t xml:space="preserve">: </w:t>
      </w:r>
      <w:r w:rsidRPr="007F6068">
        <w:rPr>
          <w:rFonts w:eastAsia="DFKai-SB"/>
          <w:b/>
          <w:sz w:val="22"/>
          <w:szCs w:val="22"/>
        </w:rPr>
        <w:t xml:space="preserve">The </w:t>
      </w:r>
      <w:r w:rsidRPr="007F6068">
        <w:rPr>
          <w:b/>
          <w:sz w:val="22"/>
          <w:szCs w:val="22"/>
        </w:rPr>
        <w:t>|</w:t>
      </w:r>
      <w:r w:rsidRPr="007F6068">
        <w:rPr>
          <w:b/>
          <w:i/>
          <w:sz w:val="22"/>
          <w:szCs w:val="22"/>
        </w:rPr>
        <w:t>DA|</w:t>
      </w:r>
      <w:r w:rsidRPr="007F6068">
        <w:rPr>
          <w:b/>
          <w:sz w:val="22"/>
          <w:szCs w:val="22"/>
        </w:rPr>
        <w:t>–</w:t>
      </w:r>
      <w:r w:rsidRPr="007F6068">
        <w:rPr>
          <w:b/>
          <w:i/>
          <w:sz w:val="22"/>
          <w:szCs w:val="22"/>
        </w:rPr>
        <w:t xml:space="preserve">RETURN </w:t>
      </w:r>
      <w:r w:rsidRPr="007F6068">
        <w:rPr>
          <w:b/>
          <w:sz w:val="22"/>
          <w:szCs w:val="22"/>
        </w:rPr>
        <w:t>relation across various quantiles</w:t>
      </w:r>
      <w:r w:rsidRPr="007F6068">
        <w:rPr>
          <w:rFonts w:eastAsia="DFKai-SB"/>
          <w:b/>
          <w:sz w:val="22"/>
          <w:szCs w:val="22"/>
        </w:rPr>
        <w:t xml:space="preserve"> of stock returns</w:t>
      </w:r>
      <w:r w:rsidRPr="007F6068">
        <w:rPr>
          <w:b/>
          <w:sz w:val="22"/>
          <w:szCs w:val="22"/>
        </w:rPr>
        <w:t>:</w:t>
      </w:r>
    </w:p>
    <w:p w:rsidR="00FE1E17" w:rsidRDefault="00FE1E17" w:rsidP="00FE1E17">
      <w:pPr>
        <w:snapToGrid w:val="0"/>
        <w:spacing w:line="0" w:lineRule="atLeast"/>
        <w:jc w:val="center"/>
        <w:rPr>
          <w:rFonts w:eastAsia="DFKai-SB"/>
          <w:b/>
          <w:sz w:val="22"/>
          <w:szCs w:val="22"/>
        </w:rPr>
      </w:pPr>
      <w:r w:rsidRPr="007F6068">
        <w:rPr>
          <w:rFonts w:eastAsia="DFKai-SB"/>
          <w:b/>
          <w:sz w:val="22"/>
          <w:szCs w:val="22"/>
        </w:rPr>
        <w:t xml:space="preserve">Potential outliers and possible measurement errors </w:t>
      </w:r>
    </w:p>
    <w:p w:rsidR="002A61C1" w:rsidRPr="002A61C1" w:rsidRDefault="002A61C1" w:rsidP="00FE1E17">
      <w:pPr>
        <w:snapToGrid w:val="0"/>
        <w:spacing w:line="0" w:lineRule="atLeast"/>
        <w:jc w:val="center"/>
        <w:rPr>
          <w:rFonts w:eastAsia="DFKai-SB"/>
          <w:b/>
          <w:sz w:val="12"/>
          <w:szCs w:val="12"/>
        </w:rPr>
      </w:pPr>
    </w:p>
    <w:p w:rsidR="00FE1E17" w:rsidRPr="007F6068" w:rsidRDefault="00FE1E17" w:rsidP="00FE1E17">
      <w:pPr>
        <w:snapToGrid w:val="0"/>
        <w:spacing w:line="0" w:lineRule="atLeast"/>
        <w:jc w:val="center"/>
        <w:rPr>
          <w:rFonts w:eastAsia="DFKai-SB"/>
          <w:b/>
          <w:color w:val="FF0000"/>
          <w:sz w:val="10"/>
          <w:szCs w:val="10"/>
        </w:rPr>
      </w:pPr>
    </w:p>
    <w:p w:rsidR="00FE1E17" w:rsidRDefault="00FE1E17" w:rsidP="00FE1E17">
      <w:pPr>
        <w:spacing w:after="120"/>
        <w:jc w:val="center"/>
        <w:rPr>
          <w:i/>
          <w:sz w:val="22"/>
          <w:szCs w:val="22"/>
          <w:vertAlign w:val="subscript"/>
          <w:lang w:val="fr-FR"/>
        </w:rPr>
      </w:pPr>
      <w:r w:rsidRPr="007F6068">
        <w:rPr>
          <w:rFonts w:eastAsia="DFKai-SB"/>
          <w:i/>
          <w:sz w:val="22"/>
          <w:szCs w:val="22"/>
          <w:lang w:val="fr-FR"/>
        </w:rPr>
        <w:t>RETURN</w:t>
      </w:r>
      <w:r w:rsidRPr="007F6068">
        <w:rPr>
          <w:rFonts w:eastAsia="DFKai-SB"/>
          <w:i/>
          <w:sz w:val="22"/>
          <w:szCs w:val="22"/>
          <w:vertAlign w:val="subscript"/>
          <w:lang w:val="fr-FR"/>
        </w:rPr>
        <w:t>i</w:t>
      </w:r>
      <w:proofErr w:type="gramStart"/>
      <w:r w:rsidRPr="007F6068">
        <w:rPr>
          <w:rFonts w:eastAsia="DFKai-SB"/>
          <w:i/>
          <w:sz w:val="22"/>
          <w:szCs w:val="22"/>
          <w:vertAlign w:val="subscript"/>
          <w:lang w:val="fr-FR"/>
        </w:rPr>
        <w:t>,t</w:t>
      </w:r>
      <w:proofErr w:type="gramEnd"/>
      <w:r w:rsidRPr="007F6068">
        <w:rPr>
          <w:i/>
          <w:sz w:val="22"/>
          <w:szCs w:val="22"/>
          <w:vertAlign w:val="subscript"/>
          <w:lang w:val="fr-FR"/>
        </w:rPr>
        <w:t>+1</w:t>
      </w:r>
      <w:r w:rsidRPr="007F6068">
        <w:rPr>
          <w:rFonts w:eastAsia="DFKai-SB"/>
          <w:sz w:val="22"/>
          <w:szCs w:val="22"/>
          <w:lang w:val="fr-FR"/>
        </w:rPr>
        <w:t xml:space="preserve"> =</w:t>
      </w:r>
      <w:r w:rsidRPr="007F6068">
        <w:rPr>
          <w:rFonts w:eastAsia="DFKai-SB"/>
          <w:i/>
          <w:sz w:val="22"/>
          <w:szCs w:val="22"/>
          <w:lang w:val="fr-FR"/>
        </w:rPr>
        <w:t xml:space="preserve"> </w:t>
      </w:r>
      <w:r w:rsidRPr="007F6068">
        <w:rPr>
          <w:i/>
          <w:sz w:val="22"/>
          <w:szCs w:val="22"/>
        </w:rPr>
        <w:sym w:font="Symbol" w:char="F062"/>
      </w:r>
      <w:r w:rsidRPr="007F6068">
        <w:rPr>
          <w:rFonts w:eastAsia="DFKai-SB"/>
          <w:sz w:val="22"/>
          <w:szCs w:val="22"/>
          <w:vertAlign w:val="subscript"/>
          <w:lang w:val="fr-FR"/>
        </w:rPr>
        <w:t>0</w:t>
      </w:r>
      <w:r w:rsidRPr="007F6068">
        <w:rPr>
          <w:rFonts w:eastAsia="DFKai-SB"/>
          <w:i/>
          <w:sz w:val="22"/>
          <w:szCs w:val="22"/>
          <w:lang w:val="fr-FR"/>
        </w:rPr>
        <w:t xml:space="preserve"> + </w:t>
      </w:r>
      <w:r w:rsidRPr="007F6068">
        <w:rPr>
          <w:i/>
          <w:sz w:val="22"/>
          <w:szCs w:val="22"/>
        </w:rPr>
        <w:sym w:font="Symbol" w:char="F062"/>
      </w:r>
      <w:r w:rsidRPr="007F6068">
        <w:rPr>
          <w:rFonts w:eastAsia="DFKai-SB"/>
          <w:sz w:val="22"/>
          <w:szCs w:val="22"/>
          <w:vertAlign w:val="subscript"/>
          <w:lang w:val="fr-FR"/>
        </w:rPr>
        <w:t xml:space="preserve">1 </w:t>
      </w:r>
      <w:r w:rsidRPr="007F6068">
        <w:rPr>
          <w:rFonts w:eastAsia="DFKai-SB"/>
          <w:i/>
          <w:sz w:val="22"/>
          <w:szCs w:val="22"/>
          <w:lang w:val="fr-FR"/>
        </w:rPr>
        <w:t>|</w:t>
      </w:r>
      <w:proofErr w:type="spellStart"/>
      <w:r w:rsidRPr="007F6068">
        <w:rPr>
          <w:rFonts w:eastAsia="DFKai-SB"/>
          <w:i/>
          <w:sz w:val="22"/>
          <w:szCs w:val="22"/>
          <w:lang w:val="fr-FR"/>
        </w:rPr>
        <w:t>DA</w:t>
      </w:r>
      <w:r w:rsidRPr="007F6068">
        <w:rPr>
          <w:rFonts w:eastAsia="DFKai-SB"/>
          <w:i/>
          <w:sz w:val="22"/>
          <w:szCs w:val="22"/>
          <w:vertAlign w:val="subscript"/>
          <w:lang w:val="fr-FR"/>
        </w:rPr>
        <w:t>i,t</w:t>
      </w:r>
      <w:proofErr w:type="spellEnd"/>
      <w:r w:rsidRPr="007F6068">
        <w:rPr>
          <w:rFonts w:eastAsia="DFKai-SB"/>
          <w:i/>
          <w:sz w:val="22"/>
          <w:szCs w:val="22"/>
          <w:lang w:val="fr-FR"/>
        </w:rPr>
        <w:t xml:space="preserve"> |+ </w:t>
      </w:r>
      <w:r w:rsidRPr="007F6068">
        <w:rPr>
          <w:i/>
          <w:sz w:val="22"/>
          <w:szCs w:val="22"/>
        </w:rPr>
        <w:sym w:font="Symbol" w:char="F062"/>
      </w:r>
      <w:r w:rsidRPr="007F6068">
        <w:rPr>
          <w:rFonts w:eastAsia="DFKai-SB"/>
          <w:sz w:val="22"/>
          <w:szCs w:val="22"/>
          <w:vertAlign w:val="subscript"/>
          <w:lang w:val="fr-FR"/>
        </w:rPr>
        <w:t xml:space="preserve">2 </w:t>
      </w:r>
      <w:proofErr w:type="spellStart"/>
      <w:r w:rsidRPr="007F6068">
        <w:rPr>
          <w:rFonts w:eastAsia="DFKai-SB"/>
          <w:i/>
          <w:sz w:val="22"/>
          <w:szCs w:val="22"/>
          <w:lang w:val="fr-FR"/>
        </w:rPr>
        <w:t>MKT</w:t>
      </w:r>
      <w:r w:rsidRPr="007F6068">
        <w:rPr>
          <w:rFonts w:eastAsia="DFKai-SB"/>
          <w:i/>
          <w:sz w:val="22"/>
          <w:szCs w:val="22"/>
          <w:vertAlign w:val="subscript"/>
          <w:lang w:val="fr-FR"/>
        </w:rPr>
        <w:t>t</w:t>
      </w:r>
      <w:proofErr w:type="spellEnd"/>
      <w:r w:rsidRPr="007F6068">
        <w:rPr>
          <w:rFonts w:eastAsia="DFKai-SB"/>
          <w:i/>
          <w:sz w:val="22"/>
          <w:szCs w:val="22"/>
          <w:lang w:val="fr-FR"/>
        </w:rPr>
        <w:t xml:space="preserve"> + </w:t>
      </w:r>
      <w:r w:rsidRPr="007F6068">
        <w:rPr>
          <w:i/>
          <w:sz w:val="22"/>
          <w:szCs w:val="22"/>
        </w:rPr>
        <w:sym w:font="Symbol" w:char="F062"/>
      </w:r>
      <w:r w:rsidRPr="007F6068">
        <w:rPr>
          <w:rFonts w:eastAsia="DFKai-SB"/>
          <w:sz w:val="22"/>
          <w:szCs w:val="22"/>
          <w:vertAlign w:val="subscript"/>
          <w:lang w:val="fr-FR"/>
        </w:rPr>
        <w:t xml:space="preserve">3 </w:t>
      </w:r>
      <w:proofErr w:type="spellStart"/>
      <w:r w:rsidRPr="007F6068">
        <w:rPr>
          <w:rFonts w:eastAsia="DFKai-SB"/>
          <w:i/>
          <w:sz w:val="22"/>
          <w:szCs w:val="22"/>
          <w:lang w:val="fr-FR"/>
        </w:rPr>
        <w:t>SIZE</w:t>
      </w:r>
      <w:r w:rsidRPr="007F6068">
        <w:rPr>
          <w:rFonts w:eastAsia="DFKai-SB"/>
          <w:i/>
          <w:sz w:val="22"/>
          <w:szCs w:val="22"/>
          <w:vertAlign w:val="subscript"/>
          <w:lang w:val="fr-FR"/>
        </w:rPr>
        <w:t>i,t</w:t>
      </w:r>
      <w:proofErr w:type="spellEnd"/>
      <w:r w:rsidRPr="007F6068">
        <w:rPr>
          <w:rFonts w:eastAsia="DFKai-SB"/>
          <w:i/>
          <w:sz w:val="22"/>
          <w:szCs w:val="22"/>
          <w:lang w:val="fr-FR"/>
        </w:rPr>
        <w:t xml:space="preserve"> +</w:t>
      </w:r>
      <w:r w:rsidRPr="007F6068">
        <w:rPr>
          <w:i/>
          <w:sz w:val="22"/>
          <w:szCs w:val="22"/>
        </w:rPr>
        <w:sym w:font="Symbol" w:char="F062"/>
      </w:r>
      <w:r w:rsidRPr="007F6068">
        <w:rPr>
          <w:rFonts w:eastAsia="DFKai-SB"/>
          <w:sz w:val="22"/>
          <w:szCs w:val="22"/>
          <w:vertAlign w:val="subscript"/>
          <w:lang w:val="fr-FR"/>
        </w:rPr>
        <w:t xml:space="preserve">4 </w:t>
      </w:r>
      <w:proofErr w:type="spellStart"/>
      <w:r w:rsidRPr="007F6068">
        <w:rPr>
          <w:rFonts w:eastAsia="DFKai-SB"/>
          <w:i/>
          <w:sz w:val="22"/>
          <w:szCs w:val="22"/>
          <w:lang w:val="fr-FR"/>
        </w:rPr>
        <w:t>MB</w:t>
      </w:r>
      <w:r w:rsidRPr="007F6068">
        <w:rPr>
          <w:rFonts w:eastAsia="DFKai-SB"/>
          <w:i/>
          <w:sz w:val="22"/>
          <w:szCs w:val="22"/>
          <w:vertAlign w:val="subscript"/>
          <w:lang w:val="fr-FR"/>
        </w:rPr>
        <w:t>i,t</w:t>
      </w:r>
      <w:proofErr w:type="spellEnd"/>
      <w:r w:rsidRPr="007F6068">
        <w:rPr>
          <w:rFonts w:eastAsia="DFKai-SB"/>
          <w:i/>
          <w:sz w:val="22"/>
          <w:szCs w:val="22"/>
          <w:lang w:val="fr-FR"/>
        </w:rPr>
        <w:t xml:space="preserve"> + </w:t>
      </w:r>
      <w:r w:rsidRPr="007F6068">
        <w:rPr>
          <w:i/>
          <w:sz w:val="22"/>
          <w:szCs w:val="22"/>
        </w:rPr>
        <w:sym w:font="Symbol" w:char="F062"/>
      </w:r>
      <w:r w:rsidRPr="007F6068">
        <w:rPr>
          <w:rFonts w:eastAsia="DFKai-SB"/>
          <w:sz w:val="22"/>
          <w:szCs w:val="22"/>
          <w:vertAlign w:val="subscript"/>
          <w:lang w:val="fr-FR"/>
        </w:rPr>
        <w:t xml:space="preserve">5 </w:t>
      </w:r>
      <w:proofErr w:type="spellStart"/>
      <w:r w:rsidRPr="007F6068">
        <w:rPr>
          <w:rFonts w:eastAsia="DFKai-SB"/>
          <w:i/>
          <w:sz w:val="22"/>
          <w:szCs w:val="22"/>
          <w:lang w:val="fr-FR"/>
        </w:rPr>
        <w:t>MOM</w:t>
      </w:r>
      <w:r w:rsidRPr="007F6068">
        <w:rPr>
          <w:rFonts w:eastAsia="DFKai-SB"/>
          <w:i/>
          <w:sz w:val="22"/>
          <w:szCs w:val="22"/>
          <w:vertAlign w:val="subscript"/>
          <w:lang w:val="fr-FR"/>
        </w:rPr>
        <w:t>i,t</w:t>
      </w:r>
      <w:proofErr w:type="spellEnd"/>
      <w:r w:rsidRPr="007F6068">
        <w:rPr>
          <w:rFonts w:eastAsia="DFKai-SB"/>
          <w:i/>
          <w:sz w:val="22"/>
          <w:szCs w:val="22"/>
          <w:lang w:val="fr-FR"/>
        </w:rPr>
        <w:t xml:space="preserve">+ </w:t>
      </w:r>
      <w:r w:rsidRPr="007F6068">
        <w:rPr>
          <w:rFonts w:eastAsia="DFKai-SB"/>
          <w:i/>
          <w:sz w:val="22"/>
          <w:szCs w:val="22"/>
        </w:rPr>
        <w:t>u</w:t>
      </w:r>
      <w:r w:rsidRPr="007F6068">
        <w:rPr>
          <w:rFonts w:eastAsia="DFKai-SB"/>
          <w:i/>
          <w:sz w:val="22"/>
          <w:szCs w:val="22"/>
          <w:vertAlign w:val="subscript"/>
          <w:lang w:val="fr-FR"/>
        </w:rPr>
        <w:t>i,t</w:t>
      </w:r>
      <w:r w:rsidRPr="007F6068">
        <w:rPr>
          <w:i/>
          <w:sz w:val="22"/>
          <w:szCs w:val="22"/>
          <w:vertAlign w:val="subscript"/>
          <w:lang w:val="fr-FR"/>
        </w:rPr>
        <w:t>+1</w:t>
      </w:r>
    </w:p>
    <w:p w:rsidR="002A61C1" w:rsidRPr="002A61C1" w:rsidRDefault="002A61C1" w:rsidP="00FE1E17">
      <w:pPr>
        <w:spacing w:after="120"/>
        <w:jc w:val="center"/>
        <w:rPr>
          <w:sz w:val="6"/>
          <w:szCs w:val="6"/>
          <w:lang w:val="fr-FR"/>
        </w:rPr>
      </w:pPr>
    </w:p>
    <w:tbl>
      <w:tblPr>
        <w:tblW w:w="5008" w:type="pct"/>
        <w:tblLayout w:type="fixed"/>
        <w:tblCellMar>
          <w:left w:w="0" w:type="dxa"/>
          <w:right w:w="0" w:type="dxa"/>
        </w:tblCellMar>
        <w:tblLook w:val="0000" w:firstRow="0" w:lastRow="0" w:firstColumn="0" w:lastColumn="0" w:noHBand="0" w:noVBand="0"/>
      </w:tblPr>
      <w:tblGrid>
        <w:gridCol w:w="928"/>
        <w:gridCol w:w="1868"/>
        <w:gridCol w:w="920"/>
        <w:gridCol w:w="7"/>
        <w:gridCol w:w="1868"/>
        <w:gridCol w:w="1342"/>
        <w:gridCol w:w="2108"/>
      </w:tblGrid>
      <w:tr w:rsidR="00FE1E17" w:rsidRPr="007F6068" w:rsidTr="00583009">
        <w:trPr>
          <w:trHeight w:val="345"/>
        </w:trPr>
        <w:tc>
          <w:tcPr>
            <w:tcW w:w="3092" w:type="pct"/>
            <w:gridSpan w:val="5"/>
            <w:tcBorders>
              <w:top w:val="single" w:sz="12" w:space="0" w:color="auto"/>
              <w:left w:val="nil"/>
              <w:right w:val="single" w:sz="12" w:space="0" w:color="auto"/>
            </w:tcBorders>
            <w:shd w:val="clear" w:color="auto" w:fill="auto"/>
            <w:noWrap/>
            <w:vAlign w:val="center"/>
          </w:tcPr>
          <w:p w:rsidR="00FE1E17" w:rsidRPr="007F6068" w:rsidRDefault="00FE1E17" w:rsidP="00583009">
            <w:pPr>
              <w:ind w:left="-180"/>
              <w:jc w:val="center"/>
              <w:rPr>
                <w:rFonts w:eastAsia="DFKai-SB"/>
                <w:i/>
                <w:sz w:val="22"/>
                <w:szCs w:val="22"/>
              </w:rPr>
            </w:pPr>
            <w:r w:rsidRPr="007F6068">
              <w:rPr>
                <w:rFonts w:eastAsia="DFKai-SB"/>
                <w:i/>
                <w:sz w:val="22"/>
                <w:szCs w:val="22"/>
              </w:rPr>
              <w:t xml:space="preserve">Coefficient estimates on </w:t>
            </w:r>
            <w:r w:rsidRPr="007F6068">
              <w:rPr>
                <w:i/>
                <w:sz w:val="22"/>
                <w:szCs w:val="22"/>
              </w:rPr>
              <w:t>|DA|: QR</w:t>
            </w:r>
            <w:r w:rsidRPr="007F6068">
              <w:rPr>
                <w:rFonts w:eastAsia="DFKai-SB"/>
                <w:i/>
                <w:sz w:val="22"/>
                <w:szCs w:val="22"/>
              </w:rPr>
              <w:t xml:space="preserve"> vs. OLS </w:t>
            </w:r>
          </w:p>
        </w:tc>
        <w:tc>
          <w:tcPr>
            <w:tcW w:w="1908" w:type="pct"/>
            <w:gridSpan w:val="2"/>
            <w:tcBorders>
              <w:top w:val="single" w:sz="12" w:space="0" w:color="auto"/>
              <w:left w:val="single" w:sz="12" w:space="0" w:color="auto"/>
              <w:right w:val="nil"/>
            </w:tcBorders>
            <w:shd w:val="clear" w:color="auto" w:fill="auto"/>
            <w:noWrap/>
            <w:vAlign w:val="center"/>
          </w:tcPr>
          <w:p w:rsidR="00FE1E17" w:rsidRPr="007F6068" w:rsidRDefault="00FE1E17" w:rsidP="00583009">
            <w:pPr>
              <w:jc w:val="center"/>
              <w:rPr>
                <w:i/>
                <w:sz w:val="22"/>
                <w:szCs w:val="22"/>
              </w:rPr>
            </w:pPr>
            <w:r w:rsidRPr="007F6068">
              <w:rPr>
                <w:rFonts w:eastAsia="DFKai-SB"/>
                <w:i/>
                <w:sz w:val="22"/>
                <w:szCs w:val="22"/>
              </w:rPr>
              <w:t xml:space="preserve">Tests of equality </w:t>
            </w:r>
            <w:r w:rsidRPr="007F6068">
              <w:rPr>
                <w:i/>
                <w:sz w:val="22"/>
                <w:szCs w:val="22"/>
              </w:rPr>
              <w:t>across quantiles</w:t>
            </w:r>
          </w:p>
        </w:tc>
      </w:tr>
      <w:tr w:rsidR="00FE1E17" w:rsidRPr="007F6068" w:rsidTr="00583009">
        <w:trPr>
          <w:trHeight w:val="345"/>
        </w:trPr>
        <w:tc>
          <w:tcPr>
            <w:tcW w:w="513" w:type="pct"/>
            <w:tcBorders>
              <w:top w:val="nil"/>
              <w:left w:val="nil"/>
              <w:bottom w:val="single" w:sz="8" w:space="0" w:color="auto"/>
              <w:right w:val="nil"/>
            </w:tcBorders>
            <w:shd w:val="clear" w:color="auto" w:fill="auto"/>
            <w:noWrap/>
            <w:vAlign w:val="center"/>
          </w:tcPr>
          <w:p w:rsidR="00FE1E17" w:rsidRPr="007F6068" w:rsidRDefault="00FE1E17" w:rsidP="00583009">
            <w:pPr>
              <w:jc w:val="center"/>
              <w:rPr>
                <w:i/>
                <w:sz w:val="22"/>
                <w:szCs w:val="22"/>
              </w:rPr>
            </w:pPr>
            <w:r w:rsidRPr="007F6068">
              <w:rPr>
                <w:rFonts w:eastAsia="DFKai-SB"/>
                <w:i/>
                <w:sz w:val="22"/>
                <w:szCs w:val="22"/>
              </w:rPr>
              <w:t>Quant</w:t>
            </w:r>
            <w:r w:rsidRPr="007F6068">
              <w:rPr>
                <w:i/>
                <w:sz w:val="22"/>
                <w:szCs w:val="22"/>
              </w:rPr>
              <w:t>.</w:t>
            </w:r>
          </w:p>
        </w:tc>
        <w:tc>
          <w:tcPr>
            <w:tcW w:w="1033" w:type="pct"/>
            <w:tcBorders>
              <w:top w:val="nil"/>
              <w:left w:val="nil"/>
              <w:bottom w:val="single" w:sz="8" w:space="0" w:color="auto"/>
              <w:right w:val="nil"/>
            </w:tcBorders>
            <w:shd w:val="clear" w:color="auto" w:fill="auto"/>
            <w:noWrap/>
            <w:vAlign w:val="center"/>
          </w:tcPr>
          <w:p w:rsidR="00FE1E17" w:rsidRPr="007F6068" w:rsidRDefault="00FE1E17" w:rsidP="00583009">
            <w:pPr>
              <w:jc w:val="center"/>
              <w:rPr>
                <w:rFonts w:eastAsia="DFKai-SB"/>
                <w:i/>
                <w:sz w:val="22"/>
                <w:szCs w:val="22"/>
              </w:rPr>
            </w:pPr>
            <w:r w:rsidRPr="007F6068">
              <w:rPr>
                <w:i/>
                <w:sz w:val="22"/>
                <w:szCs w:val="22"/>
              </w:rPr>
              <w:t>Coeff.</w:t>
            </w:r>
            <w:r w:rsidRPr="007F6068">
              <w:rPr>
                <w:rFonts w:eastAsia="DFKai-SB"/>
                <w:i/>
                <w:sz w:val="22"/>
                <w:szCs w:val="22"/>
              </w:rPr>
              <w:t xml:space="preserve"> (p-value)</w:t>
            </w:r>
          </w:p>
        </w:tc>
        <w:tc>
          <w:tcPr>
            <w:tcW w:w="509" w:type="pct"/>
            <w:tcBorders>
              <w:top w:val="nil"/>
              <w:left w:val="nil"/>
              <w:bottom w:val="single" w:sz="8" w:space="0" w:color="auto"/>
              <w:right w:val="nil"/>
            </w:tcBorders>
            <w:shd w:val="clear" w:color="auto" w:fill="auto"/>
            <w:noWrap/>
            <w:vAlign w:val="center"/>
          </w:tcPr>
          <w:p w:rsidR="00FE1E17" w:rsidRPr="007F6068" w:rsidRDefault="00FE1E17" w:rsidP="00583009">
            <w:pPr>
              <w:jc w:val="center"/>
              <w:rPr>
                <w:i/>
                <w:sz w:val="22"/>
                <w:szCs w:val="22"/>
              </w:rPr>
            </w:pPr>
            <w:r w:rsidRPr="007F6068">
              <w:rPr>
                <w:rFonts w:eastAsia="DFKai-SB"/>
                <w:i/>
                <w:sz w:val="22"/>
                <w:szCs w:val="22"/>
              </w:rPr>
              <w:t>Quant</w:t>
            </w:r>
            <w:r w:rsidRPr="007F6068">
              <w:rPr>
                <w:i/>
                <w:sz w:val="22"/>
                <w:szCs w:val="22"/>
              </w:rPr>
              <w:t>.</w:t>
            </w:r>
          </w:p>
        </w:tc>
        <w:tc>
          <w:tcPr>
            <w:tcW w:w="1037" w:type="pct"/>
            <w:gridSpan w:val="2"/>
            <w:tcBorders>
              <w:top w:val="nil"/>
              <w:left w:val="nil"/>
              <w:bottom w:val="single" w:sz="8" w:space="0" w:color="auto"/>
              <w:right w:val="single" w:sz="12" w:space="0" w:color="auto"/>
            </w:tcBorders>
            <w:shd w:val="clear" w:color="auto" w:fill="auto"/>
            <w:noWrap/>
            <w:vAlign w:val="center"/>
          </w:tcPr>
          <w:p w:rsidR="00FE1E17" w:rsidRPr="007F6068" w:rsidRDefault="00FE1E17" w:rsidP="00583009">
            <w:pPr>
              <w:jc w:val="center"/>
              <w:rPr>
                <w:rFonts w:eastAsia="DFKai-SB"/>
                <w:i/>
                <w:sz w:val="22"/>
                <w:szCs w:val="22"/>
              </w:rPr>
            </w:pPr>
            <w:r w:rsidRPr="007F6068">
              <w:rPr>
                <w:i/>
                <w:sz w:val="22"/>
                <w:szCs w:val="22"/>
              </w:rPr>
              <w:t>Coeff.</w:t>
            </w:r>
            <w:r w:rsidRPr="007F6068">
              <w:rPr>
                <w:rFonts w:eastAsia="DFKai-SB"/>
                <w:i/>
                <w:sz w:val="22"/>
                <w:szCs w:val="22"/>
              </w:rPr>
              <w:t xml:space="preserve"> (p-value)</w:t>
            </w:r>
          </w:p>
        </w:tc>
        <w:tc>
          <w:tcPr>
            <w:tcW w:w="742" w:type="pct"/>
            <w:tcBorders>
              <w:top w:val="nil"/>
              <w:left w:val="single" w:sz="12" w:space="0" w:color="auto"/>
              <w:bottom w:val="single" w:sz="8" w:space="0" w:color="auto"/>
              <w:right w:val="nil"/>
            </w:tcBorders>
            <w:shd w:val="clear" w:color="auto" w:fill="auto"/>
            <w:noWrap/>
            <w:vAlign w:val="center"/>
          </w:tcPr>
          <w:p w:rsidR="00FE1E17" w:rsidRPr="007F6068" w:rsidRDefault="00FE1E17" w:rsidP="00583009">
            <w:pPr>
              <w:jc w:val="center"/>
              <w:rPr>
                <w:i/>
                <w:sz w:val="22"/>
                <w:szCs w:val="22"/>
              </w:rPr>
            </w:pPr>
            <w:r w:rsidRPr="007F6068">
              <w:rPr>
                <w:rFonts w:eastAsia="DFKai-SB"/>
                <w:i/>
                <w:sz w:val="22"/>
                <w:szCs w:val="22"/>
              </w:rPr>
              <w:t>Quant</w:t>
            </w:r>
            <w:r w:rsidRPr="007F6068">
              <w:rPr>
                <w:i/>
                <w:sz w:val="22"/>
                <w:szCs w:val="22"/>
              </w:rPr>
              <w:t>.</w:t>
            </w:r>
          </w:p>
        </w:tc>
        <w:tc>
          <w:tcPr>
            <w:tcW w:w="1166" w:type="pct"/>
            <w:tcBorders>
              <w:top w:val="nil"/>
              <w:left w:val="nil"/>
              <w:bottom w:val="single" w:sz="8" w:space="0" w:color="auto"/>
              <w:right w:val="nil"/>
            </w:tcBorders>
            <w:shd w:val="clear" w:color="auto" w:fill="auto"/>
            <w:noWrap/>
            <w:vAlign w:val="center"/>
          </w:tcPr>
          <w:p w:rsidR="00FE1E17" w:rsidRPr="007F6068" w:rsidRDefault="00FE1E17" w:rsidP="00583009">
            <w:pPr>
              <w:jc w:val="center"/>
              <w:rPr>
                <w:rFonts w:eastAsia="DFKai-SB"/>
                <w:i/>
                <w:sz w:val="22"/>
                <w:szCs w:val="22"/>
              </w:rPr>
            </w:pPr>
            <w:r w:rsidRPr="007F6068">
              <w:rPr>
                <w:i/>
                <w:sz w:val="22"/>
                <w:szCs w:val="22"/>
              </w:rPr>
              <w:t>F-statistic</w:t>
            </w:r>
            <w:r w:rsidRPr="007F6068">
              <w:rPr>
                <w:rFonts w:eastAsia="DFKai-SB"/>
                <w:i/>
                <w:sz w:val="22"/>
                <w:szCs w:val="22"/>
              </w:rPr>
              <w:t xml:space="preserve"> (p-value)</w:t>
            </w:r>
          </w:p>
        </w:tc>
      </w:tr>
      <w:tr w:rsidR="00FE1E17" w:rsidRPr="007F6068" w:rsidTr="00583009">
        <w:trPr>
          <w:trHeight w:val="397"/>
        </w:trPr>
        <w:tc>
          <w:tcPr>
            <w:tcW w:w="513" w:type="pct"/>
            <w:tcBorders>
              <w:left w:val="nil"/>
              <w:bottom w:val="nil"/>
              <w:right w:val="nil"/>
            </w:tcBorders>
            <w:shd w:val="clear" w:color="auto" w:fill="auto"/>
            <w:noWrap/>
            <w:vAlign w:val="center"/>
          </w:tcPr>
          <w:p w:rsidR="00FE1E17" w:rsidRPr="007F6068" w:rsidRDefault="00FE1E17" w:rsidP="00583009">
            <w:pPr>
              <w:adjustRightInd w:val="0"/>
              <w:snapToGrid w:val="0"/>
              <w:spacing w:before="120"/>
              <w:jc w:val="center"/>
              <w:rPr>
                <w:sz w:val="22"/>
                <w:szCs w:val="22"/>
              </w:rPr>
            </w:pPr>
            <w:r w:rsidRPr="007F6068">
              <w:rPr>
                <w:rFonts w:eastAsia="DFKai-SB"/>
                <w:sz w:val="22"/>
                <w:szCs w:val="22"/>
              </w:rPr>
              <w:t>5</w:t>
            </w:r>
            <w:r w:rsidRPr="007F6068">
              <w:rPr>
                <w:sz w:val="22"/>
                <w:szCs w:val="22"/>
              </w:rPr>
              <w:t>%</w:t>
            </w:r>
          </w:p>
        </w:tc>
        <w:tc>
          <w:tcPr>
            <w:tcW w:w="1033" w:type="pct"/>
            <w:tcBorders>
              <w:left w:val="nil"/>
              <w:bottom w:val="nil"/>
              <w:right w:val="nil"/>
            </w:tcBorders>
            <w:shd w:val="clear" w:color="auto" w:fill="auto"/>
            <w:noWrap/>
          </w:tcPr>
          <w:p w:rsidR="00FE1E17" w:rsidRPr="007F6068" w:rsidRDefault="00FE1E17" w:rsidP="00583009">
            <w:pPr>
              <w:adjustRightInd w:val="0"/>
              <w:snapToGrid w:val="0"/>
              <w:spacing w:before="120"/>
              <w:jc w:val="center"/>
              <w:rPr>
                <w:rFonts w:eastAsia="DFKai-SB"/>
                <w:sz w:val="22"/>
                <w:szCs w:val="22"/>
              </w:rPr>
            </w:pPr>
            <w:r w:rsidRPr="007F6068">
              <w:rPr>
                <w:rFonts w:eastAsia="DFKai-SB"/>
                <w:kern w:val="0"/>
                <w:sz w:val="22"/>
                <w:szCs w:val="22"/>
              </w:rPr>
              <w:t xml:space="preserve">-0.553 </w:t>
            </w:r>
            <w:r w:rsidRPr="007F6068">
              <w:rPr>
                <w:rFonts w:eastAsia="DFKai-SB"/>
                <w:sz w:val="22"/>
                <w:szCs w:val="22"/>
              </w:rPr>
              <w:t>(0.000)**</w:t>
            </w:r>
          </w:p>
        </w:tc>
        <w:tc>
          <w:tcPr>
            <w:tcW w:w="513" w:type="pct"/>
            <w:gridSpan w:val="2"/>
            <w:tcBorders>
              <w:left w:val="nil"/>
              <w:bottom w:val="nil"/>
              <w:right w:val="nil"/>
            </w:tcBorders>
            <w:shd w:val="clear" w:color="auto" w:fill="auto"/>
            <w:noWrap/>
            <w:vAlign w:val="center"/>
          </w:tcPr>
          <w:p w:rsidR="00FE1E17" w:rsidRPr="007F6068" w:rsidRDefault="00FE1E17" w:rsidP="00583009">
            <w:pPr>
              <w:adjustRightInd w:val="0"/>
              <w:snapToGrid w:val="0"/>
              <w:spacing w:before="120"/>
              <w:jc w:val="center"/>
              <w:rPr>
                <w:sz w:val="22"/>
                <w:szCs w:val="22"/>
              </w:rPr>
            </w:pPr>
            <w:r w:rsidRPr="007F6068">
              <w:rPr>
                <w:rFonts w:eastAsia="DFKai-SB"/>
                <w:sz w:val="22"/>
                <w:szCs w:val="22"/>
              </w:rPr>
              <w:t>95</w:t>
            </w:r>
            <w:r w:rsidRPr="007F6068">
              <w:rPr>
                <w:sz w:val="22"/>
                <w:szCs w:val="22"/>
              </w:rPr>
              <w:t>%</w:t>
            </w:r>
          </w:p>
        </w:tc>
        <w:tc>
          <w:tcPr>
            <w:tcW w:w="1033" w:type="pct"/>
            <w:tcBorders>
              <w:left w:val="nil"/>
              <w:bottom w:val="nil"/>
              <w:right w:val="single" w:sz="12" w:space="0" w:color="auto"/>
            </w:tcBorders>
            <w:shd w:val="clear" w:color="auto" w:fill="auto"/>
            <w:noWrap/>
            <w:vAlign w:val="center"/>
          </w:tcPr>
          <w:p w:rsidR="00FE1E17" w:rsidRPr="007F6068" w:rsidRDefault="00FE1E17" w:rsidP="005E0594">
            <w:pPr>
              <w:tabs>
                <w:tab w:val="decimal" w:pos="388"/>
              </w:tabs>
              <w:adjustRightInd w:val="0"/>
              <w:snapToGrid w:val="0"/>
              <w:spacing w:before="120"/>
              <w:rPr>
                <w:rFonts w:eastAsia="DFKai-SB"/>
                <w:sz w:val="22"/>
                <w:szCs w:val="22"/>
              </w:rPr>
            </w:pPr>
            <w:r w:rsidRPr="007F6068">
              <w:rPr>
                <w:rFonts w:eastAsia="DFKai-SB"/>
                <w:kern w:val="0"/>
                <w:sz w:val="22"/>
                <w:szCs w:val="22"/>
              </w:rPr>
              <w:t>2.828</w:t>
            </w:r>
            <w:r w:rsidRPr="007F6068">
              <w:rPr>
                <w:rFonts w:eastAsia="DFKai-SB"/>
                <w:sz w:val="22"/>
                <w:szCs w:val="22"/>
              </w:rPr>
              <w:t xml:space="preserve"> (0.000)**</w:t>
            </w:r>
          </w:p>
        </w:tc>
        <w:tc>
          <w:tcPr>
            <w:tcW w:w="742" w:type="pct"/>
            <w:tcBorders>
              <w:left w:val="single" w:sz="12" w:space="0" w:color="auto"/>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5</w:t>
            </w:r>
            <w:r w:rsidRPr="007F6068">
              <w:rPr>
                <w:sz w:val="22"/>
                <w:szCs w:val="22"/>
              </w:rPr>
              <w:t>%</w:t>
            </w:r>
            <w:r w:rsidRPr="007F6068">
              <w:rPr>
                <w:rFonts w:eastAsia="DFKai-SB"/>
                <w:sz w:val="22"/>
                <w:szCs w:val="22"/>
              </w:rPr>
              <w:t xml:space="preserve"> </w:t>
            </w:r>
            <w:r w:rsidRPr="007F6068">
              <w:rPr>
                <w:sz w:val="22"/>
                <w:szCs w:val="22"/>
              </w:rPr>
              <w:t xml:space="preserve">vs. </w:t>
            </w:r>
            <w:r w:rsidRPr="007F6068">
              <w:rPr>
                <w:rFonts w:eastAsia="DFKai-SB"/>
                <w:sz w:val="22"/>
                <w:szCs w:val="22"/>
              </w:rPr>
              <w:t>95</w:t>
            </w:r>
            <w:r w:rsidRPr="007F6068">
              <w:rPr>
                <w:sz w:val="22"/>
                <w:szCs w:val="22"/>
              </w:rPr>
              <w:t>%</w:t>
            </w:r>
          </w:p>
        </w:tc>
        <w:tc>
          <w:tcPr>
            <w:tcW w:w="1166" w:type="pct"/>
            <w:tcBorders>
              <w:left w:val="nil"/>
              <w:bottom w:val="nil"/>
              <w:right w:val="nil"/>
            </w:tcBorders>
            <w:shd w:val="clear" w:color="auto" w:fill="auto"/>
            <w:noWrap/>
            <w:vAlign w:val="center"/>
          </w:tcPr>
          <w:p w:rsidR="00FE1E17" w:rsidRPr="007F6068" w:rsidRDefault="00FE1E17" w:rsidP="005E0594">
            <w:pPr>
              <w:tabs>
                <w:tab w:val="decimal" w:pos="297"/>
              </w:tabs>
              <w:adjustRightInd w:val="0"/>
              <w:snapToGrid w:val="0"/>
              <w:jc w:val="center"/>
              <w:rPr>
                <w:rFonts w:eastAsia="DFKai-SB"/>
                <w:sz w:val="22"/>
                <w:szCs w:val="22"/>
              </w:rPr>
            </w:pPr>
            <w:r w:rsidRPr="007F6068">
              <w:rPr>
                <w:rFonts w:eastAsia="DFKai-SB"/>
                <w:sz w:val="22"/>
                <w:szCs w:val="22"/>
              </w:rPr>
              <w:t>41.53 (0.0000)**</w:t>
            </w:r>
          </w:p>
        </w:tc>
      </w:tr>
      <w:tr w:rsidR="00FE1E17" w:rsidRPr="007F6068" w:rsidTr="00583009">
        <w:trPr>
          <w:trHeight w:val="397"/>
        </w:trPr>
        <w:tc>
          <w:tcPr>
            <w:tcW w:w="513" w:type="pct"/>
            <w:tcBorders>
              <w:top w:val="nil"/>
              <w:left w:val="nil"/>
              <w:bottom w:val="nil"/>
              <w:right w:val="nil"/>
            </w:tcBorders>
            <w:shd w:val="clear" w:color="auto" w:fill="auto"/>
            <w:noWrap/>
            <w:vAlign w:val="center"/>
          </w:tcPr>
          <w:p w:rsidR="00FE1E17" w:rsidRPr="007F6068" w:rsidRDefault="00FE1E17" w:rsidP="00583009">
            <w:pPr>
              <w:adjustRightInd w:val="0"/>
              <w:snapToGrid w:val="0"/>
              <w:spacing w:before="120"/>
              <w:jc w:val="center"/>
              <w:rPr>
                <w:sz w:val="22"/>
                <w:szCs w:val="22"/>
              </w:rPr>
            </w:pPr>
            <w:r w:rsidRPr="007F6068">
              <w:rPr>
                <w:rFonts w:eastAsia="DFKai-SB"/>
                <w:sz w:val="22"/>
                <w:szCs w:val="22"/>
              </w:rPr>
              <w:t>10</w:t>
            </w:r>
            <w:r w:rsidRPr="007F6068">
              <w:rPr>
                <w:sz w:val="22"/>
                <w:szCs w:val="22"/>
              </w:rPr>
              <w:t>%</w:t>
            </w:r>
          </w:p>
        </w:tc>
        <w:tc>
          <w:tcPr>
            <w:tcW w:w="1033" w:type="pct"/>
            <w:tcBorders>
              <w:top w:val="nil"/>
              <w:left w:val="nil"/>
              <w:bottom w:val="nil"/>
              <w:right w:val="nil"/>
            </w:tcBorders>
            <w:shd w:val="clear" w:color="auto" w:fill="auto"/>
            <w:noWrap/>
          </w:tcPr>
          <w:p w:rsidR="00FE1E17" w:rsidRPr="007F6068" w:rsidRDefault="00FE1E17" w:rsidP="00583009">
            <w:pPr>
              <w:adjustRightInd w:val="0"/>
              <w:snapToGrid w:val="0"/>
              <w:spacing w:before="120"/>
              <w:jc w:val="center"/>
              <w:rPr>
                <w:rFonts w:eastAsia="DFKai-SB"/>
                <w:sz w:val="22"/>
                <w:szCs w:val="22"/>
              </w:rPr>
            </w:pPr>
            <w:r w:rsidRPr="007F6068">
              <w:rPr>
                <w:rFonts w:eastAsia="DFKai-SB"/>
                <w:kern w:val="0"/>
                <w:sz w:val="22"/>
                <w:szCs w:val="22"/>
              </w:rPr>
              <w:t xml:space="preserve">-0.551 </w:t>
            </w:r>
            <w:r w:rsidRPr="007F6068">
              <w:rPr>
                <w:rFonts w:eastAsia="DFKai-SB"/>
                <w:sz w:val="22"/>
                <w:szCs w:val="22"/>
              </w:rPr>
              <w:t>(0.000)**</w:t>
            </w:r>
          </w:p>
        </w:tc>
        <w:tc>
          <w:tcPr>
            <w:tcW w:w="513" w:type="pct"/>
            <w:gridSpan w:val="2"/>
            <w:tcBorders>
              <w:top w:val="nil"/>
              <w:left w:val="nil"/>
              <w:bottom w:val="nil"/>
              <w:right w:val="nil"/>
            </w:tcBorders>
            <w:shd w:val="clear" w:color="auto" w:fill="auto"/>
            <w:noWrap/>
            <w:vAlign w:val="center"/>
          </w:tcPr>
          <w:p w:rsidR="00FE1E17" w:rsidRPr="007F6068" w:rsidRDefault="00FE1E17" w:rsidP="00583009">
            <w:pPr>
              <w:adjustRightInd w:val="0"/>
              <w:snapToGrid w:val="0"/>
              <w:spacing w:before="120"/>
              <w:jc w:val="center"/>
              <w:rPr>
                <w:sz w:val="22"/>
                <w:szCs w:val="22"/>
              </w:rPr>
            </w:pPr>
            <w:r w:rsidRPr="007F6068">
              <w:rPr>
                <w:rFonts w:eastAsia="DFKai-SB"/>
                <w:sz w:val="22"/>
                <w:szCs w:val="22"/>
              </w:rPr>
              <w:t>90</w:t>
            </w:r>
            <w:r w:rsidRPr="007F6068">
              <w:rPr>
                <w:sz w:val="22"/>
                <w:szCs w:val="22"/>
              </w:rPr>
              <w:t>%</w:t>
            </w:r>
          </w:p>
        </w:tc>
        <w:tc>
          <w:tcPr>
            <w:tcW w:w="1033" w:type="pct"/>
            <w:tcBorders>
              <w:top w:val="nil"/>
              <w:left w:val="nil"/>
              <w:bottom w:val="nil"/>
              <w:right w:val="single" w:sz="12" w:space="0" w:color="auto"/>
            </w:tcBorders>
            <w:shd w:val="clear" w:color="auto" w:fill="auto"/>
            <w:noWrap/>
            <w:vAlign w:val="center"/>
          </w:tcPr>
          <w:p w:rsidR="00FE1E17" w:rsidRPr="007F6068" w:rsidRDefault="00FE1E17" w:rsidP="005E0594">
            <w:pPr>
              <w:tabs>
                <w:tab w:val="decimal" w:pos="388"/>
              </w:tabs>
              <w:adjustRightInd w:val="0"/>
              <w:snapToGrid w:val="0"/>
              <w:spacing w:before="120"/>
              <w:rPr>
                <w:rFonts w:eastAsia="DFKai-SB"/>
                <w:sz w:val="22"/>
                <w:szCs w:val="22"/>
              </w:rPr>
            </w:pPr>
            <w:r w:rsidRPr="007F6068">
              <w:rPr>
                <w:rFonts w:eastAsia="DFKai-SB"/>
                <w:kern w:val="0"/>
                <w:sz w:val="22"/>
                <w:szCs w:val="22"/>
              </w:rPr>
              <w:t>1.413</w:t>
            </w:r>
            <w:r w:rsidRPr="007F6068">
              <w:rPr>
                <w:rFonts w:eastAsia="DFKai-SB"/>
                <w:sz w:val="22"/>
                <w:szCs w:val="22"/>
              </w:rPr>
              <w:t xml:space="preserve"> (0.000)**</w:t>
            </w:r>
          </w:p>
        </w:tc>
        <w:tc>
          <w:tcPr>
            <w:tcW w:w="742" w:type="pct"/>
            <w:tcBorders>
              <w:top w:val="nil"/>
              <w:left w:val="single" w:sz="12" w:space="0" w:color="auto"/>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10</w:t>
            </w:r>
            <w:r w:rsidRPr="007F6068">
              <w:rPr>
                <w:sz w:val="22"/>
                <w:szCs w:val="22"/>
              </w:rPr>
              <w:t>%</w:t>
            </w:r>
            <w:r w:rsidRPr="007F6068">
              <w:rPr>
                <w:rFonts w:eastAsia="DFKai-SB"/>
                <w:sz w:val="22"/>
                <w:szCs w:val="22"/>
              </w:rPr>
              <w:t xml:space="preserve"> </w:t>
            </w:r>
            <w:r w:rsidRPr="007F6068">
              <w:rPr>
                <w:sz w:val="22"/>
                <w:szCs w:val="22"/>
              </w:rPr>
              <w:t>vs.</w:t>
            </w:r>
            <w:r w:rsidRPr="007F6068">
              <w:rPr>
                <w:rFonts w:eastAsia="DFKai-SB"/>
                <w:sz w:val="22"/>
                <w:szCs w:val="22"/>
              </w:rPr>
              <w:t xml:space="preserve"> 90</w:t>
            </w:r>
            <w:r w:rsidRPr="007F6068">
              <w:rPr>
                <w:sz w:val="22"/>
                <w:szCs w:val="22"/>
              </w:rPr>
              <w:t>%</w:t>
            </w:r>
          </w:p>
        </w:tc>
        <w:tc>
          <w:tcPr>
            <w:tcW w:w="1166" w:type="pct"/>
            <w:tcBorders>
              <w:top w:val="nil"/>
              <w:left w:val="nil"/>
              <w:bottom w:val="nil"/>
              <w:right w:val="nil"/>
            </w:tcBorders>
            <w:shd w:val="clear" w:color="auto" w:fill="auto"/>
            <w:noWrap/>
            <w:vAlign w:val="center"/>
          </w:tcPr>
          <w:p w:rsidR="00FE1E17" w:rsidRPr="007F6068" w:rsidRDefault="00FE1E17" w:rsidP="005E0594">
            <w:pPr>
              <w:tabs>
                <w:tab w:val="decimal" w:pos="297"/>
              </w:tabs>
              <w:adjustRightInd w:val="0"/>
              <w:snapToGrid w:val="0"/>
              <w:jc w:val="center"/>
              <w:rPr>
                <w:rFonts w:eastAsia="DFKai-SB"/>
                <w:sz w:val="22"/>
                <w:szCs w:val="22"/>
              </w:rPr>
            </w:pPr>
            <w:r w:rsidRPr="007F6068">
              <w:rPr>
                <w:rFonts w:eastAsia="DFKai-SB"/>
                <w:sz w:val="22"/>
                <w:szCs w:val="22"/>
              </w:rPr>
              <w:t>30.16 (0.0000)**</w:t>
            </w:r>
          </w:p>
        </w:tc>
      </w:tr>
      <w:tr w:rsidR="00FE1E17" w:rsidRPr="007F6068" w:rsidTr="00583009">
        <w:trPr>
          <w:trHeight w:val="397"/>
        </w:trPr>
        <w:tc>
          <w:tcPr>
            <w:tcW w:w="513" w:type="pct"/>
            <w:tcBorders>
              <w:top w:val="nil"/>
              <w:left w:val="nil"/>
              <w:bottom w:val="nil"/>
              <w:right w:val="nil"/>
            </w:tcBorders>
            <w:shd w:val="clear" w:color="auto" w:fill="auto"/>
            <w:noWrap/>
            <w:vAlign w:val="center"/>
          </w:tcPr>
          <w:p w:rsidR="00FE1E17" w:rsidRPr="007F6068" w:rsidRDefault="00FE1E17" w:rsidP="00583009">
            <w:pPr>
              <w:adjustRightInd w:val="0"/>
              <w:snapToGrid w:val="0"/>
              <w:spacing w:before="120"/>
              <w:jc w:val="center"/>
              <w:rPr>
                <w:sz w:val="22"/>
                <w:szCs w:val="22"/>
              </w:rPr>
            </w:pPr>
            <w:r w:rsidRPr="007F6068">
              <w:rPr>
                <w:rFonts w:eastAsia="DFKai-SB"/>
                <w:sz w:val="22"/>
                <w:szCs w:val="22"/>
              </w:rPr>
              <w:t>15</w:t>
            </w:r>
            <w:r w:rsidRPr="007F6068">
              <w:rPr>
                <w:sz w:val="22"/>
                <w:szCs w:val="22"/>
              </w:rPr>
              <w:t>%</w:t>
            </w:r>
          </w:p>
        </w:tc>
        <w:tc>
          <w:tcPr>
            <w:tcW w:w="1033" w:type="pct"/>
            <w:tcBorders>
              <w:top w:val="nil"/>
              <w:left w:val="nil"/>
              <w:bottom w:val="nil"/>
              <w:right w:val="nil"/>
            </w:tcBorders>
            <w:shd w:val="clear" w:color="auto" w:fill="auto"/>
            <w:noWrap/>
          </w:tcPr>
          <w:p w:rsidR="00FE1E17" w:rsidRPr="007F6068" w:rsidRDefault="00FE1E17" w:rsidP="00583009">
            <w:pPr>
              <w:adjustRightInd w:val="0"/>
              <w:snapToGrid w:val="0"/>
              <w:spacing w:before="120"/>
              <w:jc w:val="center"/>
              <w:rPr>
                <w:rFonts w:eastAsia="DFKai-SB"/>
                <w:sz w:val="22"/>
                <w:szCs w:val="22"/>
              </w:rPr>
            </w:pPr>
            <w:r w:rsidRPr="007F6068">
              <w:rPr>
                <w:rFonts w:eastAsia="DFKai-SB"/>
                <w:kern w:val="0"/>
                <w:sz w:val="22"/>
                <w:szCs w:val="22"/>
              </w:rPr>
              <w:t xml:space="preserve">-0.553 </w:t>
            </w:r>
            <w:r w:rsidRPr="007F6068">
              <w:rPr>
                <w:rFonts w:eastAsia="DFKai-SB"/>
                <w:sz w:val="22"/>
                <w:szCs w:val="22"/>
              </w:rPr>
              <w:t>(0.000)**</w:t>
            </w:r>
          </w:p>
        </w:tc>
        <w:tc>
          <w:tcPr>
            <w:tcW w:w="513" w:type="pct"/>
            <w:gridSpan w:val="2"/>
            <w:tcBorders>
              <w:top w:val="nil"/>
              <w:left w:val="nil"/>
              <w:bottom w:val="nil"/>
              <w:right w:val="nil"/>
            </w:tcBorders>
            <w:shd w:val="clear" w:color="auto" w:fill="auto"/>
            <w:noWrap/>
            <w:vAlign w:val="center"/>
          </w:tcPr>
          <w:p w:rsidR="00FE1E17" w:rsidRPr="007F6068" w:rsidRDefault="00FE1E17" w:rsidP="00583009">
            <w:pPr>
              <w:adjustRightInd w:val="0"/>
              <w:snapToGrid w:val="0"/>
              <w:spacing w:before="120"/>
              <w:jc w:val="center"/>
              <w:rPr>
                <w:sz w:val="22"/>
                <w:szCs w:val="22"/>
              </w:rPr>
            </w:pPr>
            <w:r w:rsidRPr="007F6068">
              <w:rPr>
                <w:rFonts w:eastAsia="DFKai-SB"/>
                <w:sz w:val="22"/>
                <w:szCs w:val="22"/>
              </w:rPr>
              <w:t>85</w:t>
            </w:r>
            <w:r w:rsidRPr="007F6068">
              <w:rPr>
                <w:sz w:val="22"/>
                <w:szCs w:val="22"/>
              </w:rPr>
              <w:t>%</w:t>
            </w:r>
          </w:p>
        </w:tc>
        <w:tc>
          <w:tcPr>
            <w:tcW w:w="1033" w:type="pct"/>
            <w:tcBorders>
              <w:top w:val="nil"/>
              <w:left w:val="nil"/>
              <w:bottom w:val="nil"/>
              <w:right w:val="single" w:sz="12" w:space="0" w:color="auto"/>
            </w:tcBorders>
            <w:shd w:val="clear" w:color="auto" w:fill="auto"/>
            <w:noWrap/>
            <w:vAlign w:val="center"/>
          </w:tcPr>
          <w:p w:rsidR="00FE1E17" w:rsidRPr="007F6068" w:rsidRDefault="00FE1E17" w:rsidP="005E0594">
            <w:pPr>
              <w:tabs>
                <w:tab w:val="decimal" w:pos="388"/>
              </w:tabs>
              <w:adjustRightInd w:val="0"/>
              <w:snapToGrid w:val="0"/>
              <w:spacing w:before="120"/>
              <w:rPr>
                <w:rFonts w:eastAsia="DFKai-SB"/>
                <w:sz w:val="22"/>
                <w:szCs w:val="22"/>
              </w:rPr>
            </w:pPr>
            <w:r w:rsidRPr="007F6068">
              <w:rPr>
                <w:rFonts w:eastAsia="DFKai-SB"/>
                <w:kern w:val="0"/>
                <w:sz w:val="22"/>
                <w:szCs w:val="22"/>
              </w:rPr>
              <w:t>0.653</w:t>
            </w:r>
            <w:r w:rsidRPr="007F6068">
              <w:rPr>
                <w:rFonts w:eastAsia="DFKai-SB"/>
                <w:sz w:val="22"/>
                <w:szCs w:val="22"/>
              </w:rPr>
              <w:t xml:space="preserve"> (0.002)**</w:t>
            </w:r>
          </w:p>
        </w:tc>
        <w:tc>
          <w:tcPr>
            <w:tcW w:w="742" w:type="pct"/>
            <w:tcBorders>
              <w:top w:val="nil"/>
              <w:left w:val="single" w:sz="12" w:space="0" w:color="auto"/>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15</w:t>
            </w:r>
            <w:r w:rsidRPr="007F6068">
              <w:rPr>
                <w:sz w:val="22"/>
                <w:szCs w:val="22"/>
              </w:rPr>
              <w:t>%</w:t>
            </w:r>
            <w:r w:rsidRPr="007F6068">
              <w:rPr>
                <w:rFonts w:eastAsia="DFKai-SB"/>
                <w:sz w:val="22"/>
                <w:szCs w:val="22"/>
              </w:rPr>
              <w:t xml:space="preserve"> </w:t>
            </w:r>
            <w:r w:rsidRPr="007F6068">
              <w:rPr>
                <w:sz w:val="22"/>
                <w:szCs w:val="22"/>
              </w:rPr>
              <w:t>vs.</w:t>
            </w:r>
            <w:r w:rsidRPr="007F6068">
              <w:rPr>
                <w:rFonts w:eastAsia="DFKai-SB"/>
                <w:sz w:val="22"/>
                <w:szCs w:val="22"/>
              </w:rPr>
              <w:t xml:space="preserve"> 85</w:t>
            </w:r>
            <w:r w:rsidRPr="007F6068">
              <w:rPr>
                <w:sz w:val="22"/>
                <w:szCs w:val="22"/>
              </w:rPr>
              <w:t>%</w:t>
            </w:r>
          </w:p>
        </w:tc>
        <w:tc>
          <w:tcPr>
            <w:tcW w:w="1166" w:type="pct"/>
            <w:tcBorders>
              <w:top w:val="nil"/>
              <w:left w:val="nil"/>
              <w:bottom w:val="nil"/>
              <w:right w:val="nil"/>
            </w:tcBorders>
            <w:shd w:val="clear" w:color="auto" w:fill="auto"/>
            <w:noWrap/>
            <w:vAlign w:val="center"/>
          </w:tcPr>
          <w:p w:rsidR="00FE1E17" w:rsidRPr="007F6068" w:rsidRDefault="00FE1E17" w:rsidP="005E0594">
            <w:pPr>
              <w:tabs>
                <w:tab w:val="decimal" w:pos="297"/>
              </w:tabs>
              <w:adjustRightInd w:val="0"/>
              <w:snapToGrid w:val="0"/>
              <w:jc w:val="center"/>
              <w:rPr>
                <w:rFonts w:eastAsia="DFKai-SB"/>
                <w:sz w:val="22"/>
                <w:szCs w:val="22"/>
              </w:rPr>
            </w:pPr>
            <w:r w:rsidRPr="007F6068">
              <w:rPr>
                <w:rFonts w:eastAsia="DFKai-SB"/>
                <w:sz w:val="22"/>
                <w:szCs w:val="22"/>
              </w:rPr>
              <w:t>32.55 (0.0000)**</w:t>
            </w:r>
          </w:p>
        </w:tc>
      </w:tr>
      <w:tr w:rsidR="00FE1E17" w:rsidRPr="007F6068" w:rsidTr="00583009">
        <w:trPr>
          <w:trHeight w:val="397"/>
        </w:trPr>
        <w:tc>
          <w:tcPr>
            <w:tcW w:w="513" w:type="pct"/>
            <w:tcBorders>
              <w:top w:val="nil"/>
              <w:left w:val="nil"/>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20</w:t>
            </w:r>
            <w:r w:rsidRPr="007F6068">
              <w:rPr>
                <w:sz w:val="22"/>
                <w:szCs w:val="22"/>
              </w:rPr>
              <w:t>%</w:t>
            </w:r>
          </w:p>
        </w:tc>
        <w:tc>
          <w:tcPr>
            <w:tcW w:w="1033" w:type="pct"/>
            <w:tcBorders>
              <w:top w:val="nil"/>
              <w:left w:val="nil"/>
              <w:bottom w:val="nil"/>
              <w:right w:val="nil"/>
            </w:tcBorders>
            <w:shd w:val="clear" w:color="auto" w:fill="auto"/>
            <w:noWrap/>
            <w:vAlign w:val="center"/>
          </w:tcPr>
          <w:p w:rsidR="00FE1E17" w:rsidRPr="007F6068" w:rsidRDefault="00FE1E17" w:rsidP="00583009">
            <w:pPr>
              <w:adjustRightInd w:val="0"/>
              <w:snapToGrid w:val="0"/>
              <w:jc w:val="center"/>
              <w:rPr>
                <w:rFonts w:eastAsia="DFKai-SB"/>
                <w:sz w:val="22"/>
                <w:szCs w:val="22"/>
              </w:rPr>
            </w:pPr>
            <w:r w:rsidRPr="007F6068">
              <w:rPr>
                <w:rFonts w:eastAsia="DFKai-SB"/>
                <w:kern w:val="0"/>
                <w:sz w:val="22"/>
                <w:szCs w:val="22"/>
              </w:rPr>
              <w:t>-0.496</w:t>
            </w:r>
            <w:r w:rsidRPr="007F6068">
              <w:rPr>
                <w:rFonts w:eastAsia="DFKai-SB"/>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80</w:t>
            </w:r>
            <w:r w:rsidRPr="007F6068">
              <w:rPr>
                <w:sz w:val="22"/>
                <w:szCs w:val="22"/>
              </w:rPr>
              <w:t>%</w:t>
            </w:r>
          </w:p>
        </w:tc>
        <w:tc>
          <w:tcPr>
            <w:tcW w:w="1033" w:type="pct"/>
            <w:tcBorders>
              <w:top w:val="nil"/>
              <w:left w:val="nil"/>
              <w:bottom w:val="nil"/>
              <w:right w:val="single" w:sz="12" w:space="0" w:color="auto"/>
            </w:tcBorders>
            <w:shd w:val="clear" w:color="auto" w:fill="auto"/>
            <w:noWrap/>
            <w:vAlign w:val="center"/>
          </w:tcPr>
          <w:p w:rsidR="00FE1E17" w:rsidRPr="007F6068" w:rsidRDefault="00FE1E17" w:rsidP="005E0594">
            <w:pPr>
              <w:tabs>
                <w:tab w:val="decimal" w:pos="388"/>
              </w:tabs>
              <w:adjustRightInd w:val="0"/>
              <w:snapToGrid w:val="0"/>
              <w:rPr>
                <w:rFonts w:eastAsia="DFKai-SB"/>
                <w:sz w:val="22"/>
                <w:szCs w:val="22"/>
              </w:rPr>
            </w:pPr>
            <w:r w:rsidRPr="007F6068">
              <w:rPr>
                <w:rFonts w:eastAsia="DFKai-SB"/>
                <w:kern w:val="0"/>
                <w:sz w:val="22"/>
                <w:szCs w:val="22"/>
              </w:rPr>
              <w:t>0.464</w:t>
            </w:r>
            <w:r w:rsidRPr="007F6068">
              <w:rPr>
                <w:rFonts w:eastAsia="DFKai-SB"/>
                <w:sz w:val="22"/>
                <w:szCs w:val="22"/>
              </w:rPr>
              <w:t xml:space="preserve"> (0.021)*</w:t>
            </w:r>
          </w:p>
        </w:tc>
        <w:tc>
          <w:tcPr>
            <w:tcW w:w="742" w:type="pct"/>
            <w:tcBorders>
              <w:top w:val="nil"/>
              <w:left w:val="single" w:sz="12" w:space="0" w:color="auto"/>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20</w:t>
            </w:r>
            <w:r w:rsidRPr="007F6068">
              <w:rPr>
                <w:sz w:val="22"/>
                <w:szCs w:val="22"/>
              </w:rPr>
              <w:t>%</w:t>
            </w:r>
            <w:r w:rsidRPr="007F6068">
              <w:rPr>
                <w:rFonts w:eastAsia="DFKai-SB"/>
                <w:sz w:val="22"/>
                <w:szCs w:val="22"/>
              </w:rPr>
              <w:t xml:space="preserve"> </w:t>
            </w:r>
            <w:r w:rsidRPr="007F6068">
              <w:rPr>
                <w:sz w:val="22"/>
                <w:szCs w:val="22"/>
              </w:rPr>
              <w:t>vs.</w:t>
            </w:r>
            <w:r w:rsidRPr="007F6068">
              <w:rPr>
                <w:rFonts w:eastAsia="DFKai-SB"/>
                <w:sz w:val="22"/>
                <w:szCs w:val="22"/>
              </w:rPr>
              <w:t xml:space="preserve"> 80</w:t>
            </w:r>
            <w:r w:rsidRPr="007F6068">
              <w:rPr>
                <w:sz w:val="22"/>
                <w:szCs w:val="22"/>
              </w:rPr>
              <w:t>%</w:t>
            </w:r>
          </w:p>
        </w:tc>
        <w:tc>
          <w:tcPr>
            <w:tcW w:w="1166" w:type="pct"/>
            <w:tcBorders>
              <w:top w:val="nil"/>
              <w:left w:val="nil"/>
              <w:bottom w:val="nil"/>
              <w:right w:val="nil"/>
            </w:tcBorders>
            <w:shd w:val="clear" w:color="auto" w:fill="auto"/>
            <w:noWrap/>
            <w:vAlign w:val="center"/>
          </w:tcPr>
          <w:p w:rsidR="00FE1E17" w:rsidRPr="007F6068" w:rsidRDefault="00FE1E17" w:rsidP="005E0594">
            <w:pPr>
              <w:tabs>
                <w:tab w:val="decimal" w:pos="297"/>
              </w:tabs>
              <w:adjustRightInd w:val="0"/>
              <w:snapToGrid w:val="0"/>
              <w:jc w:val="center"/>
              <w:rPr>
                <w:rFonts w:eastAsia="DFKai-SB"/>
                <w:sz w:val="22"/>
                <w:szCs w:val="22"/>
              </w:rPr>
            </w:pPr>
            <w:r w:rsidRPr="007F6068">
              <w:rPr>
                <w:rFonts w:eastAsia="DFKai-SB"/>
                <w:sz w:val="22"/>
                <w:szCs w:val="22"/>
              </w:rPr>
              <w:t>19.39 (0.0000)**</w:t>
            </w:r>
          </w:p>
        </w:tc>
      </w:tr>
      <w:tr w:rsidR="00FE1E17" w:rsidRPr="007F6068" w:rsidTr="00583009">
        <w:trPr>
          <w:trHeight w:val="397"/>
        </w:trPr>
        <w:tc>
          <w:tcPr>
            <w:tcW w:w="513" w:type="pct"/>
            <w:tcBorders>
              <w:top w:val="nil"/>
              <w:left w:val="nil"/>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25</w:t>
            </w:r>
            <w:r w:rsidRPr="007F6068">
              <w:rPr>
                <w:sz w:val="22"/>
                <w:szCs w:val="22"/>
              </w:rPr>
              <w:t>%</w:t>
            </w:r>
          </w:p>
        </w:tc>
        <w:tc>
          <w:tcPr>
            <w:tcW w:w="1033" w:type="pct"/>
            <w:tcBorders>
              <w:top w:val="nil"/>
              <w:left w:val="nil"/>
              <w:bottom w:val="nil"/>
              <w:right w:val="nil"/>
            </w:tcBorders>
            <w:shd w:val="clear" w:color="auto" w:fill="auto"/>
            <w:noWrap/>
            <w:vAlign w:val="center"/>
          </w:tcPr>
          <w:p w:rsidR="00FE1E17" w:rsidRPr="007F6068" w:rsidRDefault="00FE1E17" w:rsidP="00583009">
            <w:pPr>
              <w:adjustRightInd w:val="0"/>
              <w:snapToGrid w:val="0"/>
              <w:jc w:val="center"/>
              <w:rPr>
                <w:rFonts w:eastAsia="DFKai-SB"/>
                <w:sz w:val="22"/>
                <w:szCs w:val="22"/>
              </w:rPr>
            </w:pPr>
            <w:r w:rsidRPr="007F6068">
              <w:rPr>
                <w:rFonts w:eastAsia="DFKai-SB"/>
                <w:kern w:val="0"/>
                <w:sz w:val="22"/>
                <w:szCs w:val="22"/>
              </w:rPr>
              <w:t>-0.431</w:t>
            </w:r>
            <w:r w:rsidRPr="007F6068">
              <w:rPr>
                <w:rFonts w:eastAsia="DFKai-SB"/>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75</w:t>
            </w:r>
            <w:r w:rsidRPr="007F6068">
              <w:rPr>
                <w:sz w:val="22"/>
                <w:szCs w:val="22"/>
              </w:rPr>
              <w:t>%</w:t>
            </w:r>
          </w:p>
        </w:tc>
        <w:tc>
          <w:tcPr>
            <w:tcW w:w="1033" w:type="pct"/>
            <w:tcBorders>
              <w:top w:val="nil"/>
              <w:left w:val="nil"/>
              <w:bottom w:val="nil"/>
              <w:right w:val="single" w:sz="12" w:space="0" w:color="auto"/>
            </w:tcBorders>
            <w:shd w:val="clear" w:color="auto" w:fill="auto"/>
            <w:noWrap/>
            <w:vAlign w:val="center"/>
          </w:tcPr>
          <w:p w:rsidR="00FE1E17" w:rsidRPr="007F6068" w:rsidRDefault="00FE1E17" w:rsidP="005E0594">
            <w:pPr>
              <w:tabs>
                <w:tab w:val="decimal" w:pos="388"/>
              </w:tabs>
              <w:adjustRightInd w:val="0"/>
              <w:snapToGrid w:val="0"/>
              <w:rPr>
                <w:rFonts w:eastAsia="DFKai-SB"/>
                <w:sz w:val="22"/>
                <w:szCs w:val="22"/>
              </w:rPr>
            </w:pPr>
            <w:r w:rsidRPr="007F6068">
              <w:rPr>
                <w:rFonts w:eastAsia="DFKai-SB"/>
                <w:kern w:val="0"/>
                <w:sz w:val="22"/>
                <w:szCs w:val="22"/>
              </w:rPr>
              <w:t>0.269</w:t>
            </w:r>
            <w:r w:rsidRPr="007F6068">
              <w:rPr>
                <w:rFonts w:eastAsia="DFKai-SB"/>
                <w:sz w:val="22"/>
                <w:szCs w:val="22"/>
              </w:rPr>
              <w:t xml:space="preserve"> (0.115)</w:t>
            </w:r>
          </w:p>
        </w:tc>
        <w:tc>
          <w:tcPr>
            <w:tcW w:w="742" w:type="pct"/>
            <w:tcBorders>
              <w:top w:val="nil"/>
              <w:left w:val="single" w:sz="12" w:space="0" w:color="auto"/>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25</w:t>
            </w:r>
            <w:r w:rsidRPr="007F6068">
              <w:rPr>
                <w:sz w:val="22"/>
                <w:szCs w:val="22"/>
              </w:rPr>
              <w:t>%</w:t>
            </w:r>
            <w:r w:rsidRPr="007F6068">
              <w:rPr>
                <w:rFonts w:eastAsia="DFKai-SB"/>
                <w:sz w:val="22"/>
                <w:szCs w:val="22"/>
              </w:rPr>
              <w:t xml:space="preserve"> </w:t>
            </w:r>
            <w:r w:rsidRPr="007F6068">
              <w:rPr>
                <w:sz w:val="22"/>
                <w:szCs w:val="22"/>
              </w:rPr>
              <w:t>vs.</w:t>
            </w:r>
            <w:r w:rsidRPr="007F6068">
              <w:rPr>
                <w:rFonts w:eastAsia="DFKai-SB"/>
                <w:sz w:val="22"/>
                <w:szCs w:val="22"/>
              </w:rPr>
              <w:t xml:space="preserve"> 75</w:t>
            </w:r>
            <w:r w:rsidRPr="007F6068">
              <w:rPr>
                <w:sz w:val="22"/>
                <w:szCs w:val="22"/>
              </w:rPr>
              <w:t>%</w:t>
            </w:r>
          </w:p>
        </w:tc>
        <w:tc>
          <w:tcPr>
            <w:tcW w:w="1166" w:type="pct"/>
            <w:tcBorders>
              <w:top w:val="nil"/>
              <w:left w:val="nil"/>
              <w:bottom w:val="nil"/>
              <w:right w:val="nil"/>
            </w:tcBorders>
            <w:shd w:val="clear" w:color="auto" w:fill="auto"/>
            <w:noWrap/>
            <w:vAlign w:val="center"/>
          </w:tcPr>
          <w:p w:rsidR="00FE1E17" w:rsidRPr="007F6068" w:rsidRDefault="00FE1E17" w:rsidP="005E0594">
            <w:pPr>
              <w:tabs>
                <w:tab w:val="decimal" w:pos="297"/>
              </w:tabs>
              <w:adjustRightInd w:val="0"/>
              <w:snapToGrid w:val="0"/>
              <w:jc w:val="center"/>
              <w:rPr>
                <w:rFonts w:eastAsia="DFKai-SB"/>
                <w:sz w:val="22"/>
                <w:szCs w:val="22"/>
              </w:rPr>
            </w:pPr>
            <w:r w:rsidRPr="007F6068">
              <w:rPr>
                <w:rFonts w:eastAsia="DFKai-SB"/>
                <w:sz w:val="22"/>
                <w:szCs w:val="22"/>
              </w:rPr>
              <w:t>14.75 (0.0001)**</w:t>
            </w:r>
          </w:p>
        </w:tc>
      </w:tr>
      <w:tr w:rsidR="00FE1E17" w:rsidRPr="007F6068" w:rsidTr="00583009">
        <w:trPr>
          <w:trHeight w:val="397"/>
        </w:trPr>
        <w:tc>
          <w:tcPr>
            <w:tcW w:w="513" w:type="pct"/>
            <w:tcBorders>
              <w:top w:val="nil"/>
              <w:left w:val="nil"/>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30</w:t>
            </w:r>
            <w:r w:rsidRPr="007F6068">
              <w:rPr>
                <w:sz w:val="22"/>
                <w:szCs w:val="22"/>
              </w:rPr>
              <w:t>%</w:t>
            </w:r>
          </w:p>
        </w:tc>
        <w:tc>
          <w:tcPr>
            <w:tcW w:w="1033" w:type="pct"/>
            <w:tcBorders>
              <w:top w:val="nil"/>
              <w:left w:val="nil"/>
              <w:bottom w:val="nil"/>
              <w:right w:val="nil"/>
            </w:tcBorders>
            <w:shd w:val="clear" w:color="auto" w:fill="auto"/>
            <w:noWrap/>
            <w:vAlign w:val="center"/>
          </w:tcPr>
          <w:p w:rsidR="00FE1E17" w:rsidRPr="007F6068" w:rsidRDefault="00FE1E17" w:rsidP="00583009">
            <w:pPr>
              <w:adjustRightInd w:val="0"/>
              <w:snapToGrid w:val="0"/>
              <w:jc w:val="center"/>
              <w:rPr>
                <w:rFonts w:eastAsia="DFKai-SB"/>
                <w:sz w:val="22"/>
                <w:szCs w:val="22"/>
              </w:rPr>
            </w:pPr>
            <w:r w:rsidRPr="007F6068">
              <w:rPr>
                <w:rFonts w:eastAsia="DFKai-SB"/>
                <w:kern w:val="0"/>
                <w:sz w:val="22"/>
                <w:szCs w:val="22"/>
              </w:rPr>
              <w:t>-0.340</w:t>
            </w:r>
            <w:r w:rsidRPr="007F6068">
              <w:rPr>
                <w:rFonts w:eastAsia="DFKai-SB"/>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70</w:t>
            </w:r>
            <w:r w:rsidRPr="007F6068">
              <w:rPr>
                <w:sz w:val="22"/>
                <w:szCs w:val="22"/>
              </w:rPr>
              <w:t>%</w:t>
            </w:r>
          </w:p>
        </w:tc>
        <w:tc>
          <w:tcPr>
            <w:tcW w:w="1033" w:type="pct"/>
            <w:tcBorders>
              <w:top w:val="nil"/>
              <w:left w:val="nil"/>
              <w:bottom w:val="nil"/>
              <w:right w:val="single" w:sz="12" w:space="0" w:color="auto"/>
            </w:tcBorders>
            <w:shd w:val="clear" w:color="auto" w:fill="auto"/>
            <w:noWrap/>
            <w:vAlign w:val="center"/>
          </w:tcPr>
          <w:p w:rsidR="00FE1E17" w:rsidRPr="007F6068" w:rsidRDefault="00FE1E17" w:rsidP="005E0594">
            <w:pPr>
              <w:tabs>
                <w:tab w:val="decimal" w:pos="388"/>
              </w:tabs>
              <w:adjustRightInd w:val="0"/>
              <w:snapToGrid w:val="0"/>
              <w:rPr>
                <w:rFonts w:eastAsia="DFKai-SB"/>
                <w:sz w:val="22"/>
                <w:szCs w:val="22"/>
              </w:rPr>
            </w:pPr>
            <w:r w:rsidRPr="007F6068">
              <w:rPr>
                <w:rFonts w:eastAsia="DFKai-SB"/>
                <w:kern w:val="0"/>
                <w:sz w:val="22"/>
                <w:szCs w:val="22"/>
              </w:rPr>
              <w:t>0.073</w:t>
            </w:r>
            <w:r w:rsidRPr="007F6068">
              <w:rPr>
                <w:rFonts w:eastAsia="DFKai-SB"/>
                <w:sz w:val="22"/>
                <w:szCs w:val="22"/>
              </w:rPr>
              <w:t xml:space="preserve"> (0.588)</w:t>
            </w:r>
          </w:p>
        </w:tc>
        <w:tc>
          <w:tcPr>
            <w:tcW w:w="742" w:type="pct"/>
            <w:tcBorders>
              <w:top w:val="nil"/>
              <w:left w:val="single" w:sz="12" w:space="0" w:color="auto"/>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30</w:t>
            </w:r>
            <w:r w:rsidRPr="007F6068">
              <w:rPr>
                <w:sz w:val="22"/>
                <w:szCs w:val="22"/>
              </w:rPr>
              <w:t>%</w:t>
            </w:r>
            <w:r w:rsidRPr="007F6068">
              <w:rPr>
                <w:rFonts w:eastAsia="DFKai-SB"/>
                <w:sz w:val="22"/>
                <w:szCs w:val="22"/>
              </w:rPr>
              <w:t xml:space="preserve"> </w:t>
            </w:r>
            <w:r w:rsidRPr="007F6068">
              <w:rPr>
                <w:sz w:val="22"/>
                <w:szCs w:val="22"/>
              </w:rPr>
              <w:t>vs.</w:t>
            </w:r>
            <w:r w:rsidRPr="007F6068">
              <w:rPr>
                <w:rFonts w:eastAsia="DFKai-SB"/>
                <w:sz w:val="22"/>
                <w:szCs w:val="22"/>
              </w:rPr>
              <w:t xml:space="preserve"> 70</w:t>
            </w:r>
            <w:r w:rsidRPr="007F6068">
              <w:rPr>
                <w:sz w:val="22"/>
                <w:szCs w:val="22"/>
              </w:rPr>
              <w:t>%</w:t>
            </w:r>
          </w:p>
        </w:tc>
        <w:tc>
          <w:tcPr>
            <w:tcW w:w="1166" w:type="pct"/>
            <w:tcBorders>
              <w:top w:val="nil"/>
              <w:left w:val="nil"/>
              <w:bottom w:val="nil"/>
              <w:right w:val="nil"/>
            </w:tcBorders>
            <w:shd w:val="clear" w:color="auto" w:fill="auto"/>
            <w:noWrap/>
            <w:vAlign w:val="center"/>
          </w:tcPr>
          <w:p w:rsidR="00FE1E17" w:rsidRPr="007F6068" w:rsidRDefault="00FE1E17" w:rsidP="005E0594">
            <w:pPr>
              <w:tabs>
                <w:tab w:val="decimal" w:pos="297"/>
              </w:tabs>
              <w:adjustRightInd w:val="0"/>
              <w:snapToGrid w:val="0"/>
              <w:jc w:val="center"/>
              <w:rPr>
                <w:rFonts w:eastAsia="DFKai-SB"/>
                <w:sz w:val="22"/>
                <w:szCs w:val="22"/>
              </w:rPr>
            </w:pPr>
            <w:r w:rsidRPr="007F6068">
              <w:rPr>
                <w:rFonts w:eastAsia="DFKai-SB"/>
                <w:sz w:val="22"/>
                <w:szCs w:val="22"/>
              </w:rPr>
              <w:t>7.45 (0.0064)**</w:t>
            </w:r>
          </w:p>
        </w:tc>
      </w:tr>
      <w:tr w:rsidR="00FE1E17" w:rsidRPr="007F6068" w:rsidTr="00583009">
        <w:trPr>
          <w:trHeight w:val="397"/>
        </w:trPr>
        <w:tc>
          <w:tcPr>
            <w:tcW w:w="513" w:type="pct"/>
            <w:tcBorders>
              <w:top w:val="nil"/>
              <w:left w:val="nil"/>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35</w:t>
            </w:r>
            <w:r w:rsidRPr="007F6068">
              <w:rPr>
                <w:sz w:val="22"/>
                <w:szCs w:val="22"/>
              </w:rPr>
              <w:t>%</w:t>
            </w:r>
          </w:p>
        </w:tc>
        <w:tc>
          <w:tcPr>
            <w:tcW w:w="1033" w:type="pct"/>
            <w:tcBorders>
              <w:top w:val="nil"/>
              <w:left w:val="nil"/>
              <w:bottom w:val="nil"/>
              <w:right w:val="nil"/>
            </w:tcBorders>
            <w:shd w:val="clear" w:color="auto" w:fill="auto"/>
            <w:noWrap/>
            <w:vAlign w:val="center"/>
          </w:tcPr>
          <w:p w:rsidR="00FE1E17" w:rsidRPr="007F6068" w:rsidRDefault="00FE1E17" w:rsidP="00583009">
            <w:pPr>
              <w:adjustRightInd w:val="0"/>
              <w:snapToGrid w:val="0"/>
              <w:jc w:val="center"/>
              <w:rPr>
                <w:rFonts w:eastAsia="DFKai-SB"/>
                <w:sz w:val="22"/>
                <w:szCs w:val="22"/>
              </w:rPr>
            </w:pPr>
            <w:r w:rsidRPr="007F6068">
              <w:rPr>
                <w:rFonts w:eastAsia="DFKai-SB"/>
                <w:kern w:val="0"/>
                <w:sz w:val="22"/>
                <w:szCs w:val="22"/>
              </w:rPr>
              <w:t>-0.307</w:t>
            </w:r>
            <w:r w:rsidRPr="007F6068">
              <w:rPr>
                <w:rFonts w:eastAsia="DFKai-SB"/>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65</w:t>
            </w:r>
            <w:r w:rsidRPr="007F6068">
              <w:rPr>
                <w:sz w:val="22"/>
                <w:szCs w:val="22"/>
              </w:rPr>
              <w:t>%</w:t>
            </w:r>
          </w:p>
        </w:tc>
        <w:tc>
          <w:tcPr>
            <w:tcW w:w="1033" w:type="pct"/>
            <w:tcBorders>
              <w:top w:val="nil"/>
              <w:left w:val="nil"/>
              <w:bottom w:val="nil"/>
              <w:right w:val="single" w:sz="12" w:space="0" w:color="auto"/>
            </w:tcBorders>
            <w:shd w:val="clear" w:color="auto" w:fill="auto"/>
            <w:noWrap/>
            <w:vAlign w:val="center"/>
          </w:tcPr>
          <w:p w:rsidR="00FE1E17" w:rsidRPr="007F6068" w:rsidRDefault="00FE1E17" w:rsidP="005E0594">
            <w:pPr>
              <w:tabs>
                <w:tab w:val="decimal" w:pos="388"/>
              </w:tabs>
              <w:adjustRightInd w:val="0"/>
              <w:snapToGrid w:val="0"/>
              <w:rPr>
                <w:rFonts w:eastAsia="DFKai-SB"/>
                <w:sz w:val="22"/>
                <w:szCs w:val="22"/>
              </w:rPr>
            </w:pPr>
            <w:r w:rsidRPr="007F6068">
              <w:rPr>
                <w:rFonts w:eastAsia="DFKai-SB"/>
                <w:kern w:val="0"/>
                <w:sz w:val="22"/>
                <w:szCs w:val="22"/>
              </w:rPr>
              <w:t>-0.007</w:t>
            </w:r>
            <w:r w:rsidRPr="007F6068">
              <w:rPr>
                <w:rFonts w:eastAsia="DFKai-SB"/>
                <w:sz w:val="22"/>
                <w:szCs w:val="22"/>
              </w:rPr>
              <w:t xml:space="preserve"> (0.924)</w:t>
            </w:r>
          </w:p>
        </w:tc>
        <w:tc>
          <w:tcPr>
            <w:tcW w:w="742" w:type="pct"/>
            <w:tcBorders>
              <w:top w:val="nil"/>
              <w:left w:val="single" w:sz="12" w:space="0" w:color="auto"/>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35</w:t>
            </w:r>
            <w:r w:rsidRPr="007F6068">
              <w:rPr>
                <w:sz w:val="22"/>
                <w:szCs w:val="22"/>
              </w:rPr>
              <w:t>%</w:t>
            </w:r>
            <w:r w:rsidRPr="007F6068">
              <w:rPr>
                <w:rFonts w:eastAsia="DFKai-SB"/>
                <w:sz w:val="22"/>
                <w:szCs w:val="22"/>
              </w:rPr>
              <w:t xml:space="preserve"> </w:t>
            </w:r>
            <w:r w:rsidRPr="007F6068">
              <w:rPr>
                <w:sz w:val="22"/>
                <w:szCs w:val="22"/>
              </w:rPr>
              <w:t>vs.</w:t>
            </w:r>
            <w:r w:rsidRPr="007F6068">
              <w:rPr>
                <w:rFonts w:eastAsia="DFKai-SB"/>
                <w:sz w:val="22"/>
                <w:szCs w:val="22"/>
              </w:rPr>
              <w:t xml:space="preserve"> 65</w:t>
            </w:r>
            <w:r w:rsidRPr="007F6068">
              <w:rPr>
                <w:sz w:val="22"/>
                <w:szCs w:val="22"/>
              </w:rPr>
              <w:t>%</w:t>
            </w:r>
          </w:p>
        </w:tc>
        <w:tc>
          <w:tcPr>
            <w:tcW w:w="1166" w:type="pct"/>
            <w:tcBorders>
              <w:top w:val="nil"/>
              <w:left w:val="nil"/>
              <w:bottom w:val="nil"/>
              <w:right w:val="nil"/>
            </w:tcBorders>
            <w:shd w:val="clear" w:color="auto" w:fill="auto"/>
            <w:noWrap/>
            <w:vAlign w:val="center"/>
          </w:tcPr>
          <w:p w:rsidR="00FE1E17" w:rsidRPr="007F6068" w:rsidRDefault="00FE1E17" w:rsidP="005E0594">
            <w:pPr>
              <w:tabs>
                <w:tab w:val="decimal" w:pos="297"/>
              </w:tabs>
              <w:adjustRightInd w:val="0"/>
              <w:snapToGrid w:val="0"/>
              <w:jc w:val="center"/>
              <w:rPr>
                <w:rFonts w:eastAsia="DFKai-SB"/>
                <w:sz w:val="22"/>
                <w:szCs w:val="22"/>
              </w:rPr>
            </w:pPr>
            <w:r w:rsidRPr="007F6068">
              <w:rPr>
                <w:rFonts w:eastAsia="DFKai-SB"/>
                <w:sz w:val="22"/>
                <w:szCs w:val="22"/>
              </w:rPr>
              <w:t>12.79 (0.0004)**</w:t>
            </w:r>
          </w:p>
        </w:tc>
      </w:tr>
      <w:tr w:rsidR="00FE1E17" w:rsidRPr="007F6068" w:rsidTr="00583009">
        <w:trPr>
          <w:trHeight w:val="397"/>
        </w:trPr>
        <w:tc>
          <w:tcPr>
            <w:tcW w:w="513" w:type="pct"/>
            <w:tcBorders>
              <w:top w:val="nil"/>
              <w:left w:val="nil"/>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40</w:t>
            </w:r>
            <w:r w:rsidRPr="007F6068">
              <w:rPr>
                <w:sz w:val="22"/>
                <w:szCs w:val="22"/>
              </w:rPr>
              <w:t>%</w:t>
            </w:r>
          </w:p>
        </w:tc>
        <w:tc>
          <w:tcPr>
            <w:tcW w:w="1033" w:type="pct"/>
            <w:tcBorders>
              <w:top w:val="nil"/>
              <w:left w:val="nil"/>
              <w:bottom w:val="nil"/>
              <w:right w:val="nil"/>
            </w:tcBorders>
            <w:shd w:val="clear" w:color="auto" w:fill="auto"/>
            <w:noWrap/>
            <w:vAlign w:val="center"/>
          </w:tcPr>
          <w:p w:rsidR="00FE1E17" w:rsidRPr="007F6068" w:rsidRDefault="00FE1E17" w:rsidP="00583009">
            <w:pPr>
              <w:adjustRightInd w:val="0"/>
              <w:snapToGrid w:val="0"/>
              <w:jc w:val="center"/>
              <w:rPr>
                <w:rFonts w:eastAsia="DFKai-SB"/>
                <w:sz w:val="22"/>
                <w:szCs w:val="22"/>
              </w:rPr>
            </w:pPr>
            <w:r w:rsidRPr="007F6068">
              <w:rPr>
                <w:rFonts w:eastAsia="DFKai-SB"/>
                <w:kern w:val="0"/>
                <w:sz w:val="22"/>
                <w:szCs w:val="22"/>
              </w:rPr>
              <w:t>-0.229</w:t>
            </w:r>
            <w:r w:rsidRPr="007F6068">
              <w:rPr>
                <w:rFonts w:eastAsia="DFKai-SB"/>
                <w:sz w:val="22"/>
                <w:szCs w:val="22"/>
              </w:rPr>
              <w:t xml:space="preserve"> (0.000)**</w:t>
            </w:r>
          </w:p>
        </w:tc>
        <w:tc>
          <w:tcPr>
            <w:tcW w:w="513" w:type="pct"/>
            <w:gridSpan w:val="2"/>
            <w:tcBorders>
              <w:top w:val="nil"/>
              <w:left w:val="nil"/>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60</w:t>
            </w:r>
            <w:r w:rsidRPr="007F6068">
              <w:rPr>
                <w:sz w:val="22"/>
                <w:szCs w:val="22"/>
              </w:rPr>
              <w:t>%</w:t>
            </w:r>
          </w:p>
        </w:tc>
        <w:tc>
          <w:tcPr>
            <w:tcW w:w="1033" w:type="pct"/>
            <w:tcBorders>
              <w:top w:val="nil"/>
              <w:left w:val="nil"/>
              <w:bottom w:val="nil"/>
              <w:right w:val="single" w:sz="12" w:space="0" w:color="auto"/>
            </w:tcBorders>
            <w:shd w:val="clear" w:color="auto" w:fill="auto"/>
            <w:noWrap/>
            <w:vAlign w:val="center"/>
          </w:tcPr>
          <w:p w:rsidR="00FE1E17" w:rsidRPr="007F6068" w:rsidRDefault="00FE1E17" w:rsidP="005E0594">
            <w:pPr>
              <w:tabs>
                <w:tab w:val="decimal" w:pos="388"/>
              </w:tabs>
              <w:adjustRightInd w:val="0"/>
              <w:snapToGrid w:val="0"/>
              <w:rPr>
                <w:rFonts w:eastAsia="DFKai-SB"/>
                <w:sz w:val="22"/>
                <w:szCs w:val="22"/>
              </w:rPr>
            </w:pPr>
            <w:r w:rsidRPr="007F6068">
              <w:rPr>
                <w:rFonts w:eastAsia="DFKai-SB"/>
                <w:kern w:val="0"/>
                <w:sz w:val="22"/>
                <w:szCs w:val="22"/>
              </w:rPr>
              <w:t>-0.075</w:t>
            </w:r>
            <w:r w:rsidRPr="007F6068">
              <w:rPr>
                <w:rFonts w:eastAsia="DFKai-SB"/>
                <w:sz w:val="22"/>
                <w:szCs w:val="22"/>
              </w:rPr>
              <w:t xml:space="preserve"> (0.085)</w:t>
            </w:r>
          </w:p>
        </w:tc>
        <w:tc>
          <w:tcPr>
            <w:tcW w:w="742" w:type="pct"/>
            <w:tcBorders>
              <w:top w:val="nil"/>
              <w:left w:val="single" w:sz="12" w:space="0" w:color="auto"/>
              <w:bottom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40</w:t>
            </w:r>
            <w:r w:rsidRPr="007F6068">
              <w:rPr>
                <w:sz w:val="22"/>
                <w:szCs w:val="22"/>
              </w:rPr>
              <w:t>%</w:t>
            </w:r>
            <w:r w:rsidRPr="007F6068">
              <w:rPr>
                <w:rFonts w:eastAsia="DFKai-SB"/>
                <w:sz w:val="22"/>
                <w:szCs w:val="22"/>
              </w:rPr>
              <w:t xml:space="preserve"> </w:t>
            </w:r>
            <w:r w:rsidRPr="007F6068">
              <w:rPr>
                <w:sz w:val="22"/>
                <w:szCs w:val="22"/>
              </w:rPr>
              <w:t>vs.</w:t>
            </w:r>
            <w:r w:rsidRPr="007F6068">
              <w:rPr>
                <w:rFonts w:eastAsia="DFKai-SB"/>
                <w:sz w:val="22"/>
                <w:szCs w:val="22"/>
              </w:rPr>
              <w:t xml:space="preserve"> 60</w:t>
            </w:r>
            <w:r w:rsidRPr="007F6068">
              <w:rPr>
                <w:sz w:val="22"/>
                <w:szCs w:val="22"/>
              </w:rPr>
              <w:t>%</w:t>
            </w:r>
          </w:p>
        </w:tc>
        <w:tc>
          <w:tcPr>
            <w:tcW w:w="1166" w:type="pct"/>
            <w:tcBorders>
              <w:top w:val="nil"/>
              <w:left w:val="nil"/>
              <w:bottom w:val="nil"/>
              <w:right w:val="nil"/>
            </w:tcBorders>
            <w:shd w:val="clear" w:color="auto" w:fill="auto"/>
            <w:noWrap/>
            <w:vAlign w:val="center"/>
          </w:tcPr>
          <w:p w:rsidR="00FE1E17" w:rsidRPr="007F6068" w:rsidRDefault="00FE1E17" w:rsidP="005E0594">
            <w:pPr>
              <w:tabs>
                <w:tab w:val="decimal" w:pos="297"/>
              </w:tabs>
              <w:adjustRightInd w:val="0"/>
              <w:snapToGrid w:val="0"/>
              <w:jc w:val="center"/>
              <w:rPr>
                <w:rFonts w:eastAsia="DFKai-SB"/>
                <w:sz w:val="22"/>
                <w:szCs w:val="22"/>
              </w:rPr>
            </w:pPr>
            <w:r w:rsidRPr="007F6068">
              <w:rPr>
                <w:rFonts w:eastAsia="DFKai-SB"/>
                <w:sz w:val="22"/>
                <w:szCs w:val="22"/>
              </w:rPr>
              <w:t>6.19 (0.0128)*</w:t>
            </w:r>
          </w:p>
        </w:tc>
      </w:tr>
      <w:tr w:rsidR="00FE1E17" w:rsidRPr="007F6068" w:rsidTr="00583009">
        <w:trPr>
          <w:trHeight w:val="397"/>
        </w:trPr>
        <w:tc>
          <w:tcPr>
            <w:tcW w:w="513" w:type="pct"/>
            <w:tcBorders>
              <w:top w:val="nil"/>
              <w:left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45</w:t>
            </w:r>
            <w:r w:rsidRPr="007F6068">
              <w:rPr>
                <w:sz w:val="22"/>
                <w:szCs w:val="22"/>
              </w:rPr>
              <w:t>%</w:t>
            </w:r>
          </w:p>
        </w:tc>
        <w:tc>
          <w:tcPr>
            <w:tcW w:w="1033" w:type="pct"/>
            <w:tcBorders>
              <w:top w:val="nil"/>
              <w:left w:val="nil"/>
              <w:right w:val="nil"/>
            </w:tcBorders>
            <w:shd w:val="clear" w:color="auto" w:fill="auto"/>
            <w:noWrap/>
            <w:vAlign w:val="center"/>
          </w:tcPr>
          <w:p w:rsidR="00FE1E17" w:rsidRPr="007F6068" w:rsidRDefault="00FE1E17" w:rsidP="00583009">
            <w:pPr>
              <w:adjustRightInd w:val="0"/>
              <w:snapToGrid w:val="0"/>
              <w:jc w:val="center"/>
              <w:rPr>
                <w:rFonts w:eastAsia="DFKai-SB"/>
                <w:sz w:val="22"/>
                <w:szCs w:val="22"/>
              </w:rPr>
            </w:pPr>
            <w:r w:rsidRPr="007F6068">
              <w:rPr>
                <w:rFonts w:eastAsia="DFKai-SB"/>
                <w:kern w:val="0"/>
                <w:sz w:val="22"/>
                <w:szCs w:val="22"/>
              </w:rPr>
              <w:t>-0.197</w:t>
            </w:r>
            <w:r w:rsidRPr="007F6068">
              <w:rPr>
                <w:rFonts w:eastAsia="DFKai-SB"/>
                <w:sz w:val="22"/>
                <w:szCs w:val="22"/>
              </w:rPr>
              <w:t xml:space="preserve"> (0.000)**</w:t>
            </w:r>
          </w:p>
        </w:tc>
        <w:tc>
          <w:tcPr>
            <w:tcW w:w="513" w:type="pct"/>
            <w:gridSpan w:val="2"/>
            <w:tcBorders>
              <w:top w:val="nil"/>
              <w:left w:val="nil"/>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55</w:t>
            </w:r>
            <w:r w:rsidRPr="007F6068">
              <w:rPr>
                <w:sz w:val="22"/>
                <w:szCs w:val="22"/>
              </w:rPr>
              <w:t>%</w:t>
            </w:r>
          </w:p>
        </w:tc>
        <w:tc>
          <w:tcPr>
            <w:tcW w:w="1033" w:type="pct"/>
            <w:tcBorders>
              <w:top w:val="nil"/>
              <w:left w:val="nil"/>
              <w:right w:val="single" w:sz="12" w:space="0" w:color="auto"/>
            </w:tcBorders>
            <w:shd w:val="clear" w:color="auto" w:fill="auto"/>
            <w:noWrap/>
            <w:vAlign w:val="center"/>
          </w:tcPr>
          <w:p w:rsidR="00FE1E17" w:rsidRPr="007F6068" w:rsidRDefault="00FE1E17" w:rsidP="005E0594">
            <w:pPr>
              <w:tabs>
                <w:tab w:val="decimal" w:pos="388"/>
              </w:tabs>
              <w:adjustRightInd w:val="0"/>
              <w:snapToGrid w:val="0"/>
              <w:rPr>
                <w:rFonts w:eastAsia="DFKai-SB"/>
                <w:sz w:val="22"/>
                <w:szCs w:val="22"/>
              </w:rPr>
            </w:pPr>
            <w:r w:rsidRPr="007F6068">
              <w:rPr>
                <w:rFonts w:eastAsia="DFKai-SB"/>
                <w:kern w:val="0"/>
                <w:sz w:val="22"/>
                <w:szCs w:val="22"/>
              </w:rPr>
              <w:t>-0.094</w:t>
            </w:r>
            <w:r w:rsidRPr="007F6068">
              <w:rPr>
                <w:rFonts w:eastAsia="DFKai-SB"/>
                <w:sz w:val="22"/>
                <w:szCs w:val="22"/>
              </w:rPr>
              <w:t xml:space="preserve"> (0.088)</w:t>
            </w:r>
          </w:p>
        </w:tc>
        <w:tc>
          <w:tcPr>
            <w:tcW w:w="742" w:type="pct"/>
            <w:tcBorders>
              <w:top w:val="nil"/>
              <w:left w:val="single" w:sz="12" w:space="0" w:color="auto"/>
              <w:right w:val="nil"/>
            </w:tcBorders>
            <w:shd w:val="clear" w:color="auto" w:fill="auto"/>
            <w:noWrap/>
            <w:vAlign w:val="center"/>
          </w:tcPr>
          <w:p w:rsidR="00FE1E17" w:rsidRPr="007F6068" w:rsidRDefault="00FE1E17" w:rsidP="00583009">
            <w:pPr>
              <w:adjustRightInd w:val="0"/>
              <w:snapToGrid w:val="0"/>
              <w:jc w:val="center"/>
              <w:rPr>
                <w:sz w:val="22"/>
                <w:szCs w:val="22"/>
              </w:rPr>
            </w:pPr>
            <w:r w:rsidRPr="007F6068">
              <w:rPr>
                <w:rFonts w:eastAsia="DFKai-SB"/>
                <w:sz w:val="22"/>
                <w:szCs w:val="22"/>
              </w:rPr>
              <w:t>45</w:t>
            </w:r>
            <w:r w:rsidRPr="007F6068">
              <w:rPr>
                <w:sz w:val="22"/>
                <w:szCs w:val="22"/>
              </w:rPr>
              <w:t>%</w:t>
            </w:r>
            <w:r w:rsidRPr="007F6068">
              <w:rPr>
                <w:rFonts w:eastAsia="DFKai-SB"/>
                <w:sz w:val="22"/>
                <w:szCs w:val="22"/>
              </w:rPr>
              <w:t xml:space="preserve"> </w:t>
            </w:r>
            <w:r w:rsidRPr="007F6068">
              <w:rPr>
                <w:sz w:val="22"/>
                <w:szCs w:val="22"/>
              </w:rPr>
              <w:t>vs.</w:t>
            </w:r>
            <w:r w:rsidRPr="007F6068">
              <w:rPr>
                <w:rFonts w:eastAsia="DFKai-SB"/>
                <w:sz w:val="22"/>
                <w:szCs w:val="22"/>
              </w:rPr>
              <w:t xml:space="preserve"> 55</w:t>
            </w:r>
            <w:r w:rsidRPr="007F6068">
              <w:rPr>
                <w:sz w:val="22"/>
                <w:szCs w:val="22"/>
              </w:rPr>
              <w:t>%</w:t>
            </w:r>
          </w:p>
        </w:tc>
        <w:tc>
          <w:tcPr>
            <w:tcW w:w="1166" w:type="pct"/>
            <w:tcBorders>
              <w:top w:val="nil"/>
              <w:left w:val="nil"/>
              <w:right w:val="nil"/>
            </w:tcBorders>
            <w:shd w:val="clear" w:color="auto" w:fill="auto"/>
            <w:noWrap/>
            <w:vAlign w:val="center"/>
          </w:tcPr>
          <w:p w:rsidR="00FE1E17" w:rsidRPr="007F6068" w:rsidRDefault="00FE1E17" w:rsidP="005E0594">
            <w:pPr>
              <w:tabs>
                <w:tab w:val="decimal" w:pos="297"/>
              </w:tabs>
              <w:adjustRightInd w:val="0"/>
              <w:snapToGrid w:val="0"/>
              <w:jc w:val="center"/>
              <w:rPr>
                <w:rFonts w:eastAsia="DFKai-SB"/>
                <w:sz w:val="22"/>
                <w:szCs w:val="22"/>
              </w:rPr>
            </w:pPr>
            <w:r w:rsidRPr="007F6068">
              <w:rPr>
                <w:rFonts w:eastAsia="DFKai-SB"/>
                <w:sz w:val="22"/>
                <w:szCs w:val="22"/>
              </w:rPr>
              <w:t>6.01 (0.0143)*</w:t>
            </w:r>
          </w:p>
        </w:tc>
      </w:tr>
      <w:tr w:rsidR="00FE1E17" w:rsidRPr="007F6068" w:rsidTr="00583009">
        <w:trPr>
          <w:trHeight w:val="397"/>
        </w:trPr>
        <w:tc>
          <w:tcPr>
            <w:tcW w:w="513" w:type="pct"/>
            <w:tcBorders>
              <w:top w:val="nil"/>
              <w:left w:val="nil"/>
              <w:bottom w:val="single" w:sz="12" w:space="0" w:color="auto"/>
              <w:right w:val="nil"/>
            </w:tcBorders>
            <w:shd w:val="clear" w:color="auto" w:fill="auto"/>
            <w:noWrap/>
            <w:vAlign w:val="center"/>
          </w:tcPr>
          <w:p w:rsidR="00FE1E17" w:rsidRPr="007F6068" w:rsidRDefault="00FE1E17" w:rsidP="00583009">
            <w:pPr>
              <w:adjustRightInd w:val="0"/>
              <w:snapToGrid w:val="0"/>
              <w:jc w:val="center"/>
              <w:rPr>
                <w:b/>
                <w:sz w:val="22"/>
                <w:szCs w:val="22"/>
              </w:rPr>
            </w:pPr>
            <w:r w:rsidRPr="007F6068">
              <w:rPr>
                <w:rFonts w:eastAsia="DFKai-SB"/>
                <w:b/>
                <w:sz w:val="22"/>
                <w:szCs w:val="22"/>
              </w:rPr>
              <w:t>50</w:t>
            </w:r>
            <w:r w:rsidRPr="007F6068">
              <w:rPr>
                <w:b/>
                <w:sz w:val="22"/>
                <w:szCs w:val="22"/>
              </w:rPr>
              <w:t>%</w:t>
            </w:r>
          </w:p>
        </w:tc>
        <w:tc>
          <w:tcPr>
            <w:tcW w:w="1033" w:type="pct"/>
            <w:tcBorders>
              <w:top w:val="nil"/>
              <w:left w:val="nil"/>
              <w:bottom w:val="single" w:sz="12" w:space="0" w:color="auto"/>
              <w:right w:val="nil"/>
            </w:tcBorders>
            <w:shd w:val="clear" w:color="auto" w:fill="auto"/>
            <w:noWrap/>
            <w:vAlign w:val="center"/>
          </w:tcPr>
          <w:p w:rsidR="00FE1E17" w:rsidRPr="007F6068" w:rsidRDefault="00FE1E17" w:rsidP="00583009">
            <w:pPr>
              <w:adjustRightInd w:val="0"/>
              <w:snapToGrid w:val="0"/>
              <w:jc w:val="center"/>
              <w:rPr>
                <w:rFonts w:eastAsia="DFKai-SB"/>
                <w:sz w:val="22"/>
                <w:szCs w:val="22"/>
              </w:rPr>
            </w:pPr>
            <w:r w:rsidRPr="007F6068">
              <w:rPr>
                <w:rFonts w:eastAsia="DFKai-SB"/>
                <w:kern w:val="0"/>
                <w:sz w:val="22"/>
                <w:szCs w:val="22"/>
              </w:rPr>
              <w:t>-0.147</w:t>
            </w:r>
            <w:r w:rsidRPr="007F6068">
              <w:rPr>
                <w:rFonts w:eastAsia="DFKai-SB"/>
                <w:sz w:val="22"/>
                <w:szCs w:val="22"/>
              </w:rPr>
              <w:t xml:space="preserve"> (0.003)**</w:t>
            </w:r>
          </w:p>
        </w:tc>
        <w:tc>
          <w:tcPr>
            <w:tcW w:w="513" w:type="pct"/>
            <w:gridSpan w:val="2"/>
            <w:tcBorders>
              <w:top w:val="nil"/>
              <w:left w:val="nil"/>
              <w:bottom w:val="single" w:sz="12" w:space="0" w:color="auto"/>
              <w:right w:val="nil"/>
            </w:tcBorders>
            <w:shd w:val="clear" w:color="auto" w:fill="auto"/>
            <w:noWrap/>
            <w:vAlign w:val="center"/>
          </w:tcPr>
          <w:p w:rsidR="00FE1E17" w:rsidRPr="007F6068" w:rsidRDefault="00FE1E17" w:rsidP="00583009">
            <w:pPr>
              <w:adjustRightInd w:val="0"/>
              <w:snapToGrid w:val="0"/>
              <w:jc w:val="center"/>
              <w:rPr>
                <w:rFonts w:eastAsia="DFKai-SB"/>
                <w:b/>
                <w:sz w:val="22"/>
                <w:szCs w:val="22"/>
              </w:rPr>
            </w:pPr>
            <w:r w:rsidRPr="007F6068">
              <w:rPr>
                <w:rFonts w:eastAsia="DFKai-SB"/>
                <w:b/>
                <w:sz w:val="22"/>
                <w:szCs w:val="22"/>
              </w:rPr>
              <w:t>OLS</w:t>
            </w:r>
          </w:p>
        </w:tc>
        <w:tc>
          <w:tcPr>
            <w:tcW w:w="1033" w:type="pct"/>
            <w:tcBorders>
              <w:top w:val="nil"/>
              <w:left w:val="nil"/>
              <w:bottom w:val="single" w:sz="12" w:space="0" w:color="auto"/>
              <w:right w:val="single" w:sz="12" w:space="0" w:color="auto"/>
            </w:tcBorders>
            <w:shd w:val="clear" w:color="auto" w:fill="auto"/>
            <w:noWrap/>
            <w:vAlign w:val="center"/>
          </w:tcPr>
          <w:p w:rsidR="00FE1E17" w:rsidRPr="007F6068" w:rsidRDefault="00FE1E17" w:rsidP="005E0594">
            <w:pPr>
              <w:tabs>
                <w:tab w:val="decimal" w:pos="388"/>
              </w:tabs>
              <w:adjustRightInd w:val="0"/>
              <w:snapToGrid w:val="0"/>
              <w:rPr>
                <w:rFonts w:eastAsia="DFKai-SB"/>
                <w:sz w:val="22"/>
                <w:szCs w:val="22"/>
              </w:rPr>
            </w:pPr>
            <w:r w:rsidRPr="007F6068">
              <w:rPr>
                <w:rFonts w:eastAsia="DFKai-SB"/>
                <w:sz w:val="22"/>
                <w:szCs w:val="22"/>
              </w:rPr>
              <w:t>0.242 (0.000)**</w:t>
            </w:r>
          </w:p>
        </w:tc>
        <w:tc>
          <w:tcPr>
            <w:tcW w:w="742" w:type="pct"/>
            <w:tcBorders>
              <w:top w:val="nil"/>
              <w:left w:val="single" w:sz="12" w:space="0" w:color="auto"/>
              <w:bottom w:val="single" w:sz="12" w:space="0" w:color="auto"/>
              <w:right w:val="nil"/>
            </w:tcBorders>
            <w:shd w:val="clear" w:color="auto" w:fill="auto"/>
            <w:noWrap/>
            <w:vAlign w:val="center"/>
          </w:tcPr>
          <w:p w:rsidR="00FE1E17" w:rsidRPr="007F6068" w:rsidRDefault="00FE1E17" w:rsidP="00583009">
            <w:pPr>
              <w:adjustRightInd w:val="0"/>
              <w:snapToGrid w:val="0"/>
              <w:jc w:val="center"/>
              <w:rPr>
                <w:rFonts w:eastAsia="DFKai-SB"/>
                <w:sz w:val="22"/>
                <w:szCs w:val="22"/>
              </w:rPr>
            </w:pPr>
            <w:r w:rsidRPr="007F6068">
              <w:rPr>
                <w:rFonts w:eastAsia="DFKai-SB"/>
                <w:sz w:val="22"/>
                <w:szCs w:val="22"/>
              </w:rPr>
              <w:t xml:space="preserve">　</w:t>
            </w:r>
          </w:p>
        </w:tc>
        <w:tc>
          <w:tcPr>
            <w:tcW w:w="1166" w:type="pct"/>
            <w:tcBorders>
              <w:top w:val="nil"/>
              <w:left w:val="nil"/>
              <w:bottom w:val="single" w:sz="12" w:space="0" w:color="auto"/>
              <w:right w:val="nil"/>
            </w:tcBorders>
            <w:shd w:val="clear" w:color="auto" w:fill="auto"/>
            <w:noWrap/>
            <w:vAlign w:val="center"/>
          </w:tcPr>
          <w:p w:rsidR="00FE1E17" w:rsidRPr="007F6068" w:rsidRDefault="00FE1E17" w:rsidP="00583009">
            <w:pPr>
              <w:adjustRightInd w:val="0"/>
              <w:snapToGrid w:val="0"/>
              <w:jc w:val="center"/>
              <w:rPr>
                <w:rFonts w:eastAsia="DFKai-SB"/>
                <w:sz w:val="22"/>
                <w:szCs w:val="22"/>
              </w:rPr>
            </w:pPr>
          </w:p>
        </w:tc>
      </w:tr>
    </w:tbl>
    <w:p w:rsidR="007F6068" w:rsidRDefault="007F6068" w:rsidP="00FE1E17">
      <w:pPr>
        <w:adjustRightInd w:val="0"/>
        <w:snapToGrid w:val="0"/>
        <w:spacing w:before="120"/>
        <w:rPr>
          <w:i/>
          <w:sz w:val="20"/>
          <w:szCs w:val="20"/>
        </w:rPr>
      </w:pPr>
      <w:r>
        <w:rPr>
          <w:i/>
          <w:sz w:val="20"/>
          <w:szCs w:val="20"/>
        </w:rPr>
        <w:t>Notes</w:t>
      </w:r>
    </w:p>
    <w:p w:rsidR="00FE1E17" w:rsidRPr="000D38E4" w:rsidRDefault="00FE1E17" w:rsidP="007F6068">
      <w:pPr>
        <w:adjustRightInd w:val="0"/>
        <w:snapToGrid w:val="0"/>
        <w:rPr>
          <w:sz w:val="20"/>
          <w:szCs w:val="20"/>
        </w:rPr>
      </w:pPr>
      <w:r w:rsidRPr="000D38E4">
        <w:rPr>
          <w:sz w:val="20"/>
          <w:szCs w:val="20"/>
        </w:rPr>
        <w:t>The ** and * denote a 1% and a 5% level of significance, respectively.</w:t>
      </w:r>
    </w:p>
    <w:p w:rsidR="000D38E4" w:rsidRPr="000D38E4" w:rsidRDefault="000D38E4" w:rsidP="003B49C5">
      <w:pPr>
        <w:snapToGrid w:val="0"/>
        <w:spacing w:line="0" w:lineRule="atLeast"/>
        <w:ind w:left="480" w:hanging="480"/>
        <w:jc w:val="center"/>
        <w:rPr>
          <w:rFonts w:eastAsia="DFKai-SB"/>
          <w:b/>
          <w:sz w:val="20"/>
          <w:szCs w:val="20"/>
        </w:rPr>
      </w:pPr>
      <w:bookmarkStart w:id="12" w:name="_Toc359094851"/>
    </w:p>
    <w:p w:rsidR="00FE0B8A" w:rsidRDefault="00FE0B8A">
      <w:pPr>
        <w:widowControl/>
        <w:spacing w:after="160" w:line="259" w:lineRule="auto"/>
        <w:rPr>
          <w:rFonts w:eastAsia="DFKai-SB"/>
          <w:b/>
          <w:sz w:val="22"/>
          <w:szCs w:val="22"/>
        </w:rPr>
      </w:pPr>
      <w:r>
        <w:rPr>
          <w:rFonts w:eastAsia="DFKai-SB"/>
          <w:b/>
          <w:sz w:val="22"/>
          <w:szCs w:val="22"/>
        </w:rPr>
        <w:br w:type="page"/>
      </w:r>
    </w:p>
    <w:p w:rsidR="003B49C5" w:rsidRPr="00993909" w:rsidRDefault="003B49C5" w:rsidP="003B49C5">
      <w:pPr>
        <w:snapToGrid w:val="0"/>
        <w:spacing w:line="0" w:lineRule="atLeast"/>
        <w:ind w:left="480" w:hanging="480"/>
        <w:jc w:val="center"/>
        <w:rPr>
          <w:rFonts w:eastAsia="DFKai-SB"/>
          <w:b/>
          <w:sz w:val="22"/>
          <w:szCs w:val="22"/>
        </w:rPr>
      </w:pPr>
      <w:r w:rsidRPr="00993909">
        <w:rPr>
          <w:rFonts w:eastAsia="DFKai-SB"/>
          <w:b/>
          <w:sz w:val="22"/>
          <w:szCs w:val="22"/>
        </w:rPr>
        <w:lastRenderedPageBreak/>
        <w:t>Figure 9</w:t>
      </w:r>
      <w:r w:rsidR="00FE0B8A">
        <w:rPr>
          <w:rFonts w:eastAsia="DFKai-SB"/>
          <w:b/>
          <w:sz w:val="22"/>
          <w:szCs w:val="22"/>
        </w:rPr>
        <w:t xml:space="preserve">: </w:t>
      </w:r>
      <w:r w:rsidR="007F6068">
        <w:rPr>
          <w:rFonts w:eastAsia="DFKai-SB"/>
          <w:b/>
          <w:sz w:val="22"/>
          <w:szCs w:val="22"/>
        </w:rPr>
        <w:t>The QR and OLS E</w:t>
      </w:r>
      <w:r w:rsidRPr="00993909">
        <w:rPr>
          <w:rFonts w:eastAsia="DFKai-SB"/>
          <w:b/>
          <w:sz w:val="22"/>
          <w:szCs w:val="22"/>
        </w:rPr>
        <w:t xml:space="preserve">stimates of </w:t>
      </w:r>
      <w:r w:rsidRPr="00993909">
        <w:rPr>
          <w:rFonts w:eastAsia="DFKai-SB"/>
          <w:b/>
          <w:i/>
          <w:sz w:val="22"/>
          <w:szCs w:val="22"/>
        </w:rPr>
        <w:t>|DA|</w:t>
      </w:r>
      <w:r w:rsidR="007F6068">
        <w:rPr>
          <w:b/>
          <w:sz w:val="22"/>
          <w:szCs w:val="22"/>
        </w:rPr>
        <w:t xml:space="preserve"> Across Various Q</w:t>
      </w:r>
      <w:r w:rsidRPr="00993909">
        <w:rPr>
          <w:b/>
          <w:sz w:val="22"/>
          <w:szCs w:val="22"/>
        </w:rPr>
        <w:t>uantiles</w:t>
      </w:r>
      <w:r w:rsidR="007F6068">
        <w:rPr>
          <w:rFonts w:eastAsia="DFKai-SB"/>
          <w:b/>
          <w:sz w:val="22"/>
          <w:szCs w:val="22"/>
        </w:rPr>
        <w:t xml:space="preserve"> of Stock R</w:t>
      </w:r>
      <w:r w:rsidRPr="00993909">
        <w:rPr>
          <w:rFonts w:eastAsia="DFKai-SB"/>
          <w:b/>
          <w:sz w:val="22"/>
          <w:szCs w:val="22"/>
        </w:rPr>
        <w:t xml:space="preserve">eturns: </w:t>
      </w:r>
    </w:p>
    <w:p w:rsidR="003B49C5" w:rsidRPr="007F6068" w:rsidRDefault="007F6068" w:rsidP="003B49C5">
      <w:pPr>
        <w:snapToGrid w:val="0"/>
        <w:spacing w:line="0" w:lineRule="atLeast"/>
        <w:ind w:left="480" w:hanging="480"/>
        <w:jc w:val="center"/>
        <w:rPr>
          <w:rFonts w:eastAsia="DFKai-SB"/>
          <w:sz w:val="22"/>
          <w:szCs w:val="22"/>
        </w:rPr>
      </w:pPr>
      <w:r>
        <w:rPr>
          <w:rFonts w:eastAsia="DFKai-SB"/>
          <w:sz w:val="22"/>
          <w:szCs w:val="22"/>
        </w:rPr>
        <w:t>Potential Outliers and Possible Measurement E</w:t>
      </w:r>
      <w:r w:rsidR="003B49C5" w:rsidRPr="007F6068">
        <w:rPr>
          <w:rFonts w:eastAsia="DFKai-SB"/>
          <w:sz w:val="22"/>
          <w:szCs w:val="22"/>
        </w:rPr>
        <w:t>rrors</w:t>
      </w:r>
      <w:bookmarkEnd w:id="12"/>
    </w:p>
    <w:p w:rsidR="003B49C5" w:rsidRPr="003F6839" w:rsidRDefault="003B49C5" w:rsidP="000D38E4">
      <w:pPr>
        <w:snapToGrid w:val="0"/>
        <w:spacing w:line="0" w:lineRule="atLeast"/>
        <w:jc w:val="center"/>
        <w:rPr>
          <w:rFonts w:eastAsia="DFKai-SB"/>
          <w:b/>
        </w:rPr>
      </w:pPr>
      <w:r>
        <w:rPr>
          <w:rFonts w:eastAsia="DFKai-SB"/>
          <w:b/>
          <w:noProof/>
          <w:lang w:val="en-NZ" w:eastAsia="en-NZ"/>
        </w:rPr>
        <w:drawing>
          <wp:inline distT="0" distB="0" distL="0" distR="0" wp14:anchorId="58F511E9" wp14:editId="4CBD0185">
            <wp:extent cx="5275580" cy="3206115"/>
            <wp:effectExtent l="0" t="0" r="0" b="0"/>
            <wp:docPr id="28" name="圖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A5381D" w:rsidRDefault="00A5381D" w:rsidP="00FE1E17">
      <w:pPr>
        <w:keepNext/>
        <w:widowControl/>
        <w:adjustRightInd w:val="0"/>
        <w:snapToGrid w:val="0"/>
        <w:spacing w:line="288" w:lineRule="auto"/>
        <w:jc w:val="both"/>
        <w:rPr>
          <w:b/>
        </w:rPr>
      </w:pPr>
    </w:p>
    <w:p w:rsidR="00691B4A" w:rsidRPr="00467F14" w:rsidRDefault="00691B4A" w:rsidP="00FE1E17">
      <w:pPr>
        <w:keepNext/>
        <w:widowControl/>
        <w:adjustRightInd w:val="0"/>
        <w:snapToGrid w:val="0"/>
        <w:spacing w:line="288" w:lineRule="auto"/>
        <w:jc w:val="both"/>
        <w:rPr>
          <w:b/>
          <w:color w:val="FF0000"/>
        </w:rPr>
      </w:pPr>
      <w:r w:rsidRPr="008126EB">
        <w:rPr>
          <w:b/>
        </w:rPr>
        <w:t xml:space="preserve">7. </w:t>
      </w:r>
      <w:r w:rsidR="007F6068">
        <w:rPr>
          <w:b/>
        </w:rPr>
        <w:t xml:space="preserve"> </w:t>
      </w:r>
      <w:r w:rsidR="00467F14" w:rsidRPr="00D64207">
        <w:rPr>
          <w:b/>
        </w:rPr>
        <w:t>Conclusions</w:t>
      </w:r>
      <w:r w:rsidRPr="00D64207">
        <w:rPr>
          <w:b/>
        </w:rPr>
        <w:t xml:space="preserve"> and </w:t>
      </w:r>
      <w:r w:rsidR="00FE0B8A">
        <w:rPr>
          <w:b/>
        </w:rPr>
        <w:t>D</w:t>
      </w:r>
      <w:r w:rsidR="0028743D" w:rsidRPr="00D64207">
        <w:rPr>
          <w:b/>
        </w:rPr>
        <w:t xml:space="preserve">irections of </w:t>
      </w:r>
      <w:r w:rsidR="00FE0B8A">
        <w:rPr>
          <w:b/>
        </w:rPr>
        <w:t>Future R</w:t>
      </w:r>
      <w:r w:rsidR="00467F14" w:rsidRPr="00D64207">
        <w:rPr>
          <w:b/>
        </w:rPr>
        <w:t xml:space="preserve">esearch </w:t>
      </w:r>
    </w:p>
    <w:p w:rsidR="00FE0B8A" w:rsidRPr="00FE0B8A" w:rsidRDefault="00FE0B8A" w:rsidP="00993909">
      <w:pPr>
        <w:widowControl/>
        <w:autoSpaceDE w:val="0"/>
        <w:autoSpaceDN w:val="0"/>
        <w:adjustRightInd w:val="0"/>
        <w:snapToGrid w:val="0"/>
        <w:spacing w:line="288" w:lineRule="auto"/>
        <w:jc w:val="both"/>
        <w:rPr>
          <w:sz w:val="12"/>
          <w:szCs w:val="12"/>
        </w:rPr>
      </w:pPr>
    </w:p>
    <w:p w:rsidR="00314B2A" w:rsidRDefault="00681038" w:rsidP="00993909">
      <w:pPr>
        <w:widowControl/>
        <w:autoSpaceDE w:val="0"/>
        <w:autoSpaceDN w:val="0"/>
        <w:adjustRightInd w:val="0"/>
        <w:snapToGrid w:val="0"/>
        <w:spacing w:line="288" w:lineRule="auto"/>
        <w:jc w:val="both"/>
        <w:rPr>
          <w:kern w:val="0"/>
        </w:rPr>
      </w:pPr>
      <w:r w:rsidRPr="008126EB">
        <w:t xml:space="preserve">This study argues that </w:t>
      </w:r>
      <w:r w:rsidR="00F846DE">
        <w:t xml:space="preserve">the degree of </w:t>
      </w:r>
      <w:r w:rsidR="00C473A3">
        <w:t>earnings manipulation</w:t>
      </w:r>
      <w:r w:rsidR="00F846DE" w:rsidRPr="008126EB">
        <w:t xml:space="preserve"> </w:t>
      </w:r>
      <w:r w:rsidR="00F846DE">
        <w:t xml:space="preserve">is </w:t>
      </w:r>
      <w:r w:rsidR="00F846DE" w:rsidRPr="008126EB">
        <w:rPr>
          <w:kern w:val="0"/>
        </w:rPr>
        <w:t xml:space="preserve">non-uniform </w:t>
      </w:r>
      <w:r w:rsidR="00F846DE">
        <w:rPr>
          <w:kern w:val="0"/>
        </w:rPr>
        <w:t>across stock returns distribution</w:t>
      </w:r>
      <w:r w:rsidR="00E41D12">
        <w:rPr>
          <w:kern w:val="0"/>
        </w:rPr>
        <w:t>. In particular, this relation w</w:t>
      </w:r>
      <w:r w:rsidR="00F846DE" w:rsidRPr="008126EB">
        <w:t xml:space="preserve">ould be </w:t>
      </w:r>
      <w:r w:rsidR="00F846DE">
        <w:t xml:space="preserve">more </w:t>
      </w:r>
      <w:r w:rsidR="00AF607E">
        <w:t>pronounced</w:t>
      </w:r>
      <w:r w:rsidR="00AF607E" w:rsidRPr="008126EB">
        <w:t xml:space="preserve"> </w:t>
      </w:r>
      <w:r w:rsidR="00F846DE" w:rsidRPr="008126EB">
        <w:t xml:space="preserve">when firms </w:t>
      </w:r>
      <w:r w:rsidR="00E41D12">
        <w:t>experiencing</w:t>
      </w:r>
      <w:r w:rsidR="00E41D12" w:rsidRPr="008126EB">
        <w:t xml:space="preserve"> </w:t>
      </w:r>
      <w:r w:rsidR="00F846DE" w:rsidRPr="008126EB">
        <w:t xml:space="preserve">gains or </w:t>
      </w:r>
      <w:r w:rsidR="00F846DE">
        <w:t>suffer</w:t>
      </w:r>
      <w:r w:rsidR="00E41D12">
        <w:t>ing</w:t>
      </w:r>
      <w:r w:rsidR="00F846DE">
        <w:t xml:space="preserve"> from</w:t>
      </w:r>
      <w:r w:rsidR="00F846DE" w:rsidRPr="008126EB">
        <w:t xml:space="preserve"> losses in </w:t>
      </w:r>
      <w:r w:rsidR="00F846DE">
        <w:t>capital</w:t>
      </w:r>
      <w:r w:rsidR="00F846DE" w:rsidRPr="008126EB">
        <w:t xml:space="preserve"> markets</w:t>
      </w:r>
      <w:r w:rsidRPr="008126EB">
        <w:t xml:space="preserve">. To examine </w:t>
      </w:r>
      <w:r w:rsidR="00E41D12" w:rsidRPr="008126EB">
        <w:t>th</w:t>
      </w:r>
      <w:r w:rsidR="00E41D12">
        <w:t>ese</w:t>
      </w:r>
      <w:r w:rsidR="00E41D12" w:rsidRPr="008126EB">
        <w:t xml:space="preserve"> </w:t>
      </w:r>
      <w:r w:rsidR="0003724F">
        <w:t>question</w:t>
      </w:r>
      <w:r w:rsidR="00E41D12">
        <w:t>s empirically</w:t>
      </w:r>
      <w:r w:rsidRPr="008126EB">
        <w:t xml:space="preserve">, we adopt </w:t>
      </w:r>
      <w:r w:rsidR="00D045ED">
        <w:t xml:space="preserve">the </w:t>
      </w:r>
      <w:r w:rsidRPr="008126EB">
        <w:t xml:space="preserve">prospect theory </w:t>
      </w:r>
      <w:r w:rsidR="00E41D12">
        <w:t>as the research framework</w:t>
      </w:r>
      <w:r w:rsidR="00016673">
        <w:t xml:space="preserve"> by taking</w:t>
      </w:r>
      <w:r w:rsidR="00016673" w:rsidRPr="00016673">
        <w:t xml:space="preserve"> </w:t>
      </w:r>
      <w:r w:rsidR="00016673">
        <w:t>managerial risk preference into account</w:t>
      </w:r>
      <w:r w:rsidRPr="008126EB">
        <w:t xml:space="preserve">. Applying </w:t>
      </w:r>
      <w:r w:rsidR="00D045ED">
        <w:t xml:space="preserve">the </w:t>
      </w:r>
      <w:r w:rsidRPr="008126EB">
        <w:t>QR</w:t>
      </w:r>
      <w:r w:rsidR="00D045ED">
        <w:t xml:space="preserve"> method</w:t>
      </w:r>
      <w:r w:rsidRPr="008126EB">
        <w:t xml:space="preserve">, </w:t>
      </w:r>
      <w:r w:rsidR="00E41D12">
        <w:t xml:space="preserve">the results </w:t>
      </w:r>
      <w:r w:rsidR="00ED55A1">
        <w:t xml:space="preserve">of our analyses </w:t>
      </w:r>
      <w:r w:rsidR="00E41D12">
        <w:t xml:space="preserve">indicate that </w:t>
      </w:r>
      <w:r w:rsidR="00D045ED" w:rsidRPr="008126EB">
        <w:t xml:space="preserve">the </w:t>
      </w:r>
      <w:r w:rsidR="00D045ED" w:rsidRPr="008126EB">
        <w:rPr>
          <w:rFonts w:hint="eastAsia"/>
        </w:rPr>
        <w:t>|</w:t>
      </w:r>
      <w:r w:rsidR="00D045ED" w:rsidRPr="008126EB">
        <w:rPr>
          <w:i/>
        </w:rPr>
        <w:t>DA</w:t>
      </w:r>
      <w:r w:rsidR="00D045ED" w:rsidRPr="008126EB">
        <w:rPr>
          <w:rFonts w:hint="eastAsia"/>
          <w:i/>
        </w:rPr>
        <w:t>|</w:t>
      </w:r>
      <w:r w:rsidR="00D045ED" w:rsidRPr="008126EB">
        <w:t>–</w:t>
      </w:r>
      <w:r w:rsidR="00D045ED" w:rsidRPr="008126EB">
        <w:rPr>
          <w:rFonts w:hint="eastAsia"/>
          <w:i/>
        </w:rPr>
        <w:t>RETURN</w:t>
      </w:r>
      <w:r w:rsidR="00D045ED" w:rsidRPr="008126EB">
        <w:t xml:space="preserve"> relation</w:t>
      </w:r>
      <w:r w:rsidR="00D045ED" w:rsidRPr="008126EB">
        <w:rPr>
          <w:rFonts w:eastAsia="PMingLiU" w:hint="eastAsia"/>
        </w:rPr>
        <w:t xml:space="preserve"> </w:t>
      </w:r>
      <w:r w:rsidRPr="008126EB">
        <w:rPr>
          <w:kern w:val="0"/>
        </w:rPr>
        <w:t>is non-uniform</w:t>
      </w:r>
      <w:r w:rsidR="00D045ED">
        <w:rPr>
          <w:kern w:val="0"/>
        </w:rPr>
        <w:t xml:space="preserve"> and </w:t>
      </w:r>
      <w:r w:rsidR="00E41D12">
        <w:rPr>
          <w:kern w:val="0"/>
        </w:rPr>
        <w:t xml:space="preserve">it </w:t>
      </w:r>
      <w:r w:rsidR="00D045ED">
        <w:rPr>
          <w:kern w:val="0"/>
        </w:rPr>
        <w:t>varies significantly across</w:t>
      </w:r>
      <w:r w:rsidR="008363B9">
        <w:rPr>
          <w:kern w:val="0"/>
        </w:rPr>
        <w:t xml:space="preserve"> the </w:t>
      </w:r>
      <w:r w:rsidR="00D045ED" w:rsidRPr="008126EB">
        <w:rPr>
          <w:rFonts w:hint="eastAsia"/>
          <w:i/>
        </w:rPr>
        <w:t>RETURN</w:t>
      </w:r>
      <w:r w:rsidR="00D045ED">
        <w:rPr>
          <w:i/>
        </w:rPr>
        <w:t xml:space="preserve"> </w:t>
      </w:r>
      <w:r w:rsidR="00D045ED">
        <w:t>distribution</w:t>
      </w:r>
      <w:r w:rsidRPr="008126EB">
        <w:rPr>
          <w:kern w:val="0"/>
        </w:rPr>
        <w:t xml:space="preserve">. </w:t>
      </w:r>
      <w:r w:rsidR="00E41D12">
        <w:rPr>
          <w:kern w:val="0"/>
        </w:rPr>
        <w:t>As predicted</w:t>
      </w:r>
      <w:r w:rsidRPr="008126EB">
        <w:rPr>
          <w:kern w:val="0"/>
        </w:rPr>
        <w:t xml:space="preserve">, </w:t>
      </w:r>
      <w:r w:rsidR="00AA7FD9" w:rsidRPr="008126EB">
        <w:t xml:space="preserve">the </w:t>
      </w:r>
      <w:r w:rsidR="00AA7FD9" w:rsidRPr="008126EB">
        <w:rPr>
          <w:rFonts w:hint="eastAsia"/>
        </w:rPr>
        <w:t>|</w:t>
      </w:r>
      <w:r w:rsidR="00AA7FD9" w:rsidRPr="008126EB">
        <w:rPr>
          <w:i/>
        </w:rPr>
        <w:t>DA</w:t>
      </w:r>
      <w:r w:rsidR="00AA7FD9" w:rsidRPr="008126EB">
        <w:rPr>
          <w:rFonts w:hint="eastAsia"/>
          <w:i/>
        </w:rPr>
        <w:t>|</w:t>
      </w:r>
      <w:r w:rsidR="00AA7FD9" w:rsidRPr="008126EB">
        <w:t>–</w:t>
      </w:r>
      <w:r w:rsidR="00AA7FD9" w:rsidRPr="008126EB">
        <w:rPr>
          <w:rFonts w:hint="eastAsia"/>
          <w:i/>
        </w:rPr>
        <w:t>RETURN</w:t>
      </w:r>
      <w:r w:rsidR="00AA7FD9" w:rsidRPr="008126EB">
        <w:t xml:space="preserve"> relation</w:t>
      </w:r>
      <w:r w:rsidR="00AA7FD9" w:rsidRPr="008126EB">
        <w:rPr>
          <w:rFonts w:eastAsia="PMingLiU" w:hint="eastAsia"/>
        </w:rPr>
        <w:t xml:space="preserve"> </w:t>
      </w:r>
      <w:r w:rsidRPr="008126EB">
        <w:rPr>
          <w:kern w:val="0"/>
        </w:rPr>
        <w:t xml:space="preserve">is </w:t>
      </w:r>
      <w:r w:rsidR="00F846DE">
        <w:rPr>
          <w:kern w:val="0"/>
        </w:rPr>
        <w:t xml:space="preserve">more </w:t>
      </w:r>
      <w:r w:rsidRPr="008126EB">
        <w:rPr>
          <w:kern w:val="0"/>
        </w:rPr>
        <w:t>pronounced in the tail</w:t>
      </w:r>
      <w:r w:rsidR="00F846DE">
        <w:rPr>
          <w:kern w:val="0"/>
        </w:rPr>
        <w:t>s</w:t>
      </w:r>
      <w:r w:rsidRPr="008126EB">
        <w:rPr>
          <w:kern w:val="0"/>
        </w:rPr>
        <w:t xml:space="preserve"> </w:t>
      </w:r>
      <w:r w:rsidR="00ED55A1">
        <w:rPr>
          <w:kern w:val="0"/>
        </w:rPr>
        <w:t xml:space="preserve">regions </w:t>
      </w:r>
      <w:r w:rsidR="00F846DE">
        <w:rPr>
          <w:kern w:val="0"/>
        </w:rPr>
        <w:t xml:space="preserve">than in the central </w:t>
      </w:r>
      <w:r w:rsidRPr="008126EB">
        <w:rPr>
          <w:kern w:val="0"/>
        </w:rPr>
        <w:t>region of the stock return distribution</w:t>
      </w:r>
      <w:r w:rsidR="00ED55A1">
        <w:rPr>
          <w:kern w:val="0"/>
        </w:rPr>
        <w:t>.</w:t>
      </w:r>
    </w:p>
    <w:p w:rsidR="000D38E4" w:rsidRDefault="000D38E4" w:rsidP="00FE1E17">
      <w:pPr>
        <w:widowControl/>
        <w:autoSpaceDE w:val="0"/>
        <w:autoSpaceDN w:val="0"/>
        <w:adjustRightInd w:val="0"/>
        <w:snapToGrid w:val="0"/>
        <w:spacing w:line="288" w:lineRule="auto"/>
        <w:ind w:firstLine="709"/>
        <w:jc w:val="both"/>
        <w:rPr>
          <w:kern w:val="0"/>
        </w:rPr>
      </w:pPr>
    </w:p>
    <w:p w:rsidR="00691B4A" w:rsidRDefault="00E41D12" w:rsidP="00FE1E17">
      <w:pPr>
        <w:widowControl/>
        <w:autoSpaceDE w:val="0"/>
        <w:autoSpaceDN w:val="0"/>
        <w:adjustRightInd w:val="0"/>
        <w:snapToGrid w:val="0"/>
        <w:spacing w:line="288" w:lineRule="auto"/>
        <w:ind w:firstLine="709"/>
        <w:jc w:val="both"/>
      </w:pPr>
      <w:r>
        <w:rPr>
          <w:kern w:val="0"/>
        </w:rPr>
        <w:t xml:space="preserve">Overall, </w:t>
      </w:r>
      <w:r w:rsidR="00681038" w:rsidRPr="008126EB">
        <w:rPr>
          <w:kern w:val="0"/>
        </w:rPr>
        <w:t xml:space="preserve">the </w:t>
      </w:r>
      <w:r w:rsidR="005D71EE">
        <w:rPr>
          <w:kern w:val="0"/>
        </w:rPr>
        <w:t>degree</w:t>
      </w:r>
      <w:r w:rsidR="005D71EE" w:rsidRPr="008126EB">
        <w:rPr>
          <w:kern w:val="0"/>
        </w:rPr>
        <w:t xml:space="preserve"> </w:t>
      </w:r>
      <w:r w:rsidR="00681038" w:rsidRPr="008126EB">
        <w:rPr>
          <w:kern w:val="0"/>
        </w:rPr>
        <w:t xml:space="preserve">of earnings </w:t>
      </w:r>
      <w:r w:rsidR="005D71EE">
        <w:rPr>
          <w:kern w:val="0"/>
        </w:rPr>
        <w:t>manipulation</w:t>
      </w:r>
      <w:r w:rsidR="005D71EE" w:rsidRPr="008126EB">
        <w:rPr>
          <w:kern w:val="0"/>
        </w:rPr>
        <w:t xml:space="preserve"> </w:t>
      </w:r>
      <w:r w:rsidR="00681038" w:rsidRPr="008126EB">
        <w:rPr>
          <w:kern w:val="0"/>
        </w:rPr>
        <w:t xml:space="preserve">accelerates </w:t>
      </w:r>
      <w:r>
        <w:rPr>
          <w:kern w:val="0"/>
        </w:rPr>
        <w:t xml:space="preserve">in the tail regions of </w:t>
      </w:r>
      <w:r w:rsidR="008B45C6" w:rsidRPr="008126EB">
        <w:rPr>
          <w:rFonts w:eastAsia="PMingLiU" w:hint="eastAsia"/>
          <w:kern w:val="0"/>
        </w:rPr>
        <w:t>returns</w:t>
      </w:r>
      <w:r w:rsidR="00FC5B71">
        <w:rPr>
          <w:rFonts w:eastAsia="PMingLiU"/>
          <w:kern w:val="0"/>
        </w:rPr>
        <w:t xml:space="preserve"> on equity shares</w:t>
      </w:r>
      <w:r w:rsidR="00681038" w:rsidRPr="008126EB">
        <w:t>.</w:t>
      </w:r>
      <w:r w:rsidR="00681038" w:rsidRPr="008126EB">
        <w:rPr>
          <w:kern w:val="0"/>
        </w:rPr>
        <w:t xml:space="preserve"> </w:t>
      </w:r>
      <w:r>
        <w:t>Th</w:t>
      </w:r>
      <w:r w:rsidR="005D71EE">
        <w:t xml:space="preserve">is finding </w:t>
      </w:r>
      <w:r>
        <w:t>support</w:t>
      </w:r>
      <w:r w:rsidR="005D71EE">
        <w:t>s</w:t>
      </w:r>
      <w:r>
        <w:t xml:space="preserve"> the notion that </w:t>
      </w:r>
      <w:r w:rsidR="00467F14">
        <w:rPr>
          <w:rFonts w:hint="eastAsia"/>
        </w:rPr>
        <w:t>risk-averting</w:t>
      </w:r>
      <w:r w:rsidR="00D045ED" w:rsidRPr="008126EB">
        <w:t xml:space="preserve"> </w:t>
      </w:r>
      <w:r w:rsidR="00D045ED">
        <w:t xml:space="preserve">executives may </w:t>
      </w:r>
      <w:r>
        <w:t xml:space="preserve">take </w:t>
      </w:r>
      <w:r w:rsidR="00C473A3">
        <w:t>earnings manipulation</w:t>
      </w:r>
      <w:r w:rsidR="00D045ED">
        <w:t xml:space="preserve"> as </w:t>
      </w:r>
      <w:r w:rsidR="00DB1441">
        <w:t xml:space="preserve">a </w:t>
      </w:r>
      <w:r w:rsidR="00D045ED">
        <w:t>low-risk strategy</w:t>
      </w:r>
      <w:r w:rsidR="00DB1441">
        <w:t xml:space="preserve"> and </w:t>
      </w:r>
      <w:r w:rsidR="008363B9">
        <w:t>behave</w:t>
      </w:r>
      <w:r w:rsidR="00DB1441">
        <w:t xml:space="preserve"> aggressively </w:t>
      </w:r>
      <w:r w:rsidR="008363B9">
        <w:t>in managing the</w:t>
      </w:r>
      <w:r w:rsidR="00DB1441">
        <w:t xml:space="preserve"> reported incomes</w:t>
      </w:r>
      <w:r w:rsidR="00D045ED">
        <w:t xml:space="preserve"> </w:t>
      </w:r>
      <w:r w:rsidR="005705C9" w:rsidRPr="008126EB">
        <w:t>when facing gain</w:t>
      </w:r>
      <w:r w:rsidR="00DB1441">
        <w:t xml:space="preserve"> situation</w:t>
      </w:r>
      <w:r w:rsidR="005705C9" w:rsidRPr="008126EB">
        <w:t>s</w:t>
      </w:r>
      <w:r w:rsidR="00DB1441">
        <w:t xml:space="preserve"> in capital markets</w:t>
      </w:r>
      <w:r w:rsidR="00D045ED">
        <w:t xml:space="preserve">. </w:t>
      </w:r>
      <w:r>
        <w:t xml:space="preserve">On the other hand, </w:t>
      </w:r>
      <w:r w:rsidR="00D045ED" w:rsidRPr="008126EB">
        <w:rPr>
          <w:rFonts w:hint="eastAsia"/>
        </w:rPr>
        <w:t>risk-</w:t>
      </w:r>
      <w:r w:rsidR="00D045ED">
        <w:t xml:space="preserve">seeking </w:t>
      </w:r>
      <w:r w:rsidR="008363B9">
        <w:t xml:space="preserve">executives </w:t>
      </w:r>
      <w:r w:rsidR="00D045ED">
        <w:t xml:space="preserve">may perceive </w:t>
      </w:r>
      <w:r w:rsidR="00C473A3">
        <w:t>earnings manipulation</w:t>
      </w:r>
      <w:r w:rsidR="00D045ED">
        <w:t xml:space="preserve"> as </w:t>
      </w:r>
      <w:r w:rsidR="00DB1441">
        <w:t xml:space="preserve">a </w:t>
      </w:r>
      <w:r w:rsidR="00D045ED">
        <w:t xml:space="preserve">high-risk strategy </w:t>
      </w:r>
      <w:r w:rsidR="00DB1441">
        <w:t xml:space="preserve">and </w:t>
      </w:r>
      <w:r>
        <w:t xml:space="preserve">decide to </w:t>
      </w:r>
      <w:r w:rsidR="00DB1441">
        <w:t>actively manipulate the</w:t>
      </w:r>
      <w:r>
        <w:t xml:space="preserve"> reported </w:t>
      </w:r>
      <w:r w:rsidR="00DB1441">
        <w:t xml:space="preserve">income </w:t>
      </w:r>
      <w:r w:rsidR="00D045ED" w:rsidRPr="008126EB">
        <w:t xml:space="preserve">when </w:t>
      </w:r>
      <w:r w:rsidR="005705C9" w:rsidRPr="008126EB">
        <w:t>experiencing</w:t>
      </w:r>
      <w:r w:rsidR="00691B4A" w:rsidRPr="008126EB">
        <w:t xml:space="preserve"> loss </w:t>
      </w:r>
      <w:r w:rsidR="00DB1441">
        <w:t>in the capital markets</w:t>
      </w:r>
      <w:r w:rsidR="00691B4A" w:rsidRPr="008126EB">
        <w:t xml:space="preserve">. </w:t>
      </w:r>
      <w:r>
        <w:t>Hence</w:t>
      </w:r>
      <w:r w:rsidR="00D045ED">
        <w:t xml:space="preserve">, </w:t>
      </w:r>
      <w:r w:rsidR="00D045ED" w:rsidRPr="008126EB">
        <w:t xml:space="preserve">the </w:t>
      </w:r>
      <w:r w:rsidR="00D045ED" w:rsidRPr="008126EB">
        <w:rPr>
          <w:rFonts w:hint="eastAsia"/>
        </w:rPr>
        <w:t>|</w:t>
      </w:r>
      <w:r w:rsidR="00D045ED" w:rsidRPr="008126EB">
        <w:rPr>
          <w:i/>
        </w:rPr>
        <w:t>DA</w:t>
      </w:r>
      <w:r w:rsidR="00D045ED" w:rsidRPr="008126EB">
        <w:rPr>
          <w:rFonts w:hint="eastAsia"/>
          <w:i/>
        </w:rPr>
        <w:t>|</w:t>
      </w:r>
      <w:r w:rsidR="00D045ED" w:rsidRPr="008126EB">
        <w:t>–</w:t>
      </w:r>
      <w:r w:rsidR="00D045ED" w:rsidRPr="008126EB">
        <w:rPr>
          <w:rFonts w:hint="eastAsia"/>
          <w:i/>
        </w:rPr>
        <w:t>RETURN</w:t>
      </w:r>
      <w:r w:rsidR="00D045ED" w:rsidRPr="008126EB">
        <w:t xml:space="preserve"> relation</w:t>
      </w:r>
      <w:r w:rsidR="00D045ED" w:rsidRPr="008126EB">
        <w:rPr>
          <w:rFonts w:eastAsia="PMingLiU" w:hint="eastAsia"/>
        </w:rPr>
        <w:t xml:space="preserve"> </w:t>
      </w:r>
      <w:r w:rsidR="00F846DE">
        <w:rPr>
          <w:kern w:val="0"/>
        </w:rPr>
        <w:t>strengthen</w:t>
      </w:r>
      <w:r w:rsidR="008363B9">
        <w:rPr>
          <w:kern w:val="0"/>
        </w:rPr>
        <w:t>s</w:t>
      </w:r>
      <w:r w:rsidR="00D045ED" w:rsidRPr="008126EB">
        <w:rPr>
          <w:kern w:val="0"/>
        </w:rPr>
        <w:t xml:space="preserve"> in </w:t>
      </w:r>
      <w:r w:rsidR="00DB1441">
        <w:rPr>
          <w:kern w:val="0"/>
        </w:rPr>
        <w:t>both</w:t>
      </w:r>
      <w:r w:rsidR="00DB1441" w:rsidRPr="008126EB">
        <w:rPr>
          <w:kern w:val="0"/>
        </w:rPr>
        <w:t xml:space="preserve"> </w:t>
      </w:r>
      <w:r w:rsidR="00D045ED" w:rsidRPr="008126EB">
        <w:rPr>
          <w:kern w:val="0"/>
        </w:rPr>
        <w:t>tail</w:t>
      </w:r>
      <w:r w:rsidR="00DB1441">
        <w:rPr>
          <w:kern w:val="0"/>
        </w:rPr>
        <w:t>s</w:t>
      </w:r>
      <w:r w:rsidR="00D045ED" w:rsidRPr="008126EB">
        <w:rPr>
          <w:kern w:val="0"/>
        </w:rPr>
        <w:t xml:space="preserve"> of the stock return distribution.</w:t>
      </w:r>
      <w:r w:rsidR="00D045ED">
        <w:rPr>
          <w:kern w:val="0"/>
        </w:rPr>
        <w:t xml:space="preserve"> </w:t>
      </w:r>
      <w:r w:rsidR="00691B4A" w:rsidRPr="008126EB">
        <w:rPr>
          <w:rFonts w:hint="eastAsia"/>
        </w:rPr>
        <w:t>T</w:t>
      </w:r>
      <w:r w:rsidR="00691B4A" w:rsidRPr="008126EB">
        <w:t xml:space="preserve">o </w:t>
      </w:r>
      <w:r w:rsidR="00ED55A1">
        <w:t>en</w:t>
      </w:r>
      <w:r w:rsidR="004C12B5">
        <w:t xml:space="preserve">sure our </w:t>
      </w:r>
      <w:r w:rsidR="00D045ED">
        <w:t>empirical</w:t>
      </w:r>
      <w:r w:rsidR="00691B4A" w:rsidRPr="008126EB">
        <w:t xml:space="preserve"> results</w:t>
      </w:r>
      <w:r w:rsidR="004C12B5">
        <w:t xml:space="preserve"> are robust</w:t>
      </w:r>
      <w:r w:rsidR="00691B4A" w:rsidRPr="008126EB">
        <w:t>,</w:t>
      </w:r>
      <w:r w:rsidR="00691B4A" w:rsidRPr="008126EB">
        <w:rPr>
          <w:rFonts w:hint="eastAsia"/>
        </w:rPr>
        <w:t xml:space="preserve"> we </w:t>
      </w:r>
      <w:r w:rsidR="00691B4A" w:rsidRPr="008126EB">
        <w:t xml:space="preserve">conduct several </w:t>
      </w:r>
      <w:r w:rsidR="00ED55A1">
        <w:t xml:space="preserve">additional </w:t>
      </w:r>
      <w:r w:rsidR="00691B4A" w:rsidRPr="008126EB">
        <w:t xml:space="preserve">tests. </w:t>
      </w:r>
      <w:r>
        <w:t>T</w:t>
      </w:r>
      <w:r w:rsidR="004C12B5">
        <w:t>hese tests show</w:t>
      </w:r>
      <w:r w:rsidR="00D045ED">
        <w:t xml:space="preserve"> consistent </w:t>
      </w:r>
      <w:r w:rsidR="004C12B5">
        <w:t xml:space="preserve">results </w:t>
      </w:r>
      <w:r w:rsidR="00D045ED">
        <w:t xml:space="preserve">with </w:t>
      </w:r>
      <w:r w:rsidR="004C12B5">
        <w:t>those</w:t>
      </w:r>
      <w:r w:rsidR="00D045ED">
        <w:t xml:space="preserve"> </w:t>
      </w:r>
      <w:r w:rsidR="00F846DE">
        <w:t xml:space="preserve">reported </w:t>
      </w:r>
      <w:r w:rsidR="00D045ED">
        <w:t>in the</w:t>
      </w:r>
      <w:r w:rsidR="004C12B5">
        <w:t xml:space="preserve"> main analysis</w:t>
      </w:r>
      <w:r w:rsidR="00691B4A" w:rsidRPr="008126EB">
        <w:rPr>
          <w:rFonts w:hint="eastAsia"/>
        </w:rPr>
        <w:t>.</w:t>
      </w:r>
    </w:p>
    <w:p w:rsidR="000D38E4" w:rsidRPr="008126EB" w:rsidRDefault="000D38E4" w:rsidP="00FE1E17">
      <w:pPr>
        <w:widowControl/>
        <w:autoSpaceDE w:val="0"/>
        <w:autoSpaceDN w:val="0"/>
        <w:adjustRightInd w:val="0"/>
        <w:snapToGrid w:val="0"/>
        <w:spacing w:line="288" w:lineRule="auto"/>
        <w:ind w:firstLine="709"/>
        <w:jc w:val="both"/>
        <w:rPr>
          <w:kern w:val="0"/>
        </w:rPr>
      </w:pPr>
    </w:p>
    <w:p w:rsidR="000F3BD2" w:rsidRDefault="00691B4A" w:rsidP="00FE1E17">
      <w:pPr>
        <w:widowControl/>
        <w:adjustRightInd w:val="0"/>
        <w:snapToGrid w:val="0"/>
        <w:spacing w:line="288" w:lineRule="auto"/>
        <w:ind w:firstLineChars="295" w:firstLine="708"/>
        <w:jc w:val="both"/>
      </w:pPr>
      <w:r w:rsidRPr="008126EB">
        <w:t xml:space="preserve">This study </w:t>
      </w:r>
      <w:r w:rsidR="008C240E">
        <w:t>makes</w:t>
      </w:r>
      <w:r w:rsidRPr="008126EB">
        <w:t xml:space="preserve"> theoretical and methodological contributions to the</w:t>
      </w:r>
      <w:r w:rsidR="00D045ED">
        <w:t xml:space="preserve"> </w:t>
      </w:r>
      <w:r w:rsidRPr="008126EB">
        <w:t>literature. I</w:t>
      </w:r>
      <w:r w:rsidR="00F159D4">
        <w:t xml:space="preserve">t also </w:t>
      </w:r>
      <w:r w:rsidR="005D71EE">
        <w:t xml:space="preserve">offers </w:t>
      </w:r>
      <w:r w:rsidRPr="008126EB">
        <w:t xml:space="preserve">policy implications </w:t>
      </w:r>
      <w:r w:rsidR="00D045ED">
        <w:t xml:space="preserve">to </w:t>
      </w:r>
      <w:r w:rsidRPr="008126EB">
        <w:t xml:space="preserve">regulatory agencies. </w:t>
      </w:r>
      <w:r w:rsidRPr="008126EB">
        <w:rPr>
          <w:kern w:val="0"/>
        </w:rPr>
        <w:t xml:space="preserve">From </w:t>
      </w:r>
      <w:r w:rsidR="009B617D">
        <w:rPr>
          <w:kern w:val="0"/>
        </w:rPr>
        <w:t>the</w:t>
      </w:r>
      <w:r w:rsidR="009B617D" w:rsidRPr="008126EB">
        <w:rPr>
          <w:kern w:val="0"/>
        </w:rPr>
        <w:t xml:space="preserve"> </w:t>
      </w:r>
      <w:r w:rsidRPr="008126EB">
        <w:rPr>
          <w:kern w:val="0"/>
        </w:rPr>
        <w:t xml:space="preserve">theoretical </w:t>
      </w:r>
      <w:r w:rsidRPr="008126EB">
        <w:t xml:space="preserve">perspective, </w:t>
      </w:r>
      <w:r w:rsidR="008363B9">
        <w:t>this</w:t>
      </w:r>
      <w:r w:rsidR="008363B9" w:rsidRPr="008126EB">
        <w:t xml:space="preserve"> </w:t>
      </w:r>
      <w:r w:rsidRPr="008126EB">
        <w:t xml:space="preserve">study is the first </w:t>
      </w:r>
      <w:r w:rsidR="005D71EE">
        <w:t xml:space="preserve">research </w:t>
      </w:r>
      <w:r w:rsidRPr="008126EB">
        <w:t xml:space="preserve">to </w:t>
      </w:r>
      <w:r w:rsidR="005D71EE">
        <w:t>examine</w:t>
      </w:r>
      <w:r w:rsidR="005D71EE" w:rsidRPr="008126EB">
        <w:t xml:space="preserve"> </w:t>
      </w:r>
      <w:r w:rsidRPr="008126EB">
        <w:t>the</w:t>
      </w:r>
      <w:r w:rsidR="005D71EE">
        <w:t xml:space="preserve"> association of</w:t>
      </w:r>
      <w:r w:rsidRPr="008126EB">
        <w:t xml:space="preserve"> </w:t>
      </w:r>
      <w:r w:rsidR="00060B07" w:rsidRPr="008126EB">
        <w:rPr>
          <w:rFonts w:hint="eastAsia"/>
        </w:rPr>
        <w:t>|</w:t>
      </w:r>
      <w:r w:rsidR="00060B07" w:rsidRPr="008126EB">
        <w:rPr>
          <w:i/>
        </w:rPr>
        <w:t>DA</w:t>
      </w:r>
      <w:r w:rsidR="00060B07" w:rsidRPr="008126EB">
        <w:rPr>
          <w:rFonts w:hint="eastAsia"/>
          <w:i/>
        </w:rPr>
        <w:t>|</w:t>
      </w:r>
      <w:r w:rsidR="00060B07">
        <w:t>–</w:t>
      </w:r>
      <w:r w:rsidR="00060B07" w:rsidRPr="008126EB">
        <w:rPr>
          <w:rFonts w:hint="eastAsia"/>
          <w:i/>
        </w:rPr>
        <w:t>RETURN</w:t>
      </w:r>
      <w:r w:rsidR="00060B07" w:rsidRPr="008126EB">
        <w:t xml:space="preserve"> </w:t>
      </w:r>
      <w:r w:rsidR="00180E8F">
        <w:t>according to</w:t>
      </w:r>
      <w:r w:rsidR="00180E8F" w:rsidRPr="008126EB">
        <w:t xml:space="preserve"> </w:t>
      </w:r>
      <w:r w:rsidR="00D045ED">
        <w:t xml:space="preserve">the </w:t>
      </w:r>
      <w:r w:rsidRPr="008126EB">
        <w:t xml:space="preserve">prospect theory. </w:t>
      </w:r>
      <w:r w:rsidR="00E41D12">
        <w:t>As predicted</w:t>
      </w:r>
      <w:r w:rsidRPr="008126EB">
        <w:t xml:space="preserve">, our results support the attributes outlined in </w:t>
      </w:r>
      <w:r w:rsidR="008C240E">
        <w:t xml:space="preserve">the </w:t>
      </w:r>
      <w:r w:rsidR="00314B2A">
        <w:t xml:space="preserve">prospect </w:t>
      </w:r>
      <w:r w:rsidRPr="008126EB">
        <w:t xml:space="preserve">theory. </w:t>
      </w:r>
      <w:r w:rsidR="00BE309E">
        <w:lastRenderedPageBreak/>
        <w:t xml:space="preserve">Moreover, the argument of </w:t>
      </w:r>
      <w:r w:rsidR="00BE309E" w:rsidRPr="00BE309E">
        <w:t xml:space="preserve">managerial risk preference </w:t>
      </w:r>
      <w:r w:rsidR="00BE309E">
        <w:t xml:space="preserve">addressed in this study contributes to the literature on management’s incentives for earnings manipulation behaviors. </w:t>
      </w:r>
      <w:r w:rsidR="009B617D" w:rsidRPr="008126EB">
        <w:rPr>
          <w:kern w:val="0"/>
        </w:rPr>
        <w:t xml:space="preserve">From </w:t>
      </w:r>
      <w:r w:rsidR="009B617D">
        <w:rPr>
          <w:kern w:val="0"/>
        </w:rPr>
        <w:t>the</w:t>
      </w:r>
      <w:r w:rsidR="009B617D" w:rsidRPr="008126EB">
        <w:rPr>
          <w:kern w:val="0"/>
        </w:rPr>
        <w:t xml:space="preserve"> </w:t>
      </w:r>
      <w:r w:rsidR="009B617D">
        <w:rPr>
          <w:kern w:val="0"/>
        </w:rPr>
        <w:t>methodology</w:t>
      </w:r>
      <w:r w:rsidR="009B617D" w:rsidRPr="008126EB">
        <w:rPr>
          <w:kern w:val="0"/>
        </w:rPr>
        <w:t xml:space="preserve"> </w:t>
      </w:r>
      <w:r w:rsidR="009B617D" w:rsidRPr="008126EB">
        <w:t>perspective</w:t>
      </w:r>
      <w:r w:rsidR="009B617D">
        <w:t xml:space="preserve">, we </w:t>
      </w:r>
      <w:r w:rsidR="00104F3C">
        <w:t xml:space="preserve">apply </w:t>
      </w:r>
      <w:r w:rsidR="0070378C">
        <w:t>the</w:t>
      </w:r>
      <w:r w:rsidR="008363B9" w:rsidRPr="008126EB">
        <w:t xml:space="preserve"> QR </w:t>
      </w:r>
      <w:r w:rsidR="000E273D">
        <w:t>to re-</w:t>
      </w:r>
      <w:r w:rsidR="00104F3C">
        <w:t xml:space="preserve">analyze </w:t>
      </w:r>
      <w:r w:rsidR="000E273D">
        <w:t xml:space="preserve">the </w:t>
      </w:r>
      <w:r w:rsidR="000E273D" w:rsidRPr="008126EB">
        <w:rPr>
          <w:rFonts w:hint="eastAsia"/>
        </w:rPr>
        <w:t>|</w:t>
      </w:r>
      <w:r w:rsidR="000E273D" w:rsidRPr="008126EB">
        <w:rPr>
          <w:i/>
        </w:rPr>
        <w:t>DA</w:t>
      </w:r>
      <w:r w:rsidR="000E273D" w:rsidRPr="008126EB">
        <w:rPr>
          <w:rFonts w:hint="eastAsia"/>
          <w:i/>
        </w:rPr>
        <w:t>|</w:t>
      </w:r>
      <w:r w:rsidR="000E273D">
        <w:t>–</w:t>
      </w:r>
      <w:r w:rsidR="000E273D" w:rsidRPr="008126EB">
        <w:rPr>
          <w:rFonts w:hint="eastAsia"/>
          <w:i/>
        </w:rPr>
        <w:t>RETURN</w:t>
      </w:r>
      <w:r w:rsidR="000E273D" w:rsidRPr="008126EB">
        <w:t xml:space="preserve"> relation</w:t>
      </w:r>
      <w:r w:rsidR="00104F3C">
        <w:t xml:space="preserve">. This examination </w:t>
      </w:r>
      <w:r w:rsidRPr="008126EB">
        <w:t>demonstrate</w:t>
      </w:r>
      <w:r w:rsidR="00104F3C">
        <w:t>s</w:t>
      </w:r>
      <w:r w:rsidRPr="008126EB">
        <w:t xml:space="preserve"> that </w:t>
      </w:r>
      <w:r w:rsidR="000F3BD2">
        <w:rPr>
          <w:rFonts w:hint="eastAsia"/>
        </w:rPr>
        <w:t xml:space="preserve">the OLS and LAD approach are </w:t>
      </w:r>
      <w:r w:rsidR="00016673">
        <w:t>in</w:t>
      </w:r>
      <w:r w:rsidR="000F3BD2">
        <w:t>effective</w:t>
      </w:r>
      <w:r w:rsidR="00016673">
        <w:t xml:space="preserve"> to</w:t>
      </w:r>
      <w:r w:rsidR="000F3BD2">
        <w:rPr>
          <w:rFonts w:hint="eastAsia"/>
        </w:rPr>
        <w:t xml:space="preserve"> </w:t>
      </w:r>
      <w:r w:rsidR="000F3BD2">
        <w:t>portray</w:t>
      </w:r>
      <w:r w:rsidR="000F3BD2">
        <w:rPr>
          <w:rFonts w:hint="eastAsia"/>
        </w:rPr>
        <w:t xml:space="preserve"> the </w:t>
      </w:r>
      <w:r w:rsidR="00F159D4">
        <w:t xml:space="preserve">managerial </w:t>
      </w:r>
      <w:r w:rsidR="007A18E2">
        <w:rPr>
          <w:rFonts w:hint="eastAsia"/>
        </w:rPr>
        <w:t>behavior</w:t>
      </w:r>
      <w:r w:rsidR="000F3BD2">
        <w:rPr>
          <w:rFonts w:hint="eastAsia"/>
        </w:rPr>
        <w:t xml:space="preserve"> when </w:t>
      </w:r>
      <w:r w:rsidR="00F159D4">
        <w:t>they</w:t>
      </w:r>
      <w:r w:rsidR="000F3BD2">
        <w:rPr>
          <w:rFonts w:hint="eastAsia"/>
        </w:rPr>
        <w:t xml:space="preserve"> </w:t>
      </w:r>
      <w:r w:rsidR="000F3BD2">
        <w:t>encounter</w:t>
      </w:r>
      <w:r w:rsidR="000F3BD2">
        <w:rPr>
          <w:rFonts w:hint="eastAsia"/>
        </w:rPr>
        <w:t xml:space="preserve"> an extreme gain and loss in </w:t>
      </w:r>
      <w:r w:rsidR="000E273D">
        <w:t>capital markets</w:t>
      </w:r>
      <w:r w:rsidR="000F3BD2">
        <w:rPr>
          <w:rFonts w:hint="eastAsia"/>
        </w:rPr>
        <w:t xml:space="preserve">. </w:t>
      </w:r>
      <w:r w:rsidR="000E273D">
        <w:t xml:space="preserve">Like what we have done to investigate the </w:t>
      </w:r>
      <w:r w:rsidR="000E273D" w:rsidRPr="008126EB">
        <w:rPr>
          <w:rFonts w:hint="eastAsia"/>
        </w:rPr>
        <w:t>|</w:t>
      </w:r>
      <w:r w:rsidR="000E273D" w:rsidRPr="008126EB">
        <w:rPr>
          <w:i/>
        </w:rPr>
        <w:t>DA</w:t>
      </w:r>
      <w:r w:rsidR="000E273D" w:rsidRPr="008126EB">
        <w:rPr>
          <w:rFonts w:hint="eastAsia"/>
          <w:i/>
        </w:rPr>
        <w:t>|</w:t>
      </w:r>
      <w:r w:rsidR="000E273D">
        <w:t>–</w:t>
      </w:r>
      <w:r w:rsidR="000E273D" w:rsidRPr="008126EB">
        <w:rPr>
          <w:rFonts w:hint="eastAsia"/>
          <w:i/>
        </w:rPr>
        <w:t>RETURN</w:t>
      </w:r>
      <w:r w:rsidR="000E273D" w:rsidRPr="008126EB">
        <w:t xml:space="preserve"> relation</w:t>
      </w:r>
      <w:r w:rsidR="009B617D">
        <w:t>, it would be desirable for academicians to experiment other methods, as part of triangulation process</w:t>
      </w:r>
      <w:r w:rsidR="000E273D">
        <w:t>es</w:t>
      </w:r>
      <w:r w:rsidR="009B617D">
        <w:t>, t</w:t>
      </w:r>
      <w:r w:rsidR="00433DD3">
        <w:t xml:space="preserve">o </w:t>
      </w:r>
      <w:r w:rsidR="009B617D">
        <w:t xml:space="preserve">examine issues with inconclusive </w:t>
      </w:r>
      <w:r w:rsidR="00F159D4">
        <w:t>evidence</w:t>
      </w:r>
      <w:r w:rsidR="000E273D">
        <w:t xml:space="preserve"> reported in the literature.</w:t>
      </w:r>
      <w:r w:rsidR="009B617D">
        <w:t xml:space="preserve"> </w:t>
      </w:r>
    </w:p>
    <w:p w:rsidR="000D38E4" w:rsidRDefault="000D38E4" w:rsidP="00FE1E17">
      <w:pPr>
        <w:widowControl/>
        <w:adjustRightInd w:val="0"/>
        <w:snapToGrid w:val="0"/>
        <w:spacing w:line="288" w:lineRule="auto"/>
        <w:ind w:firstLineChars="295" w:firstLine="708"/>
        <w:jc w:val="both"/>
      </w:pPr>
    </w:p>
    <w:p w:rsidR="003E43FA" w:rsidRDefault="000E273D" w:rsidP="00FE1E17">
      <w:pPr>
        <w:widowControl/>
        <w:adjustRightInd w:val="0"/>
        <w:snapToGrid w:val="0"/>
        <w:spacing w:line="288" w:lineRule="auto"/>
        <w:ind w:firstLine="720"/>
        <w:jc w:val="both"/>
      </w:pPr>
      <w:r>
        <w:t>Finally</w:t>
      </w:r>
      <w:r w:rsidR="0070378C">
        <w:t xml:space="preserve">, </w:t>
      </w:r>
      <w:r w:rsidR="00691B4A" w:rsidRPr="008126EB">
        <w:t>this study provide</w:t>
      </w:r>
      <w:r w:rsidR="0062651B">
        <w:t>s</w:t>
      </w:r>
      <w:r w:rsidR="00691B4A" w:rsidRPr="008126EB">
        <w:t xml:space="preserve"> </w:t>
      </w:r>
      <w:r w:rsidR="0070378C">
        <w:t xml:space="preserve">policy implications </w:t>
      </w:r>
      <w:r w:rsidR="003A27B4">
        <w:t>to</w:t>
      </w:r>
      <w:r w:rsidR="00691B4A" w:rsidRPr="008126EB">
        <w:t xml:space="preserve"> regulatory agencies. </w:t>
      </w:r>
      <w:r w:rsidR="00563F07">
        <w:t xml:space="preserve">As documented in this study, </w:t>
      </w:r>
      <w:r w:rsidR="002A43B4">
        <w:t xml:space="preserve">the degree of </w:t>
      </w:r>
      <w:r w:rsidR="00C473A3">
        <w:t>earnings manipulation</w:t>
      </w:r>
      <w:r w:rsidR="00691B4A" w:rsidRPr="008126EB">
        <w:t xml:space="preserve"> could </w:t>
      </w:r>
      <w:r w:rsidR="002A43B4">
        <w:t xml:space="preserve">accelerate </w:t>
      </w:r>
      <w:r w:rsidR="00B26438" w:rsidRPr="008126EB">
        <w:t>when</w:t>
      </w:r>
      <w:r w:rsidR="00691B4A" w:rsidRPr="008126EB">
        <w:t xml:space="preserve"> </w:t>
      </w:r>
      <w:r w:rsidR="00691B4A" w:rsidRPr="008126EB">
        <w:rPr>
          <w:rFonts w:hint="eastAsia"/>
        </w:rPr>
        <w:t xml:space="preserve">firms </w:t>
      </w:r>
      <w:r w:rsidR="00691B4A" w:rsidRPr="008126EB">
        <w:t>experienc</w:t>
      </w:r>
      <w:r w:rsidR="005F13FB">
        <w:t>ing</w:t>
      </w:r>
      <w:r w:rsidR="00691B4A" w:rsidRPr="008126EB">
        <w:t xml:space="preserve"> </w:t>
      </w:r>
      <w:r w:rsidR="002A43B4">
        <w:t xml:space="preserve">relatively </w:t>
      </w:r>
      <w:r w:rsidR="00691B4A" w:rsidRPr="008126EB">
        <w:t>high</w:t>
      </w:r>
      <w:r w:rsidR="002A43B4">
        <w:t xml:space="preserve"> and positive</w:t>
      </w:r>
      <w:r w:rsidR="00691B4A" w:rsidRPr="008126EB">
        <w:t xml:space="preserve"> </w:t>
      </w:r>
      <w:r w:rsidR="00433DD3">
        <w:t xml:space="preserve">stock </w:t>
      </w:r>
      <w:r w:rsidR="00691B4A" w:rsidRPr="008126EB">
        <w:t xml:space="preserve">returns or suffer from </w:t>
      </w:r>
      <w:r w:rsidR="002A43B4">
        <w:t xml:space="preserve">relatively </w:t>
      </w:r>
      <w:r w:rsidR="00691B4A" w:rsidRPr="008126EB">
        <w:t xml:space="preserve">low </w:t>
      </w:r>
      <w:r w:rsidR="002A43B4">
        <w:t xml:space="preserve">and negative </w:t>
      </w:r>
      <w:r w:rsidR="00691B4A" w:rsidRPr="008126EB">
        <w:t>p</w:t>
      </w:r>
      <w:r w:rsidR="00691B4A" w:rsidRPr="008126EB">
        <w:rPr>
          <w:rFonts w:hint="eastAsia"/>
        </w:rPr>
        <w:t>erformance</w:t>
      </w:r>
      <w:r w:rsidR="00016673">
        <w:t xml:space="preserve"> in capital markets</w:t>
      </w:r>
      <w:r w:rsidR="00563F07">
        <w:t xml:space="preserve">. </w:t>
      </w:r>
      <w:r w:rsidR="00016673">
        <w:t xml:space="preserve">Moreover, these </w:t>
      </w:r>
      <w:r w:rsidR="00563F07">
        <w:t xml:space="preserve">results </w:t>
      </w:r>
      <w:r>
        <w:t xml:space="preserve">appear to </w:t>
      </w:r>
      <w:r w:rsidR="00563F07">
        <w:t xml:space="preserve">indicate that </w:t>
      </w:r>
      <w:r w:rsidR="00016673">
        <w:t xml:space="preserve">corporate </w:t>
      </w:r>
      <w:r w:rsidR="00691B4A" w:rsidRPr="008126EB">
        <w:t xml:space="preserve">executives may continue </w:t>
      </w:r>
      <w:r w:rsidR="0070378C">
        <w:t>using</w:t>
      </w:r>
      <w:r w:rsidR="00691B4A" w:rsidRPr="008126EB">
        <w:t xml:space="preserve"> </w:t>
      </w:r>
      <w:r w:rsidR="00C473A3">
        <w:t>earnings manipulation</w:t>
      </w:r>
      <w:r w:rsidR="00691B4A" w:rsidRPr="008126EB">
        <w:t xml:space="preserve"> </w:t>
      </w:r>
      <w:r w:rsidR="005F13FB">
        <w:t xml:space="preserve">to </w:t>
      </w:r>
      <w:r w:rsidR="00691B4A" w:rsidRPr="008126EB">
        <w:t>deceive s</w:t>
      </w:r>
      <w:r w:rsidR="005F13FB">
        <w:t xml:space="preserve">hareholders and other </w:t>
      </w:r>
      <w:r w:rsidR="00433DD3">
        <w:t>stakeholders</w:t>
      </w:r>
      <w:r w:rsidR="0070378C">
        <w:t xml:space="preserve">. </w:t>
      </w:r>
      <w:r w:rsidR="00563F07">
        <w:t>Thus</w:t>
      </w:r>
      <w:r w:rsidR="005F13FB">
        <w:t xml:space="preserve">, it is imperative for </w:t>
      </w:r>
      <w:r w:rsidR="00691B4A" w:rsidRPr="008126EB">
        <w:t xml:space="preserve">regulators </w:t>
      </w:r>
      <w:r w:rsidR="005F13FB">
        <w:t xml:space="preserve">to </w:t>
      </w:r>
      <w:r w:rsidR="00563F07">
        <w:t>develop</w:t>
      </w:r>
      <w:r w:rsidR="0070378C">
        <w:t xml:space="preserve"> </w:t>
      </w:r>
      <w:r w:rsidR="00691B4A" w:rsidRPr="008126EB">
        <w:t xml:space="preserve">a </w:t>
      </w:r>
      <w:r w:rsidR="00563F07">
        <w:t xml:space="preserve">viable regulatory </w:t>
      </w:r>
      <w:r w:rsidR="005F13FB">
        <w:t>framework</w:t>
      </w:r>
      <w:r w:rsidR="00016673">
        <w:t xml:space="preserve"> according to the findings reported in this study</w:t>
      </w:r>
      <w:r w:rsidR="00563F07">
        <w:t xml:space="preserve">, so they </w:t>
      </w:r>
      <w:r>
        <w:t xml:space="preserve">take enforceable </w:t>
      </w:r>
      <w:r w:rsidR="00691B4A" w:rsidRPr="008126EB">
        <w:t xml:space="preserve">actions </w:t>
      </w:r>
      <w:r w:rsidR="005F13FB">
        <w:t xml:space="preserve">to </w:t>
      </w:r>
      <w:r w:rsidR="00691B4A" w:rsidRPr="008126EB">
        <w:t xml:space="preserve">mitigate the </w:t>
      </w:r>
      <w:r w:rsidR="00D707DC">
        <w:t xml:space="preserve">potential </w:t>
      </w:r>
      <w:r w:rsidR="00433DD3">
        <w:t>consequences</w:t>
      </w:r>
      <w:r w:rsidR="00433DD3" w:rsidRPr="008126EB">
        <w:t xml:space="preserve"> </w:t>
      </w:r>
      <w:r w:rsidR="00016673">
        <w:t xml:space="preserve">derived from the </w:t>
      </w:r>
      <w:r w:rsidR="00C473A3">
        <w:t>earnings manipulation</w:t>
      </w:r>
      <w:r w:rsidR="00691B4A" w:rsidRPr="008126EB">
        <w:t>.</w:t>
      </w:r>
    </w:p>
    <w:p w:rsidR="000D38E4" w:rsidRDefault="000D38E4" w:rsidP="00FE1E17">
      <w:pPr>
        <w:widowControl/>
        <w:adjustRightInd w:val="0"/>
        <w:snapToGrid w:val="0"/>
        <w:spacing w:line="288" w:lineRule="auto"/>
        <w:ind w:firstLine="720"/>
        <w:jc w:val="both"/>
      </w:pPr>
    </w:p>
    <w:p w:rsidR="00FE1E17" w:rsidRDefault="00A121E3" w:rsidP="00FE1E17">
      <w:pPr>
        <w:widowControl/>
        <w:adjustRightInd w:val="0"/>
        <w:snapToGrid w:val="0"/>
        <w:spacing w:line="288" w:lineRule="auto"/>
        <w:ind w:firstLine="720"/>
        <w:jc w:val="both"/>
      </w:pPr>
      <w:r w:rsidRPr="00DF54E5">
        <w:t>Similar to other studies</w:t>
      </w:r>
      <w:r w:rsidR="00016673">
        <w:t xml:space="preserve"> reported in the literature</w:t>
      </w:r>
      <w:r w:rsidRPr="00DF54E5">
        <w:t xml:space="preserve">, researchers should interpret our </w:t>
      </w:r>
      <w:r w:rsidR="00016673" w:rsidRPr="00DF54E5">
        <w:t xml:space="preserve">empirical </w:t>
      </w:r>
      <w:r w:rsidRPr="00DF54E5">
        <w:t xml:space="preserve">results with caution. </w:t>
      </w:r>
      <w:r w:rsidR="00DF52F2" w:rsidRPr="00DF54E5">
        <w:t xml:space="preserve">One is </w:t>
      </w:r>
      <w:r w:rsidR="00457E14" w:rsidRPr="00DF54E5">
        <w:t xml:space="preserve">our research hypothesis is </w:t>
      </w:r>
      <w:r w:rsidR="007B1535" w:rsidRPr="00DF54E5">
        <w:t xml:space="preserve">built </w:t>
      </w:r>
      <w:r w:rsidR="007D79A4" w:rsidRPr="00DF54E5">
        <w:t>based on</w:t>
      </w:r>
      <w:r w:rsidR="007B1535" w:rsidRPr="00DF54E5">
        <w:t xml:space="preserve"> </w:t>
      </w:r>
      <w:r w:rsidR="00457E14" w:rsidRPr="00DF54E5">
        <w:t xml:space="preserve">the argument that corporate executives </w:t>
      </w:r>
      <w:r w:rsidR="007B1535" w:rsidRPr="00DF54E5">
        <w:t xml:space="preserve">may </w:t>
      </w:r>
      <w:r w:rsidR="00457E14" w:rsidRPr="00DF54E5">
        <w:t xml:space="preserve">manipulate accounting information </w:t>
      </w:r>
      <w:r w:rsidR="00DF52F2" w:rsidRPr="00DF54E5">
        <w:t xml:space="preserve">to </w:t>
      </w:r>
      <w:r w:rsidR="007D79A4" w:rsidRPr="00DF54E5">
        <w:t>enrich</w:t>
      </w:r>
      <w:r w:rsidR="00457E14" w:rsidRPr="00DF54E5">
        <w:t xml:space="preserve"> their personal utilit</w:t>
      </w:r>
      <w:r w:rsidR="00DF52F2" w:rsidRPr="00DF54E5">
        <w:t xml:space="preserve">ies </w:t>
      </w:r>
      <w:r w:rsidR="007D79A4" w:rsidRPr="00DF54E5">
        <w:t>by</w:t>
      </w:r>
      <w:r w:rsidR="00DF52F2" w:rsidRPr="00DF54E5">
        <w:t xml:space="preserve"> taking </w:t>
      </w:r>
      <w:r w:rsidR="00EC3EB8" w:rsidRPr="00DF54E5">
        <w:t xml:space="preserve">risk </w:t>
      </w:r>
      <w:r w:rsidR="00016673">
        <w:t>preference</w:t>
      </w:r>
      <w:r w:rsidR="00016673" w:rsidRPr="00DF54E5">
        <w:t xml:space="preserve"> </w:t>
      </w:r>
      <w:r w:rsidR="00DF52F2" w:rsidRPr="00DF54E5">
        <w:t>into account</w:t>
      </w:r>
      <w:r w:rsidR="00EC3EB8" w:rsidRPr="00DF54E5">
        <w:t>. If th</w:t>
      </w:r>
      <w:r w:rsidR="007B1535" w:rsidRPr="00DF54E5">
        <w:t xml:space="preserve">is </w:t>
      </w:r>
      <w:r w:rsidR="00DF52F2" w:rsidRPr="00DF54E5">
        <w:t xml:space="preserve">assumption is valid, </w:t>
      </w:r>
      <w:r w:rsidR="00EC3EB8" w:rsidRPr="00DF54E5">
        <w:t>our findings</w:t>
      </w:r>
      <w:r w:rsidR="007B1535" w:rsidRPr="00DF54E5">
        <w:t xml:space="preserve"> </w:t>
      </w:r>
      <w:r w:rsidR="00DF52F2" w:rsidRPr="00DF54E5">
        <w:t>should</w:t>
      </w:r>
      <w:r w:rsidR="007B1535" w:rsidRPr="00DF54E5">
        <w:t xml:space="preserve"> have </w:t>
      </w:r>
      <w:r w:rsidR="00DF52F2" w:rsidRPr="00DF54E5">
        <w:t>crucial</w:t>
      </w:r>
      <w:r w:rsidR="002A4DD2" w:rsidRPr="00DF54E5">
        <w:t xml:space="preserve"> implications </w:t>
      </w:r>
      <w:r w:rsidR="00DF54E5" w:rsidRPr="00DF54E5">
        <w:t>for the us</w:t>
      </w:r>
      <w:r w:rsidR="00016673">
        <w:t>ag</w:t>
      </w:r>
      <w:r w:rsidR="00DF54E5" w:rsidRPr="00DF54E5">
        <w:t>e of discretionary accrual</w:t>
      </w:r>
      <w:r w:rsidR="00016673">
        <w:t>s</w:t>
      </w:r>
      <w:r w:rsidR="00DF54E5" w:rsidRPr="00DF54E5">
        <w:t xml:space="preserve"> in earnings management research</w:t>
      </w:r>
      <w:r w:rsidR="00DF54E5">
        <w:t xml:space="preserve"> </w:t>
      </w:r>
      <w:r w:rsidR="00016673">
        <w:t xml:space="preserve">because </w:t>
      </w:r>
      <w:r w:rsidR="007D79A4" w:rsidRPr="00DF54E5">
        <w:t xml:space="preserve">other unidentified </w:t>
      </w:r>
      <w:r w:rsidR="00DF52F2" w:rsidRPr="00DF54E5">
        <w:t xml:space="preserve">factors </w:t>
      </w:r>
      <w:r w:rsidR="007D79A4" w:rsidRPr="00DF54E5">
        <w:t xml:space="preserve">also </w:t>
      </w:r>
      <w:r w:rsidR="00DF52F2" w:rsidRPr="00DF54E5">
        <w:t xml:space="preserve">may </w:t>
      </w:r>
      <w:r w:rsidR="002A4DD2" w:rsidRPr="00DF54E5">
        <w:t>motivat</w:t>
      </w:r>
      <w:r w:rsidR="00DF52F2" w:rsidRPr="00DF54E5">
        <w:t xml:space="preserve">e executives </w:t>
      </w:r>
      <w:r w:rsidR="007B1535" w:rsidRPr="00DF54E5">
        <w:t xml:space="preserve">to </w:t>
      </w:r>
      <w:r w:rsidR="002A4DD2" w:rsidRPr="00DF54E5">
        <w:t>engag</w:t>
      </w:r>
      <w:r w:rsidR="007B1535" w:rsidRPr="00DF54E5">
        <w:t xml:space="preserve">e </w:t>
      </w:r>
      <w:r w:rsidR="002A4DD2" w:rsidRPr="00DF54E5">
        <w:t xml:space="preserve">in </w:t>
      </w:r>
      <w:r w:rsidR="006403B6" w:rsidRPr="00DF54E5">
        <w:t xml:space="preserve">earnings </w:t>
      </w:r>
      <w:r w:rsidR="002A4DD2" w:rsidRPr="00DF54E5">
        <w:t>man</w:t>
      </w:r>
      <w:r w:rsidR="007D79A4" w:rsidRPr="00DF54E5">
        <w:t>agement</w:t>
      </w:r>
      <w:r w:rsidR="00DF52F2" w:rsidRPr="00DF54E5">
        <w:t xml:space="preserve">. Hence, it would be worthwhile to </w:t>
      </w:r>
      <w:r w:rsidR="006403B6" w:rsidRPr="00DF54E5">
        <w:t>explor</w:t>
      </w:r>
      <w:r w:rsidR="00DF52F2" w:rsidRPr="00DF54E5">
        <w:t xml:space="preserve">e this possibility </w:t>
      </w:r>
      <w:r w:rsidR="007D79A4" w:rsidRPr="00DF54E5">
        <w:t>as part of</w:t>
      </w:r>
      <w:r w:rsidR="00DF52F2" w:rsidRPr="00DF54E5">
        <w:t xml:space="preserve"> their future </w:t>
      </w:r>
      <w:r w:rsidR="006403B6" w:rsidRPr="00DF54E5">
        <w:t xml:space="preserve">research </w:t>
      </w:r>
      <w:r w:rsidR="00DF52F2" w:rsidRPr="00DF54E5">
        <w:t xml:space="preserve">endeavors </w:t>
      </w:r>
      <w:r w:rsidR="002A4DD2" w:rsidRPr="00DF54E5">
        <w:t>(</w:t>
      </w:r>
      <w:r w:rsidR="00FE0B8A">
        <w:t>for example,</w:t>
      </w:r>
      <w:r w:rsidR="002A4DD2" w:rsidRPr="00DF54E5">
        <w:t xml:space="preserve"> Collins </w:t>
      </w:r>
      <w:r w:rsidR="002A4DD2" w:rsidRPr="00FE0B8A">
        <w:rPr>
          <w:i/>
        </w:rPr>
        <w:t>et al.</w:t>
      </w:r>
      <w:r w:rsidR="00FE0B8A">
        <w:t xml:space="preserve"> 2017</w:t>
      </w:r>
      <w:r w:rsidR="002A4DD2" w:rsidRPr="00DF54E5">
        <w:t xml:space="preserve"> </w:t>
      </w:r>
      <w:r w:rsidR="00FE0B8A">
        <w:t xml:space="preserve">and </w:t>
      </w:r>
      <w:r w:rsidR="002A4DD2" w:rsidRPr="00DF54E5">
        <w:t xml:space="preserve">Owens </w:t>
      </w:r>
      <w:r w:rsidR="002A4DD2" w:rsidRPr="00FE0B8A">
        <w:rPr>
          <w:i/>
        </w:rPr>
        <w:t>et al.</w:t>
      </w:r>
      <w:r w:rsidR="002A4DD2" w:rsidRPr="00DF54E5">
        <w:t xml:space="preserve"> 2017).</w:t>
      </w:r>
      <w:r w:rsidR="000D26B1" w:rsidRPr="00DF54E5">
        <w:t xml:space="preserve"> </w:t>
      </w:r>
      <w:r w:rsidR="007D79A4" w:rsidRPr="00DF54E5">
        <w:t xml:space="preserve">Another issue is that </w:t>
      </w:r>
      <w:r w:rsidR="00DC4D01" w:rsidRPr="00DF54E5">
        <w:t>the extant literature</w:t>
      </w:r>
      <w:r w:rsidR="000D26B1" w:rsidRPr="00DF54E5">
        <w:t xml:space="preserve"> show</w:t>
      </w:r>
      <w:r w:rsidR="00DC4D01" w:rsidRPr="00DF54E5">
        <w:t>s</w:t>
      </w:r>
      <w:r w:rsidR="000D26B1" w:rsidRPr="00DF54E5">
        <w:t xml:space="preserve"> </w:t>
      </w:r>
      <w:r w:rsidR="007B1535" w:rsidRPr="00DF54E5">
        <w:t xml:space="preserve">that firms may </w:t>
      </w:r>
      <w:r w:rsidR="000D26B1" w:rsidRPr="00DF54E5">
        <w:t>alter real activities</w:t>
      </w:r>
      <w:r w:rsidR="007D79A4" w:rsidRPr="00DF54E5">
        <w:t>, instead of using accounting accruals,</w:t>
      </w:r>
      <w:r w:rsidR="000D26B1" w:rsidRPr="00DF54E5">
        <w:t xml:space="preserve"> to manipulate earnings (</w:t>
      </w:r>
      <w:r w:rsidR="00FE0B8A">
        <w:t xml:space="preserve">for example, Roychowdhury 2006 and </w:t>
      </w:r>
      <w:r w:rsidR="000D26B1" w:rsidRPr="00DF54E5">
        <w:t xml:space="preserve">Graham </w:t>
      </w:r>
      <w:r w:rsidR="00FE0B8A">
        <w:rPr>
          <w:i/>
        </w:rPr>
        <w:t>et al.</w:t>
      </w:r>
      <w:r w:rsidR="000D26B1" w:rsidRPr="00DF54E5">
        <w:t xml:space="preserve"> 2005). </w:t>
      </w:r>
      <w:r w:rsidR="007D79A4" w:rsidRPr="00DF54E5">
        <w:t xml:space="preserve">To find out economic intuitions behind managerial choice between two earnings management methods, </w:t>
      </w:r>
      <w:r w:rsidR="00DC4D01" w:rsidRPr="00DF54E5">
        <w:t>researchers</w:t>
      </w:r>
      <w:r w:rsidR="00821AC3" w:rsidRPr="00DF54E5">
        <w:t xml:space="preserve"> </w:t>
      </w:r>
      <w:r w:rsidR="007D79A4" w:rsidRPr="00DF54E5">
        <w:t xml:space="preserve">are encouraged </w:t>
      </w:r>
      <w:r w:rsidR="007B1535" w:rsidRPr="00DF54E5">
        <w:t xml:space="preserve">to conduct </w:t>
      </w:r>
      <w:r w:rsidR="000D26B1" w:rsidRPr="00DF54E5">
        <w:t xml:space="preserve">comparative </w:t>
      </w:r>
      <w:r w:rsidR="00821AC3" w:rsidRPr="00DF54E5">
        <w:t>studies</w:t>
      </w:r>
      <w:r w:rsidR="007D79A4" w:rsidRPr="00DF54E5">
        <w:t>, so they can find out how th</w:t>
      </w:r>
      <w:r w:rsidR="00EE7B4D">
        <w:t xml:space="preserve">e </w:t>
      </w:r>
      <w:r w:rsidR="009073B8" w:rsidRPr="00DF54E5">
        <w:t xml:space="preserve">tradeoff </w:t>
      </w:r>
      <w:r w:rsidR="00EE7B4D">
        <w:t xml:space="preserve">between accounting accruals and real activities management </w:t>
      </w:r>
      <w:r w:rsidR="00DC4D01" w:rsidRPr="00DF54E5">
        <w:t>affects a firm’s operations and its financial performance</w:t>
      </w:r>
      <w:r w:rsidR="000D26B1" w:rsidRPr="00DF54E5">
        <w:t>.</w:t>
      </w:r>
      <w:r w:rsidR="000D26B1" w:rsidRPr="004D029F">
        <w:t xml:space="preserve">  </w:t>
      </w:r>
    </w:p>
    <w:p w:rsidR="00FE1E17" w:rsidRDefault="00FE1E17" w:rsidP="00FE1E17">
      <w:pPr>
        <w:widowControl/>
        <w:adjustRightInd w:val="0"/>
        <w:snapToGrid w:val="0"/>
        <w:spacing w:line="288" w:lineRule="auto"/>
        <w:ind w:firstLine="720"/>
        <w:jc w:val="both"/>
      </w:pPr>
    </w:p>
    <w:p w:rsidR="000D26B1" w:rsidRPr="004D029F" w:rsidRDefault="000D26B1" w:rsidP="00FE1E17">
      <w:pPr>
        <w:widowControl/>
        <w:adjustRightInd w:val="0"/>
        <w:snapToGrid w:val="0"/>
        <w:spacing w:line="288" w:lineRule="auto"/>
        <w:ind w:firstLine="720"/>
        <w:jc w:val="both"/>
      </w:pPr>
    </w:p>
    <w:p w:rsidR="00FE0B8A" w:rsidRDefault="00FE0B8A">
      <w:pPr>
        <w:widowControl/>
        <w:spacing w:after="160" w:line="259" w:lineRule="auto"/>
        <w:rPr>
          <w:b/>
        </w:rPr>
      </w:pPr>
      <w:r>
        <w:rPr>
          <w:b/>
        </w:rPr>
        <w:br w:type="page"/>
      </w:r>
    </w:p>
    <w:p w:rsidR="00975AA9" w:rsidRPr="00993909" w:rsidRDefault="000773E2" w:rsidP="00FE1E17">
      <w:pPr>
        <w:widowControl/>
        <w:spacing w:after="160" w:line="259" w:lineRule="auto"/>
        <w:jc w:val="both"/>
        <w:rPr>
          <w:b/>
        </w:rPr>
      </w:pPr>
      <w:r w:rsidRPr="00993909">
        <w:rPr>
          <w:b/>
        </w:rPr>
        <w:lastRenderedPageBreak/>
        <w:t>References</w:t>
      </w:r>
    </w:p>
    <w:p w:rsidR="000773E2" w:rsidRPr="00FE1E17" w:rsidRDefault="00073C4D" w:rsidP="00FE1E17">
      <w:pPr>
        <w:adjustRightInd w:val="0"/>
        <w:snapToGrid w:val="0"/>
        <w:ind w:left="330" w:hangingChars="150" w:hanging="330"/>
        <w:jc w:val="both"/>
        <w:rPr>
          <w:sz w:val="22"/>
          <w:szCs w:val="22"/>
        </w:rPr>
      </w:pPr>
      <w:r w:rsidRPr="00FE1E17">
        <w:rPr>
          <w:rFonts w:eastAsia="DFKai-SB"/>
          <w:sz w:val="22"/>
          <w:szCs w:val="22"/>
        </w:rPr>
        <w:t xml:space="preserve">Aboody, D., Johnson, </w:t>
      </w:r>
      <w:r w:rsidRPr="00FE1E17">
        <w:rPr>
          <w:sz w:val="22"/>
          <w:szCs w:val="22"/>
        </w:rPr>
        <w:t xml:space="preserve">N. B. </w:t>
      </w:r>
      <w:r w:rsidRPr="00FE1E17">
        <w:rPr>
          <w:rFonts w:eastAsia="DFKai-SB"/>
          <w:sz w:val="22"/>
          <w:szCs w:val="22"/>
        </w:rPr>
        <w:t xml:space="preserve">and Kasznik, </w:t>
      </w:r>
      <w:r w:rsidRPr="00FE1E17">
        <w:rPr>
          <w:sz w:val="22"/>
          <w:szCs w:val="22"/>
        </w:rPr>
        <w:t>R. (</w:t>
      </w:r>
      <w:r w:rsidRPr="00FE1E17">
        <w:rPr>
          <w:rFonts w:eastAsia="DFKai-SB"/>
          <w:sz w:val="22"/>
          <w:szCs w:val="22"/>
        </w:rPr>
        <w:t>2010</w:t>
      </w:r>
      <w:r w:rsidRPr="00FE1E17">
        <w:rPr>
          <w:sz w:val="22"/>
          <w:szCs w:val="22"/>
        </w:rPr>
        <w:t>)</w:t>
      </w:r>
      <w:r w:rsidRPr="00FE1E17">
        <w:rPr>
          <w:rFonts w:eastAsia="DFKai-SB"/>
          <w:sz w:val="22"/>
          <w:szCs w:val="22"/>
        </w:rPr>
        <w:t xml:space="preserve"> Employee stock options and future firm performance: Evidence from option repricings</w:t>
      </w:r>
      <w:r w:rsidRPr="00FE1E17">
        <w:rPr>
          <w:sz w:val="22"/>
          <w:szCs w:val="22"/>
        </w:rPr>
        <w:t>,</w:t>
      </w:r>
      <w:r w:rsidRPr="00FE1E17">
        <w:rPr>
          <w:rFonts w:eastAsia="DFKai-SB"/>
          <w:sz w:val="22"/>
          <w:szCs w:val="22"/>
        </w:rPr>
        <w:t xml:space="preserve"> </w:t>
      </w:r>
      <w:r w:rsidRPr="00FE1E17">
        <w:rPr>
          <w:rFonts w:eastAsia="DFKai-SB"/>
          <w:i/>
          <w:sz w:val="22"/>
          <w:szCs w:val="22"/>
        </w:rPr>
        <w:t>Journal of Accounting and Economics</w:t>
      </w:r>
      <w:r w:rsidRPr="00FE1E17">
        <w:rPr>
          <w:rFonts w:eastAsia="DFKai-SB"/>
          <w:sz w:val="22"/>
          <w:szCs w:val="22"/>
        </w:rPr>
        <w:t xml:space="preserve"> 50, 74-92.</w:t>
      </w:r>
    </w:p>
    <w:p w:rsidR="002E194E" w:rsidRPr="00FE1E17" w:rsidRDefault="002E194E" w:rsidP="00FE1E17">
      <w:pPr>
        <w:adjustRightInd w:val="0"/>
        <w:snapToGrid w:val="0"/>
        <w:ind w:left="330" w:hangingChars="150" w:hanging="330"/>
        <w:jc w:val="both"/>
        <w:rPr>
          <w:sz w:val="22"/>
          <w:szCs w:val="22"/>
        </w:rPr>
      </w:pPr>
      <w:r w:rsidRPr="00FE1E17">
        <w:rPr>
          <w:sz w:val="22"/>
          <w:szCs w:val="22"/>
        </w:rPr>
        <w:t xml:space="preserve">Ahmed, A. S., Neel, M. and Wang, D. (2013) Does mandatory adoption of IFRS improve accounting quality? Preliminary evidence, </w:t>
      </w:r>
      <w:r w:rsidRPr="00FE1E17">
        <w:rPr>
          <w:i/>
          <w:sz w:val="22"/>
          <w:szCs w:val="22"/>
        </w:rPr>
        <w:t>Contemporary Accounting Research</w:t>
      </w:r>
      <w:r w:rsidRPr="00FE1E17">
        <w:rPr>
          <w:sz w:val="22"/>
          <w:szCs w:val="22"/>
        </w:rPr>
        <w:t xml:space="preserve"> 30, 1344-1372.</w:t>
      </w:r>
    </w:p>
    <w:p w:rsidR="000773E2" w:rsidRPr="00FE1E17" w:rsidRDefault="000773E2" w:rsidP="00FE1E17">
      <w:pPr>
        <w:adjustRightInd w:val="0"/>
        <w:snapToGrid w:val="0"/>
        <w:spacing w:before="120"/>
        <w:ind w:left="519" w:hangingChars="236" w:hanging="519"/>
        <w:jc w:val="both"/>
        <w:rPr>
          <w:sz w:val="22"/>
          <w:szCs w:val="22"/>
        </w:rPr>
      </w:pPr>
      <w:r w:rsidRPr="00FE1E17">
        <w:rPr>
          <w:sz w:val="22"/>
          <w:szCs w:val="22"/>
        </w:rPr>
        <w:t xml:space="preserve">Armstronga, C. S., Blouina, J. L., Jagolinzerb, A. D., and Larckerc, D. F. (2015) Corporate governance, incentives, and tax avoidance, </w:t>
      </w:r>
      <w:r w:rsidRPr="00FE1E17">
        <w:rPr>
          <w:i/>
          <w:sz w:val="22"/>
          <w:szCs w:val="22"/>
        </w:rPr>
        <w:t>Journal of Accounting and Economics</w:t>
      </w:r>
      <w:r w:rsidRPr="00FE1E17">
        <w:rPr>
          <w:sz w:val="22"/>
          <w:szCs w:val="22"/>
        </w:rPr>
        <w:t xml:space="preserve"> 60, 1-17.</w:t>
      </w:r>
    </w:p>
    <w:p w:rsidR="000773E2" w:rsidRPr="00FE1E17" w:rsidRDefault="000773E2" w:rsidP="00FE1E17">
      <w:pPr>
        <w:adjustRightInd w:val="0"/>
        <w:snapToGrid w:val="0"/>
        <w:spacing w:before="120"/>
        <w:ind w:left="519" w:hangingChars="236" w:hanging="519"/>
        <w:jc w:val="both"/>
        <w:rPr>
          <w:sz w:val="22"/>
          <w:szCs w:val="22"/>
        </w:rPr>
      </w:pPr>
      <w:r w:rsidRPr="00FE1E17">
        <w:rPr>
          <w:sz w:val="22"/>
          <w:szCs w:val="22"/>
        </w:rPr>
        <w:t xml:space="preserve">Barberis, N., Huang, M. and Santos, T. (2001) Prospect theory and asset prices, </w:t>
      </w:r>
      <w:r w:rsidRPr="00FE1E17">
        <w:rPr>
          <w:i/>
          <w:sz w:val="22"/>
          <w:szCs w:val="22"/>
        </w:rPr>
        <w:t>Quarterly Journal of Economics</w:t>
      </w:r>
      <w:r w:rsidRPr="00FE1E17">
        <w:rPr>
          <w:sz w:val="22"/>
          <w:szCs w:val="22"/>
        </w:rPr>
        <w:t xml:space="preserve"> 116, 1-53. </w:t>
      </w:r>
    </w:p>
    <w:p w:rsidR="00487A51" w:rsidRPr="00FE1E17" w:rsidRDefault="00487A51" w:rsidP="00FE1E17">
      <w:pPr>
        <w:adjustRightInd w:val="0"/>
        <w:snapToGrid w:val="0"/>
        <w:spacing w:before="120"/>
        <w:ind w:left="519" w:hangingChars="236" w:hanging="519"/>
        <w:jc w:val="both"/>
        <w:rPr>
          <w:sz w:val="22"/>
          <w:szCs w:val="22"/>
        </w:rPr>
      </w:pPr>
      <w:r w:rsidRPr="00FE1E17">
        <w:rPr>
          <w:sz w:val="22"/>
          <w:szCs w:val="22"/>
        </w:rPr>
        <w:t xml:space="preserve">Bartov, E., Givoly, D. and Hayn, C. (2002) The rewards to meeting or beating earnings expectations, </w:t>
      </w:r>
      <w:r w:rsidRPr="00FE1E17">
        <w:rPr>
          <w:i/>
          <w:sz w:val="22"/>
          <w:szCs w:val="22"/>
        </w:rPr>
        <w:t>Journal of Accounting and Economics</w:t>
      </w:r>
      <w:r w:rsidRPr="00FE1E17">
        <w:rPr>
          <w:sz w:val="22"/>
          <w:szCs w:val="22"/>
        </w:rPr>
        <w:t xml:space="preserve"> 33, 173-204.  </w:t>
      </w:r>
    </w:p>
    <w:p w:rsidR="000773E2" w:rsidRPr="00FE1E17" w:rsidRDefault="000773E2" w:rsidP="00FE1E17">
      <w:pPr>
        <w:adjustRightInd w:val="0"/>
        <w:snapToGrid w:val="0"/>
        <w:spacing w:before="120"/>
        <w:ind w:left="519" w:hangingChars="236" w:hanging="519"/>
        <w:jc w:val="both"/>
        <w:rPr>
          <w:sz w:val="22"/>
          <w:szCs w:val="22"/>
        </w:rPr>
      </w:pPr>
      <w:r w:rsidRPr="00FE1E17">
        <w:rPr>
          <w:sz w:val="22"/>
          <w:szCs w:val="22"/>
        </w:rPr>
        <w:t xml:space="preserve">Battalio, </w:t>
      </w:r>
      <w:r w:rsidR="00891E66" w:rsidRPr="00FE1E17">
        <w:rPr>
          <w:sz w:val="22"/>
          <w:szCs w:val="22"/>
        </w:rPr>
        <w:t>R. C., Kagel, H. and Jiranyakul</w:t>
      </w:r>
      <w:r w:rsidRPr="00FE1E17">
        <w:rPr>
          <w:sz w:val="22"/>
          <w:szCs w:val="22"/>
        </w:rPr>
        <w:t>, K. (1990) Testing between alternative models of choice under uncertainty: Some initial results,</w:t>
      </w:r>
      <w:r w:rsidRPr="00FE1E17">
        <w:rPr>
          <w:i/>
          <w:sz w:val="22"/>
          <w:szCs w:val="22"/>
        </w:rPr>
        <w:t xml:space="preserve"> Journal of Risk and Uncertainty</w:t>
      </w:r>
      <w:r w:rsidRPr="00FE1E17">
        <w:rPr>
          <w:sz w:val="22"/>
          <w:szCs w:val="22"/>
        </w:rPr>
        <w:t xml:space="preserve"> 3, 25-50. </w:t>
      </w:r>
    </w:p>
    <w:p w:rsidR="000773E2" w:rsidRPr="00FE1E17" w:rsidRDefault="000773E2" w:rsidP="00FE1E17">
      <w:pPr>
        <w:adjustRightInd w:val="0"/>
        <w:snapToGrid w:val="0"/>
        <w:spacing w:before="120"/>
        <w:ind w:left="519" w:hangingChars="236" w:hanging="519"/>
        <w:jc w:val="both"/>
        <w:rPr>
          <w:sz w:val="22"/>
          <w:szCs w:val="22"/>
        </w:rPr>
      </w:pPr>
      <w:r w:rsidRPr="00FE1E17">
        <w:rPr>
          <w:rFonts w:eastAsia="DFKai-SB"/>
          <w:sz w:val="22"/>
          <w:szCs w:val="22"/>
        </w:rPr>
        <w:t xml:space="preserve">Beaver, W. H. (2002) Perspectives on recent capital market research, </w:t>
      </w:r>
      <w:r w:rsidRPr="00FE1E17">
        <w:rPr>
          <w:rFonts w:eastAsia="DFKai-SB"/>
          <w:i/>
          <w:sz w:val="22"/>
          <w:szCs w:val="22"/>
        </w:rPr>
        <w:t>Accounting Review</w:t>
      </w:r>
      <w:r w:rsidRPr="00FE1E17">
        <w:rPr>
          <w:rFonts w:eastAsia="DFKai-SB"/>
          <w:sz w:val="22"/>
          <w:szCs w:val="22"/>
        </w:rPr>
        <w:t xml:space="preserve"> (April), 453-474. </w:t>
      </w:r>
    </w:p>
    <w:p w:rsidR="000773E2" w:rsidRPr="00FE1E17" w:rsidRDefault="000773E2" w:rsidP="00FE1E17">
      <w:pPr>
        <w:adjustRightInd w:val="0"/>
        <w:snapToGrid w:val="0"/>
        <w:spacing w:before="120"/>
        <w:ind w:left="519" w:hangingChars="236" w:hanging="519"/>
        <w:jc w:val="both"/>
        <w:rPr>
          <w:sz w:val="22"/>
          <w:szCs w:val="22"/>
        </w:rPr>
      </w:pPr>
      <w:r w:rsidRPr="00FE1E17">
        <w:rPr>
          <w:sz w:val="22"/>
          <w:szCs w:val="22"/>
        </w:rPr>
        <w:t xml:space="preserve">Benartzi, S. and Thaler, R. (1995) Myopic loss aversion and the equity premium puzzle, </w:t>
      </w:r>
      <w:r w:rsidRPr="00FE1E17">
        <w:rPr>
          <w:i/>
          <w:sz w:val="22"/>
          <w:szCs w:val="22"/>
        </w:rPr>
        <w:t>Quarterly Journal of Economics</w:t>
      </w:r>
      <w:r w:rsidRPr="00FE1E17">
        <w:rPr>
          <w:sz w:val="22"/>
          <w:szCs w:val="22"/>
        </w:rPr>
        <w:t xml:space="preserve"> 110, 73-92. </w:t>
      </w:r>
    </w:p>
    <w:p w:rsidR="00DF0EE3" w:rsidRPr="00FE1E17" w:rsidRDefault="00DF0EE3" w:rsidP="00FE1E17">
      <w:pPr>
        <w:autoSpaceDE w:val="0"/>
        <w:autoSpaceDN w:val="0"/>
        <w:adjustRightInd w:val="0"/>
        <w:snapToGrid w:val="0"/>
        <w:spacing w:before="120"/>
        <w:ind w:left="519" w:hangingChars="236" w:hanging="519"/>
        <w:jc w:val="both"/>
        <w:rPr>
          <w:sz w:val="22"/>
          <w:szCs w:val="22"/>
        </w:rPr>
      </w:pPr>
      <w:r w:rsidRPr="00FE1E17">
        <w:rPr>
          <w:sz w:val="22"/>
          <w:szCs w:val="22"/>
        </w:rPr>
        <w:t xml:space="preserve">Brick, I. E., Palmon, O. and Wald, J. K. (2006) CEO compensation, director compensation, and firm performance: Evidence of cronyism? </w:t>
      </w:r>
      <w:r w:rsidRPr="00FE1E17">
        <w:rPr>
          <w:i/>
          <w:sz w:val="22"/>
          <w:szCs w:val="22"/>
        </w:rPr>
        <w:t>Journal of Corporate Finance</w:t>
      </w:r>
      <w:r w:rsidRPr="00FE1E17">
        <w:rPr>
          <w:sz w:val="22"/>
          <w:szCs w:val="22"/>
        </w:rPr>
        <w:t xml:space="preserve"> 12, 403-423. </w:t>
      </w:r>
    </w:p>
    <w:p w:rsidR="00DE620E" w:rsidRPr="00FE1E17" w:rsidRDefault="00DE620E" w:rsidP="00FE1E17">
      <w:pPr>
        <w:autoSpaceDE w:val="0"/>
        <w:autoSpaceDN w:val="0"/>
        <w:adjustRightInd w:val="0"/>
        <w:snapToGrid w:val="0"/>
        <w:spacing w:before="120"/>
        <w:ind w:left="519" w:hangingChars="236" w:hanging="519"/>
        <w:jc w:val="both"/>
        <w:rPr>
          <w:sz w:val="22"/>
          <w:szCs w:val="22"/>
        </w:rPr>
      </w:pPr>
      <w:r w:rsidRPr="00FE1E17">
        <w:rPr>
          <w:sz w:val="22"/>
          <w:szCs w:val="22"/>
        </w:rPr>
        <w:t xml:space="preserve">Brown, L. D., Griffin, P., Hagerman, R. and Zmije, M. (2001) A temporal analysis of earnings surprises: Profits vs. losses, </w:t>
      </w:r>
      <w:r w:rsidRPr="00FE1E17">
        <w:rPr>
          <w:i/>
          <w:sz w:val="22"/>
          <w:szCs w:val="22"/>
        </w:rPr>
        <w:t>Journal of Accounting Research</w:t>
      </w:r>
      <w:r w:rsidRPr="00FE1E17">
        <w:rPr>
          <w:sz w:val="22"/>
          <w:szCs w:val="22"/>
        </w:rPr>
        <w:t xml:space="preserve"> 39, 221-241.</w:t>
      </w:r>
    </w:p>
    <w:p w:rsidR="00487A51" w:rsidRPr="00FE1E17" w:rsidRDefault="00487A51" w:rsidP="00FE1E17">
      <w:pPr>
        <w:autoSpaceDE w:val="0"/>
        <w:autoSpaceDN w:val="0"/>
        <w:adjustRightInd w:val="0"/>
        <w:snapToGrid w:val="0"/>
        <w:spacing w:before="120"/>
        <w:ind w:left="519" w:hangingChars="236" w:hanging="519"/>
        <w:jc w:val="both"/>
        <w:rPr>
          <w:sz w:val="22"/>
          <w:szCs w:val="22"/>
        </w:rPr>
      </w:pPr>
      <w:r w:rsidRPr="00FE1E17">
        <w:rPr>
          <w:sz w:val="22"/>
          <w:szCs w:val="22"/>
        </w:rPr>
        <w:t xml:space="preserve">Burgstahler, D. and Eames, M. (2006) Management of earnings and analysts' forecasts to achieve zero and small positive earnings surprises, </w:t>
      </w:r>
      <w:r w:rsidRPr="00FE1E17">
        <w:rPr>
          <w:i/>
          <w:sz w:val="22"/>
          <w:szCs w:val="22"/>
        </w:rPr>
        <w:t>Journal of Business Finance and Accounting</w:t>
      </w:r>
      <w:r w:rsidRPr="00FE1E17">
        <w:rPr>
          <w:sz w:val="22"/>
          <w:szCs w:val="22"/>
        </w:rPr>
        <w:t xml:space="preserve"> 33, 633-652.</w:t>
      </w:r>
    </w:p>
    <w:p w:rsidR="005163EC" w:rsidRPr="00FE1E17" w:rsidRDefault="005163EC" w:rsidP="00FE1E17">
      <w:pPr>
        <w:autoSpaceDE w:val="0"/>
        <w:autoSpaceDN w:val="0"/>
        <w:adjustRightInd w:val="0"/>
        <w:snapToGrid w:val="0"/>
        <w:spacing w:before="120"/>
        <w:ind w:left="519" w:hangingChars="236" w:hanging="519"/>
        <w:jc w:val="both"/>
        <w:rPr>
          <w:sz w:val="22"/>
          <w:szCs w:val="22"/>
        </w:rPr>
      </w:pPr>
      <w:r w:rsidRPr="00FE1E17">
        <w:rPr>
          <w:sz w:val="22"/>
          <w:szCs w:val="22"/>
        </w:rPr>
        <w:t xml:space="preserve">Chen, H., Tang, Q., Jiang, Y. and Lin, Z. (2010) The role of international financial reporting standards in accounting quality: Evidence from the European Union, </w:t>
      </w:r>
      <w:r w:rsidRPr="00FE1E17">
        <w:rPr>
          <w:i/>
          <w:sz w:val="22"/>
          <w:szCs w:val="22"/>
        </w:rPr>
        <w:t>Journal of International Financial Management and Accounting</w:t>
      </w:r>
      <w:r w:rsidRPr="00FE1E17">
        <w:rPr>
          <w:sz w:val="22"/>
          <w:szCs w:val="22"/>
        </w:rPr>
        <w:t xml:space="preserve"> 21, 220-278.</w:t>
      </w:r>
    </w:p>
    <w:p w:rsidR="000D26B1" w:rsidRPr="00FE1E17" w:rsidRDefault="000D26B1" w:rsidP="00FE1E17">
      <w:pPr>
        <w:adjustRightInd w:val="0"/>
        <w:snapToGrid w:val="0"/>
        <w:spacing w:before="120"/>
        <w:ind w:left="519" w:hangingChars="236" w:hanging="519"/>
        <w:jc w:val="both"/>
        <w:rPr>
          <w:rFonts w:eastAsia="DFKai-SB"/>
          <w:sz w:val="22"/>
          <w:szCs w:val="22"/>
        </w:rPr>
      </w:pPr>
      <w:r w:rsidRPr="00FE1E17">
        <w:rPr>
          <w:rFonts w:eastAsia="DFKai-SB"/>
          <w:sz w:val="22"/>
          <w:szCs w:val="22"/>
          <w:lang w:val="en-NZ"/>
        </w:rPr>
        <w:t>Collins</w:t>
      </w:r>
      <w:r w:rsidR="002060C5" w:rsidRPr="00FE1E17">
        <w:rPr>
          <w:rFonts w:eastAsia="DFKai-SB"/>
          <w:sz w:val="22"/>
          <w:szCs w:val="22"/>
          <w:lang w:val="en-NZ"/>
        </w:rPr>
        <w:t xml:space="preserve">, D. W., Pungaliya, R. S. and Vijh, A. M. (2017) </w:t>
      </w:r>
      <w:r w:rsidRPr="00FE1E17">
        <w:rPr>
          <w:rFonts w:eastAsia="DFKai-SB"/>
          <w:sz w:val="22"/>
          <w:szCs w:val="22"/>
        </w:rPr>
        <w:t xml:space="preserve">The </w:t>
      </w:r>
      <w:r w:rsidR="002060C5" w:rsidRPr="00FE1E17">
        <w:rPr>
          <w:rFonts w:eastAsia="DFKai-SB"/>
          <w:sz w:val="22"/>
          <w:szCs w:val="22"/>
        </w:rPr>
        <w:t>e</w:t>
      </w:r>
      <w:r w:rsidRPr="00FE1E17">
        <w:rPr>
          <w:rFonts w:eastAsia="DFKai-SB"/>
          <w:sz w:val="22"/>
          <w:szCs w:val="22"/>
        </w:rPr>
        <w:t xml:space="preserve">ffects of </w:t>
      </w:r>
      <w:r w:rsidR="002060C5" w:rsidRPr="00FE1E17">
        <w:rPr>
          <w:rFonts w:eastAsia="DFKai-SB"/>
          <w:sz w:val="22"/>
          <w:szCs w:val="22"/>
        </w:rPr>
        <w:t>f</w:t>
      </w:r>
      <w:r w:rsidRPr="00FE1E17">
        <w:rPr>
          <w:rFonts w:eastAsia="DFKai-SB"/>
          <w:sz w:val="22"/>
          <w:szCs w:val="22"/>
        </w:rPr>
        <w:t xml:space="preserve">irm </w:t>
      </w:r>
      <w:r w:rsidR="002060C5" w:rsidRPr="00FE1E17">
        <w:rPr>
          <w:rFonts w:eastAsia="DFKai-SB"/>
          <w:sz w:val="22"/>
          <w:szCs w:val="22"/>
        </w:rPr>
        <w:t>g</w:t>
      </w:r>
      <w:r w:rsidRPr="00FE1E17">
        <w:rPr>
          <w:rFonts w:eastAsia="DFKai-SB"/>
          <w:sz w:val="22"/>
          <w:szCs w:val="22"/>
        </w:rPr>
        <w:t xml:space="preserve">rowth and </w:t>
      </w:r>
      <w:r w:rsidR="002060C5" w:rsidRPr="00FE1E17">
        <w:rPr>
          <w:rFonts w:eastAsia="DFKai-SB"/>
          <w:sz w:val="22"/>
          <w:szCs w:val="22"/>
        </w:rPr>
        <w:t>m</w:t>
      </w:r>
      <w:r w:rsidRPr="00FE1E17">
        <w:rPr>
          <w:rFonts w:eastAsia="DFKai-SB"/>
          <w:sz w:val="22"/>
          <w:szCs w:val="22"/>
        </w:rPr>
        <w:t xml:space="preserve">odel </w:t>
      </w:r>
      <w:r w:rsidR="002060C5" w:rsidRPr="00FE1E17">
        <w:rPr>
          <w:rFonts w:eastAsia="DFKai-SB"/>
          <w:sz w:val="22"/>
          <w:szCs w:val="22"/>
        </w:rPr>
        <w:t>s</w:t>
      </w:r>
      <w:r w:rsidRPr="00FE1E17">
        <w:rPr>
          <w:rFonts w:eastAsia="DFKai-SB"/>
          <w:sz w:val="22"/>
          <w:szCs w:val="22"/>
        </w:rPr>
        <w:t xml:space="preserve">pecification </w:t>
      </w:r>
      <w:r w:rsidR="002060C5" w:rsidRPr="00FE1E17">
        <w:rPr>
          <w:rFonts w:eastAsia="DFKai-SB"/>
          <w:sz w:val="22"/>
          <w:szCs w:val="22"/>
        </w:rPr>
        <w:t>c</w:t>
      </w:r>
      <w:r w:rsidRPr="00FE1E17">
        <w:rPr>
          <w:rFonts w:eastAsia="DFKai-SB"/>
          <w:sz w:val="22"/>
          <w:szCs w:val="22"/>
        </w:rPr>
        <w:t xml:space="preserve">hoices on </w:t>
      </w:r>
      <w:r w:rsidR="002060C5" w:rsidRPr="00FE1E17">
        <w:rPr>
          <w:rFonts w:eastAsia="DFKai-SB"/>
          <w:sz w:val="22"/>
          <w:szCs w:val="22"/>
        </w:rPr>
        <w:t>t</w:t>
      </w:r>
      <w:r w:rsidRPr="00FE1E17">
        <w:rPr>
          <w:rFonts w:eastAsia="DFKai-SB"/>
          <w:sz w:val="22"/>
          <w:szCs w:val="22"/>
        </w:rPr>
        <w:t xml:space="preserve">ests of </w:t>
      </w:r>
      <w:r w:rsidR="002060C5" w:rsidRPr="00FE1E17">
        <w:rPr>
          <w:rFonts w:eastAsia="DFKai-SB"/>
          <w:sz w:val="22"/>
          <w:szCs w:val="22"/>
        </w:rPr>
        <w:t>e</w:t>
      </w:r>
      <w:r w:rsidRPr="00FE1E17">
        <w:rPr>
          <w:rFonts w:eastAsia="DFKai-SB"/>
          <w:sz w:val="22"/>
          <w:szCs w:val="22"/>
        </w:rPr>
        <w:t xml:space="preserve">arnings </w:t>
      </w:r>
      <w:r w:rsidR="002060C5" w:rsidRPr="00FE1E17">
        <w:rPr>
          <w:rFonts w:eastAsia="DFKai-SB"/>
          <w:sz w:val="22"/>
          <w:szCs w:val="22"/>
        </w:rPr>
        <w:t>m</w:t>
      </w:r>
      <w:r w:rsidRPr="00FE1E17">
        <w:rPr>
          <w:rFonts w:eastAsia="DFKai-SB"/>
          <w:sz w:val="22"/>
          <w:szCs w:val="22"/>
        </w:rPr>
        <w:t xml:space="preserve">anagement in </w:t>
      </w:r>
      <w:r w:rsidR="002060C5" w:rsidRPr="00FE1E17">
        <w:rPr>
          <w:rFonts w:eastAsia="DFKai-SB"/>
          <w:sz w:val="22"/>
          <w:szCs w:val="22"/>
        </w:rPr>
        <w:t>q</w:t>
      </w:r>
      <w:r w:rsidRPr="00FE1E17">
        <w:rPr>
          <w:rFonts w:eastAsia="DFKai-SB"/>
          <w:sz w:val="22"/>
          <w:szCs w:val="22"/>
        </w:rPr>
        <w:t xml:space="preserve">uarterly </w:t>
      </w:r>
      <w:r w:rsidR="002060C5" w:rsidRPr="00FE1E17">
        <w:rPr>
          <w:rFonts w:eastAsia="DFKai-SB"/>
          <w:sz w:val="22"/>
          <w:szCs w:val="22"/>
        </w:rPr>
        <w:t>s</w:t>
      </w:r>
      <w:r w:rsidRPr="00FE1E17">
        <w:rPr>
          <w:rFonts w:eastAsia="DFKai-SB"/>
          <w:sz w:val="22"/>
          <w:szCs w:val="22"/>
        </w:rPr>
        <w:t>ettings</w:t>
      </w:r>
      <w:r w:rsidR="002060C5" w:rsidRPr="00FE1E17">
        <w:rPr>
          <w:rFonts w:eastAsia="DFKai-SB"/>
          <w:sz w:val="22"/>
          <w:szCs w:val="22"/>
        </w:rPr>
        <w:t>,</w:t>
      </w:r>
      <w:r w:rsidRPr="00FE1E17">
        <w:rPr>
          <w:rFonts w:eastAsia="DFKai-SB"/>
          <w:sz w:val="22"/>
          <w:szCs w:val="22"/>
        </w:rPr>
        <w:t xml:space="preserve"> </w:t>
      </w:r>
      <w:r w:rsidRPr="00FE1E17">
        <w:rPr>
          <w:rFonts w:eastAsia="DFKai-SB"/>
          <w:i/>
          <w:iCs/>
          <w:sz w:val="22"/>
          <w:szCs w:val="22"/>
        </w:rPr>
        <w:t>The Accounting Review</w:t>
      </w:r>
      <w:r w:rsidR="002060C5" w:rsidRPr="00FE1E17">
        <w:rPr>
          <w:rFonts w:eastAsia="DFKai-SB"/>
          <w:sz w:val="22"/>
          <w:szCs w:val="22"/>
        </w:rPr>
        <w:t xml:space="preserve"> 92, </w:t>
      </w:r>
      <w:r w:rsidRPr="00FE1E17">
        <w:rPr>
          <w:rFonts w:eastAsia="DFKai-SB"/>
          <w:sz w:val="22"/>
          <w:szCs w:val="22"/>
        </w:rPr>
        <w:t>69-</w:t>
      </w:r>
      <w:r w:rsidR="00DE022C" w:rsidRPr="00FE1E17">
        <w:rPr>
          <w:rFonts w:eastAsia="DFKai-SB"/>
          <w:sz w:val="22"/>
          <w:szCs w:val="22"/>
        </w:rPr>
        <w:t>10</w:t>
      </w:r>
      <w:r w:rsidRPr="00FE1E17">
        <w:rPr>
          <w:rFonts w:eastAsia="DFKai-SB"/>
          <w:sz w:val="22"/>
          <w:szCs w:val="22"/>
        </w:rPr>
        <w:t>0.</w:t>
      </w:r>
      <w:r w:rsidR="002060C5" w:rsidRPr="00FE1E17">
        <w:rPr>
          <w:rFonts w:eastAsia="DFKai-SB"/>
          <w:sz w:val="22"/>
          <w:szCs w:val="22"/>
        </w:rPr>
        <w:t xml:space="preserve"> </w:t>
      </w:r>
    </w:p>
    <w:p w:rsidR="000773E2" w:rsidRPr="00FE1E17" w:rsidRDefault="000773E2" w:rsidP="00FE1E17">
      <w:pPr>
        <w:adjustRightInd w:val="0"/>
        <w:snapToGrid w:val="0"/>
        <w:spacing w:before="120"/>
        <w:ind w:left="519" w:hangingChars="236" w:hanging="519"/>
        <w:jc w:val="both"/>
        <w:rPr>
          <w:rFonts w:eastAsia="DFKai-SB"/>
          <w:sz w:val="22"/>
          <w:szCs w:val="22"/>
        </w:rPr>
      </w:pPr>
      <w:r w:rsidRPr="00FE1E17">
        <w:rPr>
          <w:rFonts w:eastAsia="DFKai-SB"/>
          <w:sz w:val="22"/>
          <w:szCs w:val="22"/>
        </w:rPr>
        <w:t xml:space="preserve">Cohen, D. A., Dey, A. and Lys, T. Z. (2005) Trends in earnings management and informativeness of earnings announcements in the pre- and post-Sarbanes Oxley periods. Available at SSRN: </w:t>
      </w:r>
      <w:r w:rsidRPr="002A61C1">
        <w:rPr>
          <w:rFonts w:eastAsia="DFKai-SB"/>
          <w:sz w:val="22"/>
          <w:szCs w:val="22"/>
        </w:rPr>
        <w:t>http://ssrn.com/abstract=658782S</w:t>
      </w:r>
      <w:r w:rsidRPr="00FE1E17">
        <w:rPr>
          <w:rFonts w:eastAsia="DFKai-SB"/>
          <w:sz w:val="22"/>
          <w:szCs w:val="22"/>
        </w:rPr>
        <w:t>.</w:t>
      </w:r>
    </w:p>
    <w:p w:rsidR="000773E2" w:rsidRPr="00FE1E17" w:rsidRDefault="000773E2" w:rsidP="00FE1E17">
      <w:pPr>
        <w:adjustRightInd w:val="0"/>
        <w:snapToGrid w:val="0"/>
        <w:spacing w:before="120"/>
        <w:ind w:left="519" w:hangingChars="236" w:hanging="519"/>
        <w:jc w:val="both"/>
        <w:rPr>
          <w:rFonts w:eastAsia="DFKai-SB"/>
          <w:sz w:val="22"/>
          <w:szCs w:val="22"/>
        </w:rPr>
      </w:pPr>
      <w:r w:rsidRPr="00FE1E17">
        <w:rPr>
          <w:rFonts w:eastAsia="DFKai-SB"/>
          <w:sz w:val="22"/>
          <w:szCs w:val="22"/>
        </w:rPr>
        <w:t xml:space="preserve">Dechow, P. M. and Skinner, D. J. (2000) Earnings management: Reconciling the views of accounting academics, practitioners and regulators, </w:t>
      </w:r>
      <w:r w:rsidRPr="00FE1E17">
        <w:rPr>
          <w:rFonts w:eastAsia="DFKai-SB"/>
          <w:i/>
          <w:sz w:val="22"/>
          <w:szCs w:val="22"/>
        </w:rPr>
        <w:t>Accounting Horizons</w:t>
      </w:r>
      <w:r w:rsidRPr="00FE1E17">
        <w:rPr>
          <w:rFonts w:eastAsia="DFKai-SB"/>
          <w:sz w:val="22"/>
          <w:szCs w:val="22"/>
        </w:rPr>
        <w:t xml:space="preserve"> (June), 235-250. </w:t>
      </w:r>
    </w:p>
    <w:p w:rsidR="000773E2" w:rsidRPr="00FE1E17" w:rsidRDefault="000773E2" w:rsidP="00FE1E17">
      <w:pPr>
        <w:adjustRightInd w:val="0"/>
        <w:snapToGrid w:val="0"/>
        <w:spacing w:before="120"/>
        <w:ind w:left="519" w:hangingChars="236" w:hanging="519"/>
        <w:jc w:val="both"/>
        <w:rPr>
          <w:rFonts w:eastAsia="DFKai-SB"/>
          <w:sz w:val="22"/>
          <w:szCs w:val="22"/>
        </w:rPr>
      </w:pPr>
      <w:r w:rsidRPr="00FE1E17">
        <w:rPr>
          <w:rFonts w:eastAsia="DFKai-SB"/>
          <w:sz w:val="22"/>
          <w:szCs w:val="22"/>
        </w:rPr>
        <w:t xml:space="preserve">Dechow, P. M. W. Ge, and Skinner, D. J. (2010) Understand earnings quality: A review of proxies, their determinants and their consequences. </w:t>
      </w:r>
      <w:r w:rsidRPr="00FE1E17">
        <w:rPr>
          <w:rFonts w:eastAsia="DFKai-SB"/>
          <w:i/>
          <w:sz w:val="22"/>
          <w:szCs w:val="22"/>
        </w:rPr>
        <w:t>Journal of Accounting and Economics</w:t>
      </w:r>
      <w:r w:rsidRPr="00FE1E17">
        <w:rPr>
          <w:rFonts w:eastAsia="DFKai-SB"/>
          <w:sz w:val="22"/>
          <w:szCs w:val="22"/>
        </w:rPr>
        <w:t xml:space="preserve"> 50(2-3): 344-401.</w:t>
      </w:r>
    </w:p>
    <w:p w:rsidR="000773E2" w:rsidRPr="00FE1E17" w:rsidRDefault="000773E2" w:rsidP="00FE1E17">
      <w:pPr>
        <w:adjustRightInd w:val="0"/>
        <w:snapToGrid w:val="0"/>
        <w:spacing w:before="120"/>
        <w:ind w:left="519" w:hangingChars="236" w:hanging="519"/>
        <w:jc w:val="both"/>
        <w:rPr>
          <w:rFonts w:eastAsia="DFKai-SB"/>
          <w:sz w:val="22"/>
          <w:szCs w:val="22"/>
        </w:rPr>
      </w:pPr>
      <w:r w:rsidRPr="00FE1E17">
        <w:rPr>
          <w:rFonts w:eastAsia="DFKai-SB"/>
          <w:sz w:val="22"/>
          <w:szCs w:val="22"/>
        </w:rPr>
        <w:t xml:space="preserve">Fama, E. F., and French, K. R. (1992) The cross-section of expected stock returns, </w:t>
      </w:r>
      <w:r w:rsidRPr="00FE1E17">
        <w:rPr>
          <w:rFonts w:eastAsia="DFKai-SB"/>
          <w:i/>
          <w:sz w:val="22"/>
          <w:szCs w:val="22"/>
        </w:rPr>
        <w:t>Journal of Finance</w:t>
      </w:r>
      <w:r w:rsidRPr="00FE1E17">
        <w:rPr>
          <w:rFonts w:eastAsia="DFKai-SB"/>
          <w:sz w:val="22"/>
          <w:szCs w:val="22"/>
        </w:rPr>
        <w:t xml:space="preserve"> 47, 427-465.</w:t>
      </w:r>
    </w:p>
    <w:p w:rsidR="000773E2" w:rsidRPr="00FE1E17" w:rsidRDefault="000773E2" w:rsidP="00FE1E17">
      <w:pPr>
        <w:adjustRightInd w:val="0"/>
        <w:snapToGrid w:val="0"/>
        <w:spacing w:before="120"/>
        <w:ind w:left="519" w:hangingChars="236" w:hanging="519"/>
        <w:jc w:val="both"/>
        <w:rPr>
          <w:rFonts w:eastAsia="DFKai-SB"/>
          <w:sz w:val="22"/>
          <w:szCs w:val="22"/>
        </w:rPr>
      </w:pPr>
      <w:r w:rsidRPr="00FE1E17">
        <w:rPr>
          <w:rFonts w:eastAsia="DFKai-SB"/>
          <w:sz w:val="22"/>
          <w:szCs w:val="22"/>
        </w:rPr>
        <w:t xml:space="preserve">Fama, E. F., and French, K. R. (1993) Common risk factors in the returns on stocks and bonds, </w:t>
      </w:r>
      <w:r w:rsidRPr="00FE1E17">
        <w:rPr>
          <w:rFonts w:eastAsia="DFKai-SB"/>
          <w:i/>
          <w:sz w:val="22"/>
          <w:szCs w:val="22"/>
        </w:rPr>
        <w:t>Journal of Financial Economics</w:t>
      </w:r>
      <w:r w:rsidRPr="00FE1E17">
        <w:rPr>
          <w:rFonts w:eastAsia="DFKai-SB"/>
          <w:sz w:val="22"/>
          <w:szCs w:val="22"/>
        </w:rPr>
        <w:t xml:space="preserve"> 33, 3-57</w:t>
      </w:r>
    </w:p>
    <w:p w:rsidR="000773E2" w:rsidRPr="00FE1E17" w:rsidRDefault="000773E2" w:rsidP="00FE1E17">
      <w:pPr>
        <w:adjustRightInd w:val="0"/>
        <w:snapToGrid w:val="0"/>
        <w:spacing w:before="120"/>
        <w:ind w:left="519" w:hangingChars="236" w:hanging="519"/>
        <w:jc w:val="both"/>
        <w:rPr>
          <w:sz w:val="22"/>
          <w:szCs w:val="22"/>
        </w:rPr>
      </w:pPr>
      <w:r w:rsidRPr="00FE1E17">
        <w:rPr>
          <w:sz w:val="22"/>
          <w:szCs w:val="22"/>
        </w:rPr>
        <w:t xml:space="preserve">Ferris, S. P., Haugen, R. A. and Makhija, A. K. (1988) Predicting contemporary volume with historic volume at differential price levels: Evidence supporting the disposition effect, </w:t>
      </w:r>
      <w:r w:rsidRPr="00FE1E17">
        <w:rPr>
          <w:i/>
          <w:sz w:val="22"/>
          <w:szCs w:val="22"/>
        </w:rPr>
        <w:t>Journal of Finance</w:t>
      </w:r>
      <w:r w:rsidRPr="00FE1E17">
        <w:rPr>
          <w:sz w:val="22"/>
          <w:szCs w:val="22"/>
        </w:rPr>
        <w:t xml:space="preserve"> 43, 677-697. </w:t>
      </w:r>
    </w:p>
    <w:p w:rsidR="00FE0B8A" w:rsidRDefault="00FE0B8A">
      <w:pPr>
        <w:widowControl/>
        <w:spacing w:after="160" w:line="259" w:lineRule="auto"/>
        <w:rPr>
          <w:sz w:val="22"/>
          <w:szCs w:val="22"/>
        </w:rPr>
      </w:pPr>
      <w:r>
        <w:rPr>
          <w:sz w:val="22"/>
          <w:szCs w:val="22"/>
        </w:rPr>
        <w:br w:type="page"/>
      </w:r>
    </w:p>
    <w:p w:rsidR="004E63BC" w:rsidRPr="00FE1E17" w:rsidRDefault="004E63BC" w:rsidP="00FE1E17">
      <w:pPr>
        <w:adjustRightInd w:val="0"/>
        <w:snapToGrid w:val="0"/>
        <w:spacing w:before="120"/>
        <w:ind w:left="519" w:hangingChars="236" w:hanging="519"/>
        <w:jc w:val="both"/>
        <w:rPr>
          <w:sz w:val="22"/>
          <w:szCs w:val="22"/>
        </w:rPr>
      </w:pPr>
      <w:r w:rsidRPr="00FE1E17">
        <w:rPr>
          <w:sz w:val="22"/>
          <w:szCs w:val="22"/>
        </w:rPr>
        <w:lastRenderedPageBreak/>
        <w:t xml:space="preserve">Fiegenbaum, A. (1990) Prospect theory and the risk-return association: An empirical examination in 85 industries, </w:t>
      </w:r>
      <w:r w:rsidRPr="00FE1E17">
        <w:rPr>
          <w:i/>
          <w:iCs/>
          <w:sz w:val="22"/>
          <w:szCs w:val="22"/>
        </w:rPr>
        <w:t>Journal of Economic Behavior and Organization</w:t>
      </w:r>
      <w:r w:rsidRPr="00FE1E17">
        <w:rPr>
          <w:sz w:val="22"/>
          <w:szCs w:val="22"/>
        </w:rPr>
        <w:t xml:space="preserve"> 14, 187-203.</w:t>
      </w:r>
    </w:p>
    <w:p w:rsidR="005163EC" w:rsidRPr="00FE1E17" w:rsidRDefault="005163EC" w:rsidP="00FE1E17">
      <w:pPr>
        <w:adjustRightInd w:val="0"/>
        <w:snapToGrid w:val="0"/>
        <w:spacing w:before="120"/>
        <w:ind w:left="519" w:hangingChars="236" w:hanging="519"/>
        <w:jc w:val="both"/>
        <w:rPr>
          <w:sz w:val="22"/>
          <w:szCs w:val="22"/>
        </w:rPr>
      </w:pPr>
      <w:r w:rsidRPr="00FE1E17">
        <w:rPr>
          <w:sz w:val="22"/>
          <w:szCs w:val="22"/>
        </w:rPr>
        <w:t xml:space="preserve">Frankel, R. M., Johnson, M. F. and Nelson, K. K. (2002) The relation between auditors' fees for nonaudit services and earnings management, </w:t>
      </w:r>
      <w:r w:rsidRPr="00FE1E17">
        <w:rPr>
          <w:i/>
          <w:sz w:val="22"/>
          <w:szCs w:val="22"/>
        </w:rPr>
        <w:t xml:space="preserve">The Accounting Review </w:t>
      </w:r>
      <w:r w:rsidRPr="00FE1E17">
        <w:rPr>
          <w:sz w:val="22"/>
          <w:szCs w:val="22"/>
        </w:rPr>
        <w:t>77, 71-105.</w:t>
      </w:r>
    </w:p>
    <w:p w:rsidR="000773E2" w:rsidRPr="00FE1E17" w:rsidRDefault="000773E2" w:rsidP="00FE1E17">
      <w:pPr>
        <w:adjustRightInd w:val="0"/>
        <w:snapToGrid w:val="0"/>
        <w:spacing w:before="120"/>
        <w:ind w:left="519" w:hangingChars="236" w:hanging="519"/>
        <w:jc w:val="both"/>
        <w:rPr>
          <w:sz w:val="22"/>
          <w:szCs w:val="22"/>
        </w:rPr>
      </w:pPr>
      <w:r w:rsidRPr="00FE1E17">
        <w:rPr>
          <w:sz w:val="22"/>
          <w:szCs w:val="22"/>
        </w:rPr>
        <w:t>Gomes, F. J. (2005) Portfolio choice and trading volume with loss</w:t>
      </w:r>
      <w:r w:rsidRPr="00FE1E17">
        <w:rPr>
          <w:rFonts w:ascii="Cambria Math" w:eastAsia="SimSun" w:hAnsi="Cambria Math" w:cs="Cambria Math"/>
          <w:sz w:val="22"/>
          <w:szCs w:val="22"/>
        </w:rPr>
        <w:t>‐</w:t>
      </w:r>
      <w:r w:rsidRPr="00FE1E17">
        <w:rPr>
          <w:sz w:val="22"/>
          <w:szCs w:val="22"/>
        </w:rPr>
        <w:t>averse investors,</w:t>
      </w:r>
      <w:r w:rsidRPr="00FE1E17">
        <w:rPr>
          <w:i/>
          <w:sz w:val="22"/>
          <w:szCs w:val="22"/>
        </w:rPr>
        <w:t xml:space="preserve"> Journal of Business</w:t>
      </w:r>
      <w:r w:rsidRPr="00FE1E17">
        <w:rPr>
          <w:sz w:val="22"/>
          <w:szCs w:val="22"/>
        </w:rPr>
        <w:t xml:space="preserve"> 78, 675-706. </w:t>
      </w:r>
    </w:p>
    <w:p w:rsidR="000773E2" w:rsidRPr="00FE1E17" w:rsidRDefault="000773E2" w:rsidP="00FE1E17">
      <w:pPr>
        <w:adjustRightInd w:val="0"/>
        <w:snapToGrid w:val="0"/>
        <w:spacing w:before="120"/>
        <w:ind w:left="519" w:hangingChars="236" w:hanging="519"/>
        <w:jc w:val="both"/>
        <w:rPr>
          <w:rFonts w:eastAsia="DFKai-SB"/>
          <w:color w:val="FF0000"/>
          <w:sz w:val="22"/>
          <w:szCs w:val="22"/>
        </w:rPr>
      </w:pPr>
      <w:r w:rsidRPr="00FE1E17">
        <w:rPr>
          <w:rFonts w:eastAsia="DFKai-SB"/>
          <w:sz w:val="22"/>
          <w:szCs w:val="22"/>
        </w:rPr>
        <w:t xml:space="preserve">Graham, J. R., C. R. Harvey, and S. Rajgopal (2005) The economic implications of corporate financial reporting, </w:t>
      </w:r>
      <w:r w:rsidRPr="00FE1E17">
        <w:rPr>
          <w:rFonts w:eastAsia="DFKai-SB"/>
          <w:i/>
          <w:sz w:val="22"/>
          <w:szCs w:val="22"/>
        </w:rPr>
        <w:t>Journal of Accounting and Economics</w:t>
      </w:r>
      <w:r w:rsidRPr="00FE1E17">
        <w:rPr>
          <w:rFonts w:eastAsia="DFKai-SB"/>
          <w:sz w:val="22"/>
          <w:szCs w:val="22"/>
        </w:rPr>
        <w:t xml:space="preserve"> 40, 3-73.</w:t>
      </w:r>
    </w:p>
    <w:p w:rsidR="00073C4D" w:rsidRPr="00FE1E17" w:rsidRDefault="00073C4D" w:rsidP="00FE1E17">
      <w:pPr>
        <w:adjustRightInd w:val="0"/>
        <w:snapToGrid w:val="0"/>
        <w:spacing w:before="120"/>
        <w:ind w:left="519" w:hangingChars="236" w:hanging="519"/>
        <w:jc w:val="both"/>
        <w:rPr>
          <w:sz w:val="22"/>
          <w:szCs w:val="22"/>
        </w:rPr>
      </w:pPr>
      <w:r w:rsidRPr="00FE1E17">
        <w:rPr>
          <w:sz w:val="22"/>
          <w:szCs w:val="22"/>
        </w:rPr>
        <w:t xml:space="preserve">Hall, B. J. (2000) What you need to know about stock options. </w:t>
      </w:r>
      <w:r w:rsidRPr="00FE1E17">
        <w:rPr>
          <w:i/>
          <w:sz w:val="22"/>
          <w:szCs w:val="22"/>
        </w:rPr>
        <w:t xml:space="preserve">Harvard Business Review </w:t>
      </w:r>
      <w:r w:rsidRPr="00FE1E17">
        <w:rPr>
          <w:sz w:val="22"/>
          <w:szCs w:val="22"/>
        </w:rPr>
        <w:t>(March-April), 121-129.</w:t>
      </w:r>
    </w:p>
    <w:p w:rsidR="00E10E05" w:rsidRPr="00FE1E17" w:rsidRDefault="00E10E05" w:rsidP="00FE1E17">
      <w:pPr>
        <w:adjustRightInd w:val="0"/>
        <w:snapToGrid w:val="0"/>
        <w:spacing w:before="120"/>
        <w:ind w:left="519" w:hangingChars="236" w:hanging="519"/>
        <w:jc w:val="both"/>
        <w:rPr>
          <w:rFonts w:eastAsia="DFKai-SB"/>
          <w:sz w:val="22"/>
          <w:szCs w:val="22"/>
        </w:rPr>
      </w:pPr>
      <w:r w:rsidRPr="00FE1E17">
        <w:rPr>
          <w:rFonts w:eastAsia="DFKai-SB"/>
          <w:sz w:val="22"/>
          <w:szCs w:val="22"/>
        </w:rPr>
        <w:t xml:space="preserve">Healy, P.M. and Palepu, K.G. (1993) The effect of firms’ financial disclosure strategies on stock prices, </w:t>
      </w:r>
      <w:r w:rsidRPr="00FE1E17">
        <w:rPr>
          <w:rFonts w:eastAsia="DFKai-SB"/>
          <w:i/>
          <w:iCs/>
          <w:sz w:val="22"/>
          <w:szCs w:val="22"/>
        </w:rPr>
        <w:t>Accounting Horizons</w:t>
      </w:r>
      <w:r w:rsidRPr="00FE1E17">
        <w:rPr>
          <w:rFonts w:eastAsia="DFKai-SB"/>
          <w:sz w:val="22"/>
          <w:szCs w:val="22"/>
        </w:rPr>
        <w:t xml:space="preserve"> 7, 1-11.</w:t>
      </w:r>
    </w:p>
    <w:p w:rsidR="000773E2" w:rsidRPr="00FE1E17" w:rsidRDefault="000773E2" w:rsidP="00FE1E17">
      <w:pPr>
        <w:adjustRightInd w:val="0"/>
        <w:snapToGrid w:val="0"/>
        <w:spacing w:before="120"/>
        <w:ind w:left="519" w:hangingChars="236" w:hanging="519"/>
        <w:jc w:val="both"/>
        <w:rPr>
          <w:sz w:val="22"/>
          <w:szCs w:val="22"/>
        </w:rPr>
      </w:pPr>
      <w:r w:rsidRPr="00FE1E17">
        <w:rPr>
          <w:sz w:val="22"/>
          <w:szCs w:val="22"/>
        </w:rPr>
        <w:t xml:space="preserve">Heckman, J. J. (1979) Sample selection bias as a specification error, </w:t>
      </w:r>
      <w:r w:rsidRPr="00FE1E17">
        <w:rPr>
          <w:i/>
          <w:sz w:val="22"/>
          <w:szCs w:val="22"/>
        </w:rPr>
        <w:t>Econometrica</w:t>
      </w:r>
      <w:r w:rsidRPr="00FE1E17">
        <w:rPr>
          <w:sz w:val="22"/>
          <w:szCs w:val="22"/>
        </w:rPr>
        <w:t xml:space="preserve"> 47, 153-161.</w:t>
      </w:r>
    </w:p>
    <w:p w:rsidR="00F408FE" w:rsidRPr="00FE1E17" w:rsidRDefault="00F408FE" w:rsidP="00FE1E17">
      <w:pPr>
        <w:adjustRightInd w:val="0"/>
        <w:snapToGrid w:val="0"/>
        <w:spacing w:before="120"/>
        <w:ind w:left="519" w:hangingChars="236" w:hanging="519"/>
        <w:jc w:val="both"/>
        <w:rPr>
          <w:sz w:val="22"/>
          <w:szCs w:val="22"/>
        </w:rPr>
      </w:pPr>
      <w:r w:rsidRPr="00FE1E17">
        <w:rPr>
          <w:sz w:val="22"/>
          <w:szCs w:val="22"/>
        </w:rPr>
        <w:t xml:space="preserve">Horton J., Serafeim, G. and Serafeim, I. (2013) Does mandatory IFRS adoption improve the information environment? </w:t>
      </w:r>
      <w:r w:rsidRPr="00FE1E17">
        <w:rPr>
          <w:i/>
          <w:sz w:val="22"/>
          <w:szCs w:val="22"/>
        </w:rPr>
        <w:t>Contemporary Accounting Research</w:t>
      </w:r>
      <w:r w:rsidRPr="00FE1E17">
        <w:rPr>
          <w:sz w:val="22"/>
          <w:szCs w:val="22"/>
        </w:rPr>
        <w:t xml:space="preserve"> 30 388-423 .</w:t>
      </w:r>
    </w:p>
    <w:p w:rsidR="000773E2" w:rsidRPr="00FE1E17" w:rsidRDefault="000773E2" w:rsidP="00FE1E17">
      <w:pPr>
        <w:adjustRightInd w:val="0"/>
        <w:snapToGrid w:val="0"/>
        <w:spacing w:before="120"/>
        <w:ind w:left="519" w:hangingChars="236" w:hanging="519"/>
        <w:jc w:val="both"/>
        <w:rPr>
          <w:rFonts w:eastAsia="DFKai-SB"/>
          <w:sz w:val="22"/>
          <w:szCs w:val="22"/>
        </w:rPr>
      </w:pPr>
      <w:r w:rsidRPr="00FE1E17">
        <w:rPr>
          <w:rFonts w:eastAsia="DFKai-SB"/>
          <w:sz w:val="22"/>
          <w:szCs w:val="22"/>
        </w:rPr>
        <w:t xml:space="preserve">Jiraporn, P., Miller, G. A., Yoon, S. S., and Kim, Y. S. (2008) Is earnings management opportunistic or beneficial? An agency theory perspective, </w:t>
      </w:r>
      <w:r w:rsidRPr="00FE1E17">
        <w:rPr>
          <w:rFonts w:eastAsia="DFKai-SB"/>
          <w:i/>
          <w:sz w:val="22"/>
          <w:szCs w:val="22"/>
        </w:rPr>
        <w:t>International Review of Financial Analysis</w:t>
      </w:r>
      <w:r w:rsidRPr="00FE1E17">
        <w:rPr>
          <w:rFonts w:eastAsia="DFKai-SB"/>
          <w:sz w:val="22"/>
          <w:szCs w:val="22"/>
        </w:rPr>
        <w:t xml:space="preserve"> 17, 622-634.</w:t>
      </w:r>
    </w:p>
    <w:p w:rsidR="000773E2" w:rsidRPr="00FE1E17" w:rsidRDefault="000773E2" w:rsidP="00FE1E17">
      <w:pPr>
        <w:adjustRightInd w:val="0"/>
        <w:snapToGrid w:val="0"/>
        <w:spacing w:before="120"/>
        <w:ind w:left="519" w:hangingChars="236" w:hanging="519"/>
        <w:jc w:val="both"/>
        <w:rPr>
          <w:sz w:val="22"/>
          <w:szCs w:val="22"/>
        </w:rPr>
      </w:pPr>
      <w:r w:rsidRPr="00FE1E17">
        <w:rPr>
          <w:rFonts w:eastAsia="DFKai-SB"/>
          <w:sz w:val="22"/>
          <w:szCs w:val="22"/>
        </w:rPr>
        <w:t xml:space="preserve">Jones, J. J. (1991) Earnings management during import relief investigations, </w:t>
      </w:r>
      <w:r w:rsidRPr="00FE1E17">
        <w:rPr>
          <w:rFonts w:eastAsia="DFKai-SB"/>
          <w:i/>
          <w:sz w:val="22"/>
          <w:szCs w:val="22"/>
        </w:rPr>
        <w:t>Journal of Accounting Research</w:t>
      </w:r>
      <w:r w:rsidRPr="00FE1E17">
        <w:rPr>
          <w:rFonts w:eastAsia="DFKai-SB"/>
          <w:sz w:val="22"/>
          <w:szCs w:val="22"/>
        </w:rPr>
        <w:t xml:space="preserve"> 29, 193-228.</w:t>
      </w:r>
    </w:p>
    <w:p w:rsidR="000773E2" w:rsidRPr="00FE1E17" w:rsidRDefault="000773E2" w:rsidP="00FE1E17">
      <w:pPr>
        <w:adjustRightInd w:val="0"/>
        <w:snapToGrid w:val="0"/>
        <w:spacing w:before="120"/>
        <w:ind w:left="519" w:hangingChars="236" w:hanging="519"/>
        <w:jc w:val="both"/>
        <w:rPr>
          <w:sz w:val="22"/>
          <w:szCs w:val="22"/>
        </w:rPr>
      </w:pPr>
      <w:r w:rsidRPr="00FE1E17">
        <w:rPr>
          <w:sz w:val="22"/>
          <w:szCs w:val="22"/>
        </w:rPr>
        <w:t xml:space="preserve">Kahneman, D. and Tversky, A. (1979) Prospect theory: An analysis of decision under risk, </w:t>
      </w:r>
      <w:r w:rsidRPr="00FE1E17">
        <w:rPr>
          <w:i/>
          <w:sz w:val="22"/>
          <w:szCs w:val="22"/>
        </w:rPr>
        <w:t>Econometrica</w:t>
      </w:r>
      <w:r w:rsidRPr="00FE1E17">
        <w:rPr>
          <w:sz w:val="22"/>
          <w:szCs w:val="22"/>
        </w:rPr>
        <w:t xml:space="preserve"> 47, 263-292.</w:t>
      </w:r>
    </w:p>
    <w:p w:rsidR="004E63BC" w:rsidRPr="00FE1E17" w:rsidRDefault="004E63BC" w:rsidP="00FE1E17">
      <w:pPr>
        <w:adjustRightInd w:val="0"/>
        <w:snapToGrid w:val="0"/>
        <w:spacing w:before="120"/>
        <w:ind w:left="519" w:hangingChars="236" w:hanging="519"/>
        <w:jc w:val="both"/>
        <w:rPr>
          <w:sz w:val="22"/>
          <w:szCs w:val="22"/>
          <w:lang w:val="en-NZ"/>
        </w:rPr>
      </w:pPr>
      <w:r w:rsidRPr="00FE1E17">
        <w:rPr>
          <w:sz w:val="22"/>
          <w:szCs w:val="22"/>
          <w:lang w:val="en-NZ"/>
        </w:rPr>
        <w:t xml:space="preserve">Kairies-Schwarz, N., Kokot, J., Vomhof, M. and Weßling, J. (2017) Health insurance choice and risk preferences under cumulative prospect theory – an experiment, </w:t>
      </w:r>
      <w:r w:rsidRPr="00FE1E17">
        <w:rPr>
          <w:i/>
          <w:iCs/>
          <w:sz w:val="22"/>
          <w:szCs w:val="22"/>
          <w:lang w:val="en-NZ"/>
        </w:rPr>
        <w:t xml:space="preserve">Journal of Economic Behavior and Organization </w:t>
      </w:r>
      <w:r w:rsidRPr="00FE1E17">
        <w:rPr>
          <w:sz w:val="22"/>
          <w:szCs w:val="22"/>
          <w:lang w:val="en-NZ"/>
        </w:rPr>
        <w:t xml:space="preserve">137, 374-397. </w:t>
      </w:r>
    </w:p>
    <w:p w:rsidR="000773E2" w:rsidRPr="00FE1E17" w:rsidRDefault="004E63BC" w:rsidP="00FE1E17">
      <w:pPr>
        <w:adjustRightInd w:val="0"/>
        <w:snapToGrid w:val="0"/>
        <w:spacing w:before="120"/>
        <w:ind w:left="519" w:hangingChars="236" w:hanging="519"/>
        <w:jc w:val="both"/>
        <w:rPr>
          <w:sz w:val="22"/>
          <w:szCs w:val="22"/>
        </w:rPr>
      </w:pPr>
      <w:r w:rsidRPr="00FE1E17">
        <w:rPr>
          <w:sz w:val="22"/>
          <w:szCs w:val="22"/>
          <w:lang w:val="en-NZ"/>
        </w:rPr>
        <w:t xml:space="preserve"> </w:t>
      </w:r>
      <w:r w:rsidR="000773E2" w:rsidRPr="00FE1E17">
        <w:rPr>
          <w:rFonts w:eastAsia="DFKai-SB"/>
          <w:sz w:val="22"/>
          <w:szCs w:val="22"/>
        </w:rPr>
        <w:t xml:space="preserve">Kirschenheiter, M. and Melumad, N. D. (2002) Can “big bath” and earnings smoothing co-exist as equilibrium financial reporting strategies? </w:t>
      </w:r>
      <w:r w:rsidR="000773E2" w:rsidRPr="00FE1E17">
        <w:rPr>
          <w:rFonts w:eastAsia="DFKai-SB"/>
          <w:i/>
          <w:sz w:val="22"/>
          <w:szCs w:val="22"/>
        </w:rPr>
        <w:t>Journal of Accounting Research</w:t>
      </w:r>
      <w:r w:rsidR="000773E2" w:rsidRPr="00FE1E17">
        <w:rPr>
          <w:rFonts w:eastAsia="DFKai-SB"/>
          <w:sz w:val="22"/>
          <w:szCs w:val="22"/>
        </w:rPr>
        <w:t xml:space="preserve"> 40, 761-796. </w:t>
      </w:r>
    </w:p>
    <w:p w:rsidR="000773E2" w:rsidRPr="00FE1E17" w:rsidRDefault="000773E2" w:rsidP="00FE1E17">
      <w:pPr>
        <w:autoSpaceDE w:val="0"/>
        <w:autoSpaceDN w:val="0"/>
        <w:adjustRightInd w:val="0"/>
        <w:snapToGrid w:val="0"/>
        <w:spacing w:before="120"/>
        <w:ind w:left="519" w:hangingChars="236" w:hanging="519"/>
        <w:jc w:val="both"/>
        <w:rPr>
          <w:sz w:val="22"/>
          <w:szCs w:val="22"/>
        </w:rPr>
      </w:pPr>
      <w:r w:rsidRPr="00FE1E17">
        <w:rPr>
          <w:rFonts w:eastAsia="DFKai-SB"/>
          <w:sz w:val="22"/>
          <w:szCs w:val="22"/>
        </w:rPr>
        <w:t xml:space="preserve">Klein, A. (2002) Audit committee, board of director characteristics, and earnings management, </w:t>
      </w:r>
      <w:r w:rsidRPr="00FE1E17">
        <w:rPr>
          <w:rFonts w:eastAsia="DFKai-SB"/>
          <w:i/>
          <w:sz w:val="22"/>
          <w:szCs w:val="22"/>
        </w:rPr>
        <w:t>Journal of Accounting and Economics</w:t>
      </w:r>
      <w:r w:rsidRPr="00FE1E17">
        <w:rPr>
          <w:rFonts w:eastAsia="DFKai-SB"/>
          <w:sz w:val="22"/>
          <w:szCs w:val="22"/>
        </w:rPr>
        <w:t xml:space="preserve"> 33, 375-400.</w:t>
      </w:r>
    </w:p>
    <w:p w:rsidR="000773E2" w:rsidRPr="00FE1E17" w:rsidRDefault="000773E2" w:rsidP="00FE1E17">
      <w:pPr>
        <w:adjustRightInd w:val="0"/>
        <w:snapToGrid w:val="0"/>
        <w:spacing w:before="120"/>
        <w:ind w:left="519" w:hangingChars="236" w:hanging="519"/>
        <w:jc w:val="both"/>
        <w:rPr>
          <w:sz w:val="22"/>
          <w:szCs w:val="22"/>
        </w:rPr>
      </w:pPr>
      <w:r w:rsidRPr="00FE1E17">
        <w:rPr>
          <w:sz w:val="22"/>
          <w:szCs w:val="22"/>
        </w:rPr>
        <w:t xml:space="preserve">Kliger, D. and Tsur, I. (2011) Prospect theory and risk-seeking behavior by troubled firms, </w:t>
      </w:r>
      <w:r w:rsidRPr="00FE1E17">
        <w:rPr>
          <w:i/>
          <w:sz w:val="22"/>
          <w:szCs w:val="22"/>
        </w:rPr>
        <w:t>Journal of Behavioral Finance</w:t>
      </w:r>
      <w:r w:rsidRPr="00FE1E17">
        <w:rPr>
          <w:sz w:val="22"/>
          <w:szCs w:val="22"/>
        </w:rPr>
        <w:t xml:space="preserve"> 12, 29-40. </w:t>
      </w:r>
    </w:p>
    <w:p w:rsidR="000773E2" w:rsidRPr="00FE1E17" w:rsidRDefault="000773E2" w:rsidP="00FE1E17">
      <w:pPr>
        <w:adjustRightInd w:val="0"/>
        <w:snapToGrid w:val="0"/>
        <w:spacing w:before="120"/>
        <w:ind w:left="519" w:hangingChars="236" w:hanging="519"/>
        <w:jc w:val="both"/>
        <w:rPr>
          <w:rFonts w:eastAsia="DFKai-SB"/>
          <w:sz w:val="22"/>
          <w:szCs w:val="22"/>
        </w:rPr>
      </w:pPr>
      <w:r w:rsidRPr="00FE1E17">
        <w:rPr>
          <w:kern w:val="0"/>
          <w:sz w:val="22"/>
          <w:szCs w:val="22"/>
          <w:lang w:eastAsia="zh-CN"/>
        </w:rPr>
        <w:t xml:space="preserve">Koenker, R., and Bassett, G. (1978) Regression Quantiles, </w:t>
      </w:r>
      <w:r w:rsidRPr="00FE1E17">
        <w:rPr>
          <w:i/>
          <w:iCs/>
          <w:kern w:val="0"/>
          <w:sz w:val="22"/>
          <w:szCs w:val="22"/>
          <w:lang w:eastAsia="zh-CN"/>
        </w:rPr>
        <w:t>Econometrica</w:t>
      </w:r>
      <w:r w:rsidRPr="00FE1E17">
        <w:rPr>
          <w:kern w:val="0"/>
          <w:sz w:val="22"/>
          <w:szCs w:val="22"/>
          <w:lang w:eastAsia="zh-CN"/>
        </w:rPr>
        <w:t xml:space="preserve"> 46, 33-50.</w:t>
      </w:r>
    </w:p>
    <w:p w:rsidR="000773E2" w:rsidRPr="00FE1E17" w:rsidRDefault="000773E2" w:rsidP="00FE1E17">
      <w:pPr>
        <w:adjustRightInd w:val="0"/>
        <w:snapToGrid w:val="0"/>
        <w:spacing w:before="120"/>
        <w:ind w:left="519" w:hangingChars="236" w:hanging="519"/>
        <w:jc w:val="both"/>
        <w:rPr>
          <w:rFonts w:eastAsia="DFKai-SB"/>
          <w:sz w:val="22"/>
          <w:szCs w:val="22"/>
        </w:rPr>
      </w:pPr>
      <w:r w:rsidRPr="00FE1E17">
        <w:rPr>
          <w:rFonts w:eastAsia="DFKai-SB"/>
          <w:sz w:val="22"/>
          <w:szCs w:val="22"/>
        </w:rPr>
        <w:t xml:space="preserve">Koenker, R. and Hallock, K. F. (2001) Quantile Regression, </w:t>
      </w:r>
      <w:r w:rsidRPr="00FE1E17">
        <w:rPr>
          <w:rFonts w:eastAsia="DFKai-SB"/>
          <w:i/>
          <w:sz w:val="22"/>
          <w:szCs w:val="22"/>
        </w:rPr>
        <w:t>Journal of Economic Perspectives</w:t>
      </w:r>
      <w:r w:rsidRPr="00FE1E17">
        <w:rPr>
          <w:rFonts w:eastAsia="DFKai-SB"/>
          <w:sz w:val="22"/>
          <w:szCs w:val="22"/>
        </w:rPr>
        <w:t xml:space="preserve"> 15, 143-156.</w:t>
      </w:r>
    </w:p>
    <w:p w:rsidR="000773E2" w:rsidRPr="00FE1E17" w:rsidRDefault="000773E2" w:rsidP="00FE1E17">
      <w:pPr>
        <w:adjustRightInd w:val="0"/>
        <w:snapToGrid w:val="0"/>
        <w:spacing w:before="120"/>
        <w:ind w:left="519" w:hangingChars="236" w:hanging="519"/>
        <w:jc w:val="both"/>
        <w:rPr>
          <w:rFonts w:eastAsia="DFKai-SB"/>
          <w:sz w:val="22"/>
          <w:szCs w:val="22"/>
        </w:rPr>
      </w:pPr>
      <w:r w:rsidRPr="00FE1E17">
        <w:rPr>
          <w:rFonts w:eastAsia="DFKai-SB"/>
          <w:sz w:val="22"/>
          <w:szCs w:val="22"/>
        </w:rPr>
        <w:t xml:space="preserve">Kothari, S. P., Leone, A. J. and Wasley, C. E. (2005) Performance matched discretionary accrual measures, </w:t>
      </w:r>
      <w:r w:rsidRPr="00FE1E17">
        <w:rPr>
          <w:rFonts w:eastAsia="DFKai-SB"/>
          <w:i/>
          <w:sz w:val="22"/>
          <w:szCs w:val="22"/>
        </w:rPr>
        <w:t>Journal of Accounting and Economics</w:t>
      </w:r>
      <w:r w:rsidRPr="00FE1E17">
        <w:rPr>
          <w:rFonts w:eastAsia="DFKai-SB"/>
          <w:sz w:val="22"/>
          <w:szCs w:val="22"/>
        </w:rPr>
        <w:t xml:space="preserve"> 39, 163-197. </w:t>
      </w:r>
    </w:p>
    <w:p w:rsidR="000773E2" w:rsidRPr="00FE1E17" w:rsidRDefault="000773E2" w:rsidP="00FE1E17">
      <w:pPr>
        <w:adjustRightInd w:val="0"/>
        <w:snapToGrid w:val="0"/>
        <w:spacing w:before="120"/>
        <w:ind w:left="519" w:hangingChars="236" w:hanging="519"/>
        <w:jc w:val="both"/>
        <w:rPr>
          <w:sz w:val="22"/>
          <w:szCs w:val="22"/>
        </w:rPr>
      </w:pPr>
      <w:r w:rsidRPr="00FE1E17">
        <w:rPr>
          <w:rFonts w:eastAsia="DFKai-SB"/>
          <w:sz w:val="22"/>
          <w:szCs w:val="22"/>
        </w:rPr>
        <w:t xml:space="preserve">Larcker, D. F., Richardson, S. A. and Tuna, I. (2007) Corporate governance, accounting outcomes, and organizational performance, </w:t>
      </w:r>
      <w:r w:rsidRPr="00FE1E17">
        <w:rPr>
          <w:rFonts w:eastAsia="DFKai-SB"/>
          <w:i/>
          <w:sz w:val="22"/>
          <w:szCs w:val="22"/>
        </w:rPr>
        <w:t>The Accounting Review</w:t>
      </w:r>
      <w:r w:rsidRPr="00FE1E17">
        <w:rPr>
          <w:rFonts w:eastAsia="DFKai-SB"/>
          <w:sz w:val="22"/>
          <w:szCs w:val="22"/>
        </w:rPr>
        <w:t xml:space="preserve"> 82, 963-1008.</w:t>
      </w:r>
    </w:p>
    <w:p w:rsidR="000773E2" w:rsidRPr="00FE1E17" w:rsidRDefault="000773E2" w:rsidP="00FE1E17">
      <w:pPr>
        <w:adjustRightInd w:val="0"/>
        <w:snapToGrid w:val="0"/>
        <w:spacing w:before="120"/>
        <w:ind w:left="519" w:hangingChars="236" w:hanging="519"/>
        <w:jc w:val="both"/>
        <w:rPr>
          <w:sz w:val="22"/>
          <w:szCs w:val="22"/>
        </w:rPr>
      </w:pPr>
      <w:r w:rsidRPr="00FE1E17">
        <w:rPr>
          <w:sz w:val="22"/>
          <w:szCs w:val="22"/>
        </w:rPr>
        <w:t xml:space="preserve">Lehner, J. M. (2000) Shifts of reference points for framing of strategic decisions and changing risk-return associations, </w:t>
      </w:r>
      <w:r w:rsidRPr="00FE1E17">
        <w:rPr>
          <w:i/>
          <w:sz w:val="22"/>
          <w:szCs w:val="22"/>
        </w:rPr>
        <w:t>Management Science</w:t>
      </w:r>
      <w:r w:rsidRPr="00FE1E17">
        <w:rPr>
          <w:sz w:val="22"/>
          <w:szCs w:val="22"/>
        </w:rPr>
        <w:t xml:space="preserve"> 46, 63-76.</w:t>
      </w:r>
    </w:p>
    <w:p w:rsidR="000773E2" w:rsidRPr="00FE1E17" w:rsidRDefault="000773E2" w:rsidP="00FE1E17">
      <w:pPr>
        <w:adjustRightInd w:val="0"/>
        <w:snapToGrid w:val="0"/>
        <w:spacing w:before="120"/>
        <w:ind w:left="519" w:hangingChars="236" w:hanging="519"/>
        <w:rPr>
          <w:sz w:val="22"/>
          <w:szCs w:val="22"/>
        </w:rPr>
      </w:pPr>
      <w:r w:rsidRPr="00FE1E17">
        <w:rPr>
          <w:sz w:val="22"/>
          <w:szCs w:val="22"/>
        </w:rPr>
        <w:t xml:space="preserve">Leuz, C., Nanda, D. and Wysocki, P. (2003) Earnings management and investor protection: An international comparison, </w:t>
      </w:r>
      <w:r w:rsidRPr="00FE1E17">
        <w:rPr>
          <w:i/>
          <w:iCs/>
          <w:sz w:val="22"/>
          <w:szCs w:val="22"/>
        </w:rPr>
        <w:t>Journal of Financial Economics</w:t>
      </w:r>
      <w:r w:rsidRPr="00FE1E17">
        <w:rPr>
          <w:sz w:val="22"/>
          <w:szCs w:val="22"/>
        </w:rPr>
        <w:t xml:space="preserve"> 69, 505-527.</w:t>
      </w:r>
    </w:p>
    <w:p w:rsidR="000773E2" w:rsidRPr="00FE1E17" w:rsidRDefault="000773E2" w:rsidP="00FE1E17">
      <w:pPr>
        <w:adjustRightInd w:val="0"/>
        <w:snapToGrid w:val="0"/>
        <w:spacing w:before="120"/>
        <w:ind w:left="519" w:hangingChars="236" w:hanging="519"/>
        <w:jc w:val="both"/>
        <w:rPr>
          <w:sz w:val="22"/>
          <w:szCs w:val="22"/>
        </w:rPr>
      </w:pPr>
      <w:r w:rsidRPr="00FE1E17">
        <w:rPr>
          <w:sz w:val="22"/>
          <w:szCs w:val="22"/>
        </w:rPr>
        <w:t xml:space="preserve">Levy, H., DeGiorgi, E. and Hens, T. (2012) Two paradigms and Nobel prizes in economics: a contradiction or coexistence? </w:t>
      </w:r>
      <w:r w:rsidRPr="00FE1E17">
        <w:rPr>
          <w:i/>
          <w:sz w:val="22"/>
          <w:szCs w:val="22"/>
        </w:rPr>
        <w:t>European Financial Management</w:t>
      </w:r>
      <w:r w:rsidRPr="00FE1E17">
        <w:rPr>
          <w:sz w:val="22"/>
          <w:szCs w:val="22"/>
        </w:rPr>
        <w:t xml:space="preserve"> 18, 163-182. </w:t>
      </w:r>
    </w:p>
    <w:p w:rsidR="00FE0B8A" w:rsidRDefault="00FE0B8A">
      <w:pPr>
        <w:widowControl/>
        <w:spacing w:after="160" w:line="259" w:lineRule="auto"/>
        <w:rPr>
          <w:sz w:val="22"/>
          <w:szCs w:val="22"/>
        </w:rPr>
      </w:pPr>
      <w:r>
        <w:rPr>
          <w:sz w:val="22"/>
          <w:szCs w:val="22"/>
        </w:rPr>
        <w:br w:type="page"/>
      </w:r>
    </w:p>
    <w:p w:rsidR="000773E2" w:rsidRPr="00FE1E17" w:rsidRDefault="000773E2" w:rsidP="00FE1E17">
      <w:pPr>
        <w:adjustRightInd w:val="0"/>
        <w:snapToGrid w:val="0"/>
        <w:spacing w:before="120"/>
        <w:ind w:left="519" w:hangingChars="236" w:hanging="519"/>
        <w:jc w:val="both"/>
        <w:rPr>
          <w:sz w:val="22"/>
          <w:szCs w:val="22"/>
        </w:rPr>
      </w:pPr>
      <w:r w:rsidRPr="00FE1E17">
        <w:rPr>
          <w:sz w:val="22"/>
          <w:szCs w:val="22"/>
        </w:rPr>
        <w:lastRenderedPageBreak/>
        <w:t xml:space="preserve">Levy, M. and Levy, H. (2002) Prospect theory: Much ado about nothing? </w:t>
      </w:r>
      <w:r w:rsidRPr="00FE1E17">
        <w:rPr>
          <w:i/>
          <w:sz w:val="22"/>
          <w:szCs w:val="22"/>
        </w:rPr>
        <w:t>Management Science</w:t>
      </w:r>
      <w:r w:rsidRPr="00FE1E17">
        <w:rPr>
          <w:sz w:val="22"/>
          <w:szCs w:val="22"/>
        </w:rPr>
        <w:t xml:space="preserve"> 48, 1334-1349. </w:t>
      </w:r>
    </w:p>
    <w:p w:rsidR="000773E2" w:rsidRPr="00FE1E17" w:rsidRDefault="000773E2" w:rsidP="00FE1E17">
      <w:pPr>
        <w:adjustRightInd w:val="0"/>
        <w:snapToGrid w:val="0"/>
        <w:spacing w:before="120"/>
        <w:ind w:left="519" w:hangingChars="236" w:hanging="519"/>
        <w:jc w:val="both"/>
        <w:rPr>
          <w:sz w:val="22"/>
          <w:szCs w:val="22"/>
        </w:rPr>
      </w:pPr>
      <w:r w:rsidRPr="00FE1E17">
        <w:rPr>
          <w:sz w:val="22"/>
          <w:szCs w:val="22"/>
        </w:rPr>
        <w:t xml:space="preserve">Levy, M. and Levy, H. (2004) Prospect theory and mean-variance analysis, </w:t>
      </w:r>
      <w:r w:rsidRPr="00FE1E17">
        <w:rPr>
          <w:i/>
          <w:sz w:val="22"/>
          <w:szCs w:val="22"/>
        </w:rPr>
        <w:t>Review of Financial Studies</w:t>
      </w:r>
      <w:r w:rsidRPr="00FE1E17">
        <w:rPr>
          <w:sz w:val="22"/>
          <w:szCs w:val="22"/>
        </w:rPr>
        <w:t xml:space="preserve"> 17, 1015-1041. </w:t>
      </w:r>
    </w:p>
    <w:p w:rsidR="000773E2" w:rsidRPr="00FE1E17" w:rsidRDefault="000773E2" w:rsidP="00FE1E17">
      <w:pPr>
        <w:widowControl/>
        <w:adjustRightInd w:val="0"/>
        <w:snapToGrid w:val="0"/>
        <w:spacing w:before="120"/>
        <w:ind w:left="519" w:hangingChars="236" w:hanging="519"/>
        <w:jc w:val="both"/>
        <w:rPr>
          <w:rStyle w:val="citation"/>
          <w:sz w:val="22"/>
          <w:szCs w:val="22"/>
        </w:rPr>
      </w:pPr>
      <w:r w:rsidRPr="00FE1E17">
        <w:rPr>
          <w:rStyle w:val="citation"/>
          <w:sz w:val="22"/>
          <w:szCs w:val="22"/>
        </w:rPr>
        <w:t xml:space="preserve">Markowitz, H. M. (1952). Portfolio Selection, </w:t>
      </w:r>
      <w:r w:rsidRPr="00FE1E17">
        <w:rPr>
          <w:rStyle w:val="citation"/>
          <w:i/>
          <w:iCs/>
          <w:sz w:val="22"/>
          <w:szCs w:val="22"/>
        </w:rPr>
        <w:t>Journal of Finance</w:t>
      </w:r>
      <w:r w:rsidRPr="00FE1E17">
        <w:rPr>
          <w:rStyle w:val="citation"/>
          <w:sz w:val="22"/>
          <w:szCs w:val="22"/>
        </w:rPr>
        <w:t xml:space="preserve"> </w:t>
      </w:r>
      <w:r w:rsidRPr="00FE1E17">
        <w:rPr>
          <w:rStyle w:val="citation"/>
          <w:bCs/>
          <w:sz w:val="22"/>
          <w:szCs w:val="22"/>
        </w:rPr>
        <w:t>7</w:t>
      </w:r>
      <w:r w:rsidRPr="00FE1E17">
        <w:rPr>
          <w:rStyle w:val="citation"/>
          <w:sz w:val="22"/>
          <w:szCs w:val="22"/>
        </w:rPr>
        <w:t>, 77-91.</w:t>
      </w:r>
    </w:p>
    <w:p w:rsidR="00287468" w:rsidRPr="00FE1E17" w:rsidRDefault="00287468" w:rsidP="00FE1E17">
      <w:pPr>
        <w:widowControl/>
        <w:adjustRightInd w:val="0"/>
        <w:snapToGrid w:val="0"/>
        <w:spacing w:before="120"/>
        <w:ind w:left="519" w:hangingChars="236" w:hanging="519"/>
        <w:jc w:val="both"/>
        <w:rPr>
          <w:sz w:val="22"/>
          <w:szCs w:val="22"/>
        </w:rPr>
      </w:pPr>
      <w:r w:rsidRPr="00FE1E17">
        <w:rPr>
          <w:sz w:val="22"/>
          <w:szCs w:val="22"/>
        </w:rPr>
        <w:t xml:space="preserve">Matsumoto, D. A. (2002) Management’s incentives to avoid negative earnings surprises, </w:t>
      </w:r>
      <w:r w:rsidRPr="00FE1E17">
        <w:rPr>
          <w:i/>
          <w:sz w:val="22"/>
          <w:szCs w:val="22"/>
        </w:rPr>
        <w:t>The Accounting Review</w:t>
      </w:r>
      <w:r w:rsidRPr="00FE1E17">
        <w:rPr>
          <w:sz w:val="22"/>
          <w:szCs w:val="22"/>
        </w:rPr>
        <w:t xml:space="preserve"> 77, 483-514.</w:t>
      </w:r>
    </w:p>
    <w:p w:rsidR="000773E2" w:rsidRPr="00FE1E17" w:rsidRDefault="000773E2" w:rsidP="00FE1E17">
      <w:pPr>
        <w:adjustRightInd w:val="0"/>
        <w:snapToGrid w:val="0"/>
        <w:spacing w:before="120"/>
        <w:ind w:left="519" w:hangingChars="236" w:hanging="519"/>
        <w:jc w:val="both"/>
        <w:rPr>
          <w:sz w:val="22"/>
          <w:szCs w:val="22"/>
        </w:rPr>
      </w:pPr>
      <w:r w:rsidRPr="00FE1E17">
        <w:rPr>
          <w:sz w:val="22"/>
          <w:szCs w:val="22"/>
        </w:rPr>
        <w:t xml:space="preserve">Miller, K. and Bromiley, P. (1990) Strategic risk and corporate performance: An analysis of alternative risk measures, </w:t>
      </w:r>
      <w:r w:rsidRPr="00FE1E17">
        <w:rPr>
          <w:i/>
          <w:sz w:val="22"/>
          <w:szCs w:val="22"/>
        </w:rPr>
        <w:t>Academy of Management Journal</w:t>
      </w:r>
      <w:r w:rsidRPr="00FE1E17">
        <w:rPr>
          <w:sz w:val="22"/>
          <w:szCs w:val="22"/>
        </w:rPr>
        <w:t xml:space="preserve"> 33, 756-779.</w:t>
      </w:r>
    </w:p>
    <w:p w:rsidR="000773E2" w:rsidRPr="00FE1E17" w:rsidRDefault="000773E2" w:rsidP="00FE1E17">
      <w:pPr>
        <w:pStyle w:val="Default"/>
        <w:snapToGrid w:val="0"/>
        <w:spacing w:before="120"/>
        <w:ind w:left="519" w:hangingChars="236" w:hanging="519"/>
        <w:jc w:val="both"/>
        <w:rPr>
          <w:rFonts w:eastAsia="DFKai-SB"/>
          <w:color w:val="auto"/>
          <w:kern w:val="2"/>
          <w:sz w:val="22"/>
          <w:szCs w:val="22"/>
        </w:rPr>
      </w:pPr>
      <w:r w:rsidRPr="00FE1E17">
        <w:rPr>
          <w:rFonts w:eastAsia="DFKai-SB"/>
          <w:color w:val="auto"/>
          <w:kern w:val="2"/>
          <w:sz w:val="22"/>
          <w:szCs w:val="22"/>
        </w:rPr>
        <w:t xml:space="preserve">Myers, J. N., Myers, L. A., and Skinner, D. J. (2007) Earnings momentum and earnings management, </w:t>
      </w:r>
      <w:r w:rsidRPr="00FE1E17">
        <w:rPr>
          <w:rFonts w:eastAsia="DFKai-SB"/>
          <w:i/>
          <w:color w:val="auto"/>
          <w:kern w:val="2"/>
          <w:sz w:val="22"/>
          <w:szCs w:val="22"/>
        </w:rPr>
        <w:t>Journal of Accounting, Auditing, and Finance</w:t>
      </w:r>
      <w:r w:rsidRPr="00FE1E17">
        <w:rPr>
          <w:rFonts w:eastAsia="DFKai-SB"/>
          <w:color w:val="auto"/>
          <w:kern w:val="2"/>
          <w:sz w:val="22"/>
          <w:szCs w:val="22"/>
        </w:rPr>
        <w:t xml:space="preserve"> 22, 249-284.</w:t>
      </w:r>
    </w:p>
    <w:p w:rsidR="000773E2" w:rsidRPr="00FE1E17" w:rsidRDefault="000773E2" w:rsidP="00FE1E17">
      <w:pPr>
        <w:adjustRightInd w:val="0"/>
        <w:snapToGrid w:val="0"/>
        <w:spacing w:before="120"/>
        <w:ind w:left="519" w:hangingChars="236" w:hanging="519"/>
        <w:jc w:val="both"/>
        <w:rPr>
          <w:rFonts w:eastAsia="DFKai-SB"/>
          <w:sz w:val="22"/>
          <w:szCs w:val="22"/>
        </w:rPr>
      </w:pPr>
      <w:r w:rsidRPr="00FE1E17">
        <w:rPr>
          <w:rFonts w:eastAsia="DFKai-SB"/>
          <w:sz w:val="22"/>
          <w:szCs w:val="22"/>
        </w:rPr>
        <w:t xml:space="preserve">Myers, J., Myers, L. and Omer, T. (2003) Exploring the term of the auditor-client relationship and the quality of earnings: A case for mandatory auditor rotation? </w:t>
      </w:r>
      <w:r w:rsidRPr="00FE1E17">
        <w:rPr>
          <w:rFonts w:eastAsia="DFKai-SB"/>
          <w:i/>
          <w:iCs/>
          <w:sz w:val="22"/>
          <w:szCs w:val="22"/>
        </w:rPr>
        <w:t>The Accounting Review</w:t>
      </w:r>
      <w:r w:rsidRPr="00FE1E17">
        <w:rPr>
          <w:rFonts w:eastAsia="DFKai-SB"/>
          <w:sz w:val="22"/>
          <w:szCs w:val="22"/>
        </w:rPr>
        <w:t xml:space="preserve"> 7, 779-799. </w:t>
      </w:r>
    </w:p>
    <w:p w:rsidR="002060C5" w:rsidRPr="00FE1E17" w:rsidRDefault="002060C5" w:rsidP="00FE1E17">
      <w:pPr>
        <w:adjustRightInd w:val="0"/>
        <w:snapToGrid w:val="0"/>
        <w:spacing w:before="120"/>
        <w:ind w:left="519" w:hangingChars="236" w:hanging="519"/>
        <w:jc w:val="both"/>
        <w:rPr>
          <w:sz w:val="22"/>
          <w:szCs w:val="22"/>
        </w:rPr>
      </w:pPr>
      <w:r w:rsidRPr="00FE1E17">
        <w:rPr>
          <w:rFonts w:eastAsia="DFKai-SB"/>
          <w:sz w:val="22"/>
          <w:szCs w:val="22"/>
        </w:rPr>
        <w:t>Owens, E.</w:t>
      </w:r>
      <w:r w:rsidR="00DE022C" w:rsidRPr="00FE1E17">
        <w:rPr>
          <w:rFonts w:eastAsia="DFKai-SB"/>
          <w:sz w:val="22"/>
          <w:szCs w:val="22"/>
        </w:rPr>
        <w:t xml:space="preserve"> L.</w:t>
      </w:r>
      <w:r w:rsidRPr="00FE1E17">
        <w:rPr>
          <w:rFonts w:eastAsia="DFKai-SB"/>
          <w:sz w:val="22"/>
          <w:szCs w:val="22"/>
        </w:rPr>
        <w:t>, Wu, J. S.</w:t>
      </w:r>
      <w:r w:rsidR="00DE022C" w:rsidRPr="00FE1E17">
        <w:rPr>
          <w:rFonts w:eastAsia="DFKai-SB"/>
          <w:sz w:val="22"/>
          <w:szCs w:val="22"/>
        </w:rPr>
        <w:t>,</w:t>
      </w:r>
      <w:r w:rsidRPr="00FE1E17">
        <w:rPr>
          <w:rFonts w:eastAsia="DFKai-SB"/>
          <w:sz w:val="22"/>
          <w:szCs w:val="22"/>
        </w:rPr>
        <w:t xml:space="preserve"> and Zimmerman, J. (201</w:t>
      </w:r>
      <w:r w:rsidR="00DE022C" w:rsidRPr="00FE1E17">
        <w:rPr>
          <w:rFonts w:eastAsia="DFKai-SB"/>
          <w:sz w:val="22"/>
          <w:szCs w:val="22"/>
        </w:rPr>
        <w:t>7</w:t>
      </w:r>
      <w:r w:rsidRPr="00FE1E17">
        <w:rPr>
          <w:rFonts w:eastAsia="DFKai-SB"/>
          <w:sz w:val="22"/>
          <w:szCs w:val="22"/>
        </w:rPr>
        <w:t xml:space="preserve">) Idiosyncratic shocks to firm underlying economics and abnormal accruals, </w:t>
      </w:r>
      <w:r w:rsidRPr="00FE1E17">
        <w:rPr>
          <w:rFonts w:eastAsia="DFKai-SB"/>
          <w:i/>
          <w:iCs/>
          <w:sz w:val="22"/>
          <w:szCs w:val="22"/>
        </w:rPr>
        <w:t>The Accounting Review</w:t>
      </w:r>
      <w:r w:rsidRPr="00FE1E17">
        <w:rPr>
          <w:rFonts w:eastAsia="DFKai-SB"/>
          <w:sz w:val="22"/>
          <w:szCs w:val="22"/>
        </w:rPr>
        <w:t xml:space="preserve"> 92, 183-219.</w:t>
      </w:r>
    </w:p>
    <w:p w:rsidR="00CB60AF" w:rsidRPr="00FE1E17" w:rsidRDefault="00CB60AF" w:rsidP="00FE1E17">
      <w:pPr>
        <w:adjustRightInd w:val="0"/>
        <w:snapToGrid w:val="0"/>
        <w:spacing w:before="120"/>
        <w:ind w:left="519" w:hangingChars="236" w:hanging="519"/>
        <w:jc w:val="both"/>
        <w:rPr>
          <w:sz w:val="22"/>
          <w:szCs w:val="22"/>
        </w:rPr>
      </w:pPr>
      <w:r w:rsidRPr="00FE1E17">
        <w:rPr>
          <w:sz w:val="22"/>
          <w:szCs w:val="22"/>
        </w:rPr>
        <w:t xml:space="preserve">Payne, J.  L. and Robb, S. W. G. (2000) Earnings management: The effect of ex ante earnings expectations, </w:t>
      </w:r>
      <w:r w:rsidRPr="00FE1E17">
        <w:rPr>
          <w:i/>
          <w:sz w:val="22"/>
          <w:szCs w:val="22"/>
        </w:rPr>
        <w:t>Journal of Accounting, Auditing, and Finance</w:t>
      </w:r>
      <w:r w:rsidRPr="00FE1E17">
        <w:rPr>
          <w:sz w:val="22"/>
          <w:szCs w:val="22"/>
        </w:rPr>
        <w:t xml:space="preserve"> 15, 371-392.</w:t>
      </w:r>
    </w:p>
    <w:p w:rsidR="002060C5" w:rsidRPr="00FE1E17" w:rsidRDefault="002060C5" w:rsidP="00FE1E17">
      <w:pPr>
        <w:adjustRightInd w:val="0"/>
        <w:snapToGrid w:val="0"/>
        <w:spacing w:before="120"/>
        <w:ind w:left="519" w:hangingChars="236" w:hanging="519"/>
        <w:rPr>
          <w:rFonts w:eastAsia="DFKai-SB"/>
          <w:sz w:val="22"/>
          <w:szCs w:val="22"/>
        </w:rPr>
      </w:pPr>
      <w:r w:rsidRPr="00FE1E17">
        <w:rPr>
          <w:rFonts w:eastAsia="DFKai-SB"/>
          <w:sz w:val="22"/>
          <w:szCs w:val="22"/>
        </w:rPr>
        <w:t xml:space="preserve">Roychowdhury, S. (2006) Earnings management through real activities manipulation, </w:t>
      </w:r>
      <w:r w:rsidRPr="00FE1E17">
        <w:rPr>
          <w:rFonts w:eastAsia="DFKai-SB"/>
          <w:i/>
          <w:iCs/>
          <w:sz w:val="22"/>
          <w:szCs w:val="22"/>
        </w:rPr>
        <w:t>Journal of Accounting and Economics</w:t>
      </w:r>
      <w:r w:rsidRPr="00FE1E17">
        <w:rPr>
          <w:rFonts w:eastAsia="DFKai-SB"/>
          <w:sz w:val="22"/>
          <w:szCs w:val="22"/>
        </w:rPr>
        <w:t xml:space="preserve"> 42, 335-370.</w:t>
      </w:r>
    </w:p>
    <w:p w:rsidR="000773E2" w:rsidRPr="00FE1E17" w:rsidRDefault="000773E2" w:rsidP="00FE1E17">
      <w:pPr>
        <w:adjustRightInd w:val="0"/>
        <w:snapToGrid w:val="0"/>
        <w:spacing w:before="120"/>
        <w:ind w:left="519" w:hangingChars="236" w:hanging="519"/>
        <w:jc w:val="both"/>
        <w:rPr>
          <w:sz w:val="22"/>
          <w:szCs w:val="22"/>
        </w:rPr>
      </w:pPr>
      <w:r w:rsidRPr="00FE1E17">
        <w:rPr>
          <w:sz w:val="22"/>
          <w:szCs w:val="22"/>
        </w:rPr>
        <w:t xml:space="preserve">Shefrin, H., and Statman, M. (1985) The disposition to sell winners too early and to ride losers too long, </w:t>
      </w:r>
      <w:r w:rsidRPr="00FE1E17">
        <w:rPr>
          <w:i/>
          <w:sz w:val="22"/>
          <w:szCs w:val="22"/>
        </w:rPr>
        <w:t>Journal of Finance</w:t>
      </w:r>
      <w:r w:rsidRPr="00FE1E17">
        <w:rPr>
          <w:sz w:val="22"/>
          <w:szCs w:val="22"/>
        </w:rPr>
        <w:t xml:space="preserve"> 40, 777-790. </w:t>
      </w:r>
    </w:p>
    <w:p w:rsidR="004E63BC" w:rsidRPr="00FE1E17" w:rsidRDefault="004E63BC" w:rsidP="00FE1E17">
      <w:pPr>
        <w:adjustRightInd w:val="0"/>
        <w:snapToGrid w:val="0"/>
        <w:spacing w:before="120"/>
        <w:ind w:left="519" w:hangingChars="236" w:hanging="519"/>
        <w:jc w:val="both"/>
        <w:rPr>
          <w:sz w:val="22"/>
          <w:szCs w:val="22"/>
        </w:rPr>
      </w:pPr>
      <w:r w:rsidRPr="00FE1E17">
        <w:rPr>
          <w:sz w:val="22"/>
          <w:szCs w:val="22"/>
        </w:rPr>
        <w:t xml:space="preserve">Sinha, T. (1994) Prospect theory and the risk return association: Another look, </w:t>
      </w:r>
      <w:r w:rsidRPr="00FE1E17">
        <w:rPr>
          <w:i/>
          <w:iCs/>
          <w:sz w:val="22"/>
          <w:szCs w:val="22"/>
        </w:rPr>
        <w:t>Journal of Economic Behavior and Organization</w:t>
      </w:r>
      <w:r w:rsidRPr="00FE1E17">
        <w:rPr>
          <w:sz w:val="22"/>
          <w:szCs w:val="22"/>
        </w:rPr>
        <w:t xml:space="preserve"> 24, 225-231. </w:t>
      </w:r>
    </w:p>
    <w:p w:rsidR="00BA38A1" w:rsidRPr="00FE1E17" w:rsidRDefault="00BA38A1" w:rsidP="00FE1E17">
      <w:pPr>
        <w:adjustRightInd w:val="0"/>
        <w:snapToGrid w:val="0"/>
        <w:spacing w:before="120"/>
        <w:ind w:left="519" w:hangingChars="236" w:hanging="519"/>
        <w:jc w:val="both"/>
        <w:rPr>
          <w:sz w:val="22"/>
          <w:szCs w:val="22"/>
        </w:rPr>
      </w:pPr>
      <w:r w:rsidRPr="00FE1E17">
        <w:rPr>
          <w:sz w:val="22"/>
          <w:szCs w:val="22"/>
        </w:rPr>
        <w:t xml:space="preserve">Skinner, D. J. and Sloan, R. G. (2002) Earnings surprises, growth expectations, and stock returns or don't let an earnings torpedo sink your portfolio, </w:t>
      </w:r>
      <w:r w:rsidRPr="00FE1E17">
        <w:rPr>
          <w:i/>
          <w:sz w:val="22"/>
          <w:szCs w:val="22"/>
        </w:rPr>
        <w:t>Review of Accounting Studies</w:t>
      </w:r>
      <w:r w:rsidRPr="00FE1E17">
        <w:rPr>
          <w:sz w:val="22"/>
          <w:szCs w:val="22"/>
        </w:rPr>
        <w:t xml:space="preserve"> 7, 289-312.</w:t>
      </w:r>
    </w:p>
    <w:p w:rsidR="000773E2" w:rsidRPr="00FE1E17" w:rsidRDefault="000773E2" w:rsidP="00FE1E17">
      <w:pPr>
        <w:adjustRightInd w:val="0"/>
        <w:snapToGrid w:val="0"/>
        <w:spacing w:before="120"/>
        <w:ind w:left="519" w:hangingChars="236" w:hanging="519"/>
        <w:rPr>
          <w:rFonts w:eastAsia="DFKai-SB"/>
          <w:sz w:val="22"/>
          <w:szCs w:val="22"/>
        </w:rPr>
      </w:pPr>
      <w:r w:rsidRPr="00FE1E17">
        <w:rPr>
          <w:rFonts w:eastAsia="DFKai-SB"/>
          <w:sz w:val="22"/>
          <w:szCs w:val="22"/>
        </w:rPr>
        <w:t xml:space="preserve">Subramanyam, K. R. (1996) The pricing of discretionary accruals, </w:t>
      </w:r>
      <w:r w:rsidRPr="00FE1E17">
        <w:rPr>
          <w:rFonts w:eastAsia="DFKai-SB"/>
          <w:i/>
          <w:sz w:val="22"/>
          <w:szCs w:val="22"/>
        </w:rPr>
        <w:t>Journal of Accounting and Economics</w:t>
      </w:r>
      <w:r w:rsidRPr="00FE1E17">
        <w:rPr>
          <w:rFonts w:eastAsia="DFKai-SB"/>
          <w:sz w:val="22"/>
          <w:szCs w:val="22"/>
        </w:rPr>
        <w:t xml:space="preserve"> 22, 249-281.</w:t>
      </w:r>
    </w:p>
    <w:p w:rsidR="000773E2" w:rsidRPr="00FE1E17" w:rsidRDefault="000773E2" w:rsidP="00FE1E17">
      <w:pPr>
        <w:adjustRightInd w:val="0"/>
        <w:snapToGrid w:val="0"/>
        <w:spacing w:before="120"/>
        <w:ind w:left="519" w:hangingChars="236" w:hanging="519"/>
        <w:jc w:val="both"/>
        <w:rPr>
          <w:sz w:val="22"/>
          <w:szCs w:val="22"/>
        </w:rPr>
      </w:pPr>
      <w:r w:rsidRPr="00FE1E17">
        <w:rPr>
          <w:rFonts w:eastAsia="DFKai-SB"/>
          <w:sz w:val="22"/>
          <w:szCs w:val="22"/>
        </w:rPr>
        <w:t xml:space="preserve">Trueman, B., and Titman, S. (1988) An explanation for accounting income smoothing. </w:t>
      </w:r>
      <w:r w:rsidRPr="00FE1E17">
        <w:rPr>
          <w:rFonts w:eastAsia="DFKai-SB"/>
          <w:i/>
          <w:sz w:val="22"/>
          <w:szCs w:val="22"/>
        </w:rPr>
        <w:t>Journal of Accounting Research</w:t>
      </w:r>
      <w:r w:rsidRPr="00FE1E17">
        <w:rPr>
          <w:rFonts w:eastAsia="DFKai-SB"/>
          <w:sz w:val="22"/>
          <w:szCs w:val="22"/>
        </w:rPr>
        <w:t xml:space="preserve"> 26, 127-139.</w:t>
      </w:r>
    </w:p>
    <w:p w:rsidR="000773E2" w:rsidRPr="00FE1E17" w:rsidRDefault="000773E2" w:rsidP="00FE1E17">
      <w:pPr>
        <w:adjustRightInd w:val="0"/>
        <w:snapToGrid w:val="0"/>
        <w:spacing w:before="120"/>
        <w:ind w:left="519" w:hangingChars="236" w:hanging="519"/>
        <w:jc w:val="both"/>
        <w:rPr>
          <w:rFonts w:eastAsia="DFKai-SB"/>
          <w:sz w:val="22"/>
          <w:szCs w:val="22"/>
        </w:rPr>
      </w:pPr>
      <w:r w:rsidRPr="00FE1E17">
        <w:rPr>
          <w:rFonts w:eastAsia="DFKai-SB"/>
          <w:sz w:val="22"/>
          <w:szCs w:val="22"/>
        </w:rPr>
        <w:t xml:space="preserve">Yu, K., Lu, Z. and Stander, J. (2003) Quantile regression: applications and current research areas, </w:t>
      </w:r>
      <w:r w:rsidRPr="00FE1E17">
        <w:rPr>
          <w:rFonts w:eastAsia="DFKai-SB"/>
          <w:i/>
          <w:sz w:val="22"/>
          <w:szCs w:val="22"/>
        </w:rPr>
        <w:t>Journal of the Royal Statistical Society: Series D</w:t>
      </w:r>
      <w:r w:rsidRPr="00FE1E17">
        <w:rPr>
          <w:rFonts w:eastAsia="DFKai-SB"/>
          <w:sz w:val="22"/>
          <w:szCs w:val="22"/>
        </w:rPr>
        <w:t xml:space="preserve"> 52, 331-350. </w:t>
      </w:r>
    </w:p>
    <w:p w:rsidR="002C100E" w:rsidRPr="00FE1E17" w:rsidRDefault="002C100E" w:rsidP="00FE1E17">
      <w:pPr>
        <w:adjustRightInd w:val="0"/>
        <w:snapToGrid w:val="0"/>
        <w:spacing w:before="120"/>
        <w:ind w:left="519" w:hangingChars="236" w:hanging="519"/>
        <w:rPr>
          <w:sz w:val="22"/>
          <w:szCs w:val="22"/>
        </w:rPr>
      </w:pPr>
      <w:r w:rsidRPr="00FE1E17">
        <w:rPr>
          <w:sz w:val="22"/>
          <w:szCs w:val="22"/>
        </w:rPr>
        <w:t xml:space="preserve">Zhang, W. and Semmler, W. (2009) Prospect theory for stock markets: Empirical evidence with time-series data, </w:t>
      </w:r>
      <w:r w:rsidRPr="00FE1E17">
        <w:rPr>
          <w:i/>
          <w:iCs/>
          <w:sz w:val="22"/>
          <w:szCs w:val="22"/>
        </w:rPr>
        <w:t>Journal of Economic Behavior and Organization</w:t>
      </w:r>
      <w:r w:rsidRPr="00FE1E17">
        <w:rPr>
          <w:sz w:val="22"/>
          <w:szCs w:val="22"/>
        </w:rPr>
        <w:t xml:space="preserve"> 72, 835-849. </w:t>
      </w:r>
    </w:p>
    <w:p w:rsidR="008F5E65" w:rsidRDefault="008F5E65">
      <w:pPr>
        <w:widowControl/>
        <w:spacing w:after="160" w:line="259" w:lineRule="auto"/>
      </w:pPr>
    </w:p>
    <w:sectPr w:rsidR="008F5E65" w:rsidSect="00933268">
      <w:footerReference w:type="default" r:id="rId38"/>
      <w:pgSz w:w="11907" w:h="16840"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BD3" w:rsidRDefault="00253BD3" w:rsidP="00657D39">
      <w:r>
        <w:separator/>
      </w:r>
    </w:p>
  </w:endnote>
  <w:endnote w:type="continuationSeparator" w:id="0">
    <w:p w:rsidR="00253BD3" w:rsidRDefault="00253BD3" w:rsidP="0065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832505"/>
      <w:docPartObj>
        <w:docPartGallery w:val="Page Numbers (Bottom of Page)"/>
        <w:docPartUnique/>
      </w:docPartObj>
    </w:sdtPr>
    <w:sdtEndPr>
      <w:rPr>
        <w:noProof/>
      </w:rPr>
    </w:sdtEndPr>
    <w:sdtContent>
      <w:p w:rsidR="008B5B2B" w:rsidRDefault="008B5B2B">
        <w:pPr>
          <w:pStyle w:val="Footer"/>
          <w:jc w:val="center"/>
        </w:pPr>
        <w:r>
          <w:fldChar w:fldCharType="begin"/>
        </w:r>
        <w:r>
          <w:instrText xml:space="preserve"> PAGE   \* MERGEFORMAT </w:instrText>
        </w:r>
        <w:r>
          <w:fldChar w:fldCharType="separate"/>
        </w:r>
        <w:r w:rsidR="00933268">
          <w:rPr>
            <w:noProof/>
          </w:rPr>
          <w:t>6</w:t>
        </w:r>
        <w:r>
          <w:rPr>
            <w:noProof/>
          </w:rPr>
          <w:fldChar w:fldCharType="end"/>
        </w:r>
      </w:p>
    </w:sdtContent>
  </w:sdt>
  <w:p w:rsidR="008B5B2B" w:rsidRDefault="008B5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BD3" w:rsidRDefault="00253BD3" w:rsidP="00657D39">
      <w:r>
        <w:separator/>
      </w:r>
    </w:p>
  </w:footnote>
  <w:footnote w:type="continuationSeparator" w:id="0">
    <w:p w:rsidR="00253BD3" w:rsidRDefault="00253BD3" w:rsidP="00657D39">
      <w:r>
        <w:continuationSeparator/>
      </w:r>
    </w:p>
  </w:footnote>
  <w:footnote w:id="1">
    <w:p w:rsidR="008B5B2B" w:rsidRPr="00403A8F" w:rsidRDefault="008B5B2B" w:rsidP="00403A8F">
      <w:pPr>
        <w:widowControl/>
        <w:adjustRightInd w:val="0"/>
        <w:snapToGrid w:val="0"/>
        <w:ind w:left="284" w:hanging="284"/>
        <w:jc w:val="both"/>
        <w:rPr>
          <w:sz w:val="22"/>
          <w:szCs w:val="22"/>
        </w:rPr>
      </w:pPr>
      <w:r w:rsidRPr="00403A8F">
        <w:rPr>
          <w:rStyle w:val="FootnoteReference"/>
          <w:sz w:val="22"/>
          <w:szCs w:val="22"/>
        </w:rPr>
        <w:footnoteRef/>
      </w:r>
      <w:r w:rsidRPr="00403A8F">
        <w:rPr>
          <w:sz w:val="22"/>
          <w:szCs w:val="22"/>
        </w:rPr>
        <w:t xml:space="preserve"> </w:t>
      </w:r>
      <w:r>
        <w:rPr>
          <w:sz w:val="22"/>
          <w:szCs w:val="22"/>
        </w:rPr>
        <w:tab/>
      </w:r>
      <w:r w:rsidRPr="00403A8F">
        <w:rPr>
          <w:sz w:val="22"/>
          <w:szCs w:val="22"/>
        </w:rPr>
        <w:t xml:space="preserve">Incentives derived from capital market could be one of primary determinants of earnings quality. These incentives include the need to raise capital and satisfy earnings targets set by analysts. In addition, there are several external factors, such as meeting capital requirements, complying political procedures, and fulfilling tax and non-tax regulation such as SOX 2002, which could also affect management behavior and the earnings quality reported in financial statements. Please refer to </w:t>
      </w:r>
      <w:proofErr w:type="spellStart"/>
      <w:r w:rsidRPr="00403A8F">
        <w:rPr>
          <w:sz w:val="22"/>
          <w:szCs w:val="22"/>
        </w:rPr>
        <w:t>Dechow</w:t>
      </w:r>
      <w:proofErr w:type="spellEnd"/>
      <w:r w:rsidRPr="00403A8F">
        <w:rPr>
          <w:sz w:val="22"/>
          <w:szCs w:val="22"/>
        </w:rPr>
        <w:t xml:space="preserve"> </w:t>
      </w:r>
      <w:r w:rsidRPr="00221B17">
        <w:rPr>
          <w:i/>
          <w:sz w:val="22"/>
          <w:szCs w:val="22"/>
        </w:rPr>
        <w:t>et al.</w:t>
      </w:r>
      <w:r w:rsidRPr="00403A8F">
        <w:rPr>
          <w:sz w:val="22"/>
          <w:szCs w:val="22"/>
        </w:rPr>
        <w:t xml:space="preserve"> (2010) for a detailed discussion on this line of research.  </w:t>
      </w:r>
    </w:p>
  </w:footnote>
  <w:footnote w:id="2">
    <w:p w:rsidR="008B5B2B" w:rsidRPr="000D0C3B" w:rsidRDefault="008B5B2B" w:rsidP="00403A8F">
      <w:pPr>
        <w:pStyle w:val="FootnoteText"/>
        <w:widowControl/>
        <w:ind w:left="284" w:hanging="284"/>
        <w:jc w:val="both"/>
        <w:rPr>
          <w:sz w:val="22"/>
          <w:szCs w:val="22"/>
        </w:rPr>
      </w:pPr>
      <w:r w:rsidRPr="00403A8F">
        <w:rPr>
          <w:rStyle w:val="FootnoteReference"/>
          <w:sz w:val="22"/>
          <w:szCs w:val="22"/>
        </w:rPr>
        <w:footnoteRef/>
      </w:r>
      <w:r w:rsidRPr="00403A8F">
        <w:rPr>
          <w:sz w:val="22"/>
          <w:szCs w:val="22"/>
        </w:rPr>
        <w:t xml:space="preserve"> </w:t>
      </w:r>
      <w:r w:rsidRPr="000D0C3B">
        <w:rPr>
          <w:sz w:val="22"/>
          <w:szCs w:val="22"/>
        </w:rPr>
        <w:tab/>
        <w:t>S</w:t>
      </w:r>
      <w:r w:rsidRPr="000D0C3B">
        <w:rPr>
          <w:rFonts w:hint="eastAsia"/>
          <w:sz w:val="22"/>
          <w:szCs w:val="22"/>
        </w:rPr>
        <w:t xml:space="preserve">ince </w:t>
      </w:r>
      <w:r w:rsidRPr="000D0C3B">
        <w:rPr>
          <w:sz w:val="22"/>
          <w:szCs w:val="22"/>
        </w:rPr>
        <w:t>estimation</w:t>
      </w:r>
      <w:r w:rsidRPr="000D0C3B">
        <w:rPr>
          <w:rFonts w:hint="eastAsia"/>
          <w:sz w:val="22"/>
          <w:szCs w:val="22"/>
        </w:rPr>
        <w:t xml:space="preserve"> of</w:t>
      </w:r>
      <w:r w:rsidRPr="000D0C3B">
        <w:rPr>
          <w:sz w:val="22"/>
          <w:szCs w:val="22"/>
        </w:rPr>
        <w:t xml:space="preserve"> QR</w:t>
      </w:r>
      <w:r w:rsidRPr="000D0C3B">
        <w:rPr>
          <w:rFonts w:hint="eastAsia"/>
          <w:sz w:val="22"/>
          <w:szCs w:val="22"/>
        </w:rPr>
        <w:t xml:space="preserve"> is well-documented in </w:t>
      </w:r>
      <w:r w:rsidRPr="000D0C3B">
        <w:rPr>
          <w:sz w:val="22"/>
          <w:szCs w:val="22"/>
        </w:rPr>
        <w:t>the literature</w:t>
      </w:r>
      <w:r w:rsidRPr="000D0C3B">
        <w:rPr>
          <w:rFonts w:hint="eastAsia"/>
          <w:sz w:val="22"/>
          <w:szCs w:val="22"/>
        </w:rPr>
        <w:t>, this study omits the details</w:t>
      </w:r>
      <w:r w:rsidRPr="000D0C3B">
        <w:rPr>
          <w:sz w:val="22"/>
          <w:szCs w:val="22"/>
        </w:rPr>
        <w:t xml:space="preserve">. Please refer to </w:t>
      </w:r>
      <w:proofErr w:type="spellStart"/>
      <w:r w:rsidRPr="000D0C3B">
        <w:rPr>
          <w:sz w:val="22"/>
          <w:szCs w:val="22"/>
        </w:rPr>
        <w:t>Koenker</w:t>
      </w:r>
      <w:proofErr w:type="spellEnd"/>
      <w:r w:rsidRPr="000D0C3B">
        <w:rPr>
          <w:sz w:val="22"/>
          <w:szCs w:val="22"/>
        </w:rPr>
        <w:t xml:space="preserve"> and </w:t>
      </w:r>
      <w:proofErr w:type="spellStart"/>
      <w:r w:rsidRPr="000D0C3B">
        <w:rPr>
          <w:sz w:val="22"/>
          <w:szCs w:val="22"/>
        </w:rPr>
        <w:t>Hallock</w:t>
      </w:r>
      <w:proofErr w:type="spellEnd"/>
      <w:r w:rsidRPr="000D0C3B">
        <w:rPr>
          <w:sz w:val="22"/>
          <w:szCs w:val="22"/>
        </w:rPr>
        <w:t xml:space="preserve"> (2001) for more detailed discussions. </w:t>
      </w:r>
    </w:p>
  </w:footnote>
  <w:footnote w:id="3">
    <w:p w:rsidR="008B5B2B" w:rsidRPr="000D0C3B" w:rsidRDefault="008B5B2B" w:rsidP="00403A8F">
      <w:pPr>
        <w:pStyle w:val="FootnoteText"/>
        <w:widowControl/>
        <w:ind w:left="284" w:hanging="284"/>
        <w:jc w:val="both"/>
        <w:rPr>
          <w:sz w:val="22"/>
          <w:szCs w:val="22"/>
        </w:rPr>
      </w:pPr>
      <w:r w:rsidRPr="000D0C3B">
        <w:rPr>
          <w:rStyle w:val="FootnoteReference"/>
          <w:sz w:val="22"/>
          <w:szCs w:val="22"/>
        </w:rPr>
        <w:footnoteRef/>
      </w:r>
      <w:r w:rsidRPr="000D0C3B">
        <w:rPr>
          <w:sz w:val="22"/>
          <w:szCs w:val="22"/>
        </w:rPr>
        <w:t xml:space="preserve"> </w:t>
      </w:r>
      <w:r w:rsidRPr="000D0C3B">
        <w:rPr>
          <w:sz w:val="22"/>
          <w:szCs w:val="22"/>
        </w:rPr>
        <w:tab/>
        <w:t xml:space="preserve">Yu </w:t>
      </w:r>
      <w:r w:rsidRPr="000D0C3B">
        <w:rPr>
          <w:i/>
          <w:kern w:val="0"/>
          <w:sz w:val="22"/>
          <w:szCs w:val="22"/>
        </w:rPr>
        <w:t>et al.</w:t>
      </w:r>
      <w:r w:rsidRPr="000D0C3B">
        <w:rPr>
          <w:kern w:val="0"/>
          <w:sz w:val="22"/>
          <w:szCs w:val="22"/>
        </w:rPr>
        <w:t xml:space="preserve"> </w:t>
      </w:r>
      <w:r w:rsidRPr="000D0C3B">
        <w:rPr>
          <w:rFonts w:hint="eastAsia"/>
          <w:sz w:val="22"/>
          <w:szCs w:val="22"/>
        </w:rPr>
        <w:t>(2003) summar</w:t>
      </w:r>
      <w:r w:rsidRPr="000D0C3B">
        <w:rPr>
          <w:sz w:val="22"/>
          <w:szCs w:val="22"/>
        </w:rPr>
        <w:t>ize research using QR method</w:t>
      </w:r>
      <w:r w:rsidRPr="000D0C3B">
        <w:rPr>
          <w:rFonts w:hint="eastAsia"/>
          <w:sz w:val="22"/>
          <w:szCs w:val="22"/>
        </w:rPr>
        <w:t xml:space="preserve">. </w:t>
      </w:r>
      <w:r w:rsidRPr="000D0C3B">
        <w:rPr>
          <w:sz w:val="22"/>
          <w:szCs w:val="22"/>
        </w:rPr>
        <w:t>More recently, Armstrong et al. (201</w:t>
      </w:r>
      <w:r w:rsidRPr="000D0C3B">
        <w:rPr>
          <w:rFonts w:hint="eastAsia"/>
          <w:sz w:val="22"/>
          <w:szCs w:val="22"/>
        </w:rPr>
        <w:t>5</w:t>
      </w:r>
      <w:r w:rsidRPr="000D0C3B">
        <w:rPr>
          <w:sz w:val="22"/>
          <w:szCs w:val="22"/>
        </w:rPr>
        <w:t>) also apply this regression method to investigate whether corporate governance would mitigate the degree of tax avoidance.</w:t>
      </w:r>
    </w:p>
  </w:footnote>
  <w:footnote w:id="4">
    <w:p w:rsidR="008B5B2B" w:rsidRPr="00403A8F" w:rsidRDefault="008B5B2B" w:rsidP="00403A8F">
      <w:pPr>
        <w:pStyle w:val="FootnoteText"/>
        <w:widowControl/>
        <w:ind w:left="284" w:hanging="284"/>
        <w:jc w:val="both"/>
        <w:rPr>
          <w:sz w:val="22"/>
          <w:szCs w:val="22"/>
        </w:rPr>
      </w:pPr>
      <w:r w:rsidRPr="00403A8F">
        <w:rPr>
          <w:rStyle w:val="FootnoteReference"/>
          <w:sz w:val="22"/>
          <w:szCs w:val="22"/>
        </w:rPr>
        <w:footnoteRef/>
      </w:r>
      <w:r w:rsidRPr="00403A8F">
        <w:rPr>
          <w:sz w:val="22"/>
          <w:szCs w:val="22"/>
        </w:rPr>
        <w:t xml:space="preserve"> </w:t>
      </w:r>
      <w:r>
        <w:rPr>
          <w:sz w:val="22"/>
          <w:szCs w:val="22"/>
        </w:rPr>
        <w:tab/>
      </w:r>
      <w:r w:rsidRPr="00403A8F">
        <w:rPr>
          <w:kern w:val="0"/>
          <w:sz w:val="22"/>
          <w:szCs w:val="22"/>
        </w:rPr>
        <w:t xml:space="preserve">Tobin’s </w:t>
      </w:r>
      <w:r w:rsidRPr="00403A8F">
        <w:rPr>
          <w:i/>
          <w:kern w:val="0"/>
          <w:sz w:val="22"/>
          <w:szCs w:val="22"/>
        </w:rPr>
        <w:t>Q</w:t>
      </w:r>
      <w:r w:rsidRPr="00403A8F">
        <w:rPr>
          <w:sz w:val="22"/>
          <w:szCs w:val="22"/>
        </w:rPr>
        <w:t xml:space="preserve"> is obtained by calculating the ratio between </w:t>
      </w:r>
      <w:r w:rsidRPr="00403A8F">
        <w:rPr>
          <w:kern w:val="0"/>
          <w:sz w:val="22"/>
          <w:szCs w:val="22"/>
        </w:rPr>
        <w:t xml:space="preserve">(market value of equity + book value of preferred stock </w:t>
      </w:r>
      <w:proofErr w:type="gramStart"/>
      <w:r w:rsidRPr="00403A8F">
        <w:rPr>
          <w:kern w:val="0"/>
          <w:sz w:val="22"/>
          <w:szCs w:val="22"/>
        </w:rPr>
        <w:t>+</w:t>
      </w:r>
      <w:proofErr w:type="gramEnd"/>
      <w:r w:rsidRPr="00403A8F">
        <w:rPr>
          <w:kern w:val="0"/>
          <w:sz w:val="22"/>
          <w:szCs w:val="22"/>
        </w:rPr>
        <w:t xml:space="preserve"> book value of debt) and (book value of assets). </w:t>
      </w:r>
      <w:r w:rsidRPr="00403A8F">
        <w:rPr>
          <w:sz w:val="22"/>
          <w:szCs w:val="22"/>
        </w:rPr>
        <w:t>In this computation, closing stock prices on the last trading day of the year are used to calculate market value of equity.</w:t>
      </w:r>
    </w:p>
  </w:footnote>
  <w:footnote w:id="5">
    <w:p w:rsidR="008B5B2B" w:rsidRPr="008126EB" w:rsidRDefault="008B5B2B" w:rsidP="003E43FA">
      <w:pPr>
        <w:pStyle w:val="FootnoteText"/>
        <w:widowControl/>
      </w:pPr>
      <w:r w:rsidRPr="008126EB">
        <w:rPr>
          <w:rStyle w:val="FootnoteReference"/>
        </w:rPr>
        <w:footnoteRef/>
      </w:r>
      <w:r w:rsidRPr="008126EB">
        <w:t xml:space="preserve"> </w:t>
      </w:r>
      <w:r w:rsidRPr="00FE0B8A">
        <w:rPr>
          <w:sz w:val="22"/>
          <w:szCs w:val="22"/>
        </w:rPr>
        <w:t>This represents an approximately 48% drop in sample size.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E5448"/>
    <w:multiLevelType w:val="multilevel"/>
    <w:tmpl w:val="2CC85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D03545"/>
    <w:multiLevelType w:val="hybridMultilevel"/>
    <w:tmpl w:val="C7B0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ordCount" w:val="8974"/>
  </w:docVars>
  <w:rsids>
    <w:rsidRoot w:val="009D4200"/>
    <w:rsid w:val="000002C6"/>
    <w:rsid w:val="00000CB5"/>
    <w:rsid w:val="000035F1"/>
    <w:rsid w:val="0000376B"/>
    <w:rsid w:val="00006A03"/>
    <w:rsid w:val="00007220"/>
    <w:rsid w:val="00007AEC"/>
    <w:rsid w:val="0001106F"/>
    <w:rsid w:val="000129AB"/>
    <w:rsid w:val="000158C6"/>
    <w:rsid w:val="00016673"/>
    <w:rsid w:val="000173C0"/>
    <w:rsid w:val="00017D24"/>
    <w:rsid w:val="000210E1"/>
    <w:rsid w:val="00022CD6"/>
    <w:rsid w:val="000275CA"/>
    <w:rsid w:val="0003724F"/>
    <w:rsid w:val="000408E6"/>
    <w:rsid w:val="00040BDB"/>
    <w:rsid w:val="000412CB"/>
    <w:rsid w:val="00043A91"/>
    <w:rsid w:val="0004601A"/>
    <w:rsid w:val="00046739"/>
    <w:rsid w:val="00047E04"/>
    <w:rsid w:val="00047E87"/>
    <w:rsid w:val="00057CAD"/>
    <w:rsid w:val="00060B07"/>
    <w:rsid w:val="00061023"/>
    <w:rsid w:val="00062337"/>
    <w:rsid w:val="0006576E"/>
    <w:rsid w:val="0006600F"/>
    <w:rsid w:val="00067D4E"/>
    <w:rsid w:val="00070C29"/>
    <w:rsid w:val="00073C4D"/>
    <w:rsid w:val="00074971"/>
    <w:rsid w:val="000773E2"/>
    <w:rsid w:val="000874A0"/>
    <w:rsid w:val="000935A5"/>
    <w:rsid w:val="00095777"/>
    <w:rsid w:val="000977D4"/>
    <w:rsid w:val="000A3950"/>
    <w:rsid w:val="000A59EC"/>
    <w:rsid w:val="000A6C7E"/>
    <w:rsid w:val="000B101C"/>
    <w:rsid w:val="000B4731"/>
    <w:rsid w:val="000B4D58"/>
    <w:rsid w:val="000B5DE2"/>
    <w:rsid w:val="000C0DA8"/>
    <w:rsid w:val="000C597F"/>
    <w:rsid w:val="000C6F6A"/>
    <w:rsid w:val="000D0C3B"/>
    <w:rsid w:val="000D0D44"/>
    <w:rsid w:val="000D26B1"/>
    <w:rsid w:val="000D38E4"/>
    <w:rsid w:val="000D699D"/>
    <w:rsid w:val="000E1619"/>
    <w:rsid w:val="000E1806"/>
    <w:rsid w:val="000E273D"/>
    <w:rsid w:val="000E64C3"/>
    <w:rsid w:val="000F3BD2"/>
    <w:rsid w:val="000F47F0"/>
    <w:rsid w:val="000F6502"/>
    <w:rsid w:val="00100F7E"/>
    <w:rsid w:val="00102D1C"/>
    <w:rsid w:val="001048B7"/>
    <w:rsid w:val="00104F3C"/>
    <w:rsid w:val="00105D3C"/>
    <w:rsid w:val="001106A9"/>
    <w:rsid w:val="00110AD2"/>
    <w:rsid w:val="00112D24"/>
    <w:rsid w:val="00112FDC"/>
    <w:rsid w:val="0011504F"/>
    <w:rsid w:val="00120E01"/>
    <w:rsid w:val="00123777"/>
    <w:rsid w:val="00123CE4"/>
    <w:rsid w:val="00123CFA"/>
    <w:rsid w:val="001264D9"/>
    <w:rsid w:val="00136563"/>
    <w:rsid w:val="00145167"/>
    <w:rsid w:val="001455A2"/>
    <w:rsid w:val="0014643A"/>
    <w:rsid w:val="00146DFD"/>
    <w:rsid w:val="001503F5"/>
    <w:rsid w:val="0015071E"/>
    <w:rsid w:val="00155CF7"/>
    <w:rsid w:val="00161197"/>
    <w:rsid w:val="001614AA"/>
    <w:rsid w:val="0016394A"/>
    <w:rsid w:val="00164ECF"/>
    <w:rsid w:val="00164F2B"/>
    <w:rsid w:val="001672E8"/>
    <w:rsid w:val="001711BF"/>
    <w:rsid w:val="00171CFC"/>
    <w:rsid w:val="001731F4"/>
    <w:rsid w:val="00173E12"/>
    <w:rsid w:val="00180E8F"/>
    <w:rsid w:val="001927FA"/>
    <w:rsid w:val="00194BFA"/>
    <w:rsid w:val="00194D7B"/>
    <w:rsid w:val="0019529E"/>
    <w:rsid w:val="00196A10"/>
    <w:rsid w:val="00197561"/>
    <w:rsid w:val="00197E2E"/>
    <w:rsid w:val="00197E85"/>
    <w:rsid w:val="001A0D7D"/>
    <w:rsid w:val="001A778B"/>
    <w:rsid w:val="001B2C15"/>
    <w:rsid w:val="001B6853"/>
    <w:rsid w:val="001B6E25"/>
    <w:rsid w:val="001C1745"/>
    <w:rsid w:val="001C2D87"/>
    <w:rsid w:val="001C46E1"/>
    <w:rsid w:val="001C727B"/>
    <w:rsid w:val="001D3747"/>
    <w:rsid w:val="001D540D"/>
    <w:rsid w:val="001D6902"/>
    <w:rsid w:val="001D71D9"/>
    <w:rsid w:val="001E1933"/>
    <w:rsid w:val="001E2E3F"/>
    <w:rsid w:val="001E540E"/>
    <w:rsid w:val="001E64C9"/>
    <w:rsid w:val="001E7103"/>
    <w:rsid w:val="001F42B3"/>
    <w:rsid w:val="001F4BC3"/>
    <w:rsid w:val="001F6A00"/>
    <w:rsid w:val="001F7FDB"/>
    <w:rsid w:val="002040B8"/>
    <w:rsid w:val="002060C5"/>
    <w:rsid w:val="002114A4"/>
    <w:rsid w:val="00214D87"/>
    <w:rsid w:val="00215FF9"/>
    <w:rsid w:val="0022165D"/>
    <w:rsid w:val="00221B17"/>
    <w:rsid w:val="00223E44"/>
    <w:rsid w:val="00225F22"/>
    <w:rsid w:val="00227228"/>
    <w:rsid w:val="00227605"/>
    <w:rsid w:val="002319BD"/>
    <w:rsid w:val="00232A22"/>
    <w:rsid w:val="00232C5D"/>
    <w:rsid w:val="002336ED"/>
    <w:rsid w:val="00235D3B"/>
    <w:rsid w:val="00235EA5"/>
    <w:rsid w:val="00236C52"/>
    <w:rsid w:val="00246601"/>
    <w:rsid w:val="00252C99"/>
    <w:rsid w:val="00253BD3"/>
    <w:rsid w:val="00253E2A"/>
    <w:rsid w:val="002548CE"/>
    <w:rsid w:val="00254FEC"/>
    <w:rsid w:val="00256D8C"/>
    <w:rsid w:val="00257115"/>
    <w:rsid w:val="0025734B"/>
    <w:rsid w:val="0026275B"/>
    <w:rsid w:val="00271162"/>
    <w:rsid w:val="00281F71"/>
    <w:rsid w:val="0028342C"/>
    <w:rsid w:val="00284BAF"/>
    <w:rsid w:val="0028608C"/>
    <w:rsid w:val="0028743D"/>
    <w:rsid w:val="00287468"/>
    <w:rsid w:val="00293C4A"/>
    <w:rsid w:val="00296321"/>
    <w:rsid w:val="002A43B4"/>
    <w:rsid w:val="002A4DD2"/>
    <w:rsid w:val="002A61C1"/>
    <w:rsid w:val="002A7CB7"/>
    <w:rsid w:val="002B0C66"/>
    <w:rsid w:val="002B1D71"/>
    <w:rsid w:val="002B4AD9"/>
    <w:rsid w:val="002B57DA"/>
    <w:rsid w:val="002B608F"/>
    <w:rsid w:val="002B7F74"/>
    <w:rsid w:val="002C031F"/>
    <w:rsid w:val="002C100E"/>
    <w:rsid w:val="002C6982"/>
    <w:rsid w:val="002D32AB"/>
    <w:rsid w:val="002D7A7E"/>
    <w:rsid w:val="002E194E"/>
    <w:rsid w:val="002E7D01"/>
    <w:rsid w:val="002E7E83"/>
    <w:rsid w:val="002F018E"/>
    <w:rsid w:val="002F1943"/>
    <w:rsid w:val="002F528A"/>
    <w:rsid w:val="002F6F5F"/>
    <w:rsid w:val="003045F7"/>
    <w:rsid w:val="00311296"/>
    <w:rsid w:val="00312862"/>
    <w:rsid w:val="00314B2A"/>
    <w:rsid w:val="00317E25"/>
    <w:rsid w:val="003204E2"/>
    <w:rsid w:val="00320967"/>
    <w:rsid w:val="0032185C"/>
    <w:rsid w:val="003226E8"/>
    <w:rsid w:val="003226FC"/>
    <w:rsid w:val="00324017"/>
    <w:rsid w:val="00324AB5"/>
    <w:rsid w:val="003319B1"/>
    <w:rsid w:val="00331E91"/>
    <w:rsid w:val="0033200F"/>
    <w:rsid w:val="00335B2A"/>
    <w:rsid w:val="00344041"/>
    <w:rsid w:val="00344A8B"/>
    <w:rsid w:val="00346B26"/>
    <w:rsid w:val="0035121C"/>
    <w:rsid w:val="00351B52"/>
    <w:rsid w:val="00353B61"/>
    <w:rsid w:val="00354E53"/>
    <w:rsid w:val="00355087"/>
    <w:rsid w:val="00356A22"/>
    <w:rsid w:val="00361151"/>
    <w:rsid w:val="00370629"/>
    <w:rsid w:val="003744C4"/>
    <w:rsid w:val="00377EAE"/>
    <w:rsid w:val="003863E7"/>
    <w:rsid w:val="00392155"/>
    <w:rsid w:val="003A27B4"/>
    <w:rsid w:val="003A52CD"/>
    <w:rsid w:val="003A54AD"/>
    <w:rsid w:val="003B01B8"/>
    <w:rsid w:val="003B30EE"/>
    <w:rsid w:val="003B420F"/>
    <w:rsid w:val="003B4266"/>
    <w:rsid w:val="003B49C5"/>
    <w:rsid w:val="003B6AA5"/>
    <w:rsid w:val="003C00A4"/>
    <w:rsid w:val="003C0747"/>
    <w:rsid w:val="003C22E3"/>
    <w:rsid w:val="003C2A74"/>
    <w:rsid w:val="003C51BF"/>
    <w:rsid w:val="003C6E36"/>
    <w:rsid w:val="003D0273"/>
    <w:rsid w:val="003D3020"/>
    <w:rsid w:val="003D76C7"/>
    <w:rsid w:val="003E08A3"/>
    <w:rsid w:val="003E2959"/>
    <w:rsid w:val="003E2BEA"/>
    <w:rsid w:val="003E3F76"/>
    <w:rsid w:val="003E43FA"/>
    <w:rsid w:val="003E5A52"/>
    <w:rsid w:val="003E6D69"/>
    <w:rsid w:val="003F418A"/>
    <w:rsid w:val="003F76AF"/>
    <w:rsid w:val="00401C79"/>
    <w:rsid w:val="004034D4"/>
    <w:rsid w:val="00403A8F"/>
    <w:rsid w:val="00410029"/>
    <w:rsid w:val="004113E4"/>
    <w:rsid w:val="004114B3"/>
    <w:rsid w:val="00411B72"/>
    <w:rsid w:val="004146A3"/>
    <w:rsid w:val="004211FB"/>
    <w:rsid w:val="004217C4"/>
    <w:rsid w:val="00423685"/>
    <w:rsid w:val="0043188B"/>
    <w:rsid w:val="0043206B"/>
    <w:rsid w:val="0043387A"/>
    <w:rsid w:val="00433DD3"/>
    <w:rsid w:val="00440F93"/>
    <w:rsid w:val="004426CB"/>
    <w:rsid w:val="004456F7"/>
    <w:rsid w:val="004544DE"/>
    <w:rsid w:val="00457793"/>
    <w:rsid w:val="00457E14"/>
    <w:rsid w:val="00462B11"/>
    <w:rsid w:val="0046330C"/>
    <w:rsid w:val="00463D0B"/>
    <w:rsid w:val="00467F14"/>
    <w:rsid w:val="00467F6F"/>
    <w:rsid w:val="00472FB3"/>
    <w:rsid w:val="00475DB7"/>
    <w:rsid w:val="0048042C"/>
    <w:rsid w:val="00480595"/>
    <w:rsid w:val="00480E59"/>
    <w:rsid w:val="00487A51"/>
    <w:rsid w:val="004918A1"/>
    <w:rsid w:val="004A4452"/>
    <w:rsid w:val="004A4549"/>
    <w:rsid w:val="004A546B"/>
    <w:rsid w:val="004A5C1B"/>
    <w:rsid w:val="004B5B08"/>
    <w:rsid w:val="004C12B5"/>
    <w:rsid w:val="004C1621"/>
    <w:rsid w:val="004C2C36"/>
    <w:rsid w:val="004C5973"/>
    <w:rsid w:val="004C6A16"/>
    <w:rsid w:val="004D029F"/>
    <w:rsid w:val="004D1118"/>
    <w:rsid w:val="004D2990"/>
    <w:rsid w:val="004D2AC2"/>
    <w:rsid w:val="004D33AB"/>
    <w:rsid w:val="004D7600"/>
    <w:rsid w:val="004E4307"/>
    <w:rsid w:val="004E48A0"/>
    <w:rsid w:val="004E4B3D"/>
    <w:rsid w:val="004E61B7"/>
    <w:rsid w:val="004E63BC"/>
    <w:rsid w:val="004F4AF0"/>
    <w:rsid w:val="004F5B09"/>
    <w:rsid w:val="0050500A"/>
    <w:rsid w:val="0050579C"/>
    <w:rsid w:val="00505C0B"/>
    <w:rsid w:val="00507A8F"/>
    <w:rsid w:val="005126C9"/>
    <w:rsid w:val="00512D68"/>
    <w:rsid w:val="00515F92"/>
    <w:rsid w:val="005163EC"/>
    <w:rsid w:val="0051767F"/>
    <w:rsid w:val="00521F9C"/>
    <w:rsid w:val="005233A0"/>
    <w:rsid w:val="00545E94"/>
    <w:rsid w:val="00546A72"/>
    <w:rsid w:val="00552DFA"/>
    <w:rsid w:val="00554D3A"/>
    <w:rsid w:val="00554EB2"/>
    <w:rsid w:val="005551D3"/>
    <w:rsid w:val="0055574A"/>
    <w:rsid w:val="0056063A"/>
    <w:rsid w:val="00561F13"/>
    <w:rsid w:val="005621EA"/>
    <w:rsid w:val="0056221E"/>
    <w:rsid w:val="00563DB2"/>
    <w:rsid w:val="00563F07"/>
    <w:rsid w:val="005702C8"/>
    <w:rsid w:val="005705C9"/>
    <w:rsid w:val="00574E7F"/>
    <w:rsid w:val="00575EE4"/>
    <w:rsid w:val="00583009"/>
    <w:rsid w:val="005831A1"/>
    <w:rsid w:val="00585485"/>
    <w:rsid w:val="005922F6"/>
    <w:rsid w:val="00594243"/>
    <w:rsid w:val="005A2019"/>
    <w:rsid w:val="005A2105"/>
    <w:rsid w:val="005A7F02"/>
    <w:rsid w:val="005B017A"/>
    <w:rsid w:val="005B09C5"/>
    <w:rsid w:val="005B3458"/>
    <w:rsid w:val="005B3C26"/>
    <w:rsid w:val="005B52EC"/>
    <w:rsid w:val="005B576E"/>
    <w:rsid w:val="005B79C8"/>
    <w:rsid w:val="005C06A1"/>
    <w:rsid w:val="005C2412"/>
    <w:rsid w:val="005C78D2"/>
    <w:rsid w:val="005D10D4"/>
    <w:rsid w:val="005D5E28"/>
    <w:rsid w:val="005D71EE"/>
    <w:rsid w:val="005D7574"/>
    <w:rsid w:val="005E0594"/>
    <w:rsid w:val="005E09B7"/>
    <w:rsid w:val="005E1B83"/>
    <w:rsid w:val="005E3A7A"/>
    <w:rsid w:val="005E5792"/>
    <w:rsid w:val="005E5B2C"/>
    <w:rsid w:val="005E6248"/>
    <w:rsid w:val="005E6CB1"/>
    <w:rsid w:val="005F13FB"/>
    <w:rsid w:val="005F25DC"/>
    <w:rsid w:val="005F59F8"/>
    <w:rsid w:val="005F6827"/>
    <w:rsid w:val="005F78DF"/>
    <w:rsid w:val="0060052B"/>
    <w:rsid w:val="006015D3"/>
    <w:rsid w:val="00602EF8"/>
    <w:rsid w:val="00603815"/>
    <w:rsid w:val="00606DA9"/>
    <w:rsid w:val="00607347"/>
    <w:rsid w:val="006077D2"/>
    <w:rsid w:val="00610982"/>
    <w:rsid w:val="006177DD"/>
    <w:rsid w:val="00620FFB"/>
    <w:rsid w:val="00622ADC"/>
    <w:rsid w:val="00623CDA"/>
    <w:rsid w:val="0062651B"/>
    <w:rsid w:val="00626BC5"/>
    <w:rsid w:val="006335DF"/>
    <w:rsid w:val="00637FEF"/>
    <w:rsid w:val="006403B6"/>
    <w:rsid w:val="00641F0F"/>
    <w:rsid w:val="006422DE"/>
    <w:rsid w:val="00642501"/>
    <w:rsid w:val="00647210"/>
    <w:rsid w:val="00647987"/>
    <w:rsid w:val="00647F8C"/>
    <w:rsid w:val="006572C2"/>
    <w:rsid w:val="00657D39"/>
    <w:rsid w:val="00661DD0"/>
    <w:rsid w:val="00672EAD"/>
    <w:rsid w:val="006732AD"/>
    <w:rsid w:val="0067341A"/>
    <w:rsid w:val="00681038"/>
    <w:rsid w:val="00684CD3"/>
    <w:rsid w:val="00690DBE"/>
    <w:rsid w:val="00691B4A"/>
    <w:rsid w:val="00692F8A"/>
    <w:rsid w:val="00695148"/>
    <w:rsid w:val="00696190"/>
    <w:rsid w:val="00697187"/>
    <w:rsid w:val="0069769F"/>
    <w:rsid w:val="006A2064"/>
    <w:rsid w:val="006A5737"/>
    <w:rsid w:val="006B4450"/>
    <w:rsid w:val="006B555F"/>
    <w:rsid w:val="006B6925"/>
    <w:rsid w:val="006C14B7"/>
    <w:rsid w:val="006C1FDB"/>
    <w:rsid w:val="006C2B12"/>
    <w:rsid w:val="006C537E"/>
    <w:rsid w:val="006C5B65"/>
    <w:rsid w:val="006C73F0"/>
    <w:rsid w:val="006D1784"/>
    <w:rsid w:val="006D1DE5"/>
    <w:rsid w:val="006D2BA3"/>
    <w:rsid w:val="006E0186"/>
    <w:rsid w:val="006E7F22"/>
    <w:rsid w:val="006F09EC"/>
    <w:rsid w:val="006F11B1"/>
    <w:rsid w:val="006F17BE"/>
    <w:rsid w:val="00703178"/>
    <w:rsid w:val="007032F6"/>
    <w:rsid w:val="0070365A"/>
    <w:rsid w:val="0070378C"/>
    <w:rsid w:val="0070390A"/>
    <w:rsid w:val="007045F7"/>
    <w:rsid w:val="0070627B"/>
    <w:rsid w:val="00711E53"/>
    <w:rsid w:val="007174E3"/>
    <w:rsid w:val="00721F7D"/>
    <w:rsid w:val="00723B25"/>
    <w:rsid w:val="007251F6"/>
    <w:rsid w:val="00725249"/>
    <w:rsid w:val="007301C5"/>
    <w:rsid w:val="00731435"/>
    <w:rsid w:val="00734C8E"/>
    <w:rsid w:val="00736A3A"/>
    <w:rsid w:val="0073707C"/>
    <w:rsid w:val="0074083D"/>
    <w:rsid w:val="007419AC"/>
    <w:rsid w:val="00743BC9"/>
    <w:rsid w:val="007469AD"/>
    <w:rsid w:val="00746F14"/>
    <w:rsid w:val="00747575"/>
    <w:rsid w:val="00753EFC"/>
    <w:rsid w:val="00754050"/>
    <w:rsid w:val="007547CD"/>
    <w:rsid w:val="00756E8A"/>
    <w:rsid w:val="0076103F"/>
    <w:rsid w:val="00762A11"/>
    <w:rsid w:val="00765D14"/>
    <w:rsid w:val="00770A13"/>
    <w:rsid w:val="00770F1B"/>
    <w:rsid w:val="00774F42"/>
    <w:rsid w:val="007756B5"/>
    <w:rsid w:val="00775A19"/>
    <w:rsid w:val="00776D8A"/>
    <w:rsid w:val="00786BC2"/>
    <w:rsid w:val="007871E8"/>
    <w:rsid w:val="0079050A"/>
    <w:rsid w:val="007910A3"/>
    <w:rsid w:val="0079660B"/>
    <w:rsid w:val="0079712A"/>
    <w:rsid w:val="007A18E2"/>
    <w:rsid w:val="007A4CFE"/>
    <w:rsid w:val="007B05AC"/>
    <w:rsid w:val="007B1526"/>
    <w:rsid w:val="007B1535"/>
    <w:rsid w:val="007C62E4"/>
    <w:rsid w:val="007C7974"/>
    <w:rsid w:val="007D5073"/>
    <w:rsid w:val="007D79A4"/>
    <w:rsid w:val="007E38AC"/>
    <w:rsid w:val="007E5424"/>
    <w:rsid w:val="007E5466"/>
    <w:rsid w:val="007F6068"/>
    <w:rsid w:val="007F65C9"/>
    <w:rsid w:val="007F67E6"/>
    <w:rsid w:val="00803792"/>
    <w:rsid w:val="0080640D"/>
    <w:rsid w:val="008126EB"/>
    <w:rsid w:val="00814865"/>
    <w:rsid w:val="008165EE"/>
    <w:rsid w:val="008200A8"/>
    <w:rsid w:val="00821AC3"/>
    <w:rsid w:val="008278B1"/>
    <w:rsid w:val="00830A86"/>
    <w:rsid w:val="00830D29"/>
    <w:rsid w:val="00833838"/>
    <w:rsid w:val="00835443"/>
    <w:rsid w:val="008363B9"/>
    <w:rsid w:val="008372B3"/>
    <w:rsid w:val="00840B5F"/>
    <w:rsid w:val="0084206A"/>
    <w:rsid w:val="00842386"/>
    <w:rsid w:val="008450AA"/>
    <w:rsid w:val="00847CB9"/>
    <w:rsid w:val="00851921"/>
    <w:rsid w:val="00861929"/>
    <w:rsid w:val="008671ED"/>
    <w:rsid w:val="008678DE"/>
    <w:rsid w:val="00872075"/>
    <w:rsid w:val="00873753"/>
    <w:rsid w:val="0087399E"/>
    <w:rsid w:val="00874212"/>
    <w:rsid w:val="00876F0B"/>
    <w:rsid w:val="00877EFE"/>
    <w:rsid w:val="00887DE0"/>
    <w:rsid w:val="00891E66"/>
    <w:rsid w:val="00892300"/>
    <w:rsid w:val="00895FD4"/>
    <w:rsid w:val="008A44B0"/>
    <w:rsid w:val="008A4783"/>
    <w:rsid w:val="008A69A9"/>
    <w:rsid w:val="008B295E"/>
    <w:rsid w:val="008B3EA0"/>
    <w:rsid w:val="008B45C6"/>
    <w:rsid w:val="008B4B8A"/>
    <w:rsid w:val="008B50FC"/>
    <w:rsid w:val="008B5B2B"/>
    <w:rsid w:val="008B7B2B"/>
    <w:rsid w:val="008C240E"/>
    <w:rsid w:val="008C2443"/>
    <w:rsid w:val="008C61AB"/>
    <w:rsid w:val="008D0208"/>
    <w:rsid w:val="008D4DB6"/>
    <w:rsid w:val="008D4E03"/>
    <w:rsid w:val="008D5DF5"/>
    <w:rsid w:val="008D7146"/>
    <w:rsid w:val="008E0A60"/>
    <w:rsid w:val="008E0BD4"/>
    <w:rsid w:val="008E5108"/>
    <w:rsid w:val="008E5DE0"/>
    <w:rsid w:val="008F26B4"/>
    <w:rsid w:val="008F3BA9"/>
    <w:rsid w:val="008F5E65"/>
    <w:rsid w:val="00901F7C"/>
    <w:rsid w:val="009027E3"/>
    <w:rsid w:val="00904B89"/>
    <w:rsid w:val="009073B8"/>
    <w:rsid w:val="00910BBD"/>
    <w:rsid w:val="00910C02"/>
    <w:rsid w:val="009139C8"/>
    <w:rsid w:val="009143E3"/>
    <w:rsid w:val="00920341"/>
    <w:rsid w:val="009244EC"/>
    <w:rsid w:val="00926CFF"/>
    <w:rsid w:val="00930C0E"/>
    <w:rsid w:val="0093187C"/>
    <w:rsid w:val="009325DA"/>
    <w:rsid w:val="00933268"/>
    <w:rsid w:val="00940EB6"/>
    <w:rsid w:val="0094200A"/>
    <w:rsid w:val="00943424"/>
    <w:rsid w:val="00944A2B"/>
    <w:rsid w:val="00944B3C"/>
    <w:rsid w:val="00944F3A"/>
    <w:rsid w:val="00947E7A"/>
    <w:rsid w:val="00951C21"/>
    <w:rsid w:val="00952A93"/>
    <w:rsid w:val="009533F3"/>
    <w:rsid w:val="00953B6F"/>
    <w:rsid w:val="00957208"/>
    <w:rsid w:val="00957A59"/>
    <w:rsid w:val="00960B35"/>
    <w:rsid w:val="0096179E"/>
    <w:rsid w:val="00962012"/>
    <w:rsid w:val="0096395E"/>
    <w:rsid w:val="00966EA9"/>
    <w:rsid w:val="00975AA9"/>
    <w:rsid w:val="00977C2A"/>
    <w:rsid w:val="00977EEC"/>
    <w:rsid w:val="009830D5"/>
    <w:rsid w:val="00983372"/>
    <w:rsid w:val="00985D92"/>
    <w:rsid w:val="009876B4"/>
    <w:rsid w:val="009920A0"/>
    <w:rsid w:val="00993909"/>
    <w:rsid w:val="009975CC"/>
    <w:rsid w:val="00997C4E"/>
    <w:rsid w:val="009A1103"/>
    <w:rsid w:val="009A7F52"/>
    <w:rsid w:val="009B0ACF"/>
    <w:rsid w:val="009B133F"/>
    <w:rsid w:val="009B1891"/>
    <w:rsid w:val="009B196A"/>
    <w:rsid w:val="009B3424"/>
    <w:rsid w:val="009B617D"/>
    <w:rsid w:val="009C79AA"/>
    <w:rsid w:val="009D1958"/>
    <w:rsid w:val="009D278D"/>
    <w:rsid w:val="009D4200"/>
    <w:rsid w:val="009D6D42"/>
    <w:rsid w:val="009E07E6"/>
    <w:rsid w:val="009E5CAD"/>
    <w:rsid w:val="009E782A"/>
    <w:rsid w:val="00A00817"/>
    <w:rsid w:val="00A02780"/>
    <w:rsid w:val="00A03D95"/>
    <w:rsid w:val="00A04046"/>
    <w:rsid w:val="00A110D7"/>
    <w:rsid w:val="00A121E3"/>
    <w:rsid w:val="00A122D2"/>
    <w:rsid w:val="00A1291E"/>
    <w:rsid w:val="00A13114"/>
    <w:rsid w:val="00A15157"/>
    <w:rsid w:val="00A26EA1"/>
    <w:rsid w:val="00A30B55"/>
    <w:rsid w:val="00A5381D"/>
    <w:rsid w:val="00A614BF"/>
    <w:rsid w:val="00A61E8D"/>
    <w:rsid w:val="00A72534"/>
    <w:rsid w:val="00A73AF9"/>
    <w:rsid w:val="00A7779E"/>
    <w:rsid w:val="00A81C1D"/>
    <w:rsid w:val="00A875AE"/>
    <w:rsid w:val="00A92C58"/>
    <w:rsid w:val="00A96751"/>
    <w:rsid w:val="00A978CF"/>
    <w:rsid w:val="00AA5A26"/>
    <w:rsid w:val="00AA7359"/>
    <w:rsid w:val="00AA7529"/>
    <w:rsid w:val="00AA7B36"/>
    <w:rsid w:val="00AA7FD9"/>
    <w:rsid w:val="00AB1FBF"/>
    <w:rsid w:val="00AB3659"/>
    <w:rsid w:val="00AB457E"/>
    <w:rsid w:val="00AB5FA2"/>
    <w:rsid w:val="00AB7FB9"/>
    <w:rsid w:val="00AC3541"/>
    <w:rsid w:val="00AC5216"/>
    <w:rsid w:val="00AC641A"/>
    <w:rsid w:val="00AC71DD"/>
    <w:rsid w:val="00AD2846"/>
    <w:rsid w:val="00AD4E77"/>
    <w:rsid w:val="00AD602B"/>
    <w:rsid w:val="00AD6976"/>
    <w:rsid w:val="00AE3BD6"/>
    <w:rsid w:val="00AE3FD5"/>
    <w:rsid w:val="00AE4913"/>
    <w:rsid w:val="00AE7F8E"/>
    <w:rsid w:val="00AF607E"/>
    <w:rsid w:val="00AF6326"/>
    <w:rsid w:val="00AF6464"/>
    <w:rsid w:val="00AF67B9"/>
    <w:rsid w:val="00AF70F1"/>
    <w:rsid w:val="00B11FB5"/>
    <w:rsid w:val="00B13B87"/>
    <w:rsid w:val="00B1466E"/>
    <w:rsid w:val="00B152FF"/>
    <w:rsid w:val="00B16C13"/>
    <w:rsid w:val="00B22F97"/>
    <w:rsid w:val="00B23A11"/>
    <w:rsid w:val="00B26011"/>
    <w:rsid w:val="00B26438"/>
    <w:rsid w:val="00B27197"/>
    <w:rsid w:val="00B27365"/>
    <w:rsid w:val="00B30857"/>
    <w:rsid w:val="00B31867"/>
    <w:rsid w:val="00B32255"/>
    <w:rsid w:val="00B3483F"/>
    <w:rsid w:val="00B362E6"/>
    <w:rsid w:val="00B3684B"/>
    <w:rsid w:val="00B450E3"/>
    <w:rsid w:val="00B46A61"/>
    <w:rsid w:val="00B4725F"/>
    <w:rsid w:val="00B4740C"/>
    <w:rsid w:val="00B503DC"/>
    <w:rsid w:val="00B50B5B"/>
    <w:rsid w:val="00B5188B"/>
    <w:rsid w:val="00B5261E"/>
    <w:rsid w:val="00B52BD6"/>
    <w:rsid w:val="00B578C8"/>
    <w:rsid w:val="00B667B8"/>
    <w:rsid w:val="00B73F31"/>
    <w:rsid w:val="00B7500C"/>
    <w:rsid w:val="00B76290"/>
    <w:rsid w:val="00B76365"/>
    <w:rsid w:val="00B80DD8"/>
    <w:rsid w:val="00B9587A"/>
    <w:rsid w:val="00B97C07"/>
    <w:rsid w:val="00BA05BC"/>
    <w:rsid w:val="00BA1921"/>
    <w:rsid w:val="00BA38A1"/>
    <w:rsid w:val="00BA4466"/>
    <w:rsid w:val="00BA499F"/>
    <w:rsid w:val="00BA5FFC"/>
    <w:rsid w:val="00BA7489"/>
    <w:rsid w:val="00BB300D"/>
    <w:rsid w:val="00BB311F"/>
    <w:rsid w:val="00BC1C8F"/>
    <w:rsid w:val="00BC484B"/>
    <w:rsid w:val="00BC7143"/>
    <w:rsid w:val="00BD09E1"/>
    <w:rsid w:val="00BD09F2"/>
    <w:rsid w:val="00BD21AA"/>
    <w:rsid w:val="00BD2C06"/>
    <w:rsid w:val="00BD38C6"/>
    <w:rsid w:val="00BE07AC"/>
    <w:rsid w:val="00BE309E"/>
    <w:rsid w:val="00BE3501"/>
    <w:rsid w:val="00BF09B6"/>
    <w:rsid w:val="00C0307E"/>
    <w:rsid w:val="00C05AD4"/>
    <w:rsid w:val="00C0731B"/>
    <w:rsid w:val="00C132B4"/>
    <w:rsid w:val="00C17437"/>
    <w:rsid w:val="00C2585B"/>
    <w:rsid w:val="00C3255A"/>
    <w:rsid w:val="00C32991"/>
    <w:rsid w:val="00C32DEF"/>
    <w:rsid w:val="00C35690"/>
    <w:rsid w:val="00C37899"/>
    <w:rsid w:val="00C37EAA"/>
    <w:rsid w:val="00C42D50"/>
    <w:rsid w:val="00C431F6"/>
    <w:rsid w:val="00C43773"/>
    <w:rsid w:val="00C44D92"/>
    <w:rsid w:val="00C45FA0"/>
    <w:rsid w:val="00C46D6B"/>
    <w:rsid w:val="00C473A3"/>
    <w:rsid w:val="00C513A4"/>
    <w:rsid w:val="00C52D60"/>
    <w:rsid w:val="00C53413"/>
    <w:rsid w:val="00C57335"/>
    <w:rsid w:val="00C62EFD"/>
    <w:rsid w:val="00C64B00"/>
    <w:rsid w:val="00C66FC5"/>
    <w:rsid w:val="00C72F18"/>
    <w:rsid w:val="00C74FB6"/>
    <w:rsid w:val="00C816C5"/>
    <w:rsid w:val="00C8622D"/>
    <w:rsid w:val="00C87AE0"/>
    <w:rsid w:val="00C901B9"/>
    <w:rsid w:val="00C94215"/>
    <w:rsid w:val="00C95AB0"/>
    <w:rsid w:val="00CA2506"/>
    <w:rsid w:val="00CA3EF3"/>
    <w:rsid w:val="00CA52D7"/>
    <w:rsid w:val="00CA613C"/>
    <w:rsid w:val="00CB0E97"/>
    <w:rsid w:val="00CB18C6"/>
    <w:rsid w:val="00CB452C"/>
    <w:rsid w:val="00CB58A9"/>
    <w:rsid w:val="00CB60AF"/>
    <w:rsid w:val="00CB6B4F"/>
    <w:rsid w:val="00CB71A6"/>
    <w:rsid w:val="00CB766C"/>
    <w:rsid w:val="00CC20F3"/>
    <w:rsid w:val="00CC390E"/>
    <w:rsid w:val="00CD1340"/>
    <w:rsid w:val="00CD1C43"/>
    <w:rsid w:val="00CD49B6"/>
    <w:rsid w:val="00CD6BB3"/>
    <w:rsid w:val="00CE06A8"/>
    <w:rsid w:val="00CE6FBC"/>
    <w:rsid w:val="00CF1288"/>
    <w:rsid w:val="00CF3FC9"/>
    <w:rsid w:val="00CF4DF4"/>
    <w:rsid w:val="00D004BE"/>
    <w:rsid w:val="00D045ED"/>
    <w:rsid w:val="00D06BBE"/>
    <w:rsid w:val="00D0786D"/>
    <w:rsid w:val="00D108C2"/>
    <w:rsid w:val="00D16937"/>
    <w:rsid w:val="00D21D14"/>
    <w:rsid w:val="00D228AA"/>
    <w:rsid w:val="00D22AE4"/>
    <w:rsid w:val="00D26550"/>
    <w:rsid w:val="00D31636"/>
    <w:rsid w:val="00D36FA1"/>
    <w:rsid w:val="00D4196E"/>
    <w:rsid w:val="00D43586"/>
    <w:rsid w:val="00D47B87"/>
    <w:rsid w:val="00D51142"/>
    <w:rsid w:val="00D51E76"/>
    <w:rsid w:val="00D53BD2"/>
    <w:rsid w:val="00D5569F"/>
    <w:rsid w:val="00D6180A"/>
    <w:rsid w:val="00D61845"/>
    <w:rsid w:val="00D62B11"/>
    <w:rsid w:val="00D64189"/>
    <w:rsid w:val="00D64207"/>
    <w:rsid w:val="00D65EF8"/>
    <w:rsid w:val="00D707DC"/>
    <w:rsid w:val="00D7118B"/>
    <w:rsid w:val="00D7458C"/>
    <w:rsid w:val="00D778B9"/>
    <w:rsid w:val="00D810A6"/>
    <w:rsid w:val="00D818EE"/>
    <w:rsid w:val="00D829DF"/>
    <w:rsid w:val="00D87077"/>
    <w:rsid w:val="00D968CA"/>
    <w:rsid w:val="00DA1220"/>
    <w:rsid w:val="00DA1D92"/>
    <w:rsid w:val="00DB11E3"/>
    <w:rsid w:val="00DB1441"/>
    <w:rsid w:val="00DB3192"/>
    <w:rsid w:val="00DB3E54"/>
    <w:rsid w:val="00DB7CD1"/>
    <w:rsid w:val="00DC4BFB"/>
    <w:rsid w:val="00DC4D01"/>
    <w:rsid w:val="00DC78DB"/>
    <w:rsid w:val="00DD1613"/>
    <w:rsid w:val="00DD62B9"/>
    <w:rsid w:val="00DE022C"/>
    <w:rsid w:val="00DE16F7"/>
    <w:rsid w:val="00DE1F14"/>
    <w:rsid w:val="00DE4487"/>
    <w:rsid w:val="00DE4CCE"/>
    <w:rsid w:val="00DE5A52"/>
    <w:rsid w:val="00DE620E"/>
    <w:rsid w:val="00DF047C"/>
    <w:rsid w:val="00DF0EE3"/>
    <w:rsid w:val="00DF125F"/>
    <w:rsid w:val="00DF2D53"/>
    <w:rsid w:val="00DF4445"/>
    <w:rsid w:val="00DF52F2"/>
    <w:rsid w:val="00DF54E5"/>
    <w:rsid w:val="00DF76B8"/>
    <w:rsid w:val="00E0555E"/>
    <w:rsid w:val="00E07E59"/>
    <w:rsid w:val="00E104D8"/>
    <w:rsid w:val="00E1066E"/>
    <w:rsid w:val="00E10E05"/>
    <w:rsid w:val="00E1219C"/>
    <w:rsid w:val="00E12CF3"/>
    <w:rsid w:val="00E14121"/>
    <w:rsid w:val="00E1491D"/>
    <w:rsid w:val="00E24967"/>
    <w:rsid w:val="00E25420"/>
    <w:rsid w:val="00E30181"/>
    <w:rsid w:val="00E31086"/>
    <w:rsid w:val="00E3169A"/>
    <w:rsid w:val="00E31C67"/>
    <w:rsid w:val="00E344A4"/>
    <w:rsid w:val="00E37D2D"/>
    <w:rsid w:val="00E41552"/>
    <w:rsid w:val="00E41D12"/>
    <w:rsid w:val="00E42477"/>
    <w:rsid w:val="00E46811"/>
    <w:rsid w:val="00E518C5"/>
    <w:rsid w:val="00E537BE"/>
    <w:rsid w:val="00E546F5"/>
    <w:rsid w:val="00E554B1"/>
    <w:rsid w:val="00E62C35"/>
    <w:rsid w:val="00E631F9"/>
    <w:rsid w:val="00E63B19"/>
    <w:rsid w:val="00E65FA6"/>
    <w:rsid w:val="00E667D7"/>
    <w:rsid w:val="00E66B5F"/>
    <w:rsid w:val="00E67346"/>
    <w:rsid w:val="00E70F90"/>
    <w:rsid w:val="00E73FF0"/>
    <w:rsid w:val="00E769DE"/>
    <w:rsid w:val="00E832EC"/>
    <w:rsid w:val="00E8516F"/>
    <w:rsid w:val="00E869F3"/>
    <w:rsid w:val="00E86D99"/>
    <w:rsid w:val="00E9123A"/>
    <w:rsid w:val="00E95C8F"/>
    <w:rsid w:val="00EA44CD"/>
    <w:rsid w:val="00EA4E2E"/>
    <w:rsid w:val="00EB2933"/>
    <w:rsid w:val="00EB5B76"/>
    <w:rsid w:val="00EB6788"/>
    <w:rsid w:val="00EC2448"/>
    <w:rsid w:val="00EC3EB8"/>
    <w:rsid w:val="00EC3ED1"/>
    <w:rsid w:val="00ED1079"/>
    <w:rsid w:val="00ED55A1"/>
    <w:rsid w:val="00ED5DC8"/>
    <w:rsid w:val="00ED6F82"/>
    <w:rsid w:val="00ED6FD5"/>
    <w:rsid w:val="00EE00B7"/>
    <w:rsid w:val="00EE4151"/>
    <w:rsid w:val="00EE7B4D"/>
    <w:rsid w:val="00EF5BA1"/>
    <w:rsid w:val="00EF7BB5"/>
    <w:rsid w:val="00F04578"/>
    <w:rsid w:val="00F06CAD"/>
    <w:rsid w:val="00F07F69"/>
    <w:rsid w:val="00F159D4"/>
    <w:rsid w:val="00F316E7"/>
    <w:rsid w:val="00F34F85"/>
    <w:rsid w:val="00F35AED"/>
    <w:rsid w:val="00F37B88"/>
    <w:rsid w:val="00F408FE"/>
    <w:rsid w:val="00F42388"/>
    <w:rsid w:val="00F42B1D"/>
    <w:rsid w:val="00F42D4B"/>
    <w:rsid w:val="00F43DE6"/>
    <w:rsid w:val="00F46D6F"/>
    <w:rsid w:val="00F51AF8"/>
    <w:rsid w:val="00F51E10"/>
    <w:rsid w:val="00F52DC1"/>
    <w:rsid w:val="00F666BB"/>
    <w:rsid w:val="00F70AC7"/>
    <w:rsid w:val="00F7150F"/>
    <w:rsid w:val="00F71DFC"/>
    <w:rsid w:val="00F8105D"/>
    <w:rsid w:val="00F81A67"/>
    <w:rsid w:val="00F83A74"/>
    <w:rsid w:val="00F846DE"/>
    <w:rsid w:val="00F85192"/>
    <w:rsid w:val="00F872E2"/>
    <w:rsid w:val="00F87804"/>
    <w:rsid w:val="00F949AF"/>
    <w:rsid w:val="00F955AC"/>
    <w:rsid w:val="00F96C33"/>
    <w:rsid w:val="00FA2506"/>
    <w:rsid w:val="00FA3450"/>
    <w:rsid w:val="00FA4464"/>
    <w:rsid w:val="00FA7DCD"/>
    <w:rsid w:val="00FB069C"/>
    <w:rsid w:val="00FB2259"/>
    <w:rsid w:val="00FB442D"/>
    <w:rsid w:val="00FC0328"/>
    <w:rsid w:val="00FC5AC5"/>
    <w:rsid w:val="00FC5B71"/>
    <w:rsid w:val="00FC5F82"/>
    <w:rsid w:val="00FC66A6"/>
    <w:rsid w:val="00FC7BAC"/>
    <w:rsid w:val="00FC7DFC"/>
    <w:rsid w:val="00FD150B"/>
    <w:rsid w:val="00FD166B"/>
    <w:rsid w:val="00FD7131"/>
    <w:rsid w:val="00FE0B8A"/>
    <w:rsid w:val="00FE1E17"/>
    <w:rsid w:val="00FE4306"/>
    <w:rsid w:val="00FE4F79"/>
    <w:rsid w:val="00FF082E"/>
    <w:rsid w:val="00FF2D2A"/>
    <w:rsid w:val="00FF392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F6A"/>
    <w:pPr>
      <w:widowControl w:val="0"/>
      <w:spacing w:after="0" w:line="240" w:lineRule="auto"/>
    </w:pPr>
    <w:rPr>
      <w:rFonts w:ascii="Times New Roman" w:hAnsi="Times New Roman" w:cs="Times New Roman"/>
      <w:kern w:val="2"/>
      <w:sz w:val="24"/>
      <w:szCs w:val="24"/>
      <w:lang w:eastAsia="zh-TW"/>
    </w:rPr>
  </w:style>
  <w:style w:type="paragraph" w:styleId="Heading2">
    <w:name w:val="heading 2"/>
    <w:basedOn w:val="Normal"/>
    <w:next w:val="Normal"/>
    <w:link w:val="Heading2Char"/>
    <w:uiPriority w:val="9"/>
    <w:unhideWhenUsed/>
    <w:qFormat/>
    <w:rsid w:val="003B30EE"/>
    <w:pPr>
      <w:keepNext/>
      <w:keepLines/>
      <w:widowControl/>
      <w:spacing w:before="200" w:line="276" w:lineRule="auto"/>
      <w:outlineLvl w:val="1"/>
    </w:pPr>
    <w:rPr>
      <w:rFonts w:asciiTheme="majorHAnsi" w:eastAsiaTheme="majorEastAsia" w:hAnsiTheme="majorHAnsi" w:cstheme="majorBidi"/>
      <w:b/>
      <w:bCs/>
      <w:color w:val="5B9BD5" w:themeColor="accent1"/>
      <w:kern w:val="0"/>
      <w:sz w:val="26"/>
      <w:szCs w:val="26"/>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57D39"/>
    <w:pPr>
      <w:snapToGrid w:val="0"/>
    </w:pPr>
    <w:rPr>
      <w:sz w:val="20"/>
      <w:szCs w:val="20"/>
    </w:rPr>
  </w:style>
  <w:style w:type="character" w:customStyle="1" w:styleId="FootnoteTextChar">
    <w:name w:val="Footnote Text Char"/>
    <w:basedOn w:val="DefaultParagraphFont"/>
    <w:link w:val="FootnoteText"/>
    <w:uiPriority w:val="99"/>
    <w:rsid w:val="00657D39"/>
    <w:rPr>
      <w:rFonts w:ascii="Times New Roman" w:hAnsi="Times New Roman" w:cs="Times New Roman"/>
      <w:kern w:val="2"/>
      <w:sz w:val="20"/>
      <w:szCs w:val="20"/>
      <w:lang w:eastAsia="zh-TW"/>
    </w:rPr>
  </w:style>
  <w:style w:type="character" w:styleId="FootnoteReference">
    <w:name w:val="footnote reference"/>
    <w:uiPriority w:val="99"/>
    <w:rsid w:val="00657D39"/>
    <w:rPr>
      <w:vertAlign w:val="superscript"/>
    </w:rPr>
  </w:style>
  <w:style w:type="character" w:customStyle="1" w:styleId="tgc">
    <w:name w:val="_tgc"/>
    <w:basedOn w:val="DefaultParagraphFont"/>
    <w:rsid w:val="00657D39"/>
  </w:style>
  <w:style w:type="paragraph" w:styleId="Header">
    <w:name w:val="header"/>
    <w:basedOn w:val="Normal"/>
    <w:link w:val="HeaderChar"/>
    <w:rsid w:val="00691B4A"/>
    <w:pPr>
      <w:tabs>
        <w:tab w:val="center" w:pos="4153"/>
        <w:tab w:val="right" w:pos="8306"/>
      </w:tabs>
      <w:snapToGrid w:val="0"/>
    </w:pPr>
    <w:rPr>
      <w:sz w:val="20"/>
      <w:szCs w:val="20"/>
    </w:rPr>
  </w:style>
  <w:style w:type="character" w:customStyle="1" w:styleId="HeaderChar">
    <w:name w:val="Header Char"/>
    <w:basedOn w:val="DefaultParagraphFont"/>
    <w:link w:val="Header"/>
    <w:rsid w:val="00691B4A"/>
    <w:rPr>
      <w:rFonts w:ascii="Times New Roman" w:hAnsi="Times New Roman" w:cs="Times New Roman"/>
      <w:kern w:val="2"/>
      <w:sz w:val="20"/>
      <w:szCs w:val="20"/>
      <w:lang w:eastAsia="zh-TW"/>
    </w:rPr>
  </w:style>
  <w:style w:type="paragraph" w:styleId="Footer">
    <w:name w:val="footer"/>
    <w:basedOn w:val="Normal"/>
    <w:link w:val="FooterChar"/>
    <w:uiPriority w:val="99"/>
    <w:rsid w:val="00691B4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91B4A"/>
    <w:rPr>
      <w:rFonts w:ascii="Times New Roman" w:hAnsi="Times New Roman" w:cs="Times New Roman"/>
      <w:kern w:val="2"/>
      <w:sz w:val="20"/>
      <w:szCs w:val="20"/>
      <w:lang w:eastAsia="zh-TW"/>
    </w:rPr>
  </w:style>
  <w:style w:type="character" w:styleId="PageNumber">
    <w:name w:val="page number"/>
    <w:basedOn w:val="DefaultParagraphFont"/>
    <w:rsid w:val="00691B4A"/>
  </w:style>
  <w:style w:type="paragraph" w:styleId="ListParagraph">
    <w:name w:val="List Paragraph"/>
    <w:basedOn w:val="Normal"/>
    <w:uiPriority w:val="34"/>
    <w:qFormat/>
    <w:rsid w:val="00691B4A"/>
    <w:pPr>
      <w:ind w:leftChars="200" w:left="480"/>
    </w:pPr>
  </w:style>
  <w:style w:type="paragraph" w:customStyle="1" w:styleId="Default">
    <w:name w:val="Default"/>
    <w:rsid w:val="00691B4A"/>
    <w:pPr>
      <w:widowControl w:val="0"/>
      <w:autoSpaceDE w:val="0"/>
      <w:autoSpaceDN w:val="0"/>
      <w:adjustRightInd w:val="0"/>
      <w:spacing w:after="0" w:line="240" w:lineRule="auto"/>
    </w:pPr>
    <w:rPr>
      <w:rFonts w:ascii="Times New Roman" w:hAnsi="Times New Roman" w:cs="Times New Roman"/>
      <w:color w:val="000000"/>
      <w:sz w:val="24"/>
      <w:szCs w:val="24"/>
      <w:lang w:eastAsia="zh-TW"/>
    </w:rPr>
  </w:style>
  <w:style w:type="character" w:styleId="Hyperlink">
    <w:name w:val="Hyperlink"/>
    <w:basedOn w:val="DefaultParagraphFont"/>
    <w:unhideWhenUsed/>
    <w:rsid w:val="00691B4A"/>
    <w:rPr>
      <w:color w:val="0000FF"/>
      <w:u w:val="single"/>
    </w:rPr>
  </w:style>
  <w:style w:type="paragraph" w:styleId="BalloonText">
    <w:name w:val="Balloon Text"/>
    <w:basedOn w:val="Normal"/>
    <w:link w:val="BalloonTextChar"/>
    <w:rsid w:val="00691B4A"/>
    <w:rPr>
      <w:rFonts w:ascii="Tahoma" w:hAnsi="Tahoma" w:cs="Tahoma"/>
      <w:sz w:val="16"/>
      <w:szCs w:val="16"/>
    </w:rPr>
  </w:style>
  <w:style w:type="character" w:customStyle="1" w:styleId="BalloonTextChar">
    <w:name w:val="Balloon Text Char"/>
    <w:basedOn w:val="DefaultParagraphFont"/>
    <w:link w:val="BalloonText"/>
    <w:rsid w:val="00691B4A"/>
    <w:rPr>
      <w:rFonts w:ascii="Tahoma" w:hAnsi="Tahoma" w:cs="Tahoma"/>
      <w:kern w:val="2"/>
      <w:sz w:val="16"/>
      <w:szCs w:val="16"/>
      <w:lang w:eastAsia="zh-TW"/>
    </w:rPr>
  </w:style>
  <w:style w:type="character" w:styleId="CommentReference">
    <w:name w:val="annotation reference"/>
    <w:basedOn w:val="DefaultParagraphFont"/>
    <w:semiHidden/>
    <w:unhideWhenUsed/>
    <w:rsid w:val="00691B4A"/>
    <w:rPr>
      <w:sz w:val="18"/>
      <w:szCs w:val="18"/>
    </w:rPr>
  </w:style>
  <w:style w:type="paragraph" w:styleId="CommentText">
    <w:name w:val="annotation text"/>
    <w:basedOn w:val="Normal"/>
    <w:link w:val="CommentTextChar"/>
    <w:semiHidden/>
    <w:unhideWhenUsed/>
    <w:rsid w:val="00691B4A"/>
  </w:style>
  <w:style w:type="character" w:customStyle="1" w:styleId="CommentTextChar">
    <w:name w:val="Comment Text Char"/>
    <w:basedOn w:val="DefaultParagraphFont"/>
    <w:link w:val="CommentText"/>
    <w:semiHidden/>
    <w:rsid w:val="00691B4A"/>
    <w:rPr>
      <w:rFonts w:ascii="Times New Roman" w:hAnsi="Times New Roman" w:cs="Times New Roman"/>
      <w:kern w:val="2"/>
      <w:sz w:val="24"/>
      <w:szCs w:val="24"/>
      <w:lang w:eastAsia="zh-TW"/>
    </w:rPr>
  </w:style>
  <w:style w:type="paragraph" w:styleId="CommentSubject">
    <w:name w:val="annotation subject"/>
    <w:basedOn w:val="CommentText"/>
    <w:next w:val="CommentText"/>
    <w:link w:val="CommentSubjectChar"/>
    <w:semiHidden/>
    <w:unhideWhenUsed/>
    <w:rsid w:val="00691B4A"/>
    <w:rPr>
      <w:b/>
      <w:bCs/>
    </w:rPr>
  </w:style>
  <w:style w:type="character" w:customStyle="1" w:styleId="CommentSubjectChar">
    <w:name w:val="Comment Subject Char"/>
    <w:basedOn w:val="CommentTextChar"/>
    <w:link w:val="CommentSubject"/>
    <w:semiHidden/>
    <w:rsid w:val="00691B4A"/>
    <w:rPr>
      <w:rFonts w:ascii="Times New Roman" w:hAnsi="Times New Roman" w:cs="Times New Roman"/>
      <w:b/>
      <w:bCs/>
      <w:kern w:val="2"/>
      <w:sz w:val="24"/>
      <w:szCs w:val="24"/>
      <w:lang w:eastAsia="zh-TW"/>
    </w:rPr>
  </w:style>
  <w:style w:type="paragraph" w:styleId="Revision">
    <w:name w:val="Revision"/>
    <w:hidden/>
    <w:uiPriority w:val="99"/>
    <w:semiHidden/>
    <w:rsid w:val="00691B4A"/>
    <w:pPr>
      <w:spacing w:after="0" w:line="240" w:lineRule="auto"/>
    </w:pPr>
    <w:rPr>
      <w:rFonts w:ascii="Times New Roman" w:hAnsi="Times New Roman" w:cs="Times New Roman"/>
      <w:kern w:val="2"/>
      <w:sz w:val="24"/>
      <w:szCs w:val="24"/>
      <w:lang w:eastAsia="zh-TW"/>
    </w:rPr>
  </w:style>
  <w:style w:type="character" w:customStyle="1" w:styleId="citation">
    <w:name w:val="citation"/>
    <w:basedOn w:val="DefaultParagraphFont"/>
    <w:rsid w:val="00691B4A"/>
  </w:style>
  <w:style w:type="paragraph" w:styleId="NormalWeb">
    <w:name w:val="Normal (Web)"/>
    <w:basedOn w:val="Normal"/>
    <w:uiPriority w:val="99"/>
    <w:unhideWhenUsed/>
    <w:rsid w:val="008B4B8A"/>
    <w:pPr>
      <w:widowControl/>
      <w:spacing w:before="100" w:beforeAutospacing="1" w:after="100" w:afterAutospacing="1"/>
    </w:pPr>
    <w:rPr>
      <w:kern w:val="0"/>
      <w:lang w:eastAsia="zh-CN"/>
    </w:rPr>
  </w:style>
  <w:style w:type="table" w:styleId="TableGrid">
    <w:name w:val="Table Grid"/>
    <w:basedOn w:val="TableNormal"/>
    <w:uiPriority w:val="59"/>
    <w:rsid w:val="00F4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B30EE"/>
    <w:rPr>
      <w:rFonts w:asciiTheme="majorHAnsi" w:eastAsiaTheme="majorEastAsia" w:hAnsiTheme="majorHAnsi" w:cstheme="majorBidi"/>
      <w:b/>
      <w:bCs/>
      <w:color w:val="5B9BD5" w:themeColor="accent1"/>
      <w:sz w:val="26"/>
      <w:szCs w:val="26"/>
      <w:lang w:val="en-NZ"/>
    </w:rPr>
  </w:style>
  <w:style w:type="paragraph" w:styleId="PlainText">
    <w:name w:val="Plain Text"/>
    <w:basedOn w:val="Normal"/>
    <w:link w:val="PlainTextChar"/>
    <w:uiPriority w:val="99"/>
    <w:rsid w:val="003B30EE"/>
    <w:pPr>
      <w:widowControl/>
    </w:pPr>
    <w:rPr>
      <w:rFonts w:ascii="Courier New" w:eastAsia="SimSun" w:hAnsi="Courier New" w:cs="Courier New"/>
      <w:kern w:val="0"/>
      <w:sz w:val="20"/>
      <w:szCs w:val="20"/>
      <w:lang w:eastAsia="zh-CN"/>
    </w:rPr>
  </w:style>
  <w:style w:type="character" w:customStyle="1" w:styleId="PlainTextChar">
    <w:name w:val="Plain Text Char"/>
    <w:basedOn w:val="DefaultParagraphFont"/>
    <w:link w:val="PlainText"/>
    <w:uiPriority w:val="99"/>
    <w:rsid w:val="003B30EE"/>
    <w:rPr>
      <w:rFonts w:ascii="Courier New" w:eastAsia="SimSu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F6A"/>
    <w:pPr>
      <w:widowControl w:val="0"/>
      <w:spacing w:after="0" w:line="240" w:lineRule="auto"/>
    </w:pPr>
    <w:rPr>
      <w:rFonts w:ascii="Times New Roman" w:hAnsi="Times New Roman" w:cs="Times New Roman"/>
      <w:kern w:val="2"/>
      <w:sz w:val="24"/>
      <w:szCs w:val="24"/>
      <w:lang w:eastAsia="zh-TW"/>
    </w:rPr>
  </w:style>
  <w:style w:type="paragraph" w:styleId="Heading2">
    <w:name w:val="heading 2"/>
    <w:basedOn w:val="Normal"/>
    <w:next w:val="Normal"/>
    <w:link w:val="Heading2Char"/>
    <w:uiPriority w:val="9"/>
    <w:unhideWhenUsed/>
    <w:qFormat/>
    <w:rsid w:val="003B30EE"/>
    <w:pPr>
      <w:keepNext/>
      <w:keepLines/>
      <w:widowControl/>
      <w:spacing w:before="200" w:line="276" w:lineRule="auto"/>
      <w:outlineLvl w:val="1"/>
    </w:pPr>
    <w:rPr>
      <w:rFonts w:asciiTheme="majorHAnsi" w:eastAsiaTheme="majorEastAsia" w:hAnsiTheme="majorHAnsi" w:cstheme="majorBidi"/>
      <w:b/>
      <w:bCs/>
      <w:color w:val="5B9BD5" w:themeColor="accent1"/>
      <w:kern w:val="0"/>
      <w:sz w:val="26"/>
      <w:szCs w:val="26"/>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57D39"/>
    <w:pPr>
      <w:snapToGrid w:val="0"/>
    </w:pPr>
    <w:rPr>
      <w:sz w:val="20"/>
      <w:szCs w:val="20"/>
    </w:rPr>
  </w:style>
  <w:style w:type="character" w:customStyle="1" w:styleId="FootnoteTextChar">
    <w:name w:val="Footnote Text Char"/>
    <w:basedOn w:val="DefaultParagraphFont"/>
    <w:link w:val="FootnoteText"/>
    <w:uiPriority w:val="99"/>
    <w:rsid w:val="00657D39"/>
    <w:rPr>
      <w:rFonts w:ascii="Times New Roman" w:hAnsi="Times New Roman" w:cs="Times New Roman"/>
      <w:kern w:val="2"/>
      <w:sz w:val="20"/>
      <w:szCs w:val="20"/>
      <w:lang w:eastAsia="zh-TW"/>
    </w:rPr>
  </w:style>
  <w:style w:type="character" w:styleId="FootnoteReference">
    <w:name w:val="footnote reference"/>
    <w:uiPriority w:val="99"/>
    <w:rsid w:val="00657D39"/>
    <w:rPr>
      <w:vertAlign w:val="superscript"/>
    </w:rPr>
  </w:style>
  <w:style w:type="character" w:customStyle="1" w:styleId="tgc">
    <w:name w:val="_tgc"/>
    <w:basedOn w:val="DefaultParagraphFont"/>
    <w:rsid w:val="00657D39"/>
  </w:style>
  <w:style w:type="paragraph" w:styleId="Header">
    <w:name w:val="header"/>
    <w:basedOn w:val="Normal"/>
    <w:link w:val="HeaderChar"/>
    <w:rsid w:val="00691B4A"/>
    <w:pPr>
      <w:tabs>
        <w:tab w:val="center" w:pos="4153"/>
        <w:tab w:val="right" w:pos="8306"/>
      </w:tabs>
      <w:snapToGrid w:val="0"/>
    </w:pPr>
    <w:rPr>
      <w:sz w:val="20"/>
      <w:szCs w:val="20"/>
    </w:rPr>
  </w:style>
  <w:style w:type="character" w:customStyle="1" w:styleId="HeaderChar">
    <w:name w:val="Header Char"/>
    <w:basedOn w:val="DefaultParagraphFont"/>
    <w:link w:val="Header"/>
    <w:rsid w:val="00691B4A"/>
    <w:rPr>
      <w:rFonts w:ascii="Times New Roman" w:hAnsi="Times New Roman" w:cs="Times New Roman"/>
      <w:kern w:val="2"/>
      <w:sz w:val="20"/>
      <w:szCs w:val="20"/>
      <w:lang w:eastAsia="zh-TW"/>
    </w:rPr>
  </w:style>
  <w:style w:type="paragraph" w:styleId="Footer">
    <w:name w:val="footer"/>
    <w:basedOn w:val="Normal"/>
    <w:link w:val="FooterChar"/>
    <w:uiPriority w:val="99"/>
    <w:rsid w:val="00691B4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91B4A"/>
    <w:rPr>
      <w:rFonts w:ascii="Times New Roman" w:hAnsi="Times New Roman" w:cs="Times New Roman"/>
      <w:kern w:val="2"/>
      <w:sz w:val="20"/>
      <w:szCs w:val="20"/>
      <w:lang w:eastAsia="zh-TW"/>
    </w:rPr>
  </w:style>
  <w:style w:type="character" w:styleId="PageNumber">
    <w:name w:val="page number"/>
    <w:basedOn w:val="DefaultParagraphFont"/>
    <w:rsid w:val="00691B4A"/>
  </w:style>
  <w:style w:type="paragraph" w:styleId="ListParagraph">
    <w:name w:val="List Paragraph"/>
    <w:basedOn w:val="Normal"/>
    <w:uiPriority w:val="34"/>
    <w:qFormat/>
    <w:rsid w:val="00691B4A"/>
    <w:pPr>
      <w:ind w:leftChars="200" w:left="480"/>
    </w:pPr>
  </w:style>
  <w:style w:type="paragraph" w:customStyle="1" w:styleId="Default">
    <w:name w:val="Default"/>
    <w:rsid w:val="00691B4A"/>
    <w:pPr>
      <w:widowControl w:val="0"/>
      <w:autoSpaceDE w:val="0"/>
      <w:autoSpaceDN w:val="0"/>
      <w:adjustRightInd w:val="0"/>
      <w:spacing w:after="0" w:line="240" w:lineRule="auto"/>
    </w:pPr>
    <w:rPr>
      <w:rFonts w:ascii="Times New Roman" w:hAnsi="Times New Roman" w:cs="Times New Roman"/>
      <w:color w:val="000000"/>
      <w:sz w:val="24"/>
      <w:szCs w:val="24"/>
      <w:lang w:eastAsia="zh-TW"/>
    </w:rPr>
  </w:style>
  <w:style w:type="character" w:styleId="Hyperlink">
    <w:name w:val="Hyperlink"/>
    <w:basedOn w:val="DefaultParagraphFont"/>
    <w:unhideWhenUsed/>
    <w:rsid w:val="00691B4A"/>
    <w:rPr>
      <w:color w:val="0000FF"/>
      <w:u w:val="single"/>
    </w:rPr>
  </w:style>
  <w:style w:type="paragraph" w:styleId="BalloonText">
    <w:name w:val="Balloon Text"/>
    <w:basedOn w:val="Normal"/>
    <w:link w:val="BalloonTextChar"/>
    <w:rsid w:val="00691B4A"/>
    <w:rPr>
      <w:rFonts w:ascii="Tahoma" w:hAnsi="Tahoma" w:cs="Tahoma"/>
      <w:sz w:val="16"/>
      <w:szCs w:val="16"/>
    </w:rPr>
  </w:style>
  <w:style w:type="character" w:customStyle="1" w:styleId="BalloonTextChar">
    <w:name w:val="Balloon Text Char"/>
    <w:basedOn w:val="DefaultParagraphFont"/>
    <w:link w:val="BalloonText"/>
    <w:rsid w:val="00691B4A"/>
    <w:rPr>
      <w:rFonts w:ascii="Tahoma" w:hAnsi="Tahoma" w:cs="Tahoma"/>
      <w:kern w:val="2"/>
      <w:sz w:val="16"/>
      <w:szCs w:val="16"/>
      <w:lang w:eastAsia="zh-TW"/>
    </w:rPr>
  </w:style>
  <w:style w:type="character" w:styleId="CommentReference">
    <w:name w:val="annotation reference"/>
    <w:basedOn w:val="DefaultParagraphFont"/>
    <w:semiHidden/>
    <w:unhideWhenUsed/>
    <w:rsid w:val="00691B4A"/>
    <w:rPr>
      <w:sz w:val="18"/>
      <w:szCs w:val="18"/>
    </w:rPr>
  </w:style>
  <w:style w:type="paragraph" w:styleId="CommentText">
    <w:name w:val="annotation text"/>
    <w:basedOn w:val="Normal"/>
    <w:link w:val="CommentTextChar"/>
    <w:semiHidden/>
    <w:unhideWhenUsed/>
    <w:rsid w:val="00691B4A"/>
  </w:style>
  <w:style w:type="character" w:customStyle="1" w:styleId="CommentTextChar">
    <w:name w:val="Comment Text Char"/>
    <w:basedOn w:val="DefaultParagraphFont"/>
    <w:link w:val="CommentText"/>
    <w:semiHidden/>
    <w:rsid w:val="00691B4A"/>
    <w:rPr>
      <w:rFonts w:ascii="Times New Roman" w:hAnsi="Times New Roman" w:cs="Times New Roman"/>
      <w:kern w:val="2"/>
      <w:sz w:val="24"/>
      <w:szCs w:val="24"/>
      <w:lang w:eastAsia="zh-TW"/>
    </w:rPr>
  </w:style>
  <w:style w:type="paragraph" w:styleId="CommentSubject">
    <w:name w:val="annotation subject"/>
    <w:basedOn w:val="CommentText"/>
    <w:next w:val="CommentText"/>
    <w:link w:val="CommentSubjectChar"/>
    <w:semiHidden/>
    <w:unhideWhenUsed/>
    <w:rsid w:val="00691B4A"/>
    <w:rPr>
      <w:b/>
      <w:bCs/>
    </w:rPr>
  </w:style>
  <w:style w:type="character" w:customStyle="1" w:styleId="CommentSubjectChar">
    <w:name w:val="Comment Subject Char"/>
    <w:basedOn w:val="CommentTextChar"/>
    <w:link w:val="CommentSubject"/>
    <w:semiHidden/>
    <w:rsid w:val="00691B4A"/>
    <w:rPr>
      <w:rFonts w:ascii="Times New Roman" w:hAnsi="Times New Roman" w:cs="Times New Roman"/>
      <w:b/>
      <w:bCs/>
      <w:kern w:val="2"/>
      <w:sz w:val="24"/>
      <w:szCs w:val="24"/>
      <w:lang w:eastAsia="zh-TW"/>
    </w:rPr>
  </w:style>
  <w:style w:type="paragraph" w:styleId="Revision">
    <w:name w:val="Revision"/>
    <w:hidden/>
    <w:uiPriority w:val="99"/>
    <w:semiHidden/>
    <w:rsid w:val="00691B4A"/>
    <w:pPr>
      <w:spacing w:after="0" w:line="240" w:lineRule="auto"/>
    </w:pPr>
    <w:rPr>
      <w:rFonts w:ascii="Times New Roman" w:hAnsi="Times New Roman" w:cs="Times New Roman"/>
      <w:kern w:val="2"/>
      <w:sz w:val="24"/>
      <w:szCs w:val="24"/>
      <w:lang w:eastAsia="zh-TW"/>
    </w:rPr>
  </w:style>
  <w:style w:type="character" w:customStyle="1" w:styleId="citation">
    <w:name w:val="citation"/>
    <w:basedOn w:val="DefaultParagraphFont"/>
    <w:rsid w:val="00691B4A"/>
  </w:style>
  <w:style w:type="paragraph" w:styleId="NormalWeb">
    <w:name w:val="Normal (Web)"/>
    <w:basedOn w:val="Normal"/>
    <w:uiPriority w:val="99"/>
    <w:unhideWhenUsed/>
    <w:rsid w:val="008B4B8A"/>
    <w:pPr>
      <w:widowControl/>
      <w:spacing w:before="100" w:beforeAutospacing="1" w:after="100" w:afterAutospacing="1"/>
    </w:pPr>
    <w:rPr>
      <w:kern w:val="0"/>
      <w:lang w:eastAsia="zh-CN"/>
    </w:rPr>
  </w:style>
  <w:style w:type="table" w:styleId="TableGrid">
    <w:name w:val="Table Grid"/>
    <w:basedOn w:val="TableNormal"/>
    <w:uiPriority w:val="59"/>
    <w:rsid w:val="00F4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B30EE"/>
    <w:rPr>
      <w:rFonts w:asciiTheme="majorHAnsi" w:eastAsiaTheme="majorEastAsia" w:hAnsiTheme="majorHAnsi" w:cstheme="majorBidi"/>
      <w:b/>
      <w:bCs/>
      <w:color w:val="5B9BD5" w:themeColor="accent1"/>
      <w:sz w:val="26"/>
      <w:szCs w:val="26"/>
      <w:lang w:val="en-NZ"/>
    </w:rPr>
  </w:style>
  <w:style w:type="paragraph" w:styleId="PlainText">
    <w:name w:val="Plain Text"/>
    <w:basedOn w:val="Normal"/>
    <w:link w:val="PlainTextChar"/>
    <w:uiPriority w:val="99"/>
    <w:rsid w:val="003B30EE"/>
    <w:pPr>
      <w:widowControl/>
    </w:pPr>
    <w:rPr>
      <w:rFonts w:ascii="Courier New" w:eastAsia="SimSun" w:hAnsi="Courier New" w:cs="Courier New"/>
      <w:kern w:val="0"/>
      <w:sz w:val="20"/>
      <w:szCs w:val="20"/>
      <w:lang w:eastAsia="zh-CN"/>
    </w:rPr>
  </w:style>
  <w:style w:type="character" w:customStyle="1" w:styleId="PlainTextChar">
    <w:name w:val="Plain Text Char"/>
    <w:basedOn w:val="DefaultParagraphFont"/>
    <w:link w:val="PlainText"/>
    <w:uiPriority w:val="99"/>
    <w:rsid w:val="003B30EE"/>
    <w:rPr>
      <w:rFonts w:ascii="Courier New" w:eastAsia="SimSu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chart" Target="charts/chart3.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chart" Target="charts/chart2.xml"/><Relationship Id="rId33" Type="http://schemas.openxmlformats.org/officeDocument/2006/relationships/chart" Target="charts/chart10.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hart" Target="charts/chart1.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chart" Target="charts/chart5.xml"/><Relationship Id="rId36" Type="http://schemas.openxmlformats.org/officeDocument/2006/relationships/chart" Target="charts/chart13.xml"/><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chart" Target="charts/chart1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SIN%20CHIEH%20LIN\Desktop\SRD03_DA_NO_DUMMY_A(&#31526;&#21512;&#27171;&#24335;).xls"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HSIN%20CHIEH%20LIN\Desktop\DA&#20998;&#27491;&#36000;&#20570;QR\DA&#27491;.xls" TargetMode="External"/><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HSIN%20CHIEH%20LIN\Desktop\DA&#20998;&#27491;&#36000;&#20570;QR\DA&#36000;.xls" TargetMode="External"/><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HSIN%20CHIEH%20LIN\Desktop\SOX%203-1(1992-2001).xls" TargetMode="External"/><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HSIN%20CHIEH%20LIN\Desktop\SOX%203-2(2003-2009).xls" TargetMode="External"/><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HSIN%20CHIEH%20LIN\Desktop\Measurement%20errors%20and%20outliers\drop%20if%20n%20less%20than%2050.xls" TargetMode="External"/><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SIN%20CHIEH%20LIN\Desktop\Control%20variable\Size.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SIN%20CHIEH%20LIN\Desktop\Control%20variable\Market%20return.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SIN%20CHIEH%20LIN\Desktop\Control%20variable\Market%20to%20book%20ratio.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HSIN%20CHIEH%20LIN\Desktop\Control%20variable\Lagged%20return.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oleObject" Target="file:///K:\Research\My_Papers\Paper66_Ret_DA\ManagementScience\Figure3_HEq_March201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K:\Research\My_Papers\Paper66_Ret_DA\ManagementScience\Figure3_LEq_March2016.xls" TargetMode="External"/></Relationships>
</file>

<file path=word/charts/_rels/chart8.xml.rels><?xml version="1.0" encoding="UTF-8" standalone="yes"?>
<Relationships xmlns="http://schemas.openxmlformats.org/package/2006/relationships"><Relationship Id="rId2" Type="http://schemas.openxmlformats.org/officeDocument/2006/relationships/oleObject" Target="file:///C:\Users\HSIN%20CHIEH%20LIN\Desktop\Tobin.xls" TargetMode="External"/><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HSIN%20CHIEH%20LIN\Desktop\SRD03_DA_DUMMY_A(&#31526;&#21512;&#27171;&#24335;).xls"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82316442605998"/>
          <c:y val="4.7457627118649037E-2"/>
          <c:w val="0.81168592243726534"/>
          <c:h val="0.78272697141526248"/>
        </c:manualLayout>
      </c:layout>
      <c:scatterChart>
        <c:scatterStyle val="smoothMarker"/>
        <c:varyColors val="0"/>
        <c:ser>
          <c:idx val="0"/>
          <c:order val="0"/>
          <c:tx>
            <c:v>mean</c:v>
          </c:tx>
          <c:spPr>
            <a:ln w="12700">
              <a:solidFill>
                <a:srgbClr val="000000"/>
              </a:solidFill>
              <a:prstDash val="solid"/>
            </a:ln>
          </c:spPr>
          <c:marker>
            <c:symbol val="diamond"/>
            <c:size val="5"/>
            <c:spPr>
              <a:solidFill>
                <a:srgbClr val="000000"/>
              </a:solidFill>
              <a:ln>
                <a:solidFill>
                  <a:srgbClr val="000000"/>
                </a:solidFill>
                <a:prstDash val="solid"/>
              </a:ln>
            </c:spPr>
          </c:marker>
          <c:xVal>
            <c:numRef>
              <c:f>'[SRD03_DA_NO_DUMMY_A(符合樣式).xls]Data'!$A$3:$A$21</c:f>
              <c:numCache>
                <c:formatCode>0.00_ </c:formatCode>
                <c:ptCount val="19"/>
                <c:pt idx="0">
                  <c:v>5.0000000000000114E-2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0.65000000000002656</c:v>
                </c:pt>
                <c:pt idx="13">
                  <c:v>0.70000000000000062</c:v>
                </c:pt>
                <c:pt idx="14">
                  <c:v>0.75000000000001465</c:v>
                </c:pt>
                <c:pt idx="15">
                  <c:v>0.8</c:v>
                </c:pt>
                <c:pt idx="16">
                  <c:v>0.85000000000000064</c:v>
                </c:pt>
                <c:pt idx="17">
                  <c:v>0.9</c:v>
                </c:pt>
                <c:pt idx="18">
                  <c:v>0.95000000000000062</c:v>
                </c:pt>
              </c:numCache>
            </c:numRef>
          </c:xVal>
          <c:yVal>
            <c:numRef>
              <c:f>'[SRD03_DA_NO_DUMMY_A(符合樣式).xls]Data'!$D$3:$D$21</c:f>
              <c:numCache>
                <c:formatCode>General</c:formatCode>
                <c:ptCount val="19"/>
                <c:pt idx="0">
                  <c:v>-0.64588625000000865</c:v>
                </c:pt>
                <c:pt idx="1">
                  <c:v>-0.59048504999998241</c:v>
                </c:pt>
                <c:pt idx="2">
                  <c:v>-0.59377440000001347</c:v>
                </c:pt>
                <c:pt idx="3">
                  <c:v>-0.53174854999999999</c:v>
                </c:pt>
                <c:pt idx="4">
                  <c:v>-0.48781975000000088</c:v>
                </c:pt>
                <c:pt idx="5">
                  <c:v>-0.41945220000000188</c:v>
                </c:pt>
                <c:pt idx="6">
                  <c:v>-0.35365275000000002</c:v>
                </c:pt>
                <c:pt idx="7">
                  <c:v>-0.291101</c:v>
                </c:pt>
                <c:pt idx="8">
                  <c:v>-0.26312025</c:v>
                </c:pt>
                <c:pt idx="9">
                  <c:v>-0.21658880000000041</c:v>
                </c:pt>
                <c:pt idx="10">
                  <c:v>-0.15184430000000809</c:v>
                </c:pt>
                <c:pt idx="11">
                  <c:v>-8.5734500000000768E-2</c:v>
                </c:pt>
                <c:pt idx="12">
                  <c:v>-5.1799800000000014E-2</c:v>
                </c:pt>
                <c:pt idx="13">
                  <c:v>1.8776900000000023E-2</c:v>
                </c:pt>
                <c:pt idx="14">
                  <c:v>0.22495575000000301</c:v>
                </c:pt>
                <c:pt idx="15">
                  <c:v>0.40310265000000001</c:v>
                </c:pt>
                <c:pt idx="16">
                  <c:v>0.58622069999999959</c:v>
                </c:pt>
                <c:pt idx="17">
                  <c:v>1.13228225</c:v>
                </c:pt>
                <c:pt idx="18">
                  <c:v>2.5864314999999998</c:v>
                </c:pt>
              </c:numCache>
            </c:numRef>
          </c:yVal>
          <c:smooth val="1"/>
          <c:extLst xmlns:c16r2="http://schemas.microsoft.com/office/drawing/2015/06/chart">
            <c:ext xmlns:c16="http://schemas.microsoft.com/office/drawing/2014/chart" uri="{C3380CC4-5D6E-409C-BE32-E72D297353CC}">
              <c16:uniqueId val="{00000000-255F-4CFB-9FD0-23FE5A2B25D6}"/>
            </c:ext>
          </c:extLst>
        </c:ser>
        <c:ser>
          <c:idx val="1"/>
          <c:order val="1"/>
          <c:tx>
            <c:v>right</c:v>
          </c:tx>
          <c:spPr>
            <a:ln w="12700">
              <a:solidFill>
                <a:srgbClr val="000000"/>
              </a:solidFill>
              <a:prstDash val="solid"/>
            </a:ln>
          </c:spPr>
          <c:marker>
            <c:symbol val="square"/>
            <c:size val="5"/>
            <c:spPr>
              <a:solidFill>
                <a:srgbClr val="000000"/>
              </a:solidFill>
              <a:ln>
                <a:solidFill>
                  <a:srgbClr val="000000"/>
                </a:solidFill>
                <a:prstDash val="solid"/>
              </a:ln>
            </c:spPr>
          </c:marker>
          <c:xVal>
            <c:numRef>
              <c:f>'[SRD03_DA_NO_DUMMY_A(符合樣式).xls]Data'!$A$3:$A$21</c:f>
              <c:numCache>
                <c:formatCode>0.00_ </c:formatCode>
                <c:ptCount val="19"/>
                <c:pt idx="0">
                  <c:v>5.0000000000000114E-2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0.65000000000002656</c:v>
                </c:pt>
                <c:pt idx="13">
                  <c:v>0.70000000000000062</c:v>
                </c:pt>
                <c:pt idx="14">
                  <c:v>0.75000000000001465</c:v>
                </c:pt>
                <c:pt idx="15">
                  <c:v>0.8</c:v>
                </c:pt>
                <c:pt idx="16">
                  <c:v>0.85000000000000064</c:v>
                </c:pt>
                <c:pt idx="17">
                  <c:v>0.9</c:v>
                </c:pt>
                <c:pt idx="18">
                  <c:v>0.95000000000000062</c:v>
                </c:pt>
              </c:numCache>
            </c:numRef>
          </c:xVal>
          <c:yVal>
            <c:numRef>
              <c:f>'[SRD03_DA_NO_DUMMY_A(符合樣式).xls]Data'!$C$3:$C$21</c:f>
              <c:numCache>
                <c:formatCode>General</c:formatCode>
                <c:ptCount val="19"/>
                <c:pt idx="0">
                  <c:v>-0.54228279999997142</c:v>
                </c:pt>
                <c:pt idx="1">
                  <c:v>-0.47055230000000031</c:v>
                </c:pt>
                <c:pt idx="2">
                  <c:v>-0.51125629999999656</c:v>
                </c:pt>
                <c:pt idx="3">
                  <c:v>-0.43232480000002366</c:v>
                </c:pt>
                <c:pt idx="4">
                  <c:v>-0.42377750000000008</c:v>
                </c:pt>
                <c:pt idx="5">
                  <c:v>-0.30886190000001462</c:v>
                </c:pt>
                <c:pt idx="6">
                  <c:v>-0.22947670000000286</c:v>
                </c:pt>
                <c:pt idx="7">
                  <c:v>-0.18025320000000244</c:v>
                </c:pt>
                <c:pt idx="8">
                  <c:v>-0.16547740000000599</c:v>
                </c:pt>
                <c:pt idx="9">
                  <c:v>-0.12259170000000486</c:v>
                </c:pt>
                <c:pt idx="10">
                  <c:v>-5.8843000000000013E-2</c:v>
                </c:pt>
                <c:pt idx="11">
                  <c:v>9.2259000000000247E-3</c:v>
                </c:pt>
                <c:pt idx="12">
                  <c:v>5.2188200000000434E-2</c:v>
                </c:pt>
                <c:pt idx="13">
                  <c:v>0.159201000000007</c:v>
                </c:pt>
                <c:pt idx="14">
                  <c:v>0.42368680000001602</c:v>
                </c:pt>
                <c:pt idx="15">
                  <c:v>0.61787239999999999</c:v>
                </c:pt>
                <c:pt idx="16">
                  <c:v>0.96209950000001065</c:v>
                </c:pt>
                <c:pt idx="17">
                  <c:v>1.6802239999999999</c:v>
                </c:pt>
                <c:pt idx="18">
                  <c:v>3.7183370000001084</c:v>
                </c:pt>
              </c:numCache>
            </c:numRef>
          </c:yVal>
          <c:smooth val="1"/>
          <c:extLst xmlns:c16r2="http://schemas.microsoft.com/office/drawing/2015/06/chart">
            <c:ext xmlns:c16="http://schemas.microsoft.com/office/drawing/2014/chart" uri="{C3380CC4-5D6E-409C-BE32-E72D297353CC}">
              <c16:uniqueId val="{00000001-255F-4CFB-9FD0-23FE5A2B25D6}"/>
            </c:ext>
          </c:extLst>
        </c:ser>
        <c:ser>
          <c:idx val="2"/>
          <c:order val="2"/>
          <c:tx>
            <c:v>left</c:v>
          </c:tx>
          <c:spPr>
            <a:ln w="12700">
              <a:solidFill>
                <a:srgbClr val="000000"/>
              </a:solidFill>
              <a:prstDash val="solid"/>
            </a:ln>
          </c:spPr>
          <c:marker>
            <c:symbol val="triangle"/>
            <c:size val="5"/>
            <c:spPr>
              <a:solidFill>
                <a:srgbClr val="000000"/>
              </a:solidFill>
              <a:ln>
                <a:solidFill>
                  <a:srgbClr val="000000"/>
                </a:solidFill>
                <a:prstDash val="solid"/>
              </a:ln>
            </c:spPr>
          </c:marker>
          <c:xVal>
            <c:numRef>
              <c:f>'[SRD03_DA_NO_DUMMY_A(符合樣式).xls]Data'!$A$3:$A$21</c:f>
              <c:numCache>
                <c:formatCode>0.00_ </c:formatCode>
                <c:ptCount val="19"/>
                <c:pt idx="0">
                  <c:v>5.0000000000000114E-2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0.65000000000002656</c:v>
                </c:pt>
                <c:pt idx="13">
                  <c:v>0.70000000000000062</c:v>
                </c:pt>
                <c:pt idx="14">
                  <c:v>0.75000000000001465</c:v>
                </c:pt>
                <c:pt idx="15">
                  <c:v>0.8</c:v>
                </c:pt>
                <c:pt idx="16">
                  <c:v>0.85000000000000064</c:v>
                </c:pt>
                <c:pt idx="17">
                  <c:v>0.9</c:v>
                </c:pt>
                <c:pt idx="18">
                  <c:v>0.95000000000000062</c:v>
                </c:pt>
              </c:numCache>
            </c:numRef>
          </c:xVal>
          <c:yVal>
            <c:numRef>
              <c:f>'[SRD03_DA_NO_DUMMY_A(符合樣式).xls]Data'!$B$3:$B$21</c:f>
              <c:numCache>
                <c:formatCode>General</c:formatCode>
                <c:ptCount val="19"/>
                <c:pt idx="0">
                  <c:v>-0.74948970000000004</c:v>
                </c:pt>
                <c:pt idx="1">
                  <c:v>-0.71041779999998556</c:v>
                </c:pt>
                <c:pt idx="2">
                  <c:v>-0.67629250000000063</c:v>
                </c:pt>
                <c:pt idx="3">
                  <c:v>-0.63117230000000002</c:v>
                </c:pt>
                <c:pt idx="4">
                  <c:v>-0.55186199999999996</c:v>
                </c:pt>
                <c:pt idx="5">
                  <c:v>-0.53004249999999997</c:v>
                </c:pt>
                <c:pt idx="6">
                  <c:v>-0.47782880000002143</c:v>
                </c:pt>
                <c:pt idx="7">
                  <c:v>-0.40194880000000038</c:v>
                </c:pt>
                <c:pt idx="8">
                  <c:v>-0.3607631</c:v>
                </c:pt>
                <c:pt idx="9">
                  <c:v>-0.31058590000001535</c:v>
                </c:pt>
                <c:pt idx="10">
                  <c:v>-0.24484560000000041</c:v>
                </c:pt>
                <c:pt idx="11">
                  <c:v>-0.18069489999999999</c:v>
                </c:pt>
                <c:pt idx="12">
                  <c:v>-0.15578780000000444</c:v>
                </c:pt>
                <c:pt idx="13">
                  <c:v>-0.12164720000000002</c:v>
                </c:pt>
                <c:pt idx="14">
                  <c:v>2.6224700000000049E-2</c:v>
                </c:pt>
                <c:pt idx="15">
                  <c:v>0.18833290000000041</c:v>
                </c:pt>
                <c:pt idx="16">
                  <c:v>0.21034190000000041</c:v>
                </c:pt>
                <c:pt idx="17">
                  <c:v>0.58434049999999949</c:v>
                </c:pt>
                <c:pt idx="18">
                  <c:v>1.4545259999999998</c:v>
                </c:pt>
              </c:numCache>
            </c:numRef>
          </c:yVal>
          <c:smooth val="1"/>
          <c:extLst xmlns:c16r2="http://schemas.microsoft.com/office/drawing/2015/06/chart">
            <c:ext xmlns:c16="http://schemas.microsoft.com/office/drawing/2014/chart" uri="{C3380CC4-5D6E-409C-BE32-E72D297353CC}">
              <c16:uniqueId val="{00000002-255F-4CFB-9FD0-23FE5A2B25D6}"/>
            </c:ext>
          </c:extLst>
        </c:ser>
        <c:ser>
          <c:idx val="3"/>
          <c:order val="3"/>
          <c:tx>
            <c:v>OLS</c:v>
          </c:tx>
          <c:spPr>
            <a:ln w="38100">
              <a:solidFill>
                <a:srgbClr val="FF0000"/>
              </a:solidFill>
              <a:prstDash val="sysDash"/>
            </a:ln>
          </c:spPr>
          <c:marker>
            <c:symbol val="x"/>
            <c:size val="3"/>
            <c:spPr>
              <a:solidFill>
                <a:srgbClr val="FF0000"/>
              </a:solidFill>
              <a:ln>
                <a:solidFill>
                  <a:srgbClr val="FF0000"/>
                </a:solidFill>
                <a:prstDash val="solid"/>
              </a:ln>
            </c:spPr>
          </c:marker>
          <c:xVal>
            <c:numRef>
              <c:f>'[SRD03_DA_NO_DUMMY_A(符合樣式).xls]Data'!$A$3:$A$21</c:f>
              <c:numCache>
                <c:formatCode>0.00_ </c:formatCode>
                <c:ptCount val="19"/>
                <c:pt idx="0">
                  <c:v>5.0000000000000114E-2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0.65000000000002656</c:v>
                </c:pt>
                <c:pt idx="13">
                  <c:v>0.70000000000000062</c:v>
                </c:pt>
                <c:pt idx="14">
                  <c:v>0.75000000000001465</c:v>
                </c:pt>
                <c:pt idx="15">
                  <c:v>0.8</c:v>
                </c:pt>
                <c:pt idx="16">
                  <c:v>0.85000000000000064</c:v>
                </c:pt>
                <c:pt idx="17">
                  <c:v>0.9</c:v>
                </c:pt>
                <c:pt idx="18">
                  <c:v>0.95000000000000062</c:v>
                </c:pt>
              </c:numCache>
            </c:numRef>
          </c:xVal>
          <c:yVal>
            <c:numRef>
              <c:f>'[SRD03_DA_NO_DUMMY_A(符合樣式).xls]Data'!$E$3:$E$21</c:f>
              <c:numCache>
                <c:formatCode>General</c:formatCode>
                <c:ptCount val="19"/>
                <c:pt idx="0">
                  <c:v>0.23163744999999999</c:v>
                </c:pt>
                <c:pt idx="1">
                  <c:v>0.23163744999999999</c:v>
                </c:pt>
                <c:pt idx="2">
                  <c:v>0.23163744999999999</c:v>
                </c:pt>
                <c:pt idx="3">
                  <c:v>0.23163744999999999</c:v>
                </c:pt>
                <c:pt idx="4">
                  <c:v>0.23163744999999999</c:v>
                </c:pt>
                <c:pt idx="5">
                  <c:v>0.23163744999999999</c:v>
                </c:pt>
                <c:pt idx="6">
                  <c:v>0.23163744999999999</c:v>
                </c:pt>
                <c:pt idx="7">
                  <c:v>0.23163744999999999</c:v>
                </c:pt>
                <c:pt idx="8">
                  <c:v>0.23163744999999999</c:v>
                </c:pt>
                <c:pt idx="9">
                  <c:v>0.23163744999999999</c:v>
                </c:pt>
                <c:pt idx="10">
                  <c:v>0.23163744999999999</c:v>
                </c:pt>
                <c:pt idx="11">
                  <c:v>0.23163744999999999</c:v>
                </c:pt>
                <c:pt idx="12">
                  <c:v>0.23163744999999999</c:v>
                </c:pt>
                <c:pt idx="13">
                  <c:v>0.23163744999999999</c:v>
                </c:pt>
                <c:pt idx="14">
                  <c:v>0.23163744999999999</c:v>
                </c:pt>
                <c:pt idx="15">
                  <c:v>0.23163744999999999</c:v>
                </c:pt>
                <c:pt idx="16">
                  <c:v>0.23163744999999999</c:v>
                </c:pt>
                <c:pt idx="17">
                  <c:v>0.23163744999999999</c:v>
                </c:pt>
                <c:pt idx="18">
                  <c:v>0.23163744999999999</c:v>
                </c:pt>
              </c:numCache>
            </c:numRef>
          </c:yVal>
          <c:smooth val="1"/>
          <c:extLst xmlns:c16r2="http://schemas.microsoft.com/office/drawing/2015/06/chart">
            <c:ext xmlns:c16="http://schemas.microsoft.com/office/drawing/2014/chart" uri="{C3380CC4-5D6E-409C-BE32-E72D297353CC}">
              <c16:uniqueId val="{00000003-255F-4CFB-9FD0-23FE5A2B25D6}"/>
            </c:ext>
          </c:extLst>
        </c:ser>
        <c:ser>
          <c:idx val="4"/>
          <c:order val="4"/>
          <c:tx>
            <c:v>up</c:v>
          </c:tx>
          <c:spPr>
            <a:ln w="12700">
              <a:solidFill>
                <a:srgbClr val="FF0000"/>
              </a:solidFill>
              <a:prstDash val="lgDash"/>
            </a:ln>
          </c:spPr>
          <c:marker>
            <c:symbol val="star"/>
            <c:size val="5"/>
            <c:spPr>
              <a:noFill/>
              <a:ln>
                <a:solidFill>
                  <a:srgbClr val="FF0000"/>
                </a:solidFill>
                <a:prstDash val="solid"/>
              </a:ln>
            </c:spPr>
          </c:marker>
          <c:xVal>
            <c:numRef>
              <c:f>'[SRD03_DA_NO_DUMMY_A(符合樣式).xls]Data'!$A$3:$A$21</c:f>
              <c:numCache>
                <c:formatCode>0.00_ </c:formatCode>
                <c:ptCount val="19"/>
                <c:pt idx="0">
                  <c:v>5.0000000000000114E-2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0.65000000000002656</c:v>
                </c:pt>
                <c:pt idx="13">
                  <c:v>0.70000000000000062</c:v>
                </c:pt>
                <c:pt idx="14">
                  <c:v>0.75000000000001465</c:v>
                </c:pt>
                <c:pt idx="15">
                  <c:v>0.8</c:v>
                </c:pt>
                <c:pt idx="16">
                  <c:v>0.85000000000000064</c:v>
                </c:pt>
                <c:pt idx="17">
                  <c:v>0.9</c:v>
                </c:pt>
                <c:pt idx="18">
                  <c:v>0.95000000000000062</c:v>
                </c:pt>
              </c:numCache>
            </c:numRef>
          </c:xVal>
          <c:yVal>
            <c:numRef>
              <c:f>'[SRD03_DA_NO_DUMMY_A(符合樣式).xls]Data'!$G$3:$G$21</c:f>
              <c:numCache>
                <c:formatCode>General</c:formatCode>
                <c:ptCount val="19"/>
                <c:pt idx="0">
                  <c:v>0.32808950000001674</c:v>
                </c:pt>
                <c:pt idx="1">
                  <c:v>0.32808950000001674</c:v>
                </c:pt>
                <c:pt idx="2">
                  <c:v>0.32808950000001674</c:v>
                </c:pt>
                <c:pt idx="3">
                  <c:v>0.32808950000001674</c:v>
                </c:pt>
                <c:pt idx="4">
                  <c:v>0.32808950000001674</c:v>
                </c:pt>
                <c:pt idx="5">
                  <c:v>0.32808950000001674</c:v>
                </c:pt>
                <c:pt idx="6">
                  <c:v>0.32808950000001674</c:v>
                </c:pt>
                <c:pt idx="7">
                  <c:v>0.32808950000001674</c:v>
                </c:pt>
                <c:pt idx="8">
                  <c:v>0.32808950000001674</c:v>
                </c:pt>
                <c:pt idx="9">
                  <c:v>0.32808950000001674</c:v>
                </c:pt>
                <c:pt idx="10">
                  <c:v>0.32808950000001674</c:v>
                </c:pt>
                <c:pt idx="11">
                  <c:v>0.32808950000001674</c:v>
                </c:pt>
                <c:pt idx="12">
                  <c:v>0.32808950000001674</c:v>
                </c:pt>
                <c:pt idx="13">
                  <c:v>0.32808950000001674</c:v>
                </c:pt>
                <c:pt idx="14">
                  <c:v>0.32808950000001674</c:v>
                </c:pt>
                <c:pt idx="15">
                  <c:v>0.32808950000001674</c:v>
                </c:pt>
                <c:pt idx="16">
                  <c:v>0.32808950000001674</c:v>
                </c:pt>
                <c:pt idx="17">
                  <c:v>0.32808950000001674</c:v>
                </c:pt>
                <c:pt idx="18">
                  <c:v>0.32808950000001674</c:v>
                </c:pt>
              </c:numCache>
            </c:numRef>
          </c:yVal>
          <c:smooth val="1"/>
          <c:extLst xmlns:c16r2="http://schemas.microsoft.com/office/drawing/2015/06/chart">
            <c:ext xmlns:c16="http://schemas.microsoft.com/office/drawing/2014/chart" uri="{C3380CC4-5D6E-409C-BE32-E72D297353CC}">
              <c16:uniqueId val="{00000004-255F-4CFB-9FD0-23FE5A2B25D6}"/>
            </c:ext>
          </c:extLst>
        </c:ser>
        <c:ser>
          <c:idx val="5"/>
          <c:order val="5"/>
          <c:tx>
            <c:v>low</c:v>
          </c:tx>
          <c:spPr>
            <a:ln w="12700">
              <a:solidFill>
                <a:srgbClr val="FF0000"/>
              </a:solidFill>
              <a:prstDash val="lgDash"/>
            </a:ln>
          </c:spPr>
          <c:marker>
            <c:symbol val="star"/>
            <c:size val="5"/>
            <c:spPr>
              <a:noFill/>
              <a:ln>
                <a:solidFill>
                  <a:srgbClr val="FF0000"/>
                </a:solidFill>
                <a:prstDash val="solid"/>
              </a:ln>
            </c:spPr>
          </c:marker>
          <c:xVal>
            <c:numRef>
              <c:f>'[SRD03_DA_NO_DUMMY_A(符合樣式).xls]Data'!$A$3:$A$21</c:f>
              <c:numCache>
                <c:formatCode>0.00_ </c:formatCode>
                <c:ptCount val="19"/>
                <c:pt idx="0">
                  <c:v>5.0000000000000114E-2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0.65000000000002656</c:v>
                </c:pt>
                <c:pt idx="13">
                  <c:v>0.70000000000000062</c:v>
                </c:pt>
                <c:pt idx="14">
                  <c:v>0.75000000000001465</c:v>
                </c:pt>
                <c:pt idx="15">
                  <c:v>0.8</c:v>
                </c:pt>
                <c:pt idx="16">
                  <c:v>0.85000000000000064</c:v>
                </c:pt>
                <c:pt idx="17">
                  <c:v>0.9</c:v>
                </c:pt>
                <c:pt idx="18">
                  <c:v>0.95000000000000062</c:v>
                </c:pt>
              </c:numCache>
            </c:numRef>
          </c:xVal>
          <c:yVal>
            <c:numRef>
              <c:f>'[SRD03_DA_NO_DUMMY_A(符合樣式).xls]Data'!$F$3:$F$21</c:f>
              <c:numCache>
                <c:formatCode>General</c:formatCode>
                <c:ptCount val="19"/>
                <c:pt idx="0">
                  <c:v>0.13518540000000001</c:v>
                </c:pt>
                <c:pt idx="1">
                  <c:v>0.13518540000000001</c:v>
                </c:pt>
                <c:pt idx="2">
                  <c:v>0.13518540000000001</c:v>
                </c:pt>
                <c:pt idx="3">
                  <c:v>0.13518540000000001</c:v>
                </c:pt>
                <c:pt idx="4">
                  <c:v>0.13518540000000001</c:v>
                </c:pt>
                <c:pt idx="5">
                  <c:v>0.13518540000000001</c:v>
                </c:pt>
                <c:pt idx="6">
                  <c:v>0.13518540000000001</c:v>
                </c:pt>
                <c:pt idx="7">
                  <c:v>0.13518540000000001</c:v>
                </c:pt>
                <c:pt idx="8">
                  <c:v>0.13518540000000001</c:v>
                </c:pt>
                <c:pt idx="9">
                  <c:v>0.13518540000000001</c:v>
                </c:pt>
                <c:pt idx="10">
                  <c:v>0.13518540000000001</c:v>
                </c:pt>
                <c:pt idx="11">
                  <c:v>0.13518540000000001</c:v>
                </c:pt>
                <c:pt idx="12">
                  <c:v>0.13518540000000001</c:v>
                </c:pt>
                <c:pt idx="13">
                  <c:v>0.13518540000000001</c:v>
                </c:pt>
                <c:pt idx="14">
                  <c:v>0.13518540000000001</c:v>
                </c:pt>
                <c:pt idx="15">
                  <c:v>0.13518540000000001</c:v>
                </c:pt>
                <c:pt idx="16">
                  <c:v>0.13518540000000001</c:v>
                </c:pt>
                <c:pt idx="17">
                  <c:v>0.13518540000000001</c:v>
                </c:pt>
                <c:pt idx="18">
                  <c:v>0.13518540000000001</c:v>
                </c:pt>
              </c:numCache>
            </c:numRef>
          </c:yVal>
          <c:smooth val="1"/>
          <c:extLst xmlns:c16r2="http://schemas.microsoft.com/office/drawing/2015/06/chart">
            <c:ext xmlns:c16="http://schemas.microsoft.com/office/drawing/2014/chart" uri="{C3380CC4-5D6E-409C-BE32-E72D297353CC}">
              <c16:uniqueId val="{00000005-255F-4CFB-9FD0-23FE5A2B25D6}"/>
            </c:ext>
          </c:extLst>
        </c:ser>
        <c:dLbls>
          <c:showLegendKey val="0"/>
          <c:showVal val="0"/>
          <c:showCatName val="0"/>
          <c:showSerName val="0"/>
          <c:showPercent val="0"/>
          <c:showBubbleSize val="0"/>
        </c:dLbls>
        <c:axId val="211769216"/>
        <c:axId val="114188672"/>
      </c:scatterChart>
      <c:valAx>
        <c:axId val="211769216"/>
        <c:scaling>
          <c:orientation val="minMax"/>
        </c:scaling>
        <c:delete val="0"/>
        <c:axPos val="b"/>
        <c:title>
          <c:tx>
            <c:rich>
              <a:bodyPr/>
              <a:lstStyle/>
              <a:p>
                <a:pPr>
                  <a:defRPr b="1"/>
                </a:pPr>
                <a:r>
                  <a:rPr lang="en-US" b="1"/>
                  <a:t>Quantile levels</a:t>
                </a:r>
              </a:p>
            </c:rich>
          </c:tx>
          <c:layout>
            <c:manualLayout>
              <c:xMode val="edge"/>
              <c:yMode val="edge"/>
              <c:x val="0.4813102773917966"/>
              <c:y val="0.80998060295843799"/>
            </c:manualLayout>
          </c:layout>
          <c:overlay val="0"/>
        </c:title>
        <c:numFmt formatCode="0.00_ " sourceLinked="1"/>
        <c:majorTickMark val="in"/>
        <c:minorTickMark val="none"/>
        <c:tickLblPos val="nextTo"/>
        <c:txPr>
          <a:bodyPr rot="0" vert="horz"/>
          <a:lstStyle/>
          <a:p>
            <a:pPr>
              <a:defRPr sz="1200" b="1" i="0" u="none" strike="noStrike" baseline="0">
                <a:solidFill>
                  <a:srgbClr val="000000"/>
                </a:solidFill>
                <a:latin typeface="新細明體"/>
                <a:ea typeface="新細明體"/>
                <a:cs typeface="新細明體"/>
              </a:defRPr>
            </a:pPr>
            <a:endParaRPr lang="en-US"/>
          </a:p>
        </c:txPr>
        <c:crossAx val="114188672"/>
        <c:crosses val="autoZero"/>
        <c:crossBetween val="midCat"/>
      </c:valAx>
      <c:valAx>
        <c:axId val="114188672"/>
        <c:scaling>
          <c:orientation val="minMax"/>
        </c:scaling>
        <c:delete val="0"/>
        <c:axPos val="l"/>
        <c:title>
          <c:tx>
            <c:rich>
              <a:bodyPr/>
              <a:lstStyle/>
              <a:p>
                <a:pPr>
                  <a:defRPr b="1"/>
                </a:pPr>
                <a:r>
                  <a:rPr lang="en-US" b="1"/>
                  <a:t>Estimates</a:t>
                </a:r>
              </a:p>
            </c:rich>
          </c:tx>
          <c:layout>
            <c:manualLayout>
              <c:xMode val="edge"/>
              <c:yMode val="edge"/>
              <c:x val="1.1375431653598287E-2"/>
              <c:y val="0.33559323855849077"/>
            </c:manualLayout>
          </c:layout>
          <c:overlay val="0"/>
        </c:title>
        <c:numFmt formatCode="0.00_ " sourceLinked="0"/>
        <c:majorTickMark val="out"/>
        <c:minorTickMark val="none"/>
        <c:tickLblPos val="nextTo"/>
        <c:txPr>
          <a:bodyPr rot="0" vert="horz"/>
          <a:lstStyle/>
          <a:p>
            <a:pPr>
              <a:defRPr b="1"/>
            </a:pPr>
            <a:endParaRPr lang="en-US"/>
          </a:p>
        </c:txPr>
        <c:crossAx val="211769216"/>
        <c:crosses val="autoZero"/>
        <c:crossBetween val="midCat"/>
      </c:valAx>
      <c:spPr>
        <a:noFill/>
        <a:ln w="25400">
          <a:noFill/>
        </a:ln>
      </c:spPr>
    </c:plotArea>
    <c:plotVisOnly val="1"/>
    <c:dispBlanksAs val="gap"/>
    <c:showDLblsOverMax val="0"/>
  </c:chart>
  <c:spPr>
    <a:noFill/>
    <a:ln w="9525">
      <a:noFill/>
    </a:ln>
  </c:spPr>
  <c:txPr>
    <a:bodyPr/>
    <a:lstStyle/>
    <a:p>
      <a:pPr>
        <a:defRPr sz="1200" b="0" i="0" u="none" strike="noStrike" baseline="0">
          <a:solidFill>
            <a:srgbClr val="000000"/>
          </a:solidFill>
          <a:latin typeface="新細明體"/>
          <a:ea typeface="新細明體"/>
          <a:cs typeface="新細明體"/>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82316442605998"/>
          <c:y val="4.7457627118646699E-2"/>
          <c:w val="0.81168592243726534"/>
          <c:h val="0.78272697141526248"/>
        </c:manualLayout>
      </c:layout>
      <c:scatterChart>
        <c:scatterStyle val="smoothMarker"/>
        <c:varyColors val="0"/>
        <c:ser>
          <c:idx val="0"/>
          <c:order val="0"/>
          <c:tx>
            <c:v>mean</c:v>
          </c:tx>
          <c:spPr>
            <a:ln w="12700">
              <a:solidFill>
                <a:srgbClr val="000000"/>
              </a:solidFill>
              <a:prstDash val="solid"/>
            </a:ln>
          </c:spPr>
          <c:marker>
            <c:symbol val="diamond"/>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0.65000000000001501</c:v>
                </c:pt>
                <c:pt idx="13">
                  <c:v>0.70000000000000062</c:v>
                </c:pt>
                <c:pt idx="14">
                  <c:v>0.75000000000001332</c:v>
                </c:pt>
                <c:pt idx="15">
                  <c:v>0.8</c:v>
                </c:pt>
                <c:pt idx="16">
                  <c:v>0.85000000000000064</c:v>
                </c:pt>
                <c:pt idx="17">
                  <c:v>0.9</c:v>
                </c:pt>
                <c:pt idx="18">
                  <c:v>0.95000000000000062</c:v>
                </c:pt>
              </c:numCache>
            </c:numRef>
          </c:xVal>
          <c:yVal>
            <c:numRef>
              <c:f>Data!$D$3:$D$21</c:f>
              <c:numCache>
                <c:formatCode>General</c:formatCode>
                <c:ptCount val="19"/>
                <c:pt idx="0">
                  <c:v>-0.49934620000000807</c:v>
                </c:pt>
                <c:pt idx="1">
                  <c:v>-0.34726170000000001</c:v>
                </c:pt>
                <c:pt idx="2">
                  <c:v>-0.32399825000000032</c:v>
                </c:pt>
                <c:pt idx="3">
                  <c:v>-0.20217669999999988</c:v>
                </c:pt>
                <c:pt idx="4">
                  <c:v>-0.18256065000000021</c:v>
                </c:pt>
                <c:pt idx="5">
                  <c:v>-0.14199405000000417</c:v>
                </c:pt>
                <c:pt idx="6">
                  <c:v>-0.14131810000000194</c:v>
                </c:pt>
                <c:pt idx="7">
                  <c:v>-8.8591150000000368E-2</c:v>
                </c:pt>
                <c:pt idx="8">
                  <c:v>-7.6508550000000008E-2</c:v>
                </c:pt>
                <c:pt idx="9">
                  <c:v>-5.3166100000000022E-2</c:v>
                </c:pt>
                <c:pt idx="10">
                  <c:v>7.882084999999997E-2</c:v>
                </c:pt>
                <c:pt idx="11">
                  <c:v>0.22449630000000401</c:v>
                </c:pt>
                <c:pt idx="12">
                  <c:v>0.28628104999999998</c:v>
                </c:pt>
                <c:pt idx="13">
                  <c:v>0.51906834999998341</c:v>
                </c:pt>
                <c:pt idx="14">
                  <c:v>0.64123825000001466</c:v>
                </c:pt>
                <c:pt idx="15">
                  <c:v>0.68593245000000003</c:v>
                </c:pt>
                <c:pt idx="16">
                  <c:v>1.0206334499999998</c:v>
                </c:pt>
                <c:pt idx="17">
                  <c:v>2.0108367</c:v>
                </c:pt>
                <c:pt idx="18">
                  <c:v>3.4977144999999998</c:v>
                </c:pt>
              </c:numCache>
            </c:numRef>
          </c:yVal>
          <c:smooth val="1"/>
          <c:extLst xmlns:c16r2="http://schemas.microsoft.com/office/drawing/2015/06/chart">
            <c:ext xmlns:c16="http://schemas.microsoft.com/office/drawing/2014/chart" uri="{C3380CC4-5D6E-409C-BE32-E72D297353CC}">
              <c16:uniqueId val="{00000000-293A-4496-A6C5-44B3DB8905D9}"/>
            </c:ext>
          </c:extLst>
        </c:ser>
        <c:ser>
          <c:idx val="1"/>
          <c:order val="1"/>
          <c:tx>
            <c:v>right</c:v>
          </c:tx>
          <c:spPr>
            <a:ln w="12700">
              <a:solidFill>
                <a:srgbClr val="000000"/>
              </a:solidFill>
              <a:prstDash val="solid"/>
            </a:ln>
          </c:spPr>
          <c:marker>
            <c:symbol val="square"/>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0.65000000000001501</c:v>
                </c:pt>
                <c:pt idx="13">
                  <c:v>0.70000000000000062</c:v>
                </c:pt>
                <c:pt idx="14">
                  <c:v>0.75000000000001332</c:v>
                </c:pt>
                <c:pt idx="15">
                  <c:v>0.8</c:v>
                </c:pt>
                <c:pt idx="16">
                  <c:v>0.85000000000000064</c:v>
                </c:pt>
                <c:pt idx="17">
                  <c:v>0.9</c:v>
                </c:pt>
                <c:pt idx="18">
                  <c:v>0.95000000000000062</c:v>
                </c:pt>
              </c:numCache>
            </c:numRef>
          </c:xVal>
          <c:yVal>
            <c:numRef>
              <c:f>Data!$C$3:$C$21</c:f>
              <c:numCache>
                <c:formatCode>General</c:formatCode>
                <c:ptCount val="19"/>
                <c:pt idx="0">
                  <c:v>-0.37635230000000908</c:v>
                </c:pt>
                <c:pt idx="1">
                  <c:v>-0.16639080000000001</c:v>
                </c:pt>
                <c:pt idx="2">
                  <c:v>-0.17176369999999999</c:v>
                </c:pt>
                <c:pt idx="3">
                  <c:v>-1.8082999999999998E-2</c:v>
                </c:pt>
                <c:pt idx="4">
                  <c:v>-6.61027E-2</c:v>
                </c:pt>
                <c:pt idx="5">
                  <c:v>-6.5254999999999994E-2</c:v>
                </c:pt>
                <c:pt idx="6">
                  <c:v>-3.97536E-2</c:v>
                </c:pt>
                <c:pt idx="7">
                  <c:v>4.8548999999999997E-3</c:v>
                </c:pt>
                <c:pt idx="8">
                  <c:v>3.3181099999999998E-2</c:v>
                </c:pt>
                <c:pt idx="9">
                  <c:v>0.16139519999999999</c:v>
                </c:pt>
                <c:pt idx="10">
                  <c:v>0.30710570000000031</c:v>
                </c:pt>
                <c:pt idx="11">
                  <c:v>0.51225379999998577</c:v>
                </c:pt>
                <c:pt idx="12">
                  <c:v>0.57705499999999998</c:v>
                </c:pt>
                <c:pt idx="13">
                  <c:v>0.87341990000000003</c:v>
                </c:pt>
                <c:pt idx="14">
                  <c:v>0.93658540000000001</c:v>
                </c:pt>
                <c:pt idx="15">
                  <c:v>1.0195599999999998</c:v>
                </c:pt>
                <c:pt idx="16">
                  <c:v>1.6481749999999999</c:v>
                </c:pt>
                <c:pt idx="17">
                  <c:v>3.4029279999999997</c:v>
                </c:pt>
                <c:pt idx="18">
                  <c:v>5.7172429999999999</c:v>
                </c:pt>
              </c:numCache>
            </c:numRef>
          </c:yVal>
          <c:smooth val="1"/>
          <c:extLst xmlns:c16r2="http://schemas.microsoft.com/office/drawing/2015/06/chart">
            <c:ext xmlns:c16="http://schemas.microsoft.com/office/drawing/2014/chart" uri="{C3380CC4-5D6E-409C-BE32-E72D297353CC}">
              <c16:uniqueId val="{00000001-293A-4496-A6C5-44B3DB8905D9}"/>
            </c:ext>
          </c:extLst>
        </c:ser>
        <c:ser>
          <c:idx val="2"/>
          <c:order val="2"/>
          <c:tx>
            <c:v>left</c:v>
          </c:tx>
          <c:spPr>
            <a:ln w="12700">
              <a:solidFill>
                <a:srgbClr val="000000"/>
              </a:solidFill>
              <a:prstDash val="solid"/>
            </a:ln>
          </c:spPr>
          <c:marker>
            <c:symbol val="triangle"/>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0.65000000000001501</c:v>
                </c:pt>
                <c:pt idx="13">
                  <c:v>0.70000000000000062</c:v>
                </c:pt>
                <c:pt idx="14">
                  <c:v>0.75000000000001332</c:v>
                </c:pt>
                <c:pt idx="15">
                  <c:v>0.8</c:v>
                </c:pt>
                <c:pt idx="16">
                  <c:v>0.85000000000000064</c:v>
                </c:pt>
                <c:pt idx="17">
                  <c:v>0.9</c:v>
                </c:pt>
                <c:pt idx="18">
                  <c:v>0.95000000000000062</c:v>
                </c:pt>
              </c:numCache>
            </c:numRef>
          </c:xVal>
          <c:yVal>
            <c:numRef>
              <c:f>Data!$B$3:$B$21</c:f>
              <c:numCache>
                <c:formatCode>General</c:formatCode>
                <c:ptCount val="19"/>
                <c:pt idx="0">
                  <c:v>-0.62234009999999995</c:v>
                </c:pt>
                <c:pt idx="1">
                  <c:v>-0.52813259999998297</c:v>
                </c:pt>
                <c:pt idx="2">
                  <c:v>-0.47623280000000001</c:v>
                </c:pt>
                <c:pt idx="3">
                  <c:v>-0.38627040000000745</c:v>
                </c:pt>
                <c:pt idx="4">
                  <c:v>-0.29901860000000852</c:v>
                </c:pt>
                <c:pt idx="5">
                  <c:v>-0.21873310000000457</c:v>
                </c:pt>
                <c:pt idx="6">
                  <c:v>-0.2428826</c:v>
                </c:pt>
                <c:pt idx="7">
                  <c:v>-0.18203720000000409</c:v>
                </c:pt>
                <c:pt idx="8">
                  <c:v>-0.18619820000000398</c:v>
                </c:pt>
                <c:pt idx="9">
                  <c:v>-0.2677274</c:v>
                </c:pt>
                <c:pt idx="10">
                  <c:v>-0.14946400000000457</c:v>
                </c:pt>
                <c:pt idx="11">
                  <c:v>-6.3261200000000004E-2</c:v>
                </c:pt>
                <c:pt idx="12">
                  <c:v>-4.4929000000000002E-3</c:v>
                </c:pt>
                <c:pt idx="13">
                  <c:v>0.16471680000000041</c:v>
                </c:pt>
                <c:pt idx="14">
                  <c:v>0.34589110000000001</c:v>
                </c:pt>
                <c:pt idx="15">
                  <c:v>0.35230490000000975</c:v>
                </c:pt>
                <c:pt idx="16">
                  <c:v>0.39309190000000038</c:v>
                </c:pt>
                <c:pt idx="17">
                  <c:v>0.61874540000002565</c:v>
                </c:pt>
                <c:pt idx="18">
                  <c:v>1.278186</c:v>
                </c:pt>
              </c:numCache>
            </c:numRef>
          </c:yVal>
          <c:smooth val="1"/>
          <c:extLst xmlns:c16r2="http://schemas.microsoft.com/office/drawing/2015/06/chart">
            <c:ext xmlns:c16="http://schemas.microsoft.com/office/drawing/2014/chart" uri="{C3380CC4-5D6E-409C-BE32-E72D297353CC}">
              <c16:uniqueId val="{00000002-293A-4496-A6C5-44B3DB8905D9}"/>
            </c:ext>
          </c:extLst>
        </c:ser>
        <c:ser>
          <c:idx val="3"/>
          <c:order val="3"/>
          <c:tx>
            <c:v>OLS</c:v>
          </c:tx>
          <c:spPr>
            <a:ln w="38100">
              <a:solidFill>
                <a:srgbClr val="FF0000"/>
              </a:solidFill>
              <a:prstDash val="sysDash"/>
            </a:ln>
          </c:spPr>
          <c:marker>
            <c:symbol val="x"/>
            <c:size val="3"/>
            <c:spPr>
              <a:solidFill>
                <a:srgbClr val="FF0000"/>
              </a:solid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0.65000000000001501</c:v>
                </c:pt>
                <c:pt idx="13">
                  <c:v>0.70000000000000062</c:v>
                </c:pt>
                <c:pt idx="14">
                  <c:v>0.75000000000001332</c:v>
                </c:pt>
                <c:pt idx="15">
                  <c:v>0.8</c:v>
                </c:pt>
                <c:pt idx="16">
                  <c:v>0.85000000000000064</c:v>
                </c:pt>
                <c:pt idx="17">
                  <c:v>0.9</c:v>
                </c:pt>
                <c:pt idx="18">
                  <c:v>0.95000000000000062</c:v>
                </c:pt>
              </c:numCache>
            </c:numRef>
          </c:xVal>
          <c:yVal>
            <c:numRef>
              <c:f>Data!$E$3:$E$21</c:f>
              <c:numCache>
                <c:formatCode>General</c:formatCode>
                <c:ptCount val="19"/>
                <c:pt idx="0">
                  <c:v>0.45783455000000001</c:v>
                </c:pt>
                <c:pt idx="1">
                  <c:v>0.45783455000000001</c:v>
                </c:pt>
                <c:pt idx="2">
                  <c:v>0.45783455000000001</c:v>
                </c:pt>
                <c:pt idx="3">
                  <c:v>0.45783455000000001</c:v>
                </c:pt>
                <c:pt idx="4">
                  <c:v>0.45783455000000001</c:v>
                </c:pt>
                <c:pt idx="5">
                  <c:v>0.45783455000000001</c:v>
                </c:pt>
                <c:pt idx="6">
                  <c:v>0.45783455000000001</c:v>
                </c:pt>
                <c:pt idx="7">
                  <c:v>0.45783455000000001</c:v>
                </c:pt>
                <c:pt idx="8">
                  <c:v>0.45783455000000001</c:v>
                </c:pt>
                <c:pt idx="9">
                  <c:v>0.45783455000000001</c:v>
                </c:pt>
                <c:pt idx="10">
                  <c:v>0.45783455000000001</c:v>
                </c:pt>
                <c:pt idx="11">
                  <c:v>0.45783455000000001</c:v>
                </c:pt>
                <c:pt idx="12">
                  <c:v>0.45783455000000001</c:v>
                </c:pt>
                <c:pt idx="13">
                  <c:v>0.45783455000000001</c:v>
                </c:pt>
                <c:pt idx="14">
                  <c:v>0.45783455000000001</c:v>
                </c:pt>
                <c:pt idx="15">
                  <c:v>0.45783455000000001</c:v>
                </c:pt>
                <c:pt idx="16">
                  <c:v>0.45783455000000001</c:v>
                </c:pt>
                <c:pt idx="17">
                  <c:v>0.45783455000000001</c:v>
                </c:pt>
                <c:pt idx="18">
                  <c:v>0.45783455000000001</c:v>
                </c:pt>
              </c:numCache>
            </c:numRef>
          </c:yVal>
          <c:smooth val="1"/>
          <c:extLst xmlns:c16r2="http://schemas.microsoft.com/office/drawing/2015/06/chart">
            <c:ext xmlns:c16="http://schemas.microsoft.com/office/drawing/2014/chart" uri="{C3380CC4-5D6E-409C-BE32-E72D297353CC}">
              <c16:uniqueId val="{00000003-293A-4496-A6C5-44B3DB8905D9}"/>
            </c:ext>
          </c:extLst>
        </c:ser>
        <c:ser>
          <c:idx val="4"/>
          <c:order val="4"/>
          <c:tx>
            <c:v>up</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0.65000000000001501</c:v>
                </c:pt>
                <c:pt idx="13">
                  <c:v>0.70000000000000062</c:v>
                </c:pt>
                <c:pt idx="14">
                  <c:v>0.75000000000001332</c:v>
                </c:pt>
                <c:pt idx="15">
                  <c:v>0.8</c:v>
                </c:pt>
                <c:pt idx="16">
                  <c:v>0.85000000000000064</c:v>
                </c:pt>
                <c:pt idx="17">
                  <c:v>0.9</c:v>
                </c:pt>
                <c:pt idx="18">
                  <c:v>0.95000000000000062</c:v>
                </c:pt>
              </c:numCache>
            </c:numRef>
          </c:xVal>
          <c:yVal>
            <c:numRef>
              <c:f>Data!$G$3:$G$21</c:f>
              <c:numCache>
                <c:formatCode>General</c:formatCode>
                <c:ptCount val="19"/>
                <c:pt idx="0">
                  <c:v>0.58066019999998408</c:v>
                </c:pt>
                <c:pt idx="1">
                  <c:v>0.58066019999998408</c:v>
                </c:pt>
                <c:pt idx="2">
                  <c:v>0.58066019999998408</c:v>
                </c:pt>
                <c:pt idx="3">
                  <c:v>0.58066019999998408</c:v>
                </c:pt>
                <c:pt idx="4">
                  <c:v>0.58066019999998408</c:v>
                </c:pt>
                <c:pt idx="5">
                  <c:v>0.58066019999998408</c:v>
                </c:pt>
                <c:pt idx="6">
                  <c:v>0.58066019999998408</c:v>
                </c:pt>
                <c:pt idx="7">
                  <c:v>0.58066019999998408</c:v>
                </c:pt>
                <c:pt idx="8">
                  <c:v>0.58066019999998408</c:v>
                </c:pt>
                <c:pt idx="9">
                  <c:v>0.58066019999998408</c:v>
                </c:pt>
                <c:pt idx="10">
                  <c:v>0.58066019999998408</c:v>
                </c:pt>
                <c:pt idx="11">
                  <c:v>0.58066019999998408</c:v>
                </c:pt>
                <c:pt idx="12">
                  <c:v>0.58066019999998408</c:v>
                </c:pt>
                <c:pt idx="13">
                  <c:v>0.58066019999998408</c:v>
                </c:pt>
                <c:pt idx="14">
                  <c:v>0.58066019999998408</c:v>
                </c:pt>
                <c:pt idx="15">
                  <c:v>0.58066019999998408</c:v>
                </c:pt>
                <c:pt idx="16">
                  <c:v>0.58066019999998408</c:v>
                </c:pt>
                <c:pt idx="17">
                  <c:v>0.58066019999998408</c:v>
                </c:pt>
                <c:pt idx="18">
                  <c:v>0.58066019999998408</c:v>
                </c:pt>
              </c:numCache>
            </c:numRef>
          </c:yVal>
          <c:smooth val="1"/>
          <c:extLst xmlns:c16r2="http://schemas.microsoft.com/office/drawing/2015/06/chart">
            <c:ext xmlns:c16="http://schemas.microsoft.com/office/drawing/2014/chart" uri="{C3380CC4-5D6E-409C-BE32-E72D297353CC}">
              <c16:uniqueId val="{00000004-293A-4496-A6C5-44B3DB8905D9}"/>
            </c:ext>
          </c:extLst>
        </c:ser>
        <c:ser>
          <c:idx val="5"/>
          <c:order val="5"/>
          <c:tx>
            <c:v>low</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0.65000000000001501</c:v>
                </c:pt>
                <c:pt idx="13">
                  <c:v>0.70000000000000062</c:v>
                </c:pt>
                <c:pt idx="14">
                  <c:v>0.75000000000001332</c:v>
                </c:pt>
                <c:pt idx="15">
                  <c:v>0.8</c:v>
                </c:pt>
                <c:pt idx="16">
                  <c:v>0.85000000000000064</c:v>
                </c:pt>
                <c:pt idx="17">
                  <c:v>0.9</c:v>
                </c:pt>
                <c:pt idx="18">
                  <c:v>0.95000000000000062</c:v>
                </c:pt>
              </c:numCache>
            </c:numRef>
          </c:xVal>
          <c:yVal>
            <c:numRef>
              <c:f>Data!$F$3:$F$21</c:f>
              <c:numCache>
                <c:formatCode>General</c:formatCode>
                <c:ptCount val="19"/>
                <c:pt idx="0">
                  <c:v>0.33500890000001216</c:v>
                </c:pt>
                <c:pt idx="1">
                  <c:v>0.33500890000001216</c:v>
                </c:pt>
                <c:pt idx="2">
                  <c:v>0.33500890000001216</c:v>
                </c:pt>
                <c:pt idx="3">
                  <c:v>0.33500890000001216</c:v>
                </c:pt>
                <c:pt idx="4">
                  <c:v>0.33500890000001216</c:v>
                </c:pt>
                <c:pt idx="5">
                  <c:v>0.33500890000001216</c:v>
                </c:pt>
                <c:pt idx="6">
                  <c:v>0.33500890000001216</c:v>
                </c:pt>
                <c:pt idx="7">
                  <c:v>0.33500890000001216</c:v>
                </c:pt>
                <c:pt idx="8">
                  <c:v>0.33500890000001216</c:v>
                </c:pt>
                <c:pt idx="9">
                  <c:v>0.33500890000001216</c:v>
                </c:pt>
                <c:pt idx="10">
                  <c:v>0.33500890000001216</c:v>
                </c:pt>
                <c:pt idx="11">
                  <c:v>0.33500890000001216</c:v>
                </c:pt>
                <c:pt idx="12">
                  <c:v>0.33500890000001216</c:v>
                </c:pt>
                <c:pt idx="13">
                  <c:v>0.33500890000001216</c:v>
                </c:pt>
                <c:pt idx="14">
                  <c:v>0.33500890000001216</c:v>
                </c:pt>
                <c:pt idx="15">
                  <c:v>0.33500890000001216</c:v>
                </c:pt>
                <c:pt idx="16">
                  <c:v>0.33500890000001216</c:v>
                </c:pt>
                <c:pt idx="17">
                  <c:v>0.33500890000001216</c:v>
                </c:pt>
                <c:pt idx="18">
                  <c:v>0.33500890000001216</c:v>
                </c:pt>
              </c:numCache>
            </c:numRef>
          </c:yVal>
          <c:smooth val="1"/>
          <c:extLst xmlns:c16r2="http://schemas.microsoft.com/office/drawing/2015/06/chart">
            <c:ext xmlns:c16="http://schemas.microsoft.com/office/drawing/2014/chart" uri="{C3380CC4-5D6E-409C-BE32-E72D297353CC}">
              <c16:uniqueId val="{00000005-293A-4496-A6C5-44B3DB8905D9}"/>
            </c:ext>
          </c:extLst>
        </c:ser>
        <c:dLbls>
          <c:showLegendKey val="0"/>
          <c:showVal val="0"/>
          <c:showCatName val="0"/>
          <c:showSerName val="0"/>
          <c:showPercent val="0"/>
          <c:showBubbleSize val="0"/>
        </c:dLbls>
        <c:axId val="138167808"/>
        <c:axId val="138190848"/>
      </c:scatterChart>
      <c:valAx>
        <c:axId val="138167808"/>
        <c:scaling>
          <c:orientation val="minMax"/>
        </c:scaling>
        <c:delete val="0"/>
        <c:axPos val="b"/>
        <c:title>
          <c:tx>
            <c:rich>
              <a:bodyPr/>
              <a:lstStyle/>
              <a:p>
                <a:pPr>
                  <a:defRPr b="1"/>
                </a:pPr>
                <a:r>
                  <a:rPr lang="en-US" b="1"/>
                  <a:t>Quantile levels</a:t>
                </a:r>
              </a:p>
            </c:rich>
          </c:tx>
          <c:layout>
            <c:manualLayout>
              <c:xMode val="edge"/>
              <c:yMode val="edge"/>
              <c:x val="0.47259569116360456"/>
              <c:y val="0.82979088398263945"/>
            </c:manualLayout>
          </c:layout>
          <c:overlay val="0"/>
        </c:title>
        <c:numFmt formatCode="0.00_ " sourceLinked="1"/>
        <c:majorTickMark val="in"/>
        <c:minorTickMark val="none"/>
        <c:tickLblPos val="nextTo"/>
        <c:txPr>
          <a:bodyPr rot="0" vert="horz"/>
          <a:lstStyle/>
          <a:p>
            <a:pPr>
              <a:defRPr sz="1200" b="1" i="0" u="none" strike="noStrike" baseline="0">
                <a:solidFill>
                  <a:srgbClr val="000000"/>
                </a:solidFill>
                <a:latin typeface="新細明體"/>
                <a:ea typeface="新細明體"/>
                <a:cs typeface="新細明體"/>
              </a:defRPr>
            </a:pPr>
            <a:endParaRPr lang="en-US"/>
          </a:p>
        </c:txPr>
        <c:crossAx val="138190848"/>
        <c:crosses val="autoZero"/>
        <c:crossBetween val="midCat"/>
      </c:valAx>
      <c:valAx>
        <c:axId val="138190848"/>
        <c:scaling>
          <c:orientation val="minMax"/>
        </c:scaling>
        <c:delete val="0"/>
        <c:axPos val="l"/>
        <c:title>
          <c:tx>
            <c:rich>
              <a:bodyPr/>
              <a:lstStyle/>
              <a:p>
                <a:pPr>
                  <a:defRPr b="1"/>
                </a:pPr>
                <a:r>
                  <a:rPr lang="en-US" b="1"/>
                  <a:t>Estimates</a:t>
                </a:r>
              </a:p>
            </c:rich>
          </c:tx>
          <c:layout>
            <c:manualLayout>
              <c:xMode val="edge"/>
              <c:yMode val="edge"/>
              <c:x val="1.1375431653597863E-2"/>
              <c:y val="0.33559323855849077"/>
            </c:manualLayout>
          </c:layout>
          <c:overlay val="0"/>
        </c:title>
        <c:numFmt formatCode="0.00_ " sourceLinked="0"/>
        <c:majorTickMark val="out"/>
        <c:minorTickMark val="none"/>
        <c:tickLblPos val="nextTo"/>
        <c:txPr>
          <a:bodyPr rot="0" vert="horz"/>
          <a:lstStyle/>
          <a:p>
            <a:pPr>
              <a:defRPr b="1"/>
            </a:pPr>
            <a:endParaRPr lang="en-US"/>
          </a:p>
        </c:txPr>
        <c:crossAx val="138167808"/>
        <c:crosses val="autoZero"/>
        <c:crossBetween val="midCat"/>
      </c:valAx>
      <c:spPr>
        <a:noFill/>
        <a:ln w="25400">
          <a:noFill/>
        </a:ln>
      </c:spPr>
    </c:plotArea>
    <c:plotVisOnly val="1"/>
    <c:dispBlanksAs val="gap"/>
    <c:showDLblsOverMax val="0"/>
  </c:chart>
  <c:spPr>
    <a:noFill/>
    <a:ln w="9525">
      <a:noFill/>
    </a:ln>
  </c:spPr>
  <c:txPr>
    <a:bodyPr/>
    <a:lstStyle/>
    <a:p>
      <a:pPr>
        <a:defRPr sz="1200" b="0" i="0" u="none" strike="noStrike" baseline="0">
          <a:solidFill>
            <a:srgbClr val="000000"/>
          </a:solidFill>
          <a:latin typeface="新細明體"/>
          <a:ea typeface="新細明體"/>
          <a:cs typeface="新細明體"/>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82316442605998"/>
          <c:y val="4.7457627118646699E-2"/>
          <c:w val="0.81168592243726534"/>
          <c:h val="0.78272697141526248"/>
        </c:manualLayout>
      </c:layout>
      <c:scatterChart>
        <c:scatterStyle val="smoothMarker"/>
        <c:varyColors val="0"/>
        <c:ser>
          <c:idx val="0"/>
          <c:order val="0"/>
          <c:tx>
            <c:v>mean</c:v>
          </c:tx>
          <c:spPr>
            <a:ln w="12700">
              <a:solidFill>
                <a:srgbClr val="000000"/>
              </a:solidFill>
              <a:prstDash val="solid"/>
            </a:ln>
          </c:spPr>
          <c:marker>
            <c:symbol val="diamond"/>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0.65000000000001501</c:v>
                </c:pt>
                <c:pt idx="13">
                  <c:v>0.70000000000000062</c:v>
                </c:pt>
                <c:pt idx="14">
                  <c:v>0.75000000000001332</c:v>
                </c:pt>
                <c:pt idx="15">
                  <c:v>0.8</c:v>
                </c:pt>
                <c:pt idx="16">
                  <c:v>0.85000000000000064</c:v>
                </c:pt>
                <c:pt idx="17">
                  <c:v>0.9</c:v>
                </c:pt>
                <c:pt idx="18">
                  <c:v>0.95000000000000062</c:v>
                </c:pt>
              </c:numCache>
            </c:numRef>
          </c:xVal>
          <c:yVal>
            <c:numRef>
              <c:f>Data!$D$3:$D$21</c:f>
              <c:numCache>
                <c:formatCode>General</c:formatCode>
                <c:ptCount val="19"/>
                <c:pt idx="0">
                  <c:v>-0.75597684999999992</c:v>
                </c:pt>
                <c:pt idx="1">
                  <c:v>-0.73483675000000004</c:v>
                </c:pt>
                <c:pt idx="2">
                  <c:v>-0.72509105000001983</c:v>
                </c:pt>
                <c:pt idx="3">
                  <c:v>-0.71723680000000001</c:v>
                </c:pt>
                <c:pt idx="4">
                  <c:v>-0.67737775000001343</c:v>
                </c:pt>
                <c:pt idx="5">
                  <c:v>-0.61007160000001703</c:v>
                </c:pt>
                <c:pt idx="6">
                  <c:v>-0.55760769999999993</c:v>
                </c:pt>
                <c:pt idx="7">
                  <c:v>-0.50487789999999999</c:v>
                </c:pt>
                <c:pt idx="8">
                  <c:v>-0.45672600000000002</c:v>
                </c:pt>
                <c:pt idx="9">
                  <c:v>-0.41550705000000004</c:v>
                </c:pt>
                <c:pt idx="10">
                  <c:v>-0.37774590000000002</c:v>
                </c:pt>
                <c:pt idx="11">
                  <c:v>-0.34110395000000004</c:v>
                </c:pt>
                <c:pt idx="12">
                  <c:v>-0.30401140000000032</c:v>
                </c:pt>
                <c:pt idx="13">
                  <c:v>-0.26497955000000001</c:v>
                </c:pt>
                <c:pt idx="14">
                  <c:v>-0.22500200000000001</c:v>
                </c:pt>
                <c:pt idx="15">
                  <c:v>-3.3707100000000004E-2</c:v>
                </c:pt>
                <c:pt idx="16">
                  <c:v>0.15378950000000041</c:v>
                </c:pt>
                <c:pt idx="17">
                  <c:v>0.58615624999998117</c:v>
                </c:pt>
                <c:pt idx="18">
                  <c:v>1.34867845</c:v>
                </c:pt>
              </c:numCache>
            </c:numRef>
          </c:yVal>
          <c:smooth val="1"/>
          <c:extLst xmlns:c16r2="http://schemas.microsoft.com/office/drawing/2015/06/chart">
            <c:ext xmlns:c16="http://schemas.microsoft.com/office/drawing/2014/chart" uri="{C3380CC4-5D6E-409C-BE32-E72D297353CC}">
              <c16:uniqueId val="{00000000-C9DC-4E96-B63B-D3E2FE75E757}"/>
            </c:ext>
          </c:extLst>
        </c:ser>
        <c:ser>
          <c:idx val="1"/>
          <c:order val="1"/>
          <c:tx>
            <c:v>right</c:v>
          </c:tx>
          <c:spPr>
            <a:ln w="12700">
              <a:solidFill>
                <a:srgbClr val="000000"/>
              </a:solidFill>
              <a:prstDash val="solid"/>
            </a:ln>
          </c:spPr>
          <c:marker>
            <c:symbol val="square"/>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0.65000000000001501</c:v>
                </c:pt>
                <c:pt idx="13">
                  <c:v>0.70000000000000062</c:v>
                </c:pt>
                <c:pt idx="14">
                  <c:v>0.75000000000001332</c:v>
                </c:pt>
                <c:pt idx="15">
                  <c:v>0.8</c:v>
                </c:pt>
                <c:pt idx="16">
                  <c:v>0.85000000000000064</c:v>
                </c:pt>
                <c:pt idx="17">
                  <c:v>0.9</c:v>
                </c:pt>
                <c:pt idx="18">
                  <c:v>0.95000000000000062</c:v>
                </c:pt>
              </c:numCache>
            </c:numRef>
          </c:xVal>
          <c:yVal>
            <c:numRef>
              <c:f>Data!$C$3:$C$21</c:f>
              <c:numCache>
                <c:formatCode>General</c:formatCode>
                <c:ptCount val="19"/>
                <c:pt idx="0">
                  <c:v>-0.56780000000000064</c:v>
                </c:pt>
                <c:pt idx="1">
                  <c:v>-0.59636289999998027</c:v>
                </c:pt>
                <c:pt idx="2">
                  <c:v>-0.59066989999999997</c:v>
                </c:pt>
                <c:pt idx="3">
                  <c:v>-0.58673669999999956</c:v>
                </c:pt>
                <c:pt idx="4">
                  <c:v>-0.54870600000000003</c:v>
                </c:pt>
                <c:pt idx="5">
                  <c:v>-0.50004400000000004</c:v>
                </c:pt>
                <c:pt idx="6">
                  <c:v>-0.45547940000000031</c:v>
                </c:pt>
                <c:pt idx="7">
                  <c:v>-0.42204560000000002</c:v>
                </c:pt>
                <c:pt idx="8">
                  <c:v>-0.37411480000000857</c:v>
                </c:pt>
                <c:pt idx="9">
                  <c:v>-0.32807800000000992</c:v>
                </c:pt>
                <c:pt idx="10">
                  <c:v>-0.27658510000000008</c:v>
                </c:pt>
                <c:pt idx="11">
                  <c:v>-0.23677889999999999</c:v>
                </c:pt>
                <c:pt idx="12">
                  <c:v>-0.15959340000000588</c:v>
                </c:pt>
                <c:pt idx="13">
                  <c:v>-0.13396069999999999</c:v>
                </c:pt>
                <c:pt idx="14">
                  <c:v>-1.6235400000000001E-2</c:v>
                </c:pt>
                <c:pt idx="15">
                  <c:v>0.23993170000000041</c:v>
                </c:pt>
                <c:pt idx="16">
                  <c:v>0.47586170000000338</c:v>
                </c:pt>
                <c:pt idx="17">
                  <c:v>1.2005669999999735</c:v>
                </c:pt>
                <c:pt idx="18">
                  <c:v>2.5109049999999997</c:v>
                </c:pt>
              </c:numCache>
            </c:numRef>
          </c:yVal>
          <c:smooth val="1"/>
          <c:extLst xmlns:c16r2="http://schemas.microsoft.com/office/drawing/2015/06/chart">
            <c:ext xmlns:c16="http://schemas.microsoft.com/office/drawing/2014/chart" uri="{C3380CC4-5D6E-409C-BE32-E72D297353CC}">
              <c16:uniqueId val="{00000001-C9DC-4E96-B63B-D3E2FE75E757}"/>
            </c:ext>
          </c:extLst>
        </c:ser>
        <c:ser>
          <c:idx val="2"/>
          <c:order val="2"/>
          <c:tx>
            <c:v>left</c:v>
          </c:tx>
          <c:spPr>
            <a:ln w="12700">
              <a:solidFill>
                <a:srgbClr val="000000"/>
              </a:solidFill>
              <a:prstDash val="solid"/>
            </a:ln>
          </c:spPr>
          <c:marker>
            <c:symbol val="triangle"/>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0.65000000000001501</c:v>
                </c:pt>
                <c:pt idx="13">
                  <c:v>0.70000000000000062</c:v>
                </c:pt>
                <c:pt idx="14">
                  <c:v>0.75000000000001332</c:v>
                </c:pt>
                <c:pt idx="15">
                  <c:v>0.8</c:v>
                </c:pt>
                <c:pt idx="16">
                  <c:v>0.85000000000000064</c:v>
                </c:pt>
                <c:pt idx="17">
                  <c:v>0.9</c:v>
                </c:pt>
                <c:pt idx="18">
                  <c:v>0.95000000000000062</c:v>
                </c:pt>
              </c:numCache>
            </c:numRef>
          </c:xVal>
          <c:yVal>
            <c:numRef>
              <c:f>Data!$B$3:$B$21</c:f>
              <c:numCache>
                <c:formatCode>General</c:formatCode>
                <c:ptCount val="19"/>
                <c:pt idx="0">
                  <c:v>-0.94415369999999998</c:v>
                </c:pt>
                <c:pt idx="1">
                  <c:v>-0.87331060000000005</c:v>
                </c:pt>
                <c:pt idx="2">
                  <c:v>-0.85951219999998296</c:v>
                </c:pt>
                <c:pt idx="3">
                  <c:v>-0.84773690000000002</c:v>
                </c:pt>
                <c:pt idx="4">
                  <c:v>-0.80604950000000064</c:v>
                </c:pt>
                <c:pt idx="5">
                  <c:v>-0.72009920000001704</c:v>
                </c:pt>
                <c:pt idx="6">
                  <c:v>-0.65973600000000165</c:v>
                </c:pt>
                <c:pt idx="7">
                  <c:v>-0.58771019999998408</c:v>
                </c:pt>
                <c:pt idx="8">
                  <c:v>-0.5393371999999842</c:v>
                </c:pt>
                <c:pt idx="9">
                  <c:v>-0.50293609999999656</c:v>
                </c:pt>
                <c:pt idx="10">
                  <c:v>-0.47890670000000818</c:v>
                </c:pt>
                <c:pt idx="11">
                  <c:v>-0.44542900000000002</c:v>
                </c:pt>
                <c:pt idx="12">
                  <c:v>-0.44842940000000031</c:v>
                </c:pt>
                <c:pt idx="13">
                  <c:v>-0.39599840000000902</c:v>
                </c:pt>
                <c:pt idx="14">
                  <c:v>-0.43376860000000683</c:v>
                </c:pt>
                <c:pt idx="15">
                  <c:v>-0.30734590000000694</c:v>
                </c:pt>
                <c:pt idx="16">
                  <c:v>-0.16828270000000001</c:v>
                </c:pt>
                <c:pt idx="17">
                  <c:v>-2.8254499999999978E-2</c:v>
                </c:pt>
                <c:pt idx="18">
                  <c:v>0.1864519000000035</c:v>
                </c:pt>
              </c:numCache>
            </c:numRef>
          </c:yVal>
          <c:smooth val="1"/>
          <c:extLst xmlns:c16r2="http://schemas.microsoft.com/office/drawing/2015/06/chart">
            <c:ext xmlns:c16="http://schemas.microsoft.com/office/drawing/2014/chart" uri="{C3380CC4-5D6E-409C-BE32-E72D297353CC}">
              <c16:uniqueId val="{00000002-C9DC-4E96-B63B-D3E2FE75E757}"/>
            </c:ext>
          </c:extLst>
        </c:ser>
        <c:ser>
          <c:idx val="3"/>
          <c:order val="3"/>
          <c:tx>
            <c:v>OLS</c:v>
          </c:tx>
          <c:spPr>
            <a:ln w="38100">
              <a:solidFill>
                <a:srgbClr val="FF0000"/>
              </a:solidFill>
              <a:prstDash val="sysDash"/>
            </a:ln>
          </c:spPr>
          <c:marker>
            <c:symbol val="x"/>
            <c:size val="3"/>
            <c:spPr>
              <a:solidFill>
                <a:srgbClr val="FF0000"/>
              </a:solid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0.65000000000001501</c:v>
                </c:pt>
                <c:pt idx="13">
                  <c:v>0.70000000000000062</c:v>
                </c:pt>
                <c:pt idx="14">
                  <c:v>0.75000000000001332</c:v>
                </c:pt>
                <c:pt idx="15">
                  <c:v>0.8</c:v>
                </c:pt>
                <c:pt idx="16">
                  <c:v>0.85000000000000064</c:v>
                </c:pt>
                <c:pt idx="17">
                  <c:v>0.9</c:v>
                </c:pt>
                <c:pt idx="18">
                  <c:v>0.95000000000000062</c:v>
                </c:pt>
              </c:numCache>
            </c:numRef>
          </c:xVal>
          <c:yVal>
            <c:numRef>
              <c:f>Data!$E$3:$E$21</c:f>
              <c:numCache>
                <c:formatCode>General</c:formatCode>
                <c:ptCount val="19"/>
                <c:pt idx="0">
                  <c:v>-0.10708899999999998</c:v>
                </c:pt>
                <c:pt idx="1">
                  <c:v>-0.10708899999999998</c:v>
                </c:pt>
                <c:pt idx="2">
                  <c:v>-0.10708899999999998</c:v>
                </c:pt>
                <c:pt idx="3">
                  <c:v>-0.10708899999999998</c:v>
                </c:pt>
                <c:pt idx="4">
                  <c:v>-0.10708899999999998</c:v>
                </c:pt>
                <c:pt idx="5">
                  <c:v>-0.10708899999999998</c:v>
                </c:pt>
                <c:pt idx="6">
                  <c:v>-0.10708899999999998</c:v>
                </c:pt>
                <c:pt idx="7">
                  <c:v>-0.10708899999999998</c:v>
                </c:pt>
                <c:pt idx="8">
                  <c:v>-0.10708899999999998</c:v>
                </c:pt>
                <c:pt idx="9">
                  <c:v>-0.10708899999999998</c:v>
                </c:pt>
                <c:pt idx="10">
                  <c:v>-0.10708899999999998</c:v>
                </c:pt>
                <c:pt idx="11">
                  <c:v>-0.10708899999999998</c:v>
                </c:pt>
                <c:pt idx="12">
                  <c:v>-0.10708899999999998</c:v>
                </c:pt>
                <c:pt idx="13">
                  <c:v>-0.10708899999999998</c:v>
                </c:pt>
                <c:pt idx="14">
                  <c:v>-0.10708899999999998</c:v>
                </c:pt>
                <c:pt idx="15">
                  <c:v>-0.10708899999999998</c:v>
                </c:pt>
                <c:pt idx="16">
                  <c:v>-0.10708899999999998</c:v>
                </c:pt>
                <c:pt idx="17">
                  <c:v>-0.10708899999999998</c:v>
                </c:pt>
                <c:pt idx="18">
                  <c:v>-0.10708899999999998</c:v>
                </c:pt>
              </c:numCache>
            </c:numRef>
          </c:yVal>
          <c:smooth val="1"/>
          <c:extLst xmlns:c16r2="http://schemas.microsoft.com/office/drawing/2015/06/chart">
            <c:ext xmlns:c16="http://schemas.microsoft.com/office/drawing/2014/chart" uri="{C3380CC4-5D6E-409C-BE32-E72D297353CC}">
              <c16:uniqueId val="{00000003-C9DC-4E96-B63B-D3E2FE75E757}"/>
            </c:ext>
          </c:extLst>
        </c:ser>
        <c:ser>
          <c:idx val="4"/>
          <c:order val="4"/>
          <c:tx>
            <c:v>up</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0.65000000000001501</c:v>
                </c:pt>
                <c:pt idx="13">
                  <c:v>0.70000000000000062</c:v>
                </c:pt>
                <c:pt idx="14">
                  <c:v>0.75000000000001332</c:v>
                </c:pt>
                <c:pt idx="15">
                  <c:v>0.8</c:v>
                </c:pt>
                <c:pt idx="16">
                  <c:v>0.85000000000000064</c:v>
                </c:pt>
                <c:pt idx="17">
                  <c:v>0.9</c:v>
                </c:pt>
                <c:pt idx="18">
                  <c:v>0.95000000000000062</c:v>
                </c:pt>
              </c:numCache>
            </c:numRef>
          </c:xVal>
          <c:yVal>
            <c:numRef>
              <c:f>Data!$G$3:$G$21</c:f>
              <c:numCache>
                <c:formatCode>General</c:formatCode>
                <c:ptCount val="19"/>
                <c:pt idx="0">
                  <c:v>4.7385100000000013E-2</c:v>
                </c:pt>
                <c:pt idx="1">
                  <c:v>4.7385100000000013E-2</c:v>
                </c:pt>
                <c:pt idx="2">
                  <c:v>4.7385100000000013E-2</c:v>
                </c:pt>
                <c:pt idx="3">
                  <c:v>4.7385100000000013E-2</c:v>
                </c:pt>
                <c:pt idx="4">
                  <c:v>4.7385100000000013E-2</c:v>
                </c:pt>
                <c:pt idx="5">
                  <c:v>4.7385100000000013E-2</c:v>
                </c:pt>
                <c:pt idx="6">
                  <c:v>4.7385100000000013E-2</c:v>
                </c:pt>
                <c:pt idx="7">
                  <c:v>4.7385100000000013E-2</c:v>
                </c:pt>
                <c:pt idx="8">
                  <c:v>4.7385100000000013E-2</c:v>
                </c:pt>
                <c:pt idx="9">
                  <c:v>4.7385100000000013E-2</c:v>
                </c:pt>
                <c:pt idx="10">
                  <c:v>4.7385100000000013E-2</c:v>
                </c:pt>
                <c:pt idx="11">
                  <c:v>4.7385100000000013E-2</c:v>
                </c:pt>
                <c:pt idx="12">
                  <c:v>4.7385100000000013E-2</c:v>
                </c:pt>
                <c:pt idx="13">
                  <c:v>4.7385100000000013E-2</c:v>
                </c:pt>
                <c:pt idx="14">
                  <c:v>4.7385100000000013E-2</c:v>
                </c:pt>
                <c:pt idx="15">
                  <c:v>4.7385100000000013E-2</c:v>
                </c:pt>
                <c:pt idx="16">
                  <c:v>4.7385100000000013E-2</c:v>
                </c:pt>
                <c:pt idx="17">
                  <c:v>4.7385100000000013E-2</c:v>
                </c:pt>
                <c:pt idx="18">
                  <c:v>4.7385100000000013E-2</c:v>
                </c:pt>
              </c:numCache>
            </c:numRef>
          </c:yVal>
          <c:smooth val="1"/>
          <c:extLst xmlns:c16r2="http://schemas.microsoft.com/office/drawing/2015/06/chart">
            <c:ext xmlns:c16="http://schemas.microsoft.com/office/drawing/2014/chart" uri="{C3380CC4-5D6E-409C-BE32-E72D297353CC}">
              <c16:uniqueId val="{00000004-C9DC-4E96-B63B-D3E2FE75E757}"/>
            </c:ext>
          </c:extLst>
        </c:ser>
        <c:ser>
          <c:idx val="5"/>
          <c:order val="5"/>
          <c:tx>
            <c:v>low</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0.65000000000001501</c:v>
                </c:pt>
                <c:pt idx="13">
                  <c:v>0.70000000000000062</c:v>
                </c:pt>
                <c:pt idx="14">
                  <c:v>0.75000000000001332</c:v>
                </c:pt>
                <c:pt idx="15">
                  <c:v>0.8</c:v>
                </c:pt>
                <c:pt idx="16">
                  <c:v>0.85000000000000064</c:v>
                </c:pt>
                <c:pt idx="17">
                  <c:v>0.9</c:v>
                </c:pt>
                <c:pt idx="18">
                  <c:v>0.95000000000000062</c:v>
                </c:pt>
              </c:numCache>
            </c:numRef>
          </c:xVal>
          <c:yVal>
            <c:numRef>
              <c:f>Data!$F$3:$F$21</c:f>
              <c:numCache>
                <c:formatCode>General</c:formatCode>
                <c:ptCount val="19"/>
                <c:pt idx="0">
                  <c:v>-0.26156310000000005</c:v>
                </c:pt>
                <c:pt idx="1">
                  <c:v>-0.26156310000000005</c:v>
                </c:pt>
                <c:pt idx="2">
                  <c:v>-0.26156310000000005</c:v>
                </c:pt>
                <c:pt idx="3">
                  <c:v>-0.26156310000000005</c:v>
                </c:pt>
                <c:pt idx="4">
                  <c:v>-0.26156310000000005</c:v>
                </c:pt>
                <c:pt idx="5">
                  <c:v>-0.26156310000000005</c:v>
                </c:pt>
                <c:pt idx="6">
                  <c:v>-0.26156310000000005</c:v>
                </c:pt>
                <c:pt idx="7">
                  <c:v>-0.26156310000000005</c:v>
                </c:pt>
                <c:pt idx="8">
                  <c:v>-0.26156310000000005</c:v>
                </c:pt>
                <c:pt idx="9">
                  <c:v>-0.26156310000000005</c:v>
                </c:pt>
                <c:pt idx="10">
                  <c:v>-0.26156310000000005</c:v>
                </c:pt>
                <c:pt idx="11">
                  <c:v>-0.26156310000000005</c:v>
                </c:pt>
                <c:pt idx="12">
                  <c:v>-0.26156310000000005</c:v>
                </c:pt>
                <c:pt idx="13">
                  <c:v>-0.26156310000000005</c:v>
                </c:pt>
                <c:pt idx="14">
                  <c:v>-0.26156310000000005</c:v>
                </c:pt>
                <c:pt idx="15">
                  <c:v>-0.26156310000000005</c:v>
                </c:pt>
                <c:pt idx="16">
                  <c:v>-0.26156310000000005</c:v>
                </c:pt>
                <c:pt idx="17">
                  <c:v>-0.26156310000000005</c:v>
                </c:pt>
                <c:pt idx="18">
                  <c:v>-0.26156310000000005</c:v>
                </c:pt>
              </c:numCache>
            </c:numRef>
          </c:yVal>
          <c:smooth val="1"/>
          <c:extLst xmlns:c16r2="http://schemas.microsoft.com/office/drawing/2015/06/chart">
            <c:ext xmlns:c16="http://schemas.microsoft.com/office/drawing/2014/chart" uri="{C3380CC4-5D6E-409C-BE32-E72D297353CC}">
              <c16:uniqueId val="{00000005-C9DC-4E96-B63B-D3E2FE75E757}"/>
            </c:ext>
          </c:extLst>
        </c:ser>
        <c:dLbls>
          <c:showLegendKey val="0"/>
          <c:showVal val="0"/>
          <c:showCatName val="0"/>
          <c:showSerName val="0"/>
          <c:showPercent val="0"/>
          <c:showBubbleSize val="0"/>
        </c:dLbls>
        <c:axId val="138315264"/>
        <c:axId val="138338304"/>
      </c:scatterChart>
      <c:valAx>
        <c:axId val="138315264"/>
        <c:scaling>
          <c:orientation val="minMax"/>
        </c:scaling>
        <c:delete val="0"/>
        <c:axPos val="b"/>
        <c:title>
          <c:tx>
            <c:rich>
              <a:bodyPr/>
              <a:lstStyle/>
              <a:p>
                <a:pPr>
                  <a:defRPr b="1"/>
                </a:pPr>
                <a:r>
                  <a:rPr lang="en-US" b="1"/>
                  <a:t>Quantile levels</a:t>
                </a:r>
              </a:p>
            </c:rich>
          </c:tx>
          <c:layout>
            <c:manualLayout>
              <c:xMode val="edge"/>
              <c:yMode val="edge"/>
              <c:x val="0.47259569116360456"/>
              <c:y val="0.76164916885389322"/>
            </c:manualLayout>
          </c:layout>
          <c:overlay val="0"/>
        </c:title>
        <c:numFmt formatCode="0.00_ " sourceLinked="1"/>
        <c:majorTickMark val="in"/>
        <c:minorTickMark val="none"/>
        <c:tickLblPos val="nextTo"/>
        <c:txPr>
          <a:bodyPr rot="0" vert="horz"/>
          <a:lstStyle/>
          <a:p>
            <a:pPr>
              <a:defRPr sz="1200" b="1" i="0" u="none" strike="noStrike" baseline="0">
                <a:solidFill>
                  <a:srgbClr val="000000"/>
                </a:solidFill>
                <a:latin typeface="新細明體"/>
                <a:ea typeface="新細明體"/>
                <a:cs typeface="新細明體"/>
              </a:defRPr>
            </a:pPr>
            <a:endParaRPr lang="en-US"/>
          </a:p>
        </c:txPr>
        <c:crossAx val="138338304"/>
        <c:crosses val="autoZero"/>
        <c:crossBetween val="midCat"/>
      </c:valAx>
      <c:valAx>
        <c:axId val="138338304"/>
        <c:scaling>
          <c:orientation val="minMax"/>
        </c:scaling>
        <c:delete val="0"/>
        <c:axPos val="l"/>
        <c:title>
          <c:tx>
            <c:rich>
              <a:bodyPr/>
              <a:lstStyle/>
              <a:p>
                <a:pPr>
                  <a:defRPr b="1"/>
                </a:pPr>
                <a:r>
                  <a:rPr lang="en-US" b="1"/>
                  <a:t>Estimates</a:t>
                </a:r>
              </a:p>
            </c:rich>
          </c:tx>
          <c:layout>
            <c:manualLayout>
              <c:xMode val="edge"/>
              <c:yMode val="edge"/>
              <c:x val="1.1375431653597863E-2"/>
              <c:y val="0.33559323855849077"/>
            </c:manualLayout>
          </c:layout>
          <c:overlay val="0"/>
        </c:title>
        <c:numFmt formatCode="0.00_ " sourceLinked="0"/>
        <c:majorTickMark val="out"/>
        <c:minorTickMark val="none"/>
        <c:tickLblPos val="nextTo"/>
        <c:txPr>
          <a:bodyPr rot="0" vert="horz"/>
          <a:lstStyle/>
          <a:p>
            <a:pPr>
              <a:defRPr b="1"/>
            </a:pPr>
            <a:endParaRPr lang="en-US"/>
          </a:p>
        </c:txPr>
        <c:crossAx val="138315264"/>
        <c:crosses val="autoZero"/>
        <c:crossBetween val="midCat"/>
      </c:valAx>
      <c:spPr>
        <a:noFill/>
        <a:ln w="25400">
          <a:noFill/>
        </a:ln>
      </c:spPr>
    </c:plotArea>
    <c:plotVisOnly val="1"/>
    <c:dispBlanksAs val="gap"/>
    <c:showDLblsOverMax val="0"/>
  </c:chart>
  <c:spPr>
    <a:noFill/>
    <a:ln w="9525">
      <a:noFill/>
    </a:ln>
  </c:spPr>
  <c:txPr>
    <a:bodyPr/>
    <a:lstStyle/>
    <a:p>
      <a:pPr>
        <a:defRPr sz="1200" b="0" i="0" u="none" strike="noStrike" baseline="0">
          <a:solidFill>
            <a:srgbClr val="000000"/>
          </a:solidFill>
          <a:latin typeface="新細明體"/>
          <a:ea typeface="新細明體"/>
          <a:cs typeface="新細明體"/>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82316442605998"/>
          <c:y val="4.7457627118647962E-2"/>
          <c:w val="0.81168592243726534"/>
          <c:h val="0.78272697141526248"/>
        </c:manualLayout>
      </c:layout>
      <c:scatterChart>
        <c:scatterStyle val="smoothMarker"/>
        <c:varyColors val="0"/>
        <c:ser>
          <c:idx val="0"/>
          <c:order val="0"/>
          <c:tx>
            <c:v>mean</c:v>
          </c:tx>
          <c:spPr>
            <a:ln w="12700">
              <a:solidFill>
                <a:srgbClr val="000000"/>
              </a:solidFill>
              <a:prstDash val="solid"/>
            </a:ln>
          </c:spPr>
          <c:marker>
            <c:symbol val="diamond"/>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0.65000000000002245</c:v>
                </c:pt>
                <c:pt idx="13">
                  <c:v>0.70000000000000062</c:v>
                </c:pt>
                <c:pt idx="14">
                  <c:v>0.75000000000001465</c:v>
                </c:pt>
                <c:pt idx="15">
                  <c:v>0.8</c:v>
                </c:pt>
                <c:pt idx="16">
                  <c:v>0.85000000000000064</c:v>
                </c:pt>
                <c:pt idx="17">
                  <c:v>0.9</c:v>
                </c:pt>
                <c:pt idx="18">
                  <c:v>0.95000000000000062</c:v>
                </c:pt>
              </c:numCache>
            </c:numRef>
          </c:xVal>
          <c:yVal>
            <c:numRef>
              <c:f>Data!$D$3:$D$21</c:f>
              <c:numCache>
                <c:formatCode>General</c:formatCode>
                <c:ptCount val="19"/>
                <c:pt idx="0">
                  <c:v>-0.66763280000002312</c:v>
                </c:pt>
                <c:pt idx="1">
                  <c:v>-0.69937570000000004</c:v>
                </c:pt>
                <c:pt idx="2">
                  <c:v>-0.64111530000000005</c:v>
                </c:pt>
                <c:pt idx="3">
                  <c:v>-0.58321519999997262</c:v>
                </c:pt>
                <c:pt idx="4">
                  <c:v>-0.53112025000000063</c:v>
                </c:pt>
                <c:pt idx="5">
                  <c:v>-0.44871395000000003</c:v>
                </c:pt>
                <c:pt idx="6">
                  <c:v>-0.32359310000000002</c:v>
                </c:pt>
                <c:pt idx="7">
                  <c:v>-0.28849610000000031</c:v>
                </c:pt>
                <c:pt idx="8">
                  <c:v>-0.26242665000000032</c:v>
                </c:pt>
                <c:pt idx="9">
                  <c:v>-0.26307250000000032</c:v>
                </c:pt>
                <c:pt idx="10">
                  <c:v>-0.14800035000000294</c:v>
                </c:pt>
                <c:pt idx="11">
                  <c:v>-0.10973335000000337</c:v>
                </c:pt>
                <c:pt idx="12">
                  <c:v>-8.0065500000000067E-2</c:v>
                </c:pt>
                <c:pt idx="13">
                  <c:v>2.6908950000000001E-2</c:v>
                </c:pt>
                <c:pt idx="14">
                  <c:v>0.22202885</c:v>
                </c:pt>
                <c:pt idx="15">
                  <c:v>0.44974080000000005</c:v>
                </c:pt>
                <c:pt idx="16">
                  <c:v>0.91390505000001065</c:v>
                </c:pt>
                <c:pt idx="17">
                  <c:v>1.4753791999999553</c:v>
                </c:pt>
                <c:pt idx="18">
                  <c:v>2.9943724999999977</c:v>
                </c:pt>
              </c:numCache>
            </c:numRef>
          </c:yVal>
          <c:smooth val="1"/>
          <c:extLst xmlns:c16r2="http://schemas.microsoft.com/office/drawing/2015/06/chart">
            <c:ext xmlns:c16="http://schemas.microsoft.com/office/drawing/2014/chart" uri="{C3380CC4-5D6E-409C-BE32-E72D297353CC}">
              <c16:uniqueId val="{00000000-5849-4B37-B7E0-9D0696A49A52}"/>
            </c:ext>
          </c:extLst>
        </c:ser>
        <c:ser>
          <c:idx val="1"/>
          <c:order val="1"/>
          <c:tx>
            <c:v>right</c:v>
          </c:tx>
          <c:spPr>
            <a:ln w="12700">
              <a:solidFill>
                <a:srgbClr val="000000"/>
              </a:solidFill>
              <a:prstDash val="solid"/>
            </a:ln>
          </c:spPr>
          <c:marker>
            <c:symbol val="square"/>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0.65000000000002245</c:v>
                </c:pt>
                <c:pt idx="13">
                  <c:v>0.70000000000000062</c:v>
                </c:pt>
                <c:pt idx="14">
                  <c:v>0.75000000000001465</c:v>
                </c:pt>
                <c:pt idx="15">
                  <c:v>0.8</c:v>
                </c:pt>
                <c:pt idx="16">
                  <c:v>0.85000000000000064</c:v>
                </c:pt>
                <c:pt idx="17">
                  <c:v>0.9</c:v>
                </c:pt>
                <c:pt idx="18">
                  <c:v>0.95000000000000062</c:v>
                </c:pt>
              </c:numCache>
            </c:numRef>
          </c:xVal>
          <c:yVal>
            <c:numRef>
              <c:f>Data!$C$3:$C$21</c:f>
              <c:numCache>
                <c:formatCode>General</c:formatCode>
                <c:ptCount val="19"/>
                <c:pt idx="0">
                  <c:v>-0.51127160000000005</c:v>
                </c:pt>
                <c:pt idx="1">
                  <c:v>-0.54588460000000005</c:v>
                </c:pt>
                <c:pt idx="2">
                  <c:v>-0.46205950000000001</c:v>
                </c:pt>
                <c:pt idx="3">
                  <c:v>-0.46119380000000004</c:v>
                </c:pt>
                <c:pt idx="4">
                  <c:v>-0.3969652000000119</c:v>
                </c:pt>
                <c:pt idx="5">
                  <c:v>-0.29156950000000031</c:v>
                </c:pt>
                <c:pt idx="6">
                  <c:v>-0.1916274</c:v>
                </c:pt>
                <c:pt idx="7">
                  <c:v>-0.20224600000000598</c:v>
                </c:pt>
                <c:pt idx="8">
                  <c:v>-0.18623400000000617</c:v>
                </c:pt>
                <c:pt idx="9">
                  <c:v>-0.13195740000000244</c:v>
                </c:pt>
                <c:pt idx="10">
                  <c:v>-3.4621400000000004E-2</c:v>
                </c:pt>
                <c:pt idx="11">
                  <c:v>-1.2990099999999999E-2</c:v>
                </c:pt>
                <c:pt idx="12">
                  <c:v>3.7936499999999998E-2</c:v>
                </c:pt>
                <c:pt idx="13">
                  <c:v>0.19880249999999999</c:v>
                </c:pt>
                <c:pt idx="14">
                  <c:v>0.52459069999999997</c:v>
                </c:pt>
                <c:pt idx="15">
                  <c:v>0.8568480000000257</c:v>
                </c:pt>
                <c:pt idx="16">
                  <c:v>1.2945679999999999</c:v>
                </c:pt>
                <c:pt idx="17">
                  <c:v>2.3047779999999998</c:v>
                </c:pt>
                <c:pt idx="18">
                  <c:v>4.0248239999999855</c:v>
                </c:pt>
              </c:numCache>
            </c:numRef>
          </c:yVal>
          <c:smooth val="1"/>
          <c:extLst xmlns:c16r2="http://schemas.microsoft.com/office/drawing/2015/06/chart">
            <c:ext xmlns:c16="http://schemas.microsoft.com/office/drawing/2014/chart" uri="{C3380CC4-5D6E-409C-BE32-E72D297353CC}">
              <c16:uniqueId val="{00000001-5849-4B37-B7E0-9D0696A49A52}"/>
            </c:ext>
          </c:extLst>
        </c:ser>
        <c:ser>
          <c:idx val="2"/>
          <c:order val="2"/>
          <c:tx>
            <c:v>left</c:v>
          </c:tx>
          <c:spPr>
            <a:ln w="12700">
              <a:solidFill>
                <a:srgbClr val="000000"/>
              </a:solidFill>
              <a:prstDash val="solid"/>
            </a:ln>
          </c:spPr>
          <c:marker>
            <c:symbol val="triangle"/>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0.65000000000002245</c:v>
                </c:pt>
                <c:pt idx="13">
                  <c:v>0.70000000000000062</c:v>
                </c:pt>
                <c:pt idx="14">
                  <c:v>0.75000000000001465</c:v>
                </c:pt>
                <c:pt idx="15">
                  <c:v>0.8</c:v>
                </c:pt>
                <c:pt idx="16">
                  <c:v>0.85000000000000064</c:v>
                </c:pt>
                <c:pt idx="17">
                  <c:v>0.9</c:v>
                </c:pt>
                <c:pt idx="18">
                  <c:v>0.95000000000000062</c:v>
                </c:pt>
              </c:numCache>
            </c:numRef>
          </c:xVal>
          <c:yVal>
            <c:numRef>
              <c:f>Data!$B$3:$B$21</c:f>
              <c:numCache>
                <c:formatCode>General</c:formatCode>
                <c:ptCount val="19"/>
                <c:pt idx="0">
                  <c:v>-0.82399400000002054</c:v>
                </c:pt>
                <c:pt idx="1">
                  <c:v>-0.85286680000000004</c:v>
                </c:pt>
                <c:pt idx="2">
                  <c:v>-0.82017110000000004</c:v>
                </c:pt>
                <c:pt idx="3">
                  <c:v>-0.70523659999998956</c:v>
                </c:pt>
                <c:pt idx="4">
                  <c:v>-0.66527530000002189</c:v>
                </c:pt>
                <c:pt idx="5">
                  <c:v>-0.60585840000002233</c:v>
                </c:pt>
                <c:pt idx="6">
                  <c:v>-0.45555880000000032</c:v>
                </c:pt>
                <c:pt idx="7">
                  <c:v>-0.37474620000000008</c:v>
                </c:pt>
                <c:pt idx="8">
                  <c:v>-0.33861930000001117</c:v>
                </c:pt>
                <c:pt idx="9">
                  <c:v>-0.39418760000001313</c:v>
                </c:pt>
                <c:pt idx="10">
                  <c:v>-0.26137930000000031</c:v>
                </c:pt>
                <c:pt idx="11">
                  <c:v>-0.20647660000000001</c:v>
                </c:pt>
                <c:pt idx="12">
                  <c:v>-0.19806750000000001</c:v>
                </c:pt>
                <c:pt idx="13">
                  <c:v>-0.14498459999999999</c:v>
                </c:pt>
                <c:pt idx="14">
                  <c:v>-8.0533000000000021E-2</c:v>
                </c:pt>
                <c:pt idx="15">
                  <c:v>4.2633600000000133E-2</c:v>
                </c:pt>
                <c:pt idx="16">
                  <c:v>0.5332420999999995</c:v>
                </c:pt>
                <c:pt idx="17">
                  <c:v>0.64598040000002133</c:v>
                </c:pt>
                <c:pt idx="18">
                  <c:v>1.9639209999999998</c:v>
                </c:pt>
              </c:numCache>
            </c:numRef>
          </c:yVal>
          <c:smooth val="1"/>
          <c:extLst xmlns:c16r2="http://schemas.microsoft.com/office/drawing/2015/06/chart">
            <c:ext xmlns:c16="http://schemas.microsoft.com/office/drawing/2014/chart" uri="{C3380CC4-5D6E-409C-BE32-E72D297353CC}">
              <c16:uniqueId val="{00000002-5849-4B37-B7E0-9D0696A49A52}"/>
            </c:ext>
          </c:extLst>
        </c:ser>
        <c:ser>
          <c:idx val="3"/>
          <c:order val="3"/>
          <c:tx>
            <c:v>OLS</c:v>
          </c:tx>
          <c:spPr>
            <a:ln w="38100">
              <a:solidFill>
                <a:srgbClr val="FF0000"/>
              </a:solidFill>
              <a:prstDash val="sysDash"/>
            </a:ln>
          </c:spPr>
          <c:marker>
            <c:symbol val="x"/>
            <c:size val="3"/>
            <c:spPr>
              <a:solidFill>
                <a:srgbClr val="FF0000"/>
              </a:solid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0.65000000000002245</c:v>
                </c:pt>
                <c:pt idx="13">
                  <c:v>0.70000000000000062</c:v>
                </c:pt>
                <c:pt idx="14">
                  <c:v>0.75000000000001465</c:v>
                </c:pt>
                <c:pt idx="15">
                  <c:v>0.8</c:v>
                </c:pt>
                <c:pt idx="16">
                  <c:v>0.85000000000000064</c:v>
                </c:pt>
                <c:pt idx="17">
                  <c:v>0.9</c:v>
                </c:pt>
                <c:pt idx="18">
                  <c:v>0.95000000000000062</c:v>
                </c:pt>
              </c:numCache>
            </c:numRef>
          </c:xVal>
          <c:yVal>
            <c:numRef>
              <c:f>Data!$E$3:$E$21</c:f>
              <c:numCache>
                <c:formatCode>General</c:formatCode>
                <c:ptCount val="19"/>
                <c:pt idx="0">
                  <c:v>0.20485395000000001</c:v>
                </c:pt>
                <c:pt idx="1">
                  <c:v>0.20485395000000001</c:v>
                </c:pt>
                <c:pt idx="2">
                  <c:v>0.20485395000000001</c:v>
                </c:pt>
                <c:pt idx="3">
                  <c:v>0.20485395000000001</c:v>
                </c:pt>
                <c:pt idx="4">
                  <c:v>0.20485395000000001</c:v>
                </c:pt>
                <c:pt idx="5">
                  <c:v>0.20485395000000001</c:v>
                </c:pt>
                <c:pt idx="6">
                  <c:v>0.20485395000000001</c:v>
                </c:pt>
                <c:pt idx="7">
                  <c:v>0.20485395000000001</c:v>
                </c:pt>
                <c:pt idx="8">
                  <c:v>0.20485395000000001</c:v>
                </c:pt>
                <c:pt idx="9">
                  <c:v>0.20485395000000001</c:v>
                </c:pt>
                <c:pt idx="10">
                  <c:v>0.20485395000000001</c:v>
                </c:pt>
                <c:pt idx="11">
                  <c:v>0.20485395000000001</c:v>
                </c:pt>
                <c:pt idx="12">
                  <c:v>0.20485395000000001</c:v>
                </c:pt>
                <c:pt idx="13">
                  <c:v>0.20485395000000001</c:v>
                </c:pt>
                <c:pt idx="14">
                  <c:v>0.20485395000000001</c:v>
                </c:pt>
                <c:pt idx="15">
                  <c:v>0.20485395000000001</c:v>
                </c:pt>
                <c:pt idx="16">
                  <c:v>0.20485395000000001</c:v>
                </c:pt>
                <c:pt idx="17">
                  <c:v>0.20485395000000001</c:v>
                </c:pt>
                <c:pt idx="18">
                  <c:v>0.20485395000000001</c:v>
                </c:pt>
              </c:numCache>
            </c:numRef>
          </c:yVal>
          <c:smooth val="1"/>
          <c:extLst xmlns:c16r2="http://schemas.microsoft.com/office/drawing/2015/06/chart">
            <c:ext xmlns:c16="http://schemas.microsoft.com/office/drawing/2014/chart" uri="{C3380CC4-5D6E-409C-BE32-E72D297353CC}">
              <c16:uniqueId val="{00000003-5849-4B37-B7E0-9D0696A49A52}"/>
            </c:ext>
          </c:extLst>
        </c:ser>
        <c:ser>
          <c:idx val="4"/>
          <c:order val="4"/>
          <c:tx>
            <c:v>up</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0.65000000000002245</c:v>
                </c:pt>
                <c:pt idx="13">
                  <c:v>0.70000000000000062</c:v>
                </c:pt>
                <c:pt idx="14">
                  <c:v>0.75000000000001465</c:v>
                </c:pt>
                <c:pt idx="15">
                  <c:v>0.8</c:v>
                </c:pt>
                <c:pt idx="16">
                  <c:v>0.85000000000000064</c:v>
                </c:pt>
                <c:pt idx="17">
                  <c:v>0.9</c:v>
                </c:pt>
                <c:pt idx="18">
                  <c:v>0.95000000000000062</c:v>
                </c:pt>
              </c:numCache>
            </c:numRef>
          </c:xVal>
          <c:yVal>
            <c:numRef>
              <c:f>Data!$G$3:$G$21</c:f>
              <c:numCache>
                <c:formatCode>General</c:formatCode>
                <c:ptCount val="19"/>
                <c:pt idx="0">
                  <c:v>0.31412860000001464</c:v>
                </c:pt>
                <c:pt idx="1">
                  <c:v>0.31412860000001464</c:v>
                </c:pt>
                <c:pt idx="2">
                  <c:v>0.31412860000001464</c:v>
                </c:pt>
                <c:pt idx="3">
                  <c:v>0.31412860000001464</c:v>
                </c:pt>
                <c:pt idx="4">
                  <c:v>0.31412860000001464</c:v>
                </c:pt>
                <c:pt idx="5">
                  <c:v>0.31412860000001464</c:v>
                </c:pt>
                <c:pt idx="6">
                  <c:v>0.31412860000001464</c:v>
                </c:pt>
                <c:pt idx="7">
                  <c:v>0.31412860000001464</c:v>
                </c:pt>
                <c:pt idx="8">
                  <c:v>0.31412860000001464</c:v>
                </c:pt>
                <c:pt idx="9">
                  <c:v>0.31412860000001464</c:v>
                </c:pt>
                <c:pt idx="10">
                  <c:v>0.31412860000001464</c:v>
                </c:pt>
                <c:pt idx="11">
                  <c:v>0.31412860000001464</c:v>
                </c:pt>
                <c:pt idx="12">
                  <c:v>0.31412860000001464</c:v>
                </c:pt>
                <c:pt idx="13">
                  <c:v>0.31412860000001464</c:v>
                </c:pt>
                <c:pt idx="14">
                  <c:v>0.31412860000001464</c:v>
                </c:pt>
                <c:pt idx="15">
                  <c:v>0.31412860000001464</c:v>
                </c:pt>
                <c:pt idx="16">
                  <c:v>0.31412860000001464</c:v>
                </c:pt>
                <c:pt idx="17">
                  <c:v>0.31412860000001464</c:v>
                </c:pt>
                <c:pt idx="18">
                  <c:v>0.31412860000001464</c:v>
                </c:pt>
              </c:numCache>
            </c:numRef>
          </c:yVal>
          <c:smooth val="1"/>
          <c:extLst xmlns:c16r2="http://schemas.microsoft.com/office/drawing/2015/06/chart">
            <c:ext xmlns:c16="http://schemas.microsoft.com/office/drawing/2014/chart" uri="{C3380CC4-5D6E-409C-BE32-E72D297353CC}">
              <c16:uniqueId val="{00000004-5849-4B37-B7E0-9D0696A49A52}"/>
            </c:ext>
          </c:extLst>
        </c:ser>
        <c:ser>
          <c:idx val="5"/>
          <c:order val="5"/>
          <c:tx>
            <c:v>low</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0.65000000000002245</c:v>
                </c:pt>
                <c:pt idx="13">
                  <c:v>0.70000000000000062</c:v>
                </c:pt>
                <c:pt idx="14">
                  <c:v>0.75000000000001465</c:v>
                </c:pt>
                <c:pt idx="15">
                  <c:v>0.8</c:v>
                </c:pt>
                <c:pt idx="16">
                  <c:v>0.85000000000000064</c:v>
                </c:pt>
                <c:pt idx="17">
                  <c:v>0.9</c:v>
                </c:pt>
                <c:pt idx="18">
                  <c:v>0.95000000000000062</c:v>
                </c:pt>
              </c:numCache>
            </c:numRef>
          </c:xVal>
          <c:yVal>
            <c:numRef>
              <c:f>Data!$F$3:$F$21</c:f>
              <c:numCache>
                <c:formatCode>General</c:formatCode>
                <c:ptCount val="19"/>
                <c:pt idx="0">
                  <c:v>9.5579300000000048E-2</c:v>
                </c:pt>
                <c:pt idx="1">
                  <c:v>9.5579300000000048E-2</c:v>
                </c:pt>
                <c:pt idx="2">
                  <c:v>9.5579300000000048E-2</c:v>
                </c:pt>
                <c:pt idx="3">
                  <c:v>9.5579300000000048E-2</c:v>
                </c:pt>
                <c:pt idx="4">
                  <c:v>9.5579300000000048E-2</c:v>
                </c:pt>
                <c:pt idx="5">
                  <c:v>9.5579300000000048E-2</c:v>
                </c:pt>
                <c:pt idx="6">
                  <c:v>9.5579300000000048E-2</c:v>
                </c:pt>
                <c:pt idx="7">
                  <c:v>9.5579300000000048E-2</c:v>
                </c:pt>
                <c:pt idx="8">
                  <c:v>9.5579300000000048E-2</c:v>
                </c:pt>
                <c:pt idx="9">
                  <c:v>9.5579300000000048E-2</c:v>
                </c:pt>
                <c:pt idx="10">
                  <c:v>9.5579300000000048E-2</c:v>
                </c:pt>
                <c:pt idx="11">
                  <c:v>9.5579300000000048E-2</c:v>
                </c:pt>
                <c:pt idx="12">
                  <c:v>9.5579300000000048E-2</c:v>
                </c:pt>
                <c:pt idx="13">
                  <c:v>9.5579300000000048E-2</c:v>
                </c:pt>
                <c:pt idx="14">
                  <c:v>9.5579300000000048E-2</c:v>
                </c:pt>
                <c:pt idx="15">
                  <c:v>9.5579300000000048E-2</c:v>
                </c:pt>
                <c:pt idx="16">
                  <c:v>9.5579300000000048E-2</c:v>
                </c:pt>
                <c:pt idx="17">
                  <c:v>9.5579300000000048E-2</c:v>
                </c:pt>
                <c:pt idx="18">
                  <c:v>9.5579300000000048E-2</c:v>
                </c:pt>
              </c:numCache>
            </c:numRef>
          </c:yVal>
          <c:smooth val="1"/>
          <c:extLst xmlns:c16r2="http://schemas.microsoft.com/office/drawing/2015/06/chart">
            <c:ext xmlns:c16="http://schemas.microsoft.com/office/drawing/2014/chart" uri="{C3380CC4-5D6E-409C-BE32-E72D297353CC}">
              <c16:uniqueId val="{00000005-5849-4B37-B7E0-9D0696A49A52}"/>
            </c:ext>
          </c:extLst>
        </c:ser>
        <c:dLbls>
          <c:showLegendKey val="0"/>
          <c:showVal val="0"/>
          <c:showCatName val="0"/>
          <c:showSerName val="0"/>
          <c:showPercent val="0"/>
          <c:showBubbleSize val="0"/>
        </c:dLbls>
        <c:axId val="138495872"/>
        <c:axId val="139264384"/>
      </c:scatterChart>
      <c:valAx>
        <c:axId val="138495872"/>
        <c:scaling>
          <c:orientation val="minMax"/>
        </c:scaling>
        <c:delete val="0"/>
        <c:axPos val="b"/>
        <c:title>
          <c:tx>
            <c:rich>
              <a:bodyPr/>
              <a:lstStyle/>
              <a:p>
                <a:pPr>
                  <a:defRPr b="1"/>
                </a:pPr>
                <a:r>
                  <a:rPr lang="en-US" b="1"/>
                  <a:t>Quantile levels</a:t>
                </a:r>
              </a:p>
            </c:rich>
          </c:tx>
          <c:layout>
            <c:manualLayout>
              <c:xMode val="edge"/>
              <c:yMode val="edge"/>
              <c:x val="0.47018376501779535"/>
              <c:y val="0.76245081664257208"/>
            </c:manualLayout>
          </c:layout>
          <c:overlay val="0"/>
        </c:title>
        <c:numFmt formatCode="0.00_ " sourceLinked="1"/>
        <c:majorTickMark val="in"/>
        <c:minorTickMark val="none"/>
        <c:tickLblPos val="nextTo"/>
        <c:txPr>
          <a:bodyPr rot="0" vert="horz"/>
          <a:lstStyle/>
          <a:p>
            <a:pPr>
              <a:defRPr sz="1200" b="1" i="0" u="none" strike="noStrike" baseline="0">
                <a:solidFill>
                  <a:srgbClr val="000000"/>
                </a:solidFill>
                <a:latin typeface="新細明體"/>
                <a:ea typeface="新細明體"/>
                <a:cs typeface="新細明體"/>
              </a:defRPr>
            </a:pPr>
            <a:endParaRPr lang="en-US"/>
          </a:p>
        </c:txPr>
        <c:crossAx val="139264384"/>
        <c:crosses val="autoZero"/>
        <c:crossBetween val="midCat"/>
      </c:valAx>
      <c:valAx>
        <c:axId val="139264384"/>
        <c:scaling>
          <c:orientation val="minMax"/>
        </c:scaling>
        <c:delete val="0"/>
        <c:axPos val="l"/>
        <c:title>
          <c:tx>
            <c:rich>
              <a:bodyPr/>
              <a:lstStyle/>
              <a:p>
                <a:pPr>
                  <a:defRPr b="1"/>
                </a:pPr>
                <a:r>
                  <a:rPr lang="en-US" b="1"/>
                  <a:t>Estimates</a:t>
                </a:r>
              </a:p>
            </c:rich>
          </c:tx>
          <c:layout>
            <c:manualLayout>
              <c:xMode val="edge"/>
              <c:yMode val="edge"/>
              <c:x val="1.1375431653597863E-2"/>
              <c:y val="0.33559323855849077"/>
            </c:manualLayout>
          </c:layout>
          <c:overlay val="0"/>
        </c:title>
        <c:numFmt formatCode="0.00_ " sourceLinked="0"/>
        <c:majorTickMark val="out"/>
        <c:minorTickMark val="none"/>
        <c:tickLblPos val="nextTo"/>
        <c:txPr>
          <a:bodyPr rot="0" vert="horz"/>
          <a:lstStyle/>
          <a:p>
            <a:pPr>
              <a:defRPr b="1"/>
            </a:pPr>
            <a:endParaRPr lang="en-US"/>
          </a:p>
        </c:txPr>
        <c:crossAx val="138495872"/>
        <c:crosses val="autoZero"/>
        <c:crossBetween val="midCat"/>
      </c:valAx>
      <c:spPr>
        <a:noFill/>
        <a:ln w="25400">
          <a:noFill/>
        </a:ln>
      </c:spPr>
    </c:plotArea>
    <c:plotVisOnly val="1"/>
    <c:dispBlanksAs val="gap"/>
    <c:showDLblsOverMax val="0"/>
  </c:chart>
  <c:spPr>
    <a:noFill/>
    <a:ln w="9525">
      <a:noFill/>
    </a:ln>
  </c:spPr>
  <c:txPr>
    <a:bodyPr/>
    <a:lstStyle/>
    <a:p>
      <a:pPr>
        <a:defRPr sz="1200" b="0" i="0" u="none" strike="noStrike" baseline="0">
          <a:solidFill>
            <a:srgbClr val="000000"/>
          </a:solidFill>
          <a:latin typeface="新細明體"/>
          <a:ea typeface="新細明體"/>
          <a:cs typeface="新細明體"/>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82316442605998"/>
          <c:y val="4.7457627118647962E-2"/>
          <c:w val="0.81168592243726534"/>
          <c:h val="0.78272697141526248"/>
        </c:manualLayout>
      </c:layout>
      <c:scatterChart>
        <c:scatterStyle val="smoothMarker"/>
        <c:varyColors val="0"/>
        <c:ser>
          <c:idx val="0"/>
          <c:order val="0"/>
          <c:tx>
            <c:v>mean</c:v>
          </c:tx>
          <c:spPr>
            <a:ln w="12700">
              <a:solidFill>
                <a:srgbClr val="000000"/>
              </a:solidFill>
              <a:prstDash val="solid"/>
            </a:ln>
          </c:spPr>
          <c:marker>
            <c:symbol val="diamond"/>
            <c:size val="5"/>
            <c:spPr>
              <a:solidFill>
                <a:srgbClr val="000000"/>
              </a:solidFill>
              <a:ln>
                <a:solidFill>
                  <a:srgbClr val="000000"/>
                </a:solidFill>
                <a:prstDash val="solid"/>
              </a:ln>
            </c:spPr>
          </c:marker>
          <c:xVal>
            <c:numRef>
              <c:f>'[SOX 3-2(2003-2009).xls]Data'!$A$3:$A$21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0.65000000000002278</c:v>
                </c:pt>
                <c:pt idx="13">
                  <c:v>0.70000000000000062</c:v>
                </c:pt>
                <c:pt idx="14">
                  <c:v>0.75000000000001465</c:v>
                </c:pt>
                <c:pt idx="15">
                  <c:v>0.8</c:v>
                </c:pt>
                <c:pt idx="16">
                  <c:v>0.85000000000000064</c:v>
                </c:pt>
                <c:pt idx="17">
                  <c:v>0.9</c:v>
                </c:pt>
                <c:pt idx="18">
                  <c:v>0.95000000000000062</c:v>
                </c:pt>
              </c:numCache>
            </c:numRef>
          </c:xVal>
          <c:yVal>
            <c:numRef>
              <c:f>'[SOX 3-2(2003-2009).xls]Data'!$D$3:$D$21</c:f>
              <c:numCache>
                <c:formatCode>General</c:formatCode>
                <c:ptCount val="19"/>
                <c:pt idx="0">
                  <c:v>-0.5342614</c:v>
                </c:pt>
                <c:pt idx="1">
                  <c:v>-0.52532014999998256</c:v>
                </c:pt>
                <c:pt idx="2">
                  <c:v>-0.42648555000000032</c:v>
                </c:pt>
                <c:pt idx="3">
                  <c:v>-0.42414660000000032</c:v>
                </c:pt>
                <c:pt idx="4">
                  <c:v>-0.46089800000000031</c:v>
                </c:pt>
                <c:pt idx="5">
                  <c:v>-0.42322835000000031</c:v>
                </c:pt>
                <c:pt idx="6">
                  <c:v>-0.37155895000000388</c:v>
                </c:pt>
                <c:pt idx="7">
                  <c:v>-0.33139835000001083</c:v>
                </c:pt>
                <c:pt idx="8">
                  <c:v>-0.30573260000000002</c:v>
                </c:pt>
                <c:pt idx="9">
                  <c:v>-0.24520015000000558</c:v>
                </c:pt>
                <c:pt idx="10">
                  <c:v>-0.19228945000000044</c:v>
                </c:pt>
                <c:pt idx="11">
                  <c:v>-0.17534530000000603</c:v>
                </c:pt>
                <c:pt idx="12">
                  <c:v>-0.15363460000000001</c:v>
                </c:pt>
                <c:pt idx="13">
                  <c:v>-6.1249999999984928E-5</c:v>
                </c:pt>
                <c:pt idx="14">
                  <c:v>0.26718690000001033</c:v>
                </c:pt>
                <c:pt idx="15">
                  <c:v>0.25981320000000002</c:v>
                </c:pt>
                <c:pt idx="16">
                  <c:v>0.5635597999999995</c:v>
                </c:pt>
                <c:pt idx="17">
                  <c:v>0.68742274999997754</c:v>
                </c:pt>
                <c:pt idx="18">
                  <c:v>1.1356564499999999</c:v>
                </c:pt>
              </c:numCache>
            </c:numRef>
          </c:yVal>
          <c:smooth val="1"/>
          <c:extLst xmlns:c16r2="http://schemas.microsoft.com/office/drawing/2015/06/chart">
            <c:ext xmlns:c16="http://schemas.microsoft.com/office/drawing/2014/chart" uri="{C3380CC4-5D6E-409C-BE32-E72D297353CC}">
              <c16:uniqueId val="{00000000-F25E-4097-8137-2B2A7C040627}"/>
            </c:ext>
          </c:extLst>
        </c:ser>
        <c:ser>
          <c:idx val="1"/>
          <c:order val="1"/>
          <c:tx>
            <c:v>right</c:v>
          </c:tx>
          <c:spPr>
            <a:ln w="12700">
              <a:solidFill>
                <a:srgbClr val="000000"/>
              </a:solidFill>
              <a:prstDash val="solid"/>
            </a:ln>
          </c:spPr>
          <c:marker>
            <c:symbol val="square"/>
            <c:size val="5"/>
            <c:spPr>
              <a:solidFill>
                <a:srgbClr val="000000"/>
              </a:solidFill>
              <a:ln>
                <a:solidFill>
                  <a:srgbClr val="000000"/>
                </a:solidFill>
                <a:prstDash val="solid"/>
              </a:ln>
            </c:spPr>
          </c:marker>
          <c:xVal>
            <c:numRef>
              <c:f>'[SOX 3-2(2003-2009).xls]Data'!$A$3:$A$21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0.65000000000002278</c:v>
                </c:pt>
                <c:pt idx="13">
                  <c:v>0.70000000000000062</c:v>
                </c:pt>
                <c:pt idx="14">
                  <c:v>0.75000000000001465</c:v>
                </c:pt>
                <c:pt idx="15">
                  <c:v>0.8</c:v>
                </c:pt>
                <c:pt idx="16">
                  <c:v>0.85000000000000064</c:v>
                </c:pt>
                <c:pt idx="17">
                  <c:v>0.9</c:v>
                </c:pt>
                <c:pt idx="18">
                  <c:v>0.95000000000000062</c:v>
                </c:pt>
              </c:numCache>
            </c:numRef>
          </c:xVal>
          <c:yVal>
            <c:numRef>
              <c:f>'[SOX 3-2(2003-2009).xls]Data'!$C$3:$C$21</c:f>
              <c:numCache>
                <c:formatCode>General</c:formatCode>
                <c:ptCount val="19"/>
                <c:pt idx="0">
                  <c:v>-0.35588830000001725</c:v>
                </c:pt>
                <c:pt idx="1">
                  <c:v>-0.39224290000001044</c:v>
                </c:pt>
                <c:pt idx="2">
                  <c:v>-0.31495180000000988</c:v>
                </c:pt>
                <c:pt idx="3">
                  <c:v>-0.33662800000001547</c:v>
                </c:pt>
                <c:pt idx="4">
                  <c:v>-0.34470040000000002</c:v>
                </c:pt>
                <c:pt idx="5">
                  <c:v>-0.30835210000001195</c:v>
                </c:pt>
                <c:pt idx="6">
                  <c:v>-0.24584590000000564</c:v>
                </c:pt>
                <c:pt idx="7">
                  <c:v>-0.18102960000000001</c:v>
                </c:pt>
                <c:pt idx="8">
                  <c:v>-0.15849930000001086</c:v>
                </c:pt>
                <c:pt idx="9">
                  <c:v>-8.9870600000000023E-2</c:v>
                </c:pt>
                <c:pt idx="10">
                  <c:v>-4.0711100000000014E-2</c:v>
                </c:pt>
                <c:pt idx="11">
                  <c:v>2.5126900000000001E-2</c:v>
                </c:pt>
                <c:pt idx="12">
                  <c:v>5.9872200000002124E-2</c:v>
                </c:pt>
                <c:pt idx="13">
                  <c:v>0.26848070000001173</c:v>
                </c:pt>
                <c:pt idx="14">
                  <c:v>0.4468492</c:v>
                </c:pt>
                <c:pt idx="15">
                  <c:v>0.46480200000000038</c:v>
                </c:pt>
                <c:pt idx="16">
                  <c:v>0.88168939999999996</c:v>
                </c:pt>
                <c:pt idx="17">
                  <c:v>1.2659359999999718</c:v>
                </c:pt>
                <c:pt idx="18">
                  <c:v>1.949673</c:v>
                </c:pt>
              </c:numCache>
            </c:numRef>
          </c:yVal>
          <c:smooth val="1"/>
          <c:extLst xmlns:c16r2="http://schemas.microsoft.com/office/drawing/2015/06/chart">
            <c:ext xmlns:c16="http://schemas.microsoft.com/office/drawing/2014/chart" uri="{C3380CC4-5D6E-409C-BE32-E72D297353CC}">
              <c16:uniqueId val="{00000001-F25E-4097-8137-2B2A7C040627}"/>
            </c:ext>
          </c:extLst>
        </c:ser>
        <c:ser>
          <c:idx val="2"/>
          <c:order val="2"/>
          <c:tx>
            <c:v>left</c:v>
          </c:tx>
          <c:spPr>
            <a:ln w="12700">
              <a:solidFill>
                <a:srgbClr val="000000"/>
              </a:solidFill>
              <a:prstDash val="solid"/>
            </a:ln>
          </c:spPr>
          <c:marker>
            <c:symbol val="triangle"/>
            <c:size val="5"/>
            <c:spPr>
              <a:solidFill>
                <a:srgbClr val="000000"/>
              </a:solidFill>
              <a:ln>
                <a:solidFill>
                  <a:srgbClr val="000000"/>
                </a:solidFill>
                <a:prstDash val="solid"/>
              </a:ln>
            </c:spPr>
          </c:marker>
          <c:xVal>
            <c:numRef>
              <c:f>'[SOX 3-2(2003-2009).xls]Data'!$A$3:$A$21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0.65000000000002278</c:v>
                </c:pt>
                <c:pt idx="13">
                  <c:v>0.70000000000000062</c:v>
                </c:pt>
                <c:pt idx="14">
                  <c:v>0.75000000000001465</c:v>
                </c:pt>
                <c:pt idx="15">
                  <c:v>0.8</c:v>
                </c:pt>
                <c:pt idx="16">
                  <c:v>0.85000000000000064</c:v>
                </c:pt>
                <c:pt idx="17">
                  <c:v>0.9</c:v>
                </c:pt>
                <c:pt idx="18">
                  <c:v>0.95000000000000062</c:v>
                </c:pt>
              </c:numCache>
            </c:numRef>
          </c:xVal>
          <c:yVal>
            <c:numRef>
              <c:f>'[SOX 3-2(2003-2009).xls]Data'!$B$3:$B$21</c:f>
              <c:numCache>
                <c:formatCode>General</c:formatCode>
                <c:ptCount val="19"/>
                <c:pt idx="0">
                  <c:v>-0.71263449999999995</c:v>
                </c:pt>
                <c:pt idx="1">
                  <c:v>-0.65839740000002256</c:v>
                </c:pt>
                <c:pt idx="2">
                  <c:v>-0.53801929999999998</c:v>
                </c:pt>
                <c:pt idx="3">
                  <c:v>-0.51166520000000004</c:v>
                </c:pt>
                <c:pt idx="4">
                  <c:v>-0.5770956000000258</c:v>
                </c:pt>
                <c:pt idx="5">
                  <c:v>-0.53810460000000004</c:v>
                </c:pt>
                <c:pt idx="6">
                  <c:v>-0.49727200000000032</c:v>
                </c:pt>
                <c:pt idx="7">
                  <c:v>-0.4817671</c:v>
                </c:pt>
                <c:pt idx="8">
                  <c:v>-0.45296590000000031</c:v>
                </c:pt>
                <c:pt idx="9">
                  <c:v>-0.40052970000000032</c:v>
                </c:pt>
                <c:pt idx="10">
                  <c:v>-0.34386780000000688</c:v>
                </c:pt>
                <c:pt idx="11">
                  <c:v>-0.37581750000001324</c:v>
                </c:pt>
                <c:pt idx="12">
                  <c:v>-0.36714140000000001</c:v>
                </c:pt>
                <c:pt idx="13">
                  <c:v>-0.26860320000000004</c:v>
                </c:pt>
                <c:pt idx="14">
                  <c:v>8.7524600000000743E-2</c:v>
                </c:pt>
                <c:pt idx="15">
                  <c:v>5.4824400000000134E-2</c:v>
                </c:pt>
                <c:pt idx="16">
                  <c:v>0.24543020000000698</c:v>
                </c:pt>
                <c:pt idx="17">
                  <c:v>0.10890950000000002</c:v>
                </c:pt>
                <c:pt idx="18">
                  <c:v>0.32163990000000031</c:v>
                </c:pt>
              </c:numCache>
            </c:numRef>
          </c:yVal>
          <c:smooth val="1"/>
          <c:extLst xmlns:c16r2="http://schemas.microsoft.com/office/drawing/2015/06/chart">
            <c:ext xmlns:c16="http://schemas.microsoft.com/office/drawing/2014/chart" uri="{C3380CC4-5D6E-409C-BE32-E72D297353CC}">
              <c16:uniqueId val="{00000002-F25E-4097-8137-2B2A7C040627}"/>
            </c:ext>
          </c:extLst>
        </c:ser>
        <c:ser>
          <c:idx val="3"/>
          <c:order val="3"/>
          <c:tx>
            <c:v>OLS</c:v>
          </c:tx>
          <c:spPr>
            <a:ln w="38100">
              <a:solidFill>
                <a:srgbClr val="FF0000"/>
              </a:solidFill>
              <a:prstDash val="sysDash"/>
            </a:ln>
          </c:spPr>
          <c:marker>
            <c:symbol val="x"/>
            <c:size val="3"/>
            <c:spPr>
              <a:solidFill>
                <a:srgbClr val="FF0000"/>
              </a:solidFill>
              <a:ln>
                <a:solidFill>
                  <a:srgbClr val="FF0000"/>
                </a:solidFill>
                <a:prstDash val="solid"/>
              </a:ln>
            </c:spPr>
          </c:marker>
          <c:xVal>
            <c:numRef>
              <c:f>'[SOX 3-2(2003-2009).xls]Data'!$A$3:$A$21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0.65000000000002278</c:v>
                </c:pt>
                <c:pt idx="13">
                  <c:v>0.70000000000000062</c:v>
                </c:pt>
                <c:pt idx="14">
                  <c:v>0.75000000000001465</c:v>
                </c:pt>
                <c:pt idx="15">
                  <c:v>0.8</c:v>
                </c:pt>
                <c:pt idx="16">
                  <c:v>0.85000000000000064</c:v>
                </c:pt>
                <c:pt idx="17">
                  <c:v>0.9</c:v>
                </c:pt>
                <c:pt idx="18">
                  <c:v>0.95000000000000062</c:v>
                </c:pt>
              </c:numCache>
            </c:numRef>
          </c:xVal>
          <c:yVal>
            <c:numRef>
              <c:f>'[SOX 3-2(2003-2009).xls]Data'!$E$3:$E$21</c:f>
              <c:numCache>
                <c:formatCode>General</c:formatCode>
                <c:ptCount val="19"/>
                <c:pt idx="0">
                  <c:v>4.5203149999999956E-2</c:v>
                </c:pt>
                <c:pt idx="1">
                  <c:v>4.5203149999999956E-2</c:v>
                </c:pt>
                <c:pt idx="2">
                  <c:v>4.5203149999999956E-2</c:v>
                </c:pt>
                <c:pt idx="3">
                  <c:v>4.5203149999999956E-2</c:v>
                </c:pt>
                <c:pt idx="4">
                  <c:v>4.5203149999999956E-2</c:v>
                </c:pt>
                <c:pt idx="5">
                  <c:v>4.5203149999999956E-2</c:v>
                </c:pt>
                <c:pt idx="6">
                  <c:v>4.5203149999999956E-2</c:v>
                </c:pt>
                <c:pt idx="7">
                  <c:v>4.5203149999999956E-2</c:v>
                </c:pt>
                <c:pt idx="8">
                  <c:v>4.5203149999999956E-2</c:v>
                </c:pt>
                <c:pt idx="9">
                  <c:v>4.5203149999999956E-2</c:v>
                </c:pt>
                <c:pt idx="10">
                  <c:v>4.5203149999999956E-2</c:v>
                </c:pt>
                <c:pt idx="11">
                  <c:v>4.5203149999999956E-2</c:v>
                </c:pt>
                <c:pt idx="12">
                  <c:v>4.5203149999999956E-2</c:v>
                </c:pt>
                <c:pt idx="13">
                  <c:v>4.5203149999999956E-2</c:v>
                </c:pt>
                <c:pt idx="14">
                  <c:v>4.5203149999999956E-2</c:v>
                </c:pt>
                <c:pt idx="15">
                  <c:v>4.5203149999999956E-2</c:v>
                </c:pt>
                <c:pt idx="16">
                  <c:v>4.5203149999999956E-2</c:v>
                </c:pt>
                <c:pt idx="17">
                  <c:v>4.5203149999999956E-2</c:v>
                </c:pt>
                <c:pt idx="18">
                  <c:v>4.5203149999999956E-2</c:v>
                </c:pt>
              </c:numCache>
            </c:numRef>
          </c:yVal>
          <c:smooth val="1"/>
          <c:extLst xmlns:c16r2="http://schemas.microsoft.com/office/drawing/2015/06/chart">
            <c:ext xmlns:c16="http://schemas.microsoft.com/office/drawing/2014/chart" uri="{C3380CC4-5D6E-409C-BE32-E72D297353CC}">
              <c16:uniqueId val="{00000003-F25E-4097-8137-2B2A7C040627}"/>
            </c:ext>
          </c:extLst>
        </c:ser>
        <c:ser>
          <c:idx val="4"/>
          <c:order val="4"/>
          <c:tx>
            <c:v>up</c:v>
          </c:tx>
          <c:spPr>
            <a:ln w="12700">
              <a:solidFill>
                <a:srgbClr val="FF0000"/>
              </a:solidFill>
              <a:prstDash val="lgDash"/>
            </a:ln>
          </c:spPr>
          <c:marker>
            <c:symbol val="star"/>
            <c:size val="5"/>
            <c:spPr>
              <a:noFill/>
              <a:ln>
                <a:solidFill>
                  <a:srgbClr val="FF0000"/>
                </a:solidFill>
                <a:prstDash val="solid"/>
              </a:ln>
            </c:spPr>
          </c:marker>
          <c:xVal>
            <c:numRef>
              <c:f>'[SOX 3-2(2003-2009).xls]Data'!$A$3:$A$21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0.65000000000002278</c:v>
                </c:pt>
                <c:pt idx="13">
                  <c:v>0.70000000000000062</c:v>
                </c:pt>
                <c:pt idx="14">
                  <c:v>0.75000000000001465</c:v>
                </c:pt>
                <c:pt idx="15">
                  <c:v>0.8</c:v>
                </c:pt>
                <c:pt idx="16">
                  <c:v>0.85000000000000064</c:v>
                </c:pt>
                <c:pt idx="17">
                  <c:v>0.9</c:v>
                </c:pt>
                <c:pt idx="18">
                  <c:v>0.95000000000000062</c:v>
                </c:pt>
              </c:numCache>
            </c:numRef>
          </c:xVal>
          <c:yVal>
            <c:numRef>
              <c:f>'[SOX 3-2(2003-2009).xls]Data'!$G$3:$G$21</c:f>
              <c:numCache>
                <c:formatCode>General</c:formatCode>
                <c:ptCount val="19"/>
                <c:pt idx="0">
                  <c:v>0.26635650000000038</c:v>
                </c:pt>
                <c:pt idx="1">
                  <c:v>0.26635650000000038</c:v>
                </c:pt>
                <c:pt idx="2">
                  <c:v>0.26635650000000038</c:v>
                </c:pt>
                <c:pt idx="3">
                  <c:v>0.26635650000000038</c:v>
                </c:pt>
                <c:pt idx="4">
                  <c:v>0.26635650000000038</c:v>
                </c:pt>
                <c:pt idx="5">
                  <c:v>0.26635650000000038</c:v>
                </c:pt>
                <c:pt idx="6">
                  <c:v>0.26635650000000038</c:v>
                </c:pt>
                <c:pt idx="7">
                  <c:v>0.26635650000000038</c:v>
                </c:pt>
                <c:pt idx="8">
                  <c:v>0.26635650000000038</c:v>
                </c:pt>
                <c:pt idx="9">
                  <c:v>0.26635650000000038</c:v>
                </c:pt>
                <c:pt idx="10">
                  <c:v>0.26635650000000038</c:v>
                </c:pt>
                <c:pt idx="11">
                  <c:v>0.26635650000000038</c:v>
                </c:pt>
                <c:pt idx="12">
                  <c:v>0.26635650000000038</c:v>
                </c:pt>
                <c:pt idx="13">
                  <c:v>0.26635650000000038</c:v>
                </c:pt>
                <c:pt idx="14">
                  <c:v>0.26635650000000038</c:v>
                </c:pt>
                <c:pt idx="15">
                  <c:v>0.26635650000000038</c:v>
                </c:pt>
                <c:pt idx="16">
                  <c:v>0.26635650000000038</c:v>
                </c:pt>
                <c:pt idx="17">
                  <c:v>0.26635650000000038</c:v>
                </c:pt>
                <c:pt idx="18">
                  <c:v>0.26635650000000038</c:v>
                </c:pt>
              </c:numCache>
            </c:numRef>
          </c:yVal>
          <c:smooth val="1"/>
          <c:extLst xmlns:c16r2="http://schemas.microsoft.com/office/drawing/2015/06/chart">
            <c:ext xmlns:c16="http://schemas.microsoft.com/office/drawing/2014/chart" uri="{C3380CC4-5D6E-409C-BE32-E72D297353CC}">
              <c16:uniqueId val="{00000004-F25E-4097-8137-2B2A7C040627}"/>
            </c:ext>
          </c:extLst>
        </c:ser>
        <c:ser>
          <c:idx val="5"/>
          <c:order val="5"/>
          <c:tx>
            <c:v>low</c:v>
          </c:tx>
          <c:spPr>
            <a:ln w="12700">
              <a:solidFill>
                <a:srgbClr val="FF0000"/>
              </a:solidFill>
              <a:prstDash val="lgDash"/>
            </a:ln>
          </c:spPr>
          <c:marker>
            <c:symbol val="star"/>
            <c:size val="5"/>
            <c:spPr>
              <a:noFill/>
              <a:ln>
                <a:solidFill>
                  <a:srgbClr val="FF0000"/>
                </a:solidFill>
                <a:prstDash val="solid"/>
              </a:ln>
            </c:spPr>
          </c:marker>
          <c:xVal>
            <c:numRef>
              <c:f>'[SOX 3-2(2003-2009).xls]Data'!$A$3:$A$21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0.65000000000002278</c:v>
                </c:pt>
                <c:pt idx="13">
                  <c:v>0.70000000000000062</c:v>
                </c:pt>
                <c:pt idx="14">
                  <c:v>0.75000000000001465</c:v>
                </c:pt>
                <c:pt idx="15">
                  <c:v>0.8</c:v>
                </c:pt>
                <c:pt idx="16">
                  <c:v>0.85000000000000064</c:v>
                </c:pt>
                <c:pt idx="17">
                  <c:v>0.9</c:v>
                </c:pt>
                <c:pt idx="18">
                  <c:v>0.95000000000000062</c:v>
                </c:pt>
              </c:numCache>
            </c:numRef>
          </c:xVal>
          <c:yVal>
            <c:numRef>
              <c:f>'[SOX 3-2(2003-2009).xls]Data'!$F$3:$F$21</c:f>
              <c:numCache>
                <c:formatCode>General</c:formatCode>
                <c:ptCount val="19"/>
                <c:pt idx="0">
                  <c:v>-0.17595020000000094</c:v>
                </c:pt>
                <c:pt idx="1">
                  <c:v>-0.17595020000000094</c:v>
                </c:pt>
                <c:pt idx="2">
                  <c:v>-0.17595020000000094</c:v>
                </c:pt>
                <c:pt idx="3">
                  <c:v>-0.17595020000000094</c:v>
                </c:pt>
                <c:pt idx="4">
                  <c:v>-0.17595020000000094</c:v>
                </c:pt>
                <c:pt idx="5">
                  <c:v>-0.17595020000000094</c:v>
                </c:pt>
                <c:pt idx="6">
                  <c:v>-0.17595020000000094</c:v>
                </c:pt>
                <c:pt idx="7">
                  <c:v>-0.17595020000000094</c:v>
                </c:pt>
                <c:pt idx="8">
                  <c:v>-0.17595020000000094</c:v>
                </c:pt>
                <c:pt idx="9">
                  <c:v>-0.17595020000000094</c:v>
                </c:pt>
                <c:pt idx="10">
                  <c:v>-0.17595020000000094</c:v>
                </c:pt>
                <c:pt idx="11">
                  <c:v>-0.17595020000000094</c:v>
                </c:pt>
                <c:pt idx="12">
                  <c:v>-0.17595020000000094</c:v>
                </c:pt>
                <c:pt idx="13">
                  <c:v>-0.17595020000000094</c:v>
                </c:pt>
                <c:pt idx="14">
                  <c:v>-0.17595020000000094</c:v>
                </c:pt>
                <c:pt idx="15">
                  <c:v>-0.17595020000000094</c:v>
                </c:pt>
                <c:pt idx="16">
                  <c:v>-0.17595020000000094</c:v>
                </c:pt>
                <c:pt idx="17">
                  <c:v>-0.17595020000000094</c:v>
                </c:pt>
                <c:pt idx="18">
                  <c:v>-0.17595020000000094</c:v>
                </c:pt>
              </c:numCache>
            </c:numRef>
          </c:yVal>
          <c:smooth val="1"/>
          <c:extLst xmlns:c16r2="http://schemas.microsoft.com/office/drawing/2015/06/chart">
            <c:ext xmlns:c16="http://schemas.microsoft.com/office/drawing/2014/chart" uri="{C3380CC4-5D6E-409C-BE32-E72D297353CC}">
              <c16:uniqueId val="{00000005-F25E-4097-8137-2B2A7C040627}"/>
            </c:ext>
          </c:extLst>
        </c:ser>
        <c:dLbls>
          <c:showLegendKey val="0"/>
          <c:showVal val="0"/>
          <c:showCatName val="0"/>
          <c:showSerName val="0"/>
          <c:showPercent val="0"/>
          <c:showBubbleSize val="0"/>
        </c:dLbls>
        <c:axId val="139310976"/>
        <c:axId val="139313536"/>
      </c:scatterChart>
      <c:valAx>
        <c:axId val="139310976"/>
        <c:scaling>
          <c:orientation val="minMax"/>
        </c:scaling>
        <c:delete val="0"/>
        <c:axPos val="b"/>
        <c:title>
          <c:tx>
            <c:rich>
              <a:bodyPr/>
              <a:lstStyle/>
              <a:p>
                <a:pPr>
                  <a:defRPr b="1"/>
                </a:pPr>
                <a:r>
                  <a:rPr lang="en-US" b="1"/>
                  <a:t>Quantile levels</a:t>
                </a:r>
              </a:p>
            </c:rich>
          </c:tx>
          <c:layout>
            <c:manualLayout>
              <c:xMode val="edge"/>
              <c:yMode val="edge"/>
              <c:x val="0.47500521772127879"/>
              <c:y val="0.82763157279136901"/>
            </c:manualLayout>
          </c:layout>
          <c:overlay val="0"/>
        </c:title>
        <c:numFmt formatCode="0.00_ " sourceLinked="1"/>
        <c:majorTickMark val="in"/>
        <c:minorTickMark val="none"/>
        <c:tickLblPos val="nextTo"/>
        <c:txPr>
          <a:bodyPr rot="0" vert="horz"/>
          <a:lstStyle/>
          <a:p>
            <a:pPr>
              <a:defRPr sz="1200" b="1" i="0" u="none" strike="noStrike" baseline="0">
                <a:solidFill>
                  <a:srgbClr val="000000"/>
                </a:solidFill>
                <a:latin typeface="新細明體"/>
                <a:ea typeface="新細明體"/>
                <a:cs typeface="新細明體"/>
              </a:defRPr>
            </a:pPr>
            <a:endParaRPr lang="en-US"/>
          </a:p>
        </c:txPr>
        <c:crossAx val="139313536"/>
        <c:crosses val="autoZero"/>
        <c:crossBetween val="midCat"/>
      </c:valAx>
      <c:valAx>
        <c:axId val="139313536"/>
        <c:scaling>
          <c:orientation val="minMax"/>
        </c:scaling>
        <c:delete val="0"/>
        <c:axPos val="l"/>
        <c:title>
          <c:tx>
            <c:rich>
              <a:bodyPr/>
              <a:lstStyle/>
              <a:p>
                <a:pPr>
                  <a:defRPr b="1"/>
                </a:pPr>
                <a:r>
                  <a:rPr lang="en-US" b="1"/>
                  <a:t>Estimates</a:t>
                </a:r>
              </a:p>
            </c:rich>
          </c:tx>
          <c:layout>
            <c:manualLayout>
              <c:xMode val="edge"/>
              <c:yMode val="edge"/>
              <c:x val="1.1375431653597863E-2"/>
              <c:y val="0.33559323855849077"/>
            </c:manualLayout>
          </c:layout>
          <c:overlay val="0"/>
        </c:title>
        <c:numFmt formatCode="0.00_ " sourceLinked="0"/>
        <c:majorTickMark val="out"/>
        <c:minorTickMark val="none"/>
        <c:tickLblPos val="nextTo"/>
        <c:txPr>
          <a:bodyPr rot="0" vert="horz"/>
          <a:lstStyle/>
          <a:p>
            <a:pPr>
              <a:defRPr b="1"/>
            </a:pPr>
            <a:endParaRPr lang="en-US"/>
          </a:p>
        </c:txPr>
        <c:crossAx val="139310976"/>
        <c:crosses val="autoZero"/>
        <c:crossBetween val="midCat"/>
      </c:valAx>
      <c:spPr>
        <a:noFill/>
        <a:ln w="25400">
          <a:noFill/>
        </a:ln>
      </c:spPr>
    </c:plotArea>
    <c:plotVisOnly val="1"/>
    <c:dispBlanksAs val="gap"/>
    <c:showDLblsOverMax val="0"/>
  </c:chart>
  <c:spPr>
    <a:noFill/>
    <a:ln w="9525">
      <a:noFill/>
    </a:ln>
  </c:spPr>
  <c:txPr>
    <a:bodyPr/>
    <a:lstStyle/>
    <a:p>
      <a:pPr>
        <a:defRPr sz="1200" b="0" i="0" u="none" strike="noStrike" baseline="0">
          <a:solidFill>
            <a:srgbClr val="000000"/>
          </a:solidFill>
          <a:latin typeface="新細明體"/>
          <a:ea typeface="新細明體"/>
          <a:cs typeface="新細明體"/>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82316442605998"/>
          <c:y val="4.7457627118647816E-2"/>
          <c:w val="0.81168592243726534"/>
          <c:h val="0.78272697141526248"/>
        </c:manualLayout>
      </c:layout>
      <c:scatterChart>
        <c:scatterStyle val="smoothMarker"/>
        <c:varyColors val="0"/>
        <c:ser>
          <c:idx val="0"/>
          <c:order val="0"/>
          <c:tx>
            <c:v>mean</c:v>
          </c:tx>
          <c:spPr>
            <a:ln w="12700">
              <a:solidFill>
                <a:srgbClr val="000000"/>
              </a:solidFill>
              <a:prstDash val="solid"/>
            </a:ln>
          </c:spPr>
          <c:marker>
            <c:symbol val="diamond"/>
            <c:size val="5"/>
            <c:spPr>
              <a:solidFill>
                <a:srgbClr val="000000"/>
              </a:solidFill>
              <a:ln>
                <a:solidFill>
                  <a:srgbClr val="000000"/>
                </a:solidFill>
                <a:prstDash val="solid"/>
              </a:ln>
            </c:spPr>
          </c:marker>
          <c:xVal>
            <c:numRef>
              <c:f>Data!$A$3:$A$21</c:f>
              <c:numCache>
                <c:formatCode>0.00_ </c:formatCode>
                <c:ptCount val="19"/>
                <c:pt idx="0">
                  <c:v>5.0000000000000024E-2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0.65000000000002145</c:v>
                </c:pt>
                <c:pt idx="13">
                  <c:v>0.70000000000000062</c:v>
                </c:pt>
                <c:pt idx="14">
                  <c:v>0.75000000000001465</c:v>
                </c:pt>
                <c:pt idx="15">
                  <c:v>0.8</c:v>
                </c:pt>
                <c:pt idx="16">
                  <c:v>0.85000000000000064</c:v>
                </c:pt>
                <c:pt idx="17">
                  <c:v>0.9</c:v>
                </c:pt>
                <c:pt idx="18">
                  <c:v>0.95000000000000062</c:v>
                </c:pt>
              </c:numCache>
            </c:numRef>
          </c:xVal>
          <c:yVal>
            <c:numRef>
              <c:f>Data!$D$3:$D$21</c:f>
              <c:numCache>
                <c:formatCode>General</c:formatCode>
                <c:ptCount val="19"/>
                <c:pt idx="0">
                  <c:v>-0.55291865000000062</c:v>
                </c:pt>
                <c:pt idx="1">
                  <c:v>-0.55066284999999959</c:v>
                </c:pt>
                <c:pt idx="2">
                  <c:v>-0.55253249999998011</c:v>
                </c:pt>
                <c:pt idx="3">
                  <c:v>-0.49594460000001067</c:v>
                </c:pt>
                <c:pt idx="4">
                  <c:v>-0.43120314999999998</c:v>
                </c:pt>
                <c:pt idx="5">
                  <c:v>-0.33984040000001564</c:v>
                </c:pt>
                <c:pt idx="6">
                  <c:v>-0.30657975000000032</c:v>
                </c:pt>
                <c:pt idx="7">
                  <c:v>-0.22926230000000244</c:v>
                </c:pt>
                <c:pt idx="8">
                  <c:v>-0.19741725000000687</c:v>
                </c:pt>
                <c:pt idx="9">
                  <c:v>-0.1473788</c:v>
                </c:pt>
                <c:pt idx="10">
                  <c:v>-9.3795900000005206E-2</c:v>
                </c:pt>
                <c:pt idx="11">
                  <c:v>-7.507125000000002E-2</c:v>
                </c:pt>
                <c:pt idx="12">
                  <c:v>-6.8564000000000194E-3</c:v>
                </c:pt>
                <c:pt idx="13">
                  <c:v>7.294040000000003E-2</c:v>
                </c:pt>
                <c:pt idx="14">
                  <c:v>0.26858535000000006</c:v>
                </c:pt>
                <c:pt idx="15">
                  <c:v>0.46370910000000004</c:v>
                </c:pt>
                <c:pt idx="16">
                  <c:v>0.65270965000004211</c:v>
                </c:pt>
                <c:pt idx="17">
                  <c:v>1.4129432999999429</c:v>
                </c:pt>
                <c:pt idx="18">
                  <c:v>2.8280989999999977</c:v>
                </c:pt>
              </c:numCache>
            </c:numRef>
          </c:yVal>
          <c:smooth val="1"/>
          <c:extLst xmlns:c16r2="http://schemas.microsoft.com/office/drawing/2015/06/chart">
            <c:ext xmlns:c16="http://schemas.microsoft.com/office/drawing/2014/chart" uri="{C3380CC4-5D6E-409C-BE32-E72D297353CC}">
              <c16:uniqueId val="{00000000-94F6-47CE-8AAA-EF62A4C42496}"/>
            </c:ext>
          </c:extLst>
        </c:ser>
        <c:ser>
          <c:idx val="1"/>
          <c:order val="1"/>
          <c:tx>
            <c:v>right</c:v>
          </c:tx>
          <c:spPr>
            <a:ln w="12700">
              <a:solidFill>
                <a:srgbClr val="000000"/>
              </a:solidFill>
              <a:prstDash val="solid"/>
            </a:ln>
          </c:spPr>
          <c:marker>
            <c:symbol val="square"/>
            <c:size val="5"/>
            <c:spPr>
              <a:solidFill>
                <a:srgbClr val="000000"/>
              </a:solidFill>
              <a:ln>
                <a:solidFill>
                  <a:srgbClr val="000000"/>
                </a:solidFill>
                <a:prstDash val="solid"/>
              </a:ln>
            </c:spPr>
          </c:marker>
          <c:xVal>
            <c:numRef>
              <c:f>Data!$A$3:$A$21</c:f>
              <c:numCache>
                <c:formatCode>0.00_ </c:formatCode>
                <c:ptCount val="19"/>
                <c:pt idx="0">
                  <c:v>5.0000000000000024E-2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0.65000000000002145</c:v>
                </c:pt>
                <c:pt idx="13">
                  <c:v>0.70000000000000062</c:v>
                </c:pt>
                <c:pt idx="14">
                  <c:v>0.75000000000001465</c:v>
                </c:pt>
                <c:pt idx="15">
                  <c:v>0.8</c:v>
                </c:pt>
                <c:pt idx="16">
                  <c:v>0.85000000000000064</c:v>
                </c:pt>
                <c:pt idx="17">
                  <c:v>0.9</c:v>
                </c:pt>
                <c:pt idx="18">
                  <c:v>0.95000000000000062</c:v>
                </c:pt>
              </c:numCache>
            </c:numRef>
          </c:xVal>
          <c:yVal>
            <c:numRef>
              <c:f>Data!$C$3:$C$21</c:f>
              <c:numCache>
                <c:formatCode>General</c:formatCode>
                <c:ptCount val="19"/>
                <c:pt idx="0">
                  <c:v>-0.38247950000001263</c:v>
                </c:pt>
                <c:pt idx="1">
                  <c:v>-0.41011400000000031</c:v>
                </c:pt>
                <c:pt idx="2">
                  <c:v>-0.42663800000000002</c:v>
                </c:pt>
                <c:pt idx="3">
                  <c:v>-0.36308330000000238</c:v>
                </c:pt>
                <c:pt idx="4">
                  <c:v>-0.30977470000001067</c:v>
                </c:pt>
                <c:pt idx="5">
                  <c:v>-0.20690970000000194</c:v>
                </c:pt>
                <c:pt idx="6">
                  <c:v>-0.19279610000000044</c:v>
                </c:pt>
                <c:pt idx="7">
                  <c:v>-0.12509870000000001</c:v>
                </c:pt>
                <c:pt idx="8">
                  <c:v>-9.6869700000000003E-2</c:v>
                </c:pt>
                <c:pt idx="9">
                  <c:v>-5.0667700000000024E-2</c:v>
                </c:pt>
                <c:pt idx="10">
                  <c:v>1.3916400000000021E-2</c:v>
                </c:pt>
                <c:pt idx="11">
                  <c:v>1.0257199999999999E-2</c:v>
                </c:pt>
                <c:pt idx="12">
                  <c:v>0.1347787</c:v>
                </c:pt>
                <c:pt idx="13">
                  <c:v>0.33716540000000966</c:v>
                </c:pt>
                <c:pt idx="14">
                  <c:v>0.60253920000000005</c:v>
                </c:pt>
                <c:pt idx="15">
                  <c:v>0.85869340000002436</c:v>
                </c:pt>
                <c:pt idx="16">
                  <c:v>1.062837</c:v>
                </c:pt>
                <c:pt idx="17">
                  <c:v>2.1011270000000652</c:v>
                </c:pt>
                <c:pt idx="18">
                  <c:v>3.8719769999999967</c:v>
                </c:pt>
              </c:numCache>
            </c:numRef>
          </c:yVal>
          <c:smooth val="1"/>
          <c:extLst xmlns:c16r2="http://schemas.microsoft.com/office/drawing/2015/06/chart">
            <c:ext xmlns:c16="http://schemas.microsoft.com/office/drawing/2014/chart" uri="{C3380CC4-5D6E-409C-BE32-E72D297353CC}">
              <c16:uniqueId val="{00000001-94F6-47CE-8AAA-EF62A4C42496}"/>
            </c:ext>
          </c:extLst>
        </c:ser>
        <c:ser>
          <c:idx val="2"/>
          <c:order val="2"/>
          <c:tx>
            <c:v>left</c:v>
          </c:tx>
          <c:spPr>
            <a:ln w="12700">
              <a:solidFill>
                <a:srgbClr val="000000"/>
              </a:solidFill>
              <a:prstDash val="solid"/>
            </a:ln>
          </c:spPr>
          <c:marker>
            <c:symbol val="triangle"/>
            <c:size val="5"/>
            <c:spPr>
              <a:solidFill>
                <a:srgbClr val="000000"/>
              </a:solidFill>
              <a:ln>
                <a:solidFill>
                  <a:srgbClr val="000000"/>
                </a:solidFill>
                <a:prstDash val="solid"/>
              </a:ln>
            </c:spPr>
          </c:marker>
          <c:xVal>
            <c:numRef>
              <c:f>Data!$A$3:$A$21</c:f>
              <c:numCache>
                <c:formatCode>0.00_ </c:formatCode>
                <c:ptCount val="19"/>
                <c:pt idx="0">
                  <c:v>5.0000000000000024E-2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0.65000000000002145</c:v>
                </c:pt>
                <c:pt idx="13">
                  <c:v>0.70000000000000062</c:v>
                </c:pt>
                <c:pt idx="14">
                  <c:v>0.75000000000001465</c:v>
                </c:pt>
                <c:pt idx="15">
                  <c:v>0.8</c:v>
                </c:pt>
                <c:pt idx="16">
                  <c:v>0.85000000000000064</c:v>
                </c:pt>
                <c:pt idx="17">
                  <c:v>0.9</c:v>
                </c:pt>
                <c:pt idx="18">
                  <c:v>0.95000000000000062</c:v>
                </c:pt>
              </c:numCache>
            </c:numRef>
          </c:xVal>
          <c:yVal>
            <c:numRef>
              <c:f>Data!$B$3:$B$21</c:f>
              <c:numCache>
                <c:formatCode>General</c:formatCode>
                <c:ptCount val="19"/>
                <c:pt idx="0">
                  <c:v>-0.72335780000000005</c:v>
                </c:pt>
                <c:pt idx="1">
                  <c:v>-0.6912117000000001</c:v>
                </c:pt>
                <c:pt idx="2">
                  <c:v>-0.67842700000001765</c:v>
                </c:pt>
                <c:pt idx="3">
                  <c:v>-0.62880590000002246</c:v>
                </c:pt>
                <c:pt idx="4">
                  <c:v>-0.55263160000001565</c:v>
                </c:pt>
                <c:pt idx="5">
                  <c:v>-0.4727711</c:v>
                </c:pt>
                <c:pt idx="6">
                  <c:v>-0.42036340000000288</c:v>
                </c:pt>
                <c:pt idx="7">
                  <c:v>-0.33342590000001726</c:v>
                </c:pt>
                <c:pt idx="8">
                  <c:v>-0.29796480000001302</c:v>
                </c:pt>
                <c:pt idx="9">
                  <c:v>-0.24408990000000041</c:v>
                </c:pt>
                <c:pt idx="10">
                  <c:v>-0.20150820000000041</c:v>
                </c:pt>
                <c:pt idx="11">
                  <c:v>-0.16039970000000003</c:v>
                </c:pt>
                <c:pt idx="12">
                  <c:v>-0.14849150000000041</c:v>
                </c:pt>
                <c:pt idx="13">
                  <c:v>-0.19128460000000003</c:v>
                </c:pt>
                <c:pt idx="14">
                  <c:v>-6.5368500000000093E-2</c:v>
                </c:pt>
                <c:pt idx="15">
                  <c:v>6.8724800000000003E-2</c:v>
                </c:pt>
                <c:pt idx="16">
                  <c:v>0.24258230000000044</c:v>
                </c:pt>
                <c:pt idx="17">
                  <c:v>0.72475959999999995</c:v>
                </c:pt>
                <c:pt idx="18">
                  <c:v>1.7842209999999998</c:v>
                </c:pt>
              </c:numCache>
            </c:numRef>
          </c:yVal>
          <c:smooth val="1"/>
          <c:extLst xmlns:c16r2="http://schemas.microsoft.com/office/drawing/2015/06/chart">
            <c:ext xmlns:c16="http://schemas.microsoft.com/office/drawing/2014/chart" uri="{C3380CC4-5D6E-409C-BE32-E72D297353CC}">
              <c16:uniqueId val="{00000002-94F6-47CE-8AAA-EF62A4C42496}"/>
            </c:ext>
          </c:extLst>
        </c:ser>
        <c:ser>
          <c:idx val="3"/>
          <c:order val="3"/>
          <c:tx>
            <c:v>OLS</c:v>
          </c:tx>
          <c:spPr>
            <a:ln w="38100">
              <a:solidFill>
                <a:srgbClr val="FF0000"/>
              </a:solidFill>
              <a:prstDash val="sysDash"/>
            </a:ln>
          </c:spPr>
          <c:marker>
            <c:symbol val="x"/>
            <c:size val="3"/>
            <c:spPr>
              <a:solidFill>
                <a:srgbClr val="FF0000"/>
              </a:solidFill>
              <a:ln>
                <a:solidFill>
                  <a:srgbClr val="FF0000"/>
                </a:solidFill>
                <a:prstDash val="solid"/>
              </a:ln>
            </c:spPr>
          </c:marker>
          <c:xVal>
            <c:numRef>
              <c:f>Data!$A$3:$A$21</c:f>
              <c:numCache>
                <c:formatCode>0.00_ </c:formatCode>
                <c:ptCount val="19"/>
                <c:pt idx="0">
                  <c:v>5.0000000000000024E-2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0.65000000000002145</c:v>
                </c:pt>
                <c:pt idx="13">
                  <c:v>0.70000000000000062</c:v>
                </c:pt>
                <c:pt idx="14">
                  <c:v>0.75000000000001465</c:v>
                </c:pt>
                <c:pt idx="15">
                  <c:v>0.8</c:v>
                </c:pt>
                <c:pt idx="16">
                  <c:v>0.85000000000000064</c:v>
                </c:pt>
                <c:pt idx="17">
                  <c:v>0.9</c:v>
                </c:pt>
                <c:pt idx="18">
                  <c:v>0.95000000000000062</c:v>
                </c:pt>
              </c:numCache>
            </c:numRef>
          </c:xVal>
          <c:yVal>
            <c:numRef>
              <c:f>Data!$E$3:$E$21</c:f>
              <c:numCache>
                <c:formatCode>General</c:formatCode>
                <c:ptCount val="19"/>
                <c:pt idx="0">
                  <c:v>0.24213295000000001</c:v>
                </c:pt>
                <c:pt idx="1">
                  <c:v>0.24213295000000001</c:v>
                </c:pt>
                <c:pt idx="2">
                  <c:v>0.24213295000000001</c:v>
                </c:pt>
                <c:pt idx="3">
                  <c:v>0.24213295000000001</c:v>
                </c:pt>
                <c:pt idx="4">
                  <c:v>0.24213295000000001</c:v>
                </c:pt>
                <c:pt idx="5">
                  <c:v>0.24213295000000001</c:v>
                </c:pt>
                <c:pt idx="6">
                  <c:v>0.24213295000000001</c:v>
                </c:pt>
                <c:pt idx="7">
                  <c:v>0.24213295000000001</c:v>
                </c:pt>
                <c:pt idx="8">
                  <c:v>0.24213295000000001</c:v>
                </c:pt>
                <c:pt idx="9">
                  <c:v>0.24213295000000001</c:v>
                </c:pt>
                <c:pt idx="10">
                  <c:v>0.24213295000000001</c:v>
                </c:pt>
                <c:pt idx="11">
                  <c:v>0.24213295000000001</c:v>
                </c:pt>
                <c:pt idx="12">
                  <c:v>0.24213295000000001</c:v>
                </c:pt>
                <c:pt idx="13">
                  <c:v>0.24213295000000001</c:v>
                </c:pt>
                <c:pt idx="14">
                  <c:v>0.24213295000000001</c:v>
                </c:pt>
                <c:pt idx="15">
                  <c:v>0.24213295000000001</c:v>
                </c:pt>
                <c:pt idx="16">
                  <c:v>0.24213295000000001</c:v>
                </c:pt>
                <c:pt idx="17">
                  <c:v>0.24213295000000001</c:v>
                </c:pt>
                <c:pt idx="18">
                  <c:v>0.24213295000000001</c:v>
                </c:pt>
              </c:numCache>
            </c:numRef>
          </c:yVal>
          <c:smooth val="1"/>
          <c:extLst xmlns:c16r2="http://schemas.microsoft.com/office/drawing/2015/06/chart">
            <c:ext xmlns:c16="http://schemas.microsoft.com/office/drawing/2014/chart" uri="{C3380CC4-5D6E-409C-BE32-E72D297353CC}">
              <c16:uniqueId val="{00000003-94F6-47CE-8AAA-EF62A4C42496}"/>
            </c:ext>
          </c:extLst>
        </c:ser>
        <c:ser>
          <c:idx val="4"/>
          <c:order val="4"/>
          <c:tx>
            <c:v>up</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5.0000000000000024E-2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0.65000000000002145</c:v>
                </c:pt>
                <c:pt idx="13">
                  <c:v>0.70000000000000062</c:v>
                </c:pt>
                <c:pt idx="14">
                  <c:v>0.75000000000001465</c:v>
                </c:pt>
                <c:pt idx="15">
                  <c:v>0.8</c:v>
                </c:pt>
                <c:pt idx="16">
                  <c:v>0.85000000000000064</c:v>
                </c:pt>
                <c:pt idx="17">
                  <c:v>0.9</c:v>
                </c:pt>
                <c:pt idx="18">
                  <c:v>0.95000000000000062</c:v>
                </c:pt>
              </c:numCache>
            </c:numRef>
          </c:xVal>
          <c:yVal>
            <c:numRef>
              <c:f>Data!$G$3:$G$21</c:f>
              <c:numCache>
                <c:formatCode>General</c:formatCode>
                <c:ptCount val="19"/>
                <c:pt idx="0">
                  <c:v>0.35492960000001067</c:v>
                </c:pt>
                <c:pt idx="1">
                  <c:v>0.35492960000001067</c:v>
                </c:pt>
                <c:pt idx="2">
                  <c:v>0.35492960000001067</c:v>
                </c:pt>
                <c:pt idx="3">
                  <c:v>0.35492960000001067</c:v>
                </c:pt>
                <c:pt idx="4">
                  <c:v>0.35492960000001067</c:v>
                </c:pt>
                <c:pt idx="5">
                  <c:v>0.35492960000001067</c:v>
                </c:pt>
                <c:pt idx="6">
                  <c:v>0.35492960000001067</c:v>
                </c:pt>
                <c:pt idx="7">
                  <c:v>0.35492960000001067</c:v>
                </c:pt>
                <c:pt idx="8">
                  <c:v>0.35492960000001067</c:v>
                </c:pt>
                <c:pt idx="9">
                  <c:v>0.35492960000001067</c:v>
                </c:pt>
                <c:pt idx="10">
                  <c:v>0.35492960000001067</c:v>
                </c:pt>
                <c:pt idx="11">
                  <c:v>0.35492960000001067</c:v>
                </c:pt>
                <c:pt idx="12">
                  <c:v>0.35492960000001067</c:v>
                </c:pt>
                <c:pt idx="13">
                  <c:v>0.35492960000001067</c:v>
                </c:pt>
                <c:pt idx="14">
                  <c:v>0.35492960000001067</c:v>
                </c:pt>
                <c:pt idx="15">
                  <c:v>0.35492960000001067</c:v>
                </c:pt>
                <c:pt idx="16">
                  <c:v>0.35492960000001067</c:v>
                </c:pt>
                <c:pt idx="17">
                  <c:v>0.35492960000001067</c:v>
                </c:pt>
                <c:pt idx="18">
                  <c:v>0.35492960000001067</c:v>
                </c:pt>
              </c:numCache>
            </c:numRef>
          </c:yVal>
          <c:smooth val="1"/>
          <c:extLst xmlns:c16r2="http://schemas.microsoft.com/office/drawing/2015/06/chart">
            <c:ext xmlns:c16="http://schemas.microsoft.com/office/drawing/2014/chart" uri="{C3380CC4-5D6E-409C-BE32-E72D297353CC}">
              <c16:uniqueId val="{00000004-94F6-47CE-8AAA-EF62A4C42496}"/>
            </c:ext>
          </c:extLst>
        </c:ser>
        <c:ser>
          <c:idx val="5"/>
          <c:order val="5"/>
          <c:tx>
            <c:v>low</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5.0000000000000024E-2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0.65000000000002145</c:v>
                </c:pt>
                <c:pt idx="13">
                  <c:v>0.70000000000000062</c:v>
                </c:pt>
                <c:pt idx="14">
                  <c:v>0.75000000000001465</c:v>
                </c:pt>
                <c:pt idx="15">
                  <c:v>0.8</c:v>
                </c:pt>
                <c:pt idx="16">
                  <c:v>0.85000000000000064</c:v>
                </c:pt>
                <c:pt idx="17">
                  <c:v>0.9</c:v>
                </c:pt>
                <c:pt idx="18">
                  <c:v>0.95000000000000062</c:v>
                </c:pt>
              </c:numCache>
            </c:numRef>
          </c:xVal>
          <c:yVal>
            <c:numRef>
              <c:f>Data!$F$3:$F$21</c:f>
              <c:numCache>
                <c:formatCode>General</c:formatCode>
                <c:ptCount val="19"/>
                <c:pt idx="0">
                  <c:v>0.12933629999999999</c:v>
                </c:pt>
                <c:pt idx="1">
                  <c:v>0.12933629999999999</c:v>
                </c:pt>
                <c:pt idx="2">
                  <c:v>0.12933629999999999</c:v>
                </c:pt>
                <c:pt idx="3">
                  <c:v>0.12933629999999999</c:v>
                </c:pt>
                <c:pt idx="4">
                  <c:v>0.12933629999999999</c:v>
                </c:pt>
                <c:pt idx="5">
                  <c:v>0.12933629999999999</c:v>
                </c:pt>
                <c:pt idx="6">
                  <c:v>0.12933629999999999</c:v>
                </c:pt>
                <c:pt idx="7">
                  <c:v>0.12933629999999999</c:v>
                </c:pt>
                <c:pt idx="8">
                  <c:v>0.12933629999999999</c:v>
                </c:pt>
                <c:pt idx="9">
                  <c:v>0.12933629999999999</c:v>
                </c:pt>
                <c:pt idx="10">
                  <c:v>0.12933629999999999</c:v>
                </c:pt>
                <c:pt idx="11">
                  <c:v>0.12933629999999999</c:v>
                </c:pt>
                <c:pt idx="12">
                  <c:v>0.12933629999999999</c:v>
                </c:pt>
                <c:pt idx="13">
                  <c:v>0.12933629999999999</c:v>
                </c:pt>
                <c:pt idx="14">
                  <c:v>0.12933629999999999</c:v>
                </c:pt>
                <c:pt idx="15">
                  <c:v>0.12933629999999999</c:v>
                </c:pt>
                <c:pt idx="16">
                  <c:v>0.12933629999999999</c:v>
                </c:pt>
                <c:pt idx="17">
                  <c:v>0.12933629999999999</c:v>
                </c:pt>
                <c:pt idx="18">
                  <c:v>0.12933629999999999</c:v>
                </c:pt>
              </c:numCache>
            </c:numRef>
          </c:yVal>
          <c:smooth val="1"/>
          <c:extLst xmlns:c16r2="http://schemas.microsoft.com/office/drawing/2015/06/chart">
            <c:ext xmlns:c16="http://schemas.microsoft.com/office/drawing/2014/chart" uri="{C3380CC4-5D6E-409C-BE32-E72D297353CC}">
              <c16:uniqueId val="{00000005-94F6-47CE-8AAA-EF62A4C42496}"/>
            </c:ext>
          </c:extLst>
        </c:ser>
        <c:dLbls>
          <c:showLegendKey val="0"/>
          <c:showVal val="0"/>
          <c:showCatName val="0"/>
          <c:showSerName val="0"/>
          <c:showPercent val="0"/>
          <c:showBubbleSize val="0"/>
        </c:dLbls>
        <c:axId val="139511680"/>
        <c:axId val="140771712"/>
      </c:scatterChart>
      <c:valAx>
        <c:axId val="139511680"/>
        <c:scaling>
          <c:orientation val="minMax"/>
        </c:scaling>
        <c:delete val="0"/>
        <c:axPos val="b"/>
        <c:title>
          <c:tx>
            <c:rich>
              <a:bodyPr/>
              <a:lstStyle/>
              <a:p>
                <a:pPr>
                  <a:defRPr b="1"/>
                </a:pPr>
                <a:r>
                  <a:rPr lang="en-US" b="1"/>
                  <a:t>Quantile levels</a:t>
                </a:r>
              </a:p>
            </c:rich>
          </c:tx>
          <c:layout>
            <c:manualLayout>
              <c:xMode val="edge"/>
              <c:yMode val="edge"/>
              <c:x val="0.4750041721663405"/>
              <c:y val="0.82186852311910208"/>
            </c:manualLayout>
          </c:layout>
          <c:overlay val="0"/>
        </c:title>
        <c:numFmt formatCode="0.00_ " sourceLinked="1"/>
        <c:majorTickMark val="in"/>
        <c:minorTickMark val="none"/>
        <c:tickLblPos val="nextTo"/>
        <c:txPr>
          <a:bodyPr rot="0" vert="horz"/>
          <a:lstStyle/>
          <a:p>
            <a:pPr>
              <a:defRPr sz="1200" b="1" i="0" u="none" strike="noStrike" baseline="0">
                <a:solidFill>
                  <a:srgbClr val="000000"/>
                </a:solidFill>
                <a:latin typeface="新細明體"/>
                <a:ea typeface="新細明體"/>
                <a:cs typeface="新細明體"/>
              </a:defRPr>
            </a:pPr>
            <a:endParaRPr lang="en-US"/>
          </a:p>
        </c:txPr>
        <c:crossAx val="140771712"/>
        <c:crosses val="autoZero"/>
        <c:crossBetween val="midCat"/>
      </c:valAx>
      <c:valAx>
        <c:axId val="140771712"/>
        <c:scaling>
          <c:orientation val="minMax"/>
        </c:scaling>
        <c:delete val="0"/>
        <c:axPos val="l"/>
        <c:title>
          <c:tx>
            <c:rich>
              <a:bodyPr/>
              <a:lstStyle/>
              <a:p>
                <a:pPr>
                  <a:defRPr b="1"/>
                </a:pPr>
                <a:r>
                  <a:rPr lang="en-US" b="1"/>
                  <a:t>Estimates</a:t>
                </a:r>
              </a:p>
            </c:rich>
          </c:tx>
          <c:layout>
            <c:manualLayout>
              <c:xMode val="edge"/>
              <c:yMode val="edge"/>
              <c:x val="1.1375431653597903E-2"/>
              <c:y val="0.33559323855849077"/>
            </c:manualLayout>
          </c:layout>
          <c:overlay val="0"/>
        </c:title>
        <c:numFmt formatCode="0.00_ " sourceLinked="0"/>
        <c:majorTickMark val="out"/>
        <c:minorTickMark val="none"/>
        <c:tickLblPos val="nextTo"/>
        <c:txPr>
          <a:bodyPr rot="0" vert="horz"/>
          <a:lstStyle/>
          <a:p>
            <a:pPr>
              <a:defRPr b="1"/>
            </a:pPr>
            <a:endParaRPr lang="en-US"/>
          </a:p>
        </c:txPr>
        <c:crossAx val="139511680"/>
        <c:crosses val="autoZero"/>
        <c:crossBetween val="midCat"/>
      </c:valAx>
      <c:spPr>
        <a:noFill/>
        <a:ln w="25400">
          <a:noFill/>
        </a:ln>
      </c:spPr>
    </c:plotArea>
    <c:plotVisOnly val="1"/>
    <c:dispBlanksAs val="gap"/>
    <c:showDLblsOverMax val="0"/>
  </c:chart>
  <c:spPr>
    <a:noFill/>
    <a:ln w="9525">
      <a:noFill/>
    </a:ln>
  </c:spPr>
  <c:txPr>
    <a:bodyPr/>
    <a:lstStyle/>
    <a:p>
      <a:pPr>
        <a:defRPr sz="1200" b="0" i="0" u="none" strike="noStrike" baseline="0">
          <a:solidFill>
            <a:srgbClr val="000000"/>
          </a:solidFill>
          <a:latin typeface="新細明體"/>
          <a:ea typeface="新細明體"/>
          <a:cs typeface="新細明體"/>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82316442605998"/>
          <c:y val="4.7457627118648218E-2"/>
          <c:w val="0.81168592243726534"/>
          <c:h val="0.78272697141526248"/>
        </c:manualLayout>
      </c:layout>
      <c:scatterChart>
        <c:scatterStyle val="smoothMarker"/>
        <c:varyColors val="0"/>
        <c:ser>
          <c:idx val="0"/>
          <c:order val="0"/>
          <c:tx>
            <c:v>mean</c:v>
          </c:tx>
          <c:spPr>
            <a:ln w="12700">
              <a:solidFill>
                <a:srgbClr val="000000"/>
              </a:solidFill>
              <a:prstDash val="solid"/>
            </a:ln>
          </c:spPr>
          <c:marker>
            <c:symbol val="diamond"/>
            <c:size val="5"/>
            <c:spPr>
              <a:solidFill>
                <a:srgbClr val="000000"/>
              </a:solidFill>
              <a:ln>
                <a:solidFill>
                  <a:srgbClr val="000000"/>
                </a:solidFill>
                <a:prstDash val="solid"/>
              </a:ln>
            </c:spPr>
          </c:marker>
          <c:xVal>
            <c:numRef>
              <c:f>[Size.xls]Data!$A$3:$A$21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0.65000000000002423</c:v>
                </c:pt>
                <c:pt idx="13">
                  <c:v>0.70000000000000062</c:v>
                </c:pt>
                <c:pt idx="14">
                  <c:v>0.75000000000001465</c:v>
                </c:pt>
                <c:pt idx="15">
                  <c:v>0.8</c:v>
                </c:pt>
                <c:pt idx="16">
                  <c:v>0.85000000000000064</c:v>
                </c:pt>
                <c:pt idx="17">
                  <c:v>0.9</c:v>
                </c:pt>
                <c:pt idx="18">
                  <c:v>0.95000000000000062</c:v>
                </c:pt>
              </c:numCache>
            </c:numRef>
          </c:xVal>
          <c:yVal>
            <c:numRef>
              <c:f>[Size.xls]Data!$D$3:$D$21</c:f>
              <c:numCache>
                <c:formatCode>General</c:formatCode>
                <c:ptCount val="19"/>
                <c:pt idx="0">
                  <c:v>2.9634700000000052E-2</c:v>
                </c:pt>
                <c:pt idx="1">
                  <c:v>2.7394950000000001E-2</c:v>
                </c:pt>
                <c:pt idx="2">
                  <c:v>2.5703100000000052E-2</c:v>
                </c:pt>
                <c:pt idx="3">
                  <c:v>2.0886000000000002E-2</c:v>
                </c:pt>
                <c:pt idx="4">
                  <c:v>1.7309400000000003E-2</c:v>
                </c:pt>
                <c:pt idx="5">
                  <c:v>1.3709249999999999E-2</c:v>
                </c:pt>
                <c:pt idx="6">
                  <c:v>7.8455999999999994E-3</c:v>
                </c:pt>
                <c:pt idx="7">
                  <c:v>2.9179000000000292E-3</c:v>
                </c:pt>
                <c:pt idx="8">
                  <c:v>-1.5929000000000101E-3</c:v>
                </c:pt>
                <c:pt idx="9">
                  <c:v>-6.0070500000000034E-3</c:v>
                </c:pt>
                <c:pt idx="10">
                  <c:v>-1.2352149999999999E-2</c:v>
                </c:pt>
                <c:pt idx="11">
                  <c:v>-1.6872050000000041E-2</c:v>
                </c:pt>
                <c:pt idx="12">
                  <c:v>-2.398635E-2</c:v>
                </c:pt>
                <c:pt idx="13">
                  <c:v>-3.1447200000001292E-2</c:v>
                </c:pt>
                <c:pt idx="14">
                  <c:v>-3.6875000000001719E-2</c:v>
                </c:pt>
                <c:pt idx="15">
                  <c:v>-4.8384600000000104E-2</c:v>
                </c:pt>
                <c:pt idx="16">
                  <c:v>-6.1686049999999985E-2</c:v>
                </c:pt>
                <c:pt idx="17">
                  <c:v>-8.6079799999999998E-2</c:v>
                </c:pt>
                <c:pt idx="18">
                  <c:v>-0.12334970000000002</c:v>
                </c:pt>
              </c:numCache>
            </c:numRef>
          </c:yVal>
          <c:smooth val="1"/>
          <c:extLst xmlns:c16r2="http://schemas.microsoft.com/office/drawing/2015/06/chart">
            <c:ext xmlns:c16="http://schemas.microsoft.com/office/drawing/2014/chart" uri="{C3380CC4-5D6E-409C-BE32-E72D297353CC}">
              <c16:uniqueId val="{00000000-C96F-48C8-8F8D-B782E4B49C7F}"/>
            </c:ext>
          </c:extLst>
        </c:ser>
        <c:ser>
          <c:idx val="1"/>
          <c:order val="1"/>
          <c:tx>
            <c:v>right</c:v>
          </c:tx>
          <c:spPr>
            <a:ln w="12700">
              <a:solidFill>
                <a:srgbClr val="000000"/>
              </a:solidFill>
              <a:prstDash val="solid"/>
            </a:ln>
          </c:spPr>
          <c:marker>
            <c:symbol val="square"/>
            <c:size val="5"/>
            <c:spPr>
              <a:solidFill>
                <a:srgbClr val="000000"/>
              </a:solidFill>
              <a:ln>
                <a:solidFill>
                  <a:srgbClr val="000000"/>
                </a:solidFill>
                <a:prstDash val="solid"/>
              </a:ln>
            </c:spPr>
          </c:marker>
          <c:xVal>
            <c:numRef>
              <c:f>[Size.xls]Data!$A$3:$A$21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0.65000000000002423</c:v>
                </c:pt>
                <c:pt idx="13">
                  <c:v>0.70000000000000062</c:v>
                </c:pt>
                <c:pt idx="14">
                  <c:v>0.75000000000001465</c:v>
                </c:pt>
                <c:pt idx="15">
                  <c:v>0.8</c:v>
                </c:pt>
                <c:pt idx="16">
                  <c:v>0.85000000000000064</c:v>
                </c:pt>
                <c:pt idx="17">
                  <c:v>0.9</c:v>
                </c:pt>
                <c:pt idx="18">
                  <c:v>0.95000000000000062</c:v>
                </c:pt>
              </c:numCache>
            </c:numRef>
          </c:xVal>
          <c:yVal>
            <c:numRef>
              <c:f>[Size.xls]Data!$C$3:$C$21</c:f>
              <c:numCache>
                <c:formatCode>General</c:formatCode>
                <c:ptCount val="19"/>
                <c:pt idx="0">
                  <c:v>3.5678700000000042E-2</c:v>
                </c:pt>
                <c:pt idx="1">
                  <c:v>3.2836499999999998E-2</c:v>
                </c:pt>
                <c:pt idx="2">
                  <c:v>2.9638200000000052E-2</c:v>
                </c:pt>
                <c:pt idx="3">
                  <c:v>2.4855900000000052E-2</c:v>
                </c:pt>
                <c:pt idx="4">
                  <c:v>2.1486700000000011E-2</c:v>
                </c:pt>
                <c:pt idx="5">
                  <c:v>1.6853000000000003E-2</c:v>
                </c:pt>
                <c:pt idx="6">
                  <c:v>1.1193699999999999E-2</c:v>
                </c:pt>
                <c:pt idx="7">
                  <c:v>6.7263000000002534E-3</c:v>
                </c:pt>
                <c:pt idx="8">
                  <c:v>2.4302E-3</c:v>
                </c:pt>
                <c:pt idx="9">
                  <c:v>-2.4193000000000001E-3</c:v>
                </c:pt>
                <c:pt idx="10">
                  <c:v>-9.0393000000000001E-3</c:v>
                </c:pt>
                <c:pt idx="11">
                  <c:v>-1.2543200000000001E-2</c:v>
                </c:pt>
                <c:pt idx="12">
                  <c:v>-1.9420800000000925E-2</c:v>
                </c:pt>
                <c:pt idx="13">
                  <c:v>-2.6989800000000216E-2</c:v>
                </c:pt>
                <c:pt idx="14">
                  <c:v>-3.1819699999999999E-2</c:v>
                </c:pt>
                <c:pt idx="15">
                  <c:v>-4.4734500000000114E-2</c:v>
                </c:pt>
                <c:pt idx="16">
                  <c:v>-5.7843400000000024E-2</c:v>
                </c:pt>
                <c:pt idx="17">
                  <c:v>-7.9243200000000014E-2</c:v>
                </c:pt>
                <c:pt idx="18">
                  <c:v>-0.11357780000000001</c:v>
                </c:pt>
              </c:numCache>
            </c:numRef>
          </c:yVal>
          <c:smooth val="1"/>
          <c:extLst xmlns:c16r2="http://schemas.microsoft.com/office/drawing/2015/06/chart">
            <c:ext xmlns:c16="http://schemas.microsoft.com/office/drawing/2014/chart" uri="{C3380CC4-5D6E-409C-BE32-E72D297353CC}">
              <c16:uniqueId val="{00000001-C96F-48C8-8F8D-B782E4B49C7F}"/>
            </c:ext>
          </c:extLst>
        </c:ser>
        <c:ser>
          <c:idx val="2"/>
          <c:order val="2"/>
          <c:tx>
            <c:v>left</c:v>
          </c:tx>
          <c:spPr>
            <a:ln w="12700">
              <a:solidFill>
                <a:srgbClr val="000000"/>
              </a:solidFill>
              <a:prstDash val="solid"/>
            </a:ln>
          </c:spPr>
          <c:marker>
            <c:symbol val="triangle"/>
            <c:size val="5"/>
            <c:spPr>
              <a:solidFill>
                <a:srgbClr val="000000"/>
              </a:solidFill>
              <a:ln>
                <a:solidFill>
                  <a:srgbClr val="000000"/>
                </a:solidFill>
                <a:prstDash val="solid"/>
              </a:ln>
            </c:spPr>
          </c:marker>
          <c:xVal>
            <c:numRef>
              <c:f>[Size.xls]Data!$A$3:$A$21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0.65000000000002423</c:v>
                </c:pt>
                <c:pt idx="13">
                  <c:v>0.70000000000000062</c:v>
                </c:pt>
                <c:pt idx="14">
                  <c:v>0.75000000000001465</c:v>
                </c:pt>
                <c:pt idx="15">
                  <c:v>0.8</c:v>
                </c:pt>
                <c:pt idx="16">
                  <c:v>0.85000000000000064</c:v>
                </c:pt>
                <c:pt idx="17">
                  <c:v>0.9</c:v>
                </c:pt>
                <c:pt idx="18">
                  <c:v>0.95000000000000062</c:v>
                </c:pt>
              </c:numCache>
            </c:numRef>
          </c:xVal>
          <c:yVal>
            <c:numRef>
              <c:f>[Size.xls]Data!$B$3:$B$21</c:f>
              <c:numCache>
                <c:formatCode>General</c:formatCode>
                <c:ptCount val="19"/>
                <c:pt idx="0">
                  <c:v>2.3590699999999968E-2</c:v>
                </c:pt>
                <c:pt idx="1">
                  <c:v>2.1953400000000001E-2</c:v>
                </c:pt>
                <c:pt idx="2">
                  <c:v>2.1767999999999999E-2</c:v>
                </c:pt>
                <c:pt idx="3">
                  <c:v>1.6916100000000003E-2</c:v>
                </c:pt>
                <c:pt idx="4">
                  <c:v>1.3132100000000001E-2</c:v>
                </c:pt>
                <c:pt idx="5">
                  <c:v>1.0565500000000201E-2</c:v>
                </c:pt>
                <c:pt idx="6">
                  <c:v>4.4975000000000024E-3</c:v>
                </c:pt>
                <c:pt idx="7">
                  <c:v>-8.9050000000005607E-4</c:v>
                </c:pt>
                <c:pt idx="8">
                  <c:v>-5.6160000000000003E-3</c:v>
                </c:pt>
                <c:pt idx="9">
                  <c:v>-9.5948000000000006E-3</c:v>
                </c:pt>
                <c:pt idx="10">
                  <c:v>-1.5664999999999998E-2</c:v>
                </c:pt>
                <c:pt idx="11">
                  <c:v>-2.1200900000000012E-2</c:v>
                </c:pt>
                <c:pt idx="12">
                  <c:v>-2.8551900000000002E-2</c:v>
                </c:pt>
                <c:pt idx="13">
                  <c:v>-3.5904600000000002E-2</c:v>
                </c:pt>
                <c:pt idx="14">
                  <c:v>-4.1930299999999997E-2</c:v>
                </c:pt>
                <c:pt idx="15">
                  <c:v>-5.2034700000000024E-2</c:v>
                </c:pt>
                <c:pt idx="16">
                  <c:v>-6.5528700000000009E-2</c:v>
                </c:pt>
                <c:pt idx="17">
                  <c:v>-9.2916400000000024E-2</c:v>
                </c:pt>
                <c:pt idx="18">
                  <c:v>-0.13312159999999987</c:v>
                </c:pt>
              </c:numCache>
            </c:numRef>
          </c:yVal>
          <c:smooth val="1"/>
          <c:extLst xmlns:c16r2="http://schemas.microsoft.com/office/drawing/2015/06/chart">
            <c:ext xmlns:c16="http://schemas.microsoft.com/office/drawing/2014/chart" uri="{C3380CC4-5D6E-409C-BE32-E72D297353CC}">
              <c16:uniqueId val="{00000002-C96F-48C8-8F8D-B782E4B49C7F}"/>
            </c:ext>
          </c:extLst>
        </c:ser>
        <c:ser>
          <c:idx val="3"/>
          <c:order val="3"/>
          <c:tx>
            <c:v>OLS</c:v>
          </c:tx>
          <c:spPr>
            <a:ln w="38100">
              <a:solidFill>
                <a:srgbClr val="FF0000"/>
              </a:solidFill>
              <a:prstDash val="sysDash"/>
            </a:ln>
          </c:spPr>
          <c:marker>
            <c:symbol val="x"/>
            <c:size val="3"/>
            <c:spPr>
              <a:solidFill>
                <a:srgbClr val="FF0000"/>
              </a:solidFill>
              <a:ln>
                <a:solidFill>
                  <a:srgbClr val="FF0000"/>
                </a:solidFill>
                <a:prstDash val="solid"/>
              </a:ln>
            </c:spPr>
          </c:marker>
          <c:xVal>
            <c:numRef>
              <c:f>[Size.xls]Data!$A$3:$A$21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0.65000000000002423</c:v>
                </c:pt>
                <c:pt idx="13">
                  <c:v>0.70000000000000062</c:v>
                </c:pt>
                <c:pt idx="14">
                  <c:v>0.75000000000001465</c:v>
                </c:pt>
                <c:pt idx="15">
                  <c:v>0.8</c:v>
                </c:pt>
                <c:pt idx="16">
                  <c:v>0.85000000000000064</c:v>
                </c:pt>
                <c:pt idx="17">
                  <c:v>0.9</c:v>
                </c:pt>
                <c:pt idx="18">
                  <c:v>0.95000000000000062</c:v>
                </c:pt>
              </c:numCache>
            </c:numRef>
          </c:xVal>
          <c:yVal>
            <c:numRef>
              <c:f>[Size.xls]Data!$E$3:$E$21</c:f>
              <c:numCache>
                <c:formatCode>General</c:formatCode>
                <c:ptCount val="19"/>
                <c:pt idx="0">
                  <c:v>-4.0827900000000014E-2</c:v>
                </c:pt>
                <c:pt idx="1">
                  <c:v>-4.0827900000000014E-2</c:v>
                </c:pt>
                <c:pt idx="2">
                  <c:v>-4.0827900000000014E-2</c:v>
                </c:pt>
                <c:pt idx="3">
                  <c:v>-4.0827900000000014E-2</c:v>
                </c:pt>
                <c:pt idx="4">
                  <c:v>-4.0827900000000014E-2</c:v>
                </c:pt>
                <c:pt idx="5">
                  <c:v>-4.0827900000000014E-2</c:v>
                </c:pt>
                <c:pt idx="6">
                  <c:v>-4.0827900000000014E-2</c:v>
                </c:pt>
                <c:pt idx="7">
                  <c:v>-4.0827900000000014E-2</c:v>
                </c:pt>
                <c:pt idx="8">
                  <c:v>-4.0827900000000014E-2</c:v>
                </c:pt>
                <c:pt idx="9">
                  <c:v>-4.0827900000000014E-2</c:v>
                </c:pt>
                <c:pt idx="10">
                  <c:v>-4.0827900000000014E-2</c:v>
                </c:pt>
                <c:pt idx="11">
                  <c:v>-4.0827900000000014E-2</c:v>
                </c:pt>
                <c:pt idx="12">
                  <c:v>-4.0827900000000014E-2</c:v>
                </c:pt>
                <c:pt idx="13">
                  <c:v>-4.0827900000000014E-2</c:v>
                </c:pt>
                <c:pt idx="14">
                  <c:v>-4.0827900000000014E-2</c:v>
                </c:pt>
                <c:pt idx="15">
                  <c:v>-4.0827900000000014E-2</c:v>
                </c:pt>
                <c:pt idx="16">
                  <c:v>-4.0827900000000014E-2</c:v>
                </c:pt>
                <c:pt idx="17">
                  <c:v>-4.0827900000000014E-2</c:v>
                </c:pt>
                <c:pt idx="18">
                  <c:v>-4.0827900000000014E-2</c:v>
                </c:pt>
              </c:numCache>
            </c:numRef>
          </c:yVal>
          <c:smooth val="1"/>
          <c:extLst xmlns:c16r2="http://schemas.microsoft.com/office/drawing/2015/06/chart">
            <c:ext xmlns:c16="http://schemas.microsoft.com/office/drawing/2014/chart" uri="{C3380CC4-5D6E-409C-BE32-E72D297353CC}">
              <c16:uniqueId val="{00000003-C96F-48C8-8F8D-B782E4B49C7F}"/>
            </c:ext>
          </c:extLst>
        </c:ser>
        <c:ser>
          <c:idx val="4"/>
          <c:order val="4"/>
          <c:tx>
            <c:v>up</c:v>
          </c:tx>
          <c:spPr>
            <a:ln w="12700">
              <a:solidFill>
                <a:srgbClr val="FF0000"/>
              </a:solidFill>
              <a:prstDash val="lgDash"/>
            </a:ln>
          </c:spPr>
          <c:marker>
            <c:symbol val="star"/>
            <c:size val="5"/>
            <c:spPr>
              <a:noFill/>
              <a:ln>
                <a:solidFill>
                  <a:srgbClr val="FF0000"/>
                </a:solidFill>
                <a:prstDash val="solid"/>
              </a:ln>
            </c:spPr>
          </c:marker>
          <c:xVal>
            <c:numRef>
              <c:f>[Size.xls]Data!$A$3:$A$21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0.65000000000002423</c:v>
                </c:pt>
                <c:pt idx="13">
                  <c:v>0.70000000000000062</c:v>
                </c:pt>
                <c:pt idx="14">
                  <c:v>0.75000000000001465</c:v>
                </c:pt>
                <c:pt idx="15">
                  <c:v>0.8</c:v>
                </c:pt>
                <c:pt idx="16">
                  <c:v>0.85000000000000064</c:v>
                </c:pt>
                <c:pt idx="17">
                  <c:v>0.9</c:v>
                </c:pt>
                <c:pt idx="18">
                  <c:v>0.95000000000000062</c:v>
                </c:pt>
              </c:numCache>
            </c:numRef>
          </c:xVal>
          <c:yVal>
            <c:numRef>
              <c:f>[Size.xls]Data!$G$3:$G$21</c:f>
              <c:numCache>
                <c:formatCode>General</c:formatCode>
                <c:ptCount val="19"/>
                <c:pt idx="0">
                  <c:v>-3.4352599999999997E-2</c:v>
                </c:pt>
                <c:pt idx="1">
                  <c:v>-3.4352599999999997E-2</c:v>
                </c:pt>
                <c:pt idx="2">
                  <c:v>-3.4352599999999997E-2</c:v>
                </c:pt>
                <c:pt idx="3">
                  <c:v>-3.4352599999999997E-2</c:v>
                </c:pt>
                <c:pt idx="4">
                  <c:v>-3.4352599999999997E-2</c:v>
                </c:pt>
                <c:pt idx="5">
                  <c:v>-3.4352599999999997E-2</c:v>
                </c:pt>
                <c:pt idx="6">
                  <c:v>-3.4352599999999997E-2</c:v>
                </c:pt>
                <c:pt idx="7">
                  <c:v>-3.4352599999999997E-2</c:v>
                </c:pt>
                <c:pt idx="8">
                  <c:v>-3.4352599999999997E-2</c:v>
                </c:pt>
                <c:pt idx="9">
                  <c:v>-3.4352599999999997E-2</c:v>
                </c:pt>
                <c:pt idx="10">
                  <c:v>-3.4352599999999997E-2</c:v>
                </c:pt>
                <c:pt idx="11">
                  <c:v>-3.4352599999999997E-2</c:v>
                </c:pt>
                <c:pt idx="12">
                  <c:v>-3.4352599999999997E-2</c:v>
                </c:pt>
                <c:pt idx="13">
                  <c:v>-3.4352599999999997E-2</c:v>
                </c:pt>
                <c:pt idx="14">
                  <c:v>-3.4352599999999997E-2</c:v>
                </c:pt>
                <c:pt idx="15">
                  <c:v>-3.4352599999999997E-2</c:v>
                </c:pt>
                <c:pt idx="16">
                  <c:v>-3.4352599999999997E-2</c:v>
                </c:pt>
                <c:pt idx="17">
                  <c:v>-3.4352599999999997E-2</c:v>
                </c:pt>
                <c:pt idx="18">
                  <c:v>-3.4352599999999997E-2</c:v>
                </c:pt>
              </c:numCache>
            </c:numRef>
          </c:yVal>
          <c:smooth val="1"/>
          <c:extLst xmlns:c16r2="http://schemas.microsoft.com/office/drawing/2015/06/chart">
            <c:ext xmlns:c16="http://schemas.microsoft.com/office/drawing/2014/chart" uri="{C3380CC4-5D6E-409C-BE32-E72D297353CC}">
              <c16:uniqueId val="{00000004-C96F-48C8-8F8D-B782E4B49C7F}"/>
            </c:ext>
          </c:extLst>
        </c:ser>
        <c:ser>
          <c:idx val="5"/>
          <c:order val="5"/>
          <c:tx>
            <c:v>low</c:v>
          </c:tx>
          <c:spPr>
            <a:ln w="12700">
              <a:solidFill>
                <a:srgbClr val="FF0000"/>
              </a:solidFill>
              <a:prstDash val="lgDash"/>
            </a:ln>
          </c:spPr>
          <c:marker>
            <c:symbol val="star"/>
            <c:size val="5"/>
            <c:spPr>
              <a:noFill/>
              <a:ln>
                <a:solidFill>
                  <a:srgbClr val="FF0000"/>
                </a:solidFill>
                <a:prstDash val="solid"/>
              </a:ln>
            </c:spPr>
          </c:marker>
          <c:xVal>
            <c:numRef>
              <c:f>[Size.xls]Data!$A$3:$A$21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0.65000000000002423</c:v>
                </c:pt>
                <c:pt idx="13">
                  <c:v>0.70000000000000062</c:v>
                </c:pt>
                <c:pt idx="14">
                  <c:v>0.75000000000001465</c:v>
                </c:pt>
                <c:pt idx="15">
                  <c:v>0.8</c:v>
                </c:pt>
                <c:pt idx="16">
                  <c:v>0.85000000000000064</c:v>
                </c:pt>
                <c:pt idx="17">
                  <c:v>0.9</c:v>
                </c:pt>
                <c:pt idx="18">
                  <c:v>0.95000000000000062</c:v>
                </c:pt>
              </c:numCache>
            </c:numRef>
          </c:xVal>
          <c:yVal>
            <c:numRef>
              <c:f>[Size.xls]Data!$F$3:$F$21</c:f>
              <c:numCache>
                <c:formatCode>General</c:formatCode>
                <c:ptCount val="19"/>
                <c:pt idx="0">
                  <c:v>-4.7303200000000933E-2</c:v>
                </c:pt>
                <c:pt idx="1">
                  <c:v>-4.7303200000000933E-2</c:v>
                </c:pt>
                <c:pt idx="2">
                  <c:v>-4.7303200000000933E-2</c:v>
                </c:pt>
                <c:pt idx="3">
                  <c:v>-4.7303200000000933E-2</c:v>
                </c:pt>
                <c:pt idx="4">
                  <c:v>-4.7303200000000933E-2</c:v>
                </c:pt>
                <c:pt idx="5">
                  <c:v>-4.7303200000000933E-2</c:v>
                </c:pt>
                <c:pt idx="6">
                  <c:v>-4.7303200000000933E-2</c:v>
                </c:pt>
                <c:pt idx="7">
                  <c:v>-4.7303200000000933E-2</c:v>
                </c:pt>
                <c:pt idx="8">
                  <c:v>-4.7303200000000933E-2</c:v>
                </c:pt>
                <c:pt idx="9">
                  <c:v>-4.7303200000000933E-2</c:v>
                </c:pt>
                <c:pt idx="10">
                  <c:v>-4.7303200000000933E-2</c:v>
                </c:pt>
                <c:pt idx="11">
                  <c:v>-4.7303200000000933E-2</c:v>
                </c:pt>
                <c:pt idx="12">
                  <c:v>-4.7303200000000933E-2</c:v>
                </c:pt>
                <c:pt idx="13">
                  <c:v>-4.7303200000000933E-2</c:v>
                </c:pt>
                <c:pt idx="14">
                  <c:v>-4.7303200000000933E-2</c:v>
                </c:pt>
                <c:pt idx="15">
                  <c:v>-4.7303200000000933E-2</c:v>
                </c:pt>
                <c:pt idx="16">
                  <c:v>-4.7303200000000933E-2</c:v>
                </c:pt>
                <c:pt idx="17">
                  <c:v>-4.7303200000000933E-2</c:v>
                </c:pt>
                <c:pt idx="18">
                  <c:v>-4.7303200000000933E-2</c:v>
                </c:pt>
              </c:numCache>
            </c:numRef>
          </c:yVal>
          <c:smooth val="1"/>
          <c:extLst xmlns:c16r2="http://schemas.microsoft.com/office/drawing/2015/06/chart">
            <c:ext xmlns:c16="http://schemas.microsoft.com/office/drawing/2014/chart" uri="{C3380CC4-5D6E-409C-BE32-E72D297353CC}">
              <c16:uniqueId val="{00000005-C96F-48C8-8F8D-B782E4B49C7F}"/>
            </c:ext>
          </c:extLst>
        </c:ser>
        <c:dLbls>
          <c:showLegendKey val="0"/>
          <c:showVal val="0"/>
          <c:showCatName val="0"/>
          <c:showSerName val="0"/>
          <c:showPercent val="0"/>
          <c:showBubbleSize val="0"/>
        </c:dLbls>
        <c:axId val="114218496"/>
        <c:axId val="114851840"/>
      </c:scatterChart>
      <c:valAx>
        <c:axId val="114218496"/>
        <c:scaling>
          <c:orientation val="minMax"/>
        </c:scaling>
        <c:delete val="0"/>
        <c:axPos val="b"/>
        <c:title>
          <c:tx>
            <c:rich>
              <a:bodyPr/>
              <a:lstStyle/>
              <a:p>
                <a:pPr>
                  <a:defRPr b="1"/>
                </a:pPr>
                <a:r>
                  <a:rPr lang="en-US" b="1"/>
                  <a:t>Quantile levels</a:t>
                </a:r>
              </a:p>
            </c:rich>
          </c:tx>
          <c:layout>
            <c:manualLayout>
              <c:xMode val="edge"/>
              <c:yMode val="edge"/>
              <c:x val="0.46395016905307584"/>
              <c:y val="0.73562773085875155"/>
            </c:manualLayout>
          </c:layout>
          <c:overlay val="0"/>
        </c:title>
        <c:numFmt formatCode="0.00_ " sourceLinked="1"/>
        <c:majorTickMark val="in"/>
        <c:minorTickMark val="none"/>
        <c:tickLblPos val="nextTo"/>
        <c:txPr>
          <a:bodyPr rot="0" vert="horz"/>
          <a:lstStyle/>
          <a:p>
            <a:pPr>
              <a:defRPr sz="1200" b="1" i="0" u="none" strike="noStrike" baseline="0">
                <a:solidFill>
                  <a:srgbClr val="000000"/>
                </a:solidFill>
                <a:latin typeface="新細明體"/>
                <a:ea typeface="新細明體"/>
                <a:cs typeface="新細明體"/>
              </a:defRPr>
            </a:pPr>
            <a:endParaRPr lang="en-US"/>
          </a:p>
        </c:txPr>
        <c:crossAx val="114851840"/>
        <c:crosses val="autoZero"/>
        <c:crossBetween val="midCat"/>
      </c:valAx>
      <c:valAx>
        <c:axId val="114851840"/>
        <c:scaling>
          <c:orientation val="minMax"/>
        </c:scaling>
        <c:delete val="0"/>
        <c:axPos val="l"/>
        <c:title>
          <c:tx>
            <c:rich>
              <a:bodyPr/>
              <a:lstStyle/>
              <a:p>
                <a:pPr>
                  <a:defRPr b="1"/>
                </a:pPr>
                <a:r>
                  <a:rPr lang="en-US" b="1"/>
                  <a:t>Estimates</a:t>
                </a:r>
              </a:p>
            </c:rich>
          </c:tx>
          <c:layout>
            <c:manualLayout>
              <c:xMode val="edge"/>
              <c:yMode val="edge"/>
              <c:x val="1.1375431653597863E-2"/>
              <c:y val="0.33559323855849077"/>
            </c:manualLayout>
          </c:layout>
          <c:overlay val="0"/>
        </c:title>
        <c:numFmt formatCode="0.00_ " sourceLinked="0"/>
        <c:majorTickMark val="out"/>
        <c:minorTickMark val="none"/>
        <c:tickLblPos val="nextTo"/>
        <c:txPr>
          <a:bodyPr rot="0" vert="horz"/>
          <a:lstStyle/>
          <a:p>
            <a:pPr>
              <a:defRPr b="1"/>
            </a:pPr>
            <a:endParaRPr lang="en-US"/>
          </a:p>
        </c:txPr>
        <c:crossAx val="114218496"/>
        <c:crosses val="autoZero"/>
        <c:crossBetween val="midCat"/>
      </c:valAx>
      <c:spPr>
        <a:noFill/>
        <a:ln w="25400">
          <a:noFill/>
        </a:ln>
      </c:spPr>
    </c:plotArea>
    <c:plotVisOnly val="1"/>
    <c:dispBlanksAs val="gap"/>
    <c:showDLblsOverMax val="0"/>
  </c:chart>
  <c:spPr>
    <a:noFill/>
    <a:ln w="9525">
      <a:noFill/>
    </a:ln>
  </c:spPr>
  <c:txPr>
    <a:bodyPr/>
    <a:lstStyle/>
    <a:p>
      <a:pPr>
        <a:defRPr sz="1200" b="0" i="0" u="none" strike="noStrike" baseline="0">
          <a:solidFill>
            <a:srgbClr val="000000"/>
          </a:solidFill>
          <a:latin typeface="新細明體"/>
          <a:ea typeface="新細明體"/>
          <a:cs typeface="新細明體"/>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82316442605998"/>
          <c:y val="4.7457627118648246E-2"/>
          <c:w val="0.81168592243726534"/>
          <c:h val="0.78272697141526248"/>
        </c:manualLayout>
      </c:layout>
      <c:scatterChart>
        <c:scatterStyle val="smoothMarker"/>
        <c:varyColors val="0"/>
        <c:ser>
          <c:idx val="0"/>
          <c:order val="0"/>
          <c:tx>
            <c:v>mean</c:v>
          </c:tx>
          <c:spPr>
            <a:ln w="12700">
              <a:solidFill>
                <a:srgbClr val="000000"/>
              </a:solidFill>
              <a:prstDash val="solid"/>
            </a:ln>
          </c:spPr>
          <c:marker>
            <c:symbol val="diamond"/>
            <c:size val="5"/>
            <c:spPr>
              <a:solidFill>
                <a:srgbClr val="000000"/>
              </a:solidFill>
              <a:ln>
                <a:solidFill>
                  <a:srgbClr val="000000"/>
                </a:solidFill>
                <a:prstDash val="solid"/>
              </a:ln>
            </c:spPr>
          </c:marker>
          <c:xVal>
            <c:numRef>
              <c:f>Data!$A$3:$A$21</c:f>
              <c:numCache>
                <c:formatCode>0.00_ </c:formatCode>
                <c:ptCount val="19"/>
                <c:pt idx="0">
                  <c:v>5.0000000000000093E-2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Data!$D$3:$D$21</c:f>
              <c:numCache>
                <c:formatCode>General</c:formatCode>
                <c:ptCount val="19"/>
                <c:pt idx="0">
                  <c:v>0.65812570000002613</c:v>
                </c:pt>
                <c:pt idx="1">
                  <c:v>0.70496305000000004</c:v>
                </c:pt>
                <c:pt idx="2">
                  <c:v>0.75265990000002725</c:v>
                </c:pt>
                <c:pt idx="3">
                  <c:v>0.777110650000023</c:v>
                </c:pt>
                <c:pt idx="4">
                  <c:v>0.79304525000002601</c:v>
                </c:pt>
                <c:pt idx="5">
                  <c:v>0.82773755000000004</c:v>
                </c:pt>
                <c:pt idx="6">
                  <c:v>0.82959315</c:v>
                </c:pt>
                <c:pt idx="7">
                  <c:v>0.84650910000000001</c:v>
                </c:pt>
                <c:pt idx="8">
                  <c:v>0.86391679999999949</c:v>
                </c:pt>
                <c:pt idx="9">
                  <c:v>0.87708765000001065</c:v>
                </c:pt>
                <c:pt idx="10">
                  <c:v>0.88908454999997699</c:v>
                </c:pt>
                <c:pt idx="11">
                  <c:v>0.92003119999999949</c:v>
                </c:pt>
                <c:pt idx="12">
                  <c:v>0.93550515000000001</c:v>
                </c:pt>
                <c:pt idx="13">
                  <c:v>0.96764370000000965</c:v>
                </c:pt>
                <c:pt idx="14">
                  <c:v>1.0162791499999999</c:v>
                </c:pt>
                <c:pt idx="15">
                  <c:v>1.0786465000000001</c:v>
                </c:pt>
                <c:pt idx="16">
                  <c:v>1.144828</c:v>
                </c:pt>
                <c:pt idx="17">
                  <c:v>1.3579429999999999</c:v>
                </c:pt>
                <c:pt idx="18">
                  <c:v>1.7144020000000006</c:v>
                </c:pt>
              </c:numCache>
            </c:numRef>
          </c:yVal>
          <c:smooth val="1"/>
          <c:extLst xmlns:c16r2="http://schemas.microsoft.com/office/drawing/2015/06/chart">
            <c:ext xmlns:c16="http://schemas.microsoft.com/office/drawing/2014/chart" uri="{C3380CC4-5D6E-409C-BE32-E72D297353CC}">
              <c16:uniqueId val="{00000000-3098-469A-8EF8-2727EBA6F910}"/>
            </c:ext>
          </c:extLst>
        </c:ser>
        <c:ser>
          <c:idx val="1"/>
          <c:order val="1"/>
          <c:tx>
            <c:v>right</c:v>
          </c:tx>
          <c:spPr>
            <a:ln w="12700">
              <a:solidFill>
                <a:srgbClr val="000000"/>
              </a:solidFill>
              <a:prstDash val="solid"/>
            </a:ln>
          </c:spPr>
          <c:marker>
            <c:symbol val="square"/>
            <c:size val="5"/>
            <c:spPr>
              <a:solidFill>
                <a:srgbClr val="000000"/>
              </a:solidFill>
              <a:ln>
                <a:solidFill>
                  <a:srgbClr val="000000"/>
                </a:solidFill>
                <a:prstDash val="solid"/>
              </a:ln>
            </c:spPr>
          </c:marker>
          <c:xVal>
            <c:numRef>
              <c:f>Data!$A$3:$A$21</c:f>
              <c:numCache>
                <c:formatCode>0.00_ </c:formatCode>
                <c:ptCount val="19"/>
                <c:pt idx="0">
                  <c:v>5.0000000000000093E-2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Data!$C$3:$C$21</c:f>
              <c:numCache>
                <c:formatCode>General</c:formatCode>
                <c:ptCount val="19"/>
                <c:pt idx="0">
                  <c:v>0.69568250000000031</c:v>
                </c:pt>
                <c:pt idx="1">
                  <c:v>0.73715030000000004</c:v>
                </c:pt>
                <c:pt idx="2">
                  <c:v>0.77784250000000565</c:v>
                </c:pt>
                <c:pt idx="3">
                  <c:v>0.79779259999999996</c:v>
                </c:pt>
                <c:pt idx="4">
                  <c:v>0.81725749999999997</c:v>
                </c:pt>
                <c:pt idx="5">
                  <c:v>0.85185180000002725</c:v>
                </c:pt>
                <c:pt idx="6">
                  <c:v>0.85355639999999156</c:v>
                </c:pt>
                <c:pt idx="7">
                  <c:v>0.86760040000002725</c:v>
                </c:pt>
                <c:pt idx="8">
                  <c:v>0.88524280000000033</c:v>
                </c:pt>
                <c:pt idx="9">
                  <c:v>0.89844890000000033</c:v>
                </c:pt>
                <c:pt idx="10">
                  <c:v>0.91687180000002333</c:v>
                </c:pt>
                <c:pt idx="11">
                  <c:v>0.94777890000000065</c:v>
                </c:pt>
                <c:pt idx="12">
                  <c:v>0.96483149999999995</c:v>
                </c:pt>
                <c:pt idx="13">
                  <c:v>1.009490999999956</c:v>
                </c:pt>
                <c:pt idx="14">
                  <c:v>1.0558349999999486</c:v>
                </c:pt>
                <c:pt idx="15">
                  <c:v>1.125135</c:v>
                </c:pt>
                <c:pt idx="16">
                  <c:v>1.188965</c:v>
                </c:pt>
                <c:pt idx="17">
                  <c:v>1.4201329999999999</c:v>
                </c:pt>
                <c:pt idx="18">
                  <c:v>1.812306</c:v>
                </c:pt>
              </c:numCache>
            </c:numRef>
          </c:yVal>
          <c:smooth val="1"/>
          <c:extLst xmlns:c16r2="http://schemas.microsoft.com/office/drawing/2015/06/chart">
            <c:ext xmlns:c16="http://schemas.microsoft.com/office/drawing/2014/chart" uri="{C3380CC4-5D6E-409C-BE32-E72D297353CC}">
              <c16:uniqueId val="{00000001-3098-469A-8EF8-2727EBA6F910}"/>
            </c:ext>
          </c:extLst>
        </c:ser>
        <c:ser>
          <c:idx val="2"/>
          <c:order val="2"/>
          <c:tx>
            <c:v>left</c:v>
          </c:tx>
          <c:spPr>
            <a:ln w="12700">
              <a:solidFill>
                <a:srgbClr val="000000"/>
              </a:solidFill>
              <a:prstDash val="solid"/>
            </a:ln>
          </c:spPr>
          <c:marker>
            <c:symbol val="triangle"/>
            <c:size val="5"/>
            <c:spPr>
              <a:solidFill>
                <a:srgbClr val="000000"/>
              </a:solidFill>
              <a:ln>
                <a:solidFill>
                  <a:srgbClr val="000000"/>
                </a:solidFill>
                <a:prstDash val="solid"/>
              </a:ln>
            </c:spPr>
          </c:marker>
          <c:xVal>
            <c:numRef>
              <c:f>Data!$A$3:$A$21</c:f>
              <c:numCache>
                <c:formatCode>0.00_ </c:formatCode>
                <c:ptCount val="19"/>
                <c:pt idx="0">
                  <c:v>5.0000000000000093E-2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Data!$B$3:$B$21</c:f>
              <c:numCache>
                <c:formatCode>General</c:formatCode>
                <c:ptCount val="19"/>
                <c:pt idx="0">
                  <c:v>0.62056889999999998</c:v>
                </c:pt>
                <c:pt idx="1">
                  <c:v>0.67277580000004744</c:v>
                </c:pt>
                <c:pt idx="2">
                  <c:v>0.72747729999999999</c:v>
                </c:pt>
                <c:pt idx="3">
                  <c:v>0.75642869999999995</c:v>
                </c:pt>
                <c:pt idx="4">
                  <c:v>0.76883299999999999</c:v>
                </c:pt>
                <c:pt idx="5">
                  <c:v>0.80362330000000004</c:v>
                </c:pt>
                <c:pt idx="6">
                  <c:v>0.80562990000002266</c:v>
                </c:pt>
                <c:pt idx="7">
                  <c:v>0.82541779999997755</c:v>
                </c:pt>
                <c:pt idx="8">
                  <c:v>0.84259079999999997</c:v>
                </c:pt>
                <c:pt idx="9">
                  <c:v>0.85572640000001265</c:v>
                </c:pt>
                <c:pt idx="10">
                  <c:v>0.86129730000000004</c:v>
                </c:pt>
                <c:pt idx="11">
                  <c:v>0.89228349999999956</c:v>
                </c:pt>
                <c:pt idx="12">
                  <c:v>0.90617879999999951</c:v>
                </c:pt>
                <c:pt idx="13">
                  <c:v>0.92579639999999996</c:v>
                </c:pt>
                <c:pt idx="14">
                  <c:v>0.97672330000000063</c:v>
                </c:pt>
                <c:pt idx="15">
                  <c:v>1.0321580000000001</c:v>
                </c:pt>
                <c:pt idx="16">
                  <c:v>1.1006909999999999</c:v>
                </c:pt>
                <c:pt idx="17">
                  <c:v>1.2957529999999999</c:v>
                </c:pt>
                <c:pt idx="18">
                  <c:v>1.616498</c:v>
                </c:pt>
              </c:numCache>
            </c:numRef>
          </c:yVal>
          <c:smooth val="1"/>
          <c:extLst xmlns:c16r2="http://schemas.microsoft.com/office/drawing/2015/06/chart">
            <c:ext xmlns:c16="http://schemas.microsoft.com/office/drawing/2014/chart" uri="{C3380CC4-5D6E-409C-BE32-E72D297353CC}">
              <c16:uniqueId val="{00000002-3098-469A-8EF8-2727EBA6F910}"/>
            </c:ext>
          </c:extLst>
        </c:ser>
        <c:ser>
          <c:idx val="3"/>
          <c:order val="3"/>
          <c:tx>
            <c:v>OLS</c:v>
          </c:tx>
          <c:spPr>
            <a:ln w="38100">
              <a:solidFill>
                <a:srgbClr val="FF0000"/>
              </a:solidFill>
              <a:prstDash val="sysDash"/>
            </a:ln>
          </c:spPr>
          <c:marker>
            <c:symbol val="x"/>
            <c:size val="3"/>
            <c:spPr>
              <a:solidFill>
                <a:srgbClr val="FF0000"/>
              </a:solidFill>
              <a:ln>
                <a:solidFill>
                  <a:srgbClr val="FF0000"/>
                </a:solidFill>
                <a:prstDash val="solid"/>
              </a:ln>
            </c:spPr>
          </c:marker>
          <c:xVal>
            <c:numRef>
              <c:f>Data!$A$3:$A$21</c:f>
              <c:numCache>
                <c:formatCode>0.00_ </c:formatCode>
                <c:ptCount val="19"/>
                <c:pt idx="0">
                  <c:v>5.0000000000000093E-2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Data!$E$3:$E$21</c:f>
              <c:numCache>
                <c:formatCode>General</c:formatCode>
                <c:ptCount val="19"/>
                <c:pt idx="0">
                  <c:v>1.1117299999999526</c:v>
                </c:pt>
                <c:pt idx="1">
                  <c:v>1.1117299999999526</c:v>
                </c:pt>
                <c:pt idx="2">
                  <c:v>1.1117299999999526</c:v>
                </c:pt>
                <c:pt idx="3">
                  <c:v>1.1117299999999526</c:v>
                </c:pt>
                <c:pt idx="4">
                  <c:v>1.1117299999999526</c:v>
                </c:pt>
                <c:pt idx="5">
                  <c:v>1.1117299999999526</c:v>
                </c:pt>
                <c:pt idx="6">
                  <c:v>1.1117299999999526</c:v>
                </c:pt>
                <c:pt idx="7">
                  <c:v>1.1117299999999526</c:v>
                </c:pt>
                <c:pt idx="8">
                  <c:v>1.1117299999999526</c:v>
                </c:pt>
                <c:pt idx="9">
                  <c:v>1.1117299999999526</c:v>
                </c:pt>
                <c:pt idx="10">
                  <c:v>1.1117299999999526</c:v>
                </c:pt>
                <c:pt idx="11">
                  <c:v>1.1117299999999526</c:v>
                </c:pt>
                <c:pt idx="12">
                  <c:v>1.1117299999999526</c:v>
                </c:pt>
                <c:pt idx="13">
                  <c:v>1.1117299999999526</c:v>
                </c:pt>
                <c:pt idx="14">
                  <c:v>1.1117299999999526</c:v>
                </c:pt>
                <c:pt idx="15">
                  <c:v>1.1117299999999526</c:v>
                </c:pt>
                <c:pt idx="16">
                  <c:v>1.1117299999999526</c:v>
                </c:pt>
                <c:pt idx="17">
                  <c:v>1.1117299999999526</c:v>
                </c:pt>
                <c:pt idx="18">
                  <c:v>1.1117299999999526</c:v>
                </c:pt>
              </c:numCache>
            </c:numRef>
          </c:yVal>
          <c:smooth val="1"/>
          <c:extLst xmlns:c16r2="http://schemas.microsoft.com/office/drawing/2015/06/chart">
            <c:ext xmlns:c16="http://schemas.microsoft.com/office/drawing/2014/chart" uri="{C3380CC4-5D6E-409C-BE32-E72D297353CC}">
              <c16:uniqueId val="{00000003-3098-469A-8EF8-2727EBA6F910}"/>
            </c:ext>
          </c:extLst>
        </c:ser>
        <c:ser>
          <c:idx val="4"/>
          <c:order val="4"/>
          <c:tx>
            <c:v>up</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5.0000000000000093E-2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Data!$G$3:$G$21</c:f>
              <c:numCache>
                <c:formatCode>General</c:formatCode>
                <c:ptCount val="19"/>
                <c:pt idx="0">
                  <c:v>1.1575009999999999</c:v>
                </c:pt>
                <c:pt idx="1">
                  <c:v>1.1575009999999999</c:v>
                </c:pt>
                <c:pt idx="2">
                  <c:v>1.1575009999999999</c:v>
                </c:pt>
                <c:pt idx="3">
                  <c:v>1.1575009999999999</c:v>
                </c:pt>
                <c:pt idx="4">
                  <c:v>1.1575009999999999</c:v>
                </c:pt>
                <c:pt idx="5">
                  <c:v>1.1575009999999999</c:v>
                </c:pt>
                <c:pt idx="6">
                  <c:v>1.1575009999999999</c:v>
                </c:pt>
                <c:pt idx="7">
                  <c:v>1.1575009999999999</c:v>
                </c:pt>
                <c:pt idx="8">
                  <c:v>1.1575009999999999</c:v>
                </c:pt>
                <c:pt idx="9">
                  <c:v>1.1575009999999999</c:v>
                </c:pt>
                <c:pt idx="10">
                  <c:v>1.1575009999999999</c:v>
                </c:pt>
                <c:pt idx="11">
                  <c:v>1.1575009999999999</c:v>
                </c:pt>
                <c:pt idx="12">
                  <c:v>1.1575009999999999</c:v>
                </c:pt>
                <c:pt idx="13">
                  <c:v>1.1575009999999999</c:v>
                </c:pt>
                <c:pt idx="14">
                  <c:v>1.1575009999999999</c:v>
                </c:pt>
                <c:pt idx="15">
                  <c:v>1.1575009999999999</c:v>
                </c:pt>
                <c:pt idx="16">
                  <c:v>1.1575009999999999</c:v>
                </c:pt>
                <c:pt idx="17">
                  <c:v>1.1575009999999999</c:v>
                </c:pt>
                <c:pt idx="18">
                  <c:v>1.1575009999999999</c:v>
                </c:pt>
              </c:numCache>
            </c:numRef>
          </c:yVal>
          <c:smooth val="1"/>
          <c:extLst xmlns:c16r2="http://schemas.microsoft.com/office/drawing/2015/06/chart">
            <c:ext xmlns:c16="http://schemas.microsoft.com/office/drawing/2014/chart" uri="{C3380CC4-5D6E-409C-BE32-E72D297353CC}">
              <c16:uniqueId val="{00000004-3098-469A-8EF8-2727EBA6F910}"/>
            </c:ext>
          </c:extLst>
        </c:ser>
        <c:ser>
          <c:idx val="5"/>
          <c:order val="5"/>
          <c:tx>
            <c:v>low</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5.0000000000000093E-2</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Data!$F$3:$F$21</c:f>
              <c:numCache>
                <c:formatCode>General</c:formatCode>
                <c:ptCount val="19"/>
                <c:pt idx="0">
                  <c:v>1.0659589999999999</c:v>
                </c:pt>
                <c:pt idx="1">
                  <c:v>1.0659589999999999</c:v>
                </c:pt>
                <c:pt idx="2">
                  <c:v>1.0659589999999999</c:v>
                </c:pt>
                <c:pt idx="3">
                  <c:v>1.0659589999999999</c:v>
                </c:pt>
                <c:pt idx="4">
                  <c:v>1.0659589999999999</c:v>
                </c:pt>
                <c:pt idx="5">
                  <c:v>1.0659589999999999</c:v>
                </c:pt>
                <c:pt idx="6">
                  <c:v>1.0659589999999999</c:v>
                </c:pt>
                <c:pt idx="7">
                  <c:v>1.0659589999999999</c:v>
                </c:pt>
                <c:pt idx="8">
                  <c:v>1.0659589999999999</c:v>
                </c:pt>
                <c:pt idx="9">
                  <c:v>1.0659589999999999</c:v>
                </c:pt>
                <c:pt idx="10">
                  <c:v>1.0659589999999999</c:v>
                </c:pt>
                <c:pt idx="11">
                  <c:v>1.0659589999999999</c:v>
                </c:pt>
                <c:pt idx="12">
                  <c:v>1.0659589999999999</c:v>
                </c:pt>
                <c:pt idx="13">
                  <c:v>1.0659589999999999</c:v>
                </c:pt>
                <c:pt idx="14">
                  <c:v>1.0659589999999999</c:v>
                </c:pt>
                <c:pt idx="15">
                  <c:v>1.0659589999999999</c:v>
                </c:pt>
                <c:pt idx="16">
                  <c:v>1.0659589999999999</c:v>
                </c:pt>
                <c:pt idx="17">
                  <c:v>1.0659589999999999</c:v>
                </c:pt>
                <c:pt idx="18">
                  <c:v>1.0659589999999999</c:v>
                </c:pt>
              </c:numCache>
            </c:numRef>
          </c:yVal>
          <c:smooth val="1"/>
          <c:extLst xmlns:c16r2="http://schemas.microsoft.com/office/drawing/2015/06/chart">
            <c:ext xmlns:c16="http://schemas.microsoft.com/office/drawing/2014/chart" uri="{C3380CC4-5D6E-409C-BE32-E72D297353CC}">
              <c16:uniqueId val="{00000005-3098-469A-8EF8-2727EBA6F910}"/>
            </c:ext>
          </c:extLst>
        </c:ser>
        <c:dLbls>
          <c:showLegendKey val="0"/>
          <c:showVal val="0"/>
          <c:showCatName val="0"/>
          <c:showSerName val="0"/>
          <c:showPercent val="0"/>
          <c:showBubbleSize val="0"/>
        </c:dLbls>
        <c:axId val="133379584"/>
        <c:axId val="133382144"/>
      </c:scatterChart>
      <c:valAx>
        <c:axId val="133379584"/>
        <c:scaling>
          <c:orientation val="minMax"/>
        </c:scaling>
        <c:delete val="0"/>
        <c:axPos val="b"/>
        <c:title>
          <c:tx>
            <c:rich>
              <a:bodyPr/>
              <a:lstStyle/>
              <a:p>
                <a:pPr>
                  <a:defRPr b="1"/>
                </a:pPr>
                <a:r>
                  <a:rPr lang="en-US" b="1"/>
                  <a:t>Quantile levels</a:t>
                </a:r>
              </a:p>
            </c:rich>
          </c:tx>
          <c:layout>
            <c:manualLayout>
              <c:xMode val="edge"/>
              <c:yMode val="edge"/>
              <c:x val="0.47259564517052194"/>
              <c:y val="0.90847455501509411"/>
            </c:manualLayout>
          </c:layout>
          <c:overlay val="0"/>
        </c:title>
        <c:numFmt formatCode="0.00_ " sourceLinked="1"/>
        <c:majorTickMark val="in"/>
        <c:minorTickMark val="none"/>
        <c:tickLblPos val="nextTo"/>
        <c:txPr>
          <a:bodyPr rot="0" vert="horz"/>
          <a:lstStyle/>
          <a:p>
            <a:pPr>
              <a:defRPr sz="1200" b="1" i="0" u="none" strike="noStrike" baseline="0">
                <a:solidFill>
                  <a:srgbClr val="000000"/>
                </a:solidFill>
                <a:latin typeface="新細明體"/>
                <a:ea typeface="新細明體"/>
                <a:cs typeface="新細明體"/>
              </a:defRPr>
            </a:pPr>
            <a:endParaRPr lang="en-US"/>
          </a:p>
        </c:txPr>
        <c:crossAx val="133382144"/>
        <c:crosses val="autoZero"/>
        <c:crossBetween val="midCat"/>
      </c:valAx>
      <c:valAx>
        <c:axId val="133382144"/>
        <c:scaling>
          <c:orientation val="minMax"/>
        </c:scaling>
        <c:delete val="0"/>
        <c:axPos val="l"/>
        <c:title>
          <c:tx>
            <c:rich>
              <a:bodyPr/>
              <a:lstStyle/>
              <a:p>
                <a:pPr>
                  <a:defRPr b="1"/>
                </a:pPr>
                <a:r>
                  <a:rPr lang="en-US" b="1"/>
                  <a:t>Estimates</a:t>
                </a:r>
              </a:p>
            </c:rich>
          </c:tx>
          <c:layout>
            <c:manualLayout>
              <c:xMode val="edge"/>
              <c:yMode val="edge"/>
              <c:x val="1.1375431653597863E-2"/>
              <c:y val="0.33559323855849077"/>
            </c:manualLayout>
          </c:layout>
          <c:overlay val="0"/>
        </c:title>
        <c:numFmt formatCode="0.00_ " sourceLinked="0"/>
        <c:majorTickMark val="out"/>
        <c:minorTickMark val="none"/>
        <c:tickLblPos val="nextTo"/>
        <c:txPr>
          <a:bodyPr rot="0" vert="horz"/>
          <a:lstStyle/>
          <a:p>
            <a:pPr>
              <a:defRPr b="1"/>
            </a:pPr>
            <a:endParaRPr lang="en-US"/>
          </a:p>
        </c:txPr>
        <c:crossAx val="133379584"/>
        <c:crosses val="autoZero"/>
        <c:crossBetween val="midCat"/>
      </c:valAx>
      <c:spPr>
        <a:noFill/>
        <a:ln w="25400">
          <a:noFill/>
        </a:ln>
      </c:spPr>
    </c:plotArea>
    <c:plotVisOnly val="1"/>
    <c:dispBlanksAs val="gap"/>
    <c:showDLblsOverMax val="0"/>
  </c:chart>
  <c:spPr>
    <a:noFill/>
    <a:ln w="9525">
      <a:noFill/>
    </a:ln>
  </c:spPr>
  <c:txPr>
    <a:bodyPr/>
    <a:lstStyle/>
    <a:p>
      <a:pPr>
        <a:defRPr sz="1200" b="0" i="0" u="none" strike="noStrike" baseline="0">
          <a:solidFill>
            <a:srgbClr val="000000"/>
          </a:solidFill>
          <a:latin typeface="新細明體"/>
          <a:ea typeface="新細明體"/>
          <a:cs typeface="新細明體"/>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82316442605998"/>
          <c:y val="4.7457627118648218E-2"/>
          <c:w val="0.81168592243726534"/>
          <c:h val="0.78272697141526248"/>
        </c:manualLayout>
      </c:layout>
      <c:scatterChart>
        <c:scatterStyle val="smoothMarker"/>
        <c:varyColors val="0"/>
        <c:ser>
          <c:idx val="0"/>
          <c:order val="0"/>
          <c:tx>
            <c:v>mean</c:v>
          </c:tx>
          <c:spPr>
            <a:ln w="12700">
              <a:solidFill>
                <a:srgbClr val="000000"/>
              </a:solidFill>
              <a:prstDash val="solid"/>
            </a:ln>
          </c:spPr>
          <c:marker>
            <c:symbol val="diamond"/>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Data!$D$3:$D$21</c:f>
              <c:numCache>
                <c:formatCode>General</c:formatCode>
                <c:ptCount val="19"/>
                <c:pt idx="0">
                  <c:v>0.10725190000000002</c:v>
                </c:pt>
                <c:pt idx="1">
                  <c:v>0.11989175000000279</c:v>
                </c:pt>
                <c:pt idx="2">
                  <c:v>0.11940745</c:v>
                </c:pt>
                <c:pt idx="3">
                  <c:v>0.12601575000000001</c:v>
                </c:pt>
                <c:pt idx="4">
                  <c:v>0.13014795000000001</c:v>
                </c:pt>
                <c:pt idx="5">
                  <c:v>0.13396845000000773</c:v>
                </c:pt>
                <c:pt idx="6">
                  <c:v>0.13912780000000002</c:v>
                </c:pt>
                <c:pt idx="7">
                  <c:v>0.14413144999999999</c:v>
                </c:pt>
                <c:pt idx="8">
                  <c:v>0.14783525000000144</c:v>
                </c:pt>
                <c:pt idx="9">
                  <c:v>0.15354675000000642</c:v>
                </c:pt>
                <c:pt idx="10">
                  <c:v>0.15944410000001058</c:v>
                </c:pt>
                <c:pt idx="11">
                  <c:v>0.16760259999999988</c:v>
                </c:pt>
                <c:pt idx="12">
                  <c:v>0.17566759999999998</c:v>
                </c:pt>
                <c:pt idx="13">
                  <c:v>0.18265830000000041</c:v>
                </c:pt>
                <c:pt idx="14">
                  <c:v>0.19433385</c:v>
                </c:pt>
                <c:pt idx="15">
                  <c:v>0.20887785</c:v>
                </c:pt>
                <c:pt idx="16">
                  <c:v>0.22441654999999999</c:v>
                </c:pt>
                <c:pt idx="17">
                  <c:v>0.25509134999999999</c:v>
                </c:pt>
                <c:pt idx="18">
                  <c:v>0.33992540000001764</c:v>
                </c:pt>
              </c:numCache>
            </c:numRef>
          </c:yVal>
          <c:smooth val="1"/>
          <c:extLst xmlns:c16r2="http://schemas.microsoft.com/office/drawing/2015/06/chart">
            <c:ext xmlns:c16="http://schemas.microsoft.com/office/drawing/2014/chart" uri="{C3380CC4-5D6E-409C-BE32-E72D297353CC}">
              <c16:uniqueId val="{00000000-7D4C-4E81-BC40-F7729E66BE8C}"/>
            </c:ext>
          </c:extLst>
        </c:ser>
        <c:ser>
          <c:idx val="1"/>
          <c:order val="1"/>
          <c:tx>
            <c:v>right</c:v>
          </c:tx>
          <c:spPr>
            <a:ln w="12700">
              <a:solidFill>
                <a:srgbClr val="000000"/>
              </a:solidFill>
              <a:prstDash val="solid"/>
            </a:ln>
          </c:spPr>
          <c:marker>
            <c:symbol val="square"/>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Data!$C$3:$C$21</c:f>
              <c:numCache>
                <c:formatCode>General</c:formatCode>
                <c:ptCount val="19"/>
                <c:pt idx="0">
                  <c:v>0.11736729999999998</c:v>
                </c:pt>
                <c:pt idx="1">
                  <c:v>0.12989890000000001</c:v>
                </c:pt>
                <c:pt idx="2">
                  <c:v>0.12775059999999988</c:v>
                </c:pt>
                <c:pt idx="3">
                  <c:v>0.13375380000000001</c:v>
                </c:pt>
                <c:pt idx="4">
                  <c:v>0.14010359999999997</c:v>
                </c:pt>
                <c:pt idx="5">
                  <c:v>0.14205380000000001</c:v>
                </c:pt>
                <c:pt idx="6">
                  <c:v>0.14876880000000603</c:v>
                </c:pt>
                <c:pt idx="7">
                  <c:v>0.15534270000000044</c:v>
                </c:pt>
                <c:pt idx="8">
                  <c:v>0.16056119999999999</c:v>
                </c:pt>
                <c:pt idx="9">
                  <c:v>0.164303</c:v>
                </c:pt>
                <c:pt idx="10">
                  <c:v>0.1718269</c:v>
                </c:pt>
                <c:pt idx="11">
                  <c:v>0.18054370000000144</c:v>
                </c:pt>
                <c:pt idx="12">
                  <c:v>0.18766369999999999</c:v>
                </c:pt>
                <c:pt idx="13">
                  <c:v>0.19374010000000041</c:v>
                </c:pt>
                <c:pt idx="14">
                  <c:v>0.20861820000000394</c:v>
                </c:pt>
                <c:pt idx="15">
                  <c:v>0.22521140000000595</c:v>
                </c:pt>
                <c:pt idx="16">
                  <c:v>0.24826810000000818</c:v>
                </c:pt>
                <c:pt idx="17">
                  <c:v>0.28240130000000002</c:v>
                </c:pt>
                <c:pt idx="18">
                  <c:v>0.38658450000001926</c:v>
                </c:pt>
              </c:numCache>
            </c:numRef>
          </c:yVal>
          <c:smooth val="1"/>
          <c:extLst xmlns:c16r2="http://schemas.microsoft.com/office/drawing/2015/06/chart">
            <c:ext xmlns:c16="http://schemas.microsoft.com/office/drawing/2014/chart" uri="{C3380CC4-5D6E-409C-BE32-E72D297353CC}">
              <c16:uniqueId val="{00000001-7D4C-4E81-BC40-F7729E66BE8C}"/>
            </c:ext>
          </c:extLst>
        </c:ser>
        <c:ser>
          <c:idx val="2"/>
          <c:order val="2"/>
          <c:tx>
            <c:v>left</c:v>
          </c:tx>
          <c:spPr>
            <a:ln w="12700">
              <a:solidFill>
                <a:srgbClr val="000000"/>
              </a:solidFill>
              <a:prstDash val="solid"/>
            </a:ln>
          </c:spPr>
          <c:marker>
            <c:symbol val="triangle"/>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Data!$B$3:$B$21</c:f>
              <c:numCache>
                <c:formatCode>General</c:formatCode>
                <c:ptCount val="19"/>
                <c:pt idx="0">
                  <c:v>9.7136500000000001E-2</c:v>
                </c:pt>
                <c:pt idx="1">
                  <c:v>0.10988460000000012</c:v>
                </c:pt>
                <c:pt idx="2">
                  <c:v>0.1110643</c:v>
                </c:pt>
                <c:pt idx="3">
                  <c:v>0.11827770000000012</c:v>
                </c:pt>
                <c:pt idx="4">
                  <c:v>0.12019230000000022</c:v>
                </c:pt>
                <c:pt idx="5">
                  <c:v>0.1258831</c:v>
                </c:pt>
                <c:pt idx="6">
                  <c:v>0.12948680000000001</c:v>
                </c:pt>
                <c:pt idx="7">
                  <c:v>0.13292019999999999</c:v>
                </c:pt>
                <c:pt idx="8">
                  <c:v>0.13510929999999999</c:v>
                </c:pt>
                <c:pt idx="9">
                  <c:v>0.14279050000000001</c:v>
                </c:pt>
                <c:pt idx="10">
                  <c:v>0.14706130000000592</c:v>
                </c:pt>
                <c:pt idx="11">
                  <c:v>0.15466150000000001</c:v>
                </c:pt>
                <c:pt idx="12">
                  <c:v>0.16367149999999997</c:v>
                </c:pt>
                <c:pt idx="13">
                  <c:v>0.17157649999999999</c:v>
                </c:pt>
                <c:pt idx="14">
                  <c:v>0.18004950000000094</c:v>
                </c:pt>
                <c:pt idx="15">
                  <c:v>0.19254430000000144</c:v>
                </c:pt>
                <c:pt idx="16">
                  <c:v>0.20056499999999999</c:v>
                </c:pt>
                <c:pt idx="17">
                  <c:v>0.22778139999999999</c:v>
                </c:pt>
                <c:pt idx="18">
                  <c:v>0.29326630000000031</c:v>
                </c:pt>
              </c:numCache>
            </c:numRef>
          </c:yVal>
          <c:smooth val="1"/>
          <c:extLst xmlns:c16r2="http://schemas.microsoft.com/office/drawing/2015/06/chart">
            <c:ext xmlns:c16="http://schemas.microsoft.com/office/drawing/2014/chart" uri="{C3380CC4-5D6E-409C-BE32-E72D297353CC}">
              <c16:uniqueId val="{00000002-7D4C-4E81-BC40-F7729E66BE8C}"/>
            </c:ext>
          </c:extLst>
        </c:ser>
        <c:ser>
          <c:idx val="3"/>
          <c:order val="3"/>
          <c:tx>
            <c:v>OLS</c:v>
          </c:tx>
          <c:spPr>
            <a:ln w="38100">
              <a:solidFill>
                <a:srgbClr val="FF0000"/>
              </a:solidFill>
              <a:prstDash val="sysDash"/>
            </a:ln>
          </c:spPr>
          <c:marker>
            <c:symbol val="x"/>
            <c:size val="3"/>
            <c:spPr>
              <a:solidFill>
                <a:srgbClr val="FF0000"/>
              </a:solid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Data!$E$3:$E$21</c:f>
              <c:numCache>
                <c:formatCode>General</c:formatCode>
                <c:ptCount val="19"/>
                <c:pt idx="0">
                  <c:v>0.22728415000000021</c:v>
                </c:pt>
                <c:pt idx="1">
                  <c:v>0.22728415000000021</c:v>
                </c:pt>
                <c:pt idx="2">
                  <c:v>0.22728415000000021</c:v>
                </c:pt>
                <c:pt idx="3">
                  <c:v>0.22728415000000021</c:v>
                </c:pt>
                <c:pt idx="4">
                  <c:v>0.22728415000000021</c:v>
                </c:pt>
                <c:pt idx="5">
                  <c:v>0.22728415000000021</c:v>
                </c:pt>
                <c:pt idx="6">
                  <c:v>0.22728415000000021</c:v>
                </c:pt>
                <c:pt idx="7">
                  <c:v>0.22728415000000021</c:v>
                </c:pt>
                <c:pt idx="8">
                  <c:v>0.22728415000000021</c:v>
                </c:pt>
                <c:pt idx="9">
                  <c:v>0.22728415000000021</c:v>
                </c:pt>
                <c:pt idx="10">
                  <c:v>0.22728415000000021</c:v>
                </c:pt>
                <c:pt idx="11">
                  <c:v>0.22728415000000021</c:v>
                </c:pt>
                <c:pt idx="12">
                  <c:v>0.22728415000000021</c:v>
                </c:pt>
                <c:pt idx="13">
                  <c:v>0.22728415000000021</c:v>
                </c:pt>
                <c:pt idx="14">
                  <c:v>0.22728415000000021</c:v>
                </c:pt>
                <c:pt idx="15">
                  <c:v>0.22728415000000021</c:v>
                </c:pt>
                <c:pt idx="16">
                  <c:v>0.22728415000000021</c:v>
                </c:pt>
                <c:pt idx="17">
                  <c:v>0.22728415000000021</c:v>
                </c:pt>
                <c:pt idx="18">
                  <c:v>0.22728415000000021</c:v>
                </c:pt>
              </c:numCache>
            </c:numRef>
          </c:yVal>
          <c:smooth val="1"/>
          <c:extLst xmlns:c16r2="http://schemas.microsoft.com/office/drawing/2015/06/chart">
            <c:ext xmlns:c16="http://schemas.microsoft.com/office/drawing/2014/chart" uri="{C3380CC4-5D6E-409C-BE32-E72D297353CC}">
              <c16:uniqueId val="{00000003-7D4C-4E81-BC40-F7729E66BE8C}"/>
            </c:ext>
          </c:extLst>
        </c:ser>
        <c:ser>
          <c:idx val="4"/>
          <c:order val="4"/>
          <c:tx>
            <c:v>up</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Data!$G$3:$G$21</c:f>
              <c:numCache>
                <c:formatCode>General</c:formatCode>
                <c:ptCount val="19"/>
                <c:pt idx="0">
                  <c:v>0.24149580000000653</c:v>
                </c:pt>
                <c:pt idx="1">
                  <c:v>0.24149580000000653</c:v>
                </c:pt>
                <c:pt idx="2">
                  <c:v>0.24149580000000653</c:v>
                </c:pt>
                <c:pt idx="3">
                  <c:v>0.24149580000000653</c:v>
                </c:pt>
                <c:pt idx="4">
                  <c:v>0.24149580000000653</c:v>
                </c:pt>
                <c:pt idx="5">
                  <c:v>0.24149580000000653</c:v>
                </c:pt>
                <c:pt idx="6">
                  <c:v>0.24149580000000653</c:v>
                </c:pt>
                <c:pt idx="7">
                  <c:v>0.24149580000000653</c:v>
                </c:pt>
                <c:pt idx="8">
                  <c:v>0.24149580000000653</c:v>
                </c:pt>
                <c:pt idx="9">
                  <c:v>0.24149580000000653</c:v>
                </c:pt>
                <c:pt idx="10">
                  <c:v>0.24149580000000653</c:v>
                </c:pt>
                <c:pt idx="11">
                  <c:v>0.24149580000000653</c:v>
                </c:pt>
                <c:pt idx="12">
                  <c:v>0.24149580000000653</c:v>
                </c:pt>
                <c:pt idx="13">
                  <c:v>0.24149580000000653</c:v>
                </c:pt>
                <c:pt idx="14">
                  <c:v>0.24149580000000653</c:v>
                </c:pt>
                <c:pt idx="15">
                  <c:v>0.24149580000000653</c:v>
                </c:pt>
                <c:pt idx="16">
                  <c:v>0.24149580000000653</c:v>
                </c:pt>
                <c:pt idx="17">
                  <c:v>0.24149580000000653</c:v>
                </c:pt>
                <c:pt idx="18">
                  <c:v>0.24149580000000653</c:v>
                </c:pt>
              </c:numCache>
            </c:numRef>
          </c:yVal>
          <c:smooth val="1"/>
          <c:extLst xmlns:c16r2="http://schemas.microsoft.com/office/drawing/2015/06/chart">
            <c:ext xmlns:c16="http://schemas.microsoft.com/office/drawing/2014/chart" uri="{C3380CC4-5D6E-409C-BE32-E72D297353CC}">
              <c16:uniqueId val="{00000004-7D4C-4E81-BC40-F7729E66BE8C}"/>
            </c:ext>
          </c:extLst>
        </c:ser>
        <c:ser>
          <c:idx val="5"/>
          <c:order val="5"/>
          <c:tx>
            <c:v>low</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Data!$F$3:$F$21</c:f>
              <c:numCache>
                <c:formatCode>General</c:formatCode>
                <c:ptCount val="19"/>
                <c:pt idx="0">
                  <c:v>0.2130725</c:v>
                </c:pt>
                <c:pt idx="1">
                  <c:v>0.2130725</c:v>
                </c:pt>
                <c:pt idx="2">
                  <c:v>0.2130725</c:v>
                </c:pt>
                <c:pt idx="3">
                  <c:v>0.2130725</c:v>
                </c:pt>
                <c:pt idx="4">
                  <c:v>0.2130725</c:v>
                </c:pt>
                <c:pt idx="5">
                  <c:v>0.2130725</c:v>
                </c:pt>
                <c:pt idx="6">
                  <c:v>0.2130725</c:v>
                </c:pt>
                <c:pt idx="7">
                  <c:v>0.2130725</c:v>
                </c:pt>
                <c:pt idx="8">
                  <c:v>0.2130725</c:v>
                </c:pt>
                <c:pt idx="9">
                  <c:v>0.2130725</c:v>
                </c:pt>
                <c:pt idx="10">
                  <c:v>0.2130725</c:v>
                </c:pt>
                <c:pt idx="11">
                  <c:v>0.2130725</c:v>
                </c:pt>
                <c:pt idx="12">
                  <c:v>0.2130725</c:v>
                </c:pt>
                <c:pt idx="13">
                  <c:v>0.2130725</c:v>
                </c:pt>
                <c:pt idx="14">
                  <c:v>0.2130725</c:v>
                </c:pt>
                <c:pt idx="15">
                  <c:v>0.2130725</c:v>
                </c:pt>
                <c:pt idx="16">
                  <c:v>0.2130725</c:v>
                </c:pt>
                <c:pt idx="17">
                  <c:v>0.2130725</c:v>
                </c:pt>
                <c:pt idx="18">
                  <c:v>0.2130725</c:v>
                </c:pt>
              </c:numCache>
            </c:numRef>
          </c:yVal>
          <c:smooth val="1"/>
          <c:extLst xmlns:c16r2="http://schemas.microsoft.com/office/drawing/2015/06/chart">
            <c:ext xmlns:c16="http://schemas.microsoft.com/office/drawing/2014/chart" uri="{C3380CC4-5D6E-409C-BE32-E72D297353CC}">
              <c16:uniqueId val="{00000005-7D4C-4E81-BC40-F7729E66BE8C}"/>
            </c:ext>
          </c:extLst>
        </c:ser>
        <c:dLbls>
          <c:showLegendKey val="0"/>
          <c:showVal val="0"/>
          <c:showCatName val="0"/>
          <c:showSerName val="0"/>
          <c:showPercent val="0"/>
          <c:showBubbleSize val="0"/>
        </c:dLbls>
        <c:axId val="133412352"/>
        <c:axId val="133414912"/>
      </c:scatterChart>
      <c:valAx>
        <c:axId val="133412352"/>
        <c:scaling>
          <c:orientation val="minMax"/>
        </c:scaling>
        <c:delete val="0"/>
        <c:axPos val="b"/>
        <c:title>
          <c:tx>
            <c:rich>
              <a:bodyPr/>
              <a:lstStyle/>
              <a:p>
                <a:pPr>
                  <a:defRPr b="1"/>
                </a:pPr>
                <a:r>
                  <a:rPr lang="en-US" b="1"/>
                  <a:t>Quantile levels</a:t>
                </a:r>
              </a:p>
            </c:rich>
          </c:tx>
          <c:layout>
            <c:manualLayout>
              <c:xMode val="edge"/>
              <c:yMode val="edge"/>
              <c:x val="0.47259564517052194"/>
              <c:y val="0.90847455501509411"/>
            </c:manualLayout>
          </c:layout>
          <c:overlay val="0"/>
        </c:title>
        <c:numFmt formatCode="0.00_ " sourceLinked="1"/>
        <c:majorTickMark val="in"/>
        <c:minorTickMark val="none"/>
        <c:tickLblPos val="nextTo"/>
        <c:txPr>
          <a:bodyPr rot="0" vert="horz"/>
          <a:lstStyle/>
          <a:p>
            <a:pPr>
              <a:defRPr sz="1200" b="1" i="0" u="none" strike="noStrike" baseline="0">
                <a:solidFill>
                  <a:srgbClr val="000000"/>
                </a:solidFill>
                <a:latin typeface="新細明體"/>
                <a:ea typeface="新細明體"/>
                <a:cs typeface="新細明體"/>
              </a:defRPr>
            </a:pPr>
            <a:endParaRPr lang="en-US"/>
          </a:p>
        </c:txPr>
        <c:crossAx val="133414912"/>
        <c:crosses val="autoZero"/>
        <c:crossBetween val="midCat"/>
      </c:valAx>
      <c:valAx>
        <c:axId val="133414912"/>
        <c:scaling>
          <c:orientation val="minMax"/>
        </c:scaling>
        <c:delete val="0"/>
        <c:axPos val="l"/>
        <c:title>
          <c:tx>
            <c:rich>
              <a:bodyPr/>
              <a:lstStyle/>
              <a:p>
                <a:pPr>
                  <a:defRPr b="1"/>
                </a:pPr>
                <a:r>
                  <a:rPr lang="en-US" b="1"/>
                  <a:t>Estimates</a:t>
                </a:r>
              </a:p>
            </c:rich>
          </c:tx>
          <c:layout>
            <c:manualLayout>
              <c:xMode val="edge"/>
              <c:yMode val="edge"/>
              <c:x val="1.1375431653597863E-2"/>
              <c:y val="0.33559323855849077"/>
            </c:manualLayout>
          </c:layout>
          <c:overlay val="0"/>
        </c:title>
        <c:numFmt formatCode="0.00_ " sourceLinked="0"/>
        <c:majorTickMark val="out"/>
        <c:minorTickMark val="none"/>
        <c:tickLblPos val="nextTo"/>
        <c:txPr>
          <a:bodyPr rot="0" vert="horz"/>
          <a:lstStyle/>
          <a:p>
            <a:pPr>
              <a:defRPr b="1"/>
            </a:pPr>
            <a:endParaRPr lang="en-US"/>
          </a:p>
        </c:txPr>
        <c:crossAx val="133412352"/>
        <c:crosses val="autoZero"/>
        <c:crossBetween val="midCat"/>
      </c:valAx>
      <c:spPr>
        <a:noFill/>
        <a:ln w="25400">
          <a:noFill/>
        </a:ln>
      </c:spPr>
    </c:plotArea>
    <c:plotVisOnly val="1"/>
    <c:dispBlanksAs val="gap"/>
    <c:showDLblsOverMax val="0"/>
  </c:chart>
  <c:spPr>
    <a:noFill/>
    <a:ln w="9525">
      <a:noFill/>
    </a:ln>
  </c:spPr>
  <c:txPr>
    <a:bodyPr/>
    <a:lstStyle/>
    <a:p>
      <a:pPr>
        <a:defRPr sz="1200" b="0" i="0" u="none" strike="noStrike" baseline="0">
          <a:solidFill>
            <a:srgbClr val="000000"/>
          </a:solidFill>
          <a:latin typeface="新細明體"/>
          <a:ea typeface="新細明體"/>
          <a:cs typeface="新細明體"/>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82316442605998"/>
          <c:y val="4.7457627118648218E-2"/>
          <c:w val="0.81168592243726534"/>
          <c:h val="0.78272697141526248"/>
        </c:manualLayout>
      </c:layout>
      <c:scatterChart>
        <c:scatterStyle val="smoothMarker"/>
        <c:varyColors val="0"/>
        <c:ser>
          <c:idx val="0"/>
          <c:order val="0"/>
          <c:tx>
            <c:v>mean</c:v>
          </c:tx>
          <c:spPr>
            <a:ln w="12700">
              <a:solidFill>
                <a:srgbClr val="000000"/>
              </a:solidFill>
              <a:prstDash val="solid"/>
            </a:ln>
          </c:spPr>
          <c:marker>
            <c:symbol val="diamond"/>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Data!$D$3:$D$21</c:f>
              <c:numCache>
                <c:formatCode>General</c:formatCode>
                <c:ptCount val="19"/>
                <c:pt idx="0">
                  <c:v>-6.0978700000000004E-2</c:v>
                </c:pt>
                <c:pt idx="1">
                  <c:v>-7.75285E-2</c:v>
                </c:pt>
                <c:pt idx="2">
                  <c:v>-7.9789300000000021E-2</c:v>
                </c:pt>
                <c:pt idx="3">
                  <c:v>-8.2047650000000014E-2</c:v>
                </c:pt>
                <c:pt idx="4">
                  <c:v>-8.1749550000000004E-2</c:v>
                </c:pt>
                <c:pt idx="5">
                  <c:v>-8.303165000000004E-2</c:v>
                </c:pt>
                <c:pt idx="6">
                  <c:v>-8.3768750000000045E-2</c:v>
                </c:pt>
                <c:pt idx="7">
                  <c:v>-8.6701050000000002E-2</c:v>
                </c:pt>
                <c:pt idx="8">
                  <c:v>-8.7819850000000005E-2</c:v>
                </c:pt>
                <c:pt idx="9">
                  <c:v>-8.9376850000000008E-2</c:v>
                </c:pt>
                <c:pt idx="10">
                  <c:v>-9.3287350000000047E-2</c:v>
                </c:pt>
                <c:pt idx="11">
                  <c:v>-9.8803900000000028E-2</c:v>
                </c:pt>
                <c:pt idx="12">
                  <c:v>-0.10431515000000002</c:v>
                </c:pt>
                <c:pt idx="13">
                  <c:v>-0.10905060000000009</c:v>
                </c:pt>
                <c:pt idx="14">
                  <c:v>-0.11659245000000019</c:v>
                </c:pt>
                <c:pt idx="15">
                  <c:v>-0.12919385</c:v>
                </c:pt>
                <c:pt idx="16">
                  <c:v>-0.14210315000000001</c:v>
                </c:pt>
                <c:pt idx="17">
                  <c:v>-0.16665970000000002</c:v>
                </c:pt>
                <c:pt idx="18">
                  <c:v>-0.18464310000000494</c:v>
                </c:pt>
              </c:numCache>
            </c:numRef>
          </c:yVal>
          <c:smooth val="1"/>
          <c:extLst xmlns:c16r2="http://schemas.microsoft.com/office/drawing/2015/06/chart">
            <c:ext xmlns:c16="http://schemas.microsoft.com/office/drawing/2014/chart" uri="{C3380CC4-5D6E-409C-BE32-E72D297353CC}">
              <c16:uniqueId val="{00000000-27C9-4206-819D-4D63E180EFC4}"/>
            </c:ext>
          </c:extLst>
        </c:ser>
        <c:ser>
          <c:idx val="1"/>
          <c:order val="1"/>
          <c:tx>
            <c:v>right</c:v>
          </c:tx>
          <c:spPr>
            <a:ln w="12700">
              <a:solidFill>
                <a:srgbClr val="000000"/>
              </a:solidFill>
              <a:prstDash val="solid"/>
            </a:ln>
          </c:spPr>
          <c:marker>
            <c:symbol val="square"/>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Data!$C$3:$C$21</c:f>
              <c:numCache>
                <c:formatCode>General</c:formatCode>
                <c:ptCount val="19"/>
                <c:pt idx="0">
                  <c:v>-4.9931300000000012E-2</c:v>
                </c:pt>
                <c:pt idx="1">
                  <c:v>-6.8620399999999998E-2</c:v>
                </c:pt>
                <c:pt idx="2">
                  <c:v>-6.8494500000000014E-2</c:v>
                </c:pt>
                <c:pt idx="3">
                  <c:v>-7.3621699999999998E-2</c:v>
                </c:pt>
                <c:pt idx="4">
                  <c:v>-7.344340000000002E-2</c:v>
                </c:pt>
                <c:pt idx="5">
                  <c:v>-7.5536199999999998E-2</c:v>
                </c:pt>
                <c:pt idx="6">
                  <c:v>-7.4947100000000003E-2</c:v>
                </c:pt>
                <c:pt idx="7">
                  <c:v>-7.8576499999999994E-2</c:v>
                </c:pt>
                <c:pt idx="8">
                  <c:v>-7.7834500000000084E-2</c:v>
                </c:pt>
                <c:pt idx="9">
                  <c:v>-7.867200000000002E-2</c:v>
                </c:pt>
                <c:pt idx="10">
                  <c:v>-8.3241400000000021E-2</c:v>
                </c:pt>
                <c:pt idx="11">
                  <c:v>-8.8690500000001227E-2</c:v>
                </c:pt>
                <c:pt idx="12">
                  <c:v>-9.4653600000000046E-2</c:v>
                </c:pt>
                <c:pt idx="13">
                  <c:v>-9.8327900000000246E-2</c:v>
                </c:pt>
                <c:pt idx="14">
                  <c:v>-0.10499620000000444</c:v>
                </c:pt>
                <c:pt idx="15">
                  <c:v>-0.11777060000000029</c:v>
                </c:pt>
                <c:pt idx="16">
                  <c:v>-0.12821560000000001</c:v>
                </c:pt>
                <c:pt idx="17">
                  <c:v>-0.14140730000000706</c:v>
                </c:pt>
                <c:pt idx="18">
                  <c:v>-0.14430440000000044</c:v>
                </c:pt>
              </c:numCache>
            </c:numRef>
          </c:yVal>
          <c:smooth val="1"/>
          <c:extLst xmlns:c16r2="http://schemas.microsoft.com/office/drawing/2015/06/chart">
            <c:ext xmlns:c16="http://schemas.microsoft.com/office/drawing/2014/chart" uri="{C3380CC4-5D6E-409C-BE32-E72D297353CC}">
              <c16:uniqueId val="{00000001-27C9-4206-819D-4D63E180EFC4}"/>
            </c:ext>
          </c:extLst>
        </c:ser>
        <c:ser>
          <c:idx val="2"/>
          <c:order val="2"/>
          <c:tx>
            <c:v>left</c:v>
          </c:tx>
          <c:spPr>
            <a:ln w="12700">
              <a:solidFill>
                <a:srgbClr val="000000"/>
              </a:solidFill>
              <a:prstDash val="solid"/>
            </a:ln>
          </c:spPr>
          <c:marker>
            <c:symbol val="triangle"/>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Data!$B$3:$B$21</c:f>
              <c:numCache>
                <c:formatCode>General</c:formatCode>
                <c:ptCount val="19"/>
                <c:pt idx="0">
                  <c:v>-7.202610000000001E-2</c:v>
                </c:pt>
                <c:pt idx="1">
                  <c:v>-8.6436600000000002E-2</c:v>
                </c:pt>
                <c:pt idx="2">
                  <c:v>-9.1084100000000001E-2</c:v>
                </c:pt>
                <c:pt idx="3">
                  <c:v>-9.0473599999999987E-2</c:v>
                </c:pt>
                <c:pt idx="4">
                  <c:v>-9.0055700000000044E-2</c:v>
                </c:pt>
                <c:pt idx="5">
                  <c:v>-9.0527100000000568E-2</c:v>
                </c:pt>
                <c:pt idx="6">
                  <c:v>-9.2590400000000225E-2</c:v>
                </c:pt>
                <c:pt idx="7">
                  <c:v>-9.4825600000000745E-2</c:v>
                </c:pt>
                <c:pt idx="8">
                  <c:v>-9.7805200000000023E-2</c:v>
                </c:pt>
                <c:pt idx="9">
                  <c:v>-0.10008170000000002</c:v>
                </c:pt>
                <c:pt idx="10">
                  <c:v>-0.1033333</c:v>
                </c:pt>
                <c:pt idx="11">
                  <c:v>-0.10891729999999998</c:v>
                </c:pt>
                <c:pt idx="12">
                  <c:v>-0.11397670000000019</c:v>
                </c:pt>
                <c:pt idx="13">
                  <c:v>-0.11977330000000012</c:v>
                </c:pt>
                <c:pt idx="14">
                  <c:v>-0.12818869999999988</c:v>
                </c:pt>
                <c:pt idx="15">
                  <c:v>-0.14061709999999999</c:v>
                </c:pt>
                <c:pt idx="16">
                  <c:v>-0.15599070000000648</c:v>
                </c:pt>
                <c:pt idx="17">
                  <c:v>-0.19191210000000244</c:v>
                </c:pt>
                <c:pt idx="18">
                  <c:v>-0.22498180000000001</c:v>
                </c:pt>
              </c:numCache>
            </c:numRef>
          </c:yVal>
          <c:smooth val="1"/>
          <c:extLst xmlns:c16r2="http://schemas.microsoft.com/office/drawing/2015/06/chart">
            <c:ext xmlns:c16="http://schemas.microsoft.com/office/drawing/2014/chart" uri="{C3380CC4-5D6E-409C-BE32-E72D297353CC}">
              <c16:uniqueId val="{00000002-27C9-4206-819D-4D63E180EFC4}"/>
            </c:ext>
          </c:extLst>
        </c:ser>
        <c:ser>
          <c:idx val="3"/>
          <c:order val="3"/>
          <c:tx>
            <c:v>OLS</c:v>
          </c:tx>
          <c:spPr>
            <a:ln w="38100">
              <a:solidFill>
                <a:srgbClr val="FF0000"/>
              </a:solidFill>
              <a:prstDash val="sysDash"/>
            </a:ln>
          </c:spPr>
          <c:marker>
            <c:symbol val="x"/>
            <c:size val="3"/>
            <c:spPr>
              <a:solidFill>
                <a:srgbClr val="FF0000"/>
              </a:solid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Data!$E$3:$E$21</c:f>
              <c:numCache>
                <c:formatCode>General</c:formatCode>
                <c:ptCount val="19"/>
                <c:pt idx="0">
                  <c:v>-0.14308645000000444</c:v>
                </c:pt>
                <c:pt idx="1">
                  <c:v>-0.14308645000000444</c:v>
                </c:pt>
                <c:pt idx="2">
                  <c:v>-0.14308645000000444</c:v>
                </c:pt>
                <c:pt idx="3">
                  <c:v>-0.14308645000000444</c:v>
                </c:pt>
                <c:pt idx="4">
                  <c:v>-0.14308645000000444</c:v>
                </c:pt>
                <c:pt idx="5">
                  <c:v>-0.14308645000000444</c:v>
                </c:pt>
                <c:pt idx="6">
                  <c:v>-0.14308645000000444</c:v>
                </c:pt>
                <c:pt idx="7">
                  <c:v>-0.14308645000000444</c:v>
                </c:pt>
                <c:pt idx="8">
                  <c:v>-0.14308645000000444</c:v>
                </c:pt>
                <c:pt idx="9">
                  <c:v>-0.14308645000000444</c:v>
                </c:pt>
                <c:pt idx="10">
                  <c:v>-0.14308645000000444</c:v>
                </c:pt>
                <c:pt idx="11">
                  <c:v>-0.14308645000000444</c:v>
                </c:pt>
                <c:pt idx="12">
                  <c:v>-0.14308645000000444</c:v>
                </c:pt>
                <c:pt idx="13">
                  <c:v>-0.14308645000000444</c:v>
                </c:pt>
                <c:pt idx="14">
                  <c:v>-0.14308645000000444</c:v>
                </c:pt>
                <c:pt idx="15">
                  <c:v>-0.14308645000000444</c:v>
                </c:pt>
                <c:pt idx="16">
                  <c:v>-0.14308645000000444</c:v>
                </c:pt>
                <c:pt idx="17">
                  <c:v>-0.14308645000000444</c:v>
                </c:pt>
                <c:pt idx="18">
                  <c:v>-0.14308645000000444</c:v>
                </c:pt>
              </c:numCache>
            </c:numRef>
          </c:yVal>
          <c:smooth val="1"/>
          <c:extLst xmlns:c16r2="http://schemas.microsoft.com/office/drawing/2015/06/chart">
            <c:ext xmlns:c16="http://schemas.microsoft.com/office/drawing/2014/chart" uri="{C3380CC4-5D6E-409C-BE32-E72D297353CC}">
              <c16:uniqueId val="{00000003-27C9-4206-819D-4D63E180EFC4}"/>
            </c:ext>
          </c:extLst>
        </c:ser>
        <c:ser>
          <c:idx val="4"/>
          <c:order val="4"/>
          <c:tx>
            <c:v>up</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Data!$G$3:$G$21</c:f>
              <c:numCache>
                <c:formatCode>General</c:formatCode>
                <c:ptCount val="19"/>
                <c:pt idx="0">
                  <c:v>-0.12839539999999999</c:v>
                </c:pt>
                <c:pt idx="1">
                  <c:v>-0.12839539999999999</c:v>
                </c:pt>
                <c:pt idx="2">
                  <c:v>-0.12839539999999999</c:v>
                </c:pt>
                <c:pt idx="3">
                  <c:v>-0.12839539999999999</c:v>
                </c:pt>
                <c:pt idx="4">
                  <c:v>-0.12839539999999999</c:v>
                </c:pt>
                <c:pt idx="5">
                  <c:v>-0.12839539999999999</c:v>
                </c:pt>
                <c:pt idx="6">
                  <c:v>-0.12839539999999999</c:v>
                </c:pt>
                <c:pt idx="7">
                  <c:v>-0.12839539999999999</c:v>
                </c:pt>
                <c:pt idx="8">
                  <c:v>-0.12839539999999999</c:v>
                </c:pt>
                <c:pt idx="9">
                  <c:v>-0.12839539999999999</c:v>
                </c:pt>
                <c:pt idx="10">
                  <c:v>-0.12839539999999999</c:v>
                </c:pt>
                <c:pt idx="11">
                  <c:v>-0.12839539999999999</c:v>
                </c:pt>
                <c:pt idx="12">
                  <c:v>-0.12839539999999999</c:v>
                </c:pt>
                <c:pt idx="13">
                  <c:v>-0.12839539999999999</c:v>
                </c:pt>
                <c:pt idx="14">
                  <c:v>-0.12839539999999999</c:v>
                </c:pt>
                <c:pt idx="15">
                  <c:v>-0.12839539999999999</c:v>
                </c:pt>
                <c:pt idx="16">
                  <c:v>-0.12839539999999999</c:v>
                </c:pt>
                <c:pt idx="17">
                  <c:v>-0.12839539999999999</c:v>
                </c:pt>
                <c:pt idx="18">
                  <c:v>-0.12839539999999999</c:v>
                </c:pt>
              </c:numCache>
            </c:numRef>
          </c:yVal>
          <c:smooth val="1"/>
          <c:extLst xmlns:c16r2="http://schemas.microsoft.com/office/drawing/2015/06/chart">
            <c:ext xmlns:c16="http://schemas.microsoft.com/office/drawing/2014/chart" uri="{C3380CC4-5D6E-409C-BE32-E72D297353CC}">
              <c16:uniqueId val="{00000004-27C9-4206-819D-4D63E180EFC4}"/>
            </c:ext>
          </c:extLst>
        </c:ser>
        <c:ser>
          <c:idx val="5"/>
          <c:order val="5"/>
          <c:tx>
            <c:v>low</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0.650000000000024</c:v>
                </c:pt>
                <c:pt idx="13">
                  <c:v>0.70000000000000062</c:v>
                </c:pt>
                <c:pt idx="14">
                  <c:v>0.75000000000001465</c:v>
                </c:pt>
                <c:pt idx="15">
                  <c:v>0.8</c:v>
                </c:pt>
                <c:pt idx="16">
                  <c:v>0.85000000000000064</c:v>
                </c:pt>
                <c:pt idx="17">
                  <c:v>0.9</c:v>
                </c:pt>
                <c:pt idx="18">
                  <c:v>0.95000000000000062</c:v>
                </c:pt>
              </c:numCache>
            </c:numRef>
          </c:xVal>
          <c:yVal>
            <c:numRef>
              <c:f>Data!$F$3:$F$21</c:f>
              <c:numCache>
                <c:formatCode>General</c:formatCode>
                <c:ptCount val="19"/>
                <c:pt idx="0">
                  <c:v>-0.15777750000000001</c:v>
                </c:pt>
                <c:pt idx="1">
                  <c:v>-0.15777750000000001</c:v>
                </c:pt>
                <c:pt idx="2">
                  <c:v>-0.15777750000000001</c:v>
                </c:pt>
                <c:pt idx="3">
                  <c:v>-0.15777750000000001</c:v>
                </c:pt>
                <c:pt idx="4">
                  <c:v>-0.15777750000000001</c:v>
                </c:pt>
                <c:pt idx="5">
                  <c:v>-0.15777750000000001</c:v>
                </c:pt>
                <c:pt idx="6">
                  <c:v>-0.15777750000000001</c:v>
                </c:pt>
                <c:pt idx="7">
                  <c:v>-0.15777750000000001</c:v>
                </c:pt>
                <c:pt idx="8">
                  <c:v>-0.15777750000000001</c:v>
                </c:pt>
                <c:pt idx="9">
                  <c:v>-0.15777750000000001</c:v>
                </c:pt>
                <c:pt idx="10">
                  <c:v>-0.15777750000000001</c:v>
                </c:pt>
                <c:pt idx="11">
                  <c:v>-0.15777750000000001</c:v>
                </c:pt>
                <c:pt idx="12">
                  <c:v>-0.15777750000000001</c:v>
                </c:pt>
                <c:pt idx="13">
                  <c:v>-0.15777750000000001</c:v>
                </c:pt>
                <c:pt idx="14">
                  <c:v>-0.15777750000000001</c:v>
                </c:pt>
                <c:pt idx="15">
                  <c:v>-0.15777750000000001</c:v>
                </c:pt>
                <c:pt idx="16">
                  <c:v>-0.15777750000000001</c:v>
                </c:pt>
                <c:pt idx="17">
                  <c:v>-0.15777750000000001</c:v>
                </c:pt>
                <c:pt idx="18">
                  <c:v>-0.15777750000000001</c:v>
                </c:pt>
              </c:numCache>
            </c:numRef>
          </c:yVal>
          <c:smooth val="1"/>
          <c:extLst xmlns:c16r2="http://schemas.microsoft.com/office/drawing/2015/06/chart">
            <c:ext xmlns:c16="http://schemas.microsoft.com/office/drawing/2014/chart" uri="{C3380CC4-5D6E-409C-BE32-E72D297353CC}">
              <c16:uniqueId val="{00000005-27C9-4206-819D-4D63E180EFC4}"/>
            </c:ext>
          </c:extLst>
        </c:ser>
        <c:dLbls>
          <c:showLegendKey val="0"/>
          <c:showVal val="0"/>
          <c:showCatName val="0"/>
          <c:showSerName val="0"/>
          <c:showPercent val="0"/>
          <c:showBubbleSize val="0"/>
        </c:dLbls>
        <c:axId val="136803840"/>
        <c:axId val="136826880"/>
      </c:scatterChart>
      <c:valAx>
        <c:axId val="136803840"/>
        <c:scaling>
          <c:orientation val="minMax"/>
        </c:scaling>
        <c:delete val="0"/>
        <c:axPos val="b"/>
        <c:title>
          <c:tx>
            <c:rich>
              <a:bodyPr/>
              <a:lstStyle/>
              <a:p>
                <a:pPr>
                  <a:defRPr b="1"/>
                </a:pPr>
                <a:r>
                  <a:rPr lang="en-US" b="1"/>
                  <a:t>Quantile levels</a:t>
                </a:r>
              </a:p>
            </c:rich>
          </c:tx>
          <c:layout>
            <c:manualLayout>
              <c:xMode val="edge"/>
              <c:yMode val="edge"/>
              <c:x val="0.47740756892665492"/>
              <c:y val="0.67510865954589905"/>
            </c:manualLayout>
          </c:layout>
          <c:overlay val="0"/>
        </c:title>
        <c:numFmt formatCode="0.00_ " sourceLinked="1"/>
        <c:majorTickMark val="in"/>
        <c:minorTickMark val="none"/>
        <c:tickLblPos val="nextTo"/>
        <c:txPr>
          <a:bodyPr rot="0" vert="horz"/>
          <a:lstStyle/>
          <a:p>
            <a:pPr>
              <a:defRPr sz="1200" b="1" i="0" u="none" strike="noStrike" baseline="0">
                <a:solidFill>
                  <a:srgbClr val="000000"/>
                </a:solidFill>
                <a:latin typeface="新細明體"/>
                <a:ea typeface="新細明體"/>
                <a:cs typeface="新細明體"/>
              </a:defRPr>
            </a:pPr>
            <a:endParaRPr lang="en-US"/>
          </a:p>
        </c:txPr>
        <c:crossAx val="136826880"/>
        <c:crosses val="autoZero"/>
        <c:crossBetween val="midCat"/>
      </c:valAx>
      <c:valAx>
        <c:axId val="136826880"/>
        <c:scaling>
          <c:orientation val="minMax"/>
        </c:scaling>
        <c:delete val="0"/>
        <c:axPos val="l"/>
        <c:title>
          <c:tx>
            <c:rich>
              <a:bodyPr/>
              <a:lstStyle/>
              <a:p>
                <a:pPr>
                  <a:defRPr b="1"/>
                </a:pPr>
                <a:r>
                  <a:rPr lang="en-US" b="1"/>
                  <a:t>Estimates</a:t>
                </a:r>
              </a:p>
            </c:rich>
          </c:tx>
          <c:layout>
            <c:manualLayout>
              <c:xMode val="edge"/>
              <c:yMode val="edge"/>
              <c:x val="1.1375431653597863E-2"/>
              <c:y val="0.33559323855849077"/>
            </c:manualLayout>
          </c:layout>
          <c:overlay val="0"/>
        </c:title>
        <c:numFmt formatCode="0.00_ " sourceLinked="0"/>
        <c:majorTickMark val="out"/>
        <c:minorTickMark val="none"/>
        <c:tickLblPos val="nextTo"/>
        <c:txPr>
          <a:bodyPr rot="0" vert="horz"/>
          <a:lstStyle/>
          <a:p>
            <a:pPr>
              <a:defRPr b="1"/>
            </a:pPr>
            <a:endParaRPr lang="en-US"/>
          </a:p>
        </c:txPr>
        <c:crossAx val="136803840"/>
        <c:crosses val="autoZero"/>
        <c:crossBetween val="midCat"/>
      </c:valAx>
      <c:spPr>
        <a:noFill/>
        <a:ln w="25400">
          <a:noFill/>
        </a:ln>
      </c:spPr>
    </c:plotArea>
    <c:plotVisOnly val="1"/>
    <c:dispBlanksAs val="gap"/>
    <c:showDLblsOverMax val="0"/>
  </c:chart>
  <c:spPr>
    <a:noFill/>
    <a:ln w="9525">
      <a:noFill/>
    </a:ln>
  </c:spPr>
  <c:txPr>
    <a:bodyPr/>
    <a:lstStyle/>
    <a:p>
      <a:pPr>
        <a:defRPr sz="1200" b="0" i="0" u="none" strike="noStrike" baseline="0">
          <a:solidFill>
            <a:srgbClr val="000000"/>
          </a:solidFill>
          <a:latin typeface="新細明體"/>
          <a:ea typeface="新細明體"/>
          <a:cs typeface="新細明體"/>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2316442605998"/>
          <c:y val="4.7457627118644485E-2"/>
          <c:w val="0.81168592243726534"/>
          <c:h val="0.78272697141526248"/>
        </c:manualLayout>
      </c:layout>
      <c:scatterChart>
        <c:scatterStyle val="smoothMarker"/>
        <c:varyColors val="0"/>
        <c:ser>
          <c:idx val="0"/>
          <c:order val="0"/>
          <c:tx>
            <c:v>mean</c:v>
          </c:tx>
          <c:spPr>
            <a:ln w="12700">
              <a:solidFill>
                <a:srgbClr val="000000"/>
              </a:solidFill>
              <a:prstDash val="solid"/>
            </a:ln>
          </c:spPr>
          <c:marker>
            <c:symbol val="diamond"/>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0.65000000000000235</c:v>
                </c:pt>
                <c:pt idx="13">
                  <c:v>0.70000000000000062</c:v>
                </c:pt>
                <c:pt idx="14">
                  <c:v>0.75000000000000211</c:v>
                </c:pt>
                <c:pt idx="15">
                  <c:v>0.8</c:v>
                </c:pt>
                <c:pt idx="16">
                  <c:v>0.85000000000000064</c:v>
                </c:pt>
                <c:pt idx="17">
                  <c:v>0.9</c:v>
                </c:pt>
                <c:pt idx="18">
                  <c:v>0.95000000000000062</c:v>
                </c:pt>
              </c:numCache>
            </c:numRef>
          </c:xVal>
          <c:yVal>
            <c:numRef>
              <c:f>Data!$D$3:$D$21</c:f>
              <c:numCache>
                <c:formatCode>General</c:formatCode>
                <c:ptCount val="19"/>
                <c:pt idx="0">
                  <c:v>-0.51823445000000001</c:v>
                </c:pt>
                <c:pt idx="1">
                  <c:v>-0.50194545000000224</c:v>
                </c:pt>
                <c:pt idx="2">
                  <c:v>-0.42982125000000032</c:v>
                </c:pt>
                <c:pt idx="3">
                  <c:v>-0.43521150000000008</c:v>
                </c:pt>
                <c:pt idx="4">
                  <c:v>-0.36744410000000038</c:v>
                </c:pt>
                <c:pt idx="5">
                  <c:v>-0.34428945</c:v>
                </c:pt>
                <c:pt idx="6">
                  <c:v>-0.29124085</c:v>
                </c:pt>
                <c:pt idx="7">
                  <c:v>-0.22918449999999999</c:v>
                </c:pt>
                <c:pt idx="8">
                  <c:v>-0.16909140000000053</c:v>
                </c:pt>
                <c:pt idx="9">
                  <c:v>-0.16969085</c:v>
                </c:pt>
                <c:pt idx="10">
                  <c:v>-0.14886159999999998</c:v>
                </c:pt>
                <c:pt idx="11">
                  <c:v>-9.8611750000000026E-2</c:v>
                </c:pt>
                <c:pt idx="12">
                  <c:v>-7.8094650000000113E-2</c:v>
                </c:pt>
                <c:pt idx="13">
                  <c:v>-8.4580400000000028E-2</c:v>
                </c:pt>
                <c:pt idx="14">
                  <c:v>3.4182800000000013E-2</c:v>
                </c:pt>
                <c:pt idx="15">
                  <c:v>0.21542430000000068</c:v>
                </c:pt>
                <c:pt idx="16">
                  <c:v>0.47535065000000032</c:v>
                </c:pt>
                <c:pt idx="17">
                  <c:v>1.4298183999999945</c:v>
                </c:pt>
                <c:pt idx="18">
                  <c:v>2.872070499999988</c:v>
                </c:pt>
              </c:numCache>
            </c:numRef>
          </c:yVal>
          <c:smooth val="1"/>
          <c:extLst xmlns:c16r2="http://schemas.microsoft.com/office/drawing/2015/06/chart">
            <c:ext xmlns:c16="http://schemas.microsoft.com/office/drawing/2014/chart" uri="{C3380CC4-5D6E-409C-BE32-E72D297353CC}">
              <c16:uniqueId val="{00000000-DBCA-4D94-B3F3-BD4835AA73E0}"/>
            </c:ext>
          </c:extLst>
        </c:ser>
        <c:ser>
          <c:idx val="1"/>
          <c:order val="1"/>
          <c:tx>
            <c:v>right</c:v>
          </c:tx>
          <c:spPr>
            <a:ln w="12700">
              <a:solidFill>
                <a:srgbClr val="000000"/>
              </a:solidFill>
              <a:prstDash val="solid"/>
            </a:ln>
          </c:spPr>
          <c:marker>
            <c:symbol val="square"/>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0.65000000000000235</c:v>
                </c:pt>
                <c:pt idx="13">
                  <c:v>0.70000000000000062</c:v>
                </c:pt>
                <c:pt idx="14">
                  <c:v>0.75000000000000211</c:v>
                </c:pt>
                <c:pt idx="15">
                  <c:v>0.8</c:v>
                </c:pt>
                <c:pt idx="16">
                  <c:v>0.85000000000000064</c:v>
                </c:pt>
                <c:pt idx="17">
                  <c:v>0.9</c:v>
                </c:pt>
                <c:pt idx="18">
                  <c:v>0.95000000000000062</c:v>
                </c:pt>
              </c:numCache>
            </c:numRef>
          </c:xVal>
          <c:yVal>
            <c:numRef>
              <c:f>Data!$C$3:$C$21</c:f>
              <c:numCache>
                <c:formatCode>General</c:formatCode>
                <c:ptCount val="19"/>
                <c:pt idx="0">
                  <c:v>-0.36951740000000038</c:v>
                </c:pt>
                <c:pt idx="1">
                  <c:v>-0.32765820000000112</c:v>
                </c:pt>
                <c:pt idx="2">
                  <c:v>-0.31113660000000032</c:v>
                </c:pt>
                <c:pt idx="3">
                  <c:v>-0.31948490000000229</c:v>
                </c:pt>
                <c:pt idx="4">
                  <c:v>-0.2436815</c:v>
                </c:pt>
                <c:pt idx="5">
                  <c:v>-0.19532069999999987</c:v>
                </c:pt>
                <c:pt idx="6">
                  <c:v>-0.1483826</c:v>
                </c:pt>
                <c:pt idx="7">
                  <c:v>-9.341300000000001E-2</c:v>
                </c:pt>
                <c:pt idx="8">
                  <c:v>-3.9733900000000016E-2</c:v>
                </c:pt>
                <c:pt idx="9">
                  <c:v>-8.0760500000000068E-2</c:v>
                </c:pt>
                <c:pt idx="10">
                  <c:v>-3.5984799999999997E-2</c:v>
                </c:pt>
                <c:pt idx="11">
                  <c:v>-1.5732800000000005E-2</c:v>
                </c:pt>
                <c:pt idx="12">
                  <c:v>2.5816800000000011E-2</c:v>
                </c:pt>
                <c:pt idx="13">
                  <c:v>0.10426130000000022</c:v>
                </c:pt>
                <c:pt idx="14">
                  <c:v>0.34182980000000135</c:v>
                </c:pt>
                <c:pt idx="15">
                  <c:v>0.61813590000000063</c:v>
                </c:pt>
                <c:pt idx="16">
                  <c:v>1.1408880000000001</c:v>
                </c:pt>
                <c:pt idx="17">
                  <c:v>2.6966749999999977</c:v>
                </c:pt>
                <c:pt idx="18">
                  <c:v>4.4645339999999845</c:v>
                </c:pt>
              </c:numCache>
            </c:numRef>
          </c:yVal>
          <c:smooth val="1"/>
          <c:extLst xmlns:c16r2="http://schemas.microsoft.com/office/drawing/2015/06/chart">
            <c:ext xmlns:c16="http://schemas.microsoft.com/office/drawing/2014/chart" uri="{C3380CC4-5D6E-409C-BE32-E72D297353CC}">
              <c16:uniqueId val="{00000001-DBCA-4D94-B3F3-BD4835AA73E0}"/>
            </c:ext>
          </c:extLst>
        </c:ser>
        <c:ser>
          <c:idx val="2"/>
          <c:order val="2"/>
          <c:tx>
            <c:v>left</c:v>
          </c:tx>
          <c:spPr>
            <a:ln w="12700">
              <a:solidFill>
                <a:srgbClr val="000000"/>
              </a:solidFill>
              <a:prstDash val="solid"/>
            </a:ln>
          </c:spPr>
          <c:marker>
            <c:symbol val="triangle"/>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0.65000000000000235</c:v>
                </c:pt>
                <c:pt idx="13">
                  <c:v>0.70000000000000062</c:v>
                </c:pt>
                <c:pt idx="14">
                  <c:v>0.75000000000000211</c:v>
                </c:pt>
                <c:pt idx="15">
                  <c:v>0.8</c:v>
                </c:pt>
                <c:pt idx="16">
                  <c:v>0.85000000000000064</c:v>
                </c:pt>
                <c:pt idx="17">
                  <c:v>0.9</c:v>
                </c:pt>
                <c:pt idx="18">
                  <c:v>0.95000000000000062</c:v>
                </c:pt>
              </c:numCache>
            </c:numRef>
          </c:xVal>
          <c:yVal>
            <c:numRef>
              <c:f>Data!$B$3:$B$21</c:f>
              <c:numCache>
                <c:formatCode>General</c:formatCode>
                <c:ptCount val="19"/>
                <c:pt idx="0">
                  <c:v>-0.66695150000000258</c:v>
                </c:pt>
                <c:pt idx="1">
                  <c:v>-0.67623270000000002</c:v>
                </c:pt>
                <c:pt idx="2">
                  <c:v>-0.54850589999999999</c:v>
                </c:pt>
                <c:pt idx="3">
                  <c:v>-0.55093809999999999</c:v>
                </c:pt>
                <c:pt idx="4">
                  <c:v>-0.49120670000000038</c:v>
                </c:pt>
                <c:pt idx="5">
                  <c:v>-0.49325820000000031</c:v>
                </c:pt>
                <c:pt idx="6">
                  <c:v>-0.43409910000000002</c:v>
                </c:pt>
                <c:pt idx="7">
                  <c:v>-0.364956000000001</c:v>
                </c:pt>
                <c:pt idx="8">
                  <c:v>-0.29844890000000135</c:v>
                </c:pt>
                <c:pt idx="9">
                  <c:v>-0.2586212</c:v>
                </c:pt>
                <c:pt idx="10">
                  <c:v>-0.26173839999999998</c:v>
                </c:pt>
                <c:pt idx="11">
                  <c:v>-0.18149070000000059</c:v>
                </c:pt>
                <c:pt idx="12">
                  <c:v>-0.18200610000000056</c:v>
                </c:pt>
                <c:pt idx="13">
                  <c:v>-0.273422100000001</c:v>
                </c:pt>
                <c:pt idx="14">
                  <c:v>-0.27346420000000032</c:v>
                </c:pt>
                <c:pt idx="15">
                  <c:v>-0.18728730000000082</c:v>
                </c:pt>
                <c:pt idx="16">
                  <c:v>-0.19018669999999988</c:v>
                </c:pt>
                <c:pt idx="17">
                  <c:v>0.16296179999999999</c:v>
                </c:pt>
                <c:pt idx="18">
                  <c:v>1.2796069999999959</c:v>
                </c:pt>
              </c:numCache>
            </c:numRef>
          </c:yVal>
          <c:smooth val="1"/>
          <c:extLst xmlns:c16r2="http://schemas.microsoft.com/office/drawing/2015/06/chart">
            <c:ext xmlns:c16="http://schemas.microsoft.com/office/drawing/2014/chart" uri="{C3380CC4-5D6E-409C-BE32-E72D297353CC}">
              <c16:uniqueId val="{00000002-DBCA-4D94-B3F3-BD4835AA73E0}"/>
            </c:ext>
          </c:extLst>
        </c:ser>
        <c:ser>
          <c:idx val="3"/>
          <c:order val="3"/>
          <c:tx>
            <c:v>OLS</c:v>
          </c:tx>
          <c:spPr>
            <a:ln w="38100">
              <a:solidFill>
                <a:srgbClr val="FF0000"/>
              </a:solidFill>
              <a:prstDash val="sysDash"/>
            </a:ln>
          </c:spPr>
          <c:marker>
            <c:symbol val="x"/>
            <c:size val="3"/>
            <c:spPr>
              <a:solidFill>
                <a:srgbClr val="FF0000"/>
              </a:solid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0.65000000000000235</c:v>
                </c:pt>
                <c:pt idx="13">
                  <c:v>0.70000000000000062</c:v>
                </c:pt>
                <c:pt idx="14">
                  <c:v>0.75000000000000211</c:v>
                </c:pt>
                <c:pt idx="15">
                  <c:v>0.8</c:v>
                </c:pt>
                <c:pt idx="16">
                  <c:v>0.85000000000000064</c:v>
                </c:pt>
                <c:pt idx="17">
                  <c:v>0.9</c:v>
                </c:pt>
                <c:pt idx="18">
                  <c:v>0.95000000000000062</c:v>
                </c:pt>
              </c:numCache>
            </c:numRef>
          </c:xVal>
          <c:yVal>
            <c:numRef>
              <c:f>Data!$E$3:$E$21</c:f>
              <c:numCache>
                <c:formatCode>General</c:formatCode>
                <c:ptCount val="19"/>
                <c:pt idx="0">
                  <c:v>0.21100000000000024</c:v>
                </c:pt>
                <c:pt idx="1">
                  <c:v>0.21100000000000024</c:v>
                </c:pt>
                <c:pt idx="2">
                  <c:v>0.21100000000000024</c:v>
                </c:pt>
                <c:pt idx="3">
                  <c:v>0.21100000000000024</c:v>
                </c:pt>
                <c:pt idx="4">
                  <c:v>0.21100000000000024</c:v>
                </c:pt>
                <c:pt idx="5">
                  <c:v>0.21100000000000024</c:v>
                </c:pt>
                <c:pt idx="6">
                  <c:v>0.21100000000000024</c:v>
                </c:pt>
                <c:pt idx="7">
                  <c:v>0.21100000000000024</c:v>
                </c:pt>
                <c:pt idx="8">
                  <c:v>0.21100000000000024</c:v>
                </c:pt>
                <c:pt idx="9">
                  <c:v>0.21100000000000024</c:v>
                </c:pt>
                <c:pt idx="10">
                  <c:v>0.21100000000000024</c:v>
                </c:pt>
                <c:pt idx="11">
                  <c:v>0.21100000000000024</c:v>
                </c:pt>
                <c:pt idx="12">
                  <c:v>0.21100000000000024</c:v>
                </c:pt>
                <c:pt idx="13">
                  <c:v>0.21100000000000024</c:v>
                </c:pt>
                <c:pt idx="14">
                  <c:v>0.21100000000000024</c:v>
                </c:pt>
                <c:pt idx="15">
                  <c:v>0.21100000000000024</c:v>
                </c:pt>
                <c:pt idx="16">
                  <c:v>0.21100000000000024</c:v>
                </c:pt>
                <c:pt idx="17">
                  <c:v>0.21100000000000024</c:v>
                </c:pt>
                <c:pt idx="18">
                  <c:v>0.21100000000000024</c:v>
                </c:pt>
              </c:numCache>
            </c:numRef>
          </c:yVal>
          <c:smooth val="1"/>
          <c:extLst xmlns:c16r2="http://schemas.microsoft.com/office/drawing/2015/06/chart">
            <c:ext xmlns:c16="http://schemas.microsoft.com/office/drawing/2014/chart" uri="{C3380CC4-5D6E-409C-BE32-E72D297353CC}">
              <c16:uniqueId val="{00000003-DBCA-4D94-B3F3-BD4835AA73E0}"/>
            </c:ext>
          </c:extLst>
        </c:ser>
        <c:ser>
          <c:idx val="4"/>
          <c:order val="4"/>
          <c:tx>
            <c:v>up</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0.65000000000000235</c:v>
                </c:pt>
                <c:pt idx="13">
                  <c:v>0.70000000000000062</c:v>
                </c:pt>
                <c:pt idx="14">
                  <c:v>0.75000000000000211</c:v>
                </c:pt>
                <c:pt idx="15">
                  <c:v>0.8</c:v>
                </c:pt>
                <c:pt idx="16">
                  <c:v>0.85000000000000064</c:v>
                </c:pt>
                <c:pt idx="17">
                  <c:v>0.9</c:v>
                </c:pt>
                <c:pt idx="18">
                  <c:v>0.95000000000000062</c:v>
                </c:pt>
              </c:numCache>
            </c:numRef>
          </c:xVal>
          <c:yVal>
            <c:numRef>
              <c:f>Data!$G$3:$G$21</c:f>
              <c:numCache>
                <c:formatCode>General</c:formatCode>
                <c:ptCount val="19"/>
                <c:pt idx="0">
                  <c:v>0.32669390000000031</c:v>
                </c:pt>
                <c:pt idx="1">
                  <c:v>0.32669390000000031</c:v>
                </c:pt>
                <c:pt idx="2">
                  <c:v>0.32669390000000031</c:v>
                </c:pt>
                <c:pt idx="3">
                  <c:v>0.32669390000000031</c:v>
                </c:pt>
                <c:pt idx="4">
                  <c:v>0.32669390000000031</c:v>
                </c:pt>
                <c:pt idx="5">
                  <c:v>0.32669390000000031</c:v>
                </c:pt>
                <c:pt idx="6">
                  <c:v>0.32669390000000031</c:v>
                </c:pt>
                <c:pt idx="7">
                  <c:v>0.32669390000000031</c:v>
                </c:pt>
                <c:pt idx="8">
                  <c:v>0.32669390000000031</c:v>
                </c:pt>
                <c:pt idx="9">
                  <c:v>0.32669390000000031</c:v>
                </c:pt>
                <c:pt idx="10">
                  <c:v>0.32669390000000031</c:v>
                </c:pt>
                <c:pt idx="11">
                  <c:v>0.32669390000000031</c:v>
                </c:pt>
                <c:pt idx="12">
                  <c:v>0.32669390000000031</c:v>
                </c:pt>
                <c:pt idx="13">
                  <c:v>0.32669390000000031</c:v>
                </c:pt>
                <c:pt idx="14">
                  <c:v>0.32669390000000031</c:v>
                </c:pt>
                <c:pt idx="15">
                  <c:v>0.32669390000000031</c:v>
                </c:pt>
                <c:pt idx="16">
                  <c:v>0.32669390000000031</c:v>
                </c:pt>
                <c:pt idx="17">
                  <c:v>0.32669390000000031</c:v>
                </c:pt>
                <c:pt idx="18">
                  <c:v>0.32669390000000031</c:v>
                </c:pt>
              </c:numCache>
            </c:numRef>
          </c:yVal>
          <c:smooth val="1"/>
          <c:extLst xmlns:c16r2="http://schemas.microsoft.com/office/drawing/2015/06/chart">
            <c:ext xmlns:c16="http://schemas.microsoft.com/office/drawing/2014/chart" uri="{C3380CC4-5D6E-409C-BE32-E72D297353CC}">
              <c16:uniqueId val="{00000004-DBCA-4D94-B3F3-BD4835AA73E0}"/>
            </c:ext>
          </c:extLst>
        </c:ser>
        <c:ser>
          <c:idx val="5"/>
          <c:order val="5"/>
          <c:tx>
            <c:v>low</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0.65000000000000235</c:v>
                </c:pt>
                <c:pt idx="13">
                  <c:v>0.70000000000000062</c:v>
                </c:pt>
                <c:pt idx="14">
                  <c:v>0.75000000000000211</c:v>
                </c:pt>
                <c:pt idx="15">
                  <c:v>0.8</c:v>
                </c:pt>
                <c:pt idx="16">
                  <c:v>0.85000000000000064</c:v>
                </c:pt>
                <c:pt idx="17">
                  <c:v>0.9</c:v>
                </c:pt>
                <c:pt idx="18">
                  <c:v>0.95000000000000062</c:v>
                </c:pt>
              </c:numCache>
            </c:numRef>
          </c:xVal>
          <c:yVal>
            <c:numRef>
              <c:f>Data!$F$3:$F$21</c:f>
              <c:numCache>
                <c:formatCode>General</c:formatCode>
                <c:ptCount val="19"/>
                <c:pt idx="0">
                  <c:v>9.6263600000000005E-2</c:v>
                </c:pt>
                <c:pt idx="1">
                  <c:v>9.6263600000000005E-2</c:v>
                </c:pt>
                <c:pt idx="2">
                  <c:v>9.6263600000000005E-2</c:v>
                </c:pt>
                <c:pt idx="3">
                  <c:v>9.6263600000000005E-2</c:v>
                </c:pt>
                <c:pt idx="4">
                  <c:v>9.6263600000000005E-2</c:v>
                </c:pt>
                <c:pt idx="5">
                  <c:v>9.6263600000000005E-2</c:v>
                </c:pt>
                <c:pt idx="6">
                  <c:v>9.6263600000000005E-2</c:v>
                </c:pt>
                <c:pt idx="7">
                  <c:v>9.6263600000000005E-2</c:v>
                </c:pt>
                <c:pt idx="8">
                  <c:v>9.6263600000000005E-2</c:v>
                </c:pt>
                <c:pt idx="9">
                  <c:v>9.6263600000000005E-2</c:v>
                </c:pt>
                <c:pt idx="10">
                  <c:v>9.6263600000000005E-2</c:v>
                </c:pt>
                <c:pt idx="11">
                  <c:v>9.6263600000000005E-2</c:v>
                </c:pt>
                <c:pt idx="12">
                  <c:v>9.6263600000000005E-2</c:v>
                </c:pt>
                <c:pt idx="13">
                  <c:v>9.6263600000000005E-2</c:v>
                </c:pt>
                <c:pt idx="14">
                  <c:v>9.6263600000000005E-2</c:v>
                </c:pt>
                <c:pt idx="15">
                  <c:v>9.6263600000000005E-2</c:v>
                </c:pt>
                <c:pt idx="16">
                  <c:v>9.6263600000000005E-2</c:v>
                </c:pt>
                <c:pt idx="17">
                  <c:v>9.6263600000000005E-2</c:v>
                </c:pt>
                <c:pt idx="18">
                  <c:v>9.6263600000000005E-2</c:v>
                </c:pt>
              </c:numCache>
            </c:numRef>
          </c:yVal>
          <c:smooth val="1"/>
          <c:extLst xmlns:c16r2="http://schemas.microsoft.com/office/drawing/2015/06/chart">
            <c:ext xmlns:c16="http://schemas.microsoft.com/office/drawing/2014/chart" uri="{C3380CC4-5D6E-409C-BE32-E72D297353CC}">
              <c16:uniqueId val="{00000005-DBCA-4D94-B3F3-BD4835AA73E0}"/>
            </c:ext>
          </c:extLst>
        </c:ser>
        <c:dLbls>
          <c:showLegendKey val="0"/>
          <c:showVal val="0"/>
          <c:showCatName val="0"/>
          <c:showSerName val="0"/>
          <c:showPercent val="0"/>
          <c:showBubbleSize val="0"/>
        </c:dLbls>
        <c:axId val="136979968"/>
        <c:axId val="136998912"/>
      </c:scatterChart>
      <c:valAx>
        <c:axId val="136979968"/>
        <c:scaling>
          <c:orientation val="minMax"/>
        </c:scaling>
        <c:delete val="0"/>
        <c:axPos val="b"/>
        <c:title>
          <c:tx>
            <c:rich>
              <a:bodyPr/>
              <a:lstStyle/>
              <a:p>
                <a:pPr>
                  <a:defRPr b="1"/>
                </a:pPr>
                <a:r>
                  <a:rPr lang="en-US" b="1"/>
                  <a:t>Quantile levels</a:t>
                </a:r>
              </a:p>
            </c:rich>
          </c:tx>
          <c:layout>
            <c:manualLayout>
              <c:xMode val="edge"/>
              <c:yMode val="edge"/>
              <c:x val="0.4725956968476665"/>
              <c:y val="0.90847452155040953"/>
            </c:manualLayout>
          </c:layout>
          <c:overlay val="0"/>
        </c:title>
        <c:numFmt formatCode="0.00_ " sourceLinked="1"/>
        <c:majorTickMark val="in"/>
        <c:minorTickMark val="none"/>
        <c:tickLblPos val="nextTo"/>
        <c:txPr>
          <a:bodyPr rot="0" vert="horz"/>
          <a:lstStyle/>
          <a:p>
            <a:pPr>
              <a:defRPr sz="1200" b="1" i="0" u="none" strike="noStrike" baseline="0">
                <a:solidFill>
                  <a:srgbClr val="000000"/>
                </a:solidFill>
                <a:latin typeface="新細明體"/>
                <a:ea typeface="新細明體"/>
                <a:cs typeface="新細明體"/>
              </a:defRPr>
            </a:pPr>
            <a:endParaRPr lang="en-US"/>
          </a:p>
        </c:txPr>
        <c:crossAx val="136998912"/>
        <c:crosses val="autoZero"/>
        <c:crossBetween val="midCat"/>
      </c:valAx>
      <c:valAx>
        <c:axId val="136998912"/>
        <c:scaling>
          <c:orientation val="minMax"/>
        </c:scaling>
        <c:delete val="0"/>
        <c:axPos val="l"/>
        <c:title>
          <c:tx>
            <c:rich>
              <a:bodyPr/>
              <a:lstStyle/>
              <a:p>
                <a:pPr>
                  <a:defRPr b="1"/>
                </a:pPr>
                <a:r>
                  <a:rPr lang="en-US" b="1"/>
                  <a:t>Estimates</a:t>
                </a:r>
              </a:p>
            </c:rich>
          </c:tx>
          <c:layout>
            <c:manualLayout>
              <c:xMode val="edge"/>
              <c:yMode val="edge"/>
              <c:x val="1.1375469958147123E-2"/>
              <c:y val="0.33559324161928628"/>
            </c:manualLayout>
          </c:layout>
          <c:overlay val="0"/>
        </c:title>
        <c:numFmt formatCode="0.00_ " sourceLinked="0"/>
        <c:majorTickMark val="out"/>
        <c:minorTickMark val="none"/>
        <c:tickLblPos val="nextTo"/>
        <c:txPr>
          <a:bodyPr rot="0" vert="horz"/>
          <a:lstStyle/>
          <a:p>
            <a:pPr>
              <a:defRPr b="1"/>
            </a:pPr>
            <a:endParaRPr lang="en-US"/>
          </a:p>
        </c:txPr>
        <c:crossAx val="136979968"/>
        <c:crosses val="autoZero"/>
        <c:crossBetween val="midCat"/>
      </c:valAx>
      <c:spPr>
        <a:noFill/>
        <a:ln w="25400">
          <a:noFill/>
        </a:ln>
      </c:spPr>
    </c:plotArea>
    <c:plotVisOnly val="1"/>
    <c:dispBlanksAs val="gap"/>
    <c:showDLblsOverMax val="0"/>
  </c:chart>
  <c:spPr>
    <a:noFill/>
    <a:ln w="9525">
      <a:noFill/>
    </a:ln>
  </c:spPr>
  <c:txPr>
    <a:bodyPr/>
    <a:lstStyle/>
    <a:p>
      <a:pPr>
        <a:defRPr sz="1200" b="0" i="0" u="none" strike="noStrike" baseline="0">
          <a:solidFill>
            <a:srgbClr val="000000"/>
          </a:solidFill>
          <a:latin typeface="新細明體"/>
          <a:ea typeface="新細明體"/>
          <a:cs typeface="新細明體"/>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2316442605998"/>
          <c:y val="4.7457627118644485E-2"/>
          <c:w val="0.81168592243726534"/>
          <c:h val="0.78272697141526248"/>
        </c:manualLayout>
      </c:layout>
      <c:scatterChart>
        <c:scatterStyle val="smoothMarker"/>
        <c:varyColors val="0"/>
        <c:ser>
          <c:idx val="0"/>
          <c:order val="0"/>
          <c:tx>
            <c:v>mean</c:v>
          </c:tx>
          <c:spPr>
            <a:ln w="12700">
              <a:solidFill>
                <a:srgbClr val="000000"/>
              </a:solidFill>
              <a:prstDash val="solid"/>
            </a:ln>
          </c:spPr>
          <c:marker>
            <c:symbol val="diamond"/>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0.65000000000000235</c:v>
                </c:pt>
                <c:pt idx="13">
                  <c:v>0.70000000000000062</c:v>
                </c:pt>
                <c:pt idx="14">
                  <c:v>0.75000000000000211</c:v>
                </c:pt>
                <c:pt idx="15">
                  <c:v>0.8</c:v>
                </c:pt>
                <c:pt idx="16">
                  <c:v>0.85000000000000064</c:v>
                </c:pt>
                <c:pt idx="17">
                  <c:v>0.9</c:v>
                </c:pt>
                <c:pt idx="18">
                  <c:v>0.95000000000000062</c:v>
                </c:pt>
              </c:numCache>
            </c:numRef>
          </c:xVal>
          <c:yVal>
            <c:numRef>
              <c:f>Data!$D$3:$D$21</c:f>
              <c:numCache>
                <c:formatCode>General</c:formatCode>
                <c:ptCount val="19"/>
                <c:pt idx="0">
                  <c:v>-0.70690499999999989</c:v>
                </c:pt>
                <c:pt idx="1">
                  <c:v>-0.69617050000000003</c:v>
                </c:pt>
                <c:pt idx="2">
                  <c:v>-0.71502700000000063</c:v>
                </c:pt>
                <c:pt idx="3">
                  <c:v>-0.70202465000000258</c:v>
                </c:pt>
                <c:pt idx="4">
                  <c:v>-0.64120955000000224</c:v>
                </c:pt>
                <c:pt idx="5">
                  <c:v>-0.6237100499999999</c:v>
                </c:pt>
                <c:pt idx="6">
                  <c:v>-0.48639300000000002</c:v>
                </c:pt>
                <c:pt idx="7">
                  <c:v>-0.42215000000000008</c:v>
                </c:pt>
                <c:pt idx="8">
                  <c:v>-0.37521180000000032</c:v>
                </c:pt>
                <c:pt idx="9">
                  <c:v>-0.30635815000000038</c:v>
                </c:pt>
                <c:pt idx="10">
                  <c:v>-0.29515650000000032</c:v>
                </c:pt>
                <c:pt idx="11">
                  <c:v>-0.26525990000000005</c:v>
                </c:pt>
                <c:pt idx="12">
                  <c:v>-0.18794955000000083</c:v>
                </c:pt>
                <c:pt idx="13">
                  <c:v>-0.15057920000000041</c:v>
                </c:pt>
                <c:pt idx="14">
                  <c:v>-8.9859100000000067E-2</c:v>
                </c:pt>
                <c:pt idx="15">
                  <c:v>0.11603820000000002</c:v>
                </c:pt>
                <c:pt idx="16">
                  <c:v>0.35421900000000001</c:v>
                </c:pt>
                <c:pt idx="17">
                  <c:v>0.49783805000000031</c:v>
                </c:pt>
                <c:pt idx="18">
                  <c:v>0.87072304999999994</c:v>
                </c:pt>
              </c:numCache>
            </c:numRef>
          </c:yVal>
          <c:smooth val="1"/>
          <c:extLst xmlns:c16r2="http://schemas.microsoft.com/office/drawing/2015/06/chart">
            <c:ext xmlns:c16="http://schemas.microsoft.com/office/drawing/2014/chart" uri="{C3380CC4-5D6E-409C-BE32-E72D297353CC}">
              <c16:uniqueId val="{00000000-4661-4F34-9EFF-41F26A015F41}"/>
            </c:ext>
          </c:extLst>
        </c:ser>
        <c:ser>
          <c:idx val="1"/>
          <c:order val="1"/>
          <c:tx>
            <c:v>right</c:v>
          </c:tx>
          <c:spPr>
            <a:ln w="12700">
              <a:solidFill>
                <a:srgbClr val="000000"/>
              </a:solidFill>
              <a:prstDash val="solid"/>
            </a:ln>
          </c:spPr>
          <c:marker>
            <c:symbol val="square"/>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0.65000000000000235</c:v>
                </c:pt>
                <c:pt idx="13">
                  <c:v>0.70000000000000062</c:v>
                </c:pt>
                <c:pt idx="14">
                  <c:v>0.75000000000000211</c:v>
                </c:pt>
                <c:pt idx="15">
                  <c:v>0.8</c:v>
                </c:pt>
                <c:pt idx="16">
                  <c:v>0.85000000000000064</c:v>
                </c:pt>
                <c:pt idx="17">
                  <c:v>0.9</c:v>
                </c:pt>
                <c:pt idx="18">
                  <c:v>0.95000000000000062</c:v>
                </c:pt>
              </c:numCache>
            </c:numRef>
          </c:xVal>
          <c:yVal>
            <c:numRef>
              <c:f>Data!$C$3:$C$21</c:f>
              <c:numCache>
                <c:formatCode>General</c:formatCode>
                <c:ptCount val="19"/>
                <c:pt idx="0">
                  <c:v>-0.7983074999999995</c:v>
                </c:pt>
                <c:pt idx="1">
                  <c:v>-0.77903950000000199</c:v>
                </c:pt>
                <c:pt idx="2">
                  <c:v>-0.76944130000000199</c:v>
                </c:pt>
                <c:pt idx="3">
                  <c:v>-0.78633819999999777</c:v>
                </c:pt>
                <c:pt idx="4">
                  <c:v>-0.72385370000000004</c:v>
                </c:pt>
                <c:pt idx="5">
                  <c:v>-0.72135329999999998</c:v>
                </c:pt>
                <c:pt idx="6">
                  <c:v>-0.56244680000000002</c:v>
                </c:pt>
                <c:pt idx="7">
                  <c:v>-0.49003670000000032</c:v>
                </c:pt>
                <c:pt idx="8">
                  <c:v>-0.433828400000002</c:v>
                </c:pt>
                <c:pt idx="9">
                  <c:v>-0.33828410000000148</c:v>
                </c:pt>
                <c:pt idx="10">
                  <c:v>-0.35389160000000008</c:v>
                </c:pt>
                <c:pt idx="11">
                  <c:v>-0.36126230000000031</c:v>
                </c:pt>
                <c:pt idx="12">
                  <c:v>-0.28407970000000032</c:v>
                </c:pt>
                <c:pt idx="13">
                  <c:v>-0.28634100000000001</c:v>
                </c:pt>
                <c:pt idx="14">
                  <c:v>-0.28160540000000001</c:v>
                </c:pt>
                <c:pt idx="15">
                  <c:v>-0.13233349999999999</c:v>
                </c:pt>
                <c:pt idx="16">
                  <c:v>0.11665590000000002</c:v>
                </c:pt>
                <c:pt idx="17">
                  <c:v>5.6871499999999998E-2</c:v>
                </c:pt>
                <c:pt idx="18">
                  <c:v>0.5287731</c:v>
                </c:pt>
              </c:numCache>
            </c:numRef>
          </c:yVal>
          <c:smooth val="1"/>
          <c:extLst xmlns:c16r2="http://schemas.microsoft.com/office/drawing/2015/06/chart">
            <c:ext xmlns:c16="http://schemas.microsoft.com/office/drawing/2014/chart" uri="{C3380CC4-5D6E-409C-BE32-E72D297353CC}">
              <c16:uniqueId val="{00000001-4661-4F34-9EFF-41F26A015F41}"/>
            </c:ext>
          </c:extLst>
        </c:ser>
        <c:ser>
          <c:idx val="2"/>
          <c:order val="2"/>
          <c:tx>
            <c:v>left</c:v>
          </c:tx>
          <c:spPr>
            <a:ln w="12700">
              <a:solidFill>
                <a:srgbClr val="000000"/>
              </a:solidFill>
              <a:prstDash val="solid"/>
            </a:ln>
          </c:spPr>
          <c:marker>
            <c:symbol val="triangle"/>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0.65000000000000235</c:v>
                </c:pt>
                <c:pt idx="13">
                  <c:v>0.70000000000000062</c:v>
                </c:pt>
                <c:pt idx="14">
                  <c:v>0.75000000000000211</c:v>
                </c:pt>
                <c:pt idx="15">
                  <c:v>0.8</c:v>
                </c:pt>
                <c:pt idx="16">
                  <c:v>0.85000000000000064</c:v>
                </c:pt>
                <c:pt idx="17">
                  <c:v>0.9</c:v>
                </c:pt>
                <c:pt idx="18">
                  <c:v>0.95000000000000062</c:v>
                </c:pt>
              </c:numCache>
            </c:numRef>
          </c:xVal>
          <c:yVal>
            <c:numRef>
              <c:f>Data!$B$3:$B$21</c:f>
              <c:numCache>
                <c:formatCode>General</c:formatCode>
                <c:ptCount val="19"/>
                <c:pt idx="0">
                  <c:v>-0.61550249999999951</c:v>
                </c:pt>
                <c:pt idx="1">
                  <c:v>-0.61330150000000005</c:v>
                </c:pt>
                <c:pt idx="2">
                  <c:v>-0.66061270000000005</c:v>
                </c:pt>
                <c:pt idx="3">
                  <c:v>-0.61771110000000062</c:v>
                </c:pt>
                <c:pt idx="4">
                  <c:v>-0.55856539999999799</c:v>
                </c:pt>
                <c:pt idx="5">
                  <c:v>-0.52606679999999728</c:v>
                </c:pt>
                <c:pt idx="6">
                  <c:v>-0.41033920000000002</c:v>
                </c:pt>
                <c:pt idx="7">
                  <c:v>-0.3542633</c:v>
                </c:pt>
                <c:pt idx="8">
                  <c:v>-0.31659520000000002</c:v>
                </c:pt>
                <c:pt idx="9">
                  <c:v>-0.27443220000000002</c:v>
                </c:pt>
                <c:pt idx="10">
                  <c:v>-0.23642140000000053</c:v>
                </c:pt>
                <c:pt idx="11">
                  <c:v>-0.16925750000000001</c:v>
                </c:pt>
                <c:pt idx="12">
                  <c:v>-9.1819400000000023E-2</c:v>
                </c:pt>
                <c:pt idx="13">
                  <c:v>-1.48174E-2</c:v>
                </c:pt>
                <c:pt idx="14">
                  <c:v>0.1018872</c:v>
                </c:pt>
                <c:pt idx="15">
                  <c:v>0.36440990000000112</c:v>
                </c:pt>
                <c:pt idx="16">
                  <c:v>0.59178209999999776</c:v>
                </c:pt>
                <c:pt idx="17">
                  <c:v>0.93880459999999999</c:v>
                </c:pt>
                <c:pt idx="18">
                  <c:v>1.2126729999999999</c:v>
                </c:pt>
              </c:numCache>
            </c:numRef>
          </c:yVal>
          <c:smooth val="1"/>
          <c:extLst xmlns:c16r2="http://schemas.microsoft.com/office/drawing/2015/06/chart">
            <c:ext xmlns:c16="http://schemas.microsoft.com/office/drawing/2014/chart" uri="{C3380CC4-5D6E-409C-BE32-E72D297353CC}">
              <c16:uniqueId val="{00000002-4661-4F34-9EFF-41F26A015F41}"/>
            </c:ext>
          </c:extLst>
        </c:ser>
        <c:ser>
          <c:idx val="3"/>
          <c:order val="3"/>
          <c:tx>
            <c:v>OLS</c:v>
          </c:tx>
          <c:spPr>
            <a:ln w="38100">
              <a:solidFill>
                <a:srgbClr val="FF0000"/>
              </a:solidFill>
              <a:prstDash val="sysDash"/>
            </a:ln>
          </c:spPr>
          <c:marker>
            <c:symbol val="x"/>
            <c:size val="3"/>
            <c:spPr>
              <a:solidFill>
                <a:srgbClr val="FF0000"/>
              </a:solid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0.65000000000000235</c:v>
                </c:pt>
                <c:pt idx="13">
                  <c:v>0.70000000000000062</c:v>
                </c:pt>
                <c:pt idx="14">
                  <c:v>0.75000000000000211</c:v>
                </c:pt>
                <c:pt idx="15">
                  <c:v>0.8</c:v>
                </c:pt>
                <c:pt idx="16">
                  <c:v>0.85000000000000064</c:v>
                </c:pt>
                <c:pt idx="17">
                  <c:v>0.9</c:v>
                </c:pt>
                <c:pt idx="18">
                  <c:v>0.95000000000000062</c:v>
                </c:pt>
              </c:numCache>
            </c:numRef>
          </c:xVal>
          <c:yVal>
            <c:numRef>
              <c:f>Data!$E$3:$E$21</c:f>
              <c:numCache>
                <c:formatCode>General</c:formatCode>
                <c:ptCount val="19"/>
                <c:pt idx="0">
                  <c:v>0.15569950000000021</c:v>
                </c:pt>
                <c:pt idx="1">
                  <c:v>0.15569950000000021</c:v>
                </c:pt>
                <c:pt idx="2">
                  <c:v>0.15569950000000021</c:v>
                </c:pt>
                <c:pt idx="3">
                  <c:v>0.15569950000000021</c:v>
                </c:pt>
                <c:pt idx="4">
                  <c:v>0.15569950000000021</c:v>
                </c:pt>
                <c:pt idx="5">
                  <c:v>0.15569950000000021</c:v>
                </c:pt>
                <c:pt idx="6">
                  <c:v>0.15569950000000021</c:v>
                </c:pt>
                <c:pt idx="7">
                  <c:v>0.15569950000000021</c:v>
                </c:pt>
                <c:pt idx="8">
                  <c:v>0.15569950000000021</c:v>
                </c:pt>
                <c:pt idx="9">
                  <c:v>0.15569950000000021</c:v>
                </c:pt>
                <c:pt idx="10">
                  <c:v>0.15569950000000021</c:v>
                </c:pt>
                <c:pt idx="11">
                  <c:v>0.15569950000000021</c:v>
                </c:pt>
                <c:pt idx="12">
                  <c:v>0.15569950000000021</c:v>
                </c:pt>
                <c:pt idx="13">
                  <c:v>0.15569950000000021</c:v>
                </c:pt>
                <c:pt idx="14">
                  <c:v>0.15569950000000021</c:v>
                </c:pt>
                <c:pt idx="15">
                  <c:v>0.15569950000000021</c:v>
                </c:pt>
                <c:pt idx="16">
                  <c:v>0.15569950000000021</c:v>
                </c:pt>
                <c:pt idx="17">
                  <c:v>0.15569950000000021</c:v>
                </c:pt>
                <c:pt idx="18">
                  <c:v>0.15569950000000021</c:v>
                </c:pt>
              </c:numCache>
            </c:numRef>
          </c:yVal>
          <c:smooth val="1"/>
          <c:extLst xmlns:c16r2="http://schemas.microsoft.com/office/drawing/2015/06/chart">
            <c:ext xmlns:c16="http://schemas.microsoft.com/office/drawing/2014/chart" uri="{C3380CC4-5D6E-409C-BE32-E72D297353CC}">
              <c16:uniqueId val="{00000003-4661-4F34-9EFF-41F26A015F41}"/>
            </c:ext>
          </c:extLst>
        </c:ser>
        <c:ser>
          <c:idx val="4"/>
          <c:order val="4"/>
          <c:tx>
            <c:v>up</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0.65000000000000235</c:v>
                </c:pt>
                <c:pt idx="13">
                  <c:v>0.70000000000000062</c:v>
                </c:pt>
                <c:pt idx="14">
                  <c:v>0.75000000000000211</c:v>
                </c:pt>
                <c:pt idx="15">
                  <c:v>0.8</c:v>
                </c:pt>
                <c:pt idx="16">
                  <c:v>0.85000000000000064</c:v>
                </c:pt>
                <c:pt idx="17">
                  <c:v>0.9</c:v>
                </c:pt>
                <c:pt idx="18">
                  <c:v>0.95000000000000062</c:v>
                </c:pt>
              </c:numCache>
            </c:numRef>
          </c:xVal>
          <c:yVal>
            <c:numRef>
              <c:f>Data!$G$3:$G$21</c:f>
              <c:numCache>
                <c:formatCode>General</c:formatCode>
                <c:ptCount val="19"/>
                <c:pt idx="0">
                  <c:v>0.34187700000000032</c:v>
                </c:pt>
                <c:pt idx="1">
                  <c:v>0.34187700000000032</c:v>
                </c:pt>
                <c:pt idx="2">
                  <c:v>0.34187700000000032</c:v>
                </c:pt>
                <c:pt idx="3">
                  <c:v>0.34187700000000032</c:v>
                </c:pt>
                <c:pt idx="4">
                  <c:v>0.34187700000000032</c:v>
                </c:pt>
                <c:pt idx="5">
                  <c:v>0.34187700000000032</c:v>
                </c:pt>
                <c:pt idx="6">
                  <c:v>0.34187700000000032</c:v>
                </c:pt>
                <c:pt idx="7">
                  <c:v>0.34187700000000032</c:v>
                </c:pt>
                <c:pt idx="8">
                  <c:v>0.34187700000000032</c:v>
                </c:pt>
                <c:pt idx="9">
                  <c:v>0.34187700000000032</c:v>
                </c:pt>
                <c:pt idx="10">
                  <c:v>0.34187700000000032</c:v>
                </c:pt>
                <c:pt idx="11">
                  <c:v>0.34187700000000032</c:v>
                </c:pt>
                <c:pt idx="12">
                  <c:v>0.34187700000000032</c:v>
                </c:pt>
                <c:pt idx="13">
                  <c:v>0.34187700000000032</c:v>
                </c:pt>
                <c:pt idx="14">
                  <c:v>0.34187700000000032</c:v>
                </c:pt>
                <c:pt idx="15">
                  <c:v>0.34187700000000032</c:v>
                </c:pt>
                <c:pt idx="16">
                  <c:v>0.34187700000000032</c:v>
                </c:pt>
                <c:pt idx="17">
                  <c:v>0.34187700000000032</c:v>
                </c:pt>
                <c:pt idx="18">
                  <c:v>0.34187700000000032</c:v>
                </c:pt>
              </c:numCache>
            </c:numRef>
          </c:yVal>
          <c:smooth val="1"/>
          <c:extLst xmlns:c16r2="http://schemas.microsoft.com/office/drawing/2015/06/chart">
            <c:ext xmlns:c16="http://schemas.microsoft.com/office/drawing/2014/chart" uri="{C3380CC4-5D6E-409C-BE32-E72D297353CC}">
              <c16:uniqueId val="{00000004-4661-4F34-9EFF-41F26A015F41}"/>
            </c:ext>
          </c:extLst>
        </c:ser>
        <c:ser>
          <c:idx val="5"/>
          <c:order val="5"/>
          <c:tx>
            <c:v>low</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0.65000000000000235</c:v>
                </c:pt>
                <c:pt idx="13">
                  <c:v>0.70000000000000062</c:v>
                </c:pt>
                <c:pt idx="14">
                  <c:v>0.75000000000000211</c:v>
                </c:pt>
                <c:pt idx="15">
                  <c:v>0.8</c:v>
                </c:pt>
                <c:pt idx="16">
                  <c:v>0.85000000000000064</c:v>
                </c:pt>
                <c:pt idx="17">
                  <c:v>0.9</c:v>
                </c:pt>
                <c:pt idx="18">
                  <c:v>0.95000000000000062</c:v>
                </c:pt>
              </c:numCache>
            </c:numRef>
          </c:xVal>
          <c:yVal>
            <c:numRef>
              <c:f>Data!$F$3:$F$21</c:f>
              <c:numCache>
                <c:formatCode>General</c:formatCode>
                <c:ptCount val="19"/>
                <c:pt idx="0">
                  <c:v>-3.0478000000000012E-2</c:v>
                </c:pt>
                <c:pt idx="1">
                  <c:v>-3.0478000000000012E-2</c:v>
                </c:pt>
                <c:pt idx="2">
                  <c:v>-3.0478000000000012E-2</c:v>
                </c:pt>
                <c:pt idx="3">
                  <c:v>-3.0478000000000012E-2</c:v>
                </c:pt>
                <c:pt idx="4">
                  <c:v>-3.0478000000000012E-2</c:v>
                </c:pt>
                <c:pt idx="5">
                  <c:v>-3.0478000000000012E-2</c:v>
                </c:pt>
                <c:pt idx="6">
                  <c:v>-3.0478000000000012E-2</c:v>
                </c:pt>
                <c:pt idx="7">
                  <c:v>-3.0478000000000012E-2</c:v>
                </c:pt>
                <c:pt idx="8">
                  <c:v>-3.0478000000000012E-2</c:v>
                </c:pt>
                <c:pt idx="9">
                  <c:v>-3.0478000000000012E-2</c:v>
                </c:pt>
                <c:pt idx="10">
                  <c:v>-3.0478000000000012E-2</c:v>
                </c:pt>
                <c:pt idx="11">
                  <c:v>-3.0478000000000012E-2</c:v>
                </c:pt>
                <c:pt idx="12">
                  <c:v>-3.0478000000000012E-2</c:v>
                </c:pt>
                <c:pt idx="13">
                  <c:v>-3.0478000000000012E-2</c:v>
                </c:pt>
                <c:pt idx="14">
                  <c:v>-3.0478000000000012E-2</c:v>
                </c:pt>
                <c:pt idx="15">
                  <c:v>-3.0478000000000012E-2</c:v>
                </c:pt>
                <c:pt idx="16">
                  <c:v>-3.0478000000000012E-2</c:v>
                </c:pt>
                <c:pt idx="17">
                  <c:v>-3.0478000000000012E-2</c:v>
                </c:pt>
                <c:pt idx="18">
                  <c:v>-3.0478000000000012E-2</c:v>
                </c:pt>
              </c:numCache>
            </c:numRef>
          </c:yVal>
          <c:smooth val="1"/>
          <c:extLst xmlns:c16r2="http://schemas.microsoft.com/office/drawing/2015/06/chart">
            <c:ext xmlns:c16="http://schemas.microsoft.com/office/drawing/2014/chart" uri="{C3380CC4-5D6E-409C-BE32-E72D297353CC}">
              <c16:uniqueId val="{00000005-4661-4F34-9EFF-41F26A015F41}"/>
            </c:ext>
          </c:extLst>
        </c:ser>
        <c:dLbls>
          <c:showLegendKey val="0"/>
          <c:showVal val="0"/>
          <c:showCatName val="0"/>
          <c:showSerName val="0"/>
          <c:showPercent val="0"/>
          <c:showBubbleSize val="0"/>
        </c:dLbls>
        <c:axId val="137094656"/>
        <c:axId val="137175040"/>
      </c:scatterChart>
      <c:valAx>
        <c:axId val="137094656"/>
        <c:scaling>
          <c:orientation val="minMax"/>
        </c:scaling>
        <c:delete val="0"/>
        <c:axPos val="b"/>
        <c:title>
          <c:tx>
            <c:rich>
              <a:bodyPr/>
              <a:lstStyle/>
              <a:p>
                <a:pPr>
                  <a:defRPr b="1"/>
                </a:pPr>
                <a:r>
                  <a:rPr lang="en-US" b="1"/>
                  <a:t>Quantile levels</a:t>
                </a:r>
              </a:p>
            </c:rich>
          </c:tx>
          <c:layout>
            <c:manualLayout>
              <c:xMode val="edge"/>
              <c:yMode val="edge"/>
              <c:x val="0.47028087634878973"/>
              <c:y val="0.83750502245863589"/>
            </c:manualLayout>
          </c:layout>
          <c:overlay val="0"/>
        </c:title>
        <c:numFmt formatCode="0.00_ " sourceLinked="1"/>
        <c:majorTickMark val="in"/>
        <c:minorTickMark val="none"/>
        <c:tickLblPos val="nextTo"/>
        <c:txPr>
          <a:bodyPr rot="0" vert="horz"/>
          <a:lstStyle/>
          <a:p>
            <a:pPr>
              <a:defRPr sz="1200" b="1" i="0" u="none" strike="noStrike" baseline="0">
                <a:solidFill>
                  <a:srgbClr val="000000"/>
                </a:solidFill>
                <a:latin typeface="新細明體"/>
                <a:ea typeface="新細明體"/>
                <a:cs typeface="新細明體"/>
              </a:defRPr>
            </a:pPr>
            <a:endParaRPr lang="en-US"/>
          </a:p>
        </c:txPr>
        <c:crossAx val="137175040"/>
        <c:crosses val="autoZero"/>
        <c:crossBetween val="midCat"/>
      </c:valAx>
      <c:valAx>
        <c:axId val="137175040"/>
        <c:scaling>
          <c:orientation val="minMax"/>
        </c:scaling>
        <c:delete val="0"/>
        <c:axPos val="l"/>
        <c:title>
          <c:tx>
            <c:rich>
              <a:bodyPr/>
              <a:lstStyle/>
              <a:p>
                <a:pPr>
                  <a:defRPr b="1"/>
                </a:pPr>
                <a:r>
                  <a:rPr lang="en-US" b="1"/>
                  <a:t>Estimates</a:t>
                </a:r>
              </a:p>
            </c:rich>
          </c:tx>
          <c:layout>
            <c:manualLayout>
              <c:xMode val="edge"/>
              <c:yMode val="edge"/>
              <c:x val="1.1375431653597863E-2"/>
              <c:y val="0.33559323855849077"/>
            </c:manualLayout>
          </c:layout>
          <c:overlay val="0"/>
        </c:title>
        <c:numFmt formatCode="0.00_ " sourceLinked="0"/>
        <c:majorTickMark val="out"/>
        <c:minorTickMark val="none"/>
        <c:tickLblPos val="nextTo"/>
        <c:txPr>
          <a:bodyPr rot="0" vert="horz"/>
          <a:lstStyle/>
          <a:p>
            <a:pPr>
              <a:defRPr b="1"/>
            </a:pPr>
            <a:endParaRPr lang="en-US"/>
          </a:p>
        </c:txPr>
        <c:crossAx val="137094656"/>
        <c:crosses val="autoZero"/>
        <c:crossBetween val="midCat"/>
      </c:valAx>
      <c:spPr>
        <a:noFill/>
        <a:ln w="25400">
          <a:noFill/>
        </a:ln>
      </c:spPr>
    </c:plotArea>
    <c:plotVisOnly val="1"/>
    <c:dispBlanksAs val="gap"/>
    <c:showDLblsOverMax val="0"/>
  </c:chart>
  <c:spPr>
    <a:noFill/>
    <a:ln w="9525">
      <a:noFill/>
    </a:ln>
  </c:spPr>
  <c:txPr>
    <a:bodyPr/>
    <a:lstStyle/>
    <a:p>
      <a:pPr>
        <a:defRPr sz="1200" b="0" i="0" u="none" strike="noStrike" baseline="0">
          <a:solidFill>
            <a:srgbClr val="000000"/>
          </a:solidFill>
          <a:latin typeface="新細明體"/>
          <a:ea typeface="新細明體"/>
          <a:cs typeface="新細明體"/>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82316442605998"/>
          <c:y val="4.7457627118647684E-2"/>
          <c:w val="0.81168592243726534"/>
          <c:h val="0.78272697141526248"/>
        </c:manualLayout>
      </c:layout>
      <c:scatterChart>
        <c:scatterStyle val="smoothMarker"/>
        <c:varyColors val="0"/>
        <c:ser>
          <c:idx val="0"/>
          <c:order val="0"/>
          <c:tx>
            <c:v>mean</c:v>
          </c:tx>
          <c:spPr>
            <a:ln w="12700">
              <a:solidFill>
                <a:srgbClr val="000000"/>
              </a:solidFill>
              <a:prstDash val="solid"/>
            </a:ln>
          </c:spPr>
          <c:marker>
            <c:symbol val="diamond"/>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0.65000000000002078</c:v>
                </c:pt>
                <c:pt idx="13">
                  <c:v>0.70000000000000062</c:v>
                </c:pt>
                <c:pt idx="14">
                  <c:v>0.75000000000001465</c:v>
                </c:pt>
                <c:pt idx="15">
                  <c:v>0.8</c:v>
                </c:pt>
                <c:pt idx="16">
                  <c:v>0.85000000000000064</c:v>
                </c:pt>
                <c:pt idx="17">
                  <c:v>0.9</c:v>
                </c:pt>
                <c:pt idx="18">
                  <c:v>0.95000000000000062</c:v>
                </c:pt>
              </c:numCache>
            </c:numRef>
          </c:xVal>
          <c:yVal>
            <c:numRef>
              <c:f>Data!$D$3:$D$21</c:f>
              <c:numCache>
                <c:formatCode>General</c:formatCode>
                <c:ptCount val="19"/>
                <c:pt idx="0">
                  <c:v>-1.0426035999999999</c:v>
                </c:pt>
                <c:pt idx="1">
                  <c:v>-0.41377690000000888</c:v>
                </c:pt>
                <c:pt idx="2">
                  <c:v>-0.13823099999999999</c:v>
                </c:pt>
                <c:pt idx="3">
                  <c:v>-1.5839600000000009E-2</c:v>
                </c:pt>
                <c:pt idx="4">
                  <c:v>8.2716900000000024E-2</c:v>
                </c:pt>
                <c:pt idx="5">
                  <c:v>0.34277780000000002</c:v>
                </c:pt>
                <c:pt idx="6">
                  <c:v>0.62841829999999999</c:v>
                </c:pt>
                <c:pt idx="7">
                  <c:v>0.79702234999998856</c:v>
                </c:pt>
                <c:pt idx="8">
                  <c:v>1.0863881500000001</c:v>
                </c:pt>
                <c:pt idx="9">
                  <c:v>1.4429200999999492</c:v>
                </c:pt>
                <c:pt idx="10">
                  <c:v>1.7802074999999999</c:v>
                </c:pt>
                <c:pt idx="11">
                  <c:v>2.2696719999999999</c:v>
                </c:pt>
                <c:pt idx="12">
                  <c:v>2.7957960000000002</c:v>
                </c:pt>
                <c:pt idx="13">
                  <c:v>3.3825775</c:v>
                </c:pt>
                <c:pt idx="14">
                  <c:v>3.8581589999999086</c:v>
                </c:pt>
                <c:pt idx="15">
                  <c:v>4.7145484999999985</c:v>
                </c:pt>
                <c:pt idx="16">
                  <c:v>5.7847035</c:v>
                </c:pt>
                <c:pt idx="17">
                  <c:v>7.6823730000000001</c:v>
                </c:pt>
                <c:pt idx="18">
                  <c:v>9.9809125000000005</c:v>
                </c:pt>
              </c:numCache>
            </c:numRef>
          </c:yVal>
          <c:smooth val="1"/>
          <c:extLst xmlns:c16r2="http://schemas.microsoft.com/office/drawing/2015/06/chart">
            <c:ext xmlns:c16="http://schemas.microsoft.com/office/drawing/2014/chart" uri="{C3380CC4-5D6E-409C-BE32-E72D297353CC}">
              <c16:uniqueId val="{00000000-76E4-4CD3-8868-442D6E4A8AB5}"/>
            </c:ext>
          </c:extLst>
        </c:ser>
        <c:ser>
          <c:idx val="1"/>
          <c:order val="1"/>
          <c:tx>
            <c:v>right</c:v>
          </c:tx>
          <c:spPr>
            <a:ln w="12700">
              <a:solidFill>
                <a:srgbClr val="000000"/>
              </a:solidFill>
              <a:prstDash val="solid"/>
            </a:ln>
          </c:spPr>
          <c:marker>
            <c:symbol val="square"/>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0.65000000000002078</c:v>
                </c:pt>
                <c:pt idx="13">
                  <c:v>0.70000000000000062</c:v>
                </c:pt>
                <c:pt idx="14">
                  <c:v>0.75000000000001465</c:v>
                </c:pt>
                <c:pt idx="15">
                  <c:v>0.8</c:v>
                </c:pt>
                <c:pt idx="16">
                  <c:v>0.85000000000000064</c:v>
                </c:pt>
                <c:pt idx="17">
                  <c:v>0.9</c:v>
                </c:pt>
                <c:pt idx="18">
                  <c:v>0.95000000000000062</c:v>
                </c:pt>
              </c:numCache>
            </c:numRef>
          </c:xVal>
          <c:yVal>
            <c:numRef>
              <c:f>Data!$C$3:$C$21</c:f>
              <c:numCache>
                <c:formatCode>General</c:formatCode>
                <c:ptCount val="19"/>
                <c:pt idx="0">
                  <c:v>-0.55852020000000002</c:v>
                </c:pt>
                <c:pt idx="1">
                  <c:v>-9.3335900000000263E-2</c:v>
                </c:pt>
                <c:pt idx="2">
                  <c:v>8.5857200000000064E-2</c:v>
                </c:pt>
                <c:pt idx="3">
                  <c:v>0.18188199999999999</c:v>
                </c:pt>
                <c:pt idx="4">
                  <c:v>0.4530013</c:v>
                </c:pt>
                <c:pt idx="5">
                  <c:v>0.79082560000002056</c:v>
                </c:pt>
                <c:pt idx="6">
                  <c:v>1.1206700000000001</c:v>
                </c:pt>
                <c:pt idx="7">
                  <c:v>1.2423639999999998</c:v>
                </c:pt>
                <c:pt idx="8">
                  <c:v>1.5186219999999617</c:v>
                </c:pt>
                <c:pt idx="9">
                  <c:v>1.9051259999999999</c:v>
                </c:pt>
                <c:pt idx="10">
                  <c:v>2.3413729999999977</c:v>
                </c:pt>
                <c:pt idx="11">
                  <c:v>2.7993260000000002</c:v>
                </c:pt>
                <c:pt idx="12">
                  <c:v>3.298254</c:v>
                </c:pt>
                <c:pt idx="13">
                  <c:v>3.9369999999999967</c:v>
                </c:pt>
                <c:pt idx="14">
                  <c:v>4.5283349999999745</c:v>
                </c:pt>
                <c:pt idx="15">
                  <c:v>5.653702</c:v>
                </c:pt>
                <c:pt idx="16">
                  <c:v>6.9049559999999746</c:v>
                </c:pt>
                <c:pt idx="17">
                  <c:v>9.1545080000000034</c:v>
                </c:pt>
                <c:pt idx="18">
                  <c:v>12.17056</c:v>
                </c:pt>
              </c:numCache>
            </c:numRef>
          </c:yVal>
          <c:smooth val="1"/>
          <c:extLst xmlns:c16r2="http://schemas.microsoft.com/office/drawing/2015/06/chart">
            <c:ext xmlns:c16="http://schemas.microsoft.com/office/drawing/2014/chart" uri="{C3380CC4-5D6E-409C-BE32-E72D297353CC}">
              <c16:uniqueId val="{00000001-76E4-4CD3-8868-442D6E4A8AB5}"/>
            </c:ext>
          </c:extLst>
        </c:ser>
        <c:ser>
          <c:idx val="2"/>
          <c:order val="2"/>
          <c:tx>
            <c:v>left</c:v>
          </c:tx>
          <c:spPr>
            <a:ln w="12700">
              <a:solidFill>
                <a:srgbClr val="000000"/>
              </a:solidFill>
              <a:prstDash val="solid"/>
            </a:ln>
          </c:spPr>
          <c:marker>
            <c:symbol val="triangle"/>
            <c:size val="5"/>
            <c:spPr>
              <a:solidFill>
                <a:srgbClr val="000000"/>
              </a:solidFill>
              <a:ln>
                <a:solidFill>
                  <a:srgbClr val="00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0.65000000000002078</c:v>
                </c:pt>
                <c:pt idx="13">
                  <c:v>0.70000000000000062</c:v>
                </c:pt>
                <c:pt idx="14">
                  <c:v>0.75000000000001465</c:v>
                </c:pt>
                <c:pt idx="15">
                  <c:v>0.8</c:v>
                </c:pt>
                <c:pt idx="16">
                  <c:v>0.85000000000000064</c:v>
                </c:pt>
                <c:pt idx="17">
                  <c:v>0.9</c:v>
                </c:pt>
                <c:pt idx="18">
                  <c:v>0.95000000000000062</c:v>
                </c:pt>
              </c:numCache>
            </c:numRef>
          </c:xVal>
          <c:yVal>
            <c:numRef>
              <c:f>Data!$B$3:$B$21</c:f>
              <c:numCache>
                <c:formatCode>General</c:formatCode>
                <c:ptCount val="19"/>
                <c:pt idx="0">
                  <c:v>-1.5266869999999999</c:v>
                </c:pt>
                <c:pt idx="1">
                  <c:v>-0.73421789999999998</c:v>
                </c:pt>
                <c:pt idx="2">
                  <c:v>-0.36231920000000989</c:v>
                </c:pt>
                <c:pt idx="3">
                  <c:v>-0.21356120000000528</c:v>
                </c:pt>
                <c:pt idx="4">
                  <c:v>-0.28756750000000031</c:v>
                </c:pt>
                <c:pt idx="5">
                  <c:v>-0.10527000000000022</c:v>
                </c:pt>
                <c:pt idx="6">
                  <c:v>0.1361666</c:v>
                </c:pt>
                <c:pt idx="7">
                  <c:v>0.35168070000001034</c:v>
                </c:pt>
                <c:pt idx="8">
                  <c:v>0.65415430000000063</c:v>
                </c:pt>
                <c:pt idx="9">
                  <c:v>0.98071419999998055</c:v>
                </c:pt>
                <c:pt idx="10">
                  <c:v>1.219042</c:v>
                </c:pt>
                <c:pt idx="11">
                  <c:v>1.7400180000000001</c:v>
                </c:pt>
                <c:pt idx="12">
                  <c:v>2.2933380000000012</c:v>
                </c:pt>
                <c:pt idx="13">
                  <c:v>2.8281549999999998</c:v>
                </c:pt>
                <c:pt idx="14">
                  <c:v>3.1879830000000879</c:v>
                </c:pt>
                <c:pt idx="15">
                  <c:v>3.7753950000000001</c:v>
                </c:pt>
                <c:pt idx="16">
                  <c:v>4.6644509999998665</c:v>
                </c:pt>
                <c:pt idx="17">
                  <c:v>6.2102380000000004</c:v>
                </c:pt>
                <c:pt idx="18">
                  <c:v>7.7912650000000134</c:v>
                </c:pt>
              </c:numCache>
            </c:numRef>
          </c:yVal>
          <c:smooth val="1"/>
          <c:extLst xmlns:c16r2="http://schemas.microsoft.com/office/drawing/2015/06/chart">
            <c:ext xmlns:c16="http://schemas.microsoft.com/office/drawing/2014/chart" uri="{C3380CC4-5D6E-409C-BE32-E72D297353CC}">
              <c16:uniqueId val="{00000002-76E4-4CD3-8868-442D6E4A8AB5}"/>
            </c:ext>
          </c:extLst>
        </c:ser>
        <c:ser>
          <c:idx val="3"/>
          <c:order val="3"/>
          <c:tx>
            <c:v>OLS</c:v>
          </c:tx>
          <c:spPr>
            <a:ln w="38100">
              <a:solidFill>
                <a:srgbClr val="FF0000"/>
              </a:solidFill>
              <a:prstDash val="sysDash"/>
            </a:ln>
          </c:spPr>
          <c:marker>
            <c:symbol val="x"/>
            <c:size val="3"/>
            <c:spPr>
              <a:solidFill>
                <a:srgbClr val="FF0000"/>
              </a:solid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0.65000000000002078</c:v>
                </c:pt>
                <c:pt idx="13">
                  <c:v>0.70000000000000062</c:v>
                </c:pt>
                <c:pt idx="14">
                  <c:v>0.75000000000001465</c:v>
                </c:pt>
                <c:pt idx="15">
                  <c:v>0.8</c:v>
                </c:pt>
                <c:pt idx="16">
                  <c:v>0.85000000000000064</c:v>
                </c:pt>
                <c:pt idx="17">
                  <c:v>0.9</c:v>
                </c:pt>
                <c:pt idx="18">
                  <c:v>0.95000000000000062</c:v>
                </c:pt>
              </c:numCache>
            </c:numRef>
          </c:xVal>
          <c:yVal>
            <c:numRef>
              <c:f>Data!$E$3:$E$21</c:f>
              <c:numCache>
                <c:formatCode>General</c:formatCode>
                <c:ptCount val="19"/>
                <c:pt idx="0">
                  <c:v>1.5256544999999613</c:v>
                </c:pt>
                <c:pt idx="1">
                  <c:v>1.5256544999999613</c:v>
                </c:pt>
                <c:pt idx="2">
                  <c:v>1.5256544999999613</c:v>
                </c:pt>
                <c:pt idx="3">
                  <c:v>1.5256544999999613</c:v>
                </c:pt>
                <c:pt idx="4">
                  <c:v>1.5256544999999613</c:v>
                </c:pt>
                <c:pt idx="5">
                  <c:v>1.5256544999999613</c:v>
                </c:pt>
                <c:pt idx="6">
                  <c:v>1.5256544999999613</c:v>
                </c:pt>
                <c:pt idx="7">
                  <c:v>1.5256544999999613</c:v>
                </c:pt>
                <c:pt idx="8">
                  <c:v>1.5256544999999613</c:v>
                </c:pt>
                <c:pt idx="9">
                  <c:v>1.5256544999999613</c:v>
                </c:pt>
                <c:pt idx="10">
                  <c:v>1.5256544999999613</c:v>
                </c:pt>
                <c:pt idx="11">
                  <c:v>1.5256544999999613</c:v>
                </c:pt>
                <c:pt idx="12">
                  <c:v>1.5256544999999613</c:v>
                </c:pt>
                <c:pt idx="13">
                  <c:v>1.5256544999999613</c:v>
                </c:pt>
                <c:pt idx="14">
                  <c:v>1.5256544999999613</c:v>
                </c:pt>
                <c:pt idx="15">
                  <c:v>1.5256544999999613</c:v>
                </c:pt>
                <c:pt idx="16">
                  <c:v>1.5256544999999613</c:v>
                </c:pt>
                <c:pt idx="17">
                  <c:v>1.5256544999999613</c:v>
                </c:pt>
                <c:pt idx="18">
                  <c:v>1.5256544999999613</c:v>
                </c:pt>
              </c:numCache>
            </c:numRef>
          </c:yVal>
          <c:smooth val="1"/>
          <c:extLst xmlns:c16r2="http://schemas.microsoft.com/office/drawing/2015/06/chart">
            <c:ext xmlns:c16="http://schemas.microsoft.com/office/drawing/2014/chart" uri="{C3380CC4-5D6E-409C-BE32-E72D297353CC}">
              <c16:uniqueId val="{00000003-76E4-4CD3-8868-442D6E4A8AB5}"/>
            </c:ext>
          </c:extLst>
        </c:ser>
        <c:ser>
          <c:idx val="4"/>
          <c:order val="4"/>
          <c:tx>
            <c:v>up</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0.65000000000002078</c:v>
                </c:pt>
                <c:pt idx="13">
                  <c:v>0.70000000000000062</c:v>
                </c:pt>
                <c:pt idx="14">
                  <c:v>0.75000000000001465</c:v>
                </c:pt>
                <c:pt idx="15">
                  <c:v>0.8</c:v>
                </c:pt>
                <c:pt idx="16">
                  <c:v>0.85000000000000064</c:v>
                </c:pt>
                <c:pt idx="17">
                  <c:v>0.9</c:v>
                </c:pt>
                <c:pt idx="18">
                  <c:v>0.95000000000000062</c:v>
                </c:pt>
              </c:numCache>
            </c:numRef>
          </c:xVal>
          <c:yVal>
            <c:numRef>
              <c:f>Data!$G$3:$G$21</c:f>
              <c:numCache>
                <c:formatCode>General</c:formatCode>
                <c:ptCount val="19"/>
                <c:pt idx="0">
                  <c:v>1.7469729999999999</c:v>
                </c:pt>
                <c:pt idx="1">
                  <c:v>1.7469729999999999</c:v>
                </c:pt>
                <c:pt idx="2">
                  <c:v>1.7469729999999999</c:v>
                </c:pt>
                <c:pt idx="3">
                  <c:v>1.7469729999999999</c:v>
                </c:pt>
                <c:pt idx="4">
                  <c:v>1.7469729999999999</c:v>
                </c:pt>
                <c:pt idx="5">
                  <c:v>1.7469729999999999</c:v>
                </c:pt>
                <c:pt idx="6">
                  <c:v>1.7469729999999999</c:v>
                </c:pt>
                <c:pt idx="7">
                  <c:v>1.7469729999999999</c:v>
                </c:pt>
                <c:pt idx="8">
                  <c:v>1.7469729999999999</c:v>
                </c:pt>
                <c:pt idx="9">
                  <c:v>1.7469729999999999</c:v>
                </c:pt>
                <c:pt idx="10">
                  <c:v>1.7469729999999999</c:v>
                </c:pt>
                <c:pt idx="11">
                  <c:v>1.7469729999999999</c:v>
                </c:pt>
                <c:pt idx="12">
                  <c:v>1.7469729999999999</c:v>
                </c:pt>
                <c:pt idx="13">
                  <c:v>1.7469729999999999</c:v>
                </c:pt>
                <c:pt idx="14">
                  <c:v>1.7469729999999999</c:v>
                </c:pt>
                <c:pt idx="15">
                  <c:v>1.7469729999999999</c:v>
                </c:pt>
                <c:pt idx="16">
                  <c:v>1.7469729999999999</c:v>
                </c:pt>
                <c:pt idx="17">
                  <c:v>1.7469729999999999</c:v>
                </c:pt>
                <c:pt idx="18">
                  <c:v>1.7469729999999999</c:v>
                </c:pt>
              </c:numCache>
            </c:numRef>
          </c:yVal>
          <c:smooth val="1"/>
          <c:extLst xmlns:c16r2="http://schemas.microsoft.com/office/drawing/2015/06/chart">
            <c:ext xmlns:c16="http://schemas.microsoft.com/office/drawing/2014/chart" uri="{C3380CC4-5D6E-409C-BE32-E72D297353CC}">
              <c16:uniqueId val="{00000004-76E4-4CD3-8868-442D6E4A8AB5}"/>
            </c:ext>
          </c:extLst>
        </c:ser>
        <c:ser>
          <c:idx val="5"/>
          <c:order val="5"/>
          <c:tx>
            <c:v>low</c:v>
          </c:tx>
          <c:spPr>
            <a:ln w="12700">
              <a:solidFill>
                <a:srgbClr val="FF0000"/>
              </a:solidFill>
              <a:prstDash val="lgDash"/>
            </a:ln>
          </c:spPr>
          <c:marker>
            <c:symbol val="star"/>
            <c:size val="5"/>
            <c:spPr>
              <a:noFill/>
              <a:ln>
                <a:solidFill>
                  <a:srgbClr val="FF0000"/>
                </a:solidFill>
                <a:prstDash val="solid"/>
              </a:ln>
            </c:spPr>
          </c:marker>
          <c:xVal>
            <c:numRef>
              <c:f>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0.65000000000002078</c:v>
                </c:pt>
                <c:pt idx="13">
                  <c:v>0.70000000000000062</c:v>
                </c:pt>
                <c:pt idx="14">
                  <c:v>0.75000000000001465</c:v>
                </c:pt>
                <c:pt idx="15">
                  <c:v>0.8</c:v>
                </c:pt>
                <c:pt idx="16">
                  <c:v>0.85000000000000064</c:v>
                </c:pt>
                <c:pt idx="17">
                  <c:v>0.9</c:v>
                </c:pt>
                <c:pt idx="18">
                  <c:v>0.95000000000000062</c:v>
                </c:pt>
              </c:numCache>
            </c:numRef>
          </c:xVal>
          <c:yVal>
            <c:numRef>
              <c:f>Data!$F$3:$F$21</c:f>
              <c:numCache>
                <c:formatCode>General</c:formatCode>
                <c:ptCount val="19"/>
                <c:pt idx="0">
                  <c:v>1.3043359999999999</c:v>
                </c:pt>
                <c:pt idx="1">
                  <c:v>1.3043359999999999</c:v>
                </c:pt>
                <c:pt idx="2">
                  <c:v>1.3043359999999999</c:v>
                </c:pt>
                <c:pt idx="3">
                  <c:v>1.3043359999999999</c:v>
                </c:pt>
                <c:pt idx="4">
                  <c:v>1.3043359999999999</c:v>
                </c:pt>
                <c:pt idx="5">
                  <c:v>1.3043359999999999</c:v>
                </c:pt>
                <c:pt idx="6">
                  <c:v>1.3043359999999999</c:v>
                </c:pt>
                <c:pt idx="7">
                  <c:v>1.3043359999999999</c:v>
                </c:pt>
                <c:pt idx="8">
                  <c:v>1.3043359999999999</c:v>
                </c:pt>
                <c:pt idx="9">
                  <c:v>1.3043359999999999</c:v>
                </c:pt>
                <c:pt idx="10">
                  <c:v>1.3043359999999999</c:v>
                </c:pt>
                <c:pt idx="11">
                  <c:v>1.3043359999999999</c:v>
                </c:pt>
                <c:pt idx="12">
                  <c:v>1.3043359999999999</c:v>
                </c:pt>
                <c:pt idx="13">
                  <c:v>1.3043359999999999</c:v>
                </c:pt>
                <c:pt idx="14">
                  <c:v>1.3043359999999999</c:v>
                </c:pt>
                <c:pt idx="15">
                  <c:v>1.3043359999999999</c:v>
                </c:pt>
                <c:pt idx="16">
                  <c:v>1.3043359999999999</c:v>
                </c:pt>
                <c:pt idx="17">
                  <c:v>1.3043359999999999</c:v>
                </c:pt>
                <c:pt idx="18">
                  <c:v>1.3043359999999999</c:v>
                </c:pt>
              </c:numCache>
            </c:numRef>
          </c:yVal>
          <c:smooth val="1"/>
          <c:extLst xmlns:c16r2="http://schemas.microsoft.com/office/drawing/2015/06/chart">
            <c:ext xmlns:c16="http://schemas.microsoft.com/office/drawing/2014/chart" uri="{C3380CC4-5D6E-409C-BE32-E72D297353CC}">
              <c16:uniqueId val="{00000005-76E4-4CD3-8868-442D6E4A8AB5}"/>
            </c:ext>
          </c:extLst>
        </c:ser>
        <c:dLbls>
          <c:showLegendKey val="0"/>
          <c:showVal val="0"/>
          <c:showCatName val="0"/>
          <c:showSerName val="0"/>
          <c:showPercent val="0"/>
          <c:showBubbleSize val="0"/>
        </c:dLbls>
        <c:axId val="137442816"/>
        <c:axId val="137449472"/>
      </c:scatterChart>
      <c:valAx>
        <c:axId val="137442816"/>
        <c:scaling>
          <c:orientation val="minMax"/>
        </c:scaling>
        <c:delete val="0"/>
        <c:axPos val="b"/>
        <c:title>
          <c:tx>
            <c:rich>
              <a:bodyPr/>
              <a:lstStyle/>
              <a:p>
                <a:pPr>
                  <a:defRPr b="1"/>
                </a:pPr>
                <a:r>
                  <a:rPr lang="en-US" b="1"/>
                  <a:t>Quantile levels</a:t>
                </a:r>
              </a:p>
            </c:rich>
          </c:tx>
          <c:layout>
            <c:manualLayout>
              <c:xMode val="edge"/>
              <c:yMode val="edge"/>
              <c:x val="0.4750010938388744"/>
              <c:y val="0.79902685961046316"/>
            </c:manualLayout>
          </c:layout>
          <c:overlay val="0"/>
        </c:title>
        <c:numFmt formatCode="0.00_ " sourceLinked="1"/>
        <c:majorTickMark val="in"/>
        <c:minorTickMark val="none"/>
        <c:tickLblPos val="nextTo"/>
        <c:txPr>
          <a:bodyPr rot="0" vert="horz"/>
          <a:lstStyle/>
          <a:p>
            <a:pPr>
              <a:defRPr sz="1200" b="1" i="0" u="none" strike="noStrike" baseline="0">
                <a:solidFill>
                  <a:srgbClr val="000000"/>
                </a:solidFill>
                <a:latin typeface="新細明體"/>
                <a:ea typeface="新細明體"/>
                <a:cs typeface="新細明體"/>
              </a:defRPr>
            </a:pPr>
            <a:endParaRPr lang="en-US"/>
          </a:p>
        </c:txPr>
        <c:crossAx val="137449472"/>
        <c:crosses val="autoZero"/>
        <c:crossBetween val="midCat"/>
      </c:valAx>
      <c:valAx>
        <c:axId val="137449472"/>
        <c:scaling>
          <c:orientation val="minMax"/>
        </c:scaling>
        <c:delete val="0"/>
        <c:axPos val="l"/>
        <c:title>
          <c:tx>
            <c:rich>
              <a:bodyPr/>
              <a:lstStyle/>
              <a:p>
                <a:pPr>
                  <a:defRPr b="1"/>
                </a:pPr>
                <a:r>
                  <a:rPr lang="en-US" b="1"/>
                  <a:t>Estimates</a:t>
                </a:r>
              </a:p>
            </c:rich>
          </c:tx>
          <c:layout>
            <c:manualLayout>
              <c:xMode val="edge"/>
              <c:yMode val="edge"/>
              <c:x val="1.1375431653597863E-2"/>
              <c:y val="0.33559323855849077"/>
            </c:manualLayout>
          </c:layout>
          <c:overlay val="0"/>
        </c:title>
        <c:numFmt formatCode="0.00_ " sourceLinked="0"/>
        <c:majorTickMark val="out"/>
        <c:minorTickMark val="none"/>
        <c:tickLblPos val="nextTo"/>
        <c:txPr>
          <a:bodyPr rot="0" vert="horz"/>
          <a:lstStyle/>
          <a:p>
            <a:pPr>
              <a:defRPr b="1"/>
            </a:pPr>
            <a:endParaRPr lang="en-US"/>
          </a:p>
        </c:txPr>
        <c:crossAx val="137442816"/>
        <c:crosses val="autoZero"/>
        <c:crossBetween val="midCat"/>
      </c:valAx>
      <c:spPr>
        <a:noFill/>
        <a:ln w="25400">
          <a:noFill/>
        </a:ln>
      </c:spPr>
    </c:plotArea>
    <c:plotVisOnly val="1"/>
    <c:dispBlanksAs val="gap"/>
    <c:showDLblsOverMax val="0"/>
  </c:chart>
  <c:spPr>
    <a:noFill/>
    <a:ln w="9525">
      <a:noFill/>
    </a:ln>
  </c:spPr>
  <c:txPr>
    <a:bodyPr/>
    <a:lstStyle/>
    <a:p>
      <a:pPr>
        <a:defRPr sz="1200" b="0" i="0" u="none" strike="noStrike" baseline="0">
          <a:solidFill>
            <a:srgbClr val="000000"/>
          </a:solidFill>
          <a:latin typeface="新細明體"/>
          <a:ea typeface="新細明體"/>
          <a:cs typeface="新細明體"/>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82316442605998"/>
          <c:y val="4.7457627118649523E-2"/>
          <c:w val="0.81168592243726534"/>
          <c:h val="0.78272697141526248"/>
        </c:manualLayout>
      </c:layout>
      <c:scatterChart>
        <c:scatterStyle val="smoothMarker"/>
        <c:varyColors val="0"/>
        <c:ser>
          <c:idx val="0"/>
          <c:order val="0"/>
          <c:tx>
            <c:v>mean</c:v>
          </c:tx>
          <c:spPr>
            <a:ln w="12700">
              <a:solidFill>
                <a:srgbClr val="000000"/>
              </a:solidFill>
              <a:prstDash val="solid"/>
            </a:ln>
          </c:spPr>
          <c:marker>
            <c:symbol val="diamond"/>
            <c:size val="5"/>
            <c:spPr>
              <a:solidFill>
                <a:srgbClr val="000000"/>
              </a:solidFill>
              <a:ln>
                <a:solidFill>
                  <a:srgbClr val="000000"/>
                </a:solidFill>
                <a:prstDash val="solid"/>
              </a:ln>
            </c:spPr>
          </c:marker>
          <c:xVal>
            <c:numRef>
              <c:f>'[SRD03_DA_DUMMY_A(符合樣式).xls]Data'!$A$3:$A$21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0.65000000000003122</c:v>
                </c:pt>
                <c:pt idx="13">
                  <c:v>0.70000000000000062</c:v>
                </c:pt>
                <c:pt idx="14">
                  <c:v>0.75000000000001465</c:v>
                </c:pt>
                <c:pt idx="15">
                  <c:v>0.8</c:v>
                </c:pt>
                <c:pt idx="16">
                  <c:v>0.85000000000000064</c:v>
                </c:pt>
                <c:pt idx="17">
                  <c:v>0.9</c:v>
                </c:pt>
                <c:pt idx="18">
                  <c:v>0.95000000000000062</c:v>
                </c:pt>
              </c:numCache>
            </c:numRef>
          </c:xVal>
          <c:yVal>
            <c:numRef>
              <c:f>'[SRD03_DA_DUMMY_A(符合樣式).xls]Data'!$D$3:$D$21</c:f>
              <c:numCache>
                <c:formatCode>General</c:formatCode>
                <c:ptCount val="19"/>
                <c:pt idx="0">
                  <c:v>-0.60828639999999956</c:v>
                </c:pt>
                <c:pt idx="1">
                  <c:v>-0.6155429</c:v>
                </c:pt>
                <c:pt idx="2">
                  <c:v>-0.56523559999999951</c:v>
                </c:pt>
                <c:pt idx="3">
                  <c:v>-0.53371609999999958</c:v>
                </c:pt>
                <c:pt idx="4">
                  <c:v>-0.49849010000000032</c:v>
                </c:pt>
                <c:pt idx="5">
                  <c:v>-0.46684495000000031</c:v>
                </c:pt>
                <c:pt idx="6">
                  <c:v>-0.41264390000000001</c:v>
                </c:pt>
                <c:pt idx="7">
                  <c:v>-0.38023840000000031</c:v>
                </c:pt>
                <c:pt idx="8">
                  <c:v>-0.32340790000001773</c:v>
                </c:pt>
                <c:pt idx="9">
                  <c:v>-0.30711555000000001</c:v>
                </c:pt>
                <c:pt idx="10">
                  <c:v>-0.24278864999999999</c:v>
                </c:pt>
                <c:pt idx="11">
                  <c:v>-0.16325520000000004</c:v>
                </c:pt>
                <c:pt idx="12">
                  <c:v>-0.13585610000000001</c:v>
                </c:pt>
                <c:pt idx="13">
                  <c:v>-9.4426900000000244E-2</c:v>
                </c:pt>
                <c:pt idx="14">
                  <c:v>5.5002850000000013E-2</c:v>
                </c:pt>
                <c:pt idx="15">
                  <c:v>0.21802950000000004</c:v>
                </c:pt>
                <c:pt idx="16">
                  <c:v>0.46152915</c:v>
                </c:pt>
                <c:pt idx="17">
                  <c:v>0.85476329999999989</c:v>
                </c:pt>
                <c:pt idx="18">
                  <c:v>1.7578049999999303</c:v>
                </c:pt>
              </c:numCache>
            </c:numRef>
          </c:yVal>
          <c:smooth val="1"/>
          <c:extLst xmlns:c16r2="http://schemas.microsoft.com/office/drawing/2015/06/chart">
            <c:ext xmlns:c16="http://schemas.microsoft.com/office/drawing/2014/chart" uri="{C3380CC4-5D6E-409C-BE32-E72D297353CC}">
              <c16:uniqueId val="{00000000-3C0C-4DE7-9B3A-FB019800E9FC}"/>
            </c:ext>
          </c:extLst>
        </c:ser>
        <c:ser>
          <c:idx val="1"/>
          <c:order val="1"/>
          <c:tx>
            <c:v>right</c:v>
          </c:tx>
          <c:spPr>
            <a:ln w="12700">
              <a:solidFill>
                <a:srgbClr val="000000"/>
              </a:solidFill>
              <a:prstDash val="solid"/>
            </a:ln>
          </c:spPr>
          <c:marker>
            <c:symbol val="square"/>
            <c:size val="5"/>
            <c:spPr>
              <a:solidFill>
                <a:srgbClr val="000000"/>
              </a:solidFill>
              <a:ln>
                <a:solidFill>
                  <a:srgbClr val="000000"/>
                </a:solidFill>
                <a:prstDash val="solid"/>
              </a:ln>
            </c:spPr>
          </c:marker>
          <c:xVal>
            <c:numRef>
              <c:f>'[SRD03_DA_DUMMY_A(符合樣式).xls]Data'!$A$3:$A$21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0.65000000000003122</c:v>
                </c:pt>
                <c:pt idx="13">
                  <c:v>0.70000000000000062</c:v>
                </c:pt>
                <c:pt idx="14">
                  <c:v>0.75000000000001465</c:v>
                </c:pt>
                <c:pt idx="15">
                  <c:v>0.8</c:v>
                </c:pt>
                <c:pt idx="16">
                  <c:v>0.85000000000000064</c:v>
                </c:pt>
                <c:pt idx="17">
                  <c:v>0.9</c:v>
                </c:pt>
                <c:pt idx="18">
                  <c:v>0.95000000000000062</c:v>
                </c:pt>
              </c:numCache>
            </c:numRef>
          </c:xVal>
          <c:yVal>
            <c:numRef>
              <c:f>'[SRD03_DA_DUMMY_A(符合樣式).xls]Data'!$C$3:$C$21</c:f>
              <c:numCache>
                <c:formatCode>General</c:formatCode>
                <c:ptCount val="19"/>
                <c:pt idx="0">
                  <c:v>-0.52437009999999951</c:v>
                </c:pt>
                <c:pt idx="1">
                  <c:v>-0.5522551</c:v>
                </c:pt>
                <c:pt idx="2">
                  <c:v>-0.47832660000002314</c:v>
                </c:pt>
                <c:pt idx="3">
                  <c:v>-0.46532740000000788</c:v>
                </c:pt>
                <c:pt idx="4">
                  <c:v>-0.40849880000000038</c:v>
                </c:pt>
                <c:pt idx="5">
                  <c:v>-0.37191200000001673</c:v>
                </c:pt>
                <c:pt idx="6">
                  <c:v>-0.27994790000000008</c:v>
                </c:pt>
                <c:pt idx="7">
                  <c:v>-0.260428600000015</c:v>
                </c:pt>
                <c:pt idx="8">
                  <c:v>-0.21734290000000644</c:v>
                </c:pt>
                <c:pt idx="9">
                  <c:v>-0.18506259999999999</c:v>
                </c:pt>
                <c:pt idx="10">
                  <c:v>-0.12365470000000379</c:v>
                </c:pt>
                <c:pt idx="11">
                  <c:v>-5.0518000000000014E-2</c:v>
                </c:pt>
                <c:pt idx="12">
                  <c:v>-1.2169800000000001E-2</c:v>
                </c:pt>
                <c:pt idx="13">
                  <c:v>6.1161199999999985E-2</c:v>
                </c:pt>
                <c:pt idx="14">
                  <c:v>0.29750110000000002</c:v>
                </c:pt>
                <c:pt idx="15">
                  <c:v>0.54304490000000005</c:v>
                </c:pt>
                <c:pt idx="16">
                  <c:v>0.78467840000001265</c:v>
                </c:pt>
                <c:pt idx="17">
                  <c:v>1.4795529999999999</c:v>
                </c:pt>
                <c:pt idx="18">
                  <c:v>2.5622639999999977</c:v>
                </c:pt>
              </c:numCache>
            </c:numRef>
          </c:yVal>
          <c:smooth val="1"/>
          <c:extLst xmlns:c16r2="http://schemas.microsoft.com/office/drawing/2015/06/chart">
            <c:ext xmlns:c16="http://schemas.microsoft.com/office/drawing/2014/chart" uri="{C3380CC4-5D6E-409C-BE32-E72D297353CC}">
              <c16:uniqueId val="{00000001-3C0C-4DE7-9B3A-FB019800E9FC}"/>
            </c:ext>
          </c:extLst>
        </c:ser>
        <c:ser>
          <c:idx val="2"/>
          <c:order val="2"/>
          <c:tx>
            <c:v>left</c:v>
          </c:tx>
          <c:spPr>
            <a:ln w="12700">
              <a:solidFill>
                <a:srgbClr val="000000"/>
              </a:solidFill>
              <a:prstDash val="solid"/>
            </a:ln>
          </c:spPr>
          <c:marker>
            <c:symbol val="triangle"/>
            <c:size val="5"/>
            <c:spPr>
              <a:solidFill>
                <a:srgbClr val="000000"/>
              </a:solidFill>
              <a:ln>
                <a:solidFill>
                  <a:srgbClr val="000000"/>
                </a:solidFill>
                <a:prstDash val="solid"/>
              </a:ln>
            </c:spPr>
          </c:marker>
          <c:xVal>
            <c:numRef>
              <c:f>'[SRD03_DA_DUMMY_A(符合樣式).xls]Data'!$A$3:$A$21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0.65000000000003122</c:v>
                </c:pt>
                <c:pt idx="13">
                  <c:v>0.70000000000000062</c:v>
                </c:pt>
                <c:pt idx="14">
                  <c:v>0.75000000000001465</c:v>
                </c:pt>
                <c:pt idx="15">
                  <c:v>0.8</c:v>
                </c:pt>
                <c:pt idx="16">
                  <c:v>0.85000000000000064</c:v>
                </c:pt>
                <c:pt idx="17">
                  <c:v>0.9</c:v>
                </c:pt>
                <c:pt idx="18">
                  <c:v>0.95000000000000062</c:v>
                </c:pt>
              </c:numCache>
            </c:numRef>
          </c:xVal>
          <c:yVal>
            <c:numRef>
              <c:f>'[SRD03_DA_DUMMY_A(符合樣式).xls]Data'!$B$3:$B$21</c:f>
              <c:numCache>
                <c:formatCode>General</c:formatCode>
                <c:ptCount val="19"/>
                <c:pt idx="0">
                  <c:v>-0.6922026999999995</c:v>
                </c:pt>
                <c:pt idx="1">
                  <c:v>-0.67883070000002665</c:v>
                </c:pt>
                <c:pt idx="2">
                  <c:v>-0.65214460000003949</c:v>
                </c:pt>
                <c:pt idx="3">
                  <c:v>-0.60210480000000965</c:v>
                </c:pt>
                <c:pt idx="4">
                  <c:v>-0.58848139999995619</c:v>
                </c:pt>
                <c:pt idx="5">
                  <c:v>-0.56177790000000005</c:v>
                </c:pt>
                <c:pt idx="6">
                  <c:v>-0.54533989999999999</c:v>
                </c:pt>
                <c:pt idx="7">
                  <c:v>-0.50004820000000005</c:v>
                </c:pt>
                <c:pt idx="8">
                  <c:v>-0.42947290000002314</c:v>
                </c:pt>
                <c:pt idx="9">
                  <c:v>-0.42916850000001477</c:v>
                </c:pt>
                <c:pt idx="10">
                  <c:v>-0.36192260000002091</c:v>
                </c:pt>
                <c:pt idx="11">
                  <c:v>-0.27599240000000008</c:v>
                </c:pt>
                <c:pt idx="12">
                  <c:v>-0.25954240000000001</c:v>
                </c:pt>
                <c:pt idx="13">
                  <c:v>-0.2500150000000001</c:v>
                </c:pt>
                <c:pt idx="14">
                  <c:v>-0.18749540000001394</c:v>
                </c:pt>
                <c:pt idx="15">
                  <c:v>-0.10698589999999998</c:v>
                </c:pt>
                <c:pt idx="16">
                  <c:v>0.1383799</c:v>
                </c:pt>
                <c:pt idx="17">
                  <c:v>0.2299736</c:v>
                </c:pt>
                <c:pt idx="18">
                  <c:v>0.95334600000000003</c:v>
                </c:pt>
              </c:numCache>
            </c:numRef>
          </c:yVal>
          <c:smooth val="1"/>
          <c:extLst xmlns:c16r2="http://schemas.microsoft.com/office/drawing/2015/06/chart">
            <c:ext xmlns:c16="http://schemas.microsoft.com/office/drawing/2014/chart" uri="{C3380CC4-5D6E-409C-BE32-E72D297353CC}">
              <c16:uniqueId val="{00000002-3C0C-4DE7-9B3A-FB019800E9FC}"/>
            </c:ext>
          </c:extLst>
        </c:ser>
        <c:ser>
          <c:idx val="3"/>
          <c:order val="3"/>
          <c:tx>
            <c:v>OLS</c:v>
          </c:tx>
          <c:spPr>
            <a:ln w="38100">
              <a:solidFill>
                <a:srgbClr val="FF0000"/>
              </a:solidFill>
              <a:prstDash val="sysDash"/>
            </a:ln>
          </c:spPr>
          <c:marker>
            <c:symbol val="x"/>
            <c:size val="3"/>
            <c:spPr>
              <a:solidFill>
                <a:srgbClr val="FF0000"/>
              </a:solidFill>
              <a:ln>
                <a:solidFill>
                  <a:srgbClr val="FF0000"/>
                </a:solidFill>
                <a:prstDash val="solid"/>
              </a:ln>
            </c:spPr>
          </c:marker>
          <c:xVal>
            <c:numRef>
              <c:f>'[SRD03_DA_DUMMY_A(符合樣式).xls]Data'!$A$3:$A$21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0.65000000000003122</c:v>
                </c:pt>
                <c:pt idx="13">
                  <c:v>0.70000000000000062</c:v>
                </c:pt>
                <c:pt idx="14">
                  <c:v>0.75000000000001465</c:v>
                </c:pt>
                <c:pt idx="15">
                  <c:v>0.8</c:v>
                </c:pt>
                <c:pt idx="16">
                  <c:v>0.85000000000000064</c:v>
                </c:pt>
                <c:pt idx="17">
                  <c:v>0.9</c:v>
                </c:pt>
                <c:pt idx="18">
                  <c:v>0.95000000000000062</c:v>
                </c:pt>
              </c:numCache>
            </c:numRef>
          </c:xVal>
          <c:yVal>
            <c:numRef>
              <c:f>'[SRD03_DA_DUMMY_A(符合樣式).xls]Data'!$E$3:$E$21</c:f>
              <c:numCache>
                <c:formatCode>General</c:formatCode>
                <c:ptCount val="19"/>
                <c:pt idx="0">
                  <c:v>0.11663635000000012</c:v>
                </c:pt>
                <c:pt idx="1">
                  <c:v>0.11663635000000012</c:v>
                </c:pt>
                <c:pt idx="2">
                  <c:v>0.11663635000000012</c:v>
                </c:pt>
                <c:pt idx="3">
                  <c:v>0.11663635000000012</c:v>
                </c:pt>
                <c:pt idx="4">
                  <c:v>0.11663635000000012</c:v>
                </c:pt>
                <c:pt idx="5">
                  <c:v>0.11663635000000012</c:v>
                </c:pt>
                <c:pt idx="6">
                  <c:v>0.11663635000000012</c:v>
                </c:pt>
                <c:pt idx="7">
                  <c:v>0.11663635000000012</c:v>
                </c:pt>
                <c:pt idx="8">
                  <c:v>0.11663635000000012</c:v>
                </c:pt>
                <c:pt idx="9">
                  <c:v>0.11663635000000012</c:v>
                </c:pt>
                <c:pt idx="10">
                  <c:v>0.11663635000000012</c:v>
                </c:pt>
                <c:pt idx="11">
                  <c:v>0.11663635000000012</c:v>
                </c:pt>
                <c:pt idx="12">
                  <c:v>0.11663635000000012</c:v>
                </c:pt>
                <c:pt idx="13">
                  <c:v>0.11663635000000012</c:v>
                </c:pt>
                <c:pt idx="14">
                  <c:v>0.11663635000000012</c:v>
                </c:pt>
                <c:pt idx="15">
                  <c:v>0.11663635000000012</c:v>
                </c:pt>
                <c:pt idx="16">
                  <c:v>0.11663635000000012</c:v>
                </c:pt>
                <c:pt idx="17">
                  <c:v>0.11663635000000012</c:v>
                </c:pt>
                <c:pt idx="18">
                  <c:v>0.11663635000000012</c:v>
                </c:pt>
              </c:numCache>
            </c:numRef>
          </c:yVal>
          <c:smooth val="1"/>
          <c:extLst xmlns:c16r2="http://schemas.microsoft.com/office/drawing/2015/06/chart">
            <c:ext xmlns:c16="http://schemas.microsoft.com/office/drawing/2014/chart" uri="{C3380CC4-5D6E-409C-BE32-E72D297353CC}">
              <c16:uniqueId val="{00000003-3C0C-4DE7-9B3A-FB019800E9FC}"/>
            </c:ext>
          </c:extLst>
        </c:ser>
        <c:ser>
          <c:idx val="4"/>
          <c:order val="4"/>
          <c:tx>
            <c:v>up</c:v>
          </c:tx>
          <c:spPr>
            <a:ln w="12700">
              <a:solidFill>
                <a:srgbClr val="FF0000"/>
              </a:solidFill>
              <a:prstDash val="lgDash"/>
            </a:ln>
          </c:spPr>
          <c:marker>
            <c:symbol val="star"/>
            <c:size val="5"/>
            <c:spPr>
              <a:noFill/>
              <a:ln>
                <a:solidFill>
                  <a:srgbClr val="FF0000"/>
                </a:solidFill>
                <a:prstDash val="solid"/>
              </a:ln>
            </c:spPr>
          </c:marker>
          <c:xVal>
            <c:numRef>
              <c:f>'[SRD03_DA_DUMMY_A(符合樣式).xls]Data'!$A$3:$A$21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0.65000000000003122</c:v>
                </c:pt>
                <c:pt idx="13">
                  <c:v>0.70000000000000062</c:v>
                </c:pt>
                <c:pt idx="14">
                  <c:v>0.75000000000001465</c:v>
                </c:pt>
                <c:pt idx="15">
                  <c:v>0.8</c:v>
                </c:pt>
                <c:pt idx="16">
                  <c:v>0.85000000000000064</c:v>
                </c:pt>
                <c:pt idx="17">
                  <c:v>0.9</c:v>
                </c:pt>
                <c:pt idx="18">
                  <c:v>0.95000000000000062</c:v>
                </c:pt>
              </c:numCache>
            </c:numRef>
          </c:xVal>
          <c:yVal>
            <c:numRef>
              <c:f>'[SRD03_DA_DUMMY_A(符合樣式).xls]Data'!$G$3:$G$21</c:f>
              <c:numCache>
                <c:formatCode>General</c:formatCode>
                <c:ptCount val="19"/>
                <c:pt idx="0">
                  <c:v>0.21230540000000594</c:v>
                </c:pt>
                <c:pt idx="1">
                  <c:v>0.21230540000000594</c:v>
                </c:pt>
                <c:pt idx="2">
                  <c:v>0.21230540000000594</c:v>
                </c:pt>
                <c:pt idx="3">
                  <c:v>0.21230540000000594</c:v>
                </c:pt>
                <c:pt idx="4">
                  <c:v>0.21230540000000594</c:v>
                </c:pt>
                <c:pt idx="5">
                  <c:v>0.21230540000000594</c:v>
                </c:pt>
                <c:pt idx="6">
                  <c:v>0.21230540000000594</c:v>
                </c:pt>
                <c:pt idx="7">
                  <c:v>0.21230540000000594</c:v>
                </c:pt>
                <c:pt idx="8">
                  <c:v>0.21230540000000594</c:v>
                </c:pt>
                <c:pt idx="9">
                  <c:v>0.21230540000000594</c:v>
                </c:pt>
                <c:pt idx="10">
                  <c:v>0.21230540000000594</c:v>
                </c:pt>
                <c:pt idx="11">
                  <c:v>0.21230540000000594</c:v>
                </c:pt>
                <c:pt idx="12">
                  <c:v>0.21230540000000594</c:v>
                </c:pt>
                <c:pt idx="13">
                  <c:v>0.21230540000000594</c:v>
                </c:pt>
                <c:pt idx="14">
                  <c:v>0.21230540000000594</c:v>
                </c:pt>
                <c:pt idx="15">
                  <c:v>0.21230540000000594</c:v>
                </c:pt>
                <c:pt idx="16">
                  <c:v>0.21230540000000594</c:v>
                </c:pt>
                <c:pt idx="17">
                  <c:v>0.21230540000000594</c:v>
                </c:pt>
                <c:pt idx="18">
                  <c:v>0.21230540000000594</c:v>
                </c:pt>
              </c:numCache>
            </c:numRef>
          </c:yVal>
          <c:smooth val="1"/>
          <c:extLst xmlns:c16r2="http://schemas.microsoft.com/office/drawing/2015/06/chart">
            <c:ext xmlns:c16="http://schemas.microsoft.com/office/drawing/2014/chart" uri="{C3380CC4-5D6E-409C-BE32-E72D297353CC}">
              <c16:uniqueId val="{00000004-3C0C-4DE7-9B3A-FB019800E9FC}"/>
            </c:ext>
          </c:extLst>
        </c:ser>
        <c:ser>
          <c:idx val="5"/>
          <c:order val="5"/>
          <c:tx>
            <c:v>low</c:v>
          </c:tx>
          <c:spPr>
            <a:ln w="12700">
              <a:solidFill>
                <a:srgbClr val="FF0000"/>
              </a:solidFill>
              <a:prstDash val="lgDash"/>
            </a:ln>
          </c:spPr>
          <c:marker>
            <c:symbol val="star"/>
            <c:size val="5"/>
            <c:spPr>
              <a:noFill/>
              <a:ln>
                <a:solidFill>
                  <a:srgbClr val="FF0000"/>
                </a:solidFill>
                <a:prstDash val="solid"/>
              </a:ln>
            </c:spPr>
          </c:marker>
          <c:xVal>
            <c:numRef>
              <c:f>'[SRD03_DA_DUMMY_A(符合樣式).xls]Data'!$A$3:$A$21</c:f>
              <c:numCache>
                <c:formatCode>0.00_ </c:formatCode>
                <c:ptCount val="19"/>
                <c:pt idx="0">
                  <c:v>0.05</c:v>
                </c:pt>
                <c:pt idx="1">
                  <c:v>0.1</c:v>
                </c:pt>
                <c:pt idx="2">
                  <c:v>0.15000000000000024</c:v>
                </c:pt>
                <c:pt idx="3">
                  <c:v>0.2</c:v>
                </c:pt>
                <c:pt idx="4">
                  <c:v>0.25</c:v>
                </c:pt>
                <c:pt idx="5">
                  <c:v>0.30000000000000032</c:v>
                </c:pt>
                <c:pt idx="6">
                  <c:v>0.35000000000000031</c:v>
                </c:pt>
                <c:pt idx="7">
                  <c:v>0.4</c:v>
                </c:pt>
                <c:pt idx="8">
                  <c:v>0.45</c:v>
                </c:pt>
                <c:pt idx="9">
                  <c:v>0.5</c:v>
                </c:pt>
                <c:pt idx="10">
                  <c:v>0.55000000000000004</c:v>
                </c:pt>
                <c:pt idx="11">
                  <c:v>0.60000000000000064</c:v>
                </c:pt>
                <c:pt idx="12">
                  <c:v>0.65000000000003122</c:v>
                </c:pt>
                <c:pt idx="13">
                  <c:v>0.70000000000000062</c:v>
                </c:pt>
                <c:pt idx="14">
                  <c:v>0.75000000000001465</c:v>
                </c:pt>
                <c:pt idx="15">
                  <c:v>0.8</c:v>
                </c:pt>
                <c:pt idx="16">
                  <c:v>0.85000000000000064</c:v>
                </c:pt>
                <c:pt idx="17">
                  <c:v>0.9</c:v>
                </c:pt>
                <c:pt idx="18">
                  <c:v>0.95000000000000062</c:v>
                </c:pt>
              </c:numCache>
            </c:numRef>
          </c:xVal>
          <c:yVal>
            <c:numRef>
              <c:f>'[SRD03_DA_DUMMY_A(符合樣式).xls]Data'!$F$3:$F$21</c:f>
              <c:numCache>
                <c:formatCode>General</c:formatCode>
                <c:ptCount val="19"/>
                <c:pt idx="0">
                  <c:v>2.0967300000000001E-2</c:v>
                </c:pt>
                <c:pt idx="1">
                  <c:v>2.0967300000000001E-2</c:v>
                </c:pt>
                <c:pt idx="2">
                  <c:v>2.0967300000000001E-2</c:v>
                </c:pt>
                <c:pt idx="3">
                  <c:v>2.0967300000000001E-2</c:v>
                </c:pt>
                <c:pt idx="4">
                  <c:v>2.0967300000000001E-2</c:v>
                </c:pt>
                <c:pt idx="5">
                  <c:v>2.0967300000000001E-2</c:v>
                </c:pt>
                <c:pt idx="6">
                  <c:v>2.0967300000000001E-2</c:v>
                </c:pt>
                <c:pt idx="7">
                  <c:v>2.0967300000000001E-2</c:v>
                </c:pt>
                <c:pt idx="8">
                  <c:v>2.0967300000000001E-2</c:v>
                </c:pt>
                <c:pt idx="9">
                  <c:v>2.0967300000000001E-2</c:v>
                </c:pt>
                <c:pt idx="10">
                  <c:v>2.0967300000000001E-2</c:v>
                </c:pt>
                <c:pt idx="11">
                  <c:v>2.0967300000000001E-2</c:v>
                </c:pt>
                <c:pt idx="12">
                  <c:v>2.0967300000000001E-2</c:v>
                </c:pt>
                <c:pt idx="13">
                  <c:v>2.0967300000000001E-2</c:v>
                </c:pt>
                <c:pt idx="14">
                  <c:v>2.0967300000000001E-2</c:v>
                </c:pt>
                <c:pt idx="15">
                  <c:v>2.0967300000000001E-2</c:v>
                </c:pt>
                <c:pt idx="16">
                  <c:v>2.0967300000000001E-2</c:v>
                </c:pt>
                <c:pt idx="17">
                  <c:v>2.0967300000000001E-2</c:v>
                </c:pt>
                <c:pt idx="18">
                  <c:v>2.0967300000000001E-2</c:v>
                </c:pt>
              </c:numCache>
            </c:numRef>
          </c:yVal>
          <c:smooth val="1"/>
          <c:extLst xmlns:c16r2="http://schemas.microsoft.com/office/drawing/2015/06/chart">
            <c:ext xmlns:c16="http://schemas.microsoft.com/office/drawing/2014/chart" uri="{C3380CC4-5D6E-409C-BE32-E72D297353CC}">
              <c16:uniqueId val="{00000005-3C0C-4DE7-9B3A-FB019800E9FC}"/>
            </c:ext>
          </c:extLst>
        </c:ser>
        <c:dLbls>
          <c:showLegendKey val="0"/>
          <c:showVal val="0"/>
          <c:showCatName val="0"/>
          <c:showSerName val="0"/>
          <c:showPercent val="0"/>
          <c:showBubbleSize val="0"/>
        </c:dLbls>
        <c:axId val="137893376"/>
        <c:axId val="137895936"/>
      </c:scatterChart>
      <c:valAx>
        <c:axId val="137893376"/>
        <c:scaling>
          <c:orientation val="minMax"/>
        </c:scaling>
        <c:delete val="0"/>
        <c:axPos val="b"/>
        <c:title>
          <c:tx>
            <c:rich>
              <a:bodyPr/>
              <a:lstStyle/>
              <a:p>
                <a:pPr>
                  <a:defRPr b="1"/>
                </a:pPr>
                <a:r>
                  <a:rPr lang="en-US" b="1"/>
                  <a:t>Quantile levels</a:t>
                </a:r>
              </a:p>
            </c:rich>
          </c:tx>
          <c:layout>
            <c:manualLayout>
              <c:xMode val="edge"/>
              <c:yMode val="edge"/>
              <c:x val="0.47671089724895499"/>
              <c:y val="0.82162007211219812"/>
            </c:manualLayout>
          </c:layout>
          <c:overlay val="0"/>
        </c:title>
        <c:numFmt formatCode="0.00_ " sourceLinked="1"/>
        <c:majorTickMark val="in"/>
        <c:minorTickMark val="none"/>
        <c:tickLblPos val="nextTo"/>
        <c:txPr>
          <a:bodyPr rot="0" vert="horz"/>
          <a:lstStyle/>
          <a:p>
            <a:pPr>
              <a:defRPr sz="1200" b="1" i="0" u="none" strike="noStrike" baseline="0">
                <a:solidFill>
                  <a:srgbClr val="000000"/>
                </a:solidFill>
                <a:latin typeface="新細明體"/>
                <a:ea typeface="新細明體"/>
                <a:cs typeface="新細明體"/>
              </a:defRPr>
            </a:pPr>
            <a:endParaRPr lang="en-US"/>
          </a:p>
        </c:txPr>
        <c:crossAx val="137895936"/>
        <c:crosses val="autoZero"/>
        <c:crossBetween val="midCat"/>
      </c:valAx>
      <c:valAx>
        <c:axId val="137895936"/>
        <c:scaling>
          <c:orientation val="minMax"/>
        </c:scaling>
        <c:delete val="0"/>
        <c:axPos val="l"/>
        <c:title>
          <c:tx>
            <c:rich>
              <a:bodyPr/>
              <a:lstStyle/>
              <a:p>
                <a:pPr>
                  <a:defRPr b="1"/>
                </a:pPr>
                <a:r>
                  <a:rPr lang="en-US" b="1"/>
                  <a:t>Estimates</a:t>
                </a:r>
              </a:p>
            </c:rich>
          </c:tx>
          <c:layout>
            <c:manualLayout>
              <c:xMode val="edge"/>
              <c:yMode val="edge"/>
              <c:x val="1.1375431653597863E-2"/>
              <c:y val="0.33559323855849077"/>
            </c:manualLayout>
          </c:layout>
          <c:overlay val="0"/>
        </c:title>
        <c:numFmt formatCode="0.00_ " sourceLinked="0"/>
        <c:majorTickMark val="out"/>
        <c:minorTickMark val="none"/>
        <c:tickLblPos val="nextTo"/>
        <c:txPr>
          <a:bodyPr rot="0" vert="horz"/>
          <a:lstStyle/>
          <a:p>
            <a:pPr>
              <a:defRPr b="1"/>
            </a:pPr>
            <a:endParaRPr lang="en-US"/>
          </a:p>
        </c:txPr>
        <c:crossAx val="137893376"/>
        <c:crosses val="autoZero"/>
        <c:crossBetween val="midCat"/>
      </c:valAx>
      <c:spPr>
        <a:noFill/>
        <a:ln w="25400">
          <a:noFill/>
        </a:ln>
      </c:spPr>
    </c:plotArea>
    <c:plotVisOnly val="1"/>
    <c:dispBlanksAs val="gap"/>
    <c:showDLblsOverMax val="0"/>
  </c:chart>
  <c:spPr>
    <a:noFill/>
    <a:ln w="9525">
      <a:noFill/>
    </a:ln>
  </c:spPr>
  <c:txPr>
    <a:bodyPr/>
    <a:lstStyle/>
    <a:p>
      <a:pPr>
        <a:defRPr sz="1200" b="0" i="0" u="none" strike="noStrike" baseline="0">
          <a:solidFill>
            <a:srgbClr val="000000"/>
          </a:solidFill>
          <a:latin typeface="新細明體"/>
          <a:ea typeface="新細明體"/>
          <a:cs typeface="新細明體"/>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8217-C0D6-4B75-9B4D-2781D116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34</Pages>
  <Words>10626</Words>
  <Characters>60569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San Marcos</Company>
  <LinksUpToDate>false</LinksUpToDate>
  <CharactersWithSpaces>71053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Hwang</dc:creator>
  <cp:lastModifiedBy>Brian Silverstone</cp:lastModifiedBy>
  <cp:revision>30</cp:revision>
  <cp:lastPrinted>2017-10-27T03:37:00Z</cp:lastPrinted>
  <dcterms:created xsi:type="dcterms:W3CDTF">2017-10-17T04:21:00Z</dcterms:created>
  <dcterms:modified xsi:type="dcterms:W3CDTF">2017-10-27T03:37:00Z</dcterms:modified>
</cp:coreProperties>
</file>