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4BCF5" w14:textId="09F5C5C3" w:rsidR="007660A6" w:rsidRDefault="007660A6">
      <w:pPr>
        <w:spacing w:after="200" w:line="276" w:lineRule="auto"/>
        <w:jc w:val="left"/>
      </w:pPr>
    </w:p>
    <w:p w14:paraId="1EC9C605" w14:textId="77777777" w:rsidR="007660A6" w:rsidRDefault="007660A6" w:rsidP="007660A6">
      <w:pPr>
        <w:pStyle w:val="Default"/>
        <w:jc w:val="center"/>
        <w:rPr>
          <w:b/>
          <w:bCs/>
          <w:sz w:val="28"/>
          <w:szCs w:val="28"/>
        </w:rPr>
      </w:pPr>
    </w:p>
    <w:p w14:paraId="3DBE791F" w14:textId="77777777" w:rsidR="007660A6" w:rsidRDefault="007660A6" w:rsidP="007660A6">
      <w:pPr>
        <w:pStyle w:val="Default"/>
        <w:jc w:val="center"/>
        <w:rPr>
          <w:b/>
          <w:bCs/>
          <w:sz w:val="28"/>
          <w:szCs w:val="28"/>
        </w:rPr>
      </w:pPr>
    </w:p>
    <w:p w14:paraId="03F1BA3B" w14:textId="7D32BEAC" w:rsidR="007660A6" w:rsidRDefault="007660A6" w:rsidP="007660A6">
      <w:pPr>
        <w:pStyle w:val="Default"/>
        <w:jc w:val="center"/>
        <w:rPr>
          <w:b/>
          <w:bCs/>
          <w:sz w:val="28"/>
          <w:szCs w:val="28"/>
        </w:rPr>
      </w:pPr>
      <w:r>
        <w:rPr>
          <w:b/>
          <w:bCs/>
          <w:sz w:val="28"/>
          <w:szCs w:val="28"/>
        </w:rPr>
        <w:t>UNIVERSITY OF WAIKATO</w:t>
      </w:r>
    </w:p>
    <w:p w14:paraId="6B8217E3" w14:textId="77777777" w:rsidR="007660A6" w:rsidRDefault="007660A6" w:rsidP="007660A6">
      <w:pPr>
        <w:pStyle w:val="Default"/>
        <w:jc w:val="center"/>
        <w:rPr>
          <w:b/>
          <w:bCs/>
          <w:sz w:val="28"/>
          <w:szCs w:val="28"/>
        </w:rPr>
      </w:pPr>
      <w:r>
        <w:rPr>
          <w:b/>
          <w:bCs/>
          <w:sz w:val="28"/>
          <w:szCs w:val="28"/>
        </w:rPr>
        <w:br/>
        <w:t>Hamilton</w:t>
      </w:r>
    </w:p>
    <w:p w14:paraId="78DB50FA" w14:textId="77777777" w:rsidR="007660A6" w:rsidRDefault="007660A6" w:rsidP="007660A6">
      <w:pPr>
        <w:pStyle w:val="CM1"/>
        <w:spacing w:line="240" w:lineRule="auto"/>
        <w:jc w:val="center"/>
        <w:rPr>
          <w:b/>
          <w:bCs/>
          <w:sz w:val="28"/>
          <w:szCs w:val="28"/>
        </w:rPr>
      </w:pPr>
      <w:r>
        <w:rPr>
          <w:b/>
          <w:bCs/>
          <w:sz w:val="28"/>
          <w:szCs w:val="28"/>
        </w:rPr>
        <w:t xml:space="preserve">New Zealand </w:t>
      </w:r>
    </w:p>
    <w:p w14:paraId="10BE8E38" w14:textId="77777777" w:rsidR="007660A6" w:rsidRDefault="007660A6" w:rsidP="007660A6">
      <w:pPr>
        <w:pStyle w:val="Default"/>
      </w:pPr>
    </w:p>
    <w:p w14:paraId="5B0093F5" w14:textId="77777777" w:rsidR="007660A6" w:rsidRDefault="007660A6" w:rsidP="007660A6">
      <w:pPr>
        <w:pStyle w:val="Default"/>
      </w:pPr>
    </w:p>
    <w:p w14:paraId="40390C13" w14:textId="77777777" w:rsidR="007660A6" w:rsidRDefault="007660A6" w:rsidP="007660A6">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67910838" w14:textId="11B247B5" w:rsidR="007660A6" w:rsidRDefault="007660A6" w:rsidP="007660A6">
      <w:pPr>
        <w:pStyle w:val="Title"/>
        <w:pBdr>
          <w:top w:val="thinThickSmallGap" w:sz="24" w:space="1" w:color="auto"/>
          <w:left w:val="thinThickSmallGap" w:sz="24" w:space="4" w:color="auto"/>
          <w:bottom w:val="thinThickSmallGap" w:sz="24" w:space="1" w:color="auto"/>
          <w:right w:val="thinThickSmallGap" w:sz="24" w:space="4" w:color="auto"/>
        </w:pBdr>
        <w:spacing w:before="0" w:after="0" w:line="360" w:lineRule="auto"/>
        <w:rPr>
          <w:rFonts w:ascii="Times New Roman" w:hAnsi="Times New Roman"/>
          <w:sz w:val="28"/>
          <w:szCs w:val="28"/>
        </w:rPr>
      </w:pPr>
      <w:r>
        <w:rPr>
          <w:rFonts w:ascii="Times New Roman" w:hAnsi="Times New Roman"/>
          <w:sz w:val="28"/>
          <w:szCs w:val="28"/>
        </w:rPr>
        <w:t>Forest Loss and Economic Inequality in the Solomon Islands:</w:t>
      </w:r>
    </w:p>
    <w:p w14:paraId="15D925CD" w14:textId="77777777" w:rsidR="007660A6" w:rsidRDefault="007660A6" w:rsidP="007660A6">
      <w:pPr>
        <w:pStyle w:val="Title"/>
        <w:pBdr>
          <w:top w:val="thinThickSmallGap" w:sz="24" w:space="1" w:color="auto"/>
          <w:left w:val="thinThickSmallGap" w:sz="24" w:space="4" w:color="auto"/>
          <w:bottom w:val="thinThickSmallGap" w:sz="24" w:space="1" w:color="auto"/>
          <w:right w:val="thinThickSmallGap" w:sz="24" w:space="4" w:color="auto"/>
        </w:pBdr>
        <w:spacing w:before="0" w:after="0" w:line="360" w:lineRule="auto"/>
        <w:rPr>
          <w:rFonts w:ascii="Times New Roman" w:hAnsi="Times New Roman"/>
          <w:sz w:val="28"/>
          <w:szCs w:val="28"/>
        </w:rPr>
      </w:pPr>
      <w:r w:rsidRPr="007660A6">
        <w:rPr>
          <w:rFonts w:ascii="Times New Roman" w:hAnsi="Times New Roman"/>
          <w:sz w:val="28"/>
          <w:szCs w:val="28"/>
        </w:rPr>
        <w:t xml:space="preserve">Using Small-Area Estimation </w:t>
      </w:r>
    </w:p>
    <w:p w14:paraId="7F759A2E" w14:textId="31729760" w:rsidR="007660A6" w:rsidRPr="007660A6" w:rsidRDefault="007660A6" w:rsidP="007660A6">
      <w:pPr>
        <w:pStyle w:val="Title"/>
        <w:pBdr>
          <w:top w:val="thinThickSmallGap" w:sz="24" w:space="1" w:color="auto"/>
          <w:left w:val="thinThickSmallGap" w:sz="24" w:space="4" w:color="auto"/>
          <w:bottom w:val="thinThickSmallGap" w:sz="24" w:space="1" w:color="auto"/>
          <w:right w:val="thinThickSmallGap" w:sz="24" w:space="4" w:color="auto"/>
        </w:pBdr>
        <w:spacing w:before="0" w:after="0" w:line="360" w:lineRule="auto"/>
        <w:rPr>
          <w:rFonts w:ascii="Times New Roman" w:hAnsi="Times New Roman"/>
          <w:sz w:val="28"/>
          <w:szCs w:val="28"/>
        </w:rPr>
      </w:pPr>
      <w:proofErr w:type="gramStart"/>
      <w:r>
        <w:rPr>
          <w:rFonts w:ascii="Times New Roman" w:hAnsi="Times New Roman"/>
          <w:sz w:val="28"/>
          <w:szCs w:val="28"/>
        </w:rPr>
        <w:t>to</w:t>
      </w:r>
      <w:proofErr w:type="gramEnd"/>
      <w:r>
        <w:rPr>
          <w:rFonts w:ascii="Times New Roman" w:hAnsi="Times New Roman"/>
          <w:sz w:val="28"/>
          <w:szCs w:val="28"/>
        </w:rPr>
        <w:t xml:space="preserve"> Link Environ</w:t>
      </w:r>
      <w:r w:rsidRPr="007660A6">
        <w:rPr>
          <w:rFonts w:ascii="Times New Roman" w:hAnsi="Times New Roman"/>
          <w:sz w:val="28"/>
          <w:szCs w:val="28"/>
        </w:rPr>
        <w:t xml:space="preserve">mental Change to Welfare Outcomes </w:t>
      </w:r>
    </w:p>
    <w:p w14:paraId="50C698C9" w14:textId="5DA8D616" w:rsidR="007660A6" w:rsidRDefault="007660A6" w:rsidP="007660A6">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b w:val="0"/>
          <w:sz w:val="28"/>
          <w:szCs w:val="28"/>
        </w:rPr>
      </w:pPr>
      <w:r>
        <w:rPr>
          <w:rFonts w:ascii="Times New Roman" w:hAnsi="Times New Roman"/>
          <w:b w:val="0"/>
          <w:sz w:val="28"/>
          <w:szCs w:val="28"/>
        </w:rPr>
        <w:t xml:space="preserve">John Gibson </w:t>
      </w:r>
    </w:p>
    <w:p w14:paraId="6DE045E9" w14:textId="77777777" w:rsidR="007660A6" w:rsidRDefault="007660A6" w:rsidP="007660A6">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4FE6F541" w14:textId="77777777" w:rsidR="007660A6" w:rsidRDefault="007660A6" w:rsidP="007660A6">
      <w:pPr>
        <w:pStyle w:val="Default"/>
      </w:pPr>
    </w:p>
    <w:p w14:paraId="6A5B90F5" w14:textId="77777777" w:rsidR="007660A6" w:rsidRDefault="007660A6" w:rsidP="007660A6">
      <w:pPr>
        <w:pStyle w:val="CM20"/>
        <w:spacing w:after="0"/>
        <w:jc w:val="center"/>
        <w:rPr>
          <w:i/>
          <w:iCs/>
        </w:rPr>
      </w:pPr>
    </w:p>
    <w:p w14:paraId="55D4F8BE" w14:textId="77777777" w:rsidR="007660A6" w:rsidRDefault="007660A6" w:rsidP="007660A6">
      <w:pPr>
        <w:pStyle w:val="Default"/>
      </w:pPr>
    </w:p>
    <w:p w14:paraId="665786E2" w14:textId="77777777" w:rsidR="007660A6" w:rsidRDefault="007660A6" w:rsidP="007660A6">
      <w:pPr>
        <w:pStyle w:val="CM21"/>
        <w:spacing w:after="0"/>
        <w:jc w:val="center"/>
        <w:rPr>
          <w:sz w:val="28"/>
          <w:szCs w:val="28"/>
        </w:rPr>
      </w:pPr>
      <w:r>
        <w:rPr>
          <w:b/>
          <w:bCs/>
          <w:sz w:val="28"/>
          <w:szCs w:val="28"/>
        </w:rPr>
        <w:t xml:space="preserve">Department of Economics </w:t>
      </w:r>
    </w:p>
    <w:p w14:paraId="46DE8197" w14:textId="77777777" w:rsidR="007660A6" w:rsidRDefault="007660A6" w:rsidP="007660A6">
      <w:pPr>
        <w:pStyle w:val="Default"/>
        <w:rPr>
          <w:color w:val="auto"/>
        </w:rPr>
      </w:pPr>
    </w:p>
    <w:p w14:paraId="611E5080" w14:textId="4D51E745" w:rsidR="007660A6" w:rsidRDefault="007660A6" w:rsidP="007660A6">
      <w:pPr>
        <w:pStyle w:val="CM22"/>
        <w:spacing w:after="0"/>
        <w:jc w:val="center"/>
        <w:rPr>
          <w:b/>
          <w:bCs/>
          <w:sz w:val="28"/>
          <w:szCs w:val="28"/>
        </w:rPr>
      </w:pPr>
      <w:r>
        <w:rPr>
          <w:b/>
          <w:bCs/>
          <w:sz w:val="28"/>
          <w:szCs w:val="28"/>
        </w:rPr>
        <w:t>Working Paper in Economics 1</w:t>
      </w:r>
      <w:r w:rsidR="00AC06A0">
        <w:rPr>
          <w:b/>
          <w:bCs/>
          <w:sz w:val="28"/>
          <w:szCs w:val="28"/>
        </w:rPr>
        <w:t>4</w:t>
      </w:r>
      <w:r>
        <w:rPr>
          <w:b/>
          <w:bCs/>
          <w:sz w:val="28"/>
          <w:szCs w:val="28"/>
        </w:rPr>
        <w:t>/17</w:t>
      </w:r>
    </w:p>
    <w:p w14:paraId="630325C0" w14:textId="77777777" w:rsidR="007660A6" w:rsidRDefault="007660A6" w:rsidP="007660A6">
      <w:pPr>
        <w:pStyle w:val="CM22"/>
        <w:spacing w:after="0"/>
        <w:jc w:val="center"/>
        <w:rPr>
          <w:sz w:val="28"/>
          <w:szCs w:val="28"/>
        </w:rPr>
      </w:pPr>
      <w:r>
        <w:rPr>
          <w:b/>
          <w:bCs/>
          <w:sz w:val="28"/>
          <w:szCs w:val="28"/>
        </w:rPr>
        <w:t xml:space="preserve"> </w:t>
      </w:r>
    </w:p>
    <w:p w14:paraId="0ACC1C22" w14:textId="211C2BA5" w:rsidR="007660A6" w:rsidRDefault="007660A6" w:rsidP="007660A6">
      <w:pPr>
        <w:pStyle w:val="CM3"/>
        <w:jc w:val="center"/>
        <w:rPr>
          <w:sz w:val="28"/>
          <w:szCs w:val="28"/>
        </w:rPr>
      </w:pPr>
      <w:r>
        <w:rPr>
          <w:sz w:val="28"/>
          <w:szCs w:val="28"/>
        </w:rPr>
        <w:t>July 2017</w:t>
      </w:r>
    </w:p>
    <w:p w14:paraId="535FEE9C" w14:textId="77777777" w:rsidR="007660A6" w:rsidRDefault="007660A6" w:rsidP="007660A6">
      <w:pPr>
        <w:pStyle w:val="CM4"/>
        <w:spacing w:line="240" w:lineRule="auto"/>
        <w:jc w:val="center"/>
        <w:rPr>
          <w:b/>
          <w:bCs/>
          <w:sz w:val="22"/>
          <w:szCs w:val="22"/>
        </w:rPr>
      </w:pPr>
    </w:p>
    <w:p w14:paraId="357CC5C7" w14:textId="77777777" w:rsidR="007660A6" w:rsidRDefault="007660A6" w:rsidP="007660A6">
      <w:pPr>
        <w:pStyle w:val="Default"/>
      </w:pPr>
    </w:p>
    <w:tbl>
      <w:tblPr>
        <w:tblW w:w="0" w:type="auto"/>
        <w:jc w:val="center"/>
        <w:tblLook w:val="04A0" w:firstRow="1" w:lastRow="0" w:firstColumn="1" w:lastColumn="0" w:noHBand="0" w:noVBand="1"/>
      </w:tblPr>
      <w:tblGrid>
        <w:gridCol w:w="4621"/>
      </w:tblGrid>
      <w:tr w:rsidR="007660A6" w14:paraId="02E6F480" w14:textId="77777777" w:rsidTr="009D0BBB">
        <w:trPr>
          <w:jc w:val="center"/>
        </w:trPr>
        <w:tc>
          <w:tcPr>
            <w:tcW w:w="4621" w:type="dxa"/>
          </w:tcPr>
          <w:p w14:paraId="0EBC29CE" w14:textId="77777777" w:rsidR="007660A6" w:rsidRDefault="007660A6" w:rsidP="009D0BBB">
            <w:pPr>
              <w:pStyle w:val="CM4"/>
              <w:spacing w:line="240" w:lineRule="auto"/>
              <w:jc w:val="center"/>
              <w:rPr>
                <w:b/>
                <w:bCs/>
                <w:sz w:val="8"/>
                <w:szCs w:val="8"/>
              </w:rPr>
            </w:pPr>
          </w:p>
          <w:p w14:paraId="639C7463" w14:textId="77777777" w:rsidR="007660A6" w:rsidRDefault="007660A6" w:rsidP="009D0BBB">
            <w:pPr>
              <w:pStyle w:val="CM4"/>
              <w:spacing w:line="240" w:lineRule="auto"/>
              <w:jc w:val="center"/>
            </w:pPr>
            <w:r>
              <w:rPr>
                <w:b/>
                <w:bCs/>
              </w:rPr>
              <w:t>John Gibson</w:t>
            </w:r>
          </w:p>
          <w:p w14:paraId="0429EEC8" w14:textId="77777777" w:rsidR="007660A6" w:rsidRDefault="007660A6" w:rsidP="009D0BBB">
            <w:pPr>
              <w:pStyle w:val="CM23"/>
              <w:spacing w:after="0"/>
              <w:jc w:val="center"/>
              <w:rPr>
                <w:sz w:val="12"/>
                <w:szCs w:val="12"/>
              </w:rPr>
            </w:pPr>
          </w:p>
          <w:p w14:paraId="57BA28F3" w14:textId="77777777" w:rsidR="007660A6" w:rsidRPr="005F7047" w:rsidRDefault="007660A6" w:rsidP="009D0BBB">
            <w:pPr>
              <w:pStyle w:val="CM23"/>
              <w:spacing w:after="0"/>
              <w:jc w:val="center"/>
            </w:pPr>
            <w:r w:rsidRPr="005F7047">
              <w:t>Department of Economics</w:t>
            </w:r>
          </w:p>
          <w:p w14:paraId="1BC1D842" w14:textId="77777777" w:rsidR="007660A6" w:rsidRPr="005F7047" w:rsidRDefault="007660A6" w:rsidP="009D0BBB">
            <w:pPr>
              <w:pStyle w:val="CM23"/>
              <w:spacing w:after="0"/>
              <w:jc w:val="center"/>
            </w:pPr>
            <w:r w:rsidRPr="005F7047">
              <w:t>University of Waikato</w:t>
            </w:r>
          </w:p>
          <w:p w14:paraId="7692179E" w14:textId="77777777" w:rsidR="007660A6" w:rsidRPr="005F7047" w:rsidRDefault="007660A6" w:rsidP="009D0BBB">
            <w:pPr>
              <w:pStyle w:val="CM23"/>
              <w:spacing w:after="0"/>
              <w:jc w:val="center"/>
            </w:pPr>
            <w:r w:rsidRPr="005F7047">
              <w:t>Private Bag 3105</w:t>
            </w:r>
          </w:p>
          <w:p w14:paraId="5DA0F8B7" w14:textId="77777777" w:rsidR="007660A6" w:rsidRPr="005F7047" w:rsidRDefault="007660A6" w:rsidP="009D0BBB">
            <w:pPr>
              <w:pStyle w:val="CM23"/>
              <w:spacing w:after="0"/>
              <w:jc w:val="center"/>
            </w:pPr>
            <w:r w:rsidRPr="005F7047">
              <w:t>Hamilton</w:t>
            </w:r>
          </w:p>
          <w:p w14:paraId="0372691D" w14:textId="77777777" w:rsidR="007660A6" w:rsidRPr="005F7047" w:rsidRDefault="007660A6" w:rsidP="009D0BBB">
            <w:pPr>
              <w:pStyle w:val="CM23"/>
              <w:spacing w:after="0"/>
              <w:jc w:val="center"/>
            </w:pPr>
            <w:r w:rsidRPr="005F7047">
              <w:t xml:space="preserve">New Zealand, 3240 </w:t>
            </w:r>
          </w:p>
          <w:p w14:paraId="57372ED6" w14:textId="77777777" w:rsidR="007660A6" w:rsidRPr="005F7047" w:rsidRDefault="007660A6" w:rsidP="009D0BBB">
            <w:pPr>
              <w:pStyle w:val="Default"/>
              <w:rPr>
                <w:rFonts w:ascii="Times New Roman" w:hAnsi="Times New Roman" w:cs="Times New Roman"/>
                <w:sz w:val="12"/>
                <w:szCs w:val="12"/>
              </w:rPr>
            </w:pPr>
          </w:p>
          <w:p w14:paraId="7B0CB582" w14:textId="77777777" w:rsidR="007660A6" w:rsidRPr="005F7047" w:rsidRDefault="007660A6" w:rsidP="009D0BBB">
            <w:pPr>
              <w:pStyle w:val="Default"/>
              <w:jc w:val="center"/>
              <w:rPr>
                <w:rFonts w:ascii="Times New Roman" w:hAnsi="Times New Roman" w:cs="Times New Roman"/>
              </w:rPr>
            </w:pPr>
            <w:r w:rsidRPr="005F7047">
              <w:rPr>
                <w:rFonts w:ascii="Times New Roman" w:hAnsi="Times New Roman" w:cs="Times New Roman"/>
              </w:rPr>
              <w:t>Tel: +64 (7) 838 4289</w:t>
            </w:r>
          </w:p>
          <w:p w14:paraId="225F5FBE" w14:textId="77777777" w:rsidR="007660A6" w:rsidRPr="005F7047" w:rsidRDefault="007660A6" w:rsidP="007660A6">
            <w:pPr>
              <w:pStyle w:val="Default"/>
              <w:rPr>
                <w:rFonts w:ascii="Times New Roman" w:hAnsi="Times New Roman" w:cs="Times New Roman"/>
                <w:sz w:val="12"/>
                <w:szCs w:val="12"/>
              </w:rPr>
            </w:pPr>
          </w:p>
          <w:p w14:paraId="3FE8BEEF" w14:textId="46AE39C4" w:rsidR="007660A6" w:rsidRPr="005F7047" w:rsidRDefault="007660A6" w:rsidP="007660A6">
            <w:pPr>
              <w:pStyle w:val="Default"/>
              <w:jc w:val="center"/>
              <w:rPr>
                <w:rFonts w:ascii="Times New Roman" w:hAnsi="Times New Roman" w:cs="Times New Roman"/>
              </w:rPr>
            </w:pPr>
            <w:r w:rsidRPr="005F7047">
              <w:rPr>
                <w:rFonts w:ascii="Times New Roman" w:hAnsi="Times New Roman" w:cs="Times New Roman"/>
              </w:rPr>
              <w:t>Fax: +64 (7) 838 4331</w:t>
            </w:r>
          </w:p>
          <w:p w14:paraId="4553292C" w14:textId="77777777" w:rsidR="007660A6" w:rsidRPr="005F7047" w:rsidRDefault="007660A6" w:rsidP="009D0BBB">
            <w:pPr>
              <w:pStyle w:val="Default"/>
              <w:jc w:val="center"/>
              <w:rPr>
                <w:rFonts w:ascii="Times New Roman" w:hAnsi="Times New Roman" w:cs="Times New Roman"/>
                <w:sz w:val="12"/>
                <w:szCs w:val="12"/>
              </w:rPr>
            </w:pPr>
          </w:p>
          <w:p w14:paraId="525F72C7" w14:textId="77777777" w:rsidR="007660A6" w:rsidRPr="005F7047" w:rsidRDefault="007660A6" w:rsidP="009D0BBB">
            <w:pPr>
              <w:pStyle w:val="CM3"/>
              <w:jc w:val="center"/>
              <w:rPr>
                <w:bCs/>
              </w:rPr>
            </w:pPr>
            <w:r w:rsidRPr="005F7047">
              <w:rPr>
                <w:bCs/>
              </w:rPr>
              <w:t>Email: jkgibson@waikato.ac.nz</w:t>
            </w:r>
          </w:p>
          <w:p w14:paraId="32C32173" w14:textId="77777777" w:rsidR="007660A6" w:rsidRDefault="007660A6" w:rsidP="009D0BBB">
            <w:pPr>
              <w:pStyle w:val="Default"/>
              <w:jc w:val="center"/>
            </w:pPr>
          </w:p>
        </w:tc>
      </w:tr>
    </w:tbl>
    <w:p w14:paraId="713E7D0E" w14:textId="77777777" w:rsidR="007660A6" w:rsidRDefault="007660A6" w:rsidP="007660A6">
      <w:pPr>
        <w:pStyle w:val="Default"/>
      </w:pPr>
    </w:p>
    <w:p w14:paraId="055088E3" w14:textId="77777777" w:rsidR="007660A6" w:rsidRDefault="007660A6" w:rsidP="007660A6">
      <w:pPr>
        <w:spacing w:line="288" w:lineRule="auto"/>
        <w:jc w:val="right"/>
        <w:rPr>
          <w:b/>
          <w:iCs/>
        </w:rPr>
      </w:pPr>
    </w:p>
    <w:p w14:paraId="7DA02E2C" w14:textId="77777777" w:rsidR="007660A6" w:rsidRDefault="007660A6" w:rsidP="007660A6">
      <w:pPr>
        <w:spacing w:line="288" w:lineRule="auto"/>
        <w:jc w:val="right"/>
        <w:rPr>
          <w:b/>
          <w:iCs/>
        </w:rPr>
      </w:pPr>
    </w:p>
    <w:p w14:paraId="12342553" w14:textId="77777777" w:rsidR="007660A6" w:rsidRDefault="007660A6" w:rsidP="007660A6">
      <w:pPr>
        <w:spacing w:line="288" w:lineRule="auto"/>
        <w:jc w:val="center"/>
        <w:rPr>
          <w:b/>
          <w:iCs/>
        </w:rPr>
      </w:pPr>
    </w:p>
    <w:p w14:paraId="16E83190" w14:textId="77777777" w:rsidR="007660A6" w:rsidRDefault="007660A6" w:rsidP="007660A6">
      <w:pPr>
        <w:spacing w:line="288" w:lineRule="auto"/>
        <w:jc w:val="center"/>
        <w:rPr>
          <w:b/>
        </w:rPr>
      </w:pPr>
    </w:p>
    <w:p w14:paraId="64C22B6A" w14:textId="77777777" w:rsidR="007660A6" w:rsidRDefault="007660A6" w:rsidP="007660A6">
      <w:pPr>
        <w:spacing w:line="288" w:lineRule="auto"/>
        <w:jc w:val="center"/>
        <w:rPr>
          <w:b/>
        </w:rPr>
      </w:pPr>
      <w:r>
        <w:rPr>
          <w:b/>
        </w:rPr>
        <w:t>Abstract</w:t>
      </w:r>
    </w:p>
    <w:p w14:paraId="08087401" w14:textId="77777777" w:rsidR="007660A6" w:rsidRDefault="007660A6" w:rsidP="007660A6">
      <w:pPr>
        <w:spacing w:line="288" w:lineRule="auto"/>
        <w:jc w:val="center"/>
        <w:rPr>
          <w:b/>
          <w:sz w:val="12"/>
          <w:szCs w:val="12"/>
        </w:rPr>
      </w:pPr>
    </w:p>
    <w:p w14:paraId="6849D950" w14:textId="77777777" w:rsidR="007660A6" w:rsidRDefault="007660A6" w:rsidP="007660A6">
      <w:pPr>
        <w:spacing w:line="360" w:lineRule="auto"/>
        <w:rPr>
          <w:rFonts w:asciiTheme="majorBidi" w:hAnsiTheme="majorBidi" w:cstheme="majorBidi"/>
        </w:rPr>
      </w:pPr>
      <w:r>
        <w:rPr>
          <w:rFonts w:asciiTheme="majorBidi" w:hAnsiTheme="majorBidi" w:cstheme="majorBidi"/>
        </w:rPr>
        <w:t xml:space="preserve">To study welfare effects of environmental change, data from household surveys </w:t>
      </w:r>
      <w:proofErr w:type="gramStart"/>
      <w:r>
        <w:rPr>
          <w:rFonts w:asciiTheme="majorBidi" w:hAnsiTheme="majorBidi" w:cstheme="majorBidi"/>
        </w:rPr>
        <w:t>may be linked</w:t>
      </w:r>
      <w:proofErr w:type="gramEnd"/>
      <w:r>
        <w:rPr>
          <w:rFonts w:asciiTheme="majorBidi" w:hAnsiTheme="majorBidi" w:cstheme="majorBidi"/>
        </w:rPr>
        <w:t xml:space="preserve"> to remote sensing data. If linking uses spatial aggregation there is risk of ecological fallacy, since surveys are only representative for large areas that may not correspond to the spatial scale of the decision-making units. This paper uses survey-to-census imputation to estimate welfare indicators for small areas in order to study the effect of deforestation on subsequent inequality in the rural Solomon Islands. This country depends on logging for almost half of foreign exchange and one-sixth of government revenue, and most forested land remains under customary ownership. A sharp increase in log exports, to seven times the sustainable yield, and a major shift in export destinations as other countries withdrew from the tropical log trade represents an exogenous shock that helps to identify effects of deforestation on inequality rather than the reverse relationship. Using data for rural wards, that have about 400 households each, a standard deviation increase in the rate of forest loss over 2000 to 2012 raises the Gini index for household consumption in 2013 by one-third of a standard deviation. This precisely estimated effect would not be apparent using more spatially aggregated data.</w:t>
      </w:r>
    </w:p>
    <w:p w14:paraId="6CBA10C7" w14:textId="77777777" w:rsidR="007660A6" w:rsidRDefault="007660A6" w:rsidP="007660A6">
      <w:pPr>
        <w:autoSpaceDE w:val="0"/>
        <w:autoSpaceDN w:val="0"/>
        <w:adjustRightInd w:val="0"/>
        <w:spacing w:line="360" w:lineRule="auto"/>
        <w:rPr>
          <w:lang w:eastAsia="en-NZ"/>
        </w:rPr>
      </w:pPr>
    </w:p>
    <w:p w14:paraId="39229F0D" w14:textId="77777777" w:rsidR="007660A6" w:rsidRDefault="007660A6" w:rsidP="007660A6">
      <w:pPr>
        <w:spacing w:line="288" w:lineRule="auto"/>
        <w:jc w:val="center"/>
        <w:rPr>
          <w:b/>
        </w:rPr>
      </w:pPr>
      <w:r>
        <w:rPr>
          <w:b/>
        </w:rPr>
        <w:t>Keywords</w:t>
      </w:r>
    </w:p>
    <w:p w14:paraId="711037AF" w14:textId="77777777" w:rsidR="007660A6" w:rsidRPr="007660A6" w:rsidRDefault="007660A6" w:rsidP="007660A6">
      <w:pPr>
        <w:spacing w:line="288" w:lineRule="auto"/>
        <w:jc w:val="center"/>
        <w:rPr>
          <w:bCs/>
          <w:sz w:val="12"/>
          <w:szCs w:val="12"/>
        </w:rPr>
      </w:pPr>
    </w:p>
    <w:p w14:paraId="5D3DCBC1" w14:textId="3D711E55" w:rsidR="007660A6" w:rsidRDefault="007660A6" w:rsidP="007660A6">
      <w:pPr>
        <w:spacing w:line="288" w:lineRule="auto"/>
        <w:jc w:val="center"/>
        <w:rPr>
          <w:bCs/>
        </w:rPr>
      </w:pPr>
      <w:proofErr w:type="gramStart"/>
      <w:r>
        <w:rPr>
          <w:bCs/>
        </w:rPr>
        <w:t>deforestation</w:t>
      </w:r>
      <w:proofErr w:type="gramEnd"/>
    </w:p>
    <w:p w14:paraId="7887E519" w14:textId="61585FE7" w:rsidR="007660A6" w:rsidRDefault="007660A6" w:rsidP="007660A6">
      <w:pPr>
        <w:spacing w:line="288" w:lineRule="auto"/>
        <w:jc w:val="center"/>
        <w:rPr>
          <w:bCs/>
        </w:rPr>
      </w:pPr>
      <w:proofErr w:type="gramStart"/>
      <w:r>
        <w:rPr>
          <w:bCs/>
        </w:rPr>
        <w:t>inequality</w:t>
      </w:r>
      <w:proofErr w:type="gramEnd"/>
    </w:p>
    <w:p w14:paraId="41D90C02" w14:textId="454463D5" w:rsidR="007660A6" w:rsidRDefault="007660A6" w:rsidP="007660A6">
      <w:pPr>
        <w:spacing w:line="288" w:lineRule="auto"/>
        <w:jc w:val="center"/>
        <w:rPr>
          <w:bCs/>
        </w:rPr>
      </w:pPr>
      <w:proofErr w:type="gramStart"/>
      <w:r>
        <w:rPr>
          <w:bCs/>
        </w:rPr>
        <w:t>poverty</w:t>
      </w:r>
      <w:proofErr w:type="gramEnd"/>
    </w:p>
    <w:p w14:paraId="697C616B" w14:textId="0649F85C" w:rsidR="007660A6" w:rsidRDefault="007660A6" w:rsidP="007660A6">
      <w:pPr>
        <w:spacing w:line="288" w:lineRule="auto"/>
        <w:jc w:val="center"/>
      </w:pPr>
      <w:proofErr w:type="gramStart"/>
      <w:r>
        <w:rPr>
          <w:bCs/>
        </w:rPr>
        <w:t>smal</w:t>
      </w:r>
      <w:r w:rsidR="005F7047">
        <w:rPr>
          <w:bCs/>
        </w:rPr>
        <w:t>l-area</w:t>
      </w:r>
      <w:proofErr w:type="gramEnd"/>
      <w:r w:rsidR="005F7047">
        <w:rPr>
          <w:bCs/>
        </w:rPr>
        <w:t xml:space="preserve"> </w:t>
      </w:r>
      <w:r>
        <w:rPr>
          <w:bCs/>
        </w:rPr>
        <w:t>estimation</w:t>
      </w:r>
    </w:p>
    <w:p w14:paraId="6BB6CEA6" w14:textId="77777777" w:rsidR="007660A6" w:rsidRDefault="007660A6" w:rsidP="007660A6">
      <w:pPr>
        <w:spacing w:line="288" w:lineRule="auto"/>
        <w:jc w:val="center"/>
        <w:rPr>
          <w:b/>
        </w:rPr>
      </w:pPr>
    </w:p>
    <w:p w14:paraId="63B23D88" w14:textId="77777777" w:rsidR="007660A6" w:rsidRDefault="007660A6" w:rsidP="007660A6">
      <w:pPr>
        <w:spacing w:line="288" w:lineRule="auto"/>
        <w:jc w:val="center"/>
        <w:rPr>
          <w:b/>
        </w:rPr>
      </w:pPr>
      <w:r>
        <w:rPr>
          <w:b/>
        </w:rPr>
        <w:t>JEL Codes</w:t>
      </w:r>
    </w:p>
    <w:p w14:paraId="163529B1" w14:textId="77777777" w:rsidR="007660A6" w:rsidRPr="007660A6" w:rsidRDefault="007660A6" w:rsidP="007660A6">
      <w:pPr>
        <w:spacing w:line="300" w:lineRule="auto"/>
        <w:jc w:val="center"/>
        <w:rPr>
          <w:bCs/>
          <w:sz w:val="12"/>
          <w:szCs w:val="12"/>
        </w:rPr>
      </w:pPr>
    </w:p>
    <w:p w14:paraId="465B7142" w14:textId="57CD7530" w:rsidR="007660A6" w:rsidRDefault="007660A6" w:rsidP="007660A6">
      <w:pPr>
        <w:spacing w:line="300" w:lineRule="auto"/>
        <w:jc w:val="center"/>
        <w:rPr>
          <w:lang w:val="en-GB" w:eastAsia="en-NZ"/>
        </w:rPr>
      </w:pPr>
      <w:r w:rsidRPr="00BD3AD1">
        <w:rPr>
          <w:bCs/>
        </w:rPr>
        <w:t>O15, Q23</w:t>
      </w:r>
    </w:p>
    <w:p w14:paraId="3D14BADB" w14:textId="77777777" w:rsidR="007660A6" w:rsidRDefault="007660A6" w:rsidP="007660A6">
      <w:pPr>
        <w:spacing w:line="300" w:lineRule="auto"/>
        <w:jc w:val="center"/>
        <w:rPr>
          <w:lang w:val="en-GB" w:eastAsia="en-NZ"/>
        </w:rPr>
      </w:pPr>
    </w:p>
    <w:p w14:paraId="31B10BCD" w14:textId="77777777" w:rsidR="007660A6" w:rsidRPr="00EE27C7" w:rsidRDefault="007660A6" w:rsidP="007660A6">
      <w:pPr>
        <w:spacing w:line="300" w:lineRule="auto"/>
        <w:jc w:val="center"/>
        <w:rPr>
          <w:lang w:val="en-GB" w:eastAsia="en-NZ"/>
        </w:rPr>
      </w:pPr>
    </w:p>
    <w:p w14:paraId="5F514124" w14:textId="77777777" w:rsidR="007660A6" w:rsidRDefault="007660A6" w:rsidP="007660A6">
      <w:pPr>
        <w:spacing w:line="300" w:lineRule="auto"/>
        <w:jc w:val="center"/>
        <w:rPr>
          <w:b/>
          <w:sz w:val="22"/>
          <w:szCs w:val="22"/>
        </w:rPr>
      </w:pPr>
      <w:r w:rsidRPr="00FA38FC">
        <w:rPr>
          <w:b/>
          <w:sz w:val="22"/>
          <w:szCs w:val="22"/>
        </w:rPr>
        <w:t>Acknowledgements</w:t>
      </w:r>
    </w:p>
    <w:p w14:paraId="370C02E6" w14:textId="77777777" w:rsidR="006563CF" w:rsidRDefault="006563CF" w:rsidP="006563CF">
      <w:pPr>
        <w:spacing w:before="100" w:beforeAutospacing="1" w:after="100" w:afterAutospacing="1"/>
        <w:jc w:val="center"/>
      </w:pPr>
      <w:r>
        <w:rPr>
          <w:sz w:val="22"/>
          <w:szCs w:val="22"/>
        </w:rPr>
        <w:t>I am grateful to the World Bank for support with data and funding for the small area estimation, to Steve Hoskins for research assistance, to Geua Boe-Gibson for the preparation of the maps and to participants at the Association for Environmental and Resource Economics conference for helpful comments. The views expressed here are those of the author alone</w:t>
      </w:r>
      <w:r>
        <w:rPr>
          <w:sz w:val="21"/>
          <w:szCs w:val="21"/>
        </w:rPr>
        <w:t>.</w:t>
      </w:r>
    </w:p>
    <w:p w14:paraId="5C85896B" w14:textId="75C3216E" w:rsidR="007660A6" w:rsidRPr="00AB50F9" w:rsidRDefault="007660A6" w:rsidP="007660A6">
      <w:pPr>
        <w:spacing w:line="300" w:lineRule="auto"/>
      </w:pPr>
      <w:r>
        <w:rPr>
          <w:sz w:val="21"/>
          <w:szCs w:val="16"/>
        </w:rPr>
        <w:br w:type="page"/>
      </w:r>
    </w:p>
    <w:p w14:paraId="7C88AD5E" w14:textId="24EAFE61" w:rsidR="00DE4123" w:rsidRPr="00F35DC6" w:rsidRDefault="001214AD" w:rsidP="00F73D75">
      <w:pPr>
        <w:spacing w:after="200" w:line="276" w:lineRule="auto"/>
        <w:jc w:val="left"/>
        <w:rPr>
          <w:b/>
        </w:rPr>
      </w:pPr>
      <w:r>
        <w:rPr>
          <w:sz w:val="21"/>
          <w:szCs w:val="16"/>
        </w:rPr>
        <w:lastRenderedPageBreak/>
        <w:t xml:space="preserve">1. </w:t>
      </w:r>
      <w:r w:rsidR="00DE4123" w:rsidRPr="00F35DC6">
        <w:rPr>
          <w:b/>
        </w:rPr>
        <w:t>I</w:t>
      </w:r>
      <w:r>
        <w:rPr>
          <w:b/>
        </w:rPr>
        <w:t>ntroduction</w:t>
      </w:r>
    </w:p>
    <w:p w14:paraId="5998079F" w14:textId="40D2915A" w:rsidR="00233765" w:rsidRDefault="00230943" w:rsidP="001214AD">
      <w:pPr>
        <w:spacing w:line="288" w:lineRule="auto"/>
        <w:rPr>
          <w:rFonts w:eastAsia="Times New Roman"/>
          <w:lang w:val="en-NZ"/>
        </w:rPr>
      </w:pPr>
      <w:r>
        <w:rPr>
          <w:rFonts w:eastAsia="Times New Roman"/>
          <w:lang w:val="en-NZ"/>
        </w:rPr>
        <w:t xml:space="preserve">The human causes of deforestation are widely studied but </w:t>
      </w:r>
      <w:r w:rsidR="00BC1346">
        <w:rPr>
          <w:rFonts w:eastAsia="Times New Roman"/>
          <w:lang w:val="en-NZ"/>
        </w:rPr>
        <w:t>the consequences for humans rather</w:t>
      </w:r>
      <w:r>
        <w:rPr>
          <w:rFonts w:eastAsia="Times New Roman"/>
          <w:lang w:val="en-NZ"/>
        </w:rPr>
        <w:t xml:space="preserve"> less so.</w:t>
      </w:r>
      <w:r w:rsidR="00E37849">
        <w:rPr>
          <w:rStyle w:val="FootnoteReference"/>
          <w:rFonts w:eastAsia="Times New Roman"/>
          <w:lang w:val="en-NZ"/>
        </w:rPr>
        <w:footnoteReference w:id="1"/>
      </w:r>
      <w:r>
        <w:rPr>
          <w:rFonts w:eastAsia="Times New Roman"/>
          <w:lang w:val="en-NZ"/>
        </w:rPr>
        <w:t xml:space="preserve"> Instead, human causes </w:t>
      </w:r>
      <w:r w:rsidR="00233765">
        <w:rPr>
          <w:rFonts w:eastAsia="Times New Roman"/>
          <w:lang w:val="en-NZ"/>
        </w:rPr>
        <w:t xml:space="preserve">and environmental consequences are the two most widely researched </w:t>
      </w:r>
      <w:r w:rsidR="003D1734">
        <w:rPr>
          <w:rFonts w:eastAsia="Times New Roman"/>
          <w:lang w:val="en-NZ"/>
        </w:rPr>
        <w:t xml:space="preserve">themes. </w:t>
      </w:r>
      <w:r w:rsidR="00BC1346">
        <w:rPr>
          <w:rFonts w:eastAsia="Times New Roman"/>
          <w:lang w:val="en-NZ"/>
        </w:rPr>
        <w:t xml:space="preserve">One reason for this asymmetry may be that </w:t>
      </w:r>
      <w:r w:rsidR="008305B9">
        <w:rPr>
          <w:rFonts w:eastAsia="Times New Roman"/>
          <w:lang w:val="en-NZ"/>
        </w:rPr>
        <w:t xml:space="preserve">deforestation can affect </w:t>
      </w:r>
      <w:r w:rsidR="003D1734">
        <w:rPr>
          <w:rFonts w:eastAsia="Times New Roman"/>
          <w:lang w:val="en-NZ"/>
        </w:rPr>
        <w:t>people</w:t>
      </w:r>
      <w:r w:rsidR="008305B9">
        <w:rPr>
          <w:rFonts w:eastAsia="Times New Roman"/>
          <w:lang w:val="en-NZ"/>
        </w:rPr>
        <w:t xml:space="preserve"> in </w:t>
      </w:r>
      <w:r w:rsidR="00233765">
        <w:rPr>
          <w:rFonts w:eastAsia="Times New Roman"/>
          <w:lang w:val="en-NZ"/>
        </w:rPr>
        <w:t>different time</w:t>
      </w:r>
      <w:r w:rsidR="008305B9">
        <w:rPr>
          <w:rFonts w:eastAsia="Times New Roman"/>
          <w:lang w:val="en-NZ"/>
        </w:rPr>
        <w:t>s</w:t>
      </w:r>
      <w:r w:rsidR="00233765">
        <w:rPr>
          <w:rFonts w:eastAsia="Times New Roman"/>
          <w:lang w:val="en-NZ"/>
        </w:rPr>
        <w:t xml:space="preserve"> and place</w:t>
      </w:r>
      <w:r w:rsidR="008305B9">
        <w:rPr>
          <w:rFonts w:eastAsia="Times New Roman"/>
          <w:lang w:val="en-NZ"/>
        </w:rPr>
        <w:t>s</w:t>
      </w:r>
      <w:r w:rsidR="00233765">
        <w:rPr>
          <w:rFonts w:eastAsia="Times New Roman"/>
          <w:lang w:val="en-NZ"/>
        </w:rPr>
        <w:t xml:space="preserve"> </w:t>
      </w:r>
      <w:r w:rsidR="00E37849">
        <w:rPr>
          <w:rFonts w:eastAsia="Times New Roman"/>
          <w:lang w:val="en-NZ"/>
        </w:rPr>
        <w:t xml:space="preserve">from where </w:t>
      </w:r>
      <w:r w:rsidR="008305B9">
        <w:rPr>
          <w:rFonts w:eastAsia="Times New Roman"/>
          <w:lang w:val="en-NZ"/>
        </w:rPr>
        <w:t xml:space="preserve">it </w:t>
      </w:r>
      <w:r w:rsidR="00E37849">
        <w:rPr>
          <w:rFonts w:eastAsia="Times New Roman"/>
          <w:lang w:val="en-NZ"/>
        </w:rPr>
        <w:t>occurs</w:t>
      </w:r>
      <w:r>
        <w:rPr>
          <w:rFonts w:eastAsia="Times New Roman"/>
          <w:lang w:val="en-NZ"/>
        </w:rPr>
        <w:t>,</w:t>
      </w:r>
      <w:r w:rsidR="00233765">
        <w:rPr>
          <w:rFonts w:eastAsia="Times New Roman"/>
          <w:lang w:val="en-NZ"/>
        </w:rPr>
        <w:t xml:space="preserve"> given the </w:t>
      </w:r>
      <w:r w:rsidR="00E37849">
        <w:rPr>
          <w:rFonts w:eastAsia="Times New Roman"/>
          <w:lang w:val="en-NZ"/>
        </w:rPr>
        <w:t xml:space="preserve">role of forests in the global carbon cycle. </w:t>
      </w:r>
      <w:r w:rsidR="00BB73AC">
        <w:rPr>
          <w:rFonts w:eastAsia="Times New Roman"/>
          <w:lang w:val="en-NZ"/>
        </w:rPr>
        <w:t>At</w:t>
      </w:r>
      <w:r w:rsidR="00BC1346">
        <w:rPr>
          <w:rFonts w:eastAsia="Times New Roman"/>
          <w:lang w:val="en-NZ"/>
        </w:rPr>
        <w:t xml:space="preserve"> this </w:t>
      </w:r>
      <w:r w:rsidR="00233765">
        <w:rPr>
          <w:rFonts w:eastAsia="Times New Roman"/>
          <w:lang w:val="en-NZ"/>
        </w:rPr>
        <w:t xml:space="preserve">temporal </w:t>
      </w:r>
      <w:r w:rsidR="004F0DD3">
        <w:rPr>
          <w:rFonts w:eastAsia="Times New Roman"/>
          <w:lang w:val="en-NZ"/>
        </w:rPr>
        <w:t xml:space="preserve">and spatial </w:t>
      </w:r>
      <w:r w:rsidR="00233765">
        <w:rPr>
          <w:rFonts w:eastAsia="Times New Roman"/>
          <w:lang w:val="en-NZ"/>
        </w:rPr>
        <w:t>scale</w:t>
      </w:r>
      <w:r w:rsidR="00BC1346">
        <w:rPr>
          <w:rFonts w:eastAsia="Times New Roman"/>
          <w:lang w:val="en-NZ"/>
        </w:rPr>
        <w:t>,</w:t>
      </w:r>
      <w:r w:rsidR="00233765">
        <w:rPr>
          <w:rFonts w:eastAsia="Times New Roman"/>
          <w:lang w:val="en-NZ"/>
        </w:rPr>
        <w:t xml:space="preserve"> </w:t>
      </w:r>
      <w:r w:rsidR="00BC1346">
        <w:rPr>
          <w:rFonts w:eastAsia="Times New Roman"/>
          <w:lang w:val="en-NZ"/>
        </w:rPr>
        <w:t xml:space="preserve">linking </w:t>
      </w:r>
      <w:r w:rsidR="00233765">
        <w:rPr>
          <w:rFonts w:eastAsia="Times New Roman"/>
          <w:lang w:val="en-NZ"/>
        </w:rPr>
        <w:t>environmental change</w:t>
      </w:r>
      <w:r w:rsidR="00BC1346">
        <w:rPr>
          <w:rFonts w:eastAsia="Times New Roman"/>
          <w:lang w:val="en-NZ"/>
        </w:rPr>
        <w:t xml:space="preserve"> to </w:t>
      </w:r>
      <w:r w:rsidR="00BB73AC">
        <w:rPr>
          <w:rFonts w:eastAsia="Times New Roman"/>
          <w:lang w:val="en-NZ"/>
        </w:rPr>
        <w:t xml:space="preserve">a </w:t>
      </w:r>
      <w:r w:rsidR="00BC1346">
        <w:rPr>
          <w:rFonts w:eastAsia="Times New Roman"/>
          <w:lang w:val="en-NZ"/>
        </w:rPr>
        <w:t>narrow indicator</w:t>
      </w:r>
      <w:r w:rsidR="004F0DD3">
        <w:rPr>
          <w:rFonts w:eastAsia="Times New Roman"/>
          <w:lang w:val="en-NZ"/>
        </w:rPr>
        <w:t xml:space="preserve"> </w:t>
      </w:r>
      <w:r w:rsidR="00DA68D3">
        <w:rPr>
          <w:rFonts w:eastAsia="Times New Roman"/>
          <w:lang w:val="en-NZ"/>
        </w:rPr>
        <w:t xml:space="preserve">of </w:t>
      </w:r>
      <w:r w:rsidR="004F0DD3">
        <w:rPr>
          <w:rFonts w:eastAsia="Times New Roman"/>
          <w:lang w:val="en-NZ"/>
        </w:rPr>
        <w:t>human welfare</w:t>
      </w:r>
      <w:r w:rsidR="00BC1346">
        <w:rPr>
          <w:rFonts w:eastAsia="Times New Roman"/>
          <w:lang w:val="en-NZ"/>
        </w:rPr>
        <w:t xml:space="preserve"> </w:t>
      </w:r>
      <w:r w:rsidR="006065E5">
        <w:rPr>
          <w:rFonts w:eastAsia="Times New Roman"/>
          <w:lang w:val="en-NZ"/>
        </w:rPr>
        <w:t>for a defined group can</w:t>
      </w:r>
      <w:r w:rsidR="00BC1346">
        <w:rPr>
          <w:rFonts w:eastAsia="Times New Roman"/>
          <w:lang w:val="en-NZ"/>
        </w:rPr>
        <w:t xml:space="preserve"> be difficult</w:t>
      </w:r>
      <w:r w:rsidR="004F0DD3">
        <w:rPr>
          <w:rFonts w:eastAsia="Times New Roman"/>
          <w:lang w:val="en-NZ"/>
        </w:rPr>
        <w:t>.</w:t>
      </w:r>
      <w:r w:rsidR="003D1734">
        <w:rPr>
          <w:rFonts w:eastAsia="Times New Roman"/>
          <w:lang w:val="en-NZ"/>
        </w:rPr>
        <w:t xml:space="preserve"> Yet</w:t>
      </w:r>
      <w:r w:rsidR="004F0DD3">
        <w:rPr>
          <w:rFonts w:eastAsia="Times New Roman"/>
          <w:lang w:val="en-NZ"/>
        </w:rPr>
        <w:t xml:space="preserve">, </w:t>
      </w:r>
      <w:r w:rsidR="00DA68D3">
        <w:rPr>
          <w:rFonts w:eastAsia="Times New Roman"/>
          <w:lang w:val="en-NZ"/>
        </w:rPr>
        <w:t xml:space="preserve">absent </w:t>
      </w:r>
      <w:r w:rsidR="003D1734">
        <w:rPr>
          <w:rFonts w:eastAsia="Times New Roman"/>
          <w:lang w:val="en-NZ"/>
        </w:rPr>
        <w:t xml:space="preserve">such </w:t>
      </w:r>
      <w:r w:rsidR="004F0DD3">
        <w:rPr>
          <w:rFonts w:eastAsia="Times New Roman"/>
          <w:lang w:val="en-NZ"/>
        </w:rPr>
        <w:t>evidence</w:t>
      </w:r>
      <w:r w:rsidR="00DA68D3">
        <w:rPr>
          <w:rFonts w:eastAsia="Times New Roman"/>
          <w:lang w:val="en-NZ"/>
        </w:rPr>
        <w:t>,</w:t>
      </w:r>
      <w:r w:rsidR="004F0DD3">
        <w:rPr>
          <w:rFonts w:eastAsia="Times New Roman"/>
          <w:lang w:val="en-NZ"/>
        </w:rPr>
        <w:t xml:space="preserve"> policy makers </w:t>
      </w:r>
      <w:r w:rsidR="00DA68D3">
        <w:rPr>
          <w:rFonts w:eastAsia="Times New Roman"/>
          <w:lang w:val="en-NZ"/>
        </w:rPr>
        <w:t>may see immediate econ</w:t>
      </w:r>
      <w:r w:rsidR="007C5BC0">
        <w:rPr>
          <w:rFonts w:eastAsia="Times New Roman"/>
          <w:lang w:val="en-NZ"/>
        </w:rPr>
        <w:t>omic benefits</w:t>
      </w:r>
      <w:r w:rsidR="003D1734">
        <w:rPr>
          <w:rFonts w:eastAsia="Times New Roman"/>
          <w:lang w:val="en-NZ"/>
        </w:rPr>
        <w:t xml:space="preserve">, like </w:t>
      </w:r>
      <w:r w:rsidR="00DA68D3">
        <w:rPr>
          <w:rFonts w:eastAsia="Times New Roman"/>
          <w:lang w:val="en-NZ"/>
        </w:rPr>
        <w:t>export revenues and roy</w:t>
      </w:r>
      <w:r w:rsidR="00267FD1">
        <w:rPr>
          <w:rFonts w:eastAsia="Times New Roman"/>
          <w:lang w:val="en-NZ"/>
        </w:rPr>
        <w:t>alties</w:t>
      </w:r>
      <w:r w:rsidR="007C5BC0">
        <w:rPr>
          <w:rFonts w:eastAsia="Times New Roman"/>
          <w:lang w:val="en-NZ"/>
        </w:rPr>
        <w:t xml:space="preserve"> from logging</w:t>
      </w:r>
      <w:r w:rsidR="00267FD1">
        <w:rPr>
          <w:rFonts w:eastAsia="Times New Roman"/>
          <w:lang w:val="en-NZ"/>
        </w:rPr>
        <w:t xml:space="preserve">, </w:t>
      </w:r>
      <w:r w:rsidR="007C5BC0">
        <w:rPr>
          <w:rFonts w:eastAsia="Times New Roman"/>
          <w:lang w:val="en-NZ"/>
        </w:rPr>
        <w:t xml:space="preserve">but not have enough information on </w:t>
      </w:r>
      <w:r w:rsidR="003D1734">
        <w:rPr>
          <w:rFonts w:eastAsia="Times New Roman"/>
          <w:lang w:val="en-NZ"/>
        </w:rPr>
        <w:t xml:space="preserve">immediate </w:t>
      </w:r>
      <w:r w:rsidR="00DA68D3">
        <w:rPr>
          <w:rFonts w:eastAsia="Times New Roman"/>
          <w:lang w:val="en-NZ"/>
        </w:rPr>
        <w:t>welfare costs</w:t>
      </w:r>
      <w:r w:rsidR="00761B57">
        <w:rPr>
          <w:rFonts w:eastAsia="Times New Roman"/>
          <w:lang w:val="en-NZ"/>
        </w:rPr>
        <w:t xml:space="preserve"> to balance them, especially if </w:t>
      </w:r>
      <w:r w:rsidR="007C5BC0">
        <w:rPr>
          <w:rFonts w:eastAsia="Times New Roman"/>
          <w:lang w:val="en-NZ"/>
        </w:rPr>
        <w:t xml:space="preserve">costs to the environment </w:t>
      </w:r>
      <w:r w:rsidR="00761B57">
        <w:rPr>
          <w:rFonts w:eastAsia="Times New Roman"/>
          <w:lang w:val="en-NZ"/>
        </w:rPr>
        <w:t xml:space="preserve">are </w:t>
      </w:r>
      <w:r w:rsidR="007C5BC0">
        <w:rPr>
          <w:rFonts w:eastAsia="Times New Roman"/>
          <w:lang w:val="en-NZ"/>
        </w:rPr>
        <w:t>downplayed as something for future policy makers to deal with</w:t>
      </w:r>
      <w:r w:rsidR="00DA68D3">
        <w:rPr>
          <w:rFonts w:eastAsia="Times New Roman"/>
          <w:lang w:val="en-NZ"/>
        </w:rPr>
        <w:t xml:space="preserve">. </w:t>
      </w:r>
    </w:p>
    <w:p w14:paraId="107C0335" w14:textId="77777777" w:rsidR="00ED4A8F" w:rsidRDefault="00ED4A8F" w:rsidP="001214AD">
      <w:pPr>
        <w:spacing w:line="288" w:lineRule="auto"/>
        <w:rPr>
          <w:rFonts w:eastAsia="Times New Roman"/>
          <w:lang w:val="en-NZ"/>
        </w:rPr>
      </w:pPr>
    </w:p>
    <w:p w14:paraId="5B6E43C3" w14:textId="35E9995A" w:rsidR="00DB73DD" w:rsidRDefault="00274ACF" w:rsidP="001214AD">
      <w:pPr>
        <w:spacing w:line="288" w:lineRule="auto"/>
        <w:ind w:firstLine="720"/>
        <w:rPr>
          <w:rFonts w:eastAsia="Times New Roman"/>
        </w:rPr>
      </w:pPr>
      <w:r>
        <w:rPr>
          <w:rFonts w:eastAsia="Times New Roman"/>
          <w:lang w:val="en-NZ"/>
        </w:rPr>
        <w:t>T</w:t>
      </w:r>
      <w:r w:rsidR="00DA68D3">
        <w:rPr>
          <w:rFonts w:eastAsia="Times New Roman"/>
          <w:lang w:val="en-NZ"/>
        </w:rPr>
        <w:t xml:space="preserve">his </w:t>
      </w:r>
      <w:r>
        <w:rPr>
          <w:rFonts w:eastAsia="Times New Roman"/>
          <w:lang w:val="en-NZ"/>
        </w:rPr>
        <w:t xml:space="preserve">paper </w:t>
      </w:r>
      <w:r w:rsidR="00DA68D3">
        <w:rPr>
          <w:rFonts w:eastAsia="Times New Roman"/>
          <w:lang w:val="en-NZ"/>
        </w:rPr>
        <w:t>present</w:t>
      </w:r>
      <w:r>
        <w:rPr>
          <w:rFonts w:eastAsia="Times New Roman"/>
          <w:lang w:val="en-NZ"/>
        </w:rPr>
        <w:t>s</w:t>
      </w:r>
      <w:r w:rsidR="00DA68D3">
        <w:rPr>
          <w:rFonts w:eastAsia="Times New Roman"/>
          <w:lang w:val="en-NZ"/>
        </w:rPr>
        <w:t xml:space="preserve"> evidence on one particular welfare cost of fore</w:t>
      </w:r>
      <w:r>
        <w:rPr>
          <w:rFonts w:eastAsia="Times New Roman"/>
          <w:lang w:val="en-NZ"/>
        </w:rPr>
        <w:t xml:space="preserve">st loss, which is that </w:t>
      </w:r>
      <w:r w:rsidR="003D1734">
        <w:rPr>
          <w:rFonts w:eastAsia="Times New Roman"/>
          <w:lang w:val="en-NZ"/>
        </w:rPr>
        <w:t xml:space="preserve">there is higher </w:t>
      </w:r>
      <w:r w:rsidR="00DB73DD">
        <w:rPr>
          <w:rFonts w:eastAsia="Times New Roman"/>
          <w:lang w:val="en-NZ"/>
        </w:rPr>
        <w:t>local</w:t>
      </w:r>
      <w:r w:rsidR="00DA68D3">
        <w:rPr>
          <w:rFonts w:eastAsia="Times New Roman"/>
          <w:lang w:val="en-NZ"/>
        </w:rPr>
        <w:t xml:space="preserve"> economic inequality within affected communities. </w:t>
      </w:r>
      <w:r>
        <w:rPr>
          <w:rFonts w:eastAsia="Times New Roman"/>
          <w:lang w:val="en-NZ"/>
        </w:rPr>
        <w:t>There are at least two pathways through which such an effect could occur.</w:t>
      </w:r>
      <w:r w:rsidR="00DB73DD">
        <w:rPr>
          <w:rFonts w:eastAsia="Times New Roman"/>
          <w:lang w:val="en-NZ"/>
        </w:rPr>
        <w:t xml:space="preserve"> </w:t>
      </w:r>
      <w:r w:rsidR="003D1734">
        <w:rPr>
          <w:rFonts w:eastAsia="Times New Roman"/>
          <w:lang w:val="en-NZ"/>
        </w:rPr>
        <w:t>F</w:t>
      </w:r>
      <w:r w:rsidR="00DB73DD">
        <w:rPr>
          <w:rFonts w:eastAsia="Times New Roman"/>
          <w:lang w:val="en-NZ"/>
        </w:rPr>
        <w:t>irst</w:t>
      </w:r>
      <w:r w:rsidR="003D1734">
        <w:rPr>
          <w:rFonts w:eastAsia="Times New Roman"/>
          <w:lang w:val="en-NZ"/>
        </w:rPr>
        <w:t>,</w:t>
      </w:r>
      <w:r w:rsidR="00DB73DD">
        <w:rPr>
          <w:rFonts w:eastAsia="Times New Roman"/>
          <w:lang w:val="en-NZ"/>
        </w:rPr>
        <w:t xml:space="preserve"> the </w:t>
      </w:r>
      <w:r w:rsidR="00DB73DD">
        <w:t>windfall from natural resource exploitation can exacerbate rent-seeking conflict</w:t>
      </w:r>
      <w:r w:rsidR="00C25656">
        <w:t>, creating winners and losers</w:t>
      </w:r>
      <w:r w:rsidR="00DB73DD">
        <w:t xml:space="preserve"> in a society</w:t>
      </w:r>
      <w:r w:rsidR="00CE2FFE">
        <w:t>.</w:t>
      </w:r>
      <w:r w:rsidR="00DB73DD">
        <w:t xml:space="preserve"> </w:t>
      </w:r>
      <w:r w:rsidR="00CE2FFE">
        <w:t>T</w:t>
      </w:r>
      <w:r w:rsidR="00DB73DD">
        <w:t>h</w:t>
      </w:r>
      <w:r w:rsidR="00CE2FFE">
        <w:t xml:space="preserve">is may be especially likely </w:t>
      </w:r>
      <w:r w:rsidR="003D1734">
        <w:t xml:space="preserve">with </w:t>
      </w:r>
      <w:r w:rsidR="00DB73DD">
        <w:t>customary (tribal) ownership</w:t>
      </w:r>
      <w:r w:rsidR="00CE2FFE">
        <w:t xml:space="preserve">, </w:t>
      </w:r>
      <w:r w:rsidR="003D1734">
        <w:t xml:space="preserve">since </w:t>
      </w:r>
      <w:r w:rsidR="00CE2FFE">
        <w:t>without clearly delineated</w:t>
      </w:r>
      <w:r w:rsidR="00DB73DD">
        <w:t xml:space="preserve"> property rights</w:t>
      </w:r>
      <w:r w:rsidR="00CE2FFE">
        <w:t xml:space="preserve"> there can be conflict over who </w:t>
      </w:r>
      <w:r w:rsidR="00C25656">
        <w:t xml:space="preserve">gets </w:t>
      </w:r>
      <w:r w:rsidR="00AC717E">
        <w:t>what</w:t>
      </w:r>
      <w:r w:rsidR="00DB73DD">
        <w:t xml:space="preserve">. While most evidence on </w:t>
      </w:r>
      <w:r w:rsidR="00CE2FFE">
        <w:t>the link from resource exploitation to conflict is from cross-country studies, supportive evidence for this channel is also emerging from within-country studies (Aragón</w:t>
      </w:r>
      <w:r w:rsidR="00932138">
        <w:t xml:space="preserve"> </w:t>
      </w:r>
      <w:r w:rsidR="00932138">
        <w:rPr>
          <w:i/>
        </w:rPr>
        <w:t xml:space="preserve">et al. </w:t>
      </w:r>
      <w:r w:rsidR="00CE2FFE">
        <w:t>2015).</w:t>
      </w:r>
      <w:r w:rsidR="00922AAB">
        <w:t xml:space="preserve"> Second, the poor rely more on forests for food, fodder and fuel than do the non-poor, and so forests have a strong equalizing effect on the local income distribution (</w:t>
      </w:r>
      <w:proofErr w:type="spellStart"/>
      <w:r w:rsidR="00E9737D" w:rsidRPr="00922AAB">
        <w:rPr>
          <w:rFonts w:eastAsia="Times New Roman"/>
        </w:rPr>
        <w:t>Vedeld</w:t>
      </w:r>
      <w:proofErr w:type="spellEnd"/>
      <w:r w:rsidR="00E9737D">
        <w:rPr>
          <w:rFonts w:eastAsia="Times New Roman"/>
        </w:rPr>
        <w:t xml:space="preserve"> </w:t>
      </w:r>
      <w:r w:rsidR="00932138">
        <w:rPr>
          <w:rFonts w:eastAsia="Times New Roman"/>
          <w:i/>
        </w:rPr>
        <w:t>et al.</w:t>
      </w:r>
      <w:r w:rsidR="00E9737D">
        <w:rPr>
          <w:rFonts w:eastAsia="Times New Roman"/>
        </w:rPr>
        <w:t xml:space="preserve"> 2007).</w:t>
      </w:r>
      <w:r w:rsidR="003D1734">
        <w:rPr>
          <w:rFonts w:eastAsia="Times New Roman"/>
        </w:rPr>
        <w:t xml:space="preserve"> When this source of en</w:t>
      </w:r>
      <w:r w:rsidR="009D0BBB">
        <w:rPr>
          <w:rFonts w:eastAsia="Times New Roman"/>
        </w:rPr>
        <w:t xml:space="preserve">vironmental income is </w:t>
      </w:r>
      <w:proofErr w:type="gramStart"/>
      <w:r w:rsidR="009D0BBB">
        <w:rPr>
          <w:rFonts w:eastAsia="Times New Roman"/>
        </w:rPr>
        <w:t>disrupted</w:t>
      </w:r>
      <w:proofErr w:type="gramEnd"/>
      <w:r w:rsidR="003D1734">
        <w:rPr>
          <w:rFonts w:eastAsia="Times New Roman"/>
        </w:rPr>
        <w:t xml:space="preserve"> it will tend to exacerbate local inequality.</w:t>
      </w:r>
    </w:p>
    <w:p w14:paraId="0093D0B7" w14:textId="77777777" w:rsidR="00ED4A8F" w:rsidRDefault="00ED4A8F" w:rsidP="001214AD">
      <w:pPr>
        <w:spacing w:line="288" w:lineRule="auto"/>
        <w:ind w:firstLine="720"/>
      </w:pPr>
    </w:p>
    <w:p w14:paraId="774604C7" w14:textId="0719872D" w:rsidR="00922AAB" w:rsidRDefault="00922AAB" w:rsidP="001214AD">
      <w:pPr>
        <w:spacing w:line="288" w:lineRule="auto"/>
        <w:ind w:firstLine="720"/>
        <w:rPr>
          <w:rFonts w:asciiTheme="majorBidi" w:hAnsiTheme="majorBidi" w:cstheme="majorBidi"/>
        </w:rPr>
      </w:pPr>
      <w:r>
        <w:t xml:space="preserve">While the pathways </w:t>
      </w:r>
      <w:r w:rsidR="00BC1346">
        <w:t xml:space="preserve">from forest loss to inequality </w:t>
      </w:r>
      <w:r>
        <w:t xml:space="preserve">are </w:t>
      </w:r>
      <w:r w:rsidR="006065E5">
        <w:t xml:space="preserve">intuitively </w:t>
      </w:r>
      <w:r>
        <w:t xml:space="preserve">plausible, </w:t>
      </w:r>
      <w:r w:rsidR="00BC1346">
        <w:t>they remain largely unstudied</w:t>
      </w:r>
      <w:r w:rsidR="006065E5">
        <w:t>, perhaps</w:t>
      </w:r>
      <w:r w:rsidR="00BC1346">
        <w:t xml:space="preserve"> because of the well-known problem of linking people to pixels</w:t>
      </w:r>
      <w:r w:rsidR="006065E5" w:rsidRPr="006065E5">
        <w:rPr>
          <w:rFonts w:asciiTheme="majorBidi" w:hAnsiTheme="majorBidi" w:cstheme="majorBidi"/>
        </w:rPr>
        <w:t xml:space="preserve"> </w:t>
      </w:r>
      <w:r w:rsidR="006065E5" w:rsidRPr="00166A2C">
        <w:rPr>
          <w:rFonts w:asciiTheme="majorBidi" w:hAnsiTheme="majorBidi" w:cstheme="majorBidi"/>
        </w:rPr>
        <w:t>(</w:t>
      </w:r>
      <w:proofErr w:type="spellStart"/>
      <w:r w:rsidR="006065E5" w:rsidRPr="00166A2C">
        <w:rPr>
          <w:rFonts w:asciiTheme="majorBidi" w:hAnsiTheme="majorBidi" w:cstheme="majorBidi"/>
        </w:rPr>
        <w:t>Geoghegan</w:t>
      </w:r>
      <w:proofErr w:type="spellEnd"/>
      <w:r w:rsidR="006065E5" w:rsidRPr="00166A2C">
        <w:rPr>
          <w:rFonts w:asciiTheme="majorBidi" w:hAnsiTheme="majorBidi" w:cstheme="majorBidi"/>
        </w:rPr>
        <w:t xml:space="preserve"> </w:t>
      </w:r>
      <w:r w:rsidR="009D0BBB">
        <w:rPr>
          <w:rFonts w:eastAsia="Times New Roman"/>
          <w:i/>
        </w:rPr>
        <w:t>et al.</w:t>
      </w:r>
      <w:r w:rsidR="009D0BBB">
        <w:rPr>
          <w:rFonts w:eastAsia="Times New Roman"/>
        </w:rPr>
        <w:t xml:space="preserve"> </w:t>
      </w:r>
      <w:r w:rsidR="006065E5" w:rsidRPr="00166A2C">
        <w:rPr>
          <w:rFonts w:asciiTheme="majorBidi" w:hAnsiTheme="majorBidi" w:cstheme="majorBidi"/>
        </w:rPr>
        <w:t xml:space="preserve">1998). </w:t>
      </w:r>
      <w:r w:rsidR="006065E5">
        <w:rPr>
          <w:rFonts w:asciiTheme="majorBidi" w:hAnsiTheme="majorBidi" w:cstheme="majorBidi"/>
        </w:rPr>
        <w:t>D</w:t>
      </w:r>
      <w:r w:rsidR="006065E5" w:rsidRPr="00166A2C">
        <w:rPr>
          <w:rFonts w:asciiTheme="majorBidi" w:hAnsiTheme="majorBidi" w:cstheme="majorBidi"/>
        </w:rPr>
        <w:t xml:space="preserve">ata on </w:t>
      </w:r>
      <w:r w:rsidR="006065E5">
        <w:rPr>
          <w:rFonts w:asciiTheme="majorBidi" w:hAnsiTheme="majorBidi" w:cstheme="majorBidi"/>
        </w:rPr>
        <w:t xml:space="preserve">inequality and </w:t>
      </w:r>
      <w:r w:rsidR="006065E5" w:rsidRPr="00166A2C">
        <w:rPr>
          <w:rFonts w:asciiTheme="majorBidi" w:hAnsiTheme="majorBidi" w:cstheme="majorBidi"/>
        </w:rPr>
        <w:t>welfare</w:t>
      </w:r>
      <w:r w:rsidR="006065E5">
        <w:rPr>
          <w:rFonts w:asciiTheme="majorBidi" w:hAnsiTheme="majorBidi" w:cstheme="majorBidi"/>
        </w:rPr>
        <w:t xml:space="preserve"> are mostly from household surveys while environmental change </w:t>
      </w:r>
      <w:proofErr w:type="gramStart"/>
      <w:r w:rsidR="006065E5">
        <w:rPr>
          <w:rFonts w:asciiTheme="majorBidi" w:hAnsiTheme="majorBidi" w:cstheme="majorBidi"/>
        </w:rPr>
        <w:t>is typically measured</w:t>
      </w:r>
      <w:proofErr w:type="gramEnd"/>
      <w:r w:rsidR="006065E5">
        <w:rPr>
          <w:rFonts w:asciiTheme="majorBidi" w:hAnsiTheme="majorBidi" w:cstheme="majorBidi"/>
        </w:rPr>
        <w:t xml:space="preserve"> by remote sensing. If these two types of data </w:t>
      </w:r>
      <w:proofErr w:type="gramStart"/>
      <w:r w:rsidR="006065E5">
        <w:rPr>
          <w:rFonts w:asciiTheme="majorBidi" w:hAnsiTheme="majorBidi" w:cstheme="majorBidi"/>
        </w:rPr>
        <w:t>are matched</w:t>
      </w:r>
      <w:proofErr w:type="gramEnd"/>
      <w:r w:rsidR="006065E5">
        <w:rPr>
          <w:rFonts w:asciiTheme="majorBidi" w:hAnsiTheme="majorBidi" w:cstheme="majorBidi"/>
        </w:rPr>
        <w:t xml:space="preserve"> by using spatial aggregation there is risk of an ecological fallacy; most surveys are only representative for large areas, such as a province, that does not </w:t>
      </w:r>
      <w:r w:rsidR="00267FD1">
        <w:rPr>
          <w:rFonts w:asciiTheme="majorBidi" w:hAnsiTheme="majorBidi" w:cstheme="majorBidi"/>
        </w:rPr>
        <w:t>match</w:t>
      </w:r>
      <w:r w:rsidR="006065E5">
        <w:rPr>
          <w:rFonts w:asciiTheme="majorBidi" w:hAnsiTheme="majorBidi" w:cstheme="majorBidi"/>
        </w:rPr>
        <w:t xml:space="preserve"> the land-owning unit making decisions about forests. Moreover, aggregating to a larger area to get enough </w:t>
      </w:r>
      <w:r w:rsidR="00CB6C9F">
        <w:rPr>
          <w:rFonts w:asciiTheme="majorBidi" w:hAnsiTheme="majorBidi" w:cstheme="majorBidi"/>
        </w:rPr>
        <w:t xml:space="preserve">observations </w:t>
      </w:r>
      <w:r w:rsidR="006065E5">
        <w:rPr>
          <w:rFonts w:asciiTheme="majorBidi" w:hAnsiTheme="majorBidi" w:cstheme="majorBidi"/>
        </w:rPr>
        <w:t>for calculating inequality statistics runs the risk of smoothing a lot of intra-unit spatial variability and may introduce spatial autoc</w:t>
      </w:r>
      <w:r w:rsidR="009D0BBB">
        <w:rPr>
          <w:rFonts w:asciiTheme="majorBidi" w:hAnsiTheme="majorBidi" w:cstheme="majorBidi"/>
        </w:rPr>
        <w:t>orrelation (</w:t>
      </w:r>
      <w:proofErr w:type="spellStart"/>
      <w:r w:rsidR="009D0BBB">
        <w:rPr>
          <w:rFonts w:asciiTheme="majorBidi" w:hAnsiTheme="majorBidi" w:cstheme="majorBidi"/>
        </w:rPr>
        <w:t>Anselin</w:t>
      </w:r>
      <w:proofErr w:type="spellEnd"/>
      <w:r w:rsidR="006065E5">
        <w:rPr>
          <w:rFonts w:asciiTheme="majorBidi" w:hAnsiTheme="majorBidi" w:cstheme="majorBidi"/>
        </w:rPr>
        <w:t xml:space="preserve"> 2001).</w:t>
      </w:r>
      <w:r w:rsidR="00A9672B">
        <w:rPr>
          <w:rStyle w:val="FootnoteReference"/>
          <w:rFonts w:asciiTheme="majorBidi" w:hAnsiTheme="majorBidi" w:cstheme="majorBidi"/>
        </w:rPr>
        <w:footnoteReference w:id="2"/>
      </w:r>
    </w:p>
    <w:p w14:paraId="15964D07" w14:textId="0D284E3A" w:rsidR="006065E5" w:rsidRDefault="006065E5" w:rsidP="001214AD">
      <w:pPr>
        <w:spacing w:line="288" w:lineRule="auto"/>
        <w:ind w:firstLine="720"/>
      </w:pPr>
      <w:r>
        <w:rPr>
          <w:rFonts w:asciiTheme="majorBidi" w:hAnsiTheme="majorBidi" w:cstheme="majorBidi"/>
        </w:rPr>
        <w:lastRenderedPageBreak/>
        <w:t>A technique that has proved useful in development economics</w:t>
      </w:r>
      <w:r w:rsidR="00DF7A77">
        <w:rPr>
          <w:rFonts w:asciiTheme="majorBidi" w:hAnsiTheme="majorBidi" w:cstheme="majorBidi"/>
        </w:rPr>
        <w:t>,</w:t>
      </w:r>
      <w:r>
        <w:rPr>
          <w:rFonts w:asciiTheme="majorBidi" w:hAnsiTheme="majorBidi" w:cstheme="majorBidi"/>
        </w:rPr>
        <w:t xml:space="preserve"> but </w:t>
      </w:r>
      <w:proofErr w:type="gramStart"/>
      <w:r>
        <w:rPr>
          <w:rFonts w:asciiTheme="majorBidi" w:hAnsiTheme="majorBidi" w:cstheme="majorBidi"/>
        </w:rPr>
        <w:t xml:space="preserve">is </w:t>
      </w:r>
      <w:r w:rsidR="004038E3">
        <w:rPr>
          <w:rFonts w:asciiTheme="majorBidi" w:hAnsiTheme="majorBidi" w:cstheme="majorBidi"/>
        </w:rPr>
        <w:t xml:space="preserve">rarely </w:t>
      </w:r>
      <w:r>
        <w:rPr>
          <w:rFonts w:asciiTheme="majorBidi" w:hAnsiTheme="majorBidi" w:cstheme="majorBidi"/>
        </w:rPr>
        <w:t>applied</w:t>
      </w:r>
      <w:proofErr w:type="gramEnd"/>
      <w:r>
        <w:rPr>
          <w:rFonts w:asciiTheme="majorBidi" w:hAnsiTheme="majorBidi" w:cstheme="majorBidi"/>
        </w:rPr>
        <w:t xml:space="preserve"> in environmental economics</w:t>
      </w:r>
      <w:r w:rsidR="00DF7A77">
        <w:rPr>
          <w:rFonts w:asciiTheme="majorBidi" w:hAnsiTheme="majorBidi" w:cstheme="majorBidi"/>
        </w:rPr>
        <w:t>,</w:t>
      </w:r>
      <w:r>
        <w:rPr>
          <w:rFonts w:asciiTheme="majorBidi" w:hAnsiTheme="majorBidi" w:cstheme="majorBidi"/>
        </w:rPr>
        <w:t xml:space="preserve"> is small-area estimation with survey-to-census imputation.</w:t>
      </w:r>
      <w:r w:rsidR="004038E3">
        <w:rPr>
          <w:rStyle w:val="FootnoteReference"/>
          <w:rFonts w:asciiTheme="majorBidi" w:hAnsiTheme="majorBidi" w:cstheme="majorBidi"/>
        </w:rPr>
        <w:footnoteReference w:id="3"/>
      </w:r>
      <w:r>
        <w:rPr>
          <w:rFonts w:asciiTheme="majorBidi" w:hAnsiTheme="majorBidi" w:cstheme="majorBidi"/>
        </w:rPr>
        <w:t xml:space="preserve"> S</w:t>
      </w:r>
      <w:r w:rsidRPr="000F5C96">
        <w:rPr>
          <w:rFonts w:asciiTheme="majorBidi" w:hAnsiTheme="majorBidi" w:cstheme="majorBidi"/>
        </w:rPr>
        <w:t xml:space="preserve">urvey data </w:t>
      </w:r>
      <w:proofErr w:type="gramStart"/>
      <w:r>
        <w:rPr>
          <w:rFonts w:asciiTheme="majorBidi" w:hAnsiTheme="majorBidi" w:cstheme="majorBidi"/>
        </w:rPr>
        <w:t>are used</w:t>
      </w:r>
      <w:proofErr w:type="gramEnd"/>
      <w:r>
        <w:rPr>
          <w:rFonts w:asciiTheme="majorBidi" w:hAnsiTheme="majorBidi" w:cstheme="majorBidi"/>
        </w:rPr>
        <w:t xml:space="preserve"> </w:t>
      </w:r>
      <w:r w:rsidRPr="000F5C96">
        <w:rPr>
          <w:rFonts w:asciiTheme="majorBidi" w:hAnsiTheme="majorBidi" w:cstheme="majorBidi"/>
        </w:rPr>
        <w:t>to estimate a</w:t>
      </w:r>
      <w:r>
        <w:rPr>
          <w:rFonts w:asciiTheme="majorBidi" w:hAnsiTheme="majorBidi" w:cstheme="majorBidi"/>
        </w:rPr>
        <w:t xml:space="preserve"> model of consumption, with </w:t>
      </w:r>
      <w:r w:rsidRPr="000F5C96">
        <w:rPr>
          <w:rFonts w:asciiTheme="majorBidi" w:hAnsiTheme="majorBidi" w:cstheme="majorBidi"/>
        </w:rPr>
        <w:t xml:space="preserve">explanatory variables restricted to those </w:t>
      </w:r>
      <w:r>
        <w:rPr>
          <w:rFonts w:asciiTheme="majorBidi" w:hAnsiTheme="majorBidi" w:cstheme="majorBidi"/>
        </w:rPr>
        <w:t xml:space="preserve">with overlapping distributions </w:t>
      </w:r>
      <w:r w:rsidRPr="000F5C96">
        <w:rPr>
          <w:rFonts w:asciiTheme="majorBidi" w:hAnsiTheme="majorBidi" w:cstheme="majorBidi"/>
        </w:rPr>
        <w:t>avail</w:t>
      </w:r>
      <w:r>
        <w:rPr>
          <w:rFonts w:asciiTheme="majorBidi" w:hAnsiTheme="majorBidi" w:cstheme="majorBidi"/>
        </w:rPr>
        <w:t>able from a recent census. C</w:t>
      </w:r>
      <w:r w:rsidRPr="000F5C96">
        <w:rPr>
          <w:rFonts w:asciiTheme="majorBidi" w:hAnsiTheme="majorBidi" w:cstheme="majorBidi"/>
        </w:rPr>
        <w:t>oeffi</w:t>
      </w:r>
      <w:r>
        <w:rPr>
          <w:rFonts w:asciiTheme="majorBidi" w:hAnsiTheme="majorBidi" w:cstheme="majorBidi"/>
        </w:rPr>
        <w:t xml:space="preserve">cients from this model </w:t>
      </w:r>
      <w:proofErr w:type="gramStart"/>
      <w:r>
        <w:rPr>
          <w:rFonts w:asciiTheme="majorBidi" w:hAnsiTheme="majorBidi" w:cstheme="majorBidi"/>
        </w:rPr>
        <w:t>are combined</w:t>
      </w:r>
      <w:proofErr w:type="gramEnd"/>
      <w:r>
        <w:rPr>
          <w:rFonts w:asciiTheme="majorBidi" w:hAnsiTheme="majorBidi" w:cstheme="majorBidi"/>
        </w:rPr>
        <w:t xml:space="preserve"> with </w:t>
      </w:r>
      <w:r w:rsidRPr="000F5C96">
        <w:rPr>
          <w:rFonts w:asciiTheme="majorBidi" w:hAnsiTheme="majorBidi" w:cstheme="majorBidi"/>
        </w:rPr>
        <w:t xml:space="preserve">variables from the census, </w:t>
      </w:r>
      <w:r>
        <w:rPr>
          <w:rFonts w:asciiTheme="majorBidi" w:hAnsiTheme="majorBidi" w:cstheme="majorBidi"/>
        </w:rPr>
        <w:t xml:space="preserve">to predict </w:t>
      </w:r>
      <w:r w:rsidRPr="000F5C96">
        <w:rPr>
          <w:rFonts w:asciiTheme="majorBidi" w:hAnsiTheme="majorBidi" w:cstheme="majorBidi"/>
        </w:rPr>
        <w:t xml:space="preserve">consumption </w:t>
      </w:r>
      <w:r>
        <w:rPr>
          <w:rFonts w:asciiTheme="majorBidi" w:hAnsiTheme="majorBidi" w:cstheme="majorBidi"/>
        </w:rPr>
        <w:t xml:space="preserve">for each census household. The models </w:t>
      </w:r>
      <w:proofErr w:type="gramStart"/>
      <w:r>
        <w:rPr>
          <w:rFonts w:asciiTheme="majorBidi" w:hAnsiTheme="majorBidi" w:cstheme="majorBidi"/>
        </w:rPr>
        <w:t>are designed</w:t>
      </w:r>
      <w:proofErr w:type="gramEnd"/>
      <w:r>
        <w:rPr>
          <w:rFonts w:asciiTheme="majorBidi" w:hAnsiTheme="majorBidi" w:cstheme="majorBidi"/>
        </w:rPr>
        <w:t xml:space="preserve"> to reduce common location terms in residuals </w:t>
      </w:r>
      <w:r w:rsidR="00BB73AC">
        <w:rPr>
          <w:rFonts w:asciiTheme="majorBidi" w:hAnsiTheme="majorBidi" w:cstheme="majorBidi"/>
        </w:rPr>
        <w:t>so that predictions are more precise</w:t>
      </w:r>
      <w:r>
        <w:rPr>
          <w:rFonts w:asciiTheme="majorBidi" w:hAnsiTheme="majorBidi" w:cstheme="majorBidi"/>
        </w:rPr>
        <w:t>, and simulations draw from idiosyncratic and correlated components of the errors (</w:t>
      </w:r>
      <w:proofErr w:type="spellStart"/>
      <w:r>
        <w:rPr>
          <w:rFonts w:asciiTheme="majorBidi" w:hAnsiTheme="majorBidi" w:cstheme="majorBidi"/>
        </w:rPr>
        <w:t>Elbers</w:t>
      </w:r>
      <w:proofErr w:type="spellEnd"/>
      <w:r>
        <w:rPr>
          <w:rFonts w:asciiTheme="majorBidi" w:hAnsiTheme="majorBidi" w:cstheme="majorBidi"/>
        </w:rPr>
        <w:t xml:space="preserve"> </w:t>
      </w:r>
      <w:r w:rsidR="009D0BBB">
        <w:rPr>
          <w:rFonts w:eastAsia="Times New Roman"/>
          <w:i/>
        </w:rPr>
        <w:t>et al.</w:t>
      </w:r>
      <w:r w:rsidR="009D0BBB">
        <w:rPr>
          <w:rFonts w:eastAsia="Times New Roman"/>
        </w:rPr>
        <w:t xml:space="preserve"> </w:t>
      </w:r>
      <w:r>
        <w:rPr>
          <w:rFonts w:asciiTheme="majorBidi" w:hAnsiTheme="majorBidi" w:cstheme="majorBidi"/>
        </w:rPr>
        <w:t xml:space="preserve">2003). The </w:t>
      </w:r>
      <w:r w:rsidR="00AC717E">
        <w:rPr>
          <w:rFonts w:asciiTheme="majorBidi" w:hAnsiTheme="majorBidi" w:cstheme="majorBidi"/>
        </w:rPr>
        <w:t>repeated simulations</w:t>
      </w:r>
      <w:r>
        <w:rPr>
          <w:rFonts w:asciiTheme="majorBidi" w:hAnsiTheme="majorBidi" w:cstheme="majorBidi"/>
        </w:rPr>
        <w:t xml:space="preserve"> </w:t>
      </w:r>
      <w:proofErr w:type="gramStart"/>
      <w:r>
        <w:rPr>
          <w:rFonts w:asciiTheme="majorBidi" w:hAnsiTheme="majorBidi" w:cstheme="majorBidi"/>
        </w:rPr>
        <w:t xml:space="preserve">are </w:t>
      </w:r>
      <w:r w:rsidR="00BB73AC">
        <w:rPr>
          <w:rFonts w:asciiTheme="majorBidi" w:hAnsiTheme="majorBidi" w:cstheme="majorBidi"/>
        </w:rPr>
        <w:t xml:space="preserve">then </w:t>
      </w:r>
      <w:r>
        <w:rPr>
          <w:rFonts w:asciiTheme="majorBidi" w:hAnsiTheme="majorBidi" w:cstheme="majorBidi"/>
        </w:rPr>
        <w:t>used</w:t>
      </w:r>
      <w:proofErr w:type="gramEnd"/>
      <w:r>
        <w:rPr>
          <w:rFonts w:asciiTheme="majorBidi" w:hAnsiTheme="majorBidi" w:cstheme="majorBidi"/>
        </w:rPr>
        <w:t xml:space="preserve"> to calculate</w:t>
      </w:r>
      <w:r w:rsidR="00686DF5">
        <w:rPr>
          <w:rFonts w:asciiTheme="majorBidi" w:hAnsiTheme="majorBidi" w:cstheme="majorBidi"/>
        </w:rPr>
        <w:t xml:space="preserve"> welfare indicators</w:t>
      </w:r>
      <w:r>
        <w:rPr>
          <w:rFonts w:asciiTheme="majorBidi" w:hAnsiTheme="majorBidi" w:cstheme="majorBidi"/>
        </w:rPr>
        <w:t xml:space="preserve"> with a high degree of precision</w:t>
      </w:r>
      <w:r w:rsidR="00AC717E">
        <w:rPr>
          <w:rFonts w:asciiTheme="majorBidi" w:hAnsiTheme="majorBidi" w:cstheme="majorBidi"/>
        </w:rPr>
        <w:t xml:space="preserve"> for small areas</w:t>
      </w:r>
      <w:r>
        <w:rPr>
          <w:rFonts w:asciiTheme="majorBidi" w:hAnsiTheme="majorBidi" w:cstheme="majorBidi"/>
        </w:rPr>
        <w:t>.</w:t>
      </w:r>
      <w:r w:rsidR="00686DF5">
        <w:rPr>
          <w:rFonts w:asciiTheme="majorBidi" w:hAnsiTheme="majorBidi" w:cstheme="majorBidi"/>
        </w:rPr>
        <w:t xml:space="preserve"> Most applications of the method focus on poverty</w:t>
      </w:r>
      <w:r>
        <w:rPr>
          <w:rFonts w:asciiTheme="majorBidi" w:hAnsiTheme="majorBidi" w:cstheme="majorBidi"/>
        </w:rPr>
        <w:t xml:space="preserve"> </w:t>
      </w:r>
      <w:r w:rsidR="00642762">
        <w:rPr>
          <w:rFonts w:asciiTheme="majorBidi" w:hAnsiTheme="majorBidi" w:cstheme="majorBidi"/>
        </w:rPr>
        <w:t>but it can also measure</w:t>
      </w:r>
      <w:r w:rsidR="00686DF5">
        <w:rPr>
          <w:rFonts w:asciiTheme="majorBidi" w:hAnsiTheme="majorBidi" w:cstheme="majorBidi"/>
        </w:rPr>
        <w:t xml:space="preserve"> inequality for smaller areas than </w:t>
      </w:r>
      <w:r w:rsidR="00642762">
        <w:rPr>
          <w:rFonts w:asciiTheme="majorBidi" w:hAnsiTheme="majorBidi" w:cstheme="majorBidi"/>
        </w:rPr>
        <w:t>is</w:t>
      </w:r>
      <w:r w:rsidR="00686DF5">
        <w:rPr>
          <w:rFonts w:asciiTheme="majorBidi" w:hAnsiTheme="majorBidi" w:cstheme="majorBidi"/>
        </w:rPr>
        <w:t xml:space="preserve"> possible with a survey. For example, </w:t>
      </w:r>
      <w:proofErr w:type="spellStart"/>
      <w:r w:rsidR="00686DF5">
        <w:rPr>
          <w:rFonts w:eastAsia="Times New Roman"/>
        </w:rPr>
        <w:t>Demombynes</w:t>
      </w:r>
      <w:proofErr w:type="spellEnd"/>
      <w:r w:rsidR="00686DF5">
        <w:rPr>
          <w:rFonts w:eastAsia="Times New Roman"/>
        </w:rPr>
        <w:t xml:space="preserve"> and</w:t>
      </w:r>
      <w:r w:rsidR="00686DF5" w:rsidRPr="00686DF5">
        <w:rPr>
          <w:rFonts w:eastAsia="Times New Roman"/>
        </w:rPr>
        <w:t xml:space="preserve"> </w:t>
      </w:r>
      <w:proofErr w:type="spellStart"/>
      <w:r w:rsidR="00686DF5" w:rsidRPr="00686DF5">
        <w:rPr>
          <w:rFonts w:eastAsia="Times New Roman"/>
        </w:rPr>
        <w:t>Özler</w:t>
      </w:r>
      <w:proofErr w:type="spellEnd"/>
      <w:r w:rsidR="00686DF5">
        <w:rPr>
          <w:rFonts w:eastAsia="Times New Roman"/>
        </w:rPr>
        <w:t xml:space="preserve"> (20</w:t>
      </w:r>
      <w:r w:rsidR="00642762">
        <w:rPr>
          <w:rFonts w:eastAsia="Times New Roman"/>
        </w:rPr>
        <w:t xml:space="preserve">05) created </w:t>
      </w:r>
      <w:r w:rsidR="00686DF5">
        <w:rPr>
          <w:rFonts w:eastAsia="Times New Roman"/>
        </w:rPr>
        <w:t xml:space="preserve">inequality statistics for police </w:t>
      </w:r>
      <w:r w:rsidR="00642762">
        <w:t>precincts in South Africa (</w:t>
      </w:r>
      <w:r w:rsidR="00642762" w:rsidRPr="00642762">
        <w:rPr>
          <w:i/>
          <w:iCs/>
        </w:rPr>
        <w:t>n</w:t>
      </w:r>
      <w:r w:rsidR="00642762">
        <w:t>=1064) to match to crime rate data available at the same spatially disaggregated level.</w:t>
      </w:r>
    </w:p>
    <w:p w14:paraId="5E52C27D" w14:textId="77777777" w:rsidR="00ED4A8F" w:rsidRDefault="00ED4A8F" w:rsidP="001214AD">
      <w:pPr>
        <w:spacing w:line="288" w:lineRule="auto"/>
        <w:ind w:firstLine="720"/>
        <w:rPr>
          <w:rFonts w:asciiTheme="majorBidi" w:hAnsiTheme="majorBidi" w:cstheme="majorBidi"/>
        </w:rPr>
      </w:pPr>
    </w:p>
    <w:p w14:paraId="786995C4" w14:textId="6BDE5E81" w:rsidR="00277A21" w:rsidRDefault="00C40812" w:rsidP="001214AD">
      <w:pPr>
        <w:spacing w:line="288" w:lineRule="auto"/>
        <w:ind w:firstLine="720"/>
        <w:rPr>
          <w:rFonts w:asciiTheme="majorBidi" w:hAnsiTheme="majorBidi" w:cstheme="majorBidi"/>
        </w:rPr>
      </w:pPr>
      <w:r>
        <w:rPr>
          <w:rFonts w:asciiTheme="majorBidi" w:hAnsiTheme="majorBidi" w:cstheme="majorBidi"/>
        </w:rPr>
        <w:t>T</w:t>
      </w:r>
      <w:r w:rsidR="00267FD1">
        <w:rPr>
          <w:rFonts w:asciiTheme="majorBidi" w:hAnsiTheme="majorBidi" w:cstheme="majorBidi"/>
        </w:rPr>
        <w:t xml:space="preserve">his paper </w:t>
      </w:r>
      <w:r>
        <w:rPr>
          <w:rFonts w:asciiTheme="majorBidi" w:hAnsiTheme="majorBidi" w:cstheme="majorBidi"/>
        </w:rPr>
        <w:t xml:space="preserve">studies </w:t>
      </w:r>
      <w:r w:rsidR="00267FD1">
        <w:rPr>
          <w:rFonts w:asciiTheme="majorBidi" w:hAnsiTheme="majorBidi" w:cstheme="majorBidi"/>
        </w:rPr>
        <w:t xml:space="preserve">the effect of forest loss </w:t>
      </w:r>
      <w:r>
        <w:rPr>
          <w:rFonts w:asciiTheme="majorBidi" w:hAnsiTheme="majorBidi" w:cstheme="majorBidi"/>
        </w:rPr>
        <w:t xml:space="preserve">from </w:t>
      </w:r>
      <w:r w:rsidR="00267FD1">
        <w:rPr>
          <w:rFonts w:asciiTheme="majorBidi" w:hAnsiTheme="majorBidi" w:cstheme="majorBidi"/>
        </w:rPr>
        <w:t>2000 to 2012 on the subsequent level of economic inequality</w:t>
      </w:r>
      <w:r>
        <w:rPr>
          <w:rFonts w:asciiTheme="majorBidi" w:hAnsiTheme="majorBidi" w:cstheme="majorBidi"/>
        </w:rPr>
        <w:t>,</w:t>
      </w:r>
      <w:r w:rsidR="00267FD1">
        <w:rPr>
          <w:rFonts w:asciiTheme="majorBidi" w:hAnsiTheme="majorBidi" w:cstheme="majorBidi"/>
        </w:rPr>
        <w:t xml:space="preserve"> at ward level for the rural Solomon Islands. Wards are the </w:t>
      </w:r>
      <w:r w:rsidR="00F6283F">
        <w:rPr>
          <w:rFonts w:asciiTheme="majorBidi" w:hAnsiTheme="majorBidi" w:cstheme="majorBidi"/>
        </w:rPr>
        <w:t>sub-national unit</w:t>
      </w:r>
      <w:r w:rsidR="00267FD1">
        <w:rPr>
          <w:rFonts w:asciiTheme="majorBidi" w:hAnsiTheme="majorBidi" w:cstheme="majorBidi"/>
        </w:rPr>
        <w:t xml:space="preserve"> below provinces, and the median rural ward has just 360 households, which is far smaller than the typical survey domains for which inequality </w:t>
      </w:r>
      <w:proofErr w:type="gramStart"/>
      <w:r w:rsidR="00267FD1">
        <w:rPr>
          <w:rFonts w:asciiTheme="majorBidi" w:hAnsiTheme="majorBidi" w:cstheme="majorBidi"/>
        </w:rPr>
        <w:t>is reported</w:t>
      </w:r>
      <w:proofErr w:type="gramEnd"/>
      <w:r w:rsidR="00267FD1">
        <w:rPr>
          <w:rFonts w:asciiTheme="majorBidi" w:hAnsiTheme="majorBidi" w:cstheme="majorBidi"/>
        </w:rPr>
        <w:t>. The inequality estimates produced by the survey</w:t>
      </w:r>
      <w:r w:rsidR="00761B57">
        <w:rPr>
          <w:rFonts w:asciiTheme="majorBidi" w:hAnsiTheme="majorBidi" w:cstheme="majorBidi"/>
        </w:rPr>
        <w:t xml:space="preserve">-to-census imputation allow </w:t>
      </w:r>
      <w:r w:rsidR="00267FD1">
        <w:rPr>
          <w:rFonts w:asciiTheme="majorBidi" w:hAnsiTheme="majorBidi" w:cstheme="majorBidi"/>
        </w:rPr>
        <w:t xml:space="preserve">an area-to-area matching of </w:t>
      </w:r>
      <w:r w:rsidR="00CB6C9F">
        <w:rPr>
          <w:rFonts w:asciiTheme="majorBidi" w:hAnsiTheme="majorBidi" w:cstheme="majorBidi"/>
        </w:rPr>
        <w:t xml:space="preserve">remote sensing and </w:t>
      </w:r>
      <w:r w:rsidR="00267FD1">
        <w:rPr>
          <w:rFonts w:asciiTheme="majorBidi" w:hAnsiTheme="majorBidi" w:cstheme="majorBidi"/>
        </w:rPr>
        <w:t xml:space="preserve">welfare data that is particularly suitable when resource management decisions </w:t>
      </w:r>
      <w:proofErr w:type="gramStart"/>
      <w:r w:rsidR="00267FD1">
        <w:rPr>
          <w:rFonts w:asciiTheme="majorBidi" w:hAnsiTheme="majorBidi" w:cstheme="majorBidi"/>
        </w:rPr>
        <w:t>are made</w:t>
      </w:r>
      <w:proofErr w:type="gramEnd"/>
      <w:r w:rsidR="00267FD1">
        <w:rPr>
          <w:rFonts w:asciiTheme="majorBidi" w:hAnsiTheme="majorBidi" w:cstheme="majorBidi"/>
        </w:rPr>
        <w:t xml:space="preserve"> by collective entities, such as tribes. In the Solomon Islands, 90% of the forested land is under customary (tribal) ownership</w:t>
      </w:r>
      <w:r w:rsidR="00DF7A77">
        <w:rPr>
          <w:rFonts w:asciiTheme="majorBidi" w:hAnsiTheme="majorBidi" w:cstheme="majorBidi"/>
        </w:rPr>
        <w:t>. L</w:t>
      </w:r>
      <w:r w:rsidR="00267FD1" w:rsidRPr="00166A2C">
        <w:rPr>
          <w:rFonts w:asciiTheme="majorBidi" w:hAnsiTheme="majorBidi" w:cstheme="majorBidi"/>
        </w:rPr>
        <w:t>andowners get royalties from logging c</w:t>
      </w:r>
      <w:r w:rsidR="00BB73AC">
        <w:rPr>
          <w:rFonts w:asciiTheme="majorBidi" w:hAnsiTheme="majorBidi" w:cstheme="majorBidi"/>
        </w:rPr>
        <w:t>ompanies (equivalent to about 15</w:t>
      </w:r>
      <w:r w:rsidR="00267FD1" w:rsidRPr="00166A2C">
        <w:rPr>
          <w:rFonts w:asciiTheme="majorBidi" w:hAnsiTheme="majorBidi" w:cstheme="majorBidi"/>
        </w:rPr>
        <w:t xml:space="preserve">% of free-on-board log prices) and also may be </w:t>
      </w:r>
      <w:r w:rsidR="00CB6C9F">
        <w:rPr>
          <w:rFonts w:asciiTheme="majorBidi" w:hAnsiTheme="majorBidi" w:cstheme="majorBidi"/>
        </w:rPr>
        <w:t xml:space="preserve">compensated if roads have to be built on their land </w:t>
      </w:r>
      <w:proofErr w:type="gramStart"/>
      <w:r w:rsidR="00CB6C9F">
        <w:rPr>
          <w:rFonts w:asciiTheme="majorBidi" w:hAnsiTheme="majorBidi" w:cstheme="majorBidi"/>
        </w:rPr>
        <w:t>so as to</w:t>
      </w:r>
      <w:proofErr w:type="gramEnd"/>
      <w:r w:rsidR="00CB6C9F">
        <w:rPr>
          <w:rFonts w:asciiTheme="majorBidi" w:hAnsiTheme="majorBidi" w:cstheme="majorBidi"/>
        </w:rPr>
        <w:t xml:space="preserve"> </w:t>
      </w:r>
      <w:r w:rsidR="00642762">
        <w:rPr>
          <w:rFonts w:asciiTheme="majorBidi" w:hAnsiTheme="majorBidi" w:cstheme="majorBidi"/>
        </w:rPr>
        <w:t>access forest stands. In some cases,</w:t>
      </w:r>
      <w:r w:rsidR="00267FD1" w:rsidRPr="00166A2C">
        <w:rPr>
          <w:rFonts w:asciiTheme="majorBidi" w:hAnsiTheme="majorBidi" w:cstheme="majorBidi"/>
        </w:rPr>
        <w:t xml:space="preserve"> community leaders </w:t>
      </w:r>
      <w:proofErr w:type="gramStart"/>
      <w:r w:rsidR="00267FD1" w:rsidRPr="00166A2C">
        <w:rPr>
          <w:rFonts w:asciiTheme="majorBidi" w:hAnsiTheme="majorBidi" w:cstheme="majorBidi"/>
        </w:rPr>
        <w:t>may be paid</w:t>
      </w:r>
      <w:proofErr w:type="gramEnd"/>
      <w:r w:rsidR="00267FD1" w:rsidRPr="00166A2C">
        <w:rPr>
          <w:rFonts w:asciiTheme="majorBidi" w:hAnsiTheme="majorBidi" w:cstheme="majorBidi"/>
        </w:rPr>
        <w:t xml:space="preserve"> </w:t>
      </w:r>
      <w:r w:rsidR="00642762">
        <w:rPr>
          <w:rFonts w:asciiTheme="majorBidi" w:hAnsiTheme="majorBidi" w:cstheme="majorBidi"/>
        </w:rPr>
        <w:t xml:space="preserve">by the companies </w:t>
      </w:r>
      <w:r w:rsidR="00267FD1" w:rsidRPr="00166A2C">
        <w:rPr>
          <w:rFonts w:asciiTheme="majorBidi" w:hAnsiTheme="majorBidi" w:cstheme="majorBidi"/>
        </w:rPr>
        <w:t xml:space="preserve">to facilitate negotiations </w:t>
      </w:r>
      <w:r w:rsidR="00267FD1">
        <w:rPr>
          <w:rFonts w:asciiTheme="majorBidi" w:hAnsiTheme="majorBidi" w:cstheme="majorBidi"/>
        </w:rPr>
        <w:t xml:space="preserve">over </w:t>
      </w:r>
      <w:r w:rsidR="00267FD1" w:rsidRPr="00166A2C">
        <w:rPr>
          <w:rFonts w:asciiTheme="majorBidi" w:hAnsiTheme="majorBidi" w:cstheme="majorBidi"/>
        </w:rPr>
        <w:t xml:space="preserve">logging concession. </w:t>
      </w:r>
    </w:p>
    <w:p w14:paraId="27FC2AE6" w14:textId="77777777" w:rsidR="00ED4A8F" w:rsidRDefault="00ED4A8F" w:rsidP="001214AD">
      <w:pPr>
        <w:spacing w:line="288" w:lineRule="auto"/>
        <w:ind w:firstLine="720"/>
        <w:rPr>
          <w:rFonts w:asciiTheme="majorBidi" w:hAnsiTheme="majorBidi" w:cstheme="majorBidi"/>
        </w:rPr>
      </w:pPr>
    </w:p>
    <w:p w14:paraId="5DC72952" w14:textId="6A129F50" w:rsidR="00BB73AC" w:rsidRDefault="00BB73AC" w:rsidP="001214AD">
      <w:pPr>
        <w:spacing w:line="288" w:lineRule="auto"/>
        <w:ind w:firstLine="720"/>
        <w:rPr>
          <w:rFonts w:asciiTheme="majorBidi" w:hAnsiTheme="majorBidi" w:cstheme="majorBidi"/>
        </w:rPr>
      </w:pPr>
      <w:r>
        <w:rPr>
          <w:rFonts w:asciiTheme="majorBidi" w:hAnsiTheme="majorBidi" w:cstheme="majorBidi"/>
        </w:rPr>
        <w:t>Although wards are political and statistical units, they match well with patterns of t</w:t>
      </w:r>
      <w:r w:rsidR="00C40812">
        <w:rPr>
          <w:rFonts w:asciiTheme="majorBidi" w:hAnsiTheme="majorBidi" w:cstheme="majorBidi"/>
        </w:rPr>
        <w:t>ribal control over land. I</w:t>
      </w:r>
      <w:r>
        <w:rPr>
          <w:rFonts w:asciiTheme="majorBidi" w:hAnsiTheme="majorBidi" w:cstheme="majorBidi"/>
        </w:rPr>
        <w:t xml:space="preserve">t is the customary landowners (or some subset of them) who </w:t>
      </w:r>
      <w:r w:rsidR="00C40812">
        <w:rPr>
          <w:rFonts w:asciiTheme="majorBidi" w:hAnsiTheme="majorBidi" w:cstheme="majorBidi"/>
        </w:rPr>
        <w:t>grant logging concessions so</w:t>
      </w:r>
      <w:r>
        <w:rPr>
          <w:rFonts w:asciiTheme="majorBidi" w:hAnsiTheme="majorBidi" w:cstheme="majorBidi"/>
        </w:rPr>
        <w:t xml:space="preserve"> the pattern of deforestation also </w:t>
      </w:r>
      <w:r w:rsidR="00C40812">
        <w:rPr>
          <w:rFonts w:asciiTheme="majorBidi" w:hAnsiTheme="majorBidi" w:cstheme="majorBidi"/>
        </w:rPr>
        <w:t xml:space="preserve">tends to have </w:t>
      </w:r>
      <w:r>
        <w:rPr>
          <w:rFonts w:asciiTheme="majorBidi" w:hAnsiTheme="majorBidi" w:cstheme="majorBidi"/>
        </w:rPr>
        <w:t xml:space="preserve">spatial patterns that </w:t>
      </w:r>
      <w:r w:rsidR="00C40812">
        <w:rPr>
          <w:rFonts w:asciiTheme="majorBidi" w:hAnsiTheme="majorBidi" w:cstheme="majorBidi"/>
        </w:rPr>
        <w:t>vary by ward</w:t>
      </w:r>
      <w:r>
        <w:rPr>
          <w:rFonts w:asciiTheme="majorBidi" w:hAnsiTheme="majorBidi" w:cstheme="majorBidi"/>
        </w:rPr>
        <w:t xml:space="preserve">. Typically, tribal boundaries </w:t>
      </w:r>
      <w:r w:rsidRPr="00166A2C">
        <w:rPr>
          <w:rFonts w:asciiTheme="majorBidi" w:hAnsiTheme="majorBidi" w:cstheme="majorBidi"/>
        </w:rPr>
        <w:t>extend inland from the coast</w:t>
      </w:r>
      <w:r>
        <w:rPr>
          <w:rFonts w:asciiTheme="majorBidi" w:hAnsiTheme="majorBidi" w:cstheme="majorBidi"/>
        </w:rPr>
        <w:t xml:space="preserve"> to the mountainous spine of each of the main isla</w:t>
      </w:r>
      <w:r w:rsidR="009D0BBB">
        <w:rPr>
          <w:rFonts w:asciiTheme="majorBidi" w:hAnsiTheme="majorBidi" w:cstheme="majorBidi"/>
        </w:rPr>
        <w:t xml:space="preserve">nds. The lack of existing </w:t>
      </w:r>
      <w:proofErr w:type="gramStart"/>
      <w:r w:rsidR="009D0BBB">
        <w:rPr>
          <w:rFonts w:asciiTheme="majorBidi" w:hAnsiTheme="majorBidi" w:cstheme="majorBidi"/>
        </w:rPr>
        <w:t>roads,</w:t>
      </w:r>
      <w:proofErr w:type="gramEnd"/>
      <w:r>
        <w:rPr>
          <w:rFonts w:asciiTheme="majorBidi" w:hAnsiTheme="majorBidi" w:cstheme="majorBidi"/>
        </w:rPr>
        <w:t xml:space="preserve"> and the easy access from the sea also means that </w:t>
      </w:r>
      <w:r w:rsidR="00C40812">
        <w:rPr>
          <w:rFonts w:asciiTheme="majorBidi" w:hAnsiTheme="majorBidi" w:cstheme="majorBidi"/>
        </w:rPr>
        <w:t xml:space="preserve">logging </w:t>
      </w:r>
      <w:r>
        <w:rPr>
          <w:rFonts w:asciiTheme="majorBidi" w:hAnsiTheme="majorBidi" w:cstheme="majorBidi"/>
        </w:rPr>
        <w:t xml:space="preserve">follows a similar spatial pattern. </w:t>
      </w:r>
      <w:r w:rsidR="00C40812">
        <w:rPr>
          <w:rFonts w:asciiTheme="majorBidi" w:hAnsiTheme="majorBidi" w:cstheme="majorBidi"/>
        </w:rPr>
        <w:t xml:space="preserve">Indeed, </w:t>
      </w:r>
      <w:r w:rsidRPr="00166A2C">
        <w:rPr>
          <w:rFonts w:asciiTheme="majorBidi" w:hAnsiTheme="majorBidi" w:cstheme="majorBidi"/>
        </w:rPr>
        <w:t>the forests in the Solomon Islands are highly accessible</w:t>
      </w:r>
      <w:r w:rsidR="00C40812">
        <w:rPr>
          <w:rFonts w:asciiTheme="majorBidi" w:hAnsiTheme="majorBidi" w:cstheme="majorBidi"/>
        </w:rPr>
        <w:t xml:space="preserve">, compared to </w:t>
      </w:r>
      <w:r w:rsidR="00C40812" w:rsidRPr="00166A2C">
        <w:rPr>
          <w:rFonts w:asciiTheme="majorBidi" w:hAnsiTheme="majorBidi" w:cstheme="majorBidi"/>
        </w:rPr>
        <w:t>other forested islands in Asia-Pacific,</w:t>
      </w:r>
      <w:r w:rsidRPr="00166A2C">
        <w:rPr>
          <w:rFonts w:asciiTheme="majorBidi" w:hAnsiTheme="majorBidi" w:cstheme="majorBidi"/>
        </w:rPr>
        <w:t xml:space="preserve"> because islands are close to ea</w:t>
      </w:r>
      <w:r>
        <w:rPr>
          <w:rFonts w:asciiTheme="majorBidi" w:hAnsiTheme="majorBidi" w:cstheme="majorBidi"/>
        </w:rPr>
        <w:t xml:space="preserve">ch other so a foreign logging company can quickly move from one site to another, and can service several sites with the same </w:t>
      </w:r>
      <w:r w:rsidR="00C40812">
        <w:rPr>
          <w:rFonts w:asciiTheme="majorBidi" w:hAnsiTheme="majorBidi" w:cstheme="majorBidi"/>
        </w:rPr>
        <w:t xml:space="preserve">mother </w:t>
      </w:r>
      <w:r>
        <w:rPr>
          <w:rFonts w:asciiTheme="majorBidi" w:hAnsiTheme="majorBidi" w:cstheme="majorBidi"/>
        </w:rPr>
        <w:t>ships (</w:t>
      </w:r>
      <w:proofErr w:type="spellStart"/>
      <w:r>
        <w:rPr>
          <w:rFonts w:asciiTheme="majorBidi" w:hAnsiTheme="majorBidi" w:cstheme="majorBidi"/>
        </w:rPr>
        <w:t>Katovai</w:t>
      </w:r>
      <w:proofErr w:type="spellEnd"/>
      <w:r>
        <w:rPr>
          <w:rFonts w:asciiTheme="majorBidi" w:hAnsiTheme="majorBidi" w:cstheme="majorBidi"/>
        </w:rPr>
        <w:t xml:space="preserve"> </w:t>
      </w:r>
      <w:r w:rsidR="009D0BBB">
        <w:rPr>
          <w:rFonts w:eastAsia="Times New Roman"/>
          <w:i/>
        </w:rPr>
        <w:t>et al.</w:t>
      </w:r>
      <w:r w:rsidR="009D0BBB">
        <w:rPr>
          <w:rFonts w:eastAsia="Times New Roman"/>
        </w:rPr>
        <w:t xml:space="preserve"> </w:t>
      </w:r>
      <w:r>
        <w:rPr>
          <w:rFonts w:asciiTheme="majorBidi" w:hAnsiTheme="majorBidi" w:cstheme="majorBidi"/>
        </w:rPr>
        <w:t>2015).</w:t>
      </w:r>
    </w:p>
    <w:p w14:paraId="5E01BBBA" w14:textId="77777777" w:rsidR="004B538F" w:rsidRPr="004B538F" w:rsidRDefault="004B538F" w:rsidP="001214AD">
      <w:pPr>
        <w:spacing w:line="288" w:lineRule="auto"/>
        <w:ind w:firstLine="720"/>
        <w:rPr>
          <w:rFonts w:asciiTheme="majorBidi" w:hAnsiTheme="majorBidi" w:cstheme="majorBidi"/>
          <w:sz w:val="22"/>
          <w:szCs w:val="22"/>
        </w:rPr>
      </w:pPr>
    </w:p>
    <w:p w14:paraId="2EA71F9B" w14:textId="6776A8CF" w:rsidR="00BB73AC" w:rsidRDefault="00F6283F" w:rsidP="001214AD">
      <w:pPr>
        <w:spacing w:line="288" w:lineRule="auto"/>
        <w:ind w:firstLine="720"/>
        <w:rPr>
          <w:rFonts w:asciiTheme="majorBidi" w:hAnsiTheme="majorBidi" w:cstheme="majorBidi"/>
        </w:rPr>
      </w:pPr>
      <w:r>
        <w:rPr>
          <w:rFonts w:asciiTheme="majorBidi" w:hAnsiTheme="majorBidi" w:cstheme="majorBidi"/>
        </w:rPr>
        <w:t>The accessibility of for</w:t>
      </w:r>
      <w:r w:rsidR="00103C64">
        <w:rPr>
          <w:rFonts w:asciiTheme="majorBidi" w:hAnsiTheme="majorBidi" w:cstheme="majorBidi"/>
        </w:rPr>
        <w:t>ests and the limited scope</w:t>
      </w:r>
      <w:r>
        <w:rPr>
          <w:rFonts w:asciiTheme="majorBidi" w:hAnsiTheme="majorBidi" w:cstheme="majorBidi"/>
        </w:rPr>
        <w:t xml:space="preserve"> of other economic activities </w:t>
      </w:r>
      <w:proofErr w:type="gramStart"/>
      <w:r>
        <w:rPr>
          <w:rFonts w:asciiTheme="majorBidi" w:hAnsiTheme="majorBidi" w:cstheme="majorBidi"/>
        </w:rPr>
        <w:t>makes</w:t>
      </w:r>
      <w:proofErr w:type="gramEnd"/>
      <w:r>
        <w:rPr>
          <w:rFonts w:asciiTheme="majorBidi" w:hAnsiTheme="majorBidi" w:cstheme="majorBidi"/>
        </w:rPr>
        <w:t xml:space="preserve"> the Solomon Islands highly dependent on logging. Almost 50% of foreign exchange and 17% of government revenue come from logging (URS, 2014)</w:t>
      </w:r>
      <w:r w:rsidR="00024C87">
        <w:rPr>
          <w:rFonts w:asciiTheme="majorBidi" w:hAnsiTheme="majorBidi" w:cstheme="majorBidi"/>
        </w:rPr>
        <w:t xml:space="preserve">. There is little chance of logging </w:t>
      </w:r>
      <w:proofErr w:type="gramStart"/>
      <w:r w:rsidR="00024C87">
        <w:rPr>
          <w:rFonts w:asciiTheme="majorBidi" w:hAnsiTheme="majorBidi" w:cstheme="majorBidi"/>
        </w:rPr>
        <w:lastRenderedPageBreak/>
        <w:t>being replaced</w:t>
      </w:r>
      <w:proofErr w:type="gramEnd"/>
      <w:r w:rsidR="00024C87">
        <w:rPr>
          <w:rFonts w:asciiTheme="majorBidi" w:hAnsiTheme="majorBidi" w:cstheme="majorBidi"/>
        </w:rPr>
        <w:t xml:space="preserve"> with plantation</w:t>
      </w:r>
      <w:r w:rsidR="00103C64">
        <w:rPr>
          <w:rFonts w:asciiTheme="majorBidi" w:hAnsiTheme="majorBidi" w:cstheme="majorBidi"/>
        </w:rPr>
        <w:t xml:space="preserve"> forestry; plantations are</w:t>
      </w:r>
      <w:r w:rsidR="00024C87">
        <w:rPr>
          <w:rFonts w:asciiTheme="majorBidi" w:hAnsiTheme="majorBidi" w:cstheme="majorBidi"/>
        </w:rPr>
        <w:t xml:space="preserve"> just one percent of the area of indigenous forests (</w:t>
      </w:r>
      <w:proofErr w:type="spellStart"/>
      <w:r w:rsidR="00024C87">
        <w:rPr>
          <w:rFonts w:asciiTheme="majorBidi" w:hAnsiTheme="majorBidi" w:cstheme="majorBidi"/>
        </w:rPr>
        <w:t>Pauku</w:t>
      </w:r>
      <w:proofErr w:type="spellEnd"/>
      <w:r w:rsidR="00024C87">
        <w:rPr>
          <w:rFonts w:asciiTheme="majorBidi" w:hAnsiTheme="majorBidi" w:cstheme="majorBidi"/>
        </w:rPr>
        <w:t xml:space="preserve"> 2009). Likewise, sawn timber exports –</w:t>
      </w:r>
      <w:r w:rsidR="00103C64">
        <w:rPr>
          <w:rFonts w:asciiTheme="majorBidi" w:hAnsiTheme="majorBidi" w:cstheme="majorBidi"/>
        </w:rPr>
        <w:t xml:space="preserve"> </w:t>
      </w:r>
      <w:r w:rsidR="00650ABF">
        <w:rPr>
          <w:rFonts w:asciiTheme="majorBidi" w:hAnsiTheme="majorBidi" w:cstheme="majorBidi"/>
        </w:rPr>
        <w:t>often from</w:t>
      </w:r>
      <w:r w:rsidR="00642762">
        <w:rPr>
          <w:rFonts w:asciiTheme="majorBidi" w:hAnsiTheme="majorBidi" w:cstheme="majorBidi"/>
        </w:rPr>
        <w:t xml:space="preserve"> </w:t>
      </w:r>
      <w:r w:rsidR="00024C87">
        <w:rPr>
          <w:rFonts w:asciiTheme="majorBidi" w:hAnsiTheme="majorBidi" w:cstheme="majorBidi"/>
        </w:rPr>
        <w:t>indigenous companies rather than multinationals – are only 5% of the value of log exports (URS, 2014). Thus, policy makers may see current economic benefits from logging</w:t>
      </w:r>
      <w:r w:rsidR="00103C64">
        <w:rPr>
          <w:rFonts w:asciiTheme="majorBidi" w:hAnsiTheme="majorBidi" w:cstheme="majorBidi"/>
        </w:rPr>
        <w:t xml:space="preserve"> </w:t>
      </w:r>
      <w:r w:rsidR="00642762">
        <w:rPr>
          <w:rFonts w:asciiTheme="majorBidi" w:hAnsiTheme="majorBidi" w:cstheme="majorBidi"/>
        </w:rPr>
        <w:t xml:space="preserve">while the </w:t>
      </w:r>
      <w:r w:rsidR="00024C87">
        <w:rPr>
          <w:rFonts w:asciiTheme="majorBidi" w:hAnsiTheme="majorBidi" w:cstheme="majorBidi"/>
        </w:rPr>
        <w:t xml:space="preserve">environmental costs </w:t>
      </w:r>
      <w:proofErr w:type="gramStart"/>
      <w:r w:rsidR="00642762">
        <w:rPr>
          <w:rFonts w:asciiTheme="majorBidi" w:hAnsiTheme="majorBidi" w:cstheme="majorBidi"/>
        </w:rPr>
        <w:t xml:space="preserve">are </w:t>
      </w:r>
      <w:r w:rsidR="00024C87">
        <w:rPr>
          <w:rFonts w:asciiTheme="majorBidi" w:hAnsiTheme="majorBidi" w:cstheme="majorBidi"/>
        </w:rPr>
        <w:t>discounted</w:t>
      </w:r>
      <w:proofErr w:type="gramEnd"/>
      <w:r w:rsidR="00024C87">
        <w:rPr>
          <w:rFonts w:asciiTheme="majorBidi" w:hAnsiTheme="majorBidi" w:cstheme="majorBidi"/>
        </w:rPr>
        <w:t xml:space="preserve"> as falling more on future generations.</w:t>
      </w:r>
      <w:r w:rsidR="00C62F42">
        <w:rPr>
          <w:rFonts w:asciiTheme="majorBidi" w:hAnsiTheme="majorBidi" w:cstheme="majorBidi"/>
        </w:rPr>
        <w:t xml:space="preserve"> </w:t>
      </w:r>
      <w:r w:rsidR="00761B57">
        <w:rPr>
          <w:rFonts w:asciiTheme="majorBidi" w:hAnsiTheme="majorBidi" w:cstheme="majorBidi"/>
        </w:rPr>
        <w:t xml:space="preserve">This may be especially so in the Solomon Islands, which remains highly forested even though the value of the forest resource is being rapidly depleted. </w:t>
      </w:r>
      <w:r w:rsidR="00642762">
        <w:rPr>
          <w:rFonts w:asciiTheme="majorBidi" w:hAnsiTheme="majorBidi" w:cstheme="majorBidi"/>
        </w:rPr>
        <w:t>In such a setting, a</w:t>
      </w:r>
      <w:r w:rsidR="00103C64">
        <w:rPr>
          <w:rFonts w:asciiTheme="majorBidi" w:hAnsiTheme="majorBidi" w:cstheme="majorBidi"/>
        </w:rPr>
        <w:t xml:space="preserve"> m</w:t>
      </w:r>
      <w:r w:rsidR="00C62F42">
        <w:rPr>
          <w:rFonts w:asciiTheme="majorBidi" w:hAnsiTheme="majorBidi" w:cstheme="majorBidi"/>
        </w:rPr>
        <w:t xml:space="preserve">ore complete evaluation </w:t>
      </w:r>
      <w:r w:rsidR="00103C64">
        <w:rPr>
          <w:rFonts w:asciiTheme="majorBidi" w:hAnsiTheme="majorBidi" w:cstheme="majorBidi"/>
        </w:rPr>
        <w:t xml:space="preserve">may be possible if some of the current welfare costs </w:t>
      </w:r>
      <w:r w:rsidR="00AC717E">
        <w:rPr>
          <w:rFonts w:asciiTheme="majorBidi" w:hAnsiTheme="majorBidi" w:cstheme="majorBidi"/>
        </w:rPr>
        <w:t xml:space="preserve">of logging </w:t>
      </w:r>
      <w:r w:rsidR="00103C64">
        <w:rPr>
          <w:rFonts w:asciiTheme="majorBidi" w:hAnsiTheme="majorBidi" w:cstheme="majorBidi"/>
        </w:rPr>
        <w:t xml:space="preserve">– </w:t>
      </w:r>
      <w:r w:rsidR="00642762">
        <w:rPr>
          <w:rFonts w:asciiTheme="majorBidi" w:hAnsiTheme="majorBidi" w:cstheme="majorBidi"/>
        </w:rPr>
        <w:t>which may include</w:t>
      </w:r>
      <w:r w:rsidR="00103C64">
        <w:rPr>
          <w:rFonts w:asciiTheme="majorBidi" w:hAnsiTheme="majorBidi" w:cstheme="majorBidi"/>
        </w:rPr>
        <w:t xml:space="preserve"> higher inequality – </w:t>
      </w:r>
      <w:proofErr w:type="gramStart"/>
      <w:r w:rsidR="00103C64">
        <w:rPr>
          <w:rFonts w:asciiTheme="majorBidi" w:hAnsiTheme="majorBidi" w:cstheme="majorBidi"/>
        </w:rPr>
        <w:t>are highlighted</w:t>
      </w:r>
      <w:proofErr w:type="gramEnd"/>
      <w:r w:rsidR="00103C64">
        <w:rPr>
          <w:rFonts w:asciiTheme="majorBidi" w:hAnsiTheme="majorBidi" w:cstheme="majorBidi"/>
        </w:rPr>
        <w:t>.</w:t>
      </w:r>
    </w:p>
    <w:p w14:paraId="4515F11B" w14:textId="77777777" w:rsidR="00ED4A8F" w:rsidRDefault="00ED4A8F" w:rsidP="001214AD">
      <w:pPr>
        <w:spacing w:line="288" w:lineRule="auto"/>
        <w:ind w:firstLine="720"/>
        <w:rPr>
          <w:rFonts w:asciiTheme="majorBidi" w:hAnsiTheme="majorBidi" w:cstheme="majorBidi"/>
        </w:rPr>
      </w:pPr>
    </w:p>
    <w:p w14:paraId="529775E9" w14:textId="49E33641" w:rsidR="00103C64" w:rsidRDefault="00BC1346" w:rsidP="001214AD">
      <w:pPr>
        <w:spacing w:line="288" w:lineRule="auto"/>
        <w:ind w:firstLine="720"/>
        <w:rPr>
          <w:rFonts w:eastAsia="Times New Roman"/>
          <w:lang w:val="en-NZ"/>
        </w:rPr>
      </w:pPr>
      <w:r>
        <w:rPr>
          <w:rFonts w:eastAsia="Times New Roman"/>
          <w:lang w:val="en-NZ"/>
        </w:rPr>
        <w:t>While the effect of forest loss on inequality is largely unstudied, there is literature on the reverse relationship, of inequality causing</w:t>
      </w:r>
      <w:r w:rsidR="0070744D" w:rsidRPr="0070744D">
        <w:rPr>
          <w:rFonts w:eastAsia="Times New Roman"/>
          <w:lang w:val="en-NZ"/>
        </w:rPr>
        <w:t xml:space="preserve"> environmental degradation.</w:t>
      </w:r>
      <w:r w:rsidR="00532462">
        <w:rPr>
          <w:rStyle w:val="FootnoteReference"/>
          <w:rFonts w:eastAsia="Times New Roman"/>
          <w:lang w:val="en-NZ"/>
        </w:rPr>
        <w:footnoteReference w:id="4"/>
      </w:r>
      <w:r w:rsidR="0070744D" w:rsidRPr="0070744D">
        <w:rPr>
          <w:rFonts w:eastAsia="Times New Roman"/>
          <w:lang w:val="en-NZ"/>
        </w:rPr>
        <w:t xml:space="preserve"> For</w:t>
      </w:r>
      <w:r>
        <w:rPr>
          <w:rFonts w:eastAsia="Times New Roman"/>
          <w:lang w:val="en-NZ"/>
        </w:rPr>
        <w:t xml:space="preserve"> example, Boyce </w:t>
      </w:r>
      <w:r w:rsidR="00CB6C9F">
        <w:rPr>
          <w:rFonts w:eastAsia="Times New Roman"/>
          <w:lang w:val="en-NZ"/>
        </w:rPr>
        <w:t>(1994) claim</w:t>
      </w:r>
      <w:r w:rsidR="00642762">
        <w:rPr>
          <w:rFonts w:eastAsia="Times New Roman"/>
          <w:lang w:val="en-NZ"/>
        </w:rPr>
        <w:t>s that</w:t>
      </w:r>
      <w:r w:rsidR="00CB6C9F">
        <w:rPr>
          <w:rFonts w:eastAsia="Times New Roman"/>
          <w:lang w:val="en-NZ"/>
        </w:rPr>
        <w:t xml:space="preserve"> </w:t>
      </w:r>
      <w:r w:rsidR="0070744D" w:rsidRPr="0070744D">
        <w:rPr>
          <w:rFonts w:eastAsia="Times New Roman"/>
          <w:lang w:val="en-NZ"/>
        </w:rPr>
        <w:t>inequal</w:t>
      </w:r>
      <w:r w:rsidR="00CB6C9F">
        <w:rPr>
          <w:rFonts w:eastAsia="Times New Roman"/>
          <w:lang w:val="en-NZ"/>
        </w:rPr>
        <w:t xml:space="preserve">ities of power and wealth </w:t>
      </w:r>
      <w:r w:rsidR="0070744D" w:rsidRPr="0070744D">
        <w:rPr>
          <w:rFonts w:eastAsia="Times New Roman"/>
          <w:lang w:val="en-NZ"/>
        </w:rPr>
        <w:t>lead to more environmental degradation</w:t>
      </w:r>
      <w:r w:rsidR="00CB6C9F">
        <w:rPr>
          <w:rFonts w:eastAsia="Times New Roman"/>
          <w:lang w:val="en-NZ"/>
        </w:rPr>
        <w:t>,</w:t>
      </w:r>
      <w:r w:rsidR="0070744D">
        <w:rPr>
          <w:rFonts w:eastAsia="Times New Roman"/>
          <w:lang w:val="en-NZ"/>
        </w:rPr>
        <w:t xml:space="preserve"> since</w:t>
      </w:r>
      <w:r w:rsidR="0070744D" w:rsidRPr="0070744D">
        <w:rPr>
          <w:rFonts w:eastAsia="Times New Roman"/>
          <w:lang w:val="en-NZ"/>
        </w:rPr>
        <w:t xml:space="preserve"> the extent to which an environmentally degrading activity is carried out depend</w:t>
      </w:r>
      <w:r w:rsidR="00532462">
        <w:rPr>
          <w:rFonts w:eastAsia="Times New Roman"/>
          <w:lang w:val="en-NZ"/>
        </w:rPr>
        <w:t>s</w:t>
      </w:r>
      <w:r w:rsidR="0070744D" w:rsidRPr="0070744D">
        <w:rPr>
          <w:rFonts w:eastAsia="Times New Roman"/>
          <w:lang w:val="en-NZ"/>
        </w:rPr>
        <w:t xml:space="preserve"> on the balance of power between those who benefit from </w:t>
      </w:r>
      <w:r w:rsidR="00CB6C9F">
        <w:rPr>
          <w:rFonts w:eastAsia="Times New Roman"/>
          <w:lang w:val="en-NZ"/>
        </w:rPr>
        <w:t>the activity and those who bear the cost of the degradation</w:t>
      </w:r>
      <w:r w:rsidR="0070744D" w:rsidRPr="0070744D">
        <w:rPr>
          <w:rFonts w:eastAsia="Times New Roman"/>
          <w:lang w:val="en-NZ"/>
        </w:rPr>
        <w:t xml:space="preserve">. </w:t>
      </w:r>
      <w:proofErr w:type="spellStart"/>
      <w:r w:rsidR="0070744D" w:rsidRPr="0070744D">
        <w:rPr>
          <w:rFonts w:eastAsia="Times New Roman"/>
          <w:lang w:val="en-NZ"/>
        </w:rPr>
        <w:t>Torras</w:t>
      </w:r>
      <w:proofErr w:type="spellEnd"/>
      <w:r w:rsidR="0070744D" w:rsidRPr="0070744D">
        <w:rPr>
          <w:rFonts w:eastAsia="Times New Roman"/>
          <w:lang w:val="en-NZ"/>
        </w:rPr>
        <w:t xml:space="preserve"> and Boyce (1998) found </w:t>
      </w:r>
      <w:r w:rsidR="00532462">
        <w:rPr>
          <w:rFonts w:eastAsia="Times New Roman"/>
          <w:lang w:val="en-NZ"/>
        </w:rPr>
        <w:t>corroborating</w:t>
      </w:r>
      <w:r w:rsidR="0070744D" w:rsidRPr="0070744D">
        <w:rPr>
          <w:rFonts w:eastAsia="Times New Roman"/>
          <w:lang w:val="en-NZ"/>
        </w:rPr>
        <w:t xml:space="preserve"> evidence</w:t>
      </w:r>
      <w:r w:rsidR="00103C64">
        <w:rPr>
          <w:rFonts w:eastAsia="Times New Roman"/>
          <w:lang w:val="en-NZ"/>
        </w:rPr>
        <w:t xml:space="preserve"> in cross-country data</w:t>
      </w:r>
      <w:r w:rsidR="0070744D" w:rsidRPr="0070744D">
        <w:rPr>
          <w:rFonts w:eastAsia="Times New Roman"/>
          <w:lang w:val="en-NZ"/>
        </w:rPr>
        <w:t xml:space="preserve">, with greater income inequality associated with more pollution. A related study by Koop and </w:t>
      </w:r>
      <w:proofErr w:type="spellStart"/>
      <w:r w:rsidR="0070744D" w:rsidRPr="0070744D">
        <w:rPr>
          <w:rFonts w:eastAsia="Times New Roman"/>
          <w:lang w:val="en-NZ"/>
        </w:rPr>
        <w:t>Tole</w:t>
      </w:r>
      <w:proofErr w:type="spellEnd"/>
      <w:r w:rsidR="0070744D" w:rsidRPr="0070744D">
        <w:rPr>
          <w:rFonts w:eastAsia="Times New Roman"/>
          <w:lang w:val="en-NZ"/>
        </w:rPr>
        <w:t xml:space="preserve"> (2001) found </w:t>
      </w:r>
      <w:r w:rsidR="00C25656">
        <w:rPr>
          <w:rFonts w:eastAsia="Times New Roman"/>
          <w:lang w:val="en-NZ"/>
        </w:rPr>
        <w:t xml:space="preserve">that </w:t>
      </w:r>
      <w:r w:rsidR="0070744D" w:rsidRPr="0070744D">
        <w:rPr>
          <w:rFonts w:eastAsia="Times New Roman"/>
          <w:lang w:val="en-NZ"/>
        </w:rPr>
        <w:t xml:space="preserve">countries with high levels of inequality in either income or land ownership </w:t>
      </w:r>
      <w:r w:rsidR="00DE220F">
        <w:rPr>
          <w:rFonts w:eastAsia="Times New Roman"/>
          <w:lang w:val="en-NZ"/>
        </w:rPr>
        <w:t xml:space="preserve">saw </w:t>
      </w:r>
      <w:r w:rsidR="0070744D">
        <w:rPr>
          <w:rFonts w:eastAsia="Times New Roman"/>
          <w:lang w:val="en-NZ"/>
        </w:rPr>
        <w:t xml:space="preserve">economic development </w:t>
      </w:r>
      <w:r w:rsidR="0070744D" w:rsidRPr="0070744D">
        <w:rPr>
          <w:rFonts w:eastAsia="Times New Roman"/>
          <w:lang w:val="en-NZ"/>
        </w:rPr>
        <w:t>associated with more deforestation, while in more equal countries there was less deforestation as the country grew richer.</w:t>
      </w:r>
      <w:r w:rsidR="00103C64">
        <w:rPr>
          <w:rFonts w:eastAsia="Times New Roman"/>
          <w:lang w:val="en-NZ"/>
        </w:rPr>
        <w:t xml:space="preserve"> </w:t>
      </w:r>
    </w:p>
    <w:p w14:paraId="75CF83BA" w14:textId="77777777" w:rsidR="00ED4A8F" w:rsidRDefault="00ED4A8F" w:rsidP="001214AD">
      <w:pPr>
        <w:spacing w:line="288" w:lineRule="auto"/>
        <w:ind w:firstLine="720"/>
        <w:rPr>
          <w:rFonts w:eastAsia="Times New Roman"/>
          <w:lang w:val="en-NZ"/>
        </w:rPr>
      </w:pPr>
    </w:p>
    <w:p w14:paraId="3DC9855B" w14:textId="3DA09EAA" w:rsidR="0070744D" w:rsidRDefault="00642762" w:rsidP="001214AD">
      <w:pPr>
        <w:spacing w:line="288" w:lineRule="auto"/>
        <w:ind w:firstLine="720"/>
        <w:rPr>
          <w:rFonts w:eastAsia="Times New Roman"/>
          <w:lang w:val="en-NZ"/>
        </w:rPr>
      </w:pPr>
      <w:r>
        <w:rPr>
          <w:rFonts w:eastAsia="Times New Roman"/>
          <w:lang w:val="en-NZ"/>
        </w:rPr>
        <w:t xml:space="preserve">While cross-country studies predominate in the </w:t>
      </w:r>
      <w:r w:rsidR="00103C64">
        <w:rPr>
          <w:rFonts w:eastAsia="Times New Roman"/>
          <w:lang w:val="en-NZ"/>
        </w:rPr>
        <w:t>literature on the effects of inequality on</w:t>
      </w:r>
      <w:r>
        <w:rPr>
          <w:rFonts w:eastAsia="Times New Roman"/>
          <w:lang w:val="en-NZ"/>
        </w:rPr>
        <w:t xml:space="preserve"> environmental damage</w:t>
      </w:r>
      <w:r w:rsidR="00103C64">
        <w:rPr>
          <w:rFonts w:eastAsia="Times New Roman"/>
          <w:lang w:val="en-NZ"/>
        </w:rPr>
        <w:t>,</w:t>
      </w:r>
      <w:r w:rsidR="001900AC">
        <w:rPr>
          <w:rStyle w:val="FootnoteReference"/>
          <w:rFonts w:eastAsia="Times New Roman"/>
          <w:lang w:val="en-NZ"/>
        </w:rPr>
        <w:footnoteReference w:id="5"/>
      </w:r>
      <w:r w:rsidR="00103C64">
        <w:rPr>
          <w:rFonts w:eastAsia="Times New Roman"/>
          <w:lang w:val="en-NZ"/>
        </w:rPr>
        <w:t xml:space="preserve"> if the same relationship </w:t>
      </w:r>
      <w:r>
        <w:rPr>
          <w:rFonts w:eastAsia="Times New Roman"/>
          <w:lang w:val="en-NZ"/>
        </w:rPr>
        <w:t>were to hold</w:t>
      </w:r>
      <w:r w:rsidR="00103C64">
        <w:rPr>
          <w:rFonts w:eastAsia="Times New Roman"/>
          <w:lang w:val="en-NZ"/>
        </w:rPr>
        <w:t xml:space="preserve"> at the micro level it may make it hard to untangle effects of deforestation on inequality from the reverse relationship</w:t>
      </w:r>
      <w:r w:rsidR="001900AC">
        <w:rPr>
          <w:rFonts w:eastAsia="Times New Roman"/>
          <w:lang w:val="en-NZ"/>
        </w:rPr>
        <w:t xml:space="preserve">. One favourable feature for a causal interpretation of </w:t>
      </w:r>
      <w:r w:rsidR="00DE220F">
        <w:rPr>
          <w:rFonts w:eastAsia="Times New Roman"/>
          <w:lang w:val="en-NZ"/>
        </w:rPr>
        <w:t xml:space="preserve">how </w:t>
      </w:r>
      <w:r w:rsidR="001900AC">
        <w:rPr>
          <w:rFonts w:eastAsia="Times New Roman"/>
          <w:lang w:val="en-NZ"/>
        </w:rPr>
        <w:t xml:space="preserve">deforestation from 2000 to 2012 </w:t>
      </w:r>
      <w:r w:rsidR="00AC717E">
        <w:rPr>
          <w:rFonts w:eastAsia="Times New Roman"/>
          <w:lang w:val="en-NZ"/>
        </w:rPr>
        <w:t>impacted</w:t>
      </w:r>
      <w:r w:rsidR="001900AC">
        <w:rPr>
          <w:rFonts w:eastAsia="Times New Roman"/>
          <w:lang w:val="en-NZ"/>
        </w:rPr>
        <w:t xml:space="preserve"> inequality in 2013 is the dramatic shift in the volume and profile of log exports from the Solomon Islands. Since 2001, export volumes </w:t>
      </w:r>
      <w:r w:rsidR="00DE220F">
        <w:rPr>
          <w:rFonts w:eastAsia="Times New Roman"/>
          <w:lang w:val="en-NZ"/>
        </w:rPr>
        <w:t xml:space="preserve">grew </w:t>
      </w:r>
      <w:r w:rsidR="001900AC">
        <w:rPr>
          <w:rFonts w:eastAsia="Times New Roman"/>
          <w:lang w:val="en-NZ"/>
        </w:rPr>
        <w:t>at an annual rate of 11.4% (</w:t>
      </w:r>
      <w:proofErr w:type="spellStart"/>
      <w:proofErr w:type="gramStart"/>
      <w:r w:rsidR="001900AC">
        <w:rPr>
          <w:rFonts w:eastAsia="Times New Roman"/>
          <w:lang w:val="en-NZ"/>
        </w:rPr>
        <w:t>s.e</w:t>
      </w:r>
      <w:proofErr w:type="gramEnd"/>
      <w:r w:rsidR="001900AC">
        <w:rPr>
          <w:rFonts w:eastAsia="Times New Roman"/>
          <w:lang w:val="en-NZ"/>
        </w:rPr>
        <w:t>.</w:t>
      </w:r>
      <w:proofErr w:type="spellEnd"/>
      <w:r w:rsidR="00DE220F">
        <w:rPr>
          <w:rFonts w:eastAsia="Times New Roman"/>
          <w:lang w:val="en-NZ"/>
        </w:rPr>
        <w:t xml:space="preserve"> 1.2%), with</w:t>
      </w:r>
      <w:r w:rsidR="00C25656">
        <w:rPr>
          <w:rFonts w:eastAsia="Times New Roman"/>
          <w:lang w:val="en-NZ"/>
        </w:rPr>
        <w:t xml:space="preserve"> </w:t>
      </w:r>
      <w:r w:rsidR="001900AC">
        <w:rPr>
          <w:rFonts w:eastAsia="Times New Roman"/>
          <w:lang w:val="en-NZ"/>
        </w:rPr>
        <w:t xml:space="preserve">no significant time trend immediately prior to </w:t>
      </w:r>
      <w:r w:rsidR="00AC717E">
        <w:rPr>
          <w:rFonts w:eastAsia="Times New Roman"/>
          <w:lang w:val="en-NZ"/>
        </w:rPr>
        <w:t>then</w:t>
      </w:r>
      <w:r w:rsidR="001900AC">
        <w:rPr>
          <w:rFonts w:eastAsia="Times New Roman"/>
          <w:lang w:val="en-NZ"/>
        </w:rPr>
        <w:t>. The driving force behind this growth has been exports to China, which have a</w:t>
      </w:r>
      <w:r w:rsidR="00CB6C9F">
        <w:rPr>
          <w:rFonts w:eastAsia="Times New Roman"/>
          <w:lang w:val="en-NZ"/>
        </w:rPr>
        <w:t>n</w:t>
      </w:r>
      <w:r w:rsidR="001900AC">
        <w:rPr>
          <w:rFonts w:eastAsia="Times New Roman"/>
          <w:lang w:val="en-NZ"/>
        </w:rPr>
        <w:t xml:space="preserve"> </w:t>
      </w:r>
      <w:r w:rsidR="00CB6C9F">
        <w:rPr>
          <w:rFonts w:eastAsia="Times New Roman"/>
          <w:lang w:val="en-NZ"/>
        </w:rPr>
        <w:t>annual</w:t>
      </w:r>
      <w:r w:rsidR="001900AC">
        <w:rPr>
          <w:rFonts w:eastAsia="Times New Roman"/>
          <w:lang w:val="en-NZ"/>
        </w:rPr>
        <w:t xml:space="preserve"> growth rate of 23.3% (</w:t>
      </w:r>
      <w:proofErr w:type="spellStart"/>
      <w:proofErr w:type="gramStart"/>
      <w:r w:rsidR="001900AC">
        <w:rPr>
          <w:rFonts w:eastAsia="Times New Roman"/>
          <w:lang w:val="en-NZ"/>
        </w:rPr>
        <w:t>s.e</w:t>
      </w:r>
      <w:proofErr w:type="gramEnd"/>
      <w:r w:rsidR="001900AC">
        <w:rPr>
          <w:rFonts w:eastAsia="Times New Roman"/>
          <w:lang w:val="en-NZ"/>
        </w:rPr>
        <w:t>.</w:t>
      </w:r>
      <w:proofErr w:type="spellEnd"/>
      <w:r w:rsidR="001900AC">
        <w:rPr>
          <w:rFonts w:eastAsia="Times New Roman"/>
          <w:lang w:val="en-NZ"/>
        </w:rPr>
        <w:t xml:space="preserve"> 4.2%). China has gone from being the destination for just 13% of Solomon Islands log exports in 2001 to now taking 95% of these exports. At the same time, the Solomon Islands </w:t>
      </w:r>
      <w:proofErr w:type="gramStart"/>
      <w:r w:rsidR="001900AC">
        <w:rPr>
          <w:rFonts w:eastAsia="Times New Roman"/>
          <w:lang w:val="en-NZ"/>
        </w:rPr>
        <w:t>has</w:t>
      </w:r>
      <w:proofErr w:type="gramEnd"/>
      <w:r w:rsidR="001900AC">
        <w:rPr>
          <w:rFonts w:eastAsia="Times New Roman"/>
          <w:lang w:val="en-NZ"/>
        </w:rPr>
        <w:t xml:space="preserve"> become the second largest source of tropical log imports for China. These shifts in export destinations for Solomon Islands logs and import sources for China </w:t>
      </w:r>
      <w:r w:rsidR="00DE220F">
        <w:rPr>
          <w:rFonts w:eastAsia="Times New Roman"/>
          <w:lang w:val="en-NZ"/>
        </w:rPr>
        <w:t>are likely driven by other countries withdraw</w:t>
      </w:r>
      <w:r>
        <w:rPr>
          <w:rFonts w:eastAsia="Times New Roman"/>
          <w:lang w:val="en-NZ"/>
        </w:rPr>
        <w:t>ing</w:t>
      </w:r>
      <w:r w:rsidR="00DE220F">
        <w:rPr>
          <w:rFonts w:eastAsia="Times New Roman"/>
          <w:lang w:val="en-NZ"/>
        </w:rPr>
        <w:t xml:space="preserve"> from the trade in tropical logs, and so </w:t>
      </w:r>
      <w:r w:rsidR="00CB6C9F">
        <w:rPr>
          <w:rFonts w:eastAsia="Times New Roman"/>
          <w:lang w:val="en-NZ"/>
        </w:rPr>
        <w:t xml:space="preserve">this </w:t>
      </w:r>
      <w:r w:rsidR="00DE220F">
        <w:rPr>
          <w:rFonts w:eastAsia="Times New Roman"/>
          <w:lang w:val="en-NZ"/>
        </w:rPr>
        <w:t xml:space="preserve">represents an </w:t>
      </w:r>
      <w:r w:rsidR="008829DF">
        <w:rPr>
          <w:rFonts w:eastAsia="Times New Roman"/>
          <w:lang w:val="en-NZ"/>
        </w:rPr>
        <w:t>exogenous</w:t>
      </w:r>
      <w:r w:rsidR="00DE220F">
        <w:rPr>
          <w:rFonts w:eastAsia="Times New Roman"/>
          <w:lang w:val="en-NZ"/>
        </w:rPr>
        <w:t xml:space="preserve"> change </w:t>
      </w:r>
      <w:r w:rsidR="0005038C">
        <w:rPr>
          <w:rFonts w:eastAsia="Times New Roman"/>
          <w:lang w:val="en-NZ"/>
        </w:rPr>
        <w:t>for</w:t>
      </w:r>
      <w:r w:rsidR="00DE220F">
        <w:rPr>
          <w:rFonts w:eastAsia="Times New Roman"/>
          <w:lang w:val="en-NZ"/>
        </w:rPr>
        <w:t xml:space="preserve"> the Solomon Islands.</w:t>
      </w:r>
    </w:p>
    <w:p w14:paraId="15C3A68B" w14:textId="5898C2D2" w:rsidR="00236072" w:rsidRDefault="00230943" w:rsidP="001214AD">
      <w:pPr>
        <w:spacing w:line="288" w:lineRule="auto"/>
        <w:ind w:firstLine="720"/>
      </w:pPr>
      <w:r>
        <w:rPr>
          <w:rFonts w:eastAsia="Times New Roman"/>
          <w:lang w:val="en-NZ"/>
        </w:rPr>
        <w:lastRenderedPageBreak/>
        <w:t xml:space="preserve"> </w:t>
      </w:r>
      <w:r w:rsidR="00DA36C7">
        <w:t xml:space="preserve">The </w:t>
      </w:r>
      <w:r w:rsidR="0086797D">
        <w:t xml:space="preserve">remainder of the paper </w:t>
      </w:r>
      <w:proofErr w:type="gramStart"/>
      <w:r w:rsidR="0086797D">
        <w:t>is structured</w:t>
      </w:r>
      <w:proofErr w:type="gramEnd"/>
      <w:r w:rsidR="0086797D">
        <w:t xml:space="preserve"> as follows: Section 2</w:t>
      </w:r>
      <w:r w:rsidR="00C40812">
        <w:t xml:space="preserve"> describes </w:t>
      </w:r>
      <w:r w:rsidR="009051FC">
        <w:t>the setting</w:t>
      </w:r>
      <w:r w:rsidR="00C40812">
        <w:t>, Section 3 covers</w:t>
      </w:r>
      <w:r w:rsidR="009051FC">
        <w:t xml:space="preserve"> </w:t>
      </w:r>
      <w:r w:rsidR="00C40812">
        <w:t xml:space="preserve">how the main measures of deforestation and inequality are derived, Section 4 </w:t>
      </w:r>
      <w:r w:rsidR="00850F0B">
        <w:t xml:space="preserve">reports </w:t>
      </w:r>
      <w:r w:rsidR="0086797D">
        <w:t>the results, and Section 5 concludes.</w:t>
      </w:r>
    </w:p>
    <w:p w14:paraId="5482976D" w14:textId="77777777" w:rsidR="00ED4A8F" w:rsidRDefault="00ED4A8F" w:rsidP="001214AD">
      <w:pPr>
        <w:spacing w:line="288" w:lineRule="auto"/>
        <w:ind w:firstLine="720"/>
      </w:pPr>
    </w:p>
    <w:p w14:paraId="0A446C80" w14:textId="5D6D858F" w:rsidR="00F660B3" w:rsidRDefault="00932138" w:rsidP="00932138">
      <w:pPr>
        <w:spacing w:line="288" w:lineRule="auto"/>
        <w:rPr>
          <w:b/>
          <w:lang w:bidi="ar-SA"/>
        </w:rPr>
      </w:pPr>
      <w:r>
        <w:rPr>
          <w:b/>
          <w:lang w:bidi="ar-SA"/>
        </w:rPr>
        <w:t xml:space="preserve">2. </w:t>
      </w:r>
      <w:r w:rsidR="004B538F">
        <w:rPr>
          <w:b/>
          <w:lang w:bidi="ar-SA"/>
        </w:rPr>
        <w:t xml:space="preserve"> </w:t>
      </w:r>
      <w:r>
        <w:rPr>
          <w:b/>
          <w:lang w:bidi="ar-SA"/>
        </w:rPr>
        <w:t>Background and Context</w:t>
      </w:r>
    </w:p>
    <w:p w14:paraId="20E1E66B" w14:textId="77777777" w:rsidR="00932138" w:rsidRDefault="00932138" w:rsidP="00932138">
      <w:pPr>
        <w:spacing w:line="288" w:lineRule="auto"/>
        <w:rPr>
          <w:b/>
          <w:sz w:val="12"/>
          <w:szCs w:val="12"/>
          <w:u w:val="single"/>
          <w:lang w:bidi="ar-SA"/>
        </w:rPr>
      </w:pPr>
    </w:p>
    <w:p w14:paraId="5999065E" w14:textId="50F7200F" w:rsidR="00F660B3" w:rsidRDefault="00E82985" w:rsidP="00932138">
      <w:pPr>
        <w:spacing w:line="288" w:lineRule="auto"/>
        <w:rPr>
          <w:rFonts w:eastAsia="Calibri"/>
          <w:lang w:val="en-NZ" w:bidi="ar-SA"/>
        </w:rPr>
      </w:pPr>
      <w:r>
        <w:t xml:space="preserve">The Solomon Islands are a group of tropical oceanic islands, northeast of Australia. There are approximately 1000 islands in the country, although many are very small. The total land area is </w:t>
      </w:r>
      <w:r w:rsidR="00936280">
        <w:t xml:space="preserve">about two-thirds </w:t>
      </w:r>
      <w:r>
        <w:t>larger than Hawaii, and the largest individual islands are about the size of Delaware, in the United States. T</w:t>
      </w:r>
      <w:r w:rsidR="00E5390E">
        <w:rPr>
          <w:rFonts w:eastAsia="Calibri"/>
          <w:lang w:val="en-NZ" w:bidi="ar-SA"/>
        </w:rPr>
        <w:t xml:space="preserve">he </w:t>
      </w:r>
      <w:r>
        <w:rPr>
          <w:rFonts w:eastAsia="Calibri"/>
          <w:lang w:val="en-NZ" w:bidi="ar-SA"/>
        </w:rPr>
        <w:t xml:space="preserve">larger </w:t>
      </w:r>
      <w:r w:rsidR="00E5390E">
        <w:rPr>
          <w:rFonts w:eastAsia="Calibri"/>
          <w:lang w:val="en-NZ" w:bidi="ar-SA"/>
        </w:rPr>
        <w:t xml:space="preserve">islands </w:t>
      </w:r>
      <w:proofErr w:type="gramStart"/>
      <w:r w:rsidR="00E5390E">
        <w:rPr>
          <w:rFonts w:eastAsia="Calibri"/>
          <w:lang w:val="en-NZ" w:bidi="ar-SA"/>
        </w:rPr>
        <w:t>are intersected</w:t>
      </w:r>
      <w:proofErr w:type="gramEnd"/>
      <w:r w:rsidR="00E5390E">
        <w:rPr>
          <w:rFonts w:eastAsia="Calibri"/>
          <w:lang w:val="en-NZ" w:bidi="ar-SA"/>
        </w:rPr>
        <w:t xml:space="preserve"> by deep, narrow valleys, and obtain highest point elevations of between 1000 to 2000 meters. Typically the mountainous spine of each of the main islands acts as a boundary to tribal lands</w:t>
      </w:r>
      <w:r w:rsidR="003D0160">
        <w:rPr>
          <w:rFonts w:eastAsia="Calibri"/>
          <w:lang w:val="en-NZ" w:bidi="ar-SA"/>
        </w:rPr>
        <w:t>,</w:t>
      </w:r>
      <w:r w:rsidR="00E5390E">
        <w:rPr>
          <w:rFonts w:eastAsia="Calibri"/>
          <w:lang w:val="en-NZ" w:bidi="ar-SA"/>
        </w:rPr>
        <w:t xml:space="preserve"> which </w:t>
      </w:r>
      <w:r w:rsidR="003D0160">
        <w:rPr>
          <w:rFonts w:eastAsia="Calibri"/>
          <w:lang w:val="en-NZ" w:bidi="ar-SA"/>
        </w:rPr>
        <w:t>extend</w:t>
      </w:r>
      <w:r w:rsidR="00E5390E">
        <w:rPr>
          <w:rFonts w:eastAsia="Calibri"/>
          <w:lang w:val="en-NZ" w:bidi="ar-SA"/>
        </w:rPr>
        <w:t xml:space="preserve"> inland from the coast. The boundaries </w:t>
      </w:r>
      <w:r w:rsidR="003D0160">
        <w:rPr>
          <w:rFonts w:eastAsia="Calibri"/>
          <w:lang w:val="en-NZ" w:bidi="ar-SA"/>
        </w:rPr>
        <w:t xml:space="preserve">for wards </w:t>
      </w:r>
      <w:r w:rsidR="00E5390E">
        <w:rPr>
          <w:rFonts w:eastAsia="Calibri"/>
          <w:lang w:val="en-NZ" w:bidi="ar-SA"/>
        </w:rPr>
        <w:t xml:space="preserve">also </w:t>
      </w:r>
      <w:r w:rsidR="003D0160">
        <w:rPr>
          <w:rFonts w:eastAsia="Calibri"/>
          <w:lang w:val="en-NZ" w:bidi="ar-SA"/>
        </w:rPr>
        <w:t xml:space="preserve">tend to </w:t>
      </w:r>
      <w:r w:rsidR="00E5390E">
        <w:rPr>
          <w:rFonts w:eastAsia="Calibri"/>
          <w:lang w:val="en-NZ" w:bidi="ar-SA"/>
        </w:rPr>
        <w:t xml:space="preserve">follow </w:t>
      </w:r>
      <w:r w:rsidR="003D0160">
        <w:rPr>
          <w:rFonts w:eastAsia="Calibri"/>
          <w:lang w:val="en-NZ" w:bidi="ar-SA"/>
        </w:rPr>
        <w:t xml:space="preserve">a </w:t>
      </w:r>
      <w:r w:rsidR="00E5390E">
        <w:rPr>
          <w:rFonts w:eastAsia="Calibri"/>
          <w:lang w:val="en-NZ" w:bidi="ar-SA"/>
        </w:rPr>
        <w:t xml:space="preserve">similar topography. </w:t>
      </w:r>
      <w:r>
        <w:rPr>
          <w:rFonts w:eastAsia="Calibri"/>
          <w:lang w:val="en-NZ" w:bidi="ar-SA"/>
        </w:rPr>
        <w:t>T</w:t>
      </w:r>
      <w:r w:rsidR="00E5390E">
        <w:rPr>
          <w:rFonts w:eastAsia="Calibri"/>
          <w:lang w:val="en-NZ" w:bidi="ar-SA"/>
        </w:rPr>
        <w:t>he islands are covered by tropical rainforest</w:t>
      </w:r>
      <w:r>
        <w:rPr>
          <w:rFonts w:eastAsia="Calibri"/>
          <w:lang w:val="en-NZ" w:bidi="ar-SA"/>
        </w:rPr>
        <w:t>,</w:t>
      </w:r>
      <w:r w:rsidR="00E5390E">
        <w:rPr>
          <w:rFonts w:eastAsia="Calibri"/>
          <w:lang w:val="en-NZ" w:bidi="ar-SA"/>
        </w:rPr>
        <w:t xml:space="preserve"> </w:t>
      </w:r>
      <w:r w:rsidR="00761B57">
        <w:rPr>
          <w:rFonts w:eastAsia="Calibri"/>
          <w:lang w:val="en-NZ" w:bidi="ar-SA"/>
        </w:rPr>
        <w:t xml:space="preserve">often </w:t>
      </w:r>
      <w:r w:rsidR="00E5390E">
        <w:rPr>
          <w:rFonts w:eastAsia="Calibri"/>
          <w:lang w:val="en-NZ" w:bidi="ar-SA"/>
        </w:rPr>
        <w:t>classified as hill forests that occur at altitudes from 400-600 meters, with varying tree he</w:t>
      </w:r>
      <w:r w:rsidR="009D0BBB">
        <w:rPr>
          <w:rFonts w:eastAsia="Calibri"/>
          <w:lang w:val="en-NZ" w:bidi="ar-SA"/>
        </w:rPr>
        <w:t>ights and canopy density (</w:t>
      </w:r>
      <w:proofErr w:type="spellStart"/>
      <w:r w:rsidR="009D0BBB">
        <w:rPr>
          <w:rFonts w:eastAsia="Calibri"/>
          <w:lang w:val="en-NZ" w:bidi="ar-SA"/>
        </w:rPr>
        <w:t>Pauku</w:t>
      </w:r>
      <w:proofErr w:type="spellEnd"/>
      <w:r w:rsidR="00E5390E">
        <w:rPr>
          <w:rFonts w:eastAsia="Calibri"/>
          <w:lang w:val="en-NZ" w:bidi="ar-SA"/>
        </w:rPr>
        <w:t xml:space="preserve"> 2009).</w:t>
      </w:r>
    </w:p>
    <w:p w14:paraId="30F81D8B" w14:textId="77777777" w:rsidR="00ED4A8F" w:rsidRDefault="00ED4A8F" w:rsidP="001214AD">
      <w:pPr>
        <w:spacing w:line="288" w:lineRule="auto"/>
        <w:ind w:firstLine="720"/>
        <w:rPr>
          <w:rFonts w:eastAsia="Calibri"/>
          <w:lang w:val="en-NZ" w:bidi="ar-SA"/>
        </w:rPr>
      </w:pPr>
    </w:p>
    <w:p w14:paraId="1D8E1208" w14:textId="5B70DFE1" w:rsidR="00E82985" w:rsidRDefault="00E82985" w:rsidP="001214AD">
      <w:pPr>
        <w:spacing w:line="288" w:lineRule="auto"/>
        <w:ind w:firstLine="720"/>
        <w:rPr>
          <w:rFonts w:eastAsia="Calibri"/>
          <w:lang w:val="en-NZ" w:bidi="ar-SA"/>
        </w:rPr>
      </w:pPr>
      <w:r>
        <w:rPr>
          <w:rFonts w:eastAsia="Calibri"/>
          <w:lang w:val="en-NZ" w:bidi="ar-SA"/>
        </w:rPr>
        <w:t>Large-scale commercial logging in</w:t>
      </w:r>
      <w:r w:rsidR="0017019A">
        <w:rPr>
          <w:rFonts w:eastAsia="Calibri"/>
          <w:lang w:val="en-NZ" w:bidi="ar-SA"/>
        </w:rPr>
        <w:t xml:space="preserve"> the Solomon Islands started over 50</w:t>
      </w:r>
      <w:r>
        <w:rPr>
          <w:rFonts w:eastAsia="Calibri"/>
          <w:lang w:val="en-NZ" w:bidi="ar-SA"/>
        </w:rPr>
        <w:t xml:space="preserve"> years</w:t>
      </w:r>
      <w:r w:rsidR="0017019A">
        <w:rPr>
          <w:rFonts w:eastAsia="Calibri"/>
          <w:lang w:val="en-NZ" w:bidi="ar-SA"/>
        </w:rPr>
        <w:t xml:space="preserve"> ago</w:t>
      </w:r>
      <w:r>
        <w:rPr>
          <w:rFonts w:eastAsia="Calibri"/>
          <w:lang w:val="en-NZ" w:bidi="ar-SA"/>
        </w:rPr>
        <w:t xml:space="preserve">, on the small amount of alienated government land. However, beginning in the 1980s, logging </w:t>
      </w:r>
      <w:r w:rsidR="0017019A">
        <w:rPr>
          <w:rFonts w:eastAsia="Calibri"/>
          <w:lang w:val="en-NZ" w:bidi="ar-SA"/>
        </w:rPr>
        <w:t xml:space="preserve">by multinational companies </w:t>
      </w:r>
      <w:r>
        <w:rPr>
          <w:rFonts w:eastAsia="Calibri"/>
          <w:lang w:val="en-NZ" w:bidi="ar-SA"/>
        </w:rPr>
        <w:t>shifted to customary land</w:t>
      </w:r>
      <w:r w:rsidR="0017019A">
        <w:rPr>
          <w:rFonts w:eastAsia="Calibri"/>
          <w:lang w:val="en-NZ" w:bidi="ar-SA"/>
        </w:rPr>
        <w:t>, which is five-sixths of all land and 90% of forest</w:t>
      </w:r>
      <w:r w:rsidR="00DF7A77">
        <w:rPr>
          <w:rFonts w:eastAsia="Calibri"/>
          <w:lang w:val="en-NZ" w:bidi="ar-SA"/>
        </w:rPr>
        <w:t>ed areas (</w:t>
      </w:r>
      <w:proofErr w:type="spellStart"/>
      <w:r w:rsidR="00DF7A77">
        <w:rPr>
          <w:rFonts w:eastAsia="Calibri"/>
          <w:lang w:val="en-NZ" w:bidi="ar-SA"/>
        </w:rPr>
        <w:t>GoSI</w:t>
      </w:r>
      <w:proofErr w:type="spellEnd"/>
      <w:r w:rsidR="00DF7A77">
        <w:rPr>
          <w:rFonts w:eastAsia="Calibri"/>
          <w:lang w:val="en-NZ" w:bidi="ar-SA"/>
        </w:rPr>
        <w:t xml:space="preserve">, 2010). The </w:t>
      </w:r>
      <w:r w:rsidR="0017019A">
        <w:rPr>
          <w:rFonts w:eastAsia="Calibri"/>
          <w:i/>
          <w:iCs/>
          <w:lang w:val="en-NZ" w:bidi="ar-SA"/>
        </w:rPr>
        <w:t>Forest Resources and Timber Utilization Act</w:t>
      </w:r>
      <w:r w:rsidR="0017019A">
        <w:rPr>
          <w:rFonts w:eastAsia="Calibri"/>
          <w:lang w:val="en-NZ" w:bidi="ar-SA"/>
        </w:rPr>
        <w:t xml:space="preserve"> governs the process by which a logging concession is granted; the provincial government (there are nine) identifies which of the lando</w:t>
      </w:r>
      <w:r w:rsidR="003D0160">
        <w:rPr>
          <w:rFonts w:eastAsia="Calibri"/>
          <w:lang w:val="en-NZ" w:bidi="ar-SA"/>
        </w:rPr>
        <w:t>wners in a group can grant timber ri</w:t>
      </w:r>
      <w:r w:rsidR="00770E69">
        <w:rPr>
          <w:rFonts w:eastAsia="Calibri"/>
          <w:lang w:val="en-NZ" w:bidi="ar-SA"/>
        </w:rPr>
        <w:t>ghts to a concessionaire. This</w:t>
      </w:r>
      <w:r w:rsidR="007C43D9">
        <w:rPr>
          <w:rFonts w:eastAsia="Calibri"/>
          <w:lang w:val="en-NZ" w:bidi="ar-SA"/>
        </w:rPr>
        <w:t xml:space="preserve"> </w:t>
      </w:r>
      <w:r w:rsidR="003D0160">
        <w:rPr>
          <w:rFonts w:eastAsia="Calibri"/>
          <w:lang w:val="en-NZ" w:bidi="ar-SA"/>
        </w:rPr>
        <w:t xml:space="preserve">can lead to a form of elite-capture, where politicians and tribal ‘big men’ make deals with foreign loggers while </w:t>
      </w:r>
      <w:r w:rsidR="007C43D9">
        <w:rPr>
          <w:rFonts w:eastAsia="Calibri"/>
          <w:lang w:val="en-NZ" w:bidi="ar-SA"/>
        </w:rPr>
        <w:t xml:space="preserve">some </w:t>
      </w:r>
      <w:r w:rsidR="003D0160">
        <w:rPr>
          <w:rFonts w:eastAsia="Calibri"/>
          <w:lang w:val="en-NZ" w:bidi="ar-SA"/>
        </w:rPr>
        <w:t xml:space="preserve">community members </w:t>
      </w:r>
      <w:r w:rsidR="00CB6C9F">
        <w:rPr>
          <w:rFonts w:eastAsia="Calibri"/>
          <w:lang w:val="en-NZ" w:bidi="ar-SA"/>
        </w:rPr>
        <w:t xml:space="preserve">miss out </w:t>
      </w:r>
      <w:r w:rsidR="0059541B">
        <w:rPr>
          <w:rFonts w:eastAsia="Calibri"/>
          <w:lang w:val="en-NZ" w:bidi="ar-SA"/>
        </w:rPr>
        <w:t>(</w:t>
      </w:r>
      <w:proofErr w:type="spellStart"/>
      <w:r w:rsidR="0059541B">
        <w:rPr>
          <w:rFonts w:eastAsia="Calibri"/>
          <w:lang w:val="en-NZ" w:bidi="ar-SA"/>
        </w:rPr>
        <w:t>Katovai</w:t>
      </w:r>
      <w:proofErr w:type="spellEnd"/>
      <w:r w:rsidR="00CB6C9F">
        <w:rPr>
          <w:rFonts w:eastAsia="Calibri"/>
          <w:lang w:val="en-NZ" w:bidi="ar-SA"/>
        </w:rPr>
        <w:t xml:space="preserve"> </w:t>
      </w:r>
      <w:r w:rsidR="009D0BBB">
        <w:rPr>
          <w:rFonts w:eastAsia="Times New Roman"/>
          <w:i/>
        </w:rPr>
        <w:t>et al.</w:t>
      </w:r>
      <w:r w:rsidR="009D0BBB">
        <w:rPr>
          <w:rFonts w:eastAsia="Times New Roman"/>
        </w:rPr>
        <w:t xml:space="preserve"> </w:t>
      </w:r>
      <w:r w:rsidR="0059541B">
        <w:rPr>
          <w:rFonts w:eastAsia="Calibri"/>
          <w:lang w:val="en-NZ" w:bidi="ar-SA"/>
        </w:rPr>
        <w:t>2015)</w:t>
      </w:r>
      <w:r w:rsidR="003D0160">
        <w:rPr>
          <w:rFonts w:eastAsia="Calibri"/>
          <w:lang w:val="en-NZ" w:bidi="ar-SA"/>
        </w:rPr>
        <w:t xml:space="preserve">. The coalition between logging companies, politicians, and tribal elites </w:t>
      </w:r>
      <w:r w:rsidR="00E4597E">
        <w:rPr>
          <w:rFonts w:eastAsia="Calibri"/>
          <w:lang w:val="en-NZ" w:bidi="ar-SA"/>
        </w:rPr>
        <w:t>may also facilitate</w:t>
      </w:r>
      <w:r w:rsidR="003D0160">
        <w:rPr>
          <w:rFonts w:eastAsia="Calibri"/>
          <w:lang w:val="en-NZ" w:bidi="ar-SA"/>
        </w:rPr>
        <w:t xml:space="preserve"> illegal logging </w:t>
      </w:r>
      <w:r w:rsidR="00E4597E">
        <w:rPr>
          <w:rFonts w:eastAsia="Calibri"/>
          <w:lang w:val="en-NZ" w:bidi="ar-SA"/>
        </w:rPr>
        <w:t xml:space="preserve">and other deviations from agreements </w:t>
      </w:r>
      <w:r w:rsidR="003D0160">
        <w:rPr>
          <w:rFonts w:eastAsia="Calibri"/>
          <w:lang w:val="en-NZ" w:bidi="ar-SA"/>
        </w:rPr>
        <w:t xml:space="preserve">since </w:t>
      </w:r>
      <w:r w:rsidR="00AC717E">
        <w:rPr>
          <w:rFonts w:eastAsia="Calibri"/>
          <w:lang w:val="en-NZ" w:bidi="ar-SA"/>
        </w:rPr>
        <w:t xml:space="preserve">few ordinary people are willing to oppose </w:t>
      </w:r>
      <w:r w:rsidR="00471DF1">
        <w:rPr>
          <w:rFonts w:eastAsia="Calibri"/>
          <w:lang w:val="en-NZ" w:bidi="ar-SA"/>
        </w:rPr>
        <w:t xml:space="preserve">these elite </w:t>
      </w:r>
      <w:r w:rsidR="00AC717E">
        <w:rPr>
          <w:rFonts w:eastAsia="Calibri"/>
          <w:lang w:val="en-NZ" w:bidi="ar-SA"/>
        </w:rPr>
        <w:t xml:space="preserve">groups </w:t>
      </w:r>
      <w:r w:rsidR="00471DF1">
        <w:rPr>
          <w:rFonts w:eastAsia="Calibri"/>
          <w:lang w:val="en-NZ" w:bidi="ar-SA"/>
        </w:rPr>
        <w:t>by undertaking</w:t>
      </w:r>
      <w:r w:rsidR="00AC717E">
        <w:rPr>
          <w:rFonts w:eastAsia="Calibri"/>
          <w:lang w:val="en-NZ" w:bidi="ar-SA"/>
        </w:rPr>
        <w:t xml:space="preserve"> </w:t>
      </w:r>
      <w:r w:rsidR="00770E69">
        <w:rPr>
          <w:rFonts w:eastAsia="Calibri"/>
          <w:lang w:val="en-NZ" w:bidi="ar-SA"/>
        </w:rPr>
        <w:t xml:space="preserve">legal efforts </w:t>
      </w:r>
      <w:r w:rsidR="003D0160">
        <w:rPr>
          <w:rFonts w:eastAsia="Calibri"/>
          <w:lang w:val="en-NZ" w:bidi="ar-SA"/>
        </w:rPr>
        <w:t>to enfor</w:t>
      </w:r>
      <w:r w:rsidR="009D0BBB">
        <w:rPr>
          <w:rFonts w:eastAsia="Calibri"/>
          <w:lang w:val="en-NZ" w:bidi="ar-SA"/>
        </w:rPr>
        <w:t>ce safeguard provisions (Hughes</w:t>
      </w:r>
      <w:r w:rsidR="003D0160">
        <w:rPr>
          <w:rFonts w:eastAsia="Calibri"/>
          <w:lang w:val="en-NZ" w:bidi="ar-SA"/>
        </w:rPr>
        <w:t xml:space="preserve"> 2010). This timber rights process </w:t>
      </w:r>
      <w:r w:rsidR="00471DF1">
        <w:rPr>
          <w:rFonts w:eastAsia="Calibri"/>
          <w:lang w:val="en-NZ" w:bidi="ar-SA"/>
        </w:rPr>
        <w:t>is also claimed to create</w:t>
      </w:r>
      <w:r w:rsidR="003D0160">
        <w:rPr>
          <w:rFonts w:eastAsia="Calibri"/>
          <w:lang w:val="en-NZ" w:bidi="ar-SA"/>
        </w:rPr>
        <w:t xml:space="preserve"> an unfair division of </w:t>
      </w:r>
      <w:proofErr w:type="gramStart"/>
      <w:r w:rsidR="003D0160">
        <w:rPr>
          <w:rFonts w:eastAsia="Calibri"/>
          <w:lang w:val="en-NZ" w:bidi="ar-SA"/>
        </w:rPr>
        <w:t>benefits, that</w:t>
      </w:r>
      <w:proofErr w:type="gramEnd"/>
      <w:r w:rsidR="003D0160">
        <w:rPr>
          <w:rFonts w:eastAsia="Calibri"/>
          <w:lang w:val="en-NZ" w:bidi="ar-SA"/>
        </w:rPr>
        <w:t xml:space="preserve"> causes internal conflict and </w:t>
      </w:r>
      <w:r w:rsidR="00CB6C9F">
        <w:rPr>
          <w:rFonts w:eastAsia="Calibri"/>
          <w:lang w:val="en-NZ" w:bidi="ar-SA"/>
        </w:rPr>
        <w:t xml:space="preserve">leads to </w:t>
      </w:r>
      <w:r w:rsidR="00E00274">
        <w:rPr>
          <w:rFonts w:eastAsia="Calibri"/>
          <w:lang w:val="en-NZ" w:bidi="ar-SA"/>
        </w:rPr>
        <w:t>increas</w:t>
      </w:r>
      <w:r w:rsidR="00CB6C9F">
        <w:rPr>
          <w:rFonts w:eastAsia="Calibri"/>
          <w:lang w:val="en-NZ" w:bidi="ar-SA"/>
        </w:rPr>
        <w:t>ing</w:t>
      </w:r>
      <w:r w:rsidR="003D0160">
        <w:rPr>
          <w:rFonts w:eastAsia="Calibri"/>
          <w:lang w:val="en-NZ" w:bidi="ar-SA"/>
        </w:rPr>
        <w:t xml:space="preserve"> inequality within</w:t>
      </w:r>
      <w:r w:rsidR="009D0BBB">
        <w:rPr>
          <w:rFonts w:eastAsia="Calibri"/>
          <w:lang w:val="en-NZ" w:bidi="ar-SA"/>
        </w:rPr>
        <w:t xml:space="preserve"> rural landowner groups (Corrin</w:t>
      </w:r>
      <w:r w:rsidR="003D0160">
        <w:rPr>
          <w:rFonts w:eastAsia="Calibri"/>
          <w:lang w:val="en-NZ" w:bidi="ar-SA"/>
        </w:rPr>
        <w:t xml:space="preserve"> 2012).</w:t>
      </w:r>
    </w:p>
    <w:p w14:paraId="39923B62" w14:textId="77777777" w:rsidR="00ED4A8F" w:rsidRDefault="00ED4A8F" w:rsidP="001214AD">
      <w:pPr>
        <w:spacing w:line="288" w:lineRule="auto"/>
        <w:ind w:firstLine="720"/>
        <w:rPr>
          <w:rFonts w:eastAsia="Calibri"/>
          <w:lang w:val="en-NZ" w:bidi="ar-SA"/>
        </w:rPr>
      </w:pPr>
    </w:p>
    <w:p w14:paraId="7CB1F34C" w14:textId="3395C474" w:rsidR="009C1901" w:rsidRDefault="00E4597E" w:rsidP="001214AD">
      <w:pPr>
        <w:spacing w:line="288" w:lineRule="auto"/>
        <w:ind w:firstLine="720"/>
        <w:rPr>
          <w:rFonts w:eastAsia="Calibri"/>
          <w:lang w:val="en-NZ" w:bidi="ar-SA"/>
        </w:rPr>
      </w:pPr>
      <w:r>
        <w:rPr>
          <w:rFonts w:eastAsia="Calibri"/>
          <w:lang w:val="en-NZ" w:bidi="ar-SA"/>
        </w:rPr>
        <w:t>The logging that is practiced in the Solomon Islands is meant to be selective, where a focus on high-value species and cut-size limitations</w:t>
      </w:r>
      <w:r w:rsidR="009C1901">
        <w:rPr>
          <w:rFonts w:eastAsia="Calibri"/>
          <w:lang w:val="en-NZ" w:bidi="ar-SA"/>
        </w:rPr>
        <w:t xml:space="preserve"> could provide a sustainable yield</w:t>
      </w:r>
      <w:r>
        <w:rPr>
          <w:rFonts w:eastAsia="Calibri"/>
          <w:lang w:val="en-NZ" w:bidi="ar-SA"/>
        </w:rPr>
        <w:t xml:space="preserve">. </w:t>
      </w:r>
      <w:r w:rsidR="009D0BBB">
        <w:rPr>
          <w:rFonts w:eastAsia="Calibri"/>
          <w:lang w:val="en-NZ" w:bidi="ar-SA"/>
        </w:rPr>
        <w:t xml:space="preserve">In fact, </w:t>
      </w:r>
      <w:r w:rsidR="009C1901">
        <w:rPr>
          <w:rFonts w:eastAsia="Calibri"/>
          <w:lang w:val="en-NZ" w:bidi="ar-SA"/>
        </w:rPr>
        <w:t xml:space="preserve">there is considerable </w:t>
      </w:r>
      <w:r w:rsidRPr="00E4597E">
        <w:rPr>
          <w:rFonts w:eastAsia="Calibri"/>
          <w:lang w:val="en-NZ" w:bidi="ar-SA"/>
        </w:rPr>
        <w:t>forest degradation due to poorly enforced selective logging</w:t>
      </w:r>
      <w:r w:rsidR="007C43D9">
        <w:rPr>
          <w:rFonts w:eastAsia="Calibri"/>
          <w:lang w:val="en-NZ" w:bidi="ar-SA"/>
        </w:rPr>
        <w:t xml:space="preserve"> (</w:t>
      </w:r>
      <w:proofErr w:type="spellStart"/>
      <w:r w:rsidR="007C43D9">
        <w:rPr>
          <w:rFonts w:eastAsia="Calibri"/>
          <w:lang w:val="en-NZ" w:bidi="ar-SA"/>
        </w:rPr>
        <w:t>Katovai</w:t>
      </w:r>
      <w:proofErr w:type="spellEnd"/>
      <w:r w:rsidR="00CB6C9F">
        <w:rPr>
          <w:rFonts w:eastAsia="Calibri"/>
          <w:lang w:val="en-NZ" w:bidi="ar-SA"/>
        </w:rPr>
        <w:t xml:space="preserve"> </w:t>
      </w:r>
      <w:r w:rsidR="009D0BBB">
        <w:rPr>
          <w:rFonts w:eastAsia="Times New Roman"/>
          <w:i/>
        </w:rPr>
        <w:t>et al.</w:t>
      </w:r>
      <w:r w:rsidR="009D0BBB">
        <w:rPr>
          <w:rFonts w:eastAsia="Times New Roman"/>
        </w:rPr>
        <w:t xml:space="preserve"> </w:t>
      </w:r>
      <w:r w:rsidR="007C43D9">
        <w:rPr>
          <w:rFonts w:eastAsia="Calibri"/>
          <w:lang w:val="en-NZ" w:bidi="ar-SA"/>
        </w:rPr>
        <w:t>2015). T</w:t>
      </w:r>
      <w:r w:rsidR="009C1901">
        <w:rPr>
          <w:rFonts w:eastAsia="Calibri"/>
          <w:lang w:val="en-NZ" w:bidi="ar-SA"/>
        </w:rPr>
        <w:t xml:space="preserve">he current rate of log exports </w:t>
      </w:r>
      <w:r w:rsidR="007C43D9">
        <w:rPr>
          <w:rFonts w:eastAsia="Calibri"/>
          <w:lang w:val="en-NZ" w:bidi="ar-SA"/>
        </w:rPr>
        <w:t xml:space="preserve">is </w:t>
      </w:r>
      <w:r w:rsidR="009C1901">
        <w:rPr>
          <w:rFonts w:eastAsia="Calibri"/>
          <w:lang w:val="en-NZ" w:bidi="ar-SA"/>
        </w:rPr>
        <w:t>approximately se</w:t>
      </w:r>
      <w:r w:rsidR="007C43D9">
        <w:rPr>
          <w:rFonts w:eastAsia="Calibri"/>
          <w:lang w:val="en-NZ" w:bidi="ar-SA"/>
        </w:rPr>
        <w:t>ven times the sustainable level, noting that the e</w:t>
      </w:r>
      <w:r w:rsidR="009C1901">
        <w:rPr>
          <w:rFonts w:eastAsia="Calibri"/>
          <w:lang w:val="en-NZ" w:bidi="ar-SA"/>
        </w:rPr>
        <w:t>stimates of the sustainable yield for national log harvests vary</w:t>
      </w:r>
      <w:r w:rsidR="007C43D9">
        <w:rPr>
          <w:rFonts w:eastAsia="Calibri"/>
          <w:lang w:val="en-NZ" w:bidi="ar-SA"/>
        </w:rPr>
        <w:t xml:space="preserve"> from </w:t>
      </w:r>
      <w:r w:rsidR="00CB6C9F">
        <w:rPr>
          <w:rFonts w:eastAsia="Calibri"/>
          <w:lang w:val="en-NZ" w:bidi="ar-SA"/>
        </w:rPr>
        <w:t>0.25 </w:t>
      </w:r>
      <w:r w:rsidR="009C1901">
        <w:rPr>
          <w:rFonts w:eastAsia="Calibri"/>
          <w:lang w:val="en-NZ" w:bidi="ar-SA"/>
        </w:rPr>
        <w:t>million m</w:t>
      </w:r>
      <w:r w:rsidR="009C1901" w:rsidRPr="009C1901">
        <w:rPr>
          <w:rFonts w:eastAsia="Calibri"/>
          <w:vertAlign w:val="superscript"/>
          <w:lang w:val="en-NZ" w:bidi="ar-SA"/>
        </w:rPr>
        <w:t>3</w:t>
      </w:r>
      <w:r w:rsidR="00CB6C9F">
        <w:rPr>
          <w:rFonts w:eastAsia="Calibri"/>
          <w:lang w:val="en-NZ" w:bidi="ar-SA"/>
        </w:rPr>
        <w:t xml:space="preserve"> per year (</w:t>
      </w:r>
      <w:r w:rsidR="009D0BBB">
        <w:rPr>
          <w:rFonts w:eastAsia="Calibri"/>
          <w:lang w:val="en-NZ" w:bidi="ar-SA"/>
        </w:rPr>
        <w:t>Hughes</w:t>
      </w:r>
      <w:r w:rsidR="009C1901">
        <w:rPr>
          <w:rFonts w:eastAsia="Calibri"/>
          <w:lang w:val="en-NZ" w:bidi="ar-SA"/>
        </w:rPr>
        <w:t xml:space="preserve"> 2010) </w:t>
      </w:r>
      <w:r w:rsidR="007C43D9">
        <w:rPr>
          <w:rFonts w:eastAsia="Calibri"/>
          <w:lang w:val="en-NZ" w:bidi="ar-SA"/>
        </w:rPr>
        <w:t xml:space="preserve">to </w:t>
      </w:r>
      <w:r w:rsidR="009C1901">
        <w:rPr>
          <w:rFonts w:eastAsia="Calibri"/>
          <w:lang w:val="en-NZ" w:bidi="ar-SA"/>
        </w:rPr>
        <w:t>0.3 million m</w:t>
      </w:r>
      <w:r w:rsidR="009C1901" w:rsidRPr="009C1901">
        <w:rPr>
          <w:rFonts w:eastAsia="Calibri"/>
          <w:vertAlign w:val="superscript"/>
          <w:lang w:val="en-NZ" w:bidi="ar-SA"/>
        </w:rPr>
        <w:t>3</w:t>
      </w:r>
      <w:r w:rsidR="009C1901">
        <w:rPr>
          <w:rFonts w:eastAsia="Calibri"/>
          <w:lang w:val="en-NZ" w:bidi="ar-SA"/>
        </w:rPr>
        <w:t xml:space="preserve"> (URS, 2014).</w:t>
      </w:r>
      <w:r w:rsidR="0052252D">
        <w:rPr>
          <w:rFonts w:eastAsia="Calibri"/>
          <w:lang w:val="en-NZ" w:bidi="ar-SA"/>
        </w:rPr>
        <w:t xml:space="preserve"> Prior to 20</w:t>
      </w:r>
      <w:r w:rsidR="007C43D9">
        <w:rPr>
          <w:rFonts w:eastAsia="Calibri"/>
          <w:lang w:val="en-NZ" w:bidi="ar-SA"/>
        </w:rPr>
        <w:t xml:space="preserve">01, log exports were </w:t>
      </w:r>
      <w:r w:rsidR="0052252D">
        <w:rPr>
          <w:rFonts w:eastAsia="Calibri"/>
          <w:lang w:val="en-NZ" w:bidi="ar-SA"/>
        </w:rPr>
        <w:t>about 50% above the sustainable yield, fluctuating between about 0.4 and 0.6 million m</w:t>
      </w:r>
      <w:r w:rsidR="0052252D" w:rsidRPr="0052252D">
        <w:rPr>
          <w:rFonts w:eastAsia="Calibri"/>
          <w:vertAlign w:val="superscript"/>
          <w:lang w:val="en-NZ" w:bidi="ar-SA"/>
        </w:rPr>
        <w:t>3</w:t>
      </w:r>
      <w:r w:rsidR="0052252D">
        <w:rPr>
          <w:rFonts w:eastAsia="Calibri"/>
          <w:lang w:val="en-NZ" w:bidi="ar-SA"/>
        </w:rPr>
        <w:t xml:space="preserve">, but since then the rapid growth in exports to China has seen exports expand to </w:t>
      </w:r>
      <w:r w:rsidR="0052252D">
        <w:rPr>
          <w:rFonts w:eastAsia="Calibri"/>
          <w:lang w:val="en-NZ" w:bidi="ar-SA"/>
        </w:rPr>
        <w:lastRenderedPageBreak/>
        <w:t>over 2.1 million m</w:t>
      </w:r>
      <w:r w:rsidR="0052252D" w:rsidRPr="0052252D">
        <w:rPr>
          <w:rFonts w:eastAsia="Calibri"/>
          <w:vertAlign w:val="superscript"/>
          <w:lang w:val="en-NZ" w:bidi="ar-SA"/>
        </w:rPr>
        <w:t>3</w:t>
      </w:r>
      <w:r w:rsidR="0052252D">
        <w:rPr>
          <w:rFonts w:eastAsia="Calibri"/>
          <w:lang w:val="en-NZ" w:bidi="ar-SA"/>
        </w:rPr>
        <w:t xml:space="preserve"> (Figure 1).</w:t>
      </w:r>
      <w:r w:rsidR="00C25656">
        <w:rPr>
          <w:rStyle w:val="FootnoteReference"/>
          <w:rFonts w:eastAsia="Calibri"/>
          <w:lang w:val="en-NZ" w:bidi="ar-SA"/>
        </w:rPr>
        <w:footnoteReference w:id="6"/>
      </w:r>
      <w:r w:rsidR="0052252D">
        <w:rPr>
          <w:rFonts w:eastAsia="Calibri"/>
          <w:lang w:val="en-NZ" w:bidi="ar-SA"/>
        </w:rPr>
        <w:t xml:space="preserve"> </w:t>
      </w:r>
      <w:r w:rsidR="00C25656">
        <w:rPr>
          <w:rFonts w:eastAsia="Calibri"/>
          <w:lang w:val="en-NZ" w:bidi="ar-SA"/>
        </w:rPr>
        <w:t>As noted above, this sharp increase</w:t>
      </w:r>
      <w:r w:rsidR="00CB6C9F">
        <w:rPr>
          <w:rFonts w:eastAsia="Calibri"/>
          <w:lang w:val="en-NZ" w:bidi="ar-SA"/>
        </w:rPr>
        <w:t xml:space="preserve"> in total exports, and the chang</w:t>
      </w:r>
      <w:r w:rsidR="00C25656">
        <w:rPr>
          <w:rFonts w:eastAsia="Calibri"/>
          <w:lang w:val="en-NZ" w:bidi="ar-SA"/>
        </w:rPr>
        <w:t xml:space="preserve">e in export destination, likely reflects the withdrawal of other countries from the tropical log trade. This exogenous shock to the Solomon Islands helps to identify </w:t>
      </w:r>
      <w:r w:rsidR="000B2F24">
        <w:rPr>
          <w:rFonts w:eastAsia="Calibri"/>
          <w:lang w:val="en-NZ" w:bidi="ar-SA"/>
        </w:rPr>
        <w:t xml:space="preserve">the </w:t>
      </w:r>
      <w:r w:rsidR="00C25656">
        <w:rPr>
          <w:rFonts w:eastAsia="Calibri"/>
          <w:lang w:val="en-NZ" w:bidi="ar-SA"/>
        </w:rPr>
        <w:t>effects of deforestati</w:t>
      </w:r>
      <w:r w:rsidR="00CB6C9F">
        <w:rPr>
          <w:rFonts w:eastAsia="Calibri"/>
          <w:lang w:val="en-NZ" w:bidi="ar-SA"/>
        </w:rPr>
        <w:t xml:space="preserve">on on inequality rather than </w:t>
      </w:r>
      <w:r w:rsidR="00C25656">
        <w:rPr>
          <w:rFonts w:eastAsia="Calibri"/>
          <w:lang w:val="en-NZ" w:bidi="ar-SA"/>
        </w:rPr>
        <w:t>the reverse relationship.</w:t>
      </w:r>
    </w:p>
    <w:p w14:paraId="39FCE8EE" w14:textId="77777777" w:rsidR="00ED4A8F" w:rsidRDefault="00ED4A8F" w:rsidP="001214AD">
      <w:pPr>
        <w:spacing w:line="288" w:lineRule="auto"/>
        <w:ind w:firstLine="720"/>
        <w:rPr>
          <w:rFonts w:eastAsia="Calibri"/>
          <w:lang w:val="en-NZ" w:bidi="ar-SA"/>
        </w:rPr>
      </w:pPr>
    </w:p>
    <w:p w14:paraId="6FDC1DA1" w14:textId="77777777" w:rsidR="00834D0D" w:rsidRDefault="00834D0D" w:rsidP="001214AD">
      <w:pPr>
        <w:spacing w:line="288" w:lineRule="auto"/>
        <w:ind w:firstLine="720"/>
        <w:rPr>
          <w:rFonts w:eastAsia="Calibri"/>
          <w:lang w:val="en-NZ" w:bidi="ar-SA"/>
        </w:rPr>
      </w:pPr>
    </w:p>
    <w:p w14:paraId="09B5AFF1" w14:textId="673DE388" w:rsidR="00F73D75" w:rsidRPr="00932138" w:rsidRDefault="00F73D75" w:rsidP="00F73D75">
      <w:pPr>
        <w:spacing w:after="120"/>
        <w:ind w:left="720" w:hanging="720"/>
        <w:jc w:val="center"/>
        <w:rPr>
          <w:rFonts w:eastAsia="Times New Roman"/>
          <w:b/>
          <w:sz w:val="22"/>
          <w:lang w:bidi="ar-SA"/>
        </w:rPr>
      </w:pPr>
      <w:r w:rsidRPr="00932138">
        <w:rPr>
          <w:rFonts w:eastAsia="Times New Roman"/>
          <w:b/>
          <w:sz w:val="22"/>
          <w:lang w:bidi="ar-SA"/>
        </w:rPr>
        <w:t xml:space="preserve">Figure 1: Trends in Log Exports </w:t>
      </w:r>
      <w:r w:rsidR="009D0BBB">
        <w:rPr>
          <w:rFonts w:eastAsia="Times New Roman"/>
          <w:b/>
          <w:sz w:val="22"/>
          <w:lang w:bidi="ar-SA"/>
        </w:rPr>
        <w:t>f</w:t>
      </w:r>
      <w:r w:rsidRPr="00932138">
        <w:rPr>
          <w:rFonts w:eastAsia="Times New Roman"/>
          <w:b/>
          <w:sz w:val="22"/>
          <w:lang w:bidi="ar-SA"/>
        </w:rPr>
        <w:t>rom the Solomon Islands</w:t>
      </w:r>
    </w:p>
    <w:p w14:paraId="1A2B5498" w14:textId="77777777" w:rsidR="00F73D75" w:rsidRDefault="00F73D75" w:rsidP="00F73D75">
      <w:pPr>
        <w:ind w:left="720" w:hanging="720"/>
        <w:jc w:val="center"/>
        <w:rPr>
          <w:rFonts w:eastAsia="Times New Roman"/>
          <w:lang w:bidi="ar-SA"/>
        </w:rPr>
      </w:pPr>
      <w:r w:rsidRPr="007F2AD0">
        <w:rPr>
          <w:rFonts w:eastAsia="Times New Roman"/>
          <w:noProof/>
          <w:lang w:val="en-NZ" w:eastAsia="en-NZ" w:bidi="ar-SA"/>
        </w:rPr>
        <w:drawing>
          <wp:inline distT="0" distB="0" distL="0" distR="0" wp14:anchorId="6505E75F" wp14:editId="7F9C2DA0">
            <wp:extent cx="5800725" cy="3905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597" cy="3906516"/>
                    </a:xfrm>
                    <a:prstGeom prst="rect">
                      <a:avLst/>
                    </a:prstGeom>
                    <a:noFill/>
                    <a:ln>
                      <a:noFill/>
                    </a:ln>
                  </pic:spPr>
                </pic:pic>
              </a:graphicData>
            </a:graphic>
          </wp:inline>
        </w:drawing>
      </w:r>
    </w:p>
    <w:p w14:paraId="0B590CDC" w14:textId="3194FDF2" w:rsidR="00F73D75" w:rsidRDefault="00F73D75" w:rsidP="00F73D75">
      <w:pPr>
        <w:spacing w:before="40"/>
        <w:ind w:left="720" w:hanging="720"/>
        <w:jc w:val="left"/>
        <w:rPr>
          <w:rFonts w:eastAsia="Times New Roman"/>
          <w:i/>
          <w:sz w:val="20"/>
          <w:lang w:bidi="ar-SA"/>
        </w:rPr>
      </w:pPr>
      <w:r w:rsidRPr="00DF5B45">
        <w:rPr>
          <w:rFonts w:eastAsia="Times New Roman"/>
          <w:i/>
          <w:sz w:val="20"/>
          <w:lang w:bidi="ar-SA"/>
        </w:rPr>
        <w:t xml:space="preserve">Note: </w:t>
      </w:r>
      <w:r>
        <w:rPr>
          <w:rFonts w:eastAsia="Times New Roman"/>
          <w:sz w:val="20"/>
          <w:lang w:bidi="ar-SA"/>
        </w:rPr>
        <w:t xml:space="preserve">Data are from the import statistics of </w:t>
      </w:r>
      <w:r w:rsidR="007660A6">
        <w:rPr>
          <w:rFonts w:eastAsia="Times New Roman"/>
          <w:sz w:val="20"/>
          <w:lang w:bidi="ar-SA"/>
        </w:rPr>
        <w:t>importers, d</w:t>
      </w:r>
      <w:r>
        <w:rPr>
          <w:rFonts w:eastAsia="Times New Roman"/>
          <w:sz w:val="20"/>
          <w:lang w:bidi="ar-SA"/>
        </w:rPr>
        <w:t>ue to concerns about under-invoicing of exports.</w:t>
      </w:r>
    </w:p>
    <w:p w14:paraId="724F0BE4" w14:textId="77777777" w:rsidR="00F73D75" w:rsidRDefault="00F73D75" w:rsidP="00F73D75">
      <w:pPr>
        <w:spacing w:before="40"/>
        <w:ind w:left="720" w:hanging="720"/>
        <w:jc w:val="left"/>
        <w:rPr>
          <w:rFonts w:eastAsia="Times New Roman"/>
          <w:i/>
          <w:sz w:val="20"/>
          <w:lang w:bidi="ar-SA"/>
        </w:rPr>
      </w:pPr>
    </w:p>
    <w:p w14:paraId="6E1A6BB8" w14:textId="77777777" w:rsidR="00567A31" w:rsidRPr="00567A31" w:rsidRDefault="00567A31" w:rsidP="001214AD">
      <w:pPr>
        <w:spacing w:line="288" w:lineRule="auto"/>
        <w:ind w:firstLine="720"/>
        <w:rPr>
          <w:rFonts w:asciiTheme="majorBidi" w:hAnsiTheme="majorBidi" w:cstheme="majorBidi"/>
          <w:sz w:val="16"/>
          <w:szCs w:val="16"/>
        </w:rPr>
      </w:pPr>
    </w:p>
    <w:p w14:paraId="3AE6DE87" w14:textId="0504E1A0" w:rsidR="00E4597E" w:rsidRDefault="009323B1" w:rsidP="001214AD">
      <w:pPr>
        <w:spacing w:line="288" w:lineRule="auto"/>
        <w:ind w:firstLine="720"/>
        <w:rPr>
          <w:rFonts w:eastAsia="Calibri"/>
          <w:lang w:val="en-NZ" w:bidi="ar-SA"/>
        </w:rPr>
      </w:pPr>
      <w:r>
        <w:rPr>
          <w:rFonts w:asciiTheme="majorBidi" w:hAnsiTheme="majorBidi" w:cstheme="majorBidi"/>
        </w:rPr>
        <w:t xml:space="preserve">Previous research from the Solomon Islands notes that </w:t>
      </w:r>
      <w:r w:rsidRPr="00883C33">
        <w:t>forests with less than 30-40% crown cover produce less than 20m</w:t>
      </w:r>
      <w:r w:rsidRPr="004528D0">
        <w:rPr>
          <w:vertAlign w:val="superscript"/>
        </w:rPr>
        <w:t>3</w:t>
      </w:r>
      <w:r w:rsidRPr="00883C33">
        <w:t xml:space="preserve"> </w:t>
      </w:r>
      <w:r>
        <w:t xml:space="preserve">of commercial timber per hectare, which makes them </w:t>
      </w:r>
      <w:r w:rsidR="009C5DF3">
        <w:t xml:space="preserve">less </w:t>
      </w:r>
      <w:r w:rsidR="00471DF1">
        <w:t xml:space="preserve">economically attractive </w:t>
      </w:r>
      <w:r w:rsidR="009C5DF3">
        <w:t>for</w:t>
      </w:r>
      <w:r w:rsidRPr="00883C33">
        <w:t xml:space="preserve"> logging</w:t>
      </w:r>
      <w:r>
        <w:t xml:space="preserve"> (Jansen </w:t>
      </w:r>
      <w:r w:rsidR="009D0BBB">
        <w:rPr>
          <w:rFonts w:eastAsia="Times New Roman"/>
          <w:i/>
        </w:rPr>
        <w:t>et al.</w:t>
      </w:r>
      <w:r w:rsidR="009D0BBB">
        <w:rPr>
          <w:rFonts w:eastAsia="Times New Roman"/>
        </w:rPr>
        <w:t xml:space="preserve"> </w:t>
      </w:r>
      <w:r>
        <w:t xml:space="preserve">2006). Thus, </w:t>
      </w:r>
      <w:r w:rsidR="007C43D9">
        <w:t xml:space="preserve">even </w:t>
      </w:r>
      <w:r w:rsidR="00C25656">
        <w:t xml:space="preserve">if there was </w:t>
      </w:r>
      <w:r w:rsidR="007C43D9">
        <w:t xml:space="preserve">properly controlled selective logging, </w:t>
      </w:r>
      <w:r>
        <w:t xml:space="preserve">the decline in the economic value of the forest due to </w:t>
      </w:r>
      <w:r w:rsidR="00C25656">
        <w:t>the stand</w:t>
      </w:r>
      <w:r w:rsidR="00C25656">
        <w:noBreakHyphen/>
      </w:r>
      <w:r>
        <w:t>replacing disturbance</w:t>
      </w:r>
      <w:r w:rsidR="007C43D9">
        <w:t xml:space="preserve"> may be</w:t>
      </w:r>
      <w:r>
        <w:t xml:space="preserve"> </w:t>
      </w:r>
      <w:r w:rsidR="007C43D9">
        <w:t xml:space="preserve">greater than </w:t>
      </w:r>
      <w:r>
        <w:t xml:space="preserve">would be indicated by just focusing on </w:t>
      </w:r>
      <w:r w:rsidR="00AC717E">
        <w:t xml:space="preserve">felling </w:t>
      </w:r>
      <w:r>
        <w:t xml:space="preserve">rates. </w:t>
      </w:r>
      <w:r w:rsidR="007C43D9">
        <w:t>Moreover, when selective logging is not controlled, harv</w:t>
      </w:r>
      <w:r w:rsidR="00761B57">
        <w:t>est intensities may</w:t>
      </w:r>
      <w:r w:rsidR="007C43D9">
        <w:t xml:space="preserve"> be three times higher than they should be, at about 30 cut trees per hectare, </w:t>
      </w:r>
      <w:r w:rsidR="009C5DF3">
        <w:t xml:space="preserve">and at </w:t>
      </w:r>
      <w:proofErr w:type="gramStart"/>
      <w:r w:rsidR="009C5DF3">
        <w:t>this</w:t>
      </w:r>
      <w:proofErr w:type="gramEnd"/>
      <w:r w:rsidR="009C5DF3">
        <w:t xml:space="preserve"> cutting rate </w:t>
      </w:r>
      <w:r w:rsidR="007C43D9">
        <w:t xml:space="preserve">a residual stand of severely damaged immature trees </w:t>
      </w:r>
      <w:r w:rsidR="009C5DF3">
        <w:t xml:space="preserve">is left behind </w:t>
      </w:r>
      <w:r w:rsidR="007C43D9">
        <w:t>(</w:t>
      </w:r>
      <w:proofErr w:type="spellStart"/>
      <w:r w:rsidR="007C43D9">
        <w:t>Katovai</w:t>
      </w:r>
      <w:proofErr w:type="spellEnd"/>
      <w:r w:rsidR="009D0BBB" w:rsidRPr="009D0BBB">
        <w:rPr>
          <w:rFonts w:eastAsia="Times New Roman"/>
          <w:i/>
        </w:rPr>
        <w:t xml:space="preserve"> </w:t>
      </w:r>
      <w:r w:rsidR="009D0BBB">
        <w:rPr>
          <w:rFonts w:eastAsia="Times New Roman"/>
          <w:i/>
        </w:rPr>
        <w:t>et al.</w:t>
      </w:r>
      <w:r w:rsidR="009D0BBB">
        <w:rPr>
          <w:rFonts w:eastAsia="Times New Roman"/>
        </w:rPr>
        <w:t xml:space="preserve"> </w:t>
      </w:r>
      <w:r w:rsidR="007C43D9">
        <w:t xml:space="preserve">2015). Along these lines, a </w:t>
      </w:r>
      <w:r>
        <w:t>recent forest resource assessment</w:t>
      </w:r>
      <w:r w:rsidR="007C43D9">
        <w:t xml:space="preserve"> for the Solomon Islands </w:t>
      </w:r>
      <w:r w:rsidR="00DF7A77">
        <w:t xml:space="preserve">found </w:t>
      </w:r>
      <w:r>
        <w:t>more than half of the primary commercial fores</w:t>
      </w:r>
      <w:r w:rsidR="00DF7A77">
        <w:t>t resource has</w:t>
      </w:r>
      <w:r w:rsidR="007C43D9">
        <w:t xml:space="preserve"> </w:t>
      </w:r>
      <w:r w:rsidR="00AC717E">
        <w:t xml:space="preserve">now </w:t>
      </w:r>
      <w:r w:rsidR="007C43D9">
        <w:t xml:space="preserve">been </w:t>
      </w:r>
      <w:r w:rsidR="00AC717E">
        <w:t xml:space="preserve">exploited </w:t>
      </w:r>
      <w:r w:rsidR="007C43D9">
        <w:t>(SKM, 2012).</w:t>
      </w:r>
      <w:r w:rsidR="009C1901">
        <w:rPr>
          <w:rFonts w:eastAsia="Calibri"/>
          <w:lang w:val="en-NZ" w:bidi="ar-SA"/>
        </w:rPr>
        <w:t xml:space="preserve"> </w:t>
      </w:r>
      <w:r w:rsidR="00761B57">
        <w:rPr>
          <w:rFonts w:eastAsia="Calibri"/>
          <w:lang w:val="en-NZ" w:bidi="ar-SA"/>
        </w:rPr>
        <w:lastRenderedPageBreak/>
        <w:t>R</w:t>
      </w:r>
      <w:r w:rsidR="00E4597E" w:rsidRPr="00E4597E">
        <w:rPr>
          <w:rFonts w:eastAsia="Calibri"/>
          <w:lang w:val="en-NZ" w:bidi="ar-SA"/>
        </w:rPr>
        <w:t xml:space="preserve">egenerative potential of </w:t>
      </w:r>
      <w:r w:rsidR="009C1901">
        <w:rPr>
          <w:rFonts w:eastAsia="Calibri"/>
          <w:lang w:val="en-NZ" w:bidi="ar-SA"/>
        </w:rPr>
        <w:t xml:space="preserve">the </w:t>
      </w:r>
      <w:r w:rsidR="00E4597E" w:rsidRPr="00E4597E">
        <w:rPr>
          <w:rFonts w:eastAsia="Calibri"/>
          <w:lang w:val="en-NZ" w:bidi="ar-SA"/>
        </w:rPr>
        <w:t xml:space="preserve">remaining forest </w:t>
      </w:r>
      <w:r w:rsidR="009C1901">
        <w:rPr>
          <w:rFonts w:eastAsia="Calibri"/>
          <w:lang w:val="en-NZ" w:bidi="ar-SA"/>
        </w:rPr>
        <w:t xml:space="preserve">is also </w:t>
      </w:r>
      <w:r w:rsidR="00E4597E" w:rsidRPr="00E4597E">
        <w:rPr>
          <w:rFonts w:eastAsia="Calibri"/>
          <w:lang w:val="en-NZ" w:bidi="ar-SA"/>
        </w:rPr>
        <w:t>harmed by re</w:t>
      </w:r>
      <w:r w:rsidR="00E4597E" w:rsidRPr="00E4597E">
        <w:rPr>
          <w:rFonts w:eastAsia="Calibri"/>
          <w:lang w:val="en-NZ" w:bidi="ar-SA"/>
        </w:rPr>
        <w:noBreakHyphen/>
        <w:t>entry logging</w:t>
      </w:r>
      <w:r w:rsidR="00761B57">
        <w:rPr>
          <w:rFonts w:eastAsia="Calibri"/>
          <w:lang w:val="en-NZ" w:bidi="ar-SA"/>
        </w:rPr>
        <w:t xml:space="preserve">, which is made </w:t>
      </w:r>
      <w:r w:rsidR="00471DF1">
        <w:rPr>
          <w:rFonts w:eastAsia="Calibri"/>
          <w:lang w:val="en-NZ" w:bidi="ar-SA"/>
        </w:rPr>
        <w:t>possible</w:t>
      </w:r>
      <w:r w:rsidR="00E4597E" w:rsidRPr="00E4597E">
        <w:rPr>
          <w:rFonts w:eastAsia="Calibri"/>
          <w:lang w:val="en-NZ" w:bidi="ar-SA"/>
        </w:rPr>
        <w:t xml:space="preserve"> </w:t>
      </w:r>
      <w:r w:rsidR="00761B57">
        <w:rPr>
          <w:rFonts w:eastAsia="Calibri"/>
          <w:lang w:val="en-NZ" w:bidi="ar-SA"/>
        </w:rPr>
        <w:t xml:space="preserve">because of </w:t>
      </w:r>
      <w:r w:rsidR="00E4597E" w:rsidRPr="00E4597E">
        <w:rPr>
          <w:rFonts w:eastAsia="Calibri"/>
          <w:lang w:val="en-NZ" w:bidi="ar-SA"/>
        </w:rPr>
        <w:t xml:space="preserve">poor monitoring and </w:t>
      </w:r>
      <w:r w:rsidR="00761B57">
        <w:rPr>
          <w:rFonts w:eastAsia="Calibri"/>
          <w:lang w:val="en-NZ" w:bidi="ar-SA"/>
        </w:rPr>
        <w:t xml:space="preserve">possibly </w:t>
      </w:r>
      <w:r w:rsidR="009C5DF3">
        <w:rPr>
          <w:rFonts w:eastAsia="Calibri"/>
          <w:lang w:val="en-NZ" w:bidi="ar-SA"/>
        </w:rPr>
        <w:t xml:space="preserve">because </w:t>
      </w:r>
      <w:r w:rsidR="00761B57">
        <w:rPr>
          <w:rFonts w:eastAsia="Calibri"/>
          <w:lang w:val="en-NZ" w:bidi="ar-SA"/>
        </w:rPr>
        <w:t>of lack of information</w:t>
      </w:r>
      <w:r w:rsidR="00E4597E" w:rsidRPr="00E4597E">
        <w:rPr>
          <w:rFonts w:eastAsia="Calibri"/>
          <w:lang w:val="en-NZ" w:bidi="ar-SA"/>
        </w:rPr>
        <w:t xml:space="preserve"> on </w:t>
      </w:r>
      <w:r w:rsidR="00761B57">
        <w:rPr>
          <w:rFonts w:eastAsia="Calibri"/>
          <w:lang w:val="en-NZ" w:bidi="ar-SA"/>
        </w:rPr>
        <w:t xml:space="preserve">the </w:t>
      </w:r>
      <w:r w:rsidR="00E4597E" w:rsidRPr="00E4597E">
        <w:rPr>
          <w:rFonts w:eastAsia="Calibri"/>
          <w:lang w:val="en-NZ" w:bidi="ar-SA"/>
        </w:rPr>
        <w:t xml:space="preserve">environmental and economic effects of </w:t>
      </w:r>
      <w:r w:rsidR="00471DF1">
        <w:rPr>
          <w:rFonts w:eastAsia="Calibri"/>
          <w:lang w:val="en-NZ" w:bidi="ar-SA"/>
        </w:rPr>
        <w:t xml:space="preserve">the </w:t>
      </w:r>
      <w:r w:rsidR="00E4597E" w:rsidRPr="00E4597E">
        <w:rPr>
          <w:rFonts w:eastAsia="Calibri"/>
          <w:lang w:val="en-NZ" w:bidi="ar-SA"/>
        </w:rPr>
        <w:t xml:space="preserve">existing logging </w:t>
      </w:r>
      <w:r w:rsidR="00DE5FE3">
        <w:rPr>
          <w:rFonts w:eastAsia="Calibri"/>
          <w:lang w:val="en-NZ" w:bidi="ar-SA"/>
        </w:rPr>
        <w:t>– without this information the</w:t>
      </w:r>
      <w:r w:rsidR="00DF7A77">
        <w:rPr>
          <w:rFonts w:eastAsia="Calibri"/>
          <w:lang w:val="en-NZ" w:bidi="ar-SA"/>
        </w:rPr>
        <w:t xml:space="preserve"> </w:t>
      </w:r>
      <w:r w:rsidR="00770E69">
        <w:rPr>
          <w:rFonts w:eastAsia="Calibri"/>
          <w:lang w:val="en-NZ" w:bidi="ar-SA"/>
        </w:rPr>
        <w:t xml:space="preserve">costs and benefits of </w:t>
      </w:r>
      <w:r w:rsidR="00471DF1">
        <w:rPr>
          <w:rFonts w:eastAsia="Calibri"/>
          <w:lang w:val="en-NZ" w:bidi="ar-SA"/>
        </w:rPr>
        <w:t xml:space="preserve">letting </w:t>
      </w:r>
      <w:r w:rsidR="00770E69">
        <w:rPr>
          <w:rFonts w:eastAsia="Calibri"/>
          <w:lang w:val="en-NZ" w:bidi="ar-SA"/>
        </w:rPr>
        <w:t xml:space="preserve">loggers back into an area </w:t>
      </w:r>
      <w:r w:rsidR="00761B57">
        <w:rPr>
          <w:rFonts w:eastAsia="Calibri"/>
          <w:lang w:val="en-NZ" w:bidi="ar-SA"/>
        </w:rPr>
        <w:t xml:space="preserve">cannot be properly appraised </w:t>
      </w:r>
      <w:r w:rsidR="00E4597E" w:rsidRPr="00E4597E">
        <w:rPr>
          <w:rFonts w:eastAsia="Calibri"/>
          <w:lang w:val="en-NZ" w:bidi="ar-SA"/>
        </w:rPr>
        <w:t>(</w:t>
      </w:r>
      <w:proofErr w:type="spellStart"/>
      <w:r w:rsidR="00E4597E" w:rsidRPr="00E4597E">
        <w:rPr>
          <w:rFonts w:eastAsia="Calibri"/>
          <w:lang w:val="en-NZ" w:bidi="ar-SA"/>
        </w:rPr>
        <w:t>Katovai</w:t>
      </w:r>
      <w:proofErr w:type="spellEnd"/>
      <w:r w:rsidR="00E4597E" w:rsidRPr="00E4597E">
        <w:rPr>
          <w:rFonts w:eastAsia="Calibri"/>
          <w:lang w:val="en-NZ" w:bidi="ar-SA"/>
        </w:rPr>
        <w:t xml:space="preserve"> </w:t>
      </w:r>
      <w:r w:rsidR="009D0BBB">
        <w:rPr>
          <w:rFonts w:eastAsia="Times New Roman"/>
          <w:i/>
        </w:rPr>
        <w:t>et al.</w:t>
      </w:r>
      <w:r w:rsidR="009D0BBB">
        <w:rPr>
          <w:rFonts w:eastAsia="Times New Roman"/>
        </w:rPr>
        <w:t xml:space="preserve"> </w:t>
      </w:r>
      <w:r w:rsidR="00E4597E" w:rsidRPr="00E4597E">
        <w:rPr>
          <w:rFonts w:eastAsia="Calibri"/>
          <w:lang w:val="en-NZ" w:bidi="ar-SA"/>
        </w:rPr>
        <w:t>2015).</w:t>
      </w:r>
    </w:p>
    <w:p w14:paraId="073E6B3C" w14:textId="77777777" w:rsidR="00ED4A8F" w:rsidRPr="00E4597E" w:rsidRDefault="00ED4A8F" w:rsidP="001214AD">
      <w:pPr>
        <w:spacing w:line="288" w:lineRule="auto"/>
        <w:ind w:firstLine="720"/>
        <w:rPr>
          <w:rFonts w:eastAsia="Calibri"/>
          <w:lang w:val="en-NZ" w:bidi="ar-SA"/>
        </w:rPr>
      </w:pPr>
    </w:p>
    <w:p w14:paraId="5301DBD4" w14:textId="7885DC04" w:rsidR="00E65BF8" w:rsidRDefault="00A012F3" w:rsidP="001214AD">
      <w:pPr>
        <w:spacing w:line="288" w:lineRule="auto"/>
        <w:ind w:firstLine="720"/>
        <w:rPr>
          <w:rFonts w:eastAsia="Calibri"/>
          <w:lang w:val="en-NZ" w:bidi="ar-SA"/>
        </w:rPr>
      </w:pPr>
      <w:r>
        <w:rPr>
          <w:rFonts w:eastAsia="Calibri"/>
          <w:lang w:val="en-NZ" w:bidi="ar-SA"/>
        </w:rPr>
        <w:t xml:space="preserve">While most research on forests in the Solomon Islands </w:t>
      </w:r>
      <w:r w:rsidR="00C25656">
        <w:rPr>
          <w:rFonts w:eastAsia="Calibri"/>
          <w:lang w:val="en-NZ" w:bidi="ar-SA"/>
        </w:rPr>
        <w:t xml:space="preserve">is </w:t>
      </w:r>
      <w:r>
        <w:rPr>
          <w:rFonts w:eastAsia="Calibri"/>
          <w:lang w:val="en-NZ" w:bidi="ar-SA"/>
        </w:rPr>
        <w:t xml:space="preserve">on logging, the forests are also an important source of food, especially for the rural poor. The Solomon Islands has a number of indigenous nut tree species, and </w:t>
      </w:r>
      <w:r w:rsidR="009C5DF3">
        <w:rPr>
          <w:rFonts w:eastAsia="Calibri"/>
          <w:lang w:val="en-NZ" w:bidi="ar-SA"/>
        </w:rPr>
        <w:t xml:space="preserve">especially </w:t>
      </w:r>
      <w:r>
        <w:rPr>
          <w:rFonts w:eastAsia="Calibri"/>
          <w:lang w:val="en-NZ" w:bidi="ar-SA"/>
        </w:rPr>
        <w:t xml:space="preserve">the </w:t>
      </w:r>
      <w:proofErr w:type="spellStart"/>
      <w:r>
        <w:rPr>
          <w:rFonts w:eastAsia="Calibri"/>
          <w:lang w:val="en-NZ" w:bidi="ar-SA"/>
        </w:rPr>
        <w:t>Ngali</w:t>
      </w:r>
      <w:proofErr w:type="spellEnd"/>
      <w:r>
        <w:rPr>
          <w:rFonts w:eastAsia="Calibri"/>
          <w:lang w:val="en-NZ" w:bidi="ar-SA"/>
        </w:rPr>
        <w:t xml:space="preserve"> nut which grows on large </w:t>
      </w:r>
      <w:r w:rsidR="009C5DF3">
        <w:rPr>
          <w:rFonts w:eastAsia="Calibri"/>
          <w:lang w:val="en-NZ" w:bidi="ar-SA"/>
        </w:rPr>
        <w:t xml:space="preserve">trees </w:t>
      </w:r>
      <w:r w:rsidR="009D0BBB">
        <w:rPr>
          <w:rFonts w:eastAsia="Calibri"/>
          <w:lang w:val="en-NZ" w:bidi="ar-SA"/>
        </w:rPr>
        <w:t xml:space="preserve">(ca. 40 meter </w:t>
      </w:r>
      <w:r>
        <w:rPr>
          <w:rFonts w:eastAsia="Calibri"/>
          <w:lang w:val="en-NZ" w:bidi="ar-SA"/>
        </w:rPr>
        <w:t xml:space="preserve">height) of </w:t>
      </w:r>
      <w:r w:rsidR="009C5DF3">
        <w:rPr>
          <w:rFonts w:eastAsia="Calibri"/>
          <w:lang w:val="en-NZ" w:bidi="ar-SA"/>
        </w:rPr>
        <w:t xml:space="preserve">the </w:t>
      </w:r>
      <w:proofErr w:type="spellStart"/>
      <w:r>
        <w:rPr>
          <w:rFonts w:eastAsia="Calibri"/>
          <w:i/>
          <w:iCs/>
          <w:lang w:val="en-NZ" w:bidi="ar-SA"/>
        </w:rPr>
        <w:t>Canarium</w:t>
      </w:r>
      <w:proofErr w:type="spellEnd"/>
      <w:r>
        <w:rPr>
          <w:rFonts w:eastAsia="Calibri"/>
          <w:i/>
          <w:iCs/>
          <w:lang w:val="en-NZ" w:bidi="ar-SA"/>
        </w:rPr>
        <w:t xml:space="preserve"> </w:t>
      </w:r>
      <w:r w:rsidR="009C5DF3">
        <w:rPr>
          <w:rFonts w:eastAsia="Calibri"/>
          <w:lang w:val="en-NZ" w:bidi="ar-SA"/>
        </w:rPr>
        <w:t>species</w:t>
      </w:r>
      <w:r>
        <w:rPr>
          <w:rFonts w:eastAsia="Calibri"/>
          <w:lang w:val="en-NZ" w:bidi="ar-SA"/>
        </w:rPr>
        <w:t>. A mature tree can provide up to 30 kilograms of nuts</w:t>
      </w:r>
      <w:r w:rsidR="00C25656">
        <w:rPr>
          <w:rFonts w:eastAsia="Calibri"/>
          <w:lang w:val="en-NZ" w:bidi="ar-SA"/>
        </w:rPr>
        <w:t xml:space="preserve"> per year</w:t>
      </w:r>
      <w:r>
        <w:rPr>
          <w:rFonts w:eastAsia="Calibri"/>
          <w:lang w:val="en-NZ" w:bidi="ar-SA"/>
        </w:rPr>
        <w:t xml:space="preserve">, which are harvested from the forest floor and </w:t>
      </w:r>
      <w:r w:rsidR="00C25656">
        <w:rPr>
          <w:rFonts w:eastAsia="Calibri"/>
          <w:lang w:val="en-NZ" w:bidi="ar-SA"/>
        </w:rPr>
        <w:t xml:space="preserve">are </w:t>
      </w:r>
      <w:r w:rsidR="00E65BF8">
        <w:rPr>
          <w:rFonts w:eastAsia="Calibri"/>
          <w:lang w:val="en-NZ" w:bidi="ar-SA"/>
        </w:rPr>
        <w:t>eaten both fresh and dried</w:t>
      </w:r>
      <w:r>
        <w:rPr>
          <w:rFonts w:eastAsia="Calibri"/>
          <w:lang w:val="en-NZ" w:bidi="ar-SA"/>
        </w:rPr>
        <w:t xml:space="preserve">. </w:t>
      </w:r>
      <w:r w:rsidR="00E65BF8">
        <w:rPr>
          <w:rFonts w:eastAsia="Calibri"/>
          <w:lang w:val="en-NZ" w:bidi="ar-SA"/>
        </w:rPr>
        <w:t xml:space="preserve"> </w:t>
      </w:r>
      <w:r w:rsidR="00770E69">
        <w:rPr>
          <w:rFonts w:eastAsia="Calibri"/>
          <w:lang w:val="en-NZ" w:bidi="ar-SA"/>
        </w:rPr>
        <w:t>This is a sufficiently major</w:t>
      </w:r>
      <w:r>
        <w:rPr>
          <w:rFonts w:eastAsia="Calibri"/>
          <w:lang w:val="en-NZ" w:bidi="ar-SA"/>
        </w:rPr>
        <w:t xml:space="preserve"> food that </w:t>
      </w:r>
      <w:r w:rsidR="00DF7A77">
        <w:rPr>
          <w:rFonts w:eastAsia="Calibri"/>
          <w:lang w:val="en-NZ" w:bidi="ar-SA"/>
        </w:rPr>
        <w:t xml:space="preserve">the </w:t>
      </w:r>
      <w:r w:rsidR="00770E69">
        <w:rPr>
          <w:rFonts w:eastAsia="Calibri"/>
          <w:lang w:val="en-NZ" w:bidi="ar-SA"/>
        </w:rPr>
        <w:t xml:space="preserve">census </w:t>
      </w:r>
      <w:r w:rsidR="00DF7A77">
        <w:rPr>
          <w:rFonts w:eastAsia="Calibri"/>
          <w:lang w:val="en-NZ" w:bidi="ar-SA"/>
        </w:rPr>
        <w:t xml:space="preserve">itemizes </w:t>
      </w:r>
      <w:r w:rsidR="00770E69">
        <w:rPr>
          <w:rFonts w:eastAsia="Calibri"/>
          <w:lang w:val="en-NZ" w:bidi="ar-SA"/>
        </w:rPr>
        <w:t>it</w:t>
      </w:r>
      <w:r>
        <w:rPr>
          <w:rFonts w:eastAsia="Calibri"/>
          <w:lang w:val="en-NZ" w:bidi="ar-SA"/>
        </w:rPr>
        <w:t xml:space="preserve"> </w:t>
      </w:r>
      <w:r w:rsidR="00DF7A77">
        <w:rPr>
          <w:rFonts w:eastAsia="Calibri"/>
          <w:lang w:val="en-NZ" w:bidi="ar-SA"/>
        </w:rPr>
        <w:t xml:space="preserve">amongst </w:t>
      </w:r>
      <w:r>
        <w:rPr>
          <w:rFonts w:eastAsia="Calibri"/>
          <w:lang w:val="en-NZ" w:bidi="ar-SA"/>
        </w:rPr>
        <w:t>subsistence product</w:t>
      </w:r>
      <w:r w:rsidR="000315C5">
        <w:rPr>
          <w:rFonts w:eastAsia="Calibri"/>
          <w:lang w:val="en-NZ" w:bidi="ar-SA"/>
        </w:rPr>
        <w:t>s</w:t>
      </w:r>
      <w:r>
        <w:rPr>
          <w:rFonts w:eastAsia="Calibri"/>
          <w:lang w:val="en-NZ" w:bidi="ar-SA"/>
        </w:rPr>
        <w:t>, and over ha</w:t>
      </w:r>
      <w:r w:rsidR="009C5DF3">
        <w:rPr>
          <w:rFonts w:eastAsia="Calibri"/>
          <w:lang w:val="en-NZ" w:bidi="ar-SA"/>
        </w:rPr>
        <w:t xml:space="preserve">lf of rural households </w:t>
      </w:r>
      <w:r w:rsidR="00770E69">
        <w:rPr>
          <w:rFonts w:eastAsia="Calibri"/>
          <w:lang w:val="en-NZ" w:bidi="ar-SA"/>
        </w:rPr>
        <w:t xml:space="preserve">report </w:t>
      </w:r>
      <w:r w:rsidR="009C5DF3">
        <w:rPr>
          <w:rFonts w:eastAsia="Calibri"/>
          <w:lang w:val="en-NZ" w:bidi="ar-SA"/>
        </w:rPr>
        <w:t>harvest</w:t>
      </w:r>
      <w:r w:rsidR="00770E69">
        <w:rPr>
          <w:rFonts w:eastAsia="Calibri"/>
          <w:lang w:val="en-NZ" w:bidi="ar-SA"/>
        </w:rPr>
        <w:t>ing</w:t>
      </w:r>
      <w:r w:rsidR="009C5DF3">
        <w:rPr>
          <w:rFonts w:eastAsia="Calibri"/>
          <w:lang w:val="en-NZ" w:bidi="ar-SA"/>
        </w:rPr>
        <w:t xml:space="preserve"> </w:t>
      </w:r>
      <w:r>
        <w:rPr>
          <w:rFonts w:eastAsia="Calibri"/>
          <w:lang w:val="en-NZ" w:bidi="ar-SA"/>
        </w:rPr>
        <w:t>t</w:t>
      </w:r>
      <w:r w:rsidR="009C5DF3">
        <w:rPr>
          <w:rFonts w:eastAsia="Calibri"/>
          <w:lang w:val="en-NZ" w:bidi="ar-SA"/>
        </w:rPr>
        <w:t>hese nuts</w:t>
      </w:r>
      <w:r>
        <w:rPr>
          <w:rFonts w:eastAsia="Calibri"/>
          <w:lang w:val="en-NZ" w:bidi="ar-SA"/>
        </w:rPr>
        <w:t xml:space="preserve">. Importantly for the impact </w:t>
      </w:r>
      <w:r w:rsidR="00471DF1">
        <w:rPr>
          <w:rFonts w:eastAsia="Calibri"/>
          <w:lang w:val="en-NZ" w:bidi="ar-SA"/>
        </w:rPr>
        <w:t xml:space="preserve">that </w:t>
      </w:r>
      <w:r>
        <w:rPr>
          <w:rFonts w:eastAsia="Calibri"/>
          <w:lang w:val="en-NZ" w:bidi="ar-SA"/>
        </w:rPr>
        <w:t xml:space="preserve">forest </w:t>
      </w:r>
      <w:r w:rsidR="00471DF1">
        <w:rPr>
          <w:rFonts w:eastAsia="Calibri"/>
          <w:lang w:val="en-NZ" w:bidi="ar-SA"/>
        </w:rPr>
        <w:t xml:space="preserve">destruction may have </w:t>
      </w:r>
      <w:r w:rsidR="00DE5FE3">
        <w:rPr>
          <w:rFonts w:eastAsia="Calibri"/>
          <w:lang w:val="en-NZ" w:bidi="ar-SA"/>
        </w:rPr>
        <w:t xml:space="preserve">on inequality, </w:t>
      </w:r>
      <w:proofErr w:type="spellStart"/>
      <w:r w:rsidR="00DE5FE3">
        <w:rPr>
          <w:rFonts w:eastAsia="Calibri"/>
          <w:lang w:val="en-NZ" w:bidi="ar-SA"/>
        </w:rPr>
        <w:t>Ngali</w:t>
      </w:r>
      <w:proofErr w:type="spellEnd"/>
      <w:r w:rsidR="00DE5FE3">
        <w:rPr>
          <w:rFonts w:eastAsia="Calibri"/>
          <w:lang w:val="en-NZ" w:bidi="ar-SA"/>
        </w:rPr>
        <w:t xml:space="preserve"> </w:t>
      </w:r>
      <w:r>
        <w:rPr>
          <w:rFonts w:eastAsia="Calibri"/>
          <w:lang w:val="en-NZ" w:bidi="ar-SA"/>
        </w:rPr>
        <w:t xml:space="preserve">is more important for the rural poor; 60 percent of the poorest quartile of rural households </w:t>
      </w:r>
      <w:r w:rsidR="000315C5">
        <w:rPr>
          <w:rFonts w:eastAsia="Calibri"/>
          <w:lang w:val="en-NZ" w:bidi="ar-SA"/>
        </w:rPr>
        <w:t xml:space="preserve">harvest and consume </w:t>
      </w:r>
      <w:proofErr w:type="spellStart"/>
      <w:r>
        <w:rPr>
          <w:rFonts w:eastAsia="Calibri"/>
          <w:lang w:val="en-NZ" w:bidi="ar-SA"/>
        </w:rPr>
        <w:t>Ngali</w:t>
      </w:r>
      <w:proofErr w:type="spellEnd"/>
      <w:r>
        <w:rPr>
          <w:rFonts w:eastAsia="Calibri"/>
          <w:lang w:val="en-NZ" w:bidi="ar-SA"/>
        </w:rPr>
        <w:t xml:space="preserve"> nut compared with just over 40 percent for the richest rural households</w:t>
      </w:r>
      <w:r w:rsidR="000315C5">
        <w:rPr>
          <w:rFonts w:eastAsia="Calibri"/>
          <w:lang w:val="en-NZ" w:bidi="ar-SA"/>
        </w:rPr>
        <w:t xml:space="preserve"> (Jansen </w:t>
      </w:r>
      <w:r w:rsidR="009D0BBB">
        <w:rPr>
          <w:rFonts w:eastAsia="Times New Roman"/>
          <w:i/>
        </w:rPr>
        <w:t>et al.</w:t>
      </w:r>
      <w:r w:rsidR="009D0BBB">
        <w:rPr>
          <w:rFonts w:eastAsia="Times New Roman"/>
        </w:rPr>
        <w:t xml:space="preserve"> </w:t>
      </w:r>
      <w:r w:rsidR="000315C5">
        <w:rPr>
          <w:rFonts w:eastAsia="Calibri"/>
          <w:lang w:val="en-NZ" w:bidi="ar-SA"/>
        </w:rPr>
        <w:t>2006)</w:t>
      </w:r>
      <w:r>
        <w:rPr>
          <w:rFonts w:eastAsia="Calibri"/>
          <w:lang w:val="en-NZ" w:bidi="ar-SA"/>
        </w:rPr>
        <w:t xml:space="preserve">. To the extent that </w:t>
      </w:r>
      <w:proofErr w:type="spellStart"/>
      <w:r w:rsidR="000315C5">
        <w:rPr>
          <w:rFonts w:eastAsia="Calibri"/>
          <w:i/>
          <w:iCs/>
          <w:lang w:val="en-NZ" w:bidi="ar-SA"/>
        </w:rPr>
        <w:t>Canarium</w:t>
      </w:r>
      <w:proofErr w:type="spellEnd"/>
      <w:r w:rsidR="000315C5">
        <w:rPr>
          <w:rFonts w:eastAsia="Calibri"/>
          <w:i/>
          <w:iCs/>
          <w:lang w:val="en-NZ" w:bidi="ar-SA"/>
        </w:rPr>
        <w:t xml:space="preserve"> </w:t>
      </w:r>
      <w:r>
        <w:rPr>
          <w:rFonts w:eastAsia="Calibri"/>
          <w:lang w:val="en-NZ" w:bidi="ar-SA"/>
        </w:rPr>
        <w:t xml:space="preserve">trees are destroyed, even if inadvertently, by logging, it will induce an inequality-increasing </w:t>
      </w:r>
      <w:r w:rsidR="00770E69">
        <w:rPr>
          <w:rFonts w:eastAsia="Calibri"/>
          <w:lang w:val="en-NZ" w:bidi="ar-SA"/>
        </w:rPr>
        <w:t xml:space="preserve">shock to </w:t>
      </w:r>
      <w:r>
        <w:rPr>
          <w:rFonts w:eastAsia="Calibri"/>
          <w:lang w:val="en-NZ" w:bidi="ar-SA"/>
        </w:rPr>
        <w:t>environmental income.</w:t>
      </w:r>
      <w:r w:rsidR="00471DF1">
        <w:rPr>
          <w:rFonts w:eastAsia="Calibri"/>
          <w:lang w:val="en-NZ" w:bidi="ar-SA"/>
        </w:rPr>
        <w:t xml:space="preserve"> Similar effects are likely for water, since logging spoils streams and about one-fifth of households in the Solomon Islands </w:t>
      </w:r>
      <w:r w:rsidR="00761B57">
        <w:rPr>
          <w:rFonts w:eastAsia="Calibri"/>
          <w:lang w:val="en-NZ" w:bidi="ar-SA"/>
        </w:rPr>
        <w:t>drink from streams</w:t>
      </w:r>
      <w:r w:rsidR="00DE5FE3">
        <w:rPr>
          <w:rFonts w:eastAsia="Calibri"/>
          <w:lang w:val="en-NZ" w:bidi="ar-SA"/>
        </w:rPr>
        <w:t>, w</w:t>
      </w:r>
      <w:r w:rsidR="00471DF1">
        <w:rPr>
          <w:rFonts w:eastAsia="Calibri"/>
          <w:lang w:val="en-NZ" w:bidi="ar-SA"/>
        </w:rPr>
        <w:t>h</w:t>
      </w:r>
      <w:r w:rsidR="00DE5FE3">
        <w:rPr>
          <w:rFonts w:eastAsia="Calibri"/>
          <w:lang w:val="en-NZ" w:bidi="ar-SA"/>
        </w:rPr>
        <w:t>ile it tends to be</w:t>
      </w:r>
      <w:r w:rsidR="00471DF1">
        <w:rPr>
          <w:rFonts w:eastAsia="Calibri"/>
          <w:lang w:val="en-NZ" w:bidi="ar-SA"/>
        </w:rPr>
        <w:t xml:space="preserve"> only rich</w:t>
      </w:r>
      <w:r w:rsidR="00DE5FE3">
        <w:rPr>
          <w:rFonts w:eastAsia="Calibri"/>
          <w:lang w:val="en-NZ" w:bidi="ar-SA"/>
        </w:rPr>
        <w:t>er</w:t>
      </w:r>
      <w:r w:rsidR="00471DF1">
        <w:rPr>
          <w:rFonts w:eastAsia="Calibri"/>
          <w:lang w:val="en-NZ" w:bidi="ar-SA"/>
        </w:rPr>
        <w:t xml:space="preserve"> rur</w:t>
      </w:r>
      <w:r w:rsidR="00761B57">
        <w:rPr>
          <w:rFonts w:eastAsia="Calibri"/>
          <w:lang w:val="en-NZ" w:bidi="ar-SA"/>
        </w:rPr>
        <w:t xml:space="preserve">al households </w:t>
      </w:r>
      <w:r w:rsidR="00DE5FE3">
        <w:rPr>
          <w:rFonts w:eastAsia="Calibri"/>
          <w:lang w:val="en-NZ" w:bidi="ar-SA"/>
        </w:rPr>
        <w:t xml:space="preserve">that </w:t>
      </w:r>
      <w:r w:rsidR="00761B57">
        <w:rPr>
          <w:rFonts w:eastAsia="Calibri"/>
          <w:lang w:val="en-NZ" w:bidi="ar-SA"/>
        </w:rPr>
        <w:t>have</w:t>
      </w:r>
      <w:r w:rsidR="00471DF1">
        <w:rPr>
          <w:rFonts w:eastAsia="Calibri"/>
          <w:lang w:val="en-NZ" w:bidi="ar-SA"/>
        </w:rPr>
        <w:t xml:space="preserve"> an iron roof and water tank. </w:t>
      </w:r>
    </w:p>
    <w:p w14:paraId="00A483D7" w14:textId="77777777" w:rsidR="00ED4A8F" w:rsidRDefault="00ED4A8F" w:rsidP="001214AD">
      <w:pPr>
        <w:spacing w:line="288" w:lineRule="auto"/>
        <w:ind w:firstLine="720"/>
        <w:rPr>
          <w:rFonts w:eastAsia="Calibri"/>
          <w:lang w:val="en-NZ" w:bidi="ar-SA"/>
        </w:rPr>
      </w:pPr>
    </w:p>
    <w:p w14:paraId="6A6993A9" w14:textId="77777777" w:rsidR="00834D0D" w:rsidRPr="00834D0D" w:rsidRDefault="00834D0D" w:rsidP="001214AD">
      <w:pPr>
        <w:spacing w:line="288" w:lineRule="auto"/>
        <w:ind w:firstLine="720"/>
        <w:rPr>
          <w:rFonts w:eastAsia="Calibri"/>
          <w:sz w:val="12"/>
          <w:szCs w:val="12"/>
          <w:lang w:val="en-NZ" w:bidi="ar-SA"/>
        </w:rPr>
      </w:pPr>
    </w:p>
    <w:p w14:paraId="7DD52678" w14:textId="1C616A5D" w:rsidR="00F40C99" w:rsidRDefault="00932138" w:rsidP="00932138">
      <w:pPr>
        <w:spacing w:line="288" w:lineRule="auto"/>
        <w:rPr>
          <w:b/>
          <w:lang w:bidi="ar-SA"/>
        </w:rPr>
      </w:pPr>
      <w:r>
        <w:rPr>
          <w:b/>
          <w:lang w:bidi="ar-SA"/>
        </w:rPr>
        <w:t>3.  Data and Methods</w:t>
      </w:r>
    </w:p>
    <w:p w14:paraId="26C98789" w14:textId="77777777" w:rsidR="00932138" w:rsidRPr="00932138" w:rsidRDefault="00932138" w:rsidP="00932138">
      <w:pPr>
        <w:spacing w:line="288" w:lineRule="auto"/>
        <w:rPr>
          <w:b/>
          <w:sz w:val="12"/>
          <w:szCs w:val="12"/>
          <w:lang w:bidi="ar-SA"/>
        </w:rPr>
      </w:pPr>
    </w:p>
    <w:p w14:paraId="377DBECE" w14:textId="504DA2D0" w:rsidR="00232482" w:rsidRDefault="00AC717E" w:rsidP="00932138">
      <w:pPr>
        <w:spacing w:line="288" w:lineRule="auto"/>
        <w:rPr>
          <w:rFonts w:eastAsia="Calibri"/>
          <w:color w:val="000000"/>
        </w:rPr>
      </w:pPr>
      <w:r>
        <w:rPr>
          <w:rFonts w:eastAsia="Calibri"/>
          <w:color w:val="000000"/>
        </w:rPr>
        <w:t>In order to study t</w:t>
      </w:r>
      <w:r w:rsidR="00F40C99" w:rsidRPr="00AE2B4A">
        <w:rPr>
          <w:rFonts w:eastAsia="Calibri"/>
          <w:color w:val="000000"/>
        </w:rPr>
        <w:t xml:space="preserve">he </w:t>
      </w:r>
      <w:r>
        <w:rPr>
          <w:rFonts w:eastAsia="Calibri"/>
          <w:color w:val="000000"/>
        </w:rPr>
        <w:t xml:space="preserve">relationship between forest loss and subsequent inequality, two types of databases </w:t>
      </w:r>
      <w:proofErr w:type="gramStart"/>
      <w:r w:rsidR="00DF7A77">
        <w:rPr>
          <w:rFonts w:eastAsia="Calibri"/>
          <w:color w:val="000000"/>
        </w:rPr>
        <w:t>are needed</w:t>
      </w:r>
      <w:proofErr w:type="gramEnd"/>
      <w:r w:rsidR="00DF7A77">
        <w:rPr>
          <w:rFonts w:eastAsia="Calibri"/>
          <w:color w:val="000000"/>
        </w:rPr>
        <w:t xml:space="preserve">. The first </w:t>
      </w:r>
      <w:proofErr w:type="gramStart"/>
      <w:r w:rsidR="00DF7A77">
        <w:rPr>
          <w:rFonts w:eastAsia="Calibri"/>
          <w:color w:val="000000"/>
        </w:rPr>
        <w:t>i</w:t>
      </w:r>
      <w:r>
        <w:rPr>
          <w:rFonts w:eastAsia="Calibri"/>
          <w:color w:val="000000"/>
        </w:rPr>
        <w:t>s based</w:t>
      </w:r>
      <w:proofErr w:type="gramEnd"/>
      <w:r>
        <w:rPr>
          <w:rFonts w:eastAsia="Calibri"/>
          <w:color w:val="000000"/>
        </w:rPr>
        <w:t xml:space="preserve"> on remote sensing data, </w:t>
      </w:r>
      <w:r w:rsidR="00770E69">
        <w:rPr>
          <w:rFonts w:eastAsia="Calibri"/>
          <w:color w:val="000000"/>
        </w:rPr>
        <w:t>from</w:t>
      </w:r>
      <w:r>
        <w:rPr>
          <w:rFonts w:eastAsia="Calibri"/>
          <w:color w:val="000000"/>
        </w:rPr>
        <w:t xml:space="preserve"> a well-known data source in environmental e</w:t>
      </w:r>
      <w:r w:rsidR="00770E69">
        <w:rPr>
          <w:rFonts w:eastAsia="Calibri"/>
          <w:color w:val="000000"/>
        </w:rPr>
        <w:t xml:space="preserve">conomics. The second uses less familiar methods, and </w:t>
      </w:r>
      <w:proofErr w:type="gramStart"/>
      <w:r w:rsidR="00770E69">
        <w:rPr>
          <w:rFonts w:eastAsia="Calibri"/>
          <w:color w:val="000000"/>
        </w:rPr>
        <w:t>i</w:t>
      </w:r>
      <w:r>
        <w:rPr>
          <w:rFonts w:eastAsia="Calibri"/>
          <w:color w:val="000000"/>
        </w:rPr>
        <w:t>s needed</w:t>
      </w:r>
      <w:proofErr w:type="gramEnd"/>
      <w:r>
        <w:rPr>
          <w:rFonts w:eastAsia="Calibri"/>
          <w:color w:val="000000"/>
        </w:rPr>
        <w:t xml:space="preserve"> in order to derive welfare data –</w:t>
      </w:r>
      <w:r w:rsidR="00770E69">
        <w:rPr>
          <w:rFonts w:eastAsia="Calibri"/>
          <w:color w:val="000000"/>
        </w:rPr>
        <w:t xml:space="preserve"> </w:t>
      </w:r>
      <w:r>
        <w:rPr>
          <w:rFonts w:eastAsia="Calibri"/>
          <w:color w:val="000000"/>
        </w:rPr>
        <w:t>specifically inequality estimates – for small geographic areas that match the spatial scale of the remote sensing derived measures of forest loss.</w:t>
      </w:r>
    </w:p>
    <w:p w14:paraId="42627492" w14:textId="77777777" w:rsidR="00ED4A8F" w:rsidRDefault="00ED4A8F" w:rsidP="001214AD">
      <w:pPr>
        <w:spacing w:line="288" w:lineRule="auto"/>
        <w:ind w:firstLine="720"/>
        <w:rPr>
          <w:b/>
        </w:rPr>
      </w:pPr>
    </w:p>
    <w:p w14:paraId="43125331" w14:textId="6E0D844D" w:rsidR="00EC26A0" w:rsidRDefault="00D410B4" w:rsidP="001214AD">
      <w:pPr>
        <w:spacing w:line="288" w:lineRule="auto"/>
        <w:rPr>
          <w:b/>
          <w:iCs/>
          <w:lang w:bidi="ar-SA"/>
        </w:rPr>
      </w:pPr>
      <w:proofErr w:type="gramStart"/>
      <w:r w:rsidRPr="00834D0D">
        <w:rPr>
          <w:b/>
          <w:iCs/>
          <w:lang w:bidi="ar-SA"/>
        </w:rPr>
        <w:t>3</w:t>
      </w:r>
      <w:r w:rsidR="00834D0D">
        <w:rPr>
          <w:b/>
          <w:iCs/>
          <w:lang w:bidi="ar-SA"/>
        </w:rPr>
        <w:t xml:space="preserve">.1  </w:t>
      </w:r>
      <w:r w:rsidR="00300779" w:rsidRPr="00834D0D">
        <w:rPr>
          <w:b/>
          <w:iCs/>
          <w:lang w:bidi="ar-SA"/>
        </w:rPr>
        <w:t>Measuring</w:t>
      </w:r>
      <w:proofErr w:type="gramEnd"/>
      <w:r w:rsidR="00300779" w:rsidRPr="00834D0D">
        <w:rPr>
          <w:b/>
          <w:iCs/>
          <w:lang w:bidi="ar-SA"/>
        </w:rPr>
        <w:t xml:space="preserve"> Forest Change</w:t>
      </w:r>
    </w:p>
    <w:p w14:paraId="179961C8" w14:textId="77777777" w:rsidR="00834D0D" w:rsidRPr="00834D0D" w:rsidRDefault="00834D0D" w:rsidP="001214AD">
      <w:pPr>
        <w:spacing w:line="288" w:lineRule="auto"/>
        <w:rPr>
          <w:b/>
          <w:iCs/>
          <w:sz w:val="12"/>
          <w:szCs w:val="12"/>
          <w:lang w:bidi="ar-SA"/>
        </w:rPr>
      </w:pPr>
    </w:p>
    <w:p w14:paraId="24AACB40" w14:textId="13B40D52" w:rsidR="00300779" w:rsidRDefault="003C1D12" w:rsidP="00ED4A8F">
      <w:pPr>
        <w:spacing w:line="288" w:lineRule="auto"/>
        <w:rPr>
          <w:rFonts w:asciiTheme="majorBidi" w:hAnsiTheme="majorBidi" w:cstheme="majorBidi"/>
        </w:rPr>
      </w:pPr>
      <w:r>
        <w:rPr>
          <w:lang w:bidi="ar-SA"/>
        </w:rPr>
        <w:t xml:space="preserve">The </w:t>
      </w:r>
      <w:r w:rsidR="004528D0" w:rsidRPr="00166A2C">
        <w:rPr>
          <w:rFonts w:asciiTheme="majorBidi" w:hAnsiTheme="majorBidi" w:cstheme="majorBidi"/>
        </w:rPr>
        <w:t xml:space="preserve">data </w:t>
      </w:r>
      <w:r w:rsidR="004528D0">
        <w:rPr>
          <w:rFonts w:asciiTheme="majorBidi" w:hAnsiTheme="majorBidi" w:cstheme="majorBidi"/>
        </w:rPr>
        <w:t xml:space="preserve">on forests are </w:t>
      </w:r>
      <w:r w:rsidR="004528D0" w:rsidRPr="00166A2C">
        <w:rPr>
          <w:rFonts w:asciiTheme="majorBidi" w:hAnsiTheme="majorBidi" w:cstheme="majorBidi"/>
        </w:rPr>
        <w:t xml:space="preserve">from Hansen </w:t>
      </w:r>
      <w:r w:rsidR="00550AD9">
        <w:rPr>
          <w:rFonts w:eastAsia="Times New Roman"/>
          <w:i/>
        </w:rPr>
        <w:t>et al.</w:t>
      </w:r>
      <w:r w:rsidR="00550AD9">
        <w:rPr>
          <w:rFonts w:eastAsia="Times New Roman"/>
        </w:rPr>
        <w:t xml:space="preserve"> </w:t>
      </w:r>
      <w:r w:rsidR="004528D0" w:rsidRPr="00166A2C">
        <w:rPr>
          <w:rFonts w:asciiTheme="majorBidi" w:hAnsiTheme="majorBidi" w:cstheme="majorBidi"/>
        </w:rPr>
        <w:t xml:space="preserve">(2013), </w:t>
      </w:r>
      <w:r w:rsidR="0005038C">
        <w:rPr>
          <w:rFonts w:asciiTheme="majorBidi" w:hAnsiTheme="majorBidi" w:cstheme="majorBidi"/>
        </w:rPr>
        <w:t xml:space="preserve">and are based on </w:t>
      </w:r>
      <w:r w:rsidR="004528D0" w:rsidRPr="00166A2C">
        <w:rPr>
          <w:rFonts w:asciiTheme="majorBidi" w:hAnsiTheme="majorBidi" w:cstheme="majorBidi"/>
        </w:rPr>
        <w:t>Landsat 7 Enhanced Thematic Mapper Plus (ETM+) scenes from the growing season for each year from 2000 to 2012,</w:t>
      </w:r>
      <w:r w:rsidR="0005038C">
        <w:rPr>
          <w:rFonts w:asciiTheme="majorBidi" w:hAnsiTheme="majorBidi" w:cstheme="majorBidi"/>
        </w:rPr>
        <w:t xml:space="preserve"> </w:t>
      </w:r>
      <w:r w:rsidR="0005038C" w:rsidRPr="0005038C">
        <w:rPr>
          <w:rFonts w:asciiTheme="majorBidi" w:hAnsiTheme="majorBidi" w:cstheme="majorBidi"/>
          <w:lang w:val="en-NZ"/>
        </w:rPr>
        <w:t>at a spatial resolution of one arc-second</w:t>
      </w:r>
      <w:r w:rsidR="0005038C">
        <w:rPr>
          <w:rFonts w:asciiTheme="majorBidi" w:hAnsiTheme="majorBidi" w:cstheme="majorBidi"/>
          <w:lang w:val="en-NZ"/>
        </w:rPr>
        <w:t xml:space="preserve"> </w:t>
      </w:r>
      <w:r w:rsidR="0005038C" w:rsidRPr="0005038C">
        <w:rPr>
          <w:rFonts w:asciiTheme="majorBidi" w:hAnsiTheme="majorBidi" w:cstheme="majorBidi"/>
          <w:lang w:val="en-NZ"/>
        </w:rPr>
        <w:t>(about 30 meters at the equator)</w:t>
      </w:r>
      <w:r w:rsidR="004528D0">
        <w:rPr>
          <w:rFonts w:asciiTheme="majorBidi" w:hAnsiTheme="majorBidi" w:cstheme="majorBidi"/>
        </w:rPr>
        <w:t xml:space="preserve">. </w:t>
      </w:r>
      <w:proofErr w:type="gramStart"/>
      <w:r w:rsidR="0005038C">
        <w:rPr>
          <w:rFonts w:asciiTheme="majorBidi" w:hAnsiTheme="majorBidi" w:cstheme="majorBidi"/>
        </w:rPr>
        <w:t xml:space="preserve">In the Hansen et al data, </w:t>
      </w:r>
      <w:r w:rsidR="004528D0" w:rsidRPr="00166A2C">
        <w:rPr>
          <w:rFonts w:asciiTheme="majorBidi" w:hAnsiTheme="majorBidi" w:cstheme="majorBidi"/>
        </w:rPr>
        <w:t xml:space="preserve">forest loss </w:t>
      </w:r>
      <w:r w:rsidR="0005038C">
        <w:rPr>
          <w:rFonts w:asciiTheme="majorBidi" w:hAnsiTheme="majorBidi" w:cstheme="majorBidi"/>
        </w:rPr>
        <w:t xml:space="preserve">is defined </w:t>
      </w:r>
      <w:r w:rsidR="004528D0" w:rsidRPr="00166A2C">
        <w:rPr>
          <w:rFonts w:asciiTheme="majorBidi" w:hAnsiTheme="majorBidi" w:cstheme="majorBidi"/>
        </w:rPr>
        <w:t xml:space="preserve">as either the complete removal of cover canopy for vegetation taller than 5 meters (which is rare in the Solomon Islands) or stand-replacing disturbance, after which the </w:t>
      </w:r>
      <w:r w:rsidR="004528D0">
        <w:rPr>
          <w:rFonts w:asciiTheme="majorBidi" w:hAnsiTheme="majorBidi" w:cstheme="majorBidi"/>
        </w:rPr>
        <w:t xml:space="preserve">canopy </w:t>
      </w:r>
      <w:r w:rsidR="004528D0" w:rsidRPr="00166A2C">
        <w:rPr>
          <w:rFonts w:asciiTheme="majorBidi" w:hAnsiTheme="majorBidi" w:cstheme="majorBidi"/>
        </w:rPr>
        <w:t xml:space="preserve">composition likely </w:t>
      </w:r>
      <w:r w:rsidR="00770E69">
        <w:rPr>
          <w:rFonts w:asciiTheme="majorBidi" w:hAnsiTheme="majorBidi" w:cstheme="majorBidi"/>
        </w:rPr>
        <w:t xml:space="preserve">will have more </w:t>
      </w:r>
      <w:r w:rsidR="004528D0" w:rsidRPr="00166A2C">
        <w:rPr>
          <w:rFonts w:asciiTheme="majorBidi" w:hAnsiTheme="majorBidi" w:cstheme="majorBidi"/>
        </w:rPr>
        <w:t>shade-intolerant trees that provide fewer ecological benefits (this is the main form of forest change in the Solomon Islands).</w:t>
      </w:r>
      <w:proofErr w:type="gramEnd"/>
      <w:r w:rsidR="004528D0" w:rsidRPr="00166A2C">
        <w:rPr>
          <w:rFonts w:asciiTheme="majorBidi" w:hAnsiTheme="majorBidi" w:cstheme="majorBidi"/>
        </w:rPr>
        <w:t xml:space="preserve"> </w:t>
      </w:r>
      <w:r w:rsidR="009C5DF3">
        <w:rPr>
          <w:rFonts w:asciiTheme="majorBidi" w:hAnsiTheme="majorBidi" w:cstheme="majorBidi"/>
        </w:rPr>
        <w:t>T</w:t>
      </w:r>
      <w:r w:rsidR="009411DF">
        <w:rPr>
          <w:rFonts w:asciiTheme="majorBidi" w:hAnsiTheme="majorBidi" w:cstheme="majorBidi"/>
        </w:rPr>
        <w:t>hese data</w:t>
      </w:r>
      <w:r w:rsidR="009C5DF3">
        <w:rPr>
          <w:rFonts w:asciiTheme="majorBidi" w:hAnsiTheme="majorBidi" w:cstheme="majorBidi"/>
        </w:rPr>
        <w:t xml:space="preserve"> indicate that</w:t>
      </w:r>
      <w:r w:rsidR="0068406C">
        <w:rPr>
          <w:rFonts w:asciiTheme="majorBidi" w:hAnsiTheme="majorBidi" w:cstheme="majorBidi"/>
        </w:rPr>
        <w:t xml:space="preserve"> </w:t>
      </w:r>
      <w:r w:rsidR="004528D0">
        <w:rPr>
          <w:rFonts w:asciiTheme="majorBidi" w:hAnsiTheme="majorBidi" w:cstheme="majorBidi"/>
        </w:rPr>
        <w:t>2.2% of forest was lost in the Solomon Islands from 2000 to 2012</w:t>
      </w:r>
      <w:r w:rsidR="009C5DF3">
        <w:rPr>
          <w:rFonts w:asciiTheme="majorBidi" w:hAnsiTheme="majorBidi" w:cstheme="majorBidi"/>
        </w:rPr>
        <w:t>. There is</w:t>
      </w:r>
      <w:r w:rsidR="0068406C">
        <w:rPr>
          <w:rFonts w:asciiTheme="majorBidi" w:hAnsiTheme="majorBidi" w:cstheme="majorBidi"/>
        </w:rPr>
        <w:t xml:space="preserve"> a skew in the distribution</w:t>
      </w:r>
      <w:r w:rsidR="00F17881">
        <w:rPr>
          <w:rFonts w:asciiTheme="majorBidi" w:hAnsiTheme="majorBidi" w:cstheme="majorBidi"/>
        </w:rPr>
        <w:t xml:space="preserve">; </w:t>
      </w:r>
      <w:r w:rsidR="0068406C">
        <w:rPr>
          <w:rFonts w:asciiTheme="majorBidi" w:hAnsiTheme="majorBidi" w:cstheme="majorBidi"/>
        </w:rPr>
        <w:t>the median rural ward lost only 1.5% of their forest cover</w:t>
      </w:r>
      <w:r w:rsidR="009C5DF3">
        <w:rPr>
          <w:rFonts w:asciiTheme="majorBidi" w:hAnsiTheme="majorBidi" w:cstheme="majorBidi"/>
        </w:rPr>
        <w:t xml:space="preserve"> whereas </w:t>
      </w:r>
      <w:r w:rsidR="00F17881">
        <w:rPr>
          <w:rFonts w:asciiTheme="majorBidi" w:hAnsiTheme="majorBidi" w:cstheme="majorBidi"/>
        </w:rPr>
        <w:t xml:space="preserve">up to one-fifth of forest cover was lost </w:t>
      </w:r>
      <w:r w:rsidR="009C5DF3">
        <w:rPr>
          <w:rFonts w:asciiTheme="majorBidi" w:hAnsiTheme="majorBidi" w:cstheme="majorBidi"/>
        </w:rPr>
        <w:t>in</w:t>
      </w:r>
      <w:r w:rsidR="0068406C">
        <w:rPr>
          <w:rFonts w:asciiTheme="majorBidi" w:hAnsiTheme="majorBidi" w:cstheme="majorBidi"/>
        </w:rPr>
        <w:t xml:space="preserve"> the most badly affected wards.</w:t>
      </w:r>
    </w:p>
    <w:p w14:paraId="5A3C6035" w14:textId="1246C412" w:rsidR="00652C19" w:rsidRDefault="009C5DF3" w:rsidP="001214AD">
      <w:pPr>
        <w:spacing w:line="288" w:lineRule="auto"/>
        <w:ind w:firstLine="720"/>
        <w:rPr>
          <w:lang w:bidi="ar-SA"/>
        </w:rPr>
      </w:pPr>
      <w:r>
        <w:rPr>
          <w:lang w:bidi="ar-SA"/>
        </w:rPr>
        <w:lastRenderedPageBreak/>
        <w:t xml:space="preserve">The areas of greatest forest loss are concentrated on Western Province, although some smaller islands of that province had much lower loss rates (Figure 2). There are also high rates of forest loss in areas of Guadalcanal, to the east of the capital city, Honiara. Several of the main islands show a diversity of loss rates, which serves as a caution against carrying out a more aggregated analysis (say, at the provincial level) that may tend to average over some </w:t>
      </w:r>
      <w:r w:rsidR="00770E69">
        <w:rPr>
          <w:lang w:bidi="ar-SA"/>
        </w:rPr>
        <w:t xml:space="preserve">dissimilar </w:t>
      </w:r>
      <w:r w:rsidR="00650ABF">
        <w:rPr>
          <w:lang w:bidi="ar-SA"/>
        </w:rPr>
        <w:t xml:space="preserve">experiences </w:t>
      </w:r>
      <w:r w:rsidR="00770E69">
        <w:rPr>
          <w:lang w:bidi="ar-SA"/>
        </w:rPr>
        <w:t>and possibly</w:t>
      </w:r>
      <w:r>
        <w:rPr>
          <w:lang w:bidi="ar-SA"/>
        </w:rPr>
        <w:t xml:space="preserve"> disguise any causal relationships.</w:t>
      </w:r>
    </w:p>
    <w:p w14:paraId="7C405A7A" w14:textId="77777777" w:rsidR="00F73D75" w:rsidRPr="007660A6" w:rsidRDefault="00F73D75" w:rsidP="00650ABF">
      <w:pPr>
        <w:spacing w:line="480" w:lineRule="auto"/>
        <w:ind w:firstLine="720"/>
        <w:rPr>
          <w:sz w:val="20"/>
          <w:szCs w:val="20"/>
          <w:lang w:bidi="ar-SA"/>
        </w:rPr>
      </w:pPr>
    </w:p>
    <w:p w14:paraId="3A579C1E" w14:textId="77777777" w:rsidR="00834D0D" w:rsidRDefault="00F73D75" w:rsidP="00834D0D">
      <w:pPr>
        <w:ind w:left="720" w:hanging="720"/>
        <w:jc w:val="center"/>
        <w:rPr>
          <w:rFonts w:eastAsia="Times New Roman"/>
          <w:b/>
          <w:sz w:val="22"/>
          <w:lang w:bidi="ar-SA"/>
        </w:rPr>
      </w:pPr>
      <w:r w:rsidRPr="00834D0D">
        <w:rPr>
          <w:rFonts w:eastAsia="Times New Roman"/>
          <w:b/>
          <w:sz w:val="22"/>
          <w:lang w:bidi="ar-SA"/>
        </w:rPr>
        <w:t xml:space="preserve">Figure 2: Locations of Forest Loss from 2000 to 2012 </w:t>
      </w:r>
    </w:p>
    <w:p w14:paraId="558E24A0" w14:textId="7CD80BE6" w:rsidR="00F73D75" w:rsidRPr="00834D0D" w:rsidRDefault="00F73D75" w:rsidP="00834D0D">
      <w:pPr>
        <w:ind w:left="720" w:hanging="720"/>
        <w:jc w:val="center"/>
        <w:rPr>
          <w:rFonts w:eastAsia="Times New Roman"/>
          <w:sz w:val="22"/>
          <w:lang w:bidi="ar-SA"/>
        </w:rPr>
      </w:pPr>
      <w:r w:rsidRPr="00834D0D">
        <w:rPr>
          <w:rFonts w:eastAsia="Times New Roman"/>
          <w:sz w:val="22"/>
          <w:lang w:bidi="ar-SA"/>
        </w:rPr>
        <w:t xml:space="preserve">Based on Hansen </w:t>
      </w:r>
      <w:r w:rsidR="00834D0D">
        <w:rPr>
          <w:rFonts w:eastAsia="Times New Roman"/>
          <w:i/>
          <w:sz w:val="22"/>
          <w:lang w:bidi="ar-SA"/>
        </w:rPr>
        <w:t>et al.</w:t>
      </w:r>
      <w:r w:rsidRPr="00834D0D">
        <w:rPr>
          <w:rFonts w:eastAsia="Times New Roman"/>
          <w:sz w:val="22"/>
          <w:lang w:bidi="ar-SA"/>
        </w:rPr>
        <w:t xml:space="preserve"> (2013)</w:t>
      </w:r>
    </w:p>
    <w:p w14:paraId="4920003E" w14:textId="77777777" w:rsidR="00F73D75" w:rsidRPr="00B52931" w:rsidRDefault="00F73D75" w:rsidP="00F73D75">
      <w:pPr>
        <w:spacing w:after="120"/>
        <w:ind w:left="720" w:hanging="720"/>
        <w:jc w:val="center"/>
        <w:rPr>
          <w:rFonts w:eastAsia="Times New Roman"/>
          <w:sz w:val="22"/>
          <w:lang w:bidi="ar-SA"/>
        </w:rPr>
      </w:pPr>
      <w:r w:rsidRPr="007F2AD0">
        <w:rPr>
          <w:rFonts w:eastAsia="Times New Roman"/>
          <w:noProof/>
          <w:sz w:val="22"/>
          <w:lang w:val="en-NZ" w:eastAsia="en-NZ" w:bidi="ar-SA"/>
        </w:rPr>
        <w:drawing>
          <wp:inline distT="0" distB="0" distL="0" distR="0" wp14:anchorId="218DCA79" wp14:editId="4BF135FF">
            <wp:extent cx="5943600" cy="4206483"/>
            <wp:effectExtent l="0" t="0" r="0" b="38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9075" cy="4210358"/>
                    </a:xfrm>
                    <a:prstGeom prst="rect">
                      <a:avLst/>
                    </a:prstGeom>
                  </pic:spPr>
                </pic:pic>
              </a:graphicData>
            </a:graphic>
          </wp:inline>
        </w:drawing>
      </w:r>
    </w:p>
    <w:p w14:paraId="6BB61680" w14:textId="7FB16494" w:rsidR="00F73D75" w:rsidRDefault="00F73D75" w:rsidP="001657D0">
      <w:pPr>
        <w:rPr>
          <w:rFonts w:eastAsia="Times New Roman"/>
          <w:i/>
          <w:sz w:val="20"/>
          <w:lang w:bidi="ar-SA"/>
        </w:rPr>
      </w:pPr>
      <w:r w:rsidRPr="00DF5B45">
        <w:rPr>
          <w:rFonts w:eastAsia="Times New Roman"/>
          <w:i/>
          <w:sz w:val="20"/>
          <w:lang w:bidi="ar-SA"/>
        </w:rPr>
        <w:t>Note</w:t>
      </w:r>
      <w:r w:rsidR="002C610A">
        <w:rPr>
          <w:rFonts w:eastAsia="Times New Roman"/>
          <w:i/>
          <w:sz w:val="20"/>
          <w:lang w:bidi="ar-SA"/>
        </w:rPr>
        <w:t>s</w:t>
      </w:r>
      <w:r w:rsidRPr="00DF5B45">
        <w:rPr>
          <w:rFonts w:eastAsia="Times New Roman"/>
          <w:i/>
          <w:sz w:val="20"/>
          <w:lang w:bidi="ar-SA"/>
        </w:rPr>
        <w:t xml:space="preserve">: </w:t>
      </w:r>
      <w:proofErr w:type="spellStart"/>
      <w:r>
        <w:rPr>
          <w:rFonts w:eastAsia="Times New Roman"/>
          <w:sz w:val="20"/>
          <w:lang w:bidi="ar-SA"/>
        </w:rPr>
        <w:t>Temotu</w:t>
      </w:r>
      <w:proofErr w:type="spellEnd"/>
      <w:r>
        <w:rPr>
          <w:rFonts w:eastAsia="Times New Roman"/>
          <w:sz w:val="20"/>
          <w:lang w:bidi="ar-SA"/>
        </w:rPr>
        <w:t xml:space="preserve"> </w:t>
      </w:r>
      <w:proofErr w:type="gramStart"/>
      <w:r>
        <w:rPr>
          <w:rFonts w:eastAsia="Times New Roman"/>
          <w:sz w:val="20"/>
          <w:lang w:bidi="ar-SA"/>
        </w:rPr>
        <w:t>is shown</w:t>
      </w:r>
      <w:proofErr w:type="gramEnd"/>
      <w:r>
        <w:rPr>
          <w:rFonts w:eastAsia="Times New Roman"/>
          <w:sz w:val="20"/>
          <w:lang w:bidi="ar-SA"/>
        </w:rPr>
        <w:t xml:space="preserve"> at correct scale but moved ca. 450 km to fit into the map frame and allow a larger overall map scale. Names on the map are for provinces, and the location of the capital city </w:t>
      </w:r>
      <w:proofErr w:type="gramStart"/>
      <w:r>
        <w:rPr>
          <w:rFonts w:eastAsia="Times New Roman"/>
          <w:sz w:val="20"/>
          <w:lang w:bidi="ar-SA"/>
        </w:rPr>
        <w:t>is also</w:t>
      </w:r>
      <w:proofErr w:type="gramEnd"/>
      <w:r>
        <w:rPr>
          <w:rFonts w:eastAsia="Times New Roman"/>
          <w:sz w:val="20"/>
          <w:lang w:bidi="ar-SA"/>
        </w:rPr>
        <w:t xml:space="preserve"> shown.</w:t>
      </w:r>
    </w:p>
    <w:p w14:paraId="438A0D62" w14:textId="77777777" w:rsidR="00F73D75" w:rsidRDefault="00F73D75" w:rsidP="00F73D75">
      <w:pPr>
        <w:spacing w:before="40"/>
        <w:ind w:left="720" w:hanging="720"/>
        <w:jc w:val="left"/>
        <w:rPr>
          <w:rFonts w:eastAsia="Times New Roman"/>
          <w:sz w:val="20"/>
          <w:lang w:bidi="ar-SA"/>
        </w:rPr>
      </w:pPr>
    </w:p>
    <w:p w14:paraId="0C6E0EDD" w14:textId="77777777" w:rsidR="001657D0" w:rsidRDefault="001657D0" w:rsidP="00F73D75">
      <w:pPr>
        <w:spacing w:before="40"/>
        <w:ind w:left="720" w:hanging="720"/>
        <w:jc w:val="left"/>
        <w:rPr>
          <w:rFonts w:eastAsia="Times New Roman"/>
          <w:sz w:val="20"/>
          <w:lang w:bidi="ar-SA"/>
        </w:rPr>
      </w:pPr>
    </w:p>
    <w:p w14:paraId="670E2688" w14:textId="26F4C053" w:rsidR="008E4084" w:rsidRPr="00834D0D" w:rsidRDefault="00BB5678" w:rsidP="001214AD">
      <w:pPr>
        <w:keepNext/>
        <w:widowControl w:val="0"/>
        <w:spacing w:line="288" w:lineRule="auto"/>
        <w:rPr>
          <w:b/>
        </w:rPr>
      </w:pPr>
      <w:r w:rsidRPr="00834D0D">
        <w:rPr>
          <w:b/>
          <w:iCs/>
        </w:rPr>
        <w:t>3.2</w:t>
      </w:r>
      <w:r w:rsidR="00034CE9" w:rsidRPr="00834D0D">
        <w:rPr>
          <w:b/>
          <w:iCs/>
        </w:rPr>
        <w:tab/>
      </w:r>
      <w:proofErr w:type="gramStart"/>
      <w:r w:rsidR="00034CE9" w:rsidRPr="00834D0D">
        <w:rPr>
          <w:b/>
          <w:iCs/>
        </w:rPr>
        <w:t>Surve</w:t>
      </w:r>
      <w:r w:rsidR="00770E69" w:rsidRPr="00834D0D">
        <w:rPr>
          <w:b/>
          <w:iCs/>
        </w:rPr>
        <w:t>y-</w:t>
      </w:r>
      <w:proofErr w:type="gramEnd"/>
      <w:r w:rsidR="00770E69" w:rsidRPr="00834D0D">
        <w:rPr>
          <w:b/>
          <w:iCs/>
        </w:rPr>
        <w:t>to-</w:t>
      </w:r>
      <w:r w:rsidR="00300779" w:rsidRPr="00834D0D">
        <w:rPr>
          <w:b/>
          <w:iCs/>
        </w:rPr>
        <w:t>Census Imputation for Measuring Small-Area Inequality</w:t>
      </w:r>
    </w:p>
    <w:p w14:paraId="074D7F3A" w14:textId="77777777" w:rsidR="00834D0D" w:rsidRPr="00834D0D" w:rsidRDefault="00834D0D" w:rsidP="001214AD">
      <w:pPr>
        <w:autoSpaceDE w:val="0"/>
        <w:autoSpaceDN w:val="0"/>
        <w:adjustRightInd w:val="0"/>
        <w:spacing w:line="288" w:lineRule="auto"/>
        <w:ind w:firstLine="720"/>
        <w:rPr>
          <w:rFonts w:asciiTheme="majorBidi" w:hAnsiTheme="majorBidi" w:cstheme="majorBidi"/>
          <w:sz w:val="12"/>
          <w:szCs w:val="12"/>
        </w:rPr>
      </w:pPr>
    </w:p>
    <w:p w14:paraId="2BAE67FA" w14:textId="716514E7" w:rsidR="007D3D43" w:rsidRDefault="00FC1801" w:rsidP="00834D0D">
      <w:pPr>
        <w:autoSpaceDE w:val="0"/>
        <w:autoSpaceDN w:val="0"/>
        <w:adjustRightInd w:val="0"/>
        <w:spacing w:line="288" w:lineRule="auto"/>
        <w:rPr>
          <w:rFonts w:asciiTheme="majorBidi" w:hAnsiTheme="majorBidi" w:cstheme="majorBidi"/>
        </w:rPr>
      </w:pPr>
      <w:r>
        <w:rPr>
          <w:rFonts w:asciiTheme="majorBidi" w:hAnsiTheme="majorBidi" w:cstheme="majorBidi"/>
        </w:rPr>
        <w:t xml:space="preserve">The inequality data </w:t>
      </w:r>
      <w:proofErr w:type="gramStart"/>
      <w:r>
        <w:rPr>
          <w:rFonts w:asciiTheme="majorBidi" w:hAnsiTheme="majorBidi" w:cstheme="majorBidi"/>
        </w:rPr>
        <w:t>are derived</w:t>
      </w:r>
      <w:proofErr w:type="gramEnd"/>
      <w:r>
        <w:rPr>
          <w:rFonts w:asciiTheme="majorBidi" w:hAnsiTheme="majorBidi" w:cstheme="majorBidi"/>
        </w:rPr>
        <w:t xml:space="preserve"> from the </w:t>
      </w:r>
      <w:r w:rsidRPr="00FC1801">
        <w:rPr>
          <w:rFonts w:asciiTheme="majorBidi" w:hAnsiTheme="majorBidi" w:cstheme="majorBidi"/>
        </w:rPr>
        <w:t>2012/13 Solomon Islands Household Income and Expenditure Survey (HIES) whose sample of 4500 households was almost five percent of all households in the country.</w:t>
      </w:r>
      <w:r>
        <w:rPr>
          <w:rFonts w:asciiTheme="majorBidi" w:hAnsiTheme="majorBidi" w:cstheme="majorBidi"/>
        </w:rPr>
        <w:t xml:space="preserve"> </w:t>
      </w:r>
      <w:r w:rsidR="000B2F24">
        <w:rPr>
          <w:rFonts w:asciiTheme="majorBidi" w:hAnsiTheme="majorBidi" w:cstheme="majorBidi"/>
        </w:rPr>
        <w:t xml:space="preserve">The survey ran from October 2012 to November 2013 so it </w:t>
      </w:r>
      <w:proofErr w:type="gramStart"/>
      <w:r w:rsidR="000B2F24">
        <w:rPr>
          <w:rFonts w:asciiTheme="majorBidi" w:hAnsiTheme="majorBidi" w:cstheme="majorBidi"/>
        </w:rPr>
        <w:t>is referred</w:t>
      </w:r>
      <w:proofErr w:type="gramEnd"/>
      <w:r w:rsidR="000B2F24">
        <w:rPr>
          <w:rFonts w:asciiTheme="majorBidi" w:hAnsiTheme="majorBidi" w:cstheme="majorBidi"/>
        </w:rPr>
        <w:t xml:space="preserve"> to here as measuring welfare in 2013. </w:t>
      </w:r>
      <w:r>
        <w:rPr>
          <w:rFonts w:asciiTheme="majorBidi" w:hAnsiTheme="majorBidi" w:cstheme="majorBidi"/>
        </w:rPr>
        <w:t>E</w:t>
      </w:r>
      <w:r w:rsidRPr="00FC1801">
        <w:rPr>
          <w:rFonts w:asciiTheme="majorBidi" w:hAnsiTheme="majorBidi" w:cstheme="majorBidi"/>
        </w:rPr>
        <w:t xml:space="preserve">ven with this sample </w:t>
      </w:r>
      <w:proofErr w:type="gramStart"/>
      <w:r w:rsidRPr="00FC1801">
        <w:rPr>
          <w:rFonts w:asciiTheme="majorBidi" w:hAnsiTheme="majorBidi" w:cstheme="majorBidi"/>
        </w:rPr>
        <w:t>coverage</w:t>
      </w:r>
      <w:proofErr w:type="gramEnd"/>
      <w:r w:rsidRPr="00FC1801">
        <w:rPr>
          <w:rFonts w:asciiTheme="majorBidi" w:hAnsiTheme="majorBidi" w:cstheme="majorBidi"/>
        </w:rPr>
        <w:t xml:space="preserve"> </w:t>
      </w:r>
      <w:r w:rsidR="0047003B">
        <w:rPr>
          <w:rFonts w:asciiTheme="majorBidi" w:hAnsiTheme="majorBidi" w:cstheme="majorBidi"/>
        </w:rPr>
        <w:t xml:space="preserve">the </w:t>
      </w:r>
      <w:r w:rsidRPr="00FC1801">
        <w:rPr>
          <w:rFonts w:asciiTheme="majorBidi" w:hAnsiTheme="majorBidi" w:cstheme="majorBidi"/>
        </w:rPr>
        <w:t xml:space="preserve">inequality estimates </w:t>
      </w:r>
      <w:r w:rsidR="0047003B">
        <w:rPr>
          <w:rFonts w:asciiTheme="majorBidi" w:hAnsiTheme="majorBidi" w:cstheme="majorBidi"/>
        </w:rPr>
        <w:t xml:space="preserve">for real per capita consumption </w:t>
      </w:r>
      <w:r>
        <w:rPr>
          <w:rFonts w:asciiTheme="majorBidi" w:hAnsiTheme="majorBidi" w:cstheme="majorBidi"/>
        </w:rPr>
        <w:t xml:space="preserve">were only reported </w:t>
      </w:r>
      <w:r w:rsidRPr="00FC1801">
        <w:rPr>
          <w:rFonts w:asciiTheme="majorBidi" w:hAnsiTheme="majorBidi" w:cstheme="majorBidi"/>
        </w:rPr>
        <w:t xml:space="preserve">at the provincial level, </w:t>
      </w:r>
      <w:r w:rsidR="00770E69">
        <w:rPr>
          <w:rFonts w:asciiTheme="majorBidi" w:hAnsiTheme="majorBidi" w:cstheme="majorBidi"/>
        </w:rPr>
        <w:t xml:space="preserve">with the Gini index </w:t>
      </w:r>
      <w:r w:rsidR="00A156DF">
        <w:rPr>
          <w:rFonts w:asciiTheme="majorBidi" w:hAnsiTheme="majorBidi" w:cstheme="majorBidi"/>
        </w:rPr>
        <w:t>varying</w:t>
      </w:r>
      <w:r w:rsidR="0047003B">
        <w:rPr>
          <w:rFonts w:asciiTheme="majorBidi" w:hAnsiTheme="majorBidi" w:cstheme="majorBidi"/>
        </w:rPr>
        <w:t xml:space="preserve"> from 0.25 to 0.39 across the nine provinces. In terms of precision, </w:t>
      </w:r>
      <w:r w:rsidRPr="00FC1801">
        <w:rPr>
          <w:rFonts w:asciiTheme="majorBidi" w:hAnsiTheme="majorBidi" w:cstheme="majorBidi"/>
        </w:rPr>
        <w:t>standard error</w:t>
      </w:r>
      <w:r w:rsidR="0047003B">
        <w:rPr>
          <w:rFonts w:asciiTheme="majorBidi" w:hAnsiTheme="majorBidi" w:cstheme="majorBidi"/>
        </w:rPr>
        <w:t>s</w:t>
      </w:r>
      <w:r w:rsidRPr="00FC1801">
        <w:rPr>
          <w:rFonts w:asciiTheme="majorBidi" w:hAnsiTheme="majorBidi" w:cstheme="majorBidi"/>
        </w:rPr>
        <w:t xml:space="preserve"> </w:t>
      </w:r>
      <w:r w:rsidR="00627409">
        <w:rPr>
          <w:rFonts w:asciiTheme="majorBidi" w:hAnsiTheme="majorBidi" w:cstheme="majorBidi"/>
        </w:rPr>
        <w:t>ranged from 5.2</w:t>
      </w:r>
      <w:r w:rsidR="0047003B">
        <w:rPr>
          <w:rFonts w:asciiTheme="majorBidi" w:hAnsiTheme="majorBidi" w:cstheme="majorBidi"/>
        </w:rPr>
        <w:t>% to 11.1</w:t>
      </w:r>
      <w:proofErr w:type="gramStart"/>
      <w:r w:rsidR="0047003B">
        <w:rPr>
          <w:rFonts w:asciiTheme="majorBidi" w:hAnsiTheme="majorBidi" w:cstheme="majorBidi"/>
        </w:rPr>
        <w:t xml:space="preserve">% </w:t>
      </w:r>
      <w:r w:rsidRPr="00FC1801">
        <w:rPr>
          <w:rFonts w:asciiTheme="majorBidi" w:hAnsiTheme="majorBidi" w:cstheme="majorBidi"/>
        </w:rPr>
        <w:t xml:space="preserve"> </w:t>
      </w:r>
      <w:r w:rsidR="0047003B">
        <w:rPr>
          <w:rFonts w:asciiTheme="majorBidi" w:hAnsiTheme="majorBidi" w:cstheme="majorBidi"/>
        </w:rPr>
        <w:t>of</w:t>
      </w:r>
      <w:proofErr w:type="gramEnd"/>
      <w:r w:rsidR="0047003B">
        <w:rPr>
          <w:rFonts w:asciiTheme="majorBidi" w:hAnsiTheme="majorBidi" w:cstheme="majorBidi"/>
        </w:rPr>
        <w:t xml:space="preserve"> the value of the </w:t>
      </w:r>
      <w:r w:rsidR="00770E69">
        <w:rPr>
          <w:rFonts w:asciiTheme="majorBidi" w:hAnsiTheme="majorBidi" w:cstheme="majorBidi"/>
        </w:rPr>
        <w:t xml:space="preserve">Gini </w:t>
      </w:r>
      <w:r w:rsidR="0047003B">
        <w:rPr>
          <w:rFonts w:asciiTheme="majorBidi" w:hAnsiTheme="majorBidi" w:cstheme="majorBidi"/>
        </w:rPr>
        <w:t xml:space="preserve">index, </w:t>
      </w:r>
      <w:r w:rsidR="00627409">
        <w:rPr>
          <w:rFonts w:asciiTheme="majorBidi" w:hAnsiTheme="majorBidi" w:cstheme="majorBidi"/>
        </w:rPr>
        <w:t>with a mean relative standard error of 7.5%.</w:t>
      </w:r>
      <w:r w:rsidRPr="00FC1801">
        <w:rPr>
          <w:rFonts w:asciiTheme="majorBidi" w:hAnsiTheme="majorBidi" w:cstheme="majorBidi"/>
        </w:rPr>
        <w:t xml:space="preserve"> </w:t>
      </w:r>
    </w:p>
    <w:p w14:paraId="432D7343" w14:textId="04F63A7B" w:rsidR="0047003B" w:rsidRDefault="007D3D43" w:rsidP="001214AD">
      <w:pPr>
        <w:autoSpaceDE w:val="0"/>
        <w:autoSpaceDN w:val="0"/>
        <w:adjustRightInd w:val="0"/>
        <w:spacing w:line="288" w:lineRule="auto"/>
        <w:ind w:firstLine="720"/>
        <w:rPr>
          <w:rFonts w:asciiTheme="majorBidi" w:hAnsiTheme="majorBidi" w:cstheme="majorBidi"/>
        </w:rPr>
      </w:pPr>
      <w:r>
        <w:rPr>
          <w:rFonts w:asciiTheme="majorBidi" w:hAnsiTheme="majorBidi" w:cstheme="majorBidi"/>
        </w:rPr>
        <w:lastRenderedPageBreak/>
        <w:t>The HIES is not designed to be representative of wards, and only 144</w:t>
      </w:r>
      <w:r w:rsidR="00DF7A77">
        <w:rPr>
          <w:rFonts w:asciiTheme="majorBidi" w:hAnsiTheme="majorBidi" w:cstheme="majorBidi"/>
        </w:rPr>
        <w:t xml:space="preserve"> of </w:t>
      </w:r>
      <w:r w:rsidR="00FC1801">
        <w:rPr>
          <w:rFonts w:asciiTheme="majorBidi" w:hAnsiTheme="majorBidi" w:cstheme="majorBidi"/>
        </w:rPr>
        <w:t>168 rural wards</w:t>
      </w:r>
      <w:r w:rsidR="0047003B">
        <w:rPr>
          <w:rFonts w:asciiTheme="majorBidi" w:hAnsiTheme="majorBidi" w:cstheme="majorBidi"/>
        </w:rPr>
        <w:t xml:space="preserve"> </w:t>
      </w:r>
      <w:r w:rsidR="00DF7A77">
        <w:rPr>
          <w:rFonts w:asciiTheme="majorBidi" w:hAnsiTheme="majorBidi" w:cstheme="majorBidi"/>
        </w:rPr>
        <w:t xml:space="preserve">are </w:t>
      </w:r>
      <w:r w:rsidR="0047003B">
        <w:rPr>
          <w:rFonts w:asciiTheme="majorBidi" w:hAnsiTheme="majorBidi" w:cstheme="majorBidi"/>
        </w:rPr>
        <w:t>in the HIES sample</w:t>
      </w:r>
      <w:r>
        <w:rPr>
          <w:rFonts w:asciiTheme="majorBidi" w:hAnsiTheme="majorBidi" w:cstheme="majorBidi"/>
        </w:rPr>
        <w:t>.</w:t>
      </w:r>
      <w:r w:rsidR="00DF7A77">
        <w:rPr>
          <w:rFonts w:asciiTheme="majorBidi" w:hAnsiTheme="majorBidi" w:cstheme="majorBidi"/>
        </w:rPr>
        <w:t xml:space="preserve"> T</w:t>
      </w:r>
      <w:r>
        <w:rPr>
          <w:rFonts w:asciiTheme="majorBidi" w:hAnsiTheme="majorBidi" w:cstheme="majorBidi"/>
        </w:rPr>
        <w:t xml:space="preserve">he number of surveyed households per ward ranged from </w:t>
      </w:r>
      <w:proofErr w:type="gramStart"/>
      <w:r>
        <w:rPr>
          <w:rFonts w:asciiTheme="majorBidi" w:hAnsiTheme="majorBidi" w:cstheme="majorBidi"/>
        </w:rPr>
        <w:t>7</w:t>
      </w:r>
      <w:proofErr w:type="gramEnd"/>
      <w:r>
        <w:rPr>
          <w:rFonts w:asciiTheme="majorBidi" w:hAnsiTheme="majorBidi" w:cstheme="majorBidi"/>
        </w:rPr>
        <w:t xml:space="preserve"> to 72, with a mean of 22</w:t>
      </w:r>
      <w:r w:rsidR="0047003B">
        <w:rPr>
          <w:rFonts w:asciiTheme="majorBidi" w:hAnsiTheme="majorBidi" w:cstheme="majorBidi"/>
        </w:rPr>
        <w:t xml:space="preserve">, </w:t>
      </w:r>
      <w:r w:rsidR="00627409">
        <w:rPr>
          <w:rFonts w:asciiTheme="majorBidi" w:hAnsiTheme="majorBidi" w:cstheme="majorBidi"/>
        </w:rPr>
        <w:t>so it is im</w:t>
      </w:r>
      <w:r>
        <w:rPr>
          <w:rFonts w:asciiTheme="majorBidi" w:hAnsiTheme="majorBidi" w:cstheme="majorBidi"/>
        </w:rPr>
        <w:t xml:space="preserve">possible to directly use the survey to get ward-level results. </w:t>
      </w:r>
      <w:r w:rsidR="00DF7A77">
        <w:rPr>
          <w:rFonts w:asciiTheme="majorBidi" w:hAnsiTheme="majorBidi" w:cstheme="majorBidi"/>
        </w:rPr>
        <w:t>B</w:t>
      </w:r>
      <w:r w:rsidR="00627409">
        <w:rPr>
          <w:rFonts w:asciiTheme="majorBidi" w:hAnsiTheme="majorBidi" w:cstheme="majorBidi"/>
        </w:rPr>
        <w:t xml:space="preserve">y way of illustration, even </w:t>
      </w:r>
      <w:r w:rsidR="00DF7A77">
        <w:rPr>
          <w:rFonts w:asciiTheme="majorBidi" w:hAnsiTheme="majorBidi" w:cstheme="majorBidi"/>
        </w:rPr>
        <w:t xml:space="preserve">restricting </w:t>
      </w:r>
      <w:r w:rsidR="00627409">
        <w:rPr>
          <w:rFonts w:asciiTheme="majorBidi" w:hAnsiTheme="majorBidi" w:cstheme="majorBidi"/>
        </w:rPr>
        <w:t xml:space="preserve">attention to wards with more than 30 surveyed households, in the hope that this might be enough sample for calculating representative inequality statistics, </w:t>
      </w:r>
      <w:r w:rsidR="0047003B">
        <w:rPr>
          <w:rFonts w:asciiTheme="majorBidi" w:hAnsiTheme="majorBidi" w:cstheme="majorBidi"/>
        </w:rPr>
        <w:t xml:space="preserve">the standard errors of </w:t>
      </w:r>
      <w:r w:rsidR="00627409">
        <w:rPr>
          <w:rFonts w:asciiTheme="majorBidi" w:hAnsiTheme="majorBidi" w:cstheme="majorBidi"/>
        </w:rPr>
        <w:t xml:space="preserve">these </w:t>
      </w:r>
      <w:r w:rsidR="0047003B">
        <w:rPr>
          <w:rFonts w:asciiTheme="majorBidi" w:hAnsiTheme="majorBidi" w:cstheme="majorBidi"/>
        </w:rPr>
        <w:t xml:space="preserve">ward-level Gini coefficients </w:t>
      </w:r>
      <w:r w:rsidR="00627409">
        <w:rPr>
          <w:rFonts w:asciiTheme="majorBidi" w:hAnsiTheme="majorBidi" w:cstheme="majorBidi"/>
        </w:rPr>
        <w:t>would range from 9.2% to 23.1</w:t>
      </w:r>
      <w:r w:rsidR="0047003B">
        <w:rPr>
          <w:rFonts w:asciiTheme="majorBidi" w:hAnsiTheme="majorBidi" w:cstheme="majorBidi"/>
        </w:rPr>
        <w:t>% of the value of the index, with a me</w:t>
      </w:r>
      <w:r w:rsidR="00627409">
        <w:rPr>
          <w:rFonts w:asciiTheme="majorBidi" w:hAnsiTheme="majorBidi" w:cstheme="majorBidi"/>
        </w:rPr>
        <w:t>an relative standard error of 14.4</w:t>
      </w:r>
      <w:r w:rsidR="0047003B">
        <w:rPr>
          <w:rFonts w:asciiTheme="majorBidi" w:hAnsiTheme="majorBidi" w:cstheme="majorBidi"/>
        </w:rPr>
        <w:t xml:space="preserve">%. </w:t>
      </w:r>
      <w:r w:rsidR="00CA77ED">
        <w:rPr>
          <w:rFonts w:asciiTheme="majorBidi" w:hAnsiTheme="majorBidi" w:cstheme="majorBidi"/>
        </w:rPr>
        <w:t>Thus, if one relied</w:t>
      </w:r>
      <w:r w:rsidR="0047003B">
        <w:rPr>
          <w:rFonts w:asciiTheme="majorBidi" w:hAnsiTheme="majorBidi" w:cstheme="majorBidi"/>
        </w:rPr>
        <w:t xml:space="preserve"> solely on survey data, </w:t>
      </w:r>
      <w:r w:rsidR="00627409">
        <w:rPr>
          <w:rFonts w:asciiTheme="majorBidi" w:hAnsiTheme="majorBidi" w:cstheme="majorBidi"/>
        </w:rPr>
        <w:t xml:space="preserve">the inequality statistics would be available for </w:t>
      </w:r>
      <w:r w:rsidR="0047003B">
        <w:rPr>
          <w:rFonts w:asciiTheme="majorBidi" w:hAnsiTheme="majorBidi" w:cstheme="majorBidi"/>
        </w:rPr>
        <w:t xml:space="preserve">only a fraction of </w:t>
      </w:r>
      <w:r w:rsidR="00627409">
        <w:rPr>
          <w:rFonts w:asciiTheme="majorBidi" w:hAnsiTheme="majorBidi" w:cstheme="majorBidi"/>
        </w:rPr>
        <w:t xml:space="preserve">the </w:t>
      </w:r>
      <w:r w:rsidR="0047003B">
        <w:rPr>
          <w:rFonts w:asciiTheme="majorBidi" w:hAnsiTheme="majorBidi" w:cstheme="majorBidi"/>
        </w:rPr>
        <w:t>wards</w:t>
      </w:r>
      <w:r w:rsidR="00627409">
        <w:rPr>
          <w:rFonts w:asciiTheme="majorBidi" w:hAnsiTheme="majorBidi" w:cstheme="majorBidi"/>
        </w:rPr>
        <w:t>,</w:t>
      </w:r>
      <w:r w:rsidR="0047003B">
        <w:rPr>
          <w:rFonts w:asciiTheme="majorBidi" w:hAnsiTheme="majorBidi" w:cstheme="majorBidi"/>
        </w:rPr>
        <w:t xml:space="preserve"> would</w:t>
      </w:r>
      <w:r w:rsidR="006C443D">
        <w:rPr>
          <w:rFonts w:asciiTheme="majorBidi" w:hAnsiTheme="majorBidi" w:cstheme="majorBidi"/>
        </w:rPr>
        <w:t xml:space="preserve"> </w:t>
      </w:r>
      <w:r w:rsidR="0047003B">
        <w:rPr>
          <w:rFonts w:asciiTheme="majorBidi" w:hAnsiTheme="majorBidi" w:cstheme="majorBidi"/>
        </w:rPr>
        <w:t xml:space="preserve">not </w:t>
      </w:r>
      <w:r w:rsidR="00627409">
        <w:rPr>
          <w:rFonts w:asciiTheme="majorBidi" w:hAnsiTheme="majorBidi" w:cstheme="majorBidi"/>
        </w:rPr>
        <w:t xml:space="preserve">be </w:t>
      </w:r>
      <w:r w:rsidR="0047003B">
        <w:rPr>
          <w:rFonts w:asciiTheme="majorBidi" w:hAnsiTheme="majorBidi" w:cstheme="majorBidi"/>
        </w:rPr>
        <w:t>repr</w:t>
      </w:r>
      <w:r w:rsidR="00CA77ED">
        <w:rPr>
          <w:rFonts w:asciiTheme="majorBidi" w:hAnsiTheme="majorBidi" w:cstheme="majorBidi"/>
        </w:rPr>
        <w:t xml:space="preserve">esentative at </w:t>
      </w:r>
      <w:r w:rsidR="006C443D">
        <w:rPr>
          <w:rFonts w:asciiTheme="majorBidi" w:hAnsiTheme="majorBidi" w:cstheme="majorBidi"/>
        </w:rPr>
        <w:t xml:space="preserve">the </w:t>
      </w:r>
      <w:r w:rsidR="00CA77ED">
        <w:rPr>
          <w:rFonts w:asciiTheme="majorBidi" w:hAnsiTheme="majorBidi" w:cstheme="majorBidi"/>
        </w:rPr>
        <w:t>ward level</w:t>
      </w:r>
      <w:r w:rsidR="00627409">
        <w:rPr>
          <w:rFonts w:asciiTheme="majorBidi" w:hAnsiTheme="majorBidi" w:cstheme="majorBidi"/>
        </w:rPr>
        <w:t xml:space="preserve">, </w:t>
      </w:r>
      <w:r w:rsidR="0047003B">
        <w:rPr>
          <w:rFonts w:asciiTheme="majorBidi" w:hAnsiTheme="majorBidi" w:cstheme="majorBidi"/>
        </w:rPr>
        <w:t xml:space="preserve">and </w:t>
      </w:r>
      <w:r w:rsidR="00627409">
        <w:rPr>
          <w:rFonts w:asciiTheme="majorBidi" w:hAnsiTheme="majorBidi" w:cstheme="majorBidi"/>
        </w:rPr>
        <w:t xml:space="preserve">would be </w:t>
      </w:r>
      <w:proofErr w:type="gramStart"/>
      <w:r w:rsidR="00627409">
        <w:rPr>
          <w:rFonts w:asciiTheme="majorBidi" w:hAnsiTheme="majorBidi" w:cstheme="majorBidi"/>
        </w:rPr>
        <w:t>fairly imprecise</w:t>
      </w:r>
      <w:proofErr w:type="gramEnd"/>
      <w:r w:rsidR="0047003B">
        <w:rPr>
          <w:rFonts w:asciiTheme="majorBidi" w:hAnsiTheme="majorBidi" w:cstheme="majorBidi"/>
        </w:rPr>
        <w:t>.</w:t>
      </w:r>
    </w:p>
    <w:p w14:paraId="6F52A311" w14:textId="77777777" w:rsidR="00834D0D" w:rsidRPr="001657D0" w:rsidRDefault="00834D0D" w:rsidP="001214AD">
      <w:pPr>
        <w:autoSpaceDE w:val="0"/>
        <w:autoSpaceDN w:val="0"/>
        <w:adjustRightInd w:val="0"/>
        <w:spacing w:line="288" w:lineRule="auto"/>
        <w:ind w:firstLine="720"/>
        <w:rPr>
          <w:rFonts w:asciiTheme="majorBidi" w:hAnsiTheme="majorBidi" w:cstheme="majorBidi"/>
          <w:sz w:val="16"/>
          <w:szCs w:val="16"/>
        </w:rPr>
      </w:pPr>
    </w:p>
    <w:p w14:paraId="0DB9CF2F" w14:textId="7139BDE0" w:rsidR="00FC1801" w:rsidRDefault="00CA77ED" w:rsidP="001214AD">
      <w:pPr>
        <w:autoSpaceDE w:val="0"/>
        <w:autoSpaceDN w:val="0"/>
        <w:adjustRightInd w:val="0"/>
        <w:spacing w:line="288" w:lineRule="auto"/>
        <w:ind w:firstLine="720"/>
        <w:rPr>
          <w:rFonts w:asciiTheme="majorBidi" w:hAnsiTheme="majorBidi" w:cstheme="majorBidi"/>
        </w:rPr>
      </w:pPr>
      <w:r>
        <w:rPr>
          <w:rFonts w:asciiTheme="majorBidi" w:hAnsiTheme="majorBidi" w:cstheme="majorBidi"/>
        </w:rPr>
        <w:t xml:space="preserve">Instead, </w:t>
      </w:r>
      <w:r w:rsidR="00CC505E">
        <w:rPr>
          <w:rFonts w:asciiTheme="majorBidi" w:hAnsiTheme="majorBidi" w:cstheme="majorBidi"/>
        </w:rPr>
        <w:t xml:space="preserve">the small-area estimation approach of </w:t>
      </w:r>
      <w:proofErr w:type="spellStart"/>
      <w:r w:rsidR="00CC505E" w:rsidRPr="00FC1801">
        <w:rPr>
          <w:rFonts w:asciiTheme="majorBidi" w:hAnsiTheme="majorBidi" w:cstheme="majorBidi"/>
        </w:rPr>
        <w:t>Elbers</w:t>
      </w:r>
      <w:proofErr w:type="spellEnd"/>
      <w:r w:rsidR="00CC505E" w:rsidRPr="00FC1801">
        <w:rPr>
          <w:rFonts w:asciiTheme="majorBidi" w:hAnsiTheme="majorBidi" w:cstheme="majorBidi"/>
        </w:rPr>
        <w:t xml:space="preserve">, </w:t>
      </w:r>
      <w:proofErr w:type="spellStart"/>
      <w:r w:rsidR="00CC505E" w:rsidRPr="00FC1801">
        <w:rPr>
          <w:rFonts w:asciiTheme="majorBidi" w:hAnsiTheme="majorBidi" w:cstheme="majorBidi"/>
        </w:rPr>
        <w:t>Lanjouw</w:t>
      </w:r>
      <w:proofErr w:type="spellEnd"/>
      <w:r w:rsidR="00CC505E" w:rsidRPr="00FC1801">
        <w:rPr>
          <w:rFonts w:asciiTheme="majorBidi" w:hAnsiTheme="majorBidi" w:cstheme="majorBidi"/>
        </w:rPr>
        <w:t xml:space="preserve"> and </w:t>
      </w:r>
      <w:proofErr w:type="spellStart"/>
      <w:r w:rsidR="00CC505E" w:rsidRPr="00FC1801">
        <w:rPr>
          <w:rFonts w:asciiTheme="majorBidi" w:hAnsiTheme="majorBidi" w:cstheme="majorBidi"/>
        </w:rPr>
        <w:t>Lanjouw</w:t>
      </w:r>
      <w:proofErr w:type="spellEnd"/>
      <w:r w:rsidR="00CC505E" w:rsidRPr="00FC1801">
        <w:rPr>
          <w:rFonts w:asciiTheme="majorBidi" w:hAnsiTheme="majorBidi" w:cstheme="majorBidi"/>
        </w:rPr>
        <w:t xml:space="preserve"> (2003) </w:t>
      </w:r>
      <w:r w:rsidR="00CC505E">
        <w:rPr>
          <w:rFonts w:asciiTheme="majorBidi" w:hAnsiTheme="majorBidi" w:cstheme="majorBidi"/>
        </w:rPr>
        <w:t>[ELL, hereafter] is used.</w:t>
      </w:r>
      <w:r w:rsidR="00CC505E">
        <w:rPr>
          <w:rStyle w:val="FootnoteReference"/>
          <w:rFonts w:asciiTheme="majorBidi" w:hAnsiTheme="majorBidi" w:cstheme="majorBidi"/>
        </w:rPr>
        <w:footnoteReference w:id="7"/>
      </w:r>
      <w:r w:rsidR="00370715">
        <w:rPr>
          <w:rFonts w:asciiTheme="majorBidi" w:hAnsiTheme="majorBidi" w:cstheme="majorBidi"/>
        </w:rPr>
        <w:t xml:space="preserve"> To start, </w:t>
      </w:r>
      <w:r w:rsidR="00FC1801" w:rsidRPr="00FC1801">
        <w:rPr>
          <w:rFonts w:asciiTheme="majorBidi" w:hAnsiTheme="majorBidi" w:cstheme="majorBidi"/>
        </w:rPr>
        <w:t>a model of (log)</w:t>
      </w:r>
      <w:r w:rsidR="00370715">
        <w:rPr>
          <w:rFonts w:asciiTheme="majorBidi" w:hAnsiTheme="majorBidi" w:cstheme="majorBidi"/>
        </w:rPr>
        <w:t xml:space="preserve"> per capita</w:t>
      </w:r>
      <w:r w:rsidR="00FC1801" w:rsidRPr="00FC1801">
        <w:rPr>
          <w:rFonts w:asciiTheme="majorBidi" w:hAnsiTheme="majorBidi" w:cstheme="majorBidi"/>
        </w:rPr>
        <w:t xml:space="preserve"> consumption for people living in household </w:t>
      </w:r>
      <w:r w:rsidR="00FC1801" w:rsidRPr="00FC1801">
        <w:rPr>
          <w:rFonts w:asciiTheme="majorBidi" w:hAnsiTheme="majorBidi" w:cstheme="majorBidi"/>
          <w:i/>
        </w:rPr>
        <w:t>h</w:t>
      </w:r>
      <w:r w:rsidR="00FC1801" w:rsidRPr="00FC1801">
        <w:rPr>
          <w:rFonts w:asciiTheme="majorBidi" w:hAnsiTheme="majorBidi" w:cstheme="majorBidi"/>
        </w:rPr>
        <w:t xml:space="preserve"> in location </w:t>
      </w:r>
      <w:r w:rsidR="00FC1801" w:rsidRPr="00FC1801">
        <w:rPr>
          <w:rFonts w:asciiTheme="majorBidi" w:hAnsiTheme="majorBidi" w:cstheme="majorBidi"/>
          <w:i/>
        </w:rPr>
        <w:t>c</w:t>
      </w:r>
      <w:r w:rsidR="00FC1801" w:rsidRPr="00FC1801">
        <w:rPr>
          <w:rFonts w:asciiTheme="majorBidi" w:hAnsiTheme="majorBidi" w:cstheme="majorBidi"/>
        </w:rPr>
        <w:t xml:space="preserve"> is estimated, where </w:t>
      </w:r>
      <w:r w:rsidR="00FC1801" w:rsidRPr="00FC1801">
        <w:rPr>
          <w:rFonts w:asciiTheme="majorBidi" w:hAnsiTheme="majorBidi" w:cstheme="majorBidi"/>
          <w:i/>
          <w:iCs/>
        </w:rPr>
        <w:t>c</w:t>
      </w:r>
      <w:r w:rsidR="00FC1801" w:rsidRPr="00FC1801">
        <w:rPr>
          <w:rFonts w:asciiTheme="majorBidi" w:hAnsiTheme="majorBidi" w:cstheme="majorBidi"/>
        </w:rPr>
        <w:t xml:space="preserve"> is an enumeration area (or ‘cluster’):</w:t>
      </w:r>
    </w:p>
    <w:p w14:paraId="4DE666CE" w14:textId="77777777" w:rsidR="00ED4A8F" w:rsidRPr="007660A6" w:rsidRDefault="00ED4A8F" w:rsidP="001214AD">
      <w:pPr>
        <w:autoSpaceDE w:val="0"/>
        <w:autoSpaceDN w:val="0"/>
        <w:adjustRightInd w:val="0"/>
        <w:spacing w:line="288" w:lineRule="auto"/>
        <w:ind w:firstLine="720"/>
        <w:rPr>
          <w:rFonts w:asciiTheme="majorBidi" w:hAnsiTheme="majorBidi" w:cstheme="majorBidi"/>
          <w:sz w:val="20"/>
          <w:szCs w:val="20"/>
        </w:rPr>
      </w:pPr>
    </w:p>
    <w:p w14:paraId="2C4DF1ED" w14:textId="5CBD3023" w:rsidR="00FC1801" w:rsidRPr="001657D0" w:rsidRDefault="00FC1801" w:rsidP="001214AD">
      <w:pPr>
        <w:autoSpaceDE w:val="0"/>
        <w:autoSpaceDN w:val="0"/>
        <w:adjustRightInd w:val="0"/>
        <w:spacing w:line="288" w:lineRule="auto"/>
        <w:ind w:firstLine="720"/>
        <w:jc w:val="right"/>
        <w:rPr>
          <w:rFonts w:asciiTheme="majorBidi" w:hAnsiTheme="majorBidi" w:cstheme="majorBidi"/>
          <w:sz w:val="22"/>
          <w:szCs w:val="22"/>
        </w:rPr>
      </w:pPr>
      <w:r w:rsidRPr="001657D0">
        <w:rPr>
          <w:rFonts w:asciiTheme="majorBidi" w:hAnsiTheme="majorBidi" w:cstheme="majorBidi"/>
          <w:position w:val="-12"/>
          <w:sz w:val="22"/>
          <w:szCs w:val="22"/>
        </w:rPr>
        <w:object w:dxaOrig="1640" w:dyaOrig="380" w14:anchorId="336C5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9.5pt" o:ole="">
            <v:imagedata r:id="rId11" o:title=""/>
          </v:shape>
          <o:OLEObject Type="Embed" ProgID="Equation.3" ShapeID="_x0000_i1025" DrawAspect="Content" ObjectID="_1561803278" r:id="rId12"/>
        </w:object>
      </w:r>
      <w:r w:rsidRPr="001657D0">
        <w:rPr>
          <w:rFonts w:asciiTheme="majorBidi" w:hAnsiTheme="majorBidi" w:cstheme="majorBidi"/>
          <w:sz w:val="22"/>
          <w:szCs w:val="22"/>
        </w:rPr>
        <w:t xml:space="preserve">                                                        (1)</w:t>
      </w:r>
    </w:p>
    <w:p w14:paraId="1B02D49D" w14:textId="77777777" w:rsidR="00ED4A8F" w:rsidRPr="001657D0" w:rsidRDefault="00ED4A8F" w:rsidP="001214AD">
      <w:pPr>
        <w:autoSpaceDE w:val="0"/>
        <w:autoSpaceDN w:val="0"/>
        <w:adjustRightInd w:val="0"/>
        <w:spacing w:line="288" w:lineRule="auto"/>
        <w:rPr>
          <w:rFonts w:asciiTheme="majorBidi" w:hAnsiTheme="majorBidi" w:cstheme="majorBidi"/>
          <w:sz w:val="16"/>
          <w:szCs w:val="16"/>
        </w:rPr>
      </w:pPr>
    </w:p>
    <w:p w14:paraId="4AEF5F09" w14:textId="6DE125B3" w:rsidR="00FC1801" w:rsidRDefault="00FC1801" w:rsidP="001214AD">
      <w:pPr>
        <w:autoSpaceDE w:val="0"/>
        <w:autoSpaceDN w:val="0"/>
        <w:adjustRightInd w:val="0"/>
        <w:spacing w:line="288" w:lineRule="auto"/>
        <w:rPr>
          <w:rFonts w:asciiTheme="majorBidi" w:hAnsiTheme="majorBidi" w:cstheme="majorBidi"/>
        </w:rPr>
      </w:pPr>
      <w:r w:rsidRPr="00FC1801">
        <w:rPr>
          <w:rFonts w:asciiTheme="majorBidi" w:hAnsiTheme="majorBidi" w:cstheme="majorBidi"/>
        </w:rPr>
        <w:t xml:space="preserve">The vector of explanatory </w:t>
      </w:r>
      <w:proofErr w:type="gramStart"/>
      <w:r w:rsidRPr="00FC1801">
        <w:rPr>
          <w:rFonts w:asciiTheme="majorBidi" w:hAnsiTheme="majorBidi" w:cstheme="majorBidi"/>
        </w:rPr>
        <w:t>variables,</w:t>
      </w:r>
      <w:proofErr w:type="gramEnd"/>
      <w:r w:rsidRPr="00FC1801">
        <w:rPr>
          <w:rFonts w:asciiTheme="majorBidi" w:hAnsiTheme="majorBidi" w:cstheme="majorBidi"/>
        </w:rPr>
        <w:t xml:space="preserve"> </w:t>
      </w:r>
      <w:r w:rsidRPr="00FC1801">
        <w:rPr>
          <w:rFonts w:asciiTheme="majorBidi" w:hAnsiTheme="majorBidi" w:cstheme="majorBidi"/>
          <w:position w:val="-12"/>
        </w:rPr>
        <w:object w:dxaOrig="340" w:dyaOrig="360" w14:anchorId="5D8169C9">
          <v:shape id="_x0000_i1026" type="#_x0000_t75" style="width:18pt;height:19.5pt" o:ole="">
            <v:imagedata r:id="rId13" o:title=""/>
          </v:shape>
          <o:OLEObject Type="Embed" ProgID="Equation.3" ShapeID="_x0000_i1026" DrawAspect="Content" ObjectID="_1561803279" r:id="rId14"/>
        </w:object>
      </w:r>
      <w:r w:rsidRPr="00FC1801">
        <w:rPr>
          <w:rFonts w:asciiTheme="majorBidi" w:hAnsiTheme="majorBidi" w:cstheme="majorBidi"/>
        </w:rPr>
        <w:t xml:space="preserve"> is restricted to survey variables </w:t>
      </w:r>
      <w:r w:rsidR="000B2F24">
        <w:rPr>
          <w:rFonts w:asciiTheme="majorBidi" w:hAnsiTheme="majorBidi" w:cstheme="majorBidi"/>
        </w:rPr>
        <w:t xml:space="preserve">also </w:t>
      </w:r>
      <w:r w:rsidRPr="00FC1801">
        <w:rPr>
          <w:rFonts w:asciiTheme="majorBidi" w:hAnsiTheme="majorBidi" w:cstheme="majorBidi"/>
        </w:rPr>
        <w:t xml:space="preserve">in the census </w:t>
      </w:r>
      <w:r w:rsidR="000B2F24">
        <w:rPr>
          <w:rFonts w:asciiTheme="majorBidi" w:hAnsiTheme="majorBidi" w:cstheme="majorBidi"/>
        </w:rPr>
        <w:t xml:space="preserve">with </w:t>
      </w:r>
      <w:r w:rsidR="00DF7A77">
        <w:rPr>
          <w:rFonts w:asciiTheme="majorBidi" w:hAnsiTheme="majorBidi" w:cstheme="majorBidi"/>
        </w:rPr>
        <w:t xml:space="preserve">distributions </w:t>
      </w:r>
      <w:r w:rsidR="00770E69">
        <w:rPr>
          <w:rFonts w:asciiTheme="majorBidi" w:hAnsiTheme="majorBidi" w:cstheme="majorBidi"/>
        </w:rPr>
        <w:t>that overlap</w:t>
      </w:r>
      <w:r w:rsidR="00F17881">
        <w:rPr>
          <w:rFonts w:asciiTheme="majorBidi" w:hAnsiTheme="majorBidi" w:cstheme="majorBidi"/>
        </w:rPr>
        <w:t xml:space="preserve"> in each source</w:t>
      </w:r>
      <w:r w:rsidRPr="00FC1801">
        <w:rPr>
          <w:rFonts w:asciiTheme="majorBidi" w:hAnsiTheme="majorBidi" w:cstheme="majorBidi"/>
        </w:rPr>
        <w:t xml:space="preserve">. The parameter vector </w:t>
      </w:r>
      <w:r w:rsidRPr="00FC1801">
        <w:rPr>
          <w:rFonts w:asciiTheme="majorBidi" w:hAnsiTheme="majorBidi" w:cstheme="majorBidi"/>
          <w:b/>
          <w:bCs/>
        </w:rPr>
        <w:sym w:font="Symbol" w:char="F062"/>
      </w:r>
      <w:r>
        <w:rPr>
          <w:rFonts w:asciiTheme="majorBidi" w:hAnsiTheme="majorBidi" w:cstheme="majorBidi"/>
        </w:rPr>
        <w:t xml:space="preserve"> </w:t>
      </w:r>
      <w:r w:rsidR="00DF7A77">
        <w:rPr>
          <w:rFonts w:asciiTheme="majorBidi" w:hAnsiTheme="majorBidi" w:cstheme="majorBidi"/>
        </w:rPr>
        <w:t xml:space="preserve">has </w:t>
      </w:r>
      <w:r w:rsidR="006C443D">
        <w:rPr>
          <w:rFonts w:asciiTheme="majorBidi" w:hAnsiTheme="majorBidi" w:cstheme="majorBidi"/>
        </w:rPr>
        <w:t>n</w:t>
      </w:r>
      <w:r w:rsidR="00DF7A77">
        <w:rPr>
          <w:rFonts w:asciiTheme="majorBidi" w:hAnsiTheme="majorBidi" w:cstheme="majorBidi"/>
        </w:rPr>
        <w:t xml:space="preserve">o </w:t>
      </w:r>
      <w:r w:rsidRPr="00FC1801">
        <w:rPr>
          <w:rFonts w:asciiTheme="majorBidi" w:hAnsiTheme="majorBidi" w:cstheme="majorBidi"/>
        </w:rPr>
        <w:t>causal interpretation</w:t>
      </w:r>
      <w:r w:rsidR="00DF7A77">
        <w:rPr>
          <w:rFonts w:asciiTheme="majorBidi" w:hAnsiTheme="majorBidi" w:cstheme="majorBidi"/>
        </w:rPr>
        <w:t>; the</w:t>
      </w:r>
      <w:r w:rsidRPr="00FC1801">
        <w:rPr>
          <w:rFonts w:asciiTheme="majorBidi" w:hAnsiTheme="majorBidi" w:cstheme="majorBidi"/>
        </w:rPr>
        <w:t xml:space="preserve"> equation </w:t>
      </w:r>
      <w:r w:rsidR="00DF7A77">
        <w:rPr>
          <w:rFonts w:asciiTheme="majorBidi" w:hAnsiTheme="majorBidi" w:cstheme="majorBidi"/>
        </w:rPr>
        <w:t>is for</w:t>
      </w:r>
      <w:r w:rsidRPr="00FC1801">
        <w:rPr>
          <w:rFonts w:asciiTheme="majorBidi" w:hAnsiTheme="majorBidi" w:cstheme="majorBidi"/>
        </w:rPr>
        <w:t xml:space="preserve"> prediction</w:t>
      </w:r>
      <w:r w:rsidR="00037D0A">
        <w:rPr>
          <w:rFonts w:asciiTheme="majorBidi" w:hAnsiTheme="majorBidi" w:cstheme="majorBidi"/>
        </w:rPr>
        <w:t xml:space="preserve">. </w:t>
      </w:r>
      <w:r w:rsidR="006C443D">
        <w:rPr>
          <w:rFonts w:asciiTheme="majorBidi" w:hAnsiTheme="majorBidi" w:cstheme="majorBidi"/>
        </w:rPr>
        <w:t>T</w:t>
      </w:r>
      <w:r w:rsidR="00037D0A">
        <w:rPr>
          <w:rFonts w:asciiTheme="majorBidi" w:hAnsiTheme="majorBidi" w:cstheme="majorBidi"/>
        </w:rPr>
        <w:t xml:space="preserve">he error </w:t>
      </w:r>
      <w:r w:rsidRPr="00FC1801">
        <w:rPr>
          <w:rFonts w:asciiTheme="majorBidi" w:hAnsiTheme="majorBidi" w:cstheme="majorBidi"/>
          <w:position w:val="-12"/>
        </w:rPr>
        <w:object w:dxaOrig="320" w:dyaOrig="360" w14:anchorId="268694EC">
          <v:shape id="_x0000_i1027" type="#_x0000_t75" style="width:15pt;height:19.5pt" o:ole="">
            <v:imagedata r:id="rId15" o:title=""/>
          </v:shape>
          <o:OLEObject Type="Embed" ProgID="Equation.3" ShapeID="_x0000_i1027" DrawAspect="Content" ObjectID="_1561803280" r:id="rId16"/>
        </w:object>
      </w:r>
      <w:r w:rsidRPr="00FC1801">
        <w:rPr>
          <w:rFonts w:asciiTheme="majorBidi" w:hAnsiTheme="majorBidi" w:cstheme="majorBidi"/>
        </w:rPr>
        <w:t xml:space="preserve"> </w:t>
      </w:r>
      <w:r w:rsidR="00DF7A77">
        <w:rPr>
          <w:rFonts w:asciiTheme="majorBidi" w:hAnsiTheme="majorBidi" w:cstheme="majorBidi"/>
        </w:rPr>
        <w:t xml:space="preserve">is assumed </w:t>
      </w:r>
      <w:r w:rsidR="00F17881">
        <w:rPr>
          <w:rFonts w:asciiTheme="majorBidi" w:hAnsiTheme="majorBidi" w:cstheme="majorBidi"/>
        </w:rPr>
        <w:t xml:space="preserve">to have </w:t>
      </w:r>
      <w:r w:rsidRPr="00FC1801">
        <w:rPr>
          <w:rFonts w:asciiTheme="majorBidi" w:hAnsiTheme="majorBidi" w:cstheme="majorBidi"/>
        </w:rPr>
        <w:t>two independent components: a cluster specific effect</w:t>
      </w:r>
      <w:r>
        <w:rPr>
          <w:rFonts w:asciiTheme="majorBidi" w:hAnsiTheme="majorBidi" w:cstheme="majorBidi"/>
        </w:rPr>
        <w:t xml:space="preserve"> </w:t>
      </w:r>
      <w:r w:rsidRPr="00FC1801">
        <w:rPr>
          <w:rFonts w:asciiTheme="majorBidi" w:hAnsiTheme="majorBidi" w:cstheme="majorBidi"/>
          <w:position w:val="-12"/>
        </w:rPr>
        <w:object w:dxaOrig="260" w:dyaOrig="360" w14:anchorId="627DF139">
          <v:shape id="_x0000_i1028" type="#_x0000_t75" style="width:13.5pt;height:18pt" o:ole="">
            <v:imagedata r:id="rId17" o:title=""/>
          </v:shape>
          <o:OLEObject Type="Embed" ProgID="Equation.3" ShapeID="_x0000_i1028" DrawAspect="Content" ObjectID="_1561803281" r:id="rId18"/>
        </w:object>
      </w:r>
      <w:r w:rsidRPr="00FC1801">
        <w:rPr>
          <w:rFonts w:asciiTheme="majorBidi" w:hAnsiTheme="majorBidi" w:cstheme="majorBidi"/>
        </w:rPr>
        <w:t xml:space="preserve">  and a household specific </w:t>
      </w:r>
      <w:proofErr w:type="gramStart"/>
      <w:r w:rsidRPr="00FC1801">
        <w:rPr>
          <w:rFonts w:asciiTheme="majorBidi" w:hAnsiTheme="majorBidi" w:cstheme="majorBidi"/>
        </w:rPr>
        <w:t xml:space="preserve">effect </w:t>
      </w:r>
      <w:proofErr w:type="gramEnd"/>
      <w:r w:rsidRPr="00FC1801">
        <w:rPr>
          <w:rFonts w:asciiTheme="majorBidi" w:hAnsiTheme="majorBidi" w:cstheme="majorBidi"/>
          <w:position w:val="-12"/>
        </w:rPr>
        <w:object w:dxaOrig="320" w:dyaOrig="360" w14:anchorId="42A50EAA">
          <v:shape id="_x0000_i1029" type="#_x0000_t75" style="width:15pt;height:19.5pt" o:ole="">
            <v:imagedata r:id="rId19" o:title=""/>
          </v:shape>
          <o:OLEObject Type="Embed" ProgID="Equation.3" ShapeID="_x0000_i1029" DrawAspect="Content" ObjectID="_1561803282" r:id="rId20"/>
        </w:object>
      </w:r>
      <w:r w:rsidRPr="00FC1801">
        <w:rPr>
          <w:rFonts w:asciiTheme="majorBidi" w:hAnsiTheme="majorBidi" w:cstheme="majorBidi"/>
        </w:rPr>
        <w:t xml:space="preserve">. </w:t>
      </w:r>
    </w:p>
    <w:p w14:paraId="5046B9DD" w14:textId="77777777" w:rsidR="00834D0D" w:rsidRPr="001657D0" w:rsidRDefault="00834D0D" w:rsidP="001214AD">
      <w:pPr>
        <w:autoSpaceDE w:val="0"/>
        <w:autoSpaceDN w:val="0"/>
        <w:adjustRightInd w:val="0"/>
        <w:spacing w:line="288" w:lineRule="auto"/>
        <w:rPr>
          <w:rFonts w:asciiTheme="majorBidi" w:hAnsiTheme="majorBidi" w:cstheme="majorBidi"/>
          <w:sz w:val="16"/>
          <w:szCs w:val="16"/>
        </w:rPr>
      </w:pPr>
    </w:p>
    <w:p w14:paraId="03BD6F13" w14:textId="661E72DF" w:rsidR="00FC1801" w:rsidRDefault="00FC1801" w:rsidP="001214AD">
      <w:pPr>
        <w:widowControl w:val="0"/>
        <w:autoSpaceDE w:val="0"/>
        <w:autoSpaceDN w:val="0"/>
        <w:adjustRightInd w:val="0"/>
        <w:spacing w:line="288" w:lineRule="auto"/>
        <w:ind w:firstLine="720"/>
        <w:rPr>
          <w:rFonts w:asciiTheme="majorBidi" w:hAnsiTheme="majorBidi" w:cstheme="majorBidi"/>
        </w:rPr>
      </w:pPr>
      <w:r w:rsidRPr="00FC1801">
        <w:rPr>
          <w:rFonts w:asciiTheme="majorBidi" w:hAnsiTheme="majorBidi" w:cstheme="majorBidi"/>
        </w:rPr>
        <w:t xml:space="preserve">The cluster specific effect reflects aspects of the environment common to households in the same location. If one just </w:t>
      </w:r>
      <w:r w:rsidR="00370715">
        <w:rPr>
          <w:rFonts w:asciiTheme="majorBidi" w:hAnsiTheme="majorBidi" w:cstheme="majorBidi"/>
        </w:rPr>
        <w:t xml:space="preserve">used </w:t>
      </w:r>
      <w:r w:rsidRPr="00FC1801">
        <w:rPr>
          <w:rFonts w:asciiTheme="majorBidi" w:hAnsiTheme="majorBidi" w:cstheme="majorBidi"/>
        </w:rPr>
        <w:t xml:space="preserve">survey data, these unseen elements </w:t>
      </w:r>
      <w:proofErr w:type="gramStart"/>
      <w:r w:rsidRPr="00FC1801">
        <w:rPr>
          <w:rFonts w:asciiTheme="majorBidi" w:hAnsiTheme="majorBidi" w:cstheme="majorBidi"/>
        </w:rPr>
        <w:t>could be controlled</w:t>
      </w:r>
      <w:proofErr w:type="gramEnd"/>
      <w:r w:rsidRPr="00FC1801">
        <w:rPr>
          <w:rFonts w:asciiTheme="majorBidi" w:hAnsiTheme="majorBidi" w:cstheme="majorBidi"/>
        </w:rPr>
        <w:t xml:space="preserve"> with cluster fixed effects</w:t>
      </w:r>
      <w:r w:rsidR="00370715">
        <w:rPr>
          <w:rFonts w:asciiTheme="majorBidi" w:hAnsiTheme="majorBidi" w:cstheme="majorBidi"/>
        </w:rPr>
        <w:t xml:space="preserve">. However, </w:t>
      </w:r>
      <w:r w:rsidR="006C443D">
        <w:rPr>
          <w:rFonts w:asciiTheme="majorBidi" w:hAnsiTheme="majorBidi" w:cstheme="majorBidi"/>
        </w:rPr>
        <w:t>the survey sampled</w:t>
      </w:r>
      <w:r w:rsidRPr="00FC1801">
        <w:rPr>
          <w:rFonts w:asciiTheme="majorBidi" w:hAnsiTheme="majorBidi" w:cstheme="majorBidi"/>
        </w:rPr>
        <w:t xml:space="preserve"> only 375 of the 1340 enumeration areas</w:t>
      </w:r>
      <w:r w:rsidR="00370715">
        <w:rPr>
          <w:rFonts w:asciiTheme="majorBidi" w:hAnsiTheme="majorBidi" w:cstheme="majorBidi"/>
        </w:rPr>
        <w:t xml:space="preserve"> </w:t>
      </w:r>
      <w:r w:rsidR="00A156DF">
        <w:rPr>
          <w:rFonts w:asciiTheme="majorBidi" w:hAnsiTheme="majorBidi" w:cstheme="majorBidi"/>
        </w:rPr>
        <w:t xml:space="preserve">in the Solomon Islands </w:t>
      </w:r>
      <w:r w:rsidR="00370715">
        <w:rPr>
          <w:rFonts w:asciiTheme="majorBidi" w:hAnsiTheme="majorBidi" w:cstheme="majorBidi"/>
        </w:rPr>
        <w:t xml:space="preserve">so fixed effects give no way to deal with the other </w:t>
      </w:r>
      <w:r w:rsidRPr="00FC1801">
        <w:rPr>
          <w:rFonts w:asciiTheme="majorBidi" w:hAnsiTheme="majorBidi" w:cstheme="majorBidi"/>
          <w:i/>
          <w:iCs/>
        </w:rPr>
        <w:t>n</w:t>
      </w:r>
      <w:r w:rsidRPr="00FC1801">
        <w:rPr>
          <w:rFonts w:asciiTheme="majorBidi" w:hAnsiTheme="majorBidi" w:cstheme="majorBidi"/>
        </w:rPr>
        <w:t>=965 clusters.</w:t>
      </w:r>
      <w:r w:rsidR="00370715">
        <w:rPr>
          <w:rFonts w:asciiTheme="majorBidi" w:hAnsiTheme="majorBidi" w:cstheme="majorBidi"/>
        </w:rPr>
        <w:t xml:space="preserve"> If location effects are </w:t>
      </w:r>
      <w:proofErr w:type="gramStart"/>
      <w:r w:rsidR="00370715">
        <w:rPr>
          <w:rFonts w:asciiTheme="majorBidi" w:hAnsiTheme="majorBidi" w:cstheme="majorBidi"/>
        </w:rPr>
        <w:t>ignored</w:t>
      </w:r>
      <w:proofErr w:type="gramEnd"/>
      <w:r w:rsidR="00370715">
        <w:rPr>
          <w:rFonts w:asciiTheme="majorBidi" w:hAnsiTheme="majorBidi" w:cstheme="majorBidi"/>
        </w:rPr>
        <w:t xml:space="preserve"> they </w:t>
      </w:r>
      <w:r w:rsidRPr="00FC1801">
        <w:rPr>
          <w:rFonts w:asciiTheme="majorBidi" w:hAnsiTheme="majorBidi" w:cstheme="majorBidi"/>
        </w:rPr>
        <w:t>end up in the residuals of equation (1), where they are potentially disruptive</w:t>
      </w:r>
      <w:r w:rsidR="00E12D88">
        <w:rPr>
          <w:rFonts w:asciiTheme="majorBidi" w:hAnsiTheme="majorBidi" w:cstheme="majorBidi"/>
        </w:rPr>
        <w:t>, in the sense that they make</w:t>
      </w:r>
      <w:r w:rsidRPr="00FC1801">
        <w:rPr>
          <w:rFonts w:asciiTheme="majorBidi" w:hAnsiTheme="majorBidi" w:cstheme="majorBidi"/>
        </w:rPr>
        <w:t xml:space="preserve"> predictions less precise.</w:t>
      </w:r>
      <w:r w:rsidR="00370715">
        <w:rPr>
          <w:rStyle w:val="FootnoteReference"/>
          <w:rFonts w:asciiTheme="majorBidi" w:hAnsiTheme="majorBidi" w:cstheme="majorBidi"/>
        </w:rPr>
        <w:footnoteReference w:id="8"/>
      </w:r>
      <w:r w:rsidR="00370715">
        <w:rPr>
          <w:rFonts w:asciiTheme="majorBidi" w:hAnsiTheme="majorBidi" w:cstheme="majorBidi"/>
        </w:rPr>
        <w:t xml:space="preserve"> A common strategy, followed here, is to use </w:t>
      </w:r>
      <w:r w:rsidR="00F00DB5">
        <w:rPr>
          <w:rFonts w:asciiTheme="majorBidi" w:hAnsiTheme="majorBidi" w:cstheme="majorBidi"/>
        </w:rPr>
        <w:t>the cluster means of household-</w:t>
      </w:r>
      <w:r w:rsidR="00370715" w:rsidRPr="00FC1801">
        <w:rPr>
          <w:rFonts w:asciiTheme="majorBidi" w:hAnsiTheme="majorBidi" w:cstheme="majorBidi"/>
        </w:rPr>
        <w:t>level variables</w:t>
      </w:r>
      <w:r w:rsidR="00370715">
        <w:rPr>
          <w:rFonts w:asciiTheme="majorBidi" w:hAnsiTheme="majorBidi" w:cstheme="majorBidi"/>
        </w:rPr>
        <w:t xml:space="preserve"> from </w:t>
      </w:r>
      <w:r w:rsidR="00370715" w:rsidRPr="00FC1801">
        <w:rPr>
          <w:rFonts w:asciiTheme="majorBidi" w:hAnsiTheme="majorBidi" w:cstheme="majorBidi"/>
        </w:rPr>
        <w:t>the census data</w:t>
      </w:r>
      <w:r w:rsidR="00037D0A">
        <w:rPr>
          <w:rFonts w:asciiTheme="majorBidi" w:hAnsiTheme="majorBidi" w:cstheme="majorBidi"/>
        </w:rPr>
        <w:t>, which</w:t>
      </w:r>
      <w:r w:rsidR="00370715">
        <w:rPr>
          <w:rFonts w:asciiTheme="majorBidi" w:hAnsiTheme="majorBidi" w:cstheme="majorBidi"/>
        </w:rPr>
        <w:t xml:space="preserve"> are available for all clusters. </w:t>
      </w:r>
      <w:r w:rsidRPr="00FC1801">
        <w:rPr>
          <w:rFonts w:asciiTheme="majorBidi" w:hAnsiTheme="majorBidi" w:cstheme="majorBidi"/>
        </w:rPr>
        <w:t xml:space="preserve">The residuals from equation (1) </w:t>
      </w:r>
      <w:proofErr w:type="gramStart"/>
      <w:r w:rsidRPr="00FC1801">
        <w:rPr>
          <w:rFonts w:asciiTheme="majorBidi" w:hAnsiTheme="majorBidi" w:cstheme="majorBidi"/>
        </w:rPr>
        <w:t>are then decomposed</w:t>
      </w:r>
      <w:proofErr w:type="gramEnd"/>
      <w:r w:rsidRPr="00FC1801">
        <w:rPr>
          <w:rFonts w:asciiTheme="majorBidi" w:hAnsiTheme="majorBidi" w:cstheme="majorBidi"/>
        </w:rPr>
        <w:t xml:space="preserve"> into the uncorrelated ho</w:t>
      </w:r>
      <w:r w:rsidR="00037D0A">
        <w:rPr>
          <w:rFonts w:asciiTheme="majorBidi" w:hAnsiTheme="majorBidi" w:cstheme="majorBidi"/>
        </w:rPr>
        <w:t>usehold idiosyncratic component</w:t>
      </w:r>
      <w:r w:rsidRPr="00FC1801">
        <w:rPr>
          <w:rFonts w:asciiTheme="majorBidi" w:hAnsiTheme="majorBidi" w:cstheme="majorBidi"/>
        </w:rPr>
        <w:t xml:space="preserve"> and th</w:t>
      </w:r>
      <w:r w:rsidR="00037D0A">
        <w:rPr>
          <w:rFonts w:asciiTheme="majorBidi" w:hAnsiTheme="majorBidi" w:cstheme="majorBidi"/>
        </w:rPr>
        <w:t>e correlated location component</w:t>
      </w:r>
      <w:r w:rsidRPr="00FC1801">
        <w:rPr>
          <w:rFonts w:asciiTheme="majorBidi" w:hAnsiTheme="majorBidi" w:cstheme="majorBidi"/>
        </w:rPr>
        <w:t xml:space="preserve">: </w:t>
      </w:r>
    </w:p>
    <w:p w14:paraId="155AEFDE" w14:textId="31917C3C" w:rsidR="00FC1801" w:rsidRPr="00FC1801" w:rsidRDefault="00FC1801" w:rsidP="001214AD">
      <w:pPr>
        <w:autoSpaceDE w:val="0"/>
        <w:autoSpaceDN w:val="0"/>
        <w:adjustRightInd w:val="0"/>
        <w:spacing w:line="288" w:lineRule="auto"/>
        <w:ind w:firstLine="720"/>
        <w:jc w:val="right"/>
        <w:rPr>
          <w:rFonts w:asciiTheme="majorBidi" w:hAnsiTheme="majorBidi" w:cstheme="majorBidi"/>
        </w:rPr>
      </w:pPr>
      <w:r w:rsidRPr="00FC1801">
        <w:rPr>
          <w:rFonts w:asciiTheme="majorBidi" w:hAnsiTheme="majorBidi" w:cstheme="majorBidi"/>
          <w:position w:val="-12"/>
        </w:rPr>
        <w:object w:dxaOrig="1200" w:dyaOrig="360" w14:anchorId="5130755C">
          <v:shape id="_x0000_i1030" type="#_x0000_t75" style="width:61.5pt;height:19.5pt" o:ole="">
            <v:imagedata r:id="rId21" o:title=""/>
          </v:shape>
          <o:OLEObject Type="Embed" ProgID="Equation.3" ShapeID="_x0000_i1030" DrawAspect="Content" ObjectID="_1561803283" r:id="rId22"/>
        </w:object>
      </w:r>
      <w:r w:rsidRPr="00FC1801">
        <w:rPr>
          <w:rFonts w:asciiTheme="majorBidi" w:hAnsiTheme="majorBidi" w:cstheme="majorBidi"/>
        </w:rPr>
        <w:t xml:space="preserve">       </w:t>
      </w:r>
      <w:r w:rsidR="00037D0A">
        <w:rPr>
          <w:rFonts w:asciiTheme="majorBidi" w:hAnsiTheme="majorBidi" w:cstheme="majorBidi"/>
        </w:rPr>
        <w:tab/>
      </w:r>
      <w:r w:rsidRPr="001657D0">
        <w:rPr>
          <w:rFonts w:asciiTheme="majorBidi" w:hAnsiTheme="majorBidi" w:cstheme="majorBidi"/>
          <w:sz w:val="22"/>
          <w:szCs w:val="22"/>
        </w:rPr>
        <w:t xml:space="preserve">                                           (2)</w:t>
      </w:r>
    </w:p>
    <w:p w14:paraId="003FF88F" w14:textId="77777777" w:rsidR="001657D0" w:rsidRPr="001657D0" w:rsidRDefault="001657D0" w:rsidP="001214AD">
      <w:pPr>
        <w:widowControl w:val="0"/>
        <w:autoSpaceDE w:val="0"/>
        <w:autoSpaceDN w:val="0"/>
        <w:adjustRightInd w:val="0"/>
        <w:spacing w:line="288" w:lineRule="auto"/>
        <w:rPr>
          <w:rFonts w:asciiTheme="majorBidi" w:hAnsiTheme="majorBidi" w:cstheme="majorBidi"/>
          <w:sz w:val="16"/>
          <w:szCs w:val="16"/>
        </w:rPr>
      </w:pPr>
    </w:p>
    <w:p w14:paraId="03FA8CFC" w14:textId="5CC5AE18" w:rsidR="00FC1801" w:rsidRDefault="00FC1801" w:rsidP="001214AD">
      <w:pPr>
        <w:widowControl w:val="0"/>
        <w:autoSpaceDE w:val="0"/>
        <w:autoSpaceDN w:val="0"/>
        <w:adjustRightInd w:val="0"/>
        <w:spacing w:line="288" w:lineRule="auto"/>
        <w:rPr>
          <w:rFonts w:asciiTheme="majorBidi" w:hAnsiTheme="majorBidi" w:cstheme="majorBidi"/>
        </w:rPr>
      </w:pPr>
      <w:proofErr w:type="spellStart"/>
      <w:proofErr w:type="gramStart"/>
      <w:r w:rsidRPr="00FC1801">
        <w:rPr>
          <w:rFonts w:asciiTheme="majorBidi" w:hAnsiTheme="majorBidi" w:cstheme="majorBidi"/>
        </w:rPr>
        <w:t>The</w:t>
      </w:r>
      <w:proofErr w:type="spellEnd"/>
      <w:r w:rsidRPr="00FC1801">
        <w:rPr>
          <w:rFonts w:asciiTheme="majorBidi" w:hAnsiTheme="majorBidi" w:cstheme="majorBidi"/>
        </w:rPr>
        <w:t xml:space="preserve"> </w:t>
      </w:r>
      <w:r w:rsidRPr="00FC1801">
        <w:rPr>
          <w:rFonts w:asciiTheme="majorBidi" w:hAnsiTheme="majorBidi" w:cstheme="majorBidi"/>
          <w:position w:val="-12"/>
        </w:rPr>
        <w:object w:dxaOrig="360" w:dyaOrig="360" w14:anchorId="4B132FF3">
          <v:shape id="_x0000_i1031" type="#_x0000_t75" style="width:18pt;height:19.5pt" o:ole="">
            <v:imagedata r:id="rId23" o:title=""/>
          </v:shape>
          <o:OLEObject Type="Embed" ProgID="Equation.3" ShapeID="_x0000_i1031" DrawAspect="Content" ObjectID="_1561803284" r:id="rId24"/>
        </w:object>
      </w:r>
      <w:r w:rsidRPr="00FC1801">
        <w:rPr>
          <w:rFonts w:asciiTheme="majorBidi" w:hAnsiTheme="majorBidi" w:cstheme="majorBidi"/>
        </w:rPr>
        <w:t>are</w:t>
      </w:r>
      <w:proofErr w:type="gramEnd"/>
      <w:r w:rsidRPr="00FC1801">
        <w:rPr>
          <w:rFonts w:asciiTheme="majorBidi" w:hAnsiTheme="majorBidi" w:cstheme="majorBidi"/>
        </w:rPr>
        <w:t xml:space="preserve"> within-cluster means of the overall residuals</w:t>
      </w:r>
      <w:r w:rsidR="00DF7A77">
        <w:rPr>
          <w:rFonts w:asciiTheme="majorBidi" w:hAnsiTheme="majorBidi" w:cstheme="majorBidi"/>
        </w:rPr>
        <w:t>. T</w:t>
      </w:r>
      <w:r w:rsidRPr="00FC1801">
        <w:rPr>
          <w:rFonts w:asciiTheme="majorBidi" w:hAnsiTheme="majorBidi" w:cstheme="majorBidi"/>
        </w:rPr>
        <w:t>he household component</w:t>
      </w:r>
      <w:r w:rsidR="00DF7A77">
        <w:rPr>
          <w:rFonts w:asciiTheme="majorBidi" w:hAnsiTheme="majorBidi" w:cstheme="majorBidi"/>
        </w:rPr>
        <w:t>s</w:t>
      </w:r>
      <w:r w:rsidRPr="00FC1801">
        <w:rPr>
          <w:rFonts w:asciiTheme="majorBidi" w:hAnsiTheme="majorBidi" w:cstheme="majorBidi"/>
        </w:rPr>
        <w:t xml:space="preserve"> </w:t>
      </w:r>
      <w:r w:rsidRPr="00FC1801">
        <w:rPr>
          <w:rFonts w:asciiTheme="majorBidi" w:hAnsiTheme="majorBidi" w:cstheme="majorBidi"/>
          <w:position w:val="-12"/>
        </w:rPr>
        <w:object w:dxaOrig="360" w:dyaOrig="360" w14:anchorId="3A235BD6">
          <v:shape id="_x0000_i1032" type="#_x0000_t75" style="width:18pt;height:19.5pt" o:ole="">
            <v:imagedata r:id="rId25" o:title=""/>
          </v:shape>
          <o:OLEObject Type="Embed" ProgID="Equation.3" ShapeID="_x0000_i1032" DrawAspect="Content" ObjectID="_1561803285" r:id="rId26"/>
        </w:object>
      </w:r>
      <w:r w:rsidRPr="00FC1801">
        <w:rPr>
          <w:rFonts w:asciiTheme="majorBidi" w:hAnsiTheme="majorBidi" w:cstheme="majorBidi"/>
        </w:rPr>
        <w:t xml:space="preserve">are the overall household-level residuals net of the location components. </w:t>
      </w:r>
    </w:p>
    <w:p w14:paraId="3DFF4D1B" w14:textId="47F11C35" w:rsidR="00FC1801" w:rsidRDefault="00F00DB5" w:rsidP="001214AD">
      <w:pPr>
        <w:autoSpaceDE w:val="0"/>
        <w:autoSpaceDN w:val="0"/>
        <w:adjustRightInd w:val="0"/>
        <w:spacing w:line="288" w:lineRule="auto"/>
        <w:ind w:firstLine="720"/>
        <w:rPr>
          <w:rFonts w:asciiTheme="majorBidi" w:hAnsiTheme="majorBidi" w:cstheme="majorBidi"/>
        </w:rPr>
      </w:pPr>
      <w:r>
        <w:rPr>
          <w:rFonts w:asciiTheme="majorBidi" w:hAnsiTheme="majorBidi" w:cstheme="majorBidi"/>
        </w:rPr>
        <w:lastRenderedPageBreak/>
        <w:t>H</w:t>
      </w:r>
      <w:r w:rsidR="00FC1801" w:rsidRPr="00FC1801">
        <w:rPr>
          <w:rFonts w:asciiTheme="majorBidi" w:hAnsiTheme="majorBidi" w:cstheme="majorBidi"/>
        </w:rPr>
        <w:t>eteroskedasticity in the household idiosyncratic component</w:t>
      </w:r>
      <w:r w:rsidR="00DF7A77">
        <w:rPr>
          <w:rFonts w:asciiTheme="majorBidi" w:hAnsiTheme="majorBidi" w:cstheme="majorBidi"/>
        </w:rPr>
        <w:t xml:space="preserve"> </w:t>
      </w:r>
      <w:proofErr w:type="gramStart"/>
      <w:r>
        <w:rPr>
          <w:rFonts w:asciiTheme="majorBidi" w:hAnsiTheme="majorBidi" w:cstheme="majorBidi"/>
        </w:rPr>
        <w:t>is estimated</w:t>
      </w:r>
      <w:proofErr w:type="gramEnd"/>
      <w:r>
        <w:rPr>
          <w:rFonts w:asciiTheme="majorBidi" w:hAnsiTheme="majorBidi" w:cstheme="majorBidi"/>
        </w:rPr>
        <w:t xml:space="preserve"> from:</w:t>
      </w:r>
      <w:r w:rsidR="00FC1801" w:rsidRPr="00FC1801">
        <w:rPr>
          <w:rFonts w:asciiTheme="majorBidi" w:hAnsiTheme="majorBidi" w:cstheme="majorBidi"/>
        </w:rPr>
        <w:t xml:space="preserve">   </w:t>
      </w:r>
    </w:p>
    <w:p w14:paraId="11799BE0" w14:textId="77777777" w:rsidR="00ED4A8F" w:rsidRPr="001657D0" w:rsidRDefault="00ED4A8F" w:rsidP="001214AD">
      <w:pPr>
        <w:autoSpaceDE w:val="0"/>
        <w:autoSpaceDN w:val="0"/>
        <w:adjustRightInd w:val="0"/>
        <w:spacing w:line="288" w:lineRule="auto"/>
        <w:ind w:firstLine="720"/>
        <w:rPr>
          <w:rFonts w:asciiTheme="majorBidi" w:hAnsiTheme="majorBidi" w:cstheme="majorBidi"/>
          <w:sz w:val="16"/>
          <w:szCs w:val="16"/>
        </w:rPr>
      </w:pPr>
    </w:p>
    <w:p w14:paraId="063DC912" w14:textId="2BB105F5" w:rsidR="00FC1801" w:rsidRPr="00FC1801" w:rsidRDefault="00FC1801" w:rsidP="001214AD">
      <w:pPr>
        <w:autoSpaceDE w:val="0"/>
        <w:autoSpaceDN w:val="0"/>
        <w:adjustRightInd w:val="0"/>
        <w:spacing w:line="288" w:lineRule="auto"/>
        <w:ind w:firstLine="720"/>
        <w:jc w:val="right"/>
        <w:rPr>
          <w:rFonts w:asciiTheme="majorBidi" w:hAnsiTheme="majorBidi" w:cstheme="majorBidi"/>
        </w:rPr>
      </w:pPr>
      <w:r w:rsidRPr="00FC1801">
        <w:rPr>
          <w:rFonts w:asciiTheme="majorBidi" w:hAnsiTheme="majorBidi" w:cstheme="majorBidi"/>
          <w:position w:val="-32"/>
        </w:rPr>
        <w:object w:dxaOrig="2240" w:dyaOrig="760" w14:anchorId="5C942305">
          <v:shape id="_x0000_i1033" type="#_x0000_t75" style="width:112.5pt;height:37.5pt" o:ole="">
            <v:imagedata r:id="rId27" o:title=""/>
          </v:shape>
          <o:OLEObject Type="Embed" ProgID="Equation.3" ShapeID="_x0000_i1033" DrawAspect="Content" ObjectID="_1561803286" r:id="rId28"/>
        </w:object>
      </w:r>
      <w:r w:rsidRPr="00FC1801">
        <w:rPr>
          <w:rFonts w:asciiTheme="majorBidi" w:hAnsiTheme="majorBidi" w:cstheme="majorBidi"/>
        </w:rPr>
        <w:t xml:space="preserve">                              </w:t>
      </w:r>
      <w:r w:rsidRPr="00FC1801">
        <w:rPr>
          <w:rFonts w:asciiTheme="majorBidi" w:hAnsiTheme="majorBidi" w:cstheme="majorBidi"/>
        </w:rPr>
        <w:tab/>
      </w:r>
      <w:r w:rsidRPr="00FC1801">
        <w:rPr>
          <w:rFonts w:asciiTheme="majorBidi" w:hAnsiTheme="majorBidi" w:cstheme="majorBidi"/>
        </w:rPr>
        <w:tab/>
        <w:t xml:space="preserve">  </w:t>
      </w:r>
      <w:r w:rsidRPr="001657D0">
        <w:rPr>
          <w:rFonts w:asciiTheme="majorBidi" w:hAnsiTheme="majorBidi" w:cstheme="majorBidi"/>
          <w:sz w:val="22"/>
          <w:szCs w:val="22"/>
        </w:rPr>
        <w:t>(3)</w:t>
      </w:r>
    </w:p>
    <w:p w14:paraId="015D8BC3" w14:textId="77777777" w:rsidR="00ED4A8F" w:rsidRPr="001657D0" w:rsidRDefault="00ED4A8F" w:rsidP="001214AD">
      <w:pPr>
        <w:autoSpaceDE w:val="0"/>
        <w:autoSpaceDN w:val="0"/>
        <w:adjustRightInd w:val="0"/>
        <w:spacing w:line="288" w:lineRule="auto"/>
        <w:rPr>
          <w:rFonts w:asciiTheme="majorBidi" w:hAnsiTheme="majorBidi" w:cstheme="majorBidi"/>
          <w:sz w:val="16"/>
          <w:szCs w:val="16"/>
        </w:rPr>
      </w:pPr>
    </w:p>
    <w:p w14:paraId="604C0A72" w14:textId="38F1D72A" w:rsidR="00FC1801" w:rsidRDefault="00FC1801" w:rsidP="001214AD">
      <w:pPr>
        <w:autoSpaceDE w:val="0"/>
        <w:autoSpaceDN w:val="0"/>
        <w:adjustRightInd w:val="0"/>
        <w:spacing w:line="288" w:lineRule="auto"/>
        <w:rPr>
          <w:rFonts w:asciiTheme="majorBidi" w:hAnsiTheme="majorBidi" w:cstheme="majorBidi"/>
        </w:rPr>
      </w:pPr>
      <w:r w:rsidRPr="00FC1801">
        <w:rPr>
          <w:rFonts w:asciiTheme="majorBidi" w:hAnsiTheme="majorBidi" w:cstheme="majorBidi"/>
        </w:rPr>
        <w:t xml:space="preserve">where </w:t>
      </w:r>
      <w:r w:rsidRPr="00FC1801">
        <w:rPr>
          <w:rFonts w:asciiTheme="majorBidi" w:hAnsiTheme="majorBidi" w:cstheme="majorBidi"/>
          <w:position w:val="-12"/>
        </w:rPr>
        <w:object w:dxaOrig="340" w:dyaOrig="360" w14:anchorId="3A106B8E">
          <v:shape id="_x0000_i1034" type="#_x0000_t75" style="width:18pt;height:19.5pt" o:ole="">
            <v:imagedata r:id="rId29" o:title=""/>
          </v:shape>
          <o:OLEObject Type="Embed" ProgID="Equation.3" ShapeID="_x0000_i1034" DrawAspect="Content" ObjectID="_1561803287" r:id="rId30"/>
        </w:object>
      </w:r>
      <w:r w:rsidR="00F00DB5">
        <w:rPr>
          <w:rFonts w:asciiTheme="majorBidi" w:hAnsiTheme="majorBidi" w:cstheme="majorBidi"/>
        </w:rPr>
        <w:t>are</w:t>
      </w:r>
      <w:r w:rsidRPr="00FC1801">
        <w:rPr>
          <w:rFonts w:asciiTheme="majorBidi" w:hAnsiTheme="majorBidi" w:cstheme="majorBidi"/>
        </w:rPr>
        <w:t xml:space="preserve"> </w:t>
      </w:r>
      <w:r w:rsidR="00F00DB5">
        <w:rPr>
          <w:rFonts w:asciiTheme="majorBidi" w:hAnsiTheme="majorBidi" w:cstheme="majorBidi"/>
        </w:rPr>
        <w:t xml:space="preserve">from </w:t>
      </w:r>
      <w:r w:rsidR="00DF7A77">
        <w:rPr>
          <w:rFonts w:asciiTheme="majorBidi" w:hAnsiTheme="majorBidi" w:cstheme="majorBidi"/>
        </w:rPr>
        <w:t xml:space="preserve">variables </w:t>
      </w:r>
      <w:r w:rsidR="00F00DB5">
        <w:rPr>
          <w:rFonts w:asciiTheme="majorBidi" w:hAnsiTheme="majorBidi" w:cstheme="majorBidi"/>
        </w:rPr>
        <w:t>in</w:t>
      </w:r>
      <w:r w:rsidRPr="00FC1801">
        <w:rPr>
          <w:rFonts w:asciiTheme="majorBidi" w:hAnsiTheme="majorBidi" w:cstheme="majorBidi"/>
        </w:rPr>
        <w:t xml:space="preserve"> equation (1) </w:t>
      </w:r>
      <w:r w:rsidR="00DF7A77">
        <w:rPr>
          <w:rFonts w:asciiTheme="majorBidi" w:hAnsiTheme="majorBidi" w:cstheme="majorBidi"/>
        </w:rPr>
        <w:t>and</w:t>
      </w:r>
      <w:r w:rsidR="00F00DB5">
        <w:rPr>
          <w:rFonts w:asciiTheme="majorBidi" w:hAnsiTheme="majorBidi" w:cstheme="majorBidi"/>
        </w:rPr>
        <w:t xml:space="preserve"> interactions between them</w:t>
      </w:r>
      <w:r w:rsidRPr="00FC1801">
        <w:rPr>
          <w:rFonts w:asciiTheme="majorBidi" w:hAnsiTheme="majorBidi" w:cstheme="majorBidi"/>
        </w:rPr>
        <w:t xml:space="preserve"> and the predictions from equation (1), and </w:t>
      </w:r>
      <w:r w:rsidRPr="00FC1801">
        <w:rPr>
          <w:rFonts w:asciiTheme="majorBidi" w:hAnsiTheme="majorBidi" w:cstheme="majorBidi"/>
          <w:i/>
        </w:rPr>
        <w:t>A</w:t>
      </w:r>
      <w:r w:rsidRPr="00FC1801">
        <w:rPr>
          <w:rFonts w:asciiTheme="majorBidi" w:hAnsiTheme="majorBidi" w:cstheme="majorBidi"/>
        </w:rPr>
        <w:t xml:space="preserve"> is set equal to </w:t>
      </w:r>
      <w:r w:rsidRPr="00FC1801">
        <w:rPr>
          <w:rFonts w:asciiTheme="majorBidi" w:hAnsiTheme="majorBidi" w:cstheme="majorBidi"/>
          <w:position w:val="-12"/>
        </w:rPr>
        <w:object w:dxaOrig="1620" w:dyaOrig="380" w14:anchorId="12466788">
          <v:shape id="_x0000_i1035" type="#_x0000_t75" style="width:81pt;height:19.5pt" o:ole="">
            <v:imagedata r:id="rId31" o:title=""/>
          </v:shape>
          <o:OLEObject Type="Embed" ProgID="Equation.3" ShapeID="_x0000_i1035" DrawAspect="Content" ObjectID="_1561803288" r:id="rId32"/>
        </w:object>
      </w:r>
      <w:r w:rsidR="00F00DB5">
        <w:rPr>
          <w:rFonts w:asciiTheme="majorBidi" w:hAnsiTheme="majorBidi" w:cstheme="majorBidi"/>
        </w:rPr>
        <w:t xml:space="preserve"> E</w:t>
      </w:r>
      <w:r w:rsidRPr="00FC1801">
        <w:rPr>
          <w:rFonts w:asciiTheme="majorBidi" w:hAnsiTheme="majorBidi" w:cstheme="majorBidi"/>
        </w:rPr>
        <w:t xml:space="preserve">quation (3) </w:t>
      </w:r>
      <w:r w:rsidR="00F00DB5">
        <w:rPr>
          <w:rFonts w:asciiTheme="majorBidi" w:hAnsiTheme="majorBidi" w:cstheme="majorBidi"/>
        </w:rPr>
        <w:t xml:space="preserve">gives </w:t>
      </w:r>
      <w:r w:rsidRPr="00FC1801">
        <w:rPr>
          <w:rFonts w:asciiTheme="majorBidi" w:hAnsiTheme="majorBidi" w:cstheme="majorBidi"/>
        </w:rPr>
        <w:t xml:space="preserve">a household specific variance estimator for </w:t>
      </w:r>
      <w:r w:rsidRPr="00FC1801">
        <w:rPr>
          <w:rFonts w:asciiTheme="majorBidi" w:hAnsiTheme="majorBidi" w:cstheme="majorBidi"/>
          <w:position w:val="-12"/>
        </w:rPr>
        <w:object w:dxaOrig="320" w:dyaOrig="360" w14:anchorId="31FE87AD">
          <v:shape id="_x0000_i1036" type="#_x0000_t75" style="width:15pt;height:19.5pt" o:ole="">
            <v:imagedata r:id="rId33" o:title=""/>
          </v:shape>
          <o:OLEObject Type="Embed" ProgID="Equation.3" ShapeID="_x0000_i1036" DrawAspect="Content" ObjectID="_1561803289" r:id="rId34"/>
        </w:object>
      </w:r>
      <w:r w:rsidR="00737A59">
        <w:rPr>
          <w:rFonts w:asciiTheme="majorBidi" w:hAnsiTheme="majorBidi" w:cstheme="majorBidi"/>
        </w:rPr>
        <w:t xml:space="preserve"> which is</w:t>
      </w:r>
      <w:r w:rsidR="00B42A86">
        <w:rPr>
          <w:rFonts w:asciiTheme="majorBidi" w:hAnsiTheme="majorBidi" w:cstheme="majorBidi"/>
        </w:rPr>
        <w:t xml:space="preserve"> inserted along the diagonal of an </w:t>
      </w:r>
      <w:r w:rsidRPr="00FC1801">
        <w:rPr>
          <w:rFonts w:asciiTheme="majorBidi" w:hAnsiTheme="majorBidi" w:cstheme="majorBidi"/>
          <w:position w:val="-10"/>
        </w:rPr>
        <w:object w:dxaOrig="499" w:dyaOrig="260" w14:anchorId="7A54E019">
          <v:shape id="_x0000_i1037" type="#_x0000_t75" style="width:25.5pt;height:13.5pt" o:ole="">
            <v:imagedata r:id="rId35" o:title=""/>
          </v:shape>
          <o:OLEObject Type="Embed" ProgID="Equation.3" ShapeID="_x0000_i1037" DrawAspect="Content" ObjectID="_1561803290" r:id="rId36"/>
        </w:object>
      </w:r>
      <w:r w:rsidR="00B42A86">
        <w:rPr>
          <w:rFonts w:asciiTheme="majorBidi" w:hAnsiTheme="majorBidi" w:cstheme="majorBidi"/>
        </w:rPr>
        <w:t>square matrix</w:t>
      </w:r>
      <w:r w:rsidRPr="00FC1801">
        <w:rPr>
          <w:rFonts w:asciiTheme="majorBidi" w:hAnsiTheme="majorBidi" w:cstheme="majorBidi"/>
        </w:rPr>
        <w:t xml:space="preserve">, </w:t>
      </w:r>
      <w:r w:rsidR="00B42A86">
        <w:rPr>
          <w:rFonts w:asciiTheme="majorBidi" w:hAnsiTheme="majorBidi" w:cstheme="majorBidi"/>
        </w:rPr>
        <w:t xml:space="preserve">for </w:t>
      </w:r>
      <w:r w:rsidR="00737A59">
        <w:rPr>
          <w:rFonts w:asciiTheme="majorBidi" w:hAnsiTheme="majorBidi" w:cstheme="majorBidi"/>
        </w:rPr>
        <w:t xml:space="preserve">each of the </w:t>
      </w:r>
      <w:r w:rsidRPr="00FC1801">
        <w:rPr>
          <w:rFonts w:asciiTheme="majorBidi" w:hAnsiTheme="majorBidi" w:cstheme="majorBidi"/>
          <w:i/>
        </w:rPr>
        <w:t>n</w:t>
      </w:r>
      <w:r w:rsidRPr="00FC1801">
        <w:rPr>
          <w:rFonts w:asciiTheme="majorBidi" w:hAnsiTheme="majorBidi" w:cstheme="majorBidi"/>
        </w:rPr>
        <w:t xml:space="preserve"> surveyed households. </w:t>
      </w:r>
      <w:r w:rsidR="00B42A86">
        <w:rPr>
          <w:rFonts w:asciiTheme="majorBidi" w:hAnsiTheme="majorBidi" w:cstheme="majorBidi"/>
        </w:rPr>
        <w:t>A block matrix of the same size, where</w:t>
      </w:r>
      <w:r w:rsidRPr="00FC1801">
        <w:rPr>
          <w:rFonts w:asciiTheme="majorBidi" w:hAnsiTheme="majorBidi" w:cstheme="majorBidi"/>
        </w:rPr>
        <w:t xml:space="preserve"> each block </w:t>
      </w:r>
      <w:r w:rsidR="00F00DB5">
        <w:rPr>
          <w:rFonts w:asciiTheme="majorBidi" w:hAnsiTheme="majorBidi" w:cstheme="majorBidi"/>
        </w:rPr>
        <w:t xml:space="preserve">has the </w:t>
      </w:r>
      <w:r w:rsidRPr="00FC1801">
        <w:rPr>
          <w:rFonts w:asciiTheme="majorBidi" w:hAnsiTheme="majorBidi" w:cstheme="majorBidi"/>
        </w:rPr>
        <w:t>cluster</w:t>
      </w:r>
      <w:r w:rsidR="00B42A86">
        <w:rPr>
          <w:rFonts w:asciiTheme="majorBidi" w:hAnsiTheme="majorBidi" w:cstheme="majorBidi"/>
        </w:rPr>
        <w:t xml:space="preserve"> </w:t>
      </w:r>
      <w:r w:rsidR="00F00DB5">
        <w:rPr>
          <w:rFonts w:asciiTheme="majorBidi" w:hAnsiTheme="majorBidi" w:cstheme="majorBidi"/>
        </w:rPr>
        <w:t>variance</w:t>
      </w:r>
      <w:r w:rsidR="00B42A86">
        <w:rPr>
          <w:rFonts w:asciiTheme="majorBidi" w:hAnsiTheme="majorBidi" w:cstheme="majorBidi"/>
        </w:rPr>
        <w:t xml:space="preserve"> along the diagonal</w:t>
      </w:r>
      <w:r w:rsidR="00DF7A77">
        <w:rPr>
          <w:rFonts w:asciiTheme="majorBidi" w:hAnsiTheme="majorBidi" w:cstheme="majorBidi"/>
        </w:rPr>
        <w:t>,</w:t>
      </w:r>
      <w:r w:rsidR="00B42A86">
        <w:rPr>
          <w:rFonts w:asciiTheme="majorBidi" w:hAnsiTheme="majorBidi" w:cstheme="majorBidi"/>
        </w:rPr>
        <w:t xml:space="preserve"> </w:t>
      </w:r>
      <w:proofErr w:type="gramStart"/>
      <w:r w:rsidR="00B42A86">
        <w:rPr>
          <w:rFonts w:asciiTheme="majorBidi" w:hAnsiTheme="majorBidi" w:cstheme="majorBidi"/>
        </w:rPr>
        <w:t>is added</w:t>
      </w:r>
      <w:proofErr w:type="gramEnd"/>
      <w:r w:rsidR="00B42A86">
        <w:rPr>
          <w:rFonts w:asciiTheme="majorBidi" w:hAnsiTheme="majorBidi" w:cstheme="majorBidi"/>
        </w:rPr>
        <w:t xml:space="preserve"> </w:t>
      </w:r>
      <w:r w:rsidR="00DF7A77">
        <w:rPr>
          <w:rFonts w:asciiTheme="majorBidi" w:hAnsiTheme="majorBidi" w:cstheme="majorBidi"/>
        </w:rPr>
        <w:t>to form</w:t>
      </w:r>
      <w:r w:rsidR="00E12D88">
        <w:rPr>
          <w:rFonts w:asciiTheme="majorBidi" w:hAnsiTheme="majorBidi" w:cstheme="majorBidi"/>
        </w:rPr>
        <w:t xml:space="preserve"> the</w:t>
      </w:r>
      <w:r w:rsidRPr="00FC1801">
        <w:rPr>
          <w:rFonts w:asciiTheme="majorBidi" w:hAnsiTheme="majorBidi" w:cstheme="majorBidi"/>
        </w:rPr>
        <w:t xml:space="preserve"> variance-covariance matrix for the model</w:t>
      </w:r>
      <w:r w:rsidR="00E12D88">
        <w:rPr>
          <w:rFonts w:asciiTheme="majorBidi" w:hAnsiTheme="majorBidi" w:cstheme="majorBidi"/>
        </w:rPr>
        <w:t xml:space="preserve">, </w:t>
      </w:r>
      <w:r w:rsidR="00DF7A77">
        <w:rPr>
          <w:rFonts w:asciiTheme="majorBidi" w:hAnsiTheme="majorBidi" w:cstheme="majorBidi"/>
        </w:rPr>
        <w:t xml:space="preserve">so </w:t>
      </w:r>
      <w:r w:rsidR="00650ABF">
        <w:rPr>
          <w:rFonts w:asciiTheme="majorBidi" w:hAnsiTheme="majorBidi" w:cstheme="majorBidi"/>
        </w:rPr>
        <w:t xml:space="preserve">that </w:t>
      </w:r>
      <w:r w:rsidR="00B42A86">
        <w:rPr>
          <w:rFonts w:asciiTheme="majorBidi" w:hAnsiTheme="majorBidi" w:cstheme="majorBidi"/>
        </w:rPr>
        <w:t xml:space="preserve">equation (1) </w:t>
      </w:r>
      <w:r w:rsidR="00650ABF">
        <w:rPr>
          <w:rFonts w:asciiTheme="majorBidi" w:hAnsiTheme="majorBidi" w:cstheme="majorBidi"/>
        </w:rPr>
        <w:t xml:space="preserve">can </w:t>
      </w:r>
      <w:r w:rsidR="00B42A86">
        <w:rPr>
          <w:rFonts w:asciiTheme="majorBidi" w:hAnsiTheme="majorBidi" w:cstheme="majorBidi"/>
        </w:rPr>
        <w:t>be</w:t>
      </w:r>
      <w:r w:rsidRPr="00FC1801">
        <w:rPr>
          <w:rFonts w:asciiTheme="majorBidi" w:hAnsiTheme="majorBidi" w:cstheme="majorBidi"/>
        </w:rPr>
        <w:t xml:space="preserve"> re-estimated by</w:t>
      </w:r>
      <w:r w:rsidR="00DF7A77">
        <w:rPr>
          <w:rFonts w:asciiTheme="majorBidi" w:hAnsiTheme="majorBidi" w:cstheme="majorBidi"/>
        </w:rPr>
        <w:t xml:space="preserve"> Generalized Least Squares</w:t>
      </w:r>
      <w:r w:rsidRPr="00FC1801">
        <w:rPr>
          <w:rFonts w:asciiTheme="majorBidi" w:hAnsiTheme="majorBidi" w:cstheme="majorBidi"/>
        </w:rPr>
        <w:t>.</w:t>
      </w:r>
    </w:p>
    <w:p w14:paraId="7CC771D5" w14:textId="77777777" w:rsidR="00ED4A8F" w:rsidRPr="00FC1801" w:rsidRDefault="00ED4A8F" w:rsidP="001214AD">
      <w:pPr>
        <w:autoSpaceDE w:val="0"/>
        <w:autoSpaceDN w:val="0"/>
        <w:adjustRightInd w:val="0"/>
        <w:spacing w:line="288" w:lineRule="auto"/>
        <w:rPr>
          <w:rFonts w:asciiTheme="majorBidi" w:hAnsiTheme="majorBidi" w:cstheme="majorBidi"/>
        </w:rPr>
      </w:pPr>
    </w:p>
    <w:p w14:paraId="1BEDB7A2" w14:textId="264B0E7D" w:rsidR="00FC1801" w:rsidRDefault="00FC1801" w:rsidP="001214AD">
      <w:pPr>
        <w:autoSpaceDE w:val="0"/>
        <w:autoSpaceDN w:val="0"/>
        <w:adjustRightInd w:val="0"/>
        <w:spacing w:line="288" w:lineRule="auto"/>
        <w:ind w:firstLine="720"/>
        <w:rPr>
          <w:rFonts w:asciiTheme="majorBidi" w:hAnsiTheme="majorBidi" w:cstheme="majorBidi"/>
        </w:rPr>
      </w:pPr>
      <w:r w:rsidRPr="00FC1801">
        <w:rPr>
          <w:rFonts w:asciiTheme="majorBidi" w:hAnsiTheme="majorBidi" w:cstheme="majorBidi"/>
        </w:rPr>
        <w:t xml:space="preserve">In the simulation stage, the estimated regression coefficients from equation (1) </w:t>
      </w:r>
      <w:proofErr w:type="gramStart"/>
      <w:r w:rsidRPr="00FC1801">
        <w:rPr>
          <w:rFonts w:asciiTheme="majorBidi" w:hAnsiTheme="majorBidi" w:cstheme="majorBidi"/>
        </w:rPr>
        <w:t>are applied</w:t>
      </w:r>
      <w:proofErr w:type="gramEnd"/>
      <w:r w:rsidRPr="00FC1801">
        <w:rPr>
          <w:rFonts w:asciiTheme="majorBidi" w:hAnsiTheme="majorBidi" w:cstheme="majorBidi"/>
        </w:rPr>
        <w:t xml:space="preserve"> to </w:t>
      </w:r>
      <w:r w:rsidRPr="00FC1801">
        <w:rPr>
          <w:rFonts w:asciiTheme="majorBidi" w:hAnsiTheme="majorBidi" w:cstheme="majorBidi"/>
          <w:position w:val="-12"/>
        </w:rPr>
        <w:object w:dxaOrig="340" w:dyaOrig="360" w14:anchorId="0CEC12D7">
          <v:shape id="_x0000_i1038" type="#_x0000_t75" style="width:18pt;height:19.5pt" o:ole="">
            <v:imagedata r:id="rId37" o:title=""/>
          </v:shape>
          <o:OLEObject Type="Embed" ProgID="Equation.3" ShapeID="_x0000_i1038" DrawAspect="Content" ObjectID="_1561803291" r:id="rId38"/>
        </w:object>
      </w:r>
      <w:r w:rsidRPr="00FC1801">
        <w:rPr>
          <w:rFonts w:asciiTheme="majorBidi" w:hAnsiTheme="majorBidi" w:cstheme="majorBidi"/>
        </w:rPr>
        <w:t xml:space="preserve"> from the census</w:t>
      </w:r>
      <w:r w:rsidRPr="00FC1801">
        <w:rPr>
          <w:rFonts w:asciiTheme="majorBidi" w:hAnsiTheme="majorBidi" w:cstheme="majorBidi"/>
          <w:i/>
        </w:rPr>
        <w:t xml:space="preserve"> </w:t>
      </w:r>
      <w:r w:rsidRPr="00FC1801">
        <w:rPr>
          <w:rFonts w:asciiTheme="majorBidi" w:hAnsiTheme="majorBidi" w:cstheme="majorBidi"/>
        </w:rPr>
        <w:t xml:space="preserve">to </w:t>
      </w:r>
      <w:r w:rsidR="00037D0A">
        <w:rPr>
          <w:rFonts w:asciiTheme="majorBidi" w:hAnsiTheme="majorBidi" w:cstheme="majorBidi"/>
        </w:rPr>
        <w:t>predict consumption for every census</w:t>
      </w:r>
      <w:r w:rsidRPr="00FC1801">
        <w:rPr>
          <w:rFonts w:asciiTheme="majorBidi" w:hAnsiTheme="majorBidi" w:cstheme="majorBidi"/>
        </w:rPr>
        <w:t xml:space="preserve"> household. </w:t>
      </w:r>
      <w:r w:rsidR="00A156DF">
        <w:rPr>
          <w:rFonts w:asciiTheme="majorBidi" w:hAnsiTheme="majorBidi" w:cstheme="majorBidi"/>
        </w:rPr>
        <w:t xml:space="preserve">For each of </w:t>
      </w:r>
      <w:r w:rsidR="00A156DF">
        <w:rPr>
          <w:rFonts w:asciiTheme="majorBidi" w:hAnsiTheme="majorBidi" w:cstheme="majorBidi"/>
          <w:i/>
          <w:iCs/>
        </w:rPr>
        <w:t xml:space="preserve">r </w:t>
      </w:r>
      <w:r w:rsidRPr="00FC1801">
        <w:rPr>
          <w:rFonts w:asciiTheme="majorBidi" w:hAnsiTheme="majorBidi" w:cstheme="majorBidi"/>
        </w:rPr>
        <w:t>simulations a set of beta and alpha coefficients,</w:t>
      </w:r>
      <w:r>
        <w:rPr>
          <w:rFonts w:asciiTheme="majorBidi" w:hAnsiTheme="majorBidi" w:cstheme="majorBidi"/>
        </w:rPr>
        <w:t xml:space="preserve"> </w:t>
      </w:r>
      <w:r w:rsidRPr="00FC1801">
        <w:rPr>
          <w:rFonts w:asciiTheme="majorBidi" w:hAnsiTheme="majorBidi" w:cstheme="majorBidi"/>
          <w:position w:val="-10"/>
        </w:rPr>
        <w:object w:dxaOrig="220" w:dyaOrig="380" w14:anchorId="435A78B2">
          <v:shape id="_x0000_i1039" type="#_x0000_t75" style="width:12pt;height:19.5pt" o:ole="">
            <v:imagedata r:id="rId39" o:title=""/>
          </v:shape>
          <o:OLEObject Type="Embed" ProgID="Equation.3" ShapeID="_x0000_i1039" DrawAspect="Content" ObjectID="_1561803292" r:id="rId40"/>
        </w:object>
      </w:r>
      <w:r w:rsidRPr="00FC1801">
        <w:rPr>
          <w:rFonts w:asciiTheme="majorBidi" w:hAnsiTheme="majorBidi" w:cstheme="majorBidi"/>
        </w:rPr>
        <w:t xml:space="preserve">and </w:t>
      </w:r>
      <w:r w:rsidRPr="00FC1801">
        <w:rPr>
          <w:rFonts w:asciiTheme="majorBidi" w:hAnsiTheme="majorBidi" w:cstheme="majorBidi"/>
          <w:position w:val="-6"/>
        </w:rPr>
        <w:object w:dxaOrig="220" w:dyaOrig="279" w14:anchorId="07C726FD">
          <v:shape id="_x0000_i1040" type="#_x0000_t75" style="width:12pt;height:13.5pt" o:ole="">
            <v:imagedata r:id="rId41" o:title=""/>
          </v:shape>
          <o:OLEObject Type="Embed" ProgID="Equation.3" ShapeID="_x0000_i1040" DrawAspect="Content" ObjectID="_1561803293" r:id="rId42"/>
        </w:object>
      </w:r>
      <w:r w:rsidR="00A156DF">
        <w:rPr>
          <w:rFonts w:asciiTheme="majorBidi" w:hAnsiTheme="majorBidi" w:cstheme="majorBidi"/>
        </w:rPr>
        <w:t>are drawn</w:t>
      </w:r>
      <w:r w:rsidRPr="00FC1801">
        <w:rPr>
          <w:rFonts w:asciiTheme="majorBidi" w:hAnsiTheme="majorBidi" w:cstheme="majorBidi"/>
        </w:rPr>
        <w:t xml:space="preserve"> from multivariate normal distributions </w:t>
      </w:r>
      <w:r w:rsidR="00037D0A">
        <w:rPr>
          <w:rFonts w:asciiTheme="majorBidi" w:hAnsiTheme="majorBidi" w:cstheme="majorBidi"/>
        </w:rPr>
        <w:t xml:space="preserve">based on </w:t>
      </w:r>
      <w:r w:rsidRPr="00FC1801">
        <w:rPr>
          <w:rFonts w:asciiTheme="majorBidi" w:hAnsiTheme="majorBidi" w:cstheme="majorBidi"/>
        </w:rPr>
        <w:t xml:space="preserve">the first stage point estimates and variance-covariance matrices. Additionally, </w:t>
      </w:r>
      <w:r w:rsidRPr="00FC1801">
        <w:rPr>
          <w:rFonts w:asciiTheme="majorBidi" w:hAnsiTheme="majorBidi" w:cstheme="majorBidi"/>
          <w:position w:val="-14"/>
        </w:rPr>
        <w:object w:dxaOrig="580" w:dyaOrig="400" w14:anchorId="22DBB014">
          <v:shape id="_x0000_i1041" type="#_x0000_t75" style="width:30pt;height:19.5pt" o:ole="">
            <v:imagedata r:id="rId43" o:title=""/>
          </v:shape>
          <o:OLEObject Type="Embed" ProgID="Equation.3" ShapeID="_x0000_i1041" DrawAspect="Content" ObjectID="_1561803294" r:id="rId44"/>
        </w:object>
      </w:r>
      <w:r w:rsidRPr="00FC1801">
        <w:rPr>
          <w:rFonts w:asciiTheme="majorBidi" w:hAnsiTheme="majorBidi" w:cstheme="majorBidi"/>
        </w:rPr>
        <w:t xml:space="preserve"> a simulated value of the variance of the location error component is drawn</w:t>
      </w:r>
      <w:r w:rsidR="00A156DF">
        <w:rPr>
          <w:rFonts w:asciiTheme="majorBidi" w:hAnsiTheme="majorBidi" w:cstheme="majorBidi"/>
        </w:rPr>
        <w:t xml:space="preserve">, and then equation (3) </w:t>
      </w:r>
      <w:proofErr w:type="gramStart"/>
      <w:r w:rsidR="00A156DF">
        <w:rPr>
          <w:rFonts w:asciiTheme="majorBidi" w:hAnsiTheme="majorBidi" w:cstheme="majorBidi"/>
        </w:rPr>
        <w:t>is applied</w:t>
      </w:r>
      <w:proofErr w:type="gramEnd"/>
      <w:r w:rsidR="00A156DF">
        <w:rPr>
          <w:rFonts w:asciiTheme="majorBidi" w:hAnsiTheme="majorBidi" w:cstheme="majorBidi"/>
        </w:rPr>
        <w:t xml:space="preserve"> to </w:t>
      </w:r>
      <w:r w:rsidRPr="00FC1801">
        <w:rPr>
          <w:rFonts w:asciiTheme="majorBidi" w:hAnsiTheme="majorBidi" w:cstheme="majorBidi"/>
        </w:rPr>
        <w:t xml:space="preserve">each census household </w:t>
      </w:r>
      <w:r w:rsidR="00A156DF">
        <w:rPr>
          <w:rFonts w:asciiTheme="majorBidi" w:hAnsiTheme="majorBidi" w:cstheme="majorBidi"/>
        </w:rPr>
        <w:t xml:space="preserve">to calculate </w:t>
      </w:r>
      <w:r w:rsidRPr="00FC1801">
        <w:rPr>
          <w:rFonts w:asciiTheme="majorBidi" w:hAnsiTheme="majorBidi" w:cstheme="majorBidi"/>
        </w:rPr>
        <w:t xml:space="preserve">the household-specific error component, </w:t>
      </w:r>
      <w:r w:rsidRPr="00FC1801">
        <w:rPr>
          <w:rFonts w:asciiTheme="majorBidi" w:hAnsiTheme="majorBidi" w:cstheme="majorBidi"/>
          <w:position w:val="-14"/>
        </w:rPr>
        <w:object w:dxaOrig="740" w:dyaOrig="400" w14:anchorId="60FEBE2A">
          <v:shape id="_x0000_i1042" type="#_x0000_t75" style="width:36pt;height:19.5pt" o:ole="">
            <v:imagedata r:id="rId45" o:title=""/>
          </v:shape>
          <o:OLEObject Type="Embed" ProgID="Equation.3" ShapeID="_x0000_i1042" DrawAspect="Content" ObjectID="_1561803295" r:id="rId46"/>
        </w:object>
      </w:r>
      <w:r w:rsidR="00A156DF">
        <w:rPr>
          <w:rFonts w:asciiTheme="majorBidi" w:hAnsiTheme="majorBidi" w:cstheme="majorBidi"/>
        </w:rPr>
        <w:t>of the variance</w:t>
      </w:r>
      <w:r w:rsidRPr="00FC1801">
        <w:rPr>
          <w:rFonts w:asciiTheme="majorBidi" w:hAnsiTheme="majorBidi" w:cstheme="majorBidi"/>
        </w:rPr>
        <w:t>.</w:t>
      </w:r>
      <w:r w:rsidR="00037D0A">
        <w:rPr>
          <w:rFonts w:asciiTheme="majorBidi" w:hAnsiTheme="majorBidi" w:cstheme="majorBidi"/>
        </w:rPr>
        <w:t xml:space="preserve"> S</w:t>
      </w:r>
      <w:r w:rsidRPr="00FC1801">
        <w:rPr>
          <w:rFonts w:asciiTheme="majorBidi" w:hAnsiTheme="majorBidi" w:cstheme="majorBidi"/>
        </w:rPr>
        <w:t xml:space="preserve">imulated disturbance terms, </w:t>
      </w:r>
      <w:r w:rsidRPr="00FC1801">
        <w:rPr>
          <w:rFonts w:asciiTheme="majorBidi" w:hAnsiTheme="majorBidi" w:cstheme="majorBidi"/>
          <w:position w:val="-12"/>
        </w:rPr>
        <w:object w:dxaOrig="300" w:dyaOrig="380" w14:anchorId="27D2355D">
          <v:shape id="_x0000_i1043" type="#_x0000_t75" style="width:16.5pt;height:19.5pt" o:ole="">
            <v:imagedata r:id="rId47" o:title=""/>
          </v:shape>
          <o:OLEObject Type="Embed" ProgID="Equation.3" ShapeID="_x0000_i1043" DrawAspect="Content" ObjectID="_1561803296" r:id="rId48"/>
        </w:object>
      </w:r>
      <w:r w:rsidRPr="00FC1801">
        <w:rPr>
          <w:rFonts w:asciiTheme="majorBidi" w:hAnsiTheme="majorBidi" w:cstheme="majorBidi"/>
        </w:rPr>
        <w:t xml:space="preserve"> and </w:t>
      </w:r>
      <w:r w:rsidRPr="00FC1801">
        <w:rPr>
          <w:rFonts w:asciiTheme="majorBidi" w:hAnsiTheme="majorBidi" w:cstheme="majorBidi"/>
          <w:position w:val="-12"/>
        </w:rPr>
        <w:object w:dxaOrig="320" w:dyaOrig="380" w14:anchorId="4655FE09">
          <v:shape id="_x0000_i1044" type="#_x0000_t75" style="width:15pt;height:19.5pt" o:ole="">
            <v:imagedata r:id="rId49" o:title=""/>
          </v:shape>
          <o:OLEObject Type="Embed" ProgID="Equation.3" ShapeID="_x0000_i1044" DrawAspect="Content" ObjectID="_1561803297" r:id="rId50"/>
        </w:object>
      </w:r>
      <w:r w:rsidRPr="00FC1801">
        <w:rPr>
          <w:rFonts w:asciiTheme="majorBidi" w:hAnsiTheme="majorBidi" w:cstheme="majorBidi"/>
        </w:rPr>
        <w:t xml:space="preserve"> </w:t>
      </w:r>
      <w:proofErr w:type="gramStart"/>
      <w:r w:rsidRPr="00FC1801">
        <w:rPr>
          <w:rFonts w:asciiTheme="majorBidi" w:hAnsiTheme="majorBidi" w:cstheme="majorBidi"/>
        </w:rPr>
        <w:t xml:space="preserve">are </w:t>
      </w:r>
      <w:r w:rsidR="00037D0A">
        <w:rPr>
          <w:rFonts w:asciiTheme="majorBidi" w:hAnsiTheme="majorBidi" w:cstheme="majorBidi"/>
        </w:rPr>
        <w:t xml:space="preserve">then </w:t>
      </w:r>
      <w:r w:rsidRPr="00FC1801">
        <w:rPr>
          <w:rFonts w:asciiTheme="majorBidi" w:hAnsiTheme="majorBidi" w:cstheme="majorBidi"/>
        </w:rPr>
        <w:t>drawn</w:t>
      </w:r>
      <w:proofErr w:type="gramEnd"/>
      <w:r w:rsidRPr="00FC1801">
        <w:rPr>
          <w:rFonts w:asciiTheme="majorBidi" w:hAnsiTheme="majorBidi" w:cstheme="majorBidi"/>
        </w:rPr>
        <w:t xml:space="preserve"> from thei</w:t>
      </w:r>
      <w:r w:rsidR="00037D0A">
        <w:rPr>
          <w:rFonts w:asciiTheme="majorBidi" w:hAnsiTheme="majorBidi" w:cstheme="majorBidi"/>
        </w:rPr>
        <w:t>r corresponding distributions. The</w:t>
      </w:r>
      <w:r w:rsidRPr="00FC1801">
        <w:rPr>
          <w:rFonts w:asciiTheme="majorBidi" w:hAnsiTheme="majorBidi" w:cstheme="majorBidi"/>
        </w:rPr>
        <w:t xml:space="preserve"> consumption </w:t>
      </w:r>
      <w:r w:rsidR="00037D0A">
        <w:rPr>
          <w:rFonts w:asciiTheme="majorBidi" w:hAnsiTheme="majorBidi" w:cstheme="majorBidi"/>
        </w:rPr>
        <w:t>of</w:t>
      </w:r>
      <w:r w:rsidRPr="00FC1801">
        <w:rPr>
          <w:rFonts w:asciiTheme="majorBidi" w:hAnsiTheme="majorBidi" w:cstheme="majorBidi"/>
        </w:rPr>
        <w:t xml:space="preserve"> each census </w:t>
      </w:r>
      <w:proofErr w:type="gramStart"/>
      <w:r w:rsidRPr="00FC1801">
        <w:rPr>
          <w:rFonts w:asciiTheme="majorBidi" w:hAnsiTheme="majorBidi" w:cstheme="majorBidi"/>
        </w:rPr>
        <w:t>household,</w:t>
      </w:r>
      <w:proofErr w:type="gramEnd"/>
      <w:r w:rsidRPr="00FC1801">
        <w:rPr>
          <w:rFonts w:asciiTheme="majorBidi" w:hAnsiTheme="majorBidi" w:cstheme="majorBidi"/>
        </w:rPr>
        <w:t xml:space="preserve"> </w:t>
      </w:r>
      <w:r w:rsidRPr="00FC1801">
        <w:rPr>
          <w:rFonts w:asciiTheme="majorBidi" w:hAnsiTheme="majorBidi" w:cstheme="majorBidi"/>
          <w:position w:val="-14"/>
        </w:rPr>
        <w:object w:dxaOrig="340" w:dyaOrig="400" w14:anchorId="6BFF8385">
          <v:shape id="_x0000_i1045" type="#_x0000_t75" style="width:18pt;height:19.5pt" o:ole="">
            <v:imagedata r:id="rId51" o:title=""/>
          </v:shape>
          <o:OLEObject Type="Embed" ProgID="Equation.3" ShapeID="_x0000_i1045" DrawAspect="Content" ObjectID="_1561803298" r:id="rId52"/>
        </w:object>
      </w:r>
      <w:r w:rsidRPr="00FC1801">
        <w:rPr>
          <w:rFonts w:asciiTheme="majorBidi" w:hAnsiTheme="majorBidi" w:cstheme="majorBidi"/>
        </w:rPr>
        <w:t xml:space="preserve"> is </w:t>
      </w:r>
      <w:r w:rsidR="00037D0A">
        <w:rPr>
          <w:rFonts w:asciiTheme="majorBidi" w:hAnsiTheme="majorBidi" w:cstheme="majorBidi"/>
        </w:rPr>
        <w:t xml:space="preserve">from </w:t>
      </w:r>
      <w:r w:rsidRPr="00FC1801">
        <w:rPr>
          <w:rFonts w:asciiTheme="majorBidi" w:hAnsiTheme="majorBidi" w:cstheme="majorBidi"/>
        </w:rPr>
        <w:t xml:space="preserve">the combined effect of the predicted log expenditure, </w:t>
      </w:r>
      <w:r w:rsidRPr="00FC1801">
        <w:rPr>
          <w:rFonts w:asciiTheme="majorBidi" w:hAnsiTheme="majorBidi" w:cstheme="majorBidi"/>
          <w:position w:val="-14"/>
        </w:rPr>
        <w:object w:dxaOrig="600" w:dyaOrig="420" w14:anchorId="446586DE">
          <v:shape id="_x0000_i1046" type="#_x0000_t75" style="width:30pt;height:22.5pt" o:ole="">
            <v:imagedata r:id="rId53" o:title=""/>
          </v:shape>
          <o:OLEObject Type="Embed" ProgID="Equation.3" ShapeID="_x0000_i1046" DrawAspect="Content" ObjectID="_1561803299" r:id="rId54"/>
        </w:object>
      </w:r>
      <w:r w:rsidRPr="00FC1801">
        <w:rPr>
          <w:rFonts w:asciiTheme="majorBidi" w:hAnsiTheme="majorBidi" w:cstheme="majorBidi"/>
        </w:rPr>
        <w:t>and the disturbance terms:</w:t>
      </w:r>
    </w:p>
    <w:p w14:paraId="0A66E8DA" w14:textId="77777777" w:rsidR="00ED4A8F" w:rsidRPr="001657D0" w:rsidRDefault="00ED4A8F" w:rsidP="001214AD">
      <w:pPr>
        <w:autoSpaceDE w:val="0"/>
        <w:autoSpaceDN w:val="0"/>
        <w:adjustRightInd w:val="0"/>
        <w:spacing w:line="288" w:lineRule="auto"/>
        <w:ind w:firstLine="720"/>
        <w:rPr>
          <w:rFonts w:asciiTheme="majorBidi" w:hAnsiTheme="majorBidi" w:cstheme="majorBidi"/>
          <w:sz w:val="16"/>
          <w:szCs w:val="16"/>
        </w:rPr>
      </w:pPr>
    </w:p>
    <w:p w14:paraId="09AA79FA" w14:textId="3081F100" w:rsidR="00FC1801" w:rsidRPr="00FC1801" w:rsidRDefault="00FC1801" w:rsidP="001214AD">
      <w:pPr>
        <w:autoSpaceDE w:val="0"/>
        <w:autoSpaceDN w:val="0"/>
        <w:adjustRightInd w:val="0"/>
        <w:spacing w:line="288" w:lineRule="auto"/>
        <w:ind w:firstLine="720"/>
        <w:jc w:val="right"/>
        <w:rPr>
          <w:rFonts w:asciiTheme="majorBidi" w:hAnsiTheme="majorBidi" w:cstheme="majorBidi"/>
        </w:rPr>
      </w:pPr>
      <w:r w:rsidRPr="00FC1801">
        <w:rPr>
          <w:rFonts w:asciiTheme="majorBidi" w:hAnsiTheme="majorBidi" w:cstheme="majorBidi"/>
          <w:position w:val="-16"/>
        </w:rPr>
        <w:object w:dxaOrig="2560" w:dyaOrig="440" w14:anchorId="05F3CEBD">
          <v:shape id="_x0000_i1047" type="#_x0000_t75" style="width:127.5pt;height:24pt" o:ole="">
            <v:imagedata r:id="rId55" o:title=""/>
          </v:shape>
          <o:OLEObject Type="Embed" ProgID="Equation.3" ShapeID="_x0000_i1047" DrawAspect="Content" ObjectID="_1561803300" r:id="rId56"/>
        </w:object>
      </w:r>
      <w:r w:rsidRPr="00FC1801">
        <w:rPr>
          <w:rFonts w:asciiTheme="majorBidi" w:hAnsiTheme="majorBidi" w:cstheme="majorBidi"/>
        </w:rPr>
        <w:t xml:space="preserve">               </w:t>
      </w:r>
      <w:r w:rsidR="00737A59">
        <w:rPr>
          <w:rFonts w:asciiTheme="majorBidi" w:hAnsiTheme="majorBidi" w:cstheme="majorBidi"/>
        </w:rPr>
        <w:t xml:space="preserve">                              </w:t>
      </w:r>
      <w:r w:rsidR="00737A59" w:rsidRPr="001657D0">
        <w:rPr>
          <w:rFonts w:asciiTheme="majorBidi" w:hAnsiTheme="majorBidi" w:cstheme="majorBidi"/>
          <w:sz w:val="22"/>
          <w:szCs w:val="22"/>
        </w:rPr>
        <w:t>(4</w:t>
      </w:r>
      <w:r w:rsidRPr="001657D0">
        <w:rPr>
          <w:rFonts w:asciiTheme="majorBidi" w:hAnsiTheme="majorBidi" w:cstheme="majorBidi"/>
          <w:sz w:val="22"/>
          <w:szCs w:val="22"/>
        </w:rPr>
        <w:t>)</w:t>
      </w:r>
    </w:p>
    <w:p w14:paraId="28FFA46D" w14:textId="77777777" w:rsidR="00ED4A8F" w:rsidRPr="001657D0" w:rsidRDefault="00ED4A8F" w:rsidP="001214AD">
      <w:pPr>
        <w:autoSpaceDE w:val="0"/>
        <w:autoSpaceDN w:val="0"/>
        <w:adjustRightInd w:val="0"/>
        <w:spacing w:line="288" w:lineRule="auto"/>
        <w:rPr>
          <w:rFonts w:asciiTheme="majorBidi" w:hAnsiTheme="majorBidi" w:cstheme="majorBidi"/>
          <w:sz w:val="16"/>
          <w:szCs w:val="16"/>
        </w:rPr>
      </w:pPr>
    </w:p>
    <w:p w14:paraId="6C16212B" w14:textId="536C8603" w:rsidR="00FC1801" w:rsidRPr="00FC1801" w:rsidRDefault="002C610A" w:rsidP="001214AD">
      <w:pPr>
        <w:autoSpaceDE w:val="0"/>
        <w:autoSpaceDN w:val="0"/>
        <w:adjustRightInd w:val="0"/>
        <w:spacing w:line="288" w:lineRule="auto"/>
        <w:rPr>
          <w:rFonts w:asciiTheme="majorBidi" w:hAnsiTheme="majorBidi" w:cstheme="majorBidi"/>
        </w:rPr>
      </w:pPr>
      <w:r>
        <w:rPr>
          <w:rFonts w:asciiTheme="majorBidi" w:hAnsiTheme="majorBidi" w:cstheme="majorBidi"/>
        </w:rPr>
        <w:tab/>
      </w:r>
      <w:r w:rsidR="00FC1801" w:rsidRPr="00FC1801">
        <w:rPr>
          <w:rFonts w:asciiTheme="majorBidi" w:hAnsiTheme="majorBidi" w:cstheme="majorBidi"/>
        </w:rPr>
        <w:t xml:space="preserve">The simulations </w:t>
      </w:r>
      <w:proofErr w:type="gramStart"/>
      <w:r w:rsidR="00FC1801" w:rsidRPr="00FC1801">
        <w:rPr>
          <w:rFonts w:asciiTheme="majorBidi" w:hAnsiTheme="majorBidi" w:cstheme="majorBidi"/>
        </w:rPr>
        <w:t>are repeated</w:t>
      </w:r>
      <w:proofErr w:type="gramEnd"/>
      <w:r w:rsidR="00FC1801" w:rsidRPr="00FC1801">
        <w:rPr>
          <w:rFonts w:asciiTheme="majorBidi" w:hAnsiTheme="majorBidi" w:cstheme="majorBidi"/>
        </w:rPr>
        <w:t xml:space="preserve"> </w:t>
      </w:r>
      <w:r w:rsidR="00FC1801" w:rsidRPr="00FC1801">
        <w:rPr>
          <w:rFonts w:asciiTheme="majorBidi" w:hAnsiTheme="majorBidi" w:cstheme="majorBidi"/>
          <w:iCs/>
        </w:rPr>
        <w:t>100</w:t>
      </w:r>
      <w:r w:rsidR="00FC1801" w:rsidRPr="00FC1801">
        <w:rPr>
          <w:rFonts w:asciiTheme="majorBidi" w:hAnsiTheme="majorBidi" w:cstheme="majorBidi"/>
        </w:rPr>
        <w:t xml:space="preserve"> times, drawing a new set of coefficients and disturbance terms for each simulati</w:t>
      </w:r>
      <w:r w:rsidR="00A156DF">
        <w:rPr>
          <w:rFonts w:asciiTheme="majorBidi" w:hAnsiTheme="majorBidi" w:cstheme="majorBidi"/>
        </w:rPr>
        <w:t>on. T</w:t>
      </w:r>
      <w:r w:rsidR="00FC1801" w:rsidRPr="00FC1801">
        <w:rPr>
          <w:rFonts w:asciiTheme="majorBidi" w:hAnsiTheme="majorBidi" w:cstheme="majorBidi"/>
        </w:rPr>
        <w:t xml:space="preserve">he full set of simulated </w:t>
      </w:r>
      <w:r w:rsidR="00FC1801" w:rsidRPr="00FC1801">
        <w:rPr>
          <w:rFonts w:asciiTheme="majorBidi" w:hAnsiTheme="majorBidi" w:cstheme="majorBidi"/>
          <w:position w:val="-12"/>
        </w:rPr>
        <w:object w:dxaOrig="340" w:dyaOrig="380" w14:anchorId="754EE533">
          <v:shape id="_x0000_i1048" type="#_x0000_t75" style="width:18pt;height:19.5pt" o:ole="">
            <v:imagedata r:id="rId57" o:title=""/>
          </v:shape>
          <o:OLEObject Type="Embed" ProgID="Equation.3" ShapeID="_x0000_i1048" DrawAspect="Content" ObjectID="_1561803301" r:id="rId58"/>
        </w:object>
      </w:r>
      <w:r w:rsidR="00FC1801" w:rsidRPr="00FC1801">
        <w:rPr>
          <w:rFonts w:asciiTheme="majorBidi" w:hAnsiTheme="majorBidi" w:cstheme="majorBidi"/>
        </w:rPr>
        <w:t xml:space="preserve"> values are used to</w:t>
      </w:r>
      <w:r w:rsidR="000B2F24">
        <w:rPr>
          <w:rFonts w:asciiTheme="majorBidi" w:hAnsiTheme="majorBidi" w:cstheme="majorBidi"/>
        </w:rPr>
        <w:t xml:space="preserve"> measure inequality</w:t>
      </w:r>
      <w:r w:rsidR="00DF7A77">
        <w:rPr>
          <w:rFonts w:asciiTheme="majorBidi" w:hAnsiTheme="majorBidi" w:cstheme="majorBidi"/>
        </w:rPr>
        <w:t>;</w:t>
      </w:r>
      <w:r w:rsidR="00A156DF">
        <w:rPr>
          <w:rFonts w:asciiTheme="majorBidi" w:hAnsiTheme="majorBidi" w:cstheme="majorBidi"/>
        </w:rPr>
        <w:t xml:space="preserve"> the mean of the 100 s</w:t>
      </w:r>
      <w:r w:rsidR="009873B3">
        <w:rPr>
          <w:rFonts w:asciiTheme="majorBidi" w:hAnsiTheme="majorBidi" w:cstheme="majorBidi"/>
        </w:rPr>
        <w:t>imulations gives</w:t>
      </w:r>
      <w:r w:rsidR="00A156DF">
        <w:rPr>
          <w:rFonts w:asciiTheme="majorBidi" w:hAnsiTheme="majorBidi" w:cstheme="majorBidi"/>
        </w:rPr>
        <w:t xml:space="preserve"> the point estimate </w:t>
      </w:r>
      <w:r w:rsidR="00650ABF">
        <w:rPr>
          <w:rFonts w:asciiTheme="majorBidi" w:hAnsiTheme="majorBidi" w:cstheme="majorBidi"/>
        </w:rPr>
        <w:t xml:space="preserve">of the Gini index </w:t>
      </w:r>
      <w:r w:rsidR="00A156DF">
        <w:rPr>
          <w:rFonts w:asciiTheme="majorBidi" w:hAnsiTheme="majorBidi" w:cstheme="majorBidi"/>
        </w:rPr>
        <w:t>for each small area</w:t>
      </w:r>
      <w:r w:rsidR="00FC1801" w:rsidRPr="00FC1801">
        <w:rPr>
          <w:rFonts w:asciiTheme="majorBidi" w:hAnsiTheme="majorBidi" w:cstheme="majorBidi"/>
        </w:rPr>
        <w:t>, a</w:t>
      </w:r>
      <w:r w:rsidR="00A156DF">
        <w:rPr>
          <w:rFonts w:asciiTheme="majorBidi" w:hAnsiTheme="majorBidi" w:cstheme="majorBidi"/>
        </w:rPr>
        <w:t>n</w:t>
      </w:r>
      <w:r w:rsidR="009873B3">
        <w:rPr>
          <w:rFonts w:asciiTheme="majorBidi" w:hAnsiTheme="majorBidi" w:cstheme="majorBidi"/>
        </w:rPr>
        <w:t>d the standard deviation serves</w:t>
      </w:r>
      <w:r w:rsidR="00FC1801" w:rsidRPr="00FC1801">
        <w:rPr>
          <w:rFonts w:asciiTheme="majorBidi" w:hAnsiTheme="majorBidi" w:cstheme="majorBidi"/>
        </w:rPr>
        <w:t xml:space="preserve"> as </w:t>
      </w:r>
      <w:r w:rsidR="009873B3">
        <w:rPr>
          <w:rFonts w:asciiTheme="majorBidi" w:hAnsiTheme="majorBidi" w:cstheme="majorBidi"/>
        </w:rPr>
        <w:t xml:space="preserve">the </w:t>
      </w:r>
      <w:r w:rsidR="00FC1801" w:rsidRPr="00FC1801">
        <w:rPr>
          <w:rFonts w:asciiTheme="majorBidi" w:hAnsiTheme="majorBidi" w:cstheme="majorBidi"/>
        </w:rPr>
        <w:t>estimate</w:t>
      </w:r>
      <w:r w:rsidR="009873B3">
        <w:rPr>
          <w:rFonts w:asciiTheme="majorBidi" w:hAnsiTheme="majorBidi" w:cstheme="majorBidi"/>
        </w:rPr>
        <w:t>d</w:t>
      </w:r>
      <w:r w:rsidR="00FC1801" w:rsidRPr="00FC1801">
        <w:rPr>
          <w:rFonts w:asciiTheme="majorBidi" w:hAnsiTheme="majorBidi" w:cstheme="majorBidi"/>
        </w:rPr>
        <w:t xml:space="preserve"> standard error. </w:t>
      </w:r>
    </w:p>
    <w:p w14:paraId="7253AA09" w14:textId="77777777" w:rsidR="00ED4A8F" w:rsidRDefault="00ED4A8F" w:rsidP="001214AD">
      <w:pPr>
        <w:autoSpaceDE w:val="0"/>
        <w:autoSpaceDN w:val="0"/>
        <w:adjustRightInd w:val="0"/>
        <w:spacing w:line="288" w:lineRule="auto"/>
        <w:ind w:firstLine="720"/>
        <w:rPr>
          <w:rFonts w:asciiTheme="majorBidi" w:hAnsiTheme="majorBidi" w:cstheme="majorBidi"/>
        </w:rPr>
      </w:pPr>
    </w:p>
    <w:p w14:paraId="566E5CB2" w14:textId="02B2564B" w:rsidR="00737A59" w:rsidRDefault="00737A59" w:rsidP="001214AD">
      <w:pPr>
        <w:autoSpaceDE w:val="0"/>
        <w:autoSpaceDN w:val="0"/>
        <w:adjustRightInd w:val="0"/>
        <w:spacing w:line="288" w:lineRule="auto"/>
        <w:ind w:firstLine="720"/>
        <w:rPr>
          <w:rFonts w:asciiTheme="majorBidi" w:hAnsiTheme="majorBidi" w:cstheme="majorBidi"/>
        </w:rPr>
      </w:pPr>
      <w:r>
        <w:rPr>
          <w:rFonts w:asciiTheme="majorBidi" w:hAnsiTheme="majorBidi" w:cstheme="majorBidi"/>
        </w:rPr>
        <w:t xml:space="preserve">The details on the models (equations (1) and (3)) used to generate the parameters for the simulations are in Appendix A. </w:t>
      </w:r>
      <w:r w:rsidR="00936280">
        <w:rPr>
          <w:rFonts w:asciiTheme="majorBidi" w:hAnsiTheme="majorBidi" w:cstheme="majorBidi"/>
        </w:rPr>
        <w:t xml:space="preserve">The consumption model for </w:t>
      </w:r>
      <w:r w:rsidR="00936280">
        <w:rPr>
          <w:rFonts w:asciiTheme="majorBidi" w:hAnsiTheme="majorBidi" w:cstheme="majorBidi"/>
          <w:i/>
          <w:iCs/>
        </w:rPr>
        <w:t>n</w:t>
      </w:r>
      <w:r w:rsidR="00936280">
        <w:rPr>
          <w:rFonts w:asciiTheme="majorBidi" w:hAnsiTheme="majorBidi" w:cstheme="majorBidi"/>
        </w:rPr>
        <w:t>=3,117 rural hou</w:t>
      </w:r>
      <w:r w:rsidR="00CF3AC4">
        <w:rPr>
          <w:rFonts w:asciiTheme="majorBidi" w:hAnsiTheme="majorBidi" w:cstheme="majorBidi"/>
        </w:rPr>
        <w:t>seholds from the HIES</w:t>
      </w:r>
      <w:r>
        <w:rPr>
          <w:rFonts w:asciiTheme="majorBidi" w:hAnsiTheme="majorBidi" w:cstheme="majorBidi"/>
        </w:rPr>
        <w:t xml:space="preserve"> used</w:t>
      </w:r>
      <w:r w:rsidR="00936280">
        <w:rPr>
          <w:rFonts w:asciiTheme="majorBidi" w:hAnsiTheme="majorBidi" w:cstheme="majorBidi"/>
        </w:rPr>
        <w:t xml:space="preserve"> 43 predictor variables</w:t>
      </w:r>
      <w:r w:rsidR="00F00DB5">
        <w:rPr>
          <w:rFonts w:asciiTheme="majorBidi" w:hAnsiTheme="majorBidi" w:cstheme="majorBidi"/>
        </w:rPr>
        <w:t>,</w:t>
      </w:r>
      <w:r>
        <w:rPr>
          <w:rFonts w:asciiTheme="majorBidi" w:hAnsiTheme="majorBidi" w:cstheme="majorBidi"/>
        </w:rPr>
        <w:t xml:space="preserve"> </w:t>
      </w:r>
      <w:r w:rsidR="00CF3AC4">
        <w:rPr>
          <w:rFonts w:asciiTheme="majorBidi" w:hAnsiTheme="majorBidi" w:cstheme="majorBidi"/>
        </w:rPr>
        <w:t xml:space="preserve">with </w:t>
      </w:r>
      <w:r w:rsidR="00F00DB5">
        <w:rPr>
          <w:rFonts w:asciiTheme="majorBidi" w:hAnsiTheme="majorBidi" w:cstheme="majorBidi"/>
        </w:rPr>
        <w:t xml:space="preserve">an </w:t>
      </w:r>
      <w:r>
        <w:rPr>
          <w:rFonts w:asciiTheme="majorBidi" w:hAnsiTheme="majorBidi" w:cstheme="majorBidi"/>
        </w:rPr>
        <w:t xml:space="preserve">adjusted </w:t>
      </w:r>
      <w:r>
        <w:rPr>
          <w:rFonts w:asciiTheme="majorBidi" w:hAnsiTheme="majorBidi" w:cstheme="majorBidi"/>
          <w:i/>
          <w:iCs/>
        </w:rPr>
        <w:t>R</w:t>
      </w:r>
      <w:r>
        <w:rPr>
          <w:rFonts w:asciiTheme="majorBidi" w:hAnsiTheme="majorBidi" w:cstheme="majorBidi"/>
          <w:vertAlign w:val="superscript"/>
        </w:rPr>
        <w:t>2</w:t>
      </w:r>
      <w:r>
        <w:rPr>
          <w:rFonts w:asciiTheme="majorBidi" w:hAnsiTheme="majorBidi" w:cstheme="majorBidi"/>
        </w:rPr>
        <w:t>=0.46</w:t>
      </w:r>
      <w:r w:rsidR="00F00DB5">
        <w:rPr>
          <w:rFonts w:asciiTheme="majorBidi" w:hAnsiTheme="majorBidi" w:cstheme="majorBidi"/>
        </w:rPr>
        <w:t>. Just over half of the covariate</w:t>
      </w:r>
      <w:r>
        <w:rPr>
          <w:rFonts w:asciiTheme="majorBidi" w:hAnsiTheme="majorBidi" w:cstheme="majorBidi"/>
        </w:rPr>
        <w:t xml:space="preserve">s were cluster means </w:t>
      </w:r>
      <w:r w:rsidR="00CF3AC4">
        <w:rPr>
          <w:rFonts w:asciiTheme="majorBidi" w:hAnsiTheme="majorBidi" w:cstheme="majorBidi"/>
        </w:rPr>
        <w:t xml:space="preserve">of household variables </w:t>
      </w:r>
      <w:r>
        <w:rPr>
          <w:rFonts w:asciiTheme="majorBidi" w:hAnsiTheme="majorBidi" w:cstheme="majorBidi"/>
        </w:rPr>
        <w:t>from the census, which helped reduce the share of total error variance due to the location component to below one-fifth. The heteroscedasticity model (equation (3)) used 11 predictor variables. The parameters from these models and their errors were used</w:t>
      </w:r>
      <w:r w:rsidR="00936280">
        <w:rPr>
          <w:rFonts w:asciiTheme="majorBidi" w:hAnsiTheme="majorBidi" w:cstheme="majorBidi"/>
        </w:rPr>
        <w:t xml:space="preserve"> to impute consumption for </w:t>
      </w:r>
      <w:r w:rsidR="00936280">
        <w:rPr>
          <w:rFonts w:asciiTheme="majorBidi" w:hAnsiTheme="majorBidi" w:cstheme="majorBidi"/>
          <w:i/>
          <w:iCs/>
        </w:rPr>
        <w:t>n</w:t>
      </w:r>
      <w:r w:rsidR="00936280">
        <w:rPr>
          <w:rFonts w:asciiTheme="majorBidi" w:hAnsiTheme="majorBidi" w:cstheme="majorBidi"/>
        </w:rPr>
        <w:t xml:space="preserve">=75,716 census households. </w:t>
      </w:r>
    </w:p>
    <w:p w14:paraId="3A14E959" w14:textId="046AF9CD" w:rsidR="00983B34" w:rsidRDefault="00CF3AC4" w:rsidP="001214AD">
      <w:pPr>
        <w:autoSpaceDE w:val="0"/>
        <w:autoSpaceDN w:val="0"/>
        <w:adjustRightInd w:val="0"/>
        <w:spacing w:line="288" w:lineRule="auto"/>
        <w:ind w:firstLine="720"/>
        <w:rPr>
          <w:rFonts w:asciiTheme="majorBidi" w:hAnsiTheme="majorBidi" w:cstheme="majorBidi"/>
        </w:rPr>
      </w:pPr>
      <w:r>
        <w:rPr>
          <w:rFonts w:asciiTheme="majorBidi" w:hAnsiTheme="majorBidi" w:cstheme="majorBidi"/>
        </w:rPr>
        <w:lastRenderedPageBreak/>
        <w:t xml:space="preserve">A comparison of the inequality statistics calculated directly from the survey with those derived from the ELL survey-to-census imputation </w:t>
      </w:r>
      <w:proofErr w:type="gramStart"/>
      <w:r>
        <w:rPr>
          <w:rFonts w:asciiTheme="majorBidi" w:hAnsiTheme="majorBidi" w:cstheme="majorBidi"/>
        </w:rPr>
        <w:t>is reported</w:t>
      </w:r>
      <w:proofErr w:type="gramEnd"/>
      <w:r>
        <w:rPr>
          <w:rFonts w:asciiTheme="majorBidi" w:hAnsiTheme="majorBidi" w:cstheme="majorBidi"/>
        </w:rPr>
        <w:t xml:space="preserve"> in Table 1. At the provincial level, the standard errors on the survey-based Gini averaged 7.5% of the Gini index value. </w:t>
      </w:r>
      <w:r w:rsidR="00983B34">
        <w:rPr>
          <w:rFonts w:asciiTheme="majorBidi" w:hAnsiTheme="majorBidi" w:cstheme="majorBidi"/>
        </w:rPr>
        <w:t>T</w:t>
      </w:r>
      <w:r>
        <w:rPr>
          <w:rFonts w:asciiTheme="majorBidi" w:hAnsiTheme="majorBidi" w:cstheme="majorBidi"/>
        </w:rPr>
        <w:t>he imputed, census-based inequality statistics</w:t>
      </w:r>
      <w:r w:rsidR="00983B34">
        <w:rPr>
          <w:rFonts w:asciiTheme="majorBidi" w:hAnsiTheme="majorBidi" w:cstheme="majorBidi"/>
        </w:rPr>
        <w:t xml:space="preserve"> </w:t>
      </w:r>
      <w:r>
        <w:rPr>
          <w:rFonts w:asciiTheme="majorBidi" w:hAnsiTheme="majorBidi" w:cstheme="majorBidi"/>
        </w:rPr>
        <w:t xml:space="preserve">standard errors </w:t>
      </w:r>
      <w:r w:rsidR="00983B34">
        <w:rPr>
          <w:rFonts w:asciiTheme="majorBidi" w:hAnsiTheme="majorBidi" w:cstheme="majorBidi"/>
        </w:rPr>
        <w:t>average</w:t>
      </w:r>
      <w:r>
        <w:rPr>
          <w:rFonts w:asciiTheme="majorBidi" w:hAnsiTheme="majorBidi" w:cstheme="majorBidi"/>
        </w:rPr>
        <w:t xml:space="preserve"> just 4.1% of the index value (the </w:t>
      </w:r>
      <w:r w:rsidR="00037D0A">
        <w:rPr>
          <w:rFonts w:asciiTheme="majorBidi" w:hAnsiTheme="majorBidi" w:cstheme="majorBidi"/>
        </w:rPr>
        <w:t>indexes had similar averages, of</w:t>
      </w:r>
      <w:r>
        <w:rPr>
          <w:rFonts w:asciiTheme="majorBidi" w:hAnsiTheme="majorBidi" w:cstheme="majorBidi"/>
        </w:rPr>
        <w:t xml:space="preserve"> 0.32 for the survey and 0.33 for the census).</w:t>
      </w:r>
      <w:r w:rsidR="00983B34">
        <w:rPr>
          <w:rFonts w:asciiTheme="majorBidi" w:hAnsiTheme="majorBidi" w:cstheme="majorBidi"/>
        </w:rPr>
        <w:t xml:space="preserve"> </w:t>
      </w:r>
    </w:p>
    <w:p w14:paraId="6A3476F3" w14:textId="77777777" w:rsidR="00ED4A8F" w:rsidRDefault="00ED4A8F" w:rsidP="001214AD">
      <w:pPr>
        <w:autoSpaceDE w:val="0"/>
        <w:autoSpaceDN w:val="0"/>
        <w:adjustRightInd w:val="0"/>
        <w:spacing w:line="288" w:lineRule="auto"/>
        <w:ind w:firstLine="720"/>
        <w:rPr>
          <w:rFonts w:asciiTheme="majorBidi" w:hAnsiTheme="majorBidi" w:cstheme="majorBidi"/>
        </w:rPr>
      </w:pPr>
    </w:p>
    <w:tbl>
      <w:tblPr>
        <w:tblStyle w:val="TableGrid"/>
        <w:tblW w:w="0" w:type="auto"/>
        <w:tblLook w:val="04A0" w:firstRow="1" w:lastRow="0" w:firstColumn="1" w:lastColumn="0" w:noHBand="0" w:noVBand="1"/>
      </w:tblPr>
      <w:tblGrid>
        <w:gridCol w:w="3823"/>
        <w:gridCol w:w="2187"/>
        <w:gridCol w:w="3006"/>
      </w:tblGrid>
      <w:tr w:rsidR="00F73D75" w14:paraId="4B7B4BF8" w14:textId="77777777" w:rsidTr="001214AD">
        <w:tc>
          <w:tcPr>
            <w:tcW w:w="9016" w:type="dxa"/>
            <w:gridSpan w:val="3"/>
            <w:tcBorders>
              <w:top w:val="nil"/>
              <w:left w:val="nil"/>
              <w:bottom w:val="single" w:sz="4" w:space="0" w:color="auto"/>
              <w:right w:val="nil"/>
            </w:tcBorders>
          </w:tcPr>
          <w:p w14:paraId="0E436B62" w14:textId="77777777" w:rsidR="00F73D75" w:rsidRPr="00834D0D" w:rsidRDefault="00F73D75" w:rsidP="001214AD">
            <w:pPr>
              <w:spacing w:after="40"/>
              <w:jc w:val="center"/>
              <w:rPr>
                <w:rFonts w:eastAsia="Times New Roman"/>
                <w:b/>
                <w:sz w:val="22"/>
                <w:lang w:bidi="ar-SA"/>
              </w:rPr>
            </w:pPr>
            <w:r w:rsidRPr="00834D0D">
              <w:rPr>
                <w:rFonts w:eastAsia="Times New Roman"/>
                <w:b/>
                <w:sz w:val="22"/>
                <w:lang w:bidi="ar-SA"/>
              </w:rPr>
              <w:t>Table 1: Comparison of Inequality Data</w:t>
            </w:r>
          </w:p>
        </w:tc>
      </w:tr>
      <w:tr w:rsidR="00F73D75" w14:paraId="6EFA59BB" w14:textId="77777777" w:rsidTr="001214AD">
        <w:tc>
          <w:tcPr>
            <w:tcW w:w="3823" w:type="dxa"/>
            <w:tcBorders>
              <w:top w:val="single" w:sz="4" w:space="0" w:color="auto"/>
              <w:left w:val="nil"/>
              <w:bottom w:val="nil"/>
              <w:right w:val="nil"/>
            </w:tcBorders>
          </w:tcPr>
          <w:p w14:paraId="541E39DE" w14:textId="77777777" w:rsidR="00F73D75" w:rsidRDefault="00F73D75" w:rsidP="002C610A">
            <w:pPr>
              <w:spacing w:before="80" w:after="80"/>
              <w:jc w:val="left"/>
              <w:rPr>
                <w:rFonts w:eastAsia="Times New Roman"/>
                <w:sz w:val="22"/>
                <w:lang w:bidi="ar-SA"/>
              </w:rPr>
            </w:pPr>
          </w:p>
        </w:tc>
        <w:tc>
          <w:tcPr>
            <w:tcW w:w="2187" w:type="dxa"/>
            <w:tcBorders>
              <w:top w:val="single" w:sz="4" w:space="0" w:color="auto"/>
              <w:left w:val="nil"/>
              <w:bottom w:val="single" w:sz="4" w:space="0" w:color="auto"/>
              <w:right w:val="nil"/>
            </w:tcBorders>
          </w:tcPr>
          <w:p w14:paraId="269ECC25" w14:textId="77777777" w:rsidR="00F73D75" w:rsidRDefault="00F73D75" w:rsidP="004B538F">
            <w:pPr>
              <w:spacing w:before="160" w:after="80"/>
              <w:jc w:val="center"/>
              <w:rPr>
                <w:rFonts w:eastAsia="Times New Roman"/>
                <w:sz w:val="22"/>
                <w:lang w:bidi="ar-SA"/>
              </w:rPr>
            </w:pPr>
            <w:r>
              <w:rPr>
                <w:rFonts w:eastAsia="Times New Roman"/>
                <w:sz w:val="22"/>
                <w:lang w:bidi="ar-SA"/>
              </w:rPr>
              <w:t>Survey-based</w:t>
            </w:r>
          </w:p>
        </w:tc>
        <w:tc>
          <w:tcPr>
            <w:tcW w:w="3006" w:type="dxa"/>
            <w:tcBorders>
              <w:top w:val="single" w:sz="4" w:space="0" w:color="auto"/>
              <w:left w:val="nil"/>
              <w:bottom w:val="single" w:sz="4" w:space="0" w:color="auto"/>
              <w:right w:val="nil"/>
            </w:tcBorders>
          </w:tcPr>
          <w:p w14:paraId="350A80C2" w14:textId="7D2B6C1A" w:rsidR="00F73D75" w:rsidRDefault="004B538F" w:rsidP="002C610A">
            <w:pPr>
              <w:spacing w:before="80" w:after="80"/>
              <w:jc w:val="center"/>
              <w:rPr>
                <w:rFonts w:eastAsia="Times New Roman"/>
                <w:sz w:val="22"/>
                <w:lang w:bidi="ar-SA"/>
              </w:rPr>
            </w:pPr>
            <w:r>
              <w:rPr>
                <w:rFonts w:eastAsia="Times New Roman"/>
                <w:sz w:val="22"/>
                <w:lang w:bidi="ar-SA"/>
              </w:rPr>
              <w:t>ELL Survey-to-Census I</w:t>
            </w:r>
            <w:r w:rsidR="00F73D75">
              <w:rPr>
                <w:rFonts w:eastAsia="Times New Roman"/>
                <w:sz w:val="22"/>
                <w:lang w:bidi="ar-SA"/>
              </w:rPr>
              <w:t>mputed</w:t>
            </w:r>
          </w:p>
        </w:tc>
      </w:tr>
      <w:tr w:rsidR="00F73D75" w14:paraId="5B2AB051" w14:textId="77777777" w:rsidTr="001214AD">
        <w:tc>
          <w:tcPr>
            <w:tcW w:w="3823" w:type="dxa"/>
            <w:tcBorders>
              <w:top w:val="single" w:sz="4" w:space="0" w:color="auto"/>
              <w:left w:val="nil"/>
              <w:bottom w:val="nil"/>
              <w:right w:val="nil"/>
            </w:tcBorders>
          </w:tcPr>
          <w:p w14:paraId="63055BEA" w14:textId="77777777" w:rsidR="002C610A" w:rsidRPr="002C610A" w:rsidRDefault="002C610A" w:rsidP="001657D0">
            <w:pPr>
              <w:jc w:val="left"/>
              <w:rPr>
                <w:rFonts w:eastAsia="Times New Roman"/>
                <w:sz w:val="8"/>
                <w:szCs w:val="8"/>
                <w:lang w:bidi="ar-SA"/>
              </w:rPr>
            </w:pPr>
          </w:p>
          <w:p w14:paraId="1551512C" w14:textId="5064C939" w:rsidR="00F73D75" w:rsidRPr="00D40FFB" w:rsidRDefault="001657D0" w:rsidP="001657D0">
            <w:pPr>
              <w:jc w:val="left"/>
              <w:rPr>
                <w:rFonts w:eastAsia="Times New Roman"/>
                <w:sz w:val="22"/>
                <w:lang w:bidi="ar-SA"/>
              </w:rPr>
            </w:pPr>
            <w:r>
              <w:rPr>
                <w:rFonts w:eastAsia="Times New Roman"/>
                <w:sz w:val="22"/>
                <w:lang w:bidi="ar-SA"/>
              </w:rPr>
              <w:t>Provincial Level – Rural S</w:t>
            </w:r>
            <w:r w:rsidR="00F73D75">
              <w:rPr>
                <w:rFonts w:eastAsia="Times New Roman"/>
                <w:sz w:val="22"/>
                <w:lang w:bidi="ar-SA"/>
              </w:rPr>
              <w:t>ector (</w:t>
            </w:r>
            <w:r w:rsidR="00F73D75">
              <w:rPr>
                <w:rFonts w:eastAsia="Times New Roman"/>
                <w:i/>
                <w:iCs/>
                <w:sz w:val="22"/>
                <w:lang w:bidi="ar-SA"/>
              </w:rPr>
              <w:t>n</w:t>
            </w:r>
            <w:r w:rsidR="00F73D75">
              <w:rPr>
                <w:rFonts w:eastAsia="Times New Roman"/>
                <w:sz w:val="22"/>
                <w:lang w:bidi="ar-SA"/>
              </w:rPr>
              <w:t>=9)</w:t>
            </w:r>
          </w:p>
        </w:tc>
        <w:tc>
          <w:tcPr>
            <w:tcW w:w="2187" w:type="dxa"/>
            <w:tcBorders>
              <w:top w:val="single" w:sz="4" w:space="0" w:color="auto"/>
              <w:left w:val="nil"/>
              <w:bottom w:val="nil"/>
              <w:right w:val="nil"/>
            </w:tcBorders>
          </w:tcPr>
          <w:p w14:paraId="6BA3D096" w14:textId="77777777" w:rsidR="00F73D75" w:rsidRDefault="00F73D75" w:rsidP="001657D0">
            <w:pPr>
              <w:jc w:val="left"/>
              <w:rPr>
                <w:rFonts w:eastAsia="Times New Roman"/>
                <w:sz w:val="22"/>
                <w:lang w:bidi="ar-SA"/>
              </w:rPr>
            </w:pPr>
          </w:p>
        </w:tc>
        <w:tc>
          <w:tcPr>
            <w:tcW w:w="3006" w:type="dxa"/>
            <w:tcBorders>
              <w:top w:val="single" w:sz="4" w:space="0" w:color="auto"/>
              <w:left w:val="nil"/>
              <w:bottom w:val="nil"/>
              <w:right w:val="nil"/>
            </w:tcBorders>
          </w:tcPr>
          <w:p w14:paraId="0685EEE6" w14:textId="77777777" w:rsidR="00F73D75" w:rsidRDefault="00F73D75" w:rsidP="001657D0">
            <w:pPr>
              <w:jc w:val="left"/>
              <w:rPr>
                <w:rFonts w:eastAsia="Times New Roman"/>
                <w:sz w:val="22"/>
                <w:lang w:bidi="ar-SA"/>
              </w:rPr>
            </w:pPr>
          </w:p>
        </w:tc>
      </w:tr>
      <w:tr w:rsidR="00F73D75" w14:paraId="62179D81" w14:textId="77777777" w:rsidTr="001214AD">
        <w:tc>
          <w:tcPr>
            <w:tcW w:w="3823" w:type="dxa"/>
            <w:tcBorders>
              <w:top w:val="nil"/>
              <w:left w:val="nil"/>
              <w:bottom w:val="nil"/>
              <w:right w:val="nil"/>
            </w:tcBorders>
          </w:tcPr>
          <w:p w14:paraId="0FBAE733" w14:textId="77777777" w:rsidR="00F73D75" w:rsidRDefault="00F73D75" w:rsidP="001657D0">
            <w:pPr>
              <w:jc w:val="left"/>
              <w:rPr>
                <w:rFonts w:eastAsia="Times New Roman"/>
                <w:sz w:val="22"/>
                <w:lang w:bidi="ar-SA"/>
              </w:rPr>
            </w:pPr>
            <w:r>
              <w:rPr>
                <w:rFonts w:eastAsia="Times New Roman"/>
                <w:sz w:val="22"/>
                <w:lang w:bidi="ar-SA"/>
              </w:rPr>
              <w:t xml:space="preserve">    Mean Gini index</w:t>
            </w:r>
          </w:p>
        </w:tc>
        <w:tc>
          <w:tcPr>
            <w:tcW w:w="2187" w:type="dxa"/>
            <w:tcBorders>
              <w:top w:val="nil"/>
              <w:left w:val="nil"/>
              <w:bottom w:val="nil"/>
              <w:right w:val="nil"/>
            </w:tcBorders>
          </w:tcPr>
          <w:p w14:paraId="104445DB" w14:textId="77777777" w:rsidR="00F73D75" w:rsidRDefault="00F73D75" w:rsidP="001657D0">
            <w:pPr>
              <w:jc w:val="center"/>
              <w:rPr>
                <w:rFonts w:eastAsia="Times New Roman"/>
                <w:sz w:val="22"/>
                <w:lang w:bidi="ar-SA"/>
              </w:rPr>
            </w:pPr>
            <w:r>
              <w:rPr>
                <w:rFonts w:eastAsia="Times New Roman"/>
                <w:sz w:val="22"/>
                <w:lang w:bidi="ar-SA"/>
              </w:rPr>
              <w:t>0.32</w:t>
            </w:r>
          </w:p>
        </w:tc>
        <w:tc>
          <w:tcPr>
            <w:tcW w:w="3006" w:type="dxa"/>
            <w:tcBorders>
              <w:top w:val="nil"/>
              <w:left w:val="nil"/>
              <w:bottom w:val="nil"/>
              <w:right w:val="nil"/>
            </w:tcBorders>
          </w:tcPr>
          <w:p w14:paraId="26388A1F" w14:textId="77777777" w:rsidR="00F73D75" w:rsidRDefault="00F73D75" w:rsidP="001657D0">
            <w:pPr>
              <w:jc w:val="center"/>
              <w:rPr>
                <w:rFonts w:eastAsia="Times New Roman"/>
                <w:sz w:val="22"/>
                <w:lang w:bidi="ar-SA"/>
              </w:rPr>
            </w:pPr>
            <w:r>
              <w:rPr>
                <w:rFonts w:eastAsia="Times New Roman"/>
                <w:sz w:val="22"/>
                <w:lang w:bidi="ar-SA"/>
              </w:rPr>
              <w:t>0.33</w:t>
            </w:r>
          </w:p>
        </w:tc>
      </w:tr>
      <w:tr w:rsidR="00F73D75" w14:paraId="1987E937" w14:textId="77777777" w:rsidTr="001214AD">
        <w:tc>
          <w:tcPr>
            <w:tcW w:w="3823" w:type="dxa"/>
            <w:tcBorders>
              <w:top w:val="nil"/>
              <w:left w:val="nil"/>
              <w:bottom w:val="nil"/>
              <w:right w:val="nil"/>
            </w:tcBorders>
          </w:tcPr>
          <w:p w14:paraId="3F023A53" w14:textId="77777777" w:rsidR="00F73D75" w:rsidRDefault="00F73D75" w:rsidP="001657D0">
            <w:pPr>
              <w:jc w:val="left"/>
              <w:rPr>
                <w:rFonts w:eastAsia="Times New Roman"/>
                <w:sz w:val="22"/>
                <w:lang w:bidi="ar-SA"/>
              </w:rPr>
            </w:pPr>
            <w:r>
              <w:rPr>
                <w:rFonts w:eastAsia="Times New Roman"/>
                <w:sz w:val="22"/>
                <w:lang w:bidi="ar-SA"/>
              </w:rPr>
              <w:t xml:space="preserve">    Mean relative standard error (range)</w:t>
            </w:r>
          </w:p>
        </w:tc>
        <w:tc>
          <w:tcPr>
            <w:tcW w:w="2187" w:type="dxa"/>
            <w:tcBorders>
              <w:top w:val="nil"/>
              <w:left w:val="nil"/>
              <w:bottom w:val="nil"/>
              <w:right w:val="nil"/>
            </w:tcBorders>
          </w:tcPr>
          <w:p w14:paraId="53846189" w14:textId="77777777" w:rsidR="00F73D75" w:rsidRDefault="00F73D75" w:rsidP="001657D0">
            <w:pPr>
              <w:jc w:val="center"/>
              <w:rPr>
                <w:rFonts w:eastAsia="Times New Roman"/>
                <w:sz w:val="22"/>
                <w:lang w:bidi="ar-SA"/>
              </w:rPr>
            </w:pPr>
            <w:r>
              <w:rPr>
                <w:rFonts w:eastAsia="Times New Roman"/>
                <w:sz w:val="22"/>
                <w:lang w:bidi="ar-SA"/>
              </w:rPr>
              <w:t>7.5% (5.2% to 11.1%)</w:t>
            </w:r>
          </w:p>
        </w:tc>
        <w:tc>
          <w:tcPr>
            <w:tcW w:w="3006" w:type="dxa"/>
            <w:tcBorders>
              <w:top w:val="nil"/>
              <w:left w:val="nil"/>
              <w:bottom w:val="nil"/>
              <w:right w:val="nil"/>
            </w:tcBorders>
          </w:tcPr>
          <w:p w14:paraId="189EA761" w14:textId="77777777" w:rsidR="00F73D75" w:rsidRDefault="00F73D75" w:rsidP="001657D0">
            <w:pPr>
              <w:jc w:val="center"/>
              <w:rPr>
                <w:rFonts w:eastAsia="Times New Roman"/>
                <w:sz w:val="22"/>
                <w:lang w:bidi="ar-SA"/>
              </w:rPr>
            </w:pPr>
            <w:r>
              <w:rPr>
                <w:rFonts w:eastAsia="Times New Roman"/>
                <w:sz w:val="22"/>
                <w:lang w:bidi="ar-SA"/>
              </w:rPr>
              <w:t>4.1% (3.0% to 6.3%)</w:t>
            </w:r>
          </w:p>
        </w:tc>
      </w:tr>
      <w:tr w:rsidR="00F73D75" w14:paraId="2573EF7B" w14:textId="77777777" w:rsidTr="001214AD">
        <w:tc>
          <w:tcPr>
            <w:tcW w:w="3823" w:type="dxa"/>
            <w:tcBorders>
              <w:top w:val="nil"/>
              <w:left w:val="nil"/>
              <w:bottom w:val="nil"/>
              <w:right w:val="nil"/>
            </w:tcBorders>
          </w:tcPr>
          <w:p w14:paraId="205A864C" w14:textId="77777777" w:rsidR="001657D0" w:rsidRDefault="001657D0" w:rsidP="001657D0">
            <w:pPr>
              <w:jc w:val="left"/>
              <w:rPr>
                <w:rFonts w:eastAsia="Times New Roman"/>
                <w:sz w:val="22"/>
                <w:lang w:bidi="ar-SA"/>
              </w:rPr>
            </w:pPr>
          </w:p>
          <w:p w14:paraId="0E0AA692" w14:textId="6F21DA9A" w:rsidR="00F73D75" w:rsidRDefault="001657D0" w:rsidP="001657D0">
            <w:pPr>
              <w:jc w:val="left"/>
              <w:rPr>
                <w:rFonts w:eastAsia="Times New Roman"/>
                <w:sz w:val="22"/>
                <w:lang w:bidi="ar-SA"/>
              </w:rPr>
            </w:pPr>
            <w:r>
              <w:rPr>
                <w:rFonts w:eastAsia="Times New Roman"/>
                <w:sz w:val="22"/>
                <w:lang w:bidi="ar-SA"/>
              </w:rPr>
              <w:t>Ward Level – Rural Areas O</w:t>
            </w:r>
            <w:r w:rsidR="00F73D75">
              <w:rPr>
                <w:rFonts w:eastAsia="Times New Roman"/>
                <w:sz w:val="22"/>
                <w:lang w:bidi="ar-SA"/>
              </w:rPr>
              <w:t>nly (</w:t>
            </w:r>
            <w:r w:rsidR="00F73D75" w:rsidRPr="00D40FFB">
              <w:rPr>
                <w:rFonts w:eastAsia="Times New Roman"/>
                <w:i/>
                <w:iCs/>
                <w:sz w:val="22"/>
                <w:lang w:bidi="ar-SA"/>
              </w:rPr>
              <w:t>n</w:t>
            </w:r>
            <w:r w:rsidR="00F73D75">
              <w:rPr>
                <w:rFonts w:eastAsia="Times New Roman"/>
                <w:sz w:val="22"/>
                <w:lang w:bidi="ar-SA"/>
              </w:rPr>
              <w:t>=168)</w:t>
            </w:r>
          </w:p>
        </w:tc>
        <w:tc>
          <w:tcPr>
            <w:tcW w:w="2187" w:type="dxa"/>
            <w:tcBorders>
              <w:top w:val="nil"/>
              <w:left w:val="nil"/>
              <w:bottom w:val="nil"/>
              <w:right w:val="nil"/>
            </w:tcBorders>
          </w:tcPr>
          <w:p w14:paraId="49A4DC5F" w14:textId="77777777" w:rsidR="00F73D75" w:rsidRDefault="00F73D75" w:rsidP="001657D0">
            <w:pPr>
              <w:jc w:val="left"/>
              <w:rPr>
                <w:rFonts w:eastAsia="Times New Roman"/>
                <w:sz w:val="22"/>
                <w:lang w:bidi="ar-SA"/>
              </w:rPr>
            </w:pPr>
          </w:p>
        </w:tc>
        <w:tc>
          <w:tcPr>
            <w:tcW w:w="3006" w:type="dxa"/>
            <w:tcBorders>
              <w:top w:val="nil"/>
              <w:left w:val="nil"/>
              <w:bottom w:val="nil"/>
              <w:right w:val="nil"/>
            </w:tcBorders>
          </w:tcPr>
          <w:p w14:paraId="54A6FE3B" w14:textId="77777777" w:rsidR="00F73D75" w:rsidRDefault="00F73D75" w:rsidP="001657D0">
            <w:pPr>
              <w:jc w:val="left"/>
              <w:rPr>
                <w:rFonts w:eastAsia="Times New Roman"/>
                <w:sz w:val="22"/>
                <w:lang w:bidi="ar-SA"/>
              </w:rPr>
            </w:pPr>
          </w:p>
        </w:tc>
      </w:tr>
      <w:tr w:rsidR="00F73D75" w14:paraId="46E9BA57" w14:textId="77777777" w:rsidTr="001214AD">
        <w:tc>
          <w:tcPr>
            <w:tcW w:w="3823" w:type="dxa"/>
            <w:tcBorders>
              <w:top w:val="nil"/>
              <w:left w:val="nil"/>
              <w:bottom w:val="nil"/>
              <w:right w:val="nil"/>
            </w:tcBorders>
          </w:tcPr>
          <w:p w14:paraId="6BB7178D" w14:textId="77777777" w:rsidR="00F73D75" w:rsidRDefault="00F73D75" w:rsidP="001657D0">
            <w:pPr>
              <w:jc w:val="left"/>
              <w:rPr>
                <w:rFonts w:eastAsia="Times New Roman"/>
                <w:sz w:val="22"/>
                <w:lang w:bidi="ar-SA"/>
              </w:rPr>
            </w:pPr>
            <w:r>
              <w:rPr>
                <w:rFonts w:eastAsia="Times New Roman"/>
                <w:sz w:val="22"/>
                <w:lang w:bidi="ar-SA"/>
              </w:rPr>
              <w:t xml:space="preserve">    Mean Gini index</w:t>
            </w:r>
          </w:p>
        </w:tc>
        <w:tc>
          <w:tcPr>
            <w:tcW w:w="2187" w:type="dxa"/>
            <w:tcBorders>
              <w:top w:val="nil"/>
              <w:left w:val="nil"/>
              <w:bottom w:val="nil"/>
              <w:right w:val="nil"/>
            </w:tcBorders>
          </w:tcPr>
          <w:p w14:paraId="6A0F5C34" w14:textId="77777777" w:rsidR="00F73D75" w:rsidRDefault="00F73D75" w:rsidP="001657D0">
            <w:pPr>
              <w:jc w:val="center"/>
              <w:rPr>
                <w:rFonts w:eastAsia="Times New Roman"/>
                <w:sz w:val="22"/>
                <w:lang w:bidi="ar-SA"/>
              </w:rPr>
            </w:pPr>
            <w:r>
              <w:rPr>
                <w:rFonts w:eastAsia="Times New Roman"/>
                <w:sz w:val="22"/>
                <w:lang w:bidi="ar-SA"/>
              </w:rPr>
              <w:t>Not available</w:t>
            </w:r>
          </w:p>
        </w:tc>
        <w:tc>
          <w:tcPr>
            <w:tcW w:w="3006" w:type="dxa"/>
            <w:tcBorders>
              <w:top w:val="nil"/>
              <w:left w:val="nil"/>
              <w:bottom w:val="nil"/>
              <w:right w:val="nil"/>
            </w:tcBorders>
          </w:tcPr>
          <w:p w14:paraId="6A512AF4" w14:textId="77777777" w:rsidR="00F73D75" w:rsidRDefault="00F73D75" w:rsidP="001657D0">
            <w:pPr>
              <w:jc w:val="center"/>
              <w:rPr>
                <w:rFonts w:eastAsia="Times New Roman"/>
                <w:sz w:val="22"/>
                <w:lang w:bidi="ar-SA"/>
              </w:rPr>
            </w:pPr>
            <w:r>
              <w:rPr>
                <w:rFonts w:eastAsia="Times New Roman"/>
                <w:sz w:val="22"/>
                <w:lang w:bidi="ar-SA"/>
              </w:rPr>
              <w:t>0.30</w:t>
            </w:r>
          </w:p>
        </w:tc>
      </w:tr>
      <w:tr w:rsidR="00F73D75" w14:paraId="289B3F62" w14:textId="77777777" w:rsidTr="001214AD">
        <w:tc>
          <w:tcPr>
            <w:tcW w:w="3823" w:type="dxa"/>
            <w:tcBorders>
              <w:top w:val="nil"/>
              <w:left w:val="nil"/>
              <w:bottom w:val="single" w:sz="4" w:space="0" w:color="auto"/>
              <w:right w:val="nil"/>
            </w:tcBorders>
          </w:tcPr>
          <w:p w14:paraId="0F9E846F" w14:textId="77777777" w:rsidR="00F73D75" w:rsidRDefault="00F73D75" w:rsidP="001657D0">
            <w:pPr>
              <w:jc w:val="left"/>
              <w:rPr>
                <w:rFonts w:eastAsia="Times New Roman"/>
                <w:sz w:val="22"/>
                <w:lang w:bidi="ar-SA"/>
              </w:rPr>
            </w:pPr>
            <w:r>
              <w:rPr>
                <w:rFonts w:eastAsia="Times New Roman"/>
                <w:sz w:val="22"/>
                <w:lang w:bidi="ar-SA"/>
              </w:rPr>
              <w:t xml:space="preserve">    Mean relative standard error (range)</w:t>
            </w:r>
          </w:p>
        </w:tc>
        <w:tc>
          <w:tcPr>
            <w:tcW w:w="2187" w:type="dxa"/>
            <w:tcBorders>
              <w:top w:val="nil"/>
              <w:left w:val="nil"/>
              <w:bottom w:val="single" w:sz="4" w:space="0" w:color="auto"/>
              <w:right w:val="nil"/>
            </w:tcBorders>
          </w:tcPr>
          <w:p w14:paraId="4F4B4E38" w14:textId="77777777" w:rsidR="00F73D75" w:rsidRDefault="00F73D75" w:rsidP="001657D0">
            <w:pPr>
              <w:jc w:val="center"/>
              <w:rPr>
                <w:rFonts w:eastAsia="Times New Roman"/>
                <w:sz w:val="22"/>
                <w:lang w:bidi="ar-SA"/>
              </w:rPr>
            </w:pPr>
          </w:p>
        </w:tc>
        <w:tc>
          <w:tcPr>
            <w:tcW w:w="3006" w:type="dxa"/>
            <w:tcBorders>
              <w:top w:val="nil"/>
              <w:left w:val="nil"/>
              <w:bottom w:val="single" w:sz="4" w:space="0" w:color="auto"/>
              <w:right w:val="nil"/>
            </w:tcBorders>
          </w:tcPr>
          <w:p w14:paraId="5FA404B6" w14:textId="77777777" w:rsidR="00F73D75" w:rsidRDefault="00F73D75" w:rsidP="001657D0">
            <w:pPr>
              <w:jc w:val="center"/>
              <w:rPr>
                <w:rFonts w:eastAsia="Times New Roman"/>
                <w:sz w:val="22"/>
                <w:lang w:bidi="ar-SA"/>
              </w:rPr>
            </w:pPr>
            <w:r>
              <w:rPr>
                <w:rFonts w:eastAsia="Times New Roman"/>
                <w:sz w:val="22"/>
                <w:lang w:bidi="ar-SA"/>
              </w:rPr>
              <w:t>7.1% (3.8% to 20.0%)</w:t>
            </w:r>
          </w:p>
          <w:p w14:paraId="1704A784" w14:textId="77777777" w:rsidR="002C610A" w:rsidRPr="002C610A" w:rsidRDefault="002C610A" w:rsidP="001657D0">
            <w:pPr>
              <w:jc w:val="center"/>
              <w:rPr>
                <w:rFonts w:eastAsia="Times New Roman"/>
                <w:sz w:val="8"/>
                <w:szCs w:val="8"/>
                <w:lang w:bidi="ar-SA"/>
              </w:rPr>
            </w:pPr>
          </w:p>
        </w:tc>
      </w:tr>
      <w:tr w:rsidR="00F73D75" w14:paraId="06AEACD6" w14:textId="77777777" w:rsidTr="001214AD">
        <w:tc>
          <w:tcPr>
            <w:tcW w:w="9016" w:type="dxa"/>
            <w:gridSpan w:val="3"/>
            <w:tcBorders>
              <w:top w:val="single" w:sz="4" w:space="0" w:color="auto"/>
              <w:left w:val="nil"/>
              <w:bottom w:val="nil"/>
              <w:right w:val="nil"/>
            </w:tcBorders>
          </w:tcPr>
          <w:p w14:paraId="66DB5091" w14:textId="77777777" w:rsidR="00F73D75" w:rsidRPr="00D40FFB" w:rsidRDefault="00F73D75" w:rsidP="001214AD">
            <w:pPr>
              <w:jc w:val="left"/>
              <w:rPr>
                <w:rFonts w:eastAsia="Times New Roman"/>
                <w:sz w:val="6"/>
                <w:szCs w:val="8"/>
                <w:lang w:bidi="ar-SA"/>
              </w:rPr>
            </w:pPr>
          </w:p>
        </w:tc>
      </w:tr>
    </w:tbl>
    <w:p w14:paraId="76293F44" w14:textId="00CC2D33" w:rsidR="00F73D75" w:rsidRPr="00D40FFB" w:rsidRDefault="00F73D75" w:rsidP="00F73D75">
      <w:pPr>
        <w:spacing w:after="200" w:line="276" w:lineRule="auto"/>
        <w:jc w:val="left"/>
        <w:rPr>
          <w:rFonts w:eastAsia="Times New Roman"/>
          <w:sz w:val="20"/>
          <w:szCs w:val="21"/>
          <w:lang w:bidi="ar-SA"/>
        </w:rPr>
      </w:pPr>
      <w:r w:rsidRPr="00D40FFB">
        <w:rPr>
          <w:rFonts w:eastAsia="Times New Roman"/>
          <w:i/>
          <w:iCs/>
          <w:sz w:val="20"/>
          <w:szCs w:val="21"/>
          <w:lang w:bidi="ar-SA"/>
        </w:rPr>
        <w:t>Note</w:t>
      </w:r>
      <w:r w:rsidR="001657D0">
        <w:rPr>
          <w:rFonts w:eastAsia="Times New Roman"/>
          <w:i/>
          <w:iCs/>
          <w:sz w:val="20"/>
          <w:szCs w:val="21"/>
          <w:lang w:bidi="ar-SA"/>
        </w:rPr>
        <w:t>s</w:t>
      </w:r>
      <w:r w:rsidRPr="00D40FFB">
        <w:rPr>
          <w:rFonts w:eastAsia="Times New Roman"/>
          <w:sz w:val="20"/>
          <w:szCs w:val="21"/>
          <w:lang w:bidi="ar-SA"/>
        </w:rPr>
        <w:t xml:space="preserve">: ELL stands for </w:t>
      </w:r>
      <w:proofErr w:type="spellStart"/>
      <w:r w:rsidRPr="00D40FFB">
        <w:rPr>
          <w:rFonts w:eastAsia="Times New Roman"/>
          <w:sz w:val="20"/>
          <w:szCs w:val="21"/>
          <w:lang w:bidi="ar-SA"/>
        </w:rPr>
        <w:t>Elbers</w:t>
      </w:r>
      <w:proofErr w:type="spellEnd"/>
      <w:r w:rsidRPr="00D40FFB">
        <w:rPr>
          <w:rFonts w:eastAsia="Times New Roman"/>
          <w:sz w:val="20"/>
          <w:szCs w:val="21"/>
          <w:lang w:bidi="ar-SA"/>
        </w:rPr>
        <w:t xml:space="preserve">, </w:t>
      </w:r>
      <w:proofErr w:type="spellStart"/>
      <w:r w:rsidRPr="00D40FFB">
        <w:rPr>
          <w:rFonts w:eastAsia="Times New Roman"/>
          <w:sz w:val="20"/>
          <w:szCs w:val="21"/>
          <w:lang w:bidi="ar-SA"/>
        </w:rPr>
        <w:t>Lanjouw</w:t>
      </w:r>
      <w:proofErr w:type="spellEnd"/>
      <w:r w:rsidRPr="00D40FFB">
        <w:rPr>
          <w:rFonts w:eastAsia="Times New Roman"/>
          <w:sz w:val="20"/>
          <w:szCs w:val="21"/>
          <w:lang w:bidi="ar-SA"/>
        </w:rPr>
        <w:t xml:space="preserve"> and </w:t>
      </w:r>
      <w:proofErr w:type="spellStart"/>
      <w:r w:rsidRPr="00D40FFB">
        <w:rPr>
          <w:rFonts w:eastAsia="Times New Roman"/>
          <w:sz w:val="20"/>
          <w:szCs w:val="21"/>
          <w:lang w:bidi="ar-SA"/>
        </w:rPr>
        <w:t>Lanjouw</w:t>
      </w:r>
      <w:proofErr w:type="spellEnd"/>
      <w:r w:rsidRPr="00D40FFB">
        <w:rPr>
          <w:rFonts w:eastAsia="Times New Roman"/>
          <w:sz w:val="20"/>
          <w:szCs w:val="21"/>
          <w:lang w:bidi="ar-SA"/>
        </w:rPr>
        <w:t xml:space="preserve"> (2003)</w:t>
      </w:r>
      <w:r>
        <w:rPr>
          <w:rFonts w:eastAsia="Times New Roman"/>
          <w:sz w:val="20"/>
          <w:szCs w:val="21"/>
          <w:lang w:bidi="ar-SA"/>
        </w:rPr>
        <w:t>. The relative standard error is the standard error as a percentage of the Gini index for each spatial unit.</w:t>
      </w:r>
    </w:p>
    <w:p w14:paraId="77A224EF" w14:textId="77777777" w:rsidR="00ED4A8F" w:rsidRDefault="00ED4A8F" w:rsidP="001214AD">
      <w:pPr>
        <w:spacing w:line="288" w:lineRule="auto"/>
        <w:jc w:val="left"/>
        <w:rPr>
          <w:rFonts w:asciiTheme="majorBidi" w:hAnsiTheme="majorBidi" w:cstheme="majorBidi"/>
        </w:rPr>
      </w:pPr>
    </w:p>
    <w:p w14:paraId="7F742BCF" w14:textId="33EEBC8B" w:rsidR="00CF3AC4" w:rsidRDefault="001657D0" w:rsidP="001657D0">
      <w:pPr>
        <w:spacing w:line="288" w:lineRule="auto"/>
        <w:rPr>
          <w:rFonts w:asciiTheme="majorBidi" w:hAnsiTheme="majorBidi" w:cstheme="majorBidi"/>
        </w:rPr>
      </w:pPr>
      <w:r>
        <w:rPr>
          <w:rFonts w:asciiTheme="majorBidi" w:hAnsiTheme="majorBidi" w:cstheme="majorBidi"/>
        </w:rPr>
        <w:tab/>
      </w:r>
      <w:r w:rsidR="00983B34">
        <w:rPr>
          <w:rFonts w:asciiTheme="majorBidi" w:hAnsiTheme="majorBidi" w:cstheme="majorBidi"/>
        </w:rPr>
        <w:t xml:space="preserve">The real benefit of using the census-based measures </w:t>
      </w:r>
      <w:r w:rsidR="00037D0A">
        <w:rPr>
          <w:rFonts w:asciiTheme="majorBidi" w:hAnsiTheme="majorBidi" w:cstheme="majorBidi"/>
        </w:rPr>
        <w:t xml:space="preserve">shows in the </w:t>
      </w:r>
      <w:r w:rsidR="00E12D88">
        <w:rPr>
          <w:rFonts w:asciiTheme="majorBidi" w:hAnsiTheme="majorBidi" w:cstheme="majorBidi"/>
        </w:rPr>
        <w:t>ward-</w:t>
      </w:r>
      <w:r w:rsidR="00983B34">
        <w:rPr>
          <w:rFonts w:asciiTheme="majorBidi" w:hAnsiTheme="majorBidi" w:cstheme="majorBidi"/>
        </w:rPr>
        <w:t>level statistics, which are not reported by the survey</w:t>
      </w:r>
      <w:r w:rsidR="00627409">
        <w:rPr>
          <w:rFonts w:asciiTheme="majorBidi" w:hAnsiTheme="majorBidi" w:cstheme="majorBidi"/>
        </w:rPr>
        <w:t xml:space="preserve"> and even if they were calculated from the household level </w:t>
      </w:r>
      <w:proofErr w:type="gramStart"/>
      <w:r w:rsidR="00627409">
        <w:rPr>
          <w:rFonts w:asciiTheme="majorBidi" w:hAnsiTheme="majorBidi" w:cstheme="majorBidi"/>
        </w:rPr>
        <w:t>data</w:t>
      </w:r>
      <w:proofErr w:type="gramEnd"/>
      <w:r w:rsidR="00627409">
        <w:rPr>
          <w:rFonts w:asciiTheme="majorBidi" w:hAnsiTheme="majorBidi" w:cstheme="majorBidi"/>
        </w:rPr>
        <w:t xml:space="preserve"> they would be unrepresentative at ward-level and imprecise. In contrast,</w:t>
      </w:r>
      <w:r w:rsidR="00983B34">
        <w:rPr>
          <w:rFonts w:asciiTheme="majorBidi" w:hAnsiTheme="majorBidi" w:cstheme="majorBidi"/>
        </w:rPr>
        <w:t xml:space="preserve"> the census-based measures</w:t>
      </w:r>
      <w:r w:rsidR="00627409">
        <w:rPr>
          <w:rFonts w:asciiTheme="majorBidi" w:hAnsiTheme="majorBidi" w:cstheme="majorBidi"/>
        </w:rPr>
        <w:t xml:space="preserve"> cover </w:t>
      </w:r>
      <w:r w:rsidR="00983B34">
        <w:rPr>
          <w:rFonts w:asciiTheme="majorBidi" w:hAnsiTheme="majorBidi" w:cstheme="majorBidi"/>
        </w:rPr>
        <w:t>every ward, since a</w:t>
      </w:r>
      <w:r w:rsidR="0015539C">
        <w:rPr>
          <w:rFonts w:asciiTheme="majorBidi" w:hAnsiTheme="majorBidi" w:cstheme="majorBidi"/>
        </w:rPr>
        <w:t>ll</w:t>
      </w:r>
      <w:r w:rsidR="00983B34">
        <w:rPr>
          <w:rFonts w:asciiTheme="majorBidi" w:hAnsiTheme="majorBidi" w:cstheme="majorBidi"/>
        </w:rPr>
        <w:t xml:space="preserve"> households</w:t>
      </w:r>
      <w:r w:rsidR="0015539C">
        <w:rPr>
          <w:rFonts w:asciiTheme="majorBidi" w:hAnsiTheme="majorBidi" w:cstheme="majorBidi"/>
        </w:rPr>
        <w:t xml:space="preserve"> are included</w:t>
      </w:r>
      <w:r w:rsidR="00037D0A">
        <w:rPr>
          <w:rFonts w:asciiTheme="majorBidi" w:hAnsiTheme="majorBidi" w:cstheme="majorBidi"/>
        </w:rPr>
        <w:t>, and the estimates are far</w:t>
      </w:r>
      <w:r w:rsidR="00983B34">
        <w:rPr>
          <w:rFonts w:asciiTheme="majorBidi" w:hAnsiTheme="majorBidi" w:cstheme="majorBidi"/>
        </w:rPr>
        <w:t xml:space="preserve"> more precise than the survey-based ones, with standard errors that average 7.1% of the Gini index. Roughly speaking, the ELL method </w:t>
      </w:r>
      <w:r w:rsidR="00037D0A">
        <w:rPr>
          <w:rFonts w:asciiTheme="majorBidi" w:hAnsiTheme="majorBidi" w:cstheme="majorBidi"/>
        </w:rPr>
        <w:t>gives</w:t>
      </w:r>
      <w:r w:rsidR="00983B34">
        <w:rPr>
          <w:rFonts w:asciiTheme="majorBidi" w:hAnsiTheme="majorBidi" w:cstheme="majorBidi"/>
        </w:rPr>
        <w:t xml:space="preserve"> a level of precision e</w:t>
      </w:r>
      <w:r w:rsidR="00037D0A">
        <w:rPr>
          <w:rFonts w:asciiTheme="majorBidi" w:hAnsiTheme="majorBidi" w:cstheme="majorBidi"/>
        </w:rPr>
        <w:t>quivalent to what the survey ha</w:t>
      </w:r>
      <w:r w:rsidR="00983B34">
        <w:rPr>
          <w:rFonts w:asciiTheme="majorBidi" w:hAnsiTheme="majorBidi" w:cstheme="majorBidi"/>
        </w:rPr>
        <w:t xml:space="preserve">s at the next </w:t>
      </w:r>
      <w:r w:rsidR="00037D0A">
        <w:rPr>
          <w:rFonts w:asciiTheme="majorBidi" w:hAnsiTheme="majorBidi" w:cstheme="majorBidi"/>
        </w:rPr>
        <w:t xml:space="preserve">higher </w:t>
      </w:r>
      <w:r w:rsidR="00983B34">
        <w:rPr>
          <w:rFonts w:asciiTheme="majorBidi" w:hAnsiTheme="majorBidi" w:cstheme="majorBidi"/>
        </w:rPr>
        <w:t>level of spatial aggregation (that is, at province rather than ward level).</w:t>
      </w:r>
    </w:p>
    <w:p w14:paraId="04D1AE6D" w14:textId="77777777" w:rsidR="001214AD" w:rsidRDefault="001214AD" w:rsidP="001214AD">
      <w:pPr>
        <w:autoSpaceDE w:val="0"/>
        <w:autoSpaceDN w:val="0"/>
        <w:adjustRightInd w:val="0"/>
        <w:spacing w:line="288" w:lineRule="auto"/>
        <w:ind w:firstLine="720"/>
        <w:rPr>
          <w:rFonts w:asciiTheme="majorBidi" w:hAnsiTheme="majorBidi" w:cstheme="majorBidi"/>
        </w:rPr>
      </w:pPr>
    </w:p>
    <w:p w14:paraId="2A5EC496" w14:textId="79FF9CEE" w:rsidR="00300779" w:rsidRDefault="00470C34" w:rsidP="001214AD">
      <w:pPr>
        <w:autoSpaceDE w:val="0"/>
        <w:autoSpaceDN w:val="0"/>
        <w:adjustRightInd w:val="0"/>
        <w:spacing w:line="288" w:lineRule="auto"/>
        <w:ind w:firstLine="720"/>
        <w:rPr>
          <w:rFonts w:asciiTheme="majorBidi" w:hAnsiTheme="majorBidi" w:cstheme="majorBidi"/>
        </w:rPr>
      </w:pPr>
      <w:r>
        <w:rPr>
          <w:rFonts w:asciiTheme="majorBidi" w:hAnsiTheme="majorBidi" w:cstheme="majorBidi"/>
        </w:rPr>
        <w:t xml:space="preserve">In terms of spatial patterns, </w:t>
      </w:r>
      <w:r w:rsidR="00F00DB5">
        <w:rPr>
          <w:rFonts w:asciiTheme="majorBidi" w:hAnsiTheme="majorBidi" w:cstheme="majorBidi"/>
        </w:rPr>
        <w:t xml:space="preserve">rural </w:t>
      </w:r>
      <w:r>
        <w:rPr>
          <w:rFonts w:asciiTheme="majorBidi" w:hAnsiTheme="majorBidi" w:cstheme="majorBidi"/>
        </w:rPr>
        <w:t xml:space="preserve">inequality appears to be higher in the west of the country, particularly in parts of Western, Choiseul and Isabel provinces </w:t>
      </w:r>
      <w:r w:rsidR="008631C3">
        <w:rPr>
          <w:rFonts w:asciiTheme="majorBidi" w:hAnsiTheme="majorBidi" w:cstheme="majorBidi"/>
        </w:rPr>
        <w:t xml:space="preserve">(Figure 3). Inequality </w:t>
      </w:r>
      <w:r>
        <w:rPr>
          <w:rFonts w:asciiTheme="majorBidi" w:hAnsiTheme="majorBidi" w:cstheme="majorBidi"/>
        </w:rPr>
        <w:t xml:space="preserve">is lowest in the far eastern province of </w:t>
      </w:r>
      <w:proofErr w:type="spellStart"/>
      <w:r>
        <w:rPr>
          <w:rFonts w:asciiTheme="majorBidi" w:hAnsiTheme="majorBidi" w:cstheme="majorBidi"/>
        </w:rPr>
        <w:t>Temotu</w:t>
      </w:r>
      <w:proofErr w:type="spellEnd"/>
      <w:r>
        <w:rPr>
          <w:rFonts w:asciiTheme="majorBidi" w:hAnsiTheme="majorBidi" w:cstheme="majorBidi"/>
        </w:rPr>
        <w:t>.</w:t>
      </w:r>
      <w:r w:rsidR="0015539C">
        <w:rPr>
          <w:rStyle w:val="FootnoteReference"/>
          <w:rFonts w:asciiTheme="majorBidi" w:hAnsiTheme="majorBidi" w:cstheme="majorBidi"/>
        </w:rPr>
        <w:footnoteReference w:id="9"/>
      </w:r>
      <w:r>
        <w:rPr>
          <w:rFonts w:asciiTheme="majorBidi" w:hAnsiTheme="majorBidi" w:cstheme="majorBidi"/>
        </w:rPr>
        <w:t xml:space="preserve"> </w:t>
      </w:r>
      <w:r w:rsidR="00936280">
        <w:rPr>
          <w:rFonts w:asciiTheme="majorBidi" w:hAnsiTheme="majorBidi" w:cstheme="majorBidi"/>
        </w:rPr>
        <w:t xml:space="preserve">The ward-level Gini index </w:t>
      </w:r>
      <w:r w:rsidR="008631C3">
        <w:rPr>
          <w:rFonts w:asciiTheme="majorBidi" w:hAnsiTheme="majorBidi" w:cstheme="majorBidi"/>
        </w:rPr>
        <w:t xml:space="preserve">for real per </w:t>
      </w:r>
      <w:r w:rsidR="00936280">
        <w:rPr>
          <w:rFonts w:asciiTheme="majorBidi" w:hAnsiTheme="majorBidi" w:cstheme="majorBidi"/>
        </w:rPr>
        <w:t xml:space="preserve">capita consumption </w:t>
      </w:r>
      <w:r w:rsidR="00F00DB5">
        <w:rPr>
          <w:rFonts w:asciiTheme="majorBidi" w:hAnsiTheme="majorBidi" w:cstheme="majorBidi"/>
        </w:rPr>
        <w:t xml:space="preserve">of rural households </w:t>
      </w:r>
      <w:r w:rsidR="00936280">
        <w:rPr>
          <w:rFonts w:asciiTheme="majorBidi" w:hAnsiTheme="majorBidi" w:cstheme="majorBidi"/>
        </w:rPr>
        <w:t>ranges from 0.25 to 0.39</w:t>
      </w:r>
      <w:r w:rsidR="008631C3">
        <w:rPr>
          <w:rFonts w:asciiTheme="majorBidi" w:hAnsiTheme="majorBidi" w:cstheme="majorBidi"/>
        </w:rPr>
        <w:t xml:space="preserve"> with a mean and median of 0.30</w:t>
      </w:r>
      <w:r w:rsidR="00936280">
        <w:rPr>
          <w:rFonts w:asciiTheme="majorBidi" w:hAnsiTheme="majorBidi" w:cstheme="majorBidi"/>
        </w:rPr>
        <w:t>.</w:t>
      </w:r>
      <w:r w:rsidR="008631C3">
        <w:rPr>
          <w:rFonts w:asciiTheme="majorBidi" w:hAnsiTheme="majorBidi" w:cstheme="majorBidi"/>
        </w:rPr>
        <w:t xml:space="preserve"> There is also considerable variation within some of the provinces, particularly Choiseul and Guadalcanal</w:t>
      </w:r>
      <w:r w:rsidR="009873B3">
        <w:rPr>
          <w:rFonts w:asciiTheme="majorBidi" w:hAnsiTheme="majorBidi" w:cstheme="majorBidi"/>
        </w:rPr>
        <w:t>,</w:t>
      </w:r>
      <w:r w:rsidR="008631C3">
        <w:rPr>
          <w:rFonts w:asciiTheme="majorBidi" w:hAnsiTheme="majorBidi" w:cstheme="majorBidi"/>
        </w:rPr>
        <w:t xml:space="preserve"> where the </w:t>
      </w:r>
      <w:r w:rsidR="0015539C">
        <w:rPr>
          <w:rFonts w:asciiTheme="majorBidi" w:hAnsiTheme="majorBidi" w:cstheme="majorBidi"/>
        </w:rPr>
        <w:t xml:space="preserve">within-province </w:t>
      </w:r>
      <w:r w:rsidR="008631C3">
        <w:rPr>
          <w:rFonts w:asciiTheme="majorBidi" w:hAnsiTheme="majorBidi" w:cstheme="majorBidi"/>
        </w:rPr>
        <w:t>coefficient of variation of the ward-level Gini index is about 0.12. The heterogeneity in ward-level inequality</w:t>
      </w:r>
      <w:r w:rsidR="00037D0A">
        <w:rPr>
          <w:rFonts w:asciiTheme="majorBidi" w:hAnsiTheme="majorBidi" w:cstheme="majorBidi"/>
        </w:rPr>
        <w:t xml:space="preserve"> suggests that information may</w:t>
      </w:r>
      <w:r w:rsidR="008631C3">
        <w:rPr>
          <w:rFonts w:asciiTheme="majorBidi" w:hAnsiTheme="majorBidi" w:cstheme="majorBidi"/>
        </w:rPr>
        <w:t xml:space="preserve"> be lost in analyses carried out at more aggregated levels such as provinces.</w:t>
      </w:r>
    </w:p>
    <w:p w14:paraId="7C671DAE" w14:textId="77777777" w:rsidR="001214AD" w:rsidRDefault="001214AD" w:rsidP="001214AD">
      <w:pPr>
        <w:autoSpaceDE w:val="0"/>
        <w:autoSpaceDN w:val="0"/>
        <w:adjustRightInd w:val="0"/>
        <w:spacing w:line="288" w:lineRule="auto"/>
        <w:ind w:firstLine="720"/>
        <w:rPr>
          <w:rFonts w:asciiTheme="majorBidi" w:hAnsiTheme="majorBidi" w:cstheme="majorBidi"/>
        </w:rPr>
      </w:pPr>
    </w:p>
    <w:p w14:paraId="1AEA87E3" w14:textId="77777777" w:rsidR="001214AD" w:rsidRDefault="001214AD" w:rsidP="001214AD">
      <w:pPr>
        <w:autoSpaceDE w:val="0"/>
        <w:autoSpaceDN w:val="0"/>
        <w:adjustRightInd w:val="0"/>
        <w:spacing w:line="288" w:lineRule="auto"/>
        <w:ind w:firstLine="720"/>
        <w:rPr>
          <w:rFonts w:asciiTheme="majorBidi" w:hAnsiTheme="majorBidi" w:cstheme="majorBidi"/>
        </w:rPr>
      </w:pPr>
    </w:p>
    <w:p w14:paraId="68C3F11E" w14:textId="77777777" w:rsidR="001657D0" w:rsidRDefault="001657D0" w:rsidP="00F73D75">
      <w:pPr>
        <w:spacing w:after="120"/>
        <w:ind w:left="720" w:hanging="720"/>
        <w:jc w:val="center"/>
        <w:rPr>
          <w:rFonts w:eastAsia="Times New Roman"/>
          <w:b/>
          <w:sz w:val="22"/>
          <w:lang w:bidi="ar-SA"/>
        </w:rPr>
      </w:pPr>
    </w:p>
    <w:p w14:paraId="728F7BD6" w14:textId="77777777" w:rsidR="00F73D75" w:rsidRPr="00ED4A8F" w:rsidRDefault="00F73D75" w:rsidP="002C610A">
      <w:pPr>
        <w:spacing w:after="60"/>
        <w:ind w:left="720" w:hanging="720"/>
        <w:jc w:val="center"/>
        <w:rPr>
          <w:rFonts w:eastAsia="Times New Roman"/>
          <w:b/>
          <w:sz w:val="22"/>
          <w:lang w:bidi="ar-SA"/>
        </w:rPr>
      </w:pPr>
      <w:r w:rsidRPr="00ED4A8F">
        <w:rPr>
          <w:rFonts w:eastAsia="Times New Roman"/>
          <w:b/>
          <w:sz w:val="22"/>
          <w:lang w:bidi="ar-SA"/>
        </w:rPr>
        <w:lastRenderedPageBreak/>
        <w:t>Figure 3: Spatial Patterns of Inequality, Based on ELL Small Area Estimation</w:t>
      </w:r>
    </w:p>
    <w:p w14:paraId="058EBACE" w14:textId="77777777" w:rsidR="00F73D75" w:rsidRPr="00B52931" w:rsidRDefault="00F73D75" w:rsidP="00F73D75">
      <w:pPr>
        <w:spacing w:after="120"/>
        <w:ind w:left="720" w:hanging="720"/>
        <w:jc w:val="center"/>
        <w:rPr>
          <w:rFonts w:eastAsia="Times New Roman"/>
          <w:sz w:val="22"/>
          <w:lang w:bidi="ar-SA"/>
        </w:rPr>
      </w:pPr>
      <w:r>
        <w:rPr>
          <w:rFonts w:eastAsia="Times New Roman"/>
          <w:noProof/>
          <w:sz w:val="22"/>
          <w:lang w:val="en-NZ" w:eastAsia="en-NZ" w:bidi="ar-SA"/>
        </w:rPr>
        <w:drawing>
          <wp:inline distT="0" distB="0" distL="0" distR="0" wp14:anchorId="735FA9B7" wp14:editId="38A9203F">
            <wp:extent cx="6008798" cy="425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Y2017_SI_National_GINI_WithInsert.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6011622" cy="4253958"/>
                    </a:xfrm>
                    <a:prstGeom prst="rect">
                      <a:avLst/>
                    </a:prstGeom>
                  </pic:spPr>
                </pic:pic>
              </a:graphicData>
            </a:graphic>
          </wp:inline>
        </w:drawing>
      </w:r>
    </w:p>
    <w:p w14:paraId="4FA12044" w14:textId="77777777" w:rsidR="00F73D75" w:rsidRDefault="00F73D75" w:rsidP="00F73D75">
      <w:pPr>
        <w:spacing w:before="40"/>
        <w:ind w:left="720" w:hanging="720"/>
        <w:jc w:val="left"/>
        <w:rPr>
          <w:rFonts w:eastAsia="Times New Roman"/>
          <w:sz w:val="20"/>
          <w:lang w:bidi="ar-SA"/>
        </w:rPr>
      </w:pPr>
      <w:proofErr w:type="gramStart"/>
      <w:r w:rsidRPr="00DF5B45">
        <w:rPr>
          <w:rFonts w:eastAsia="Times New Roman"/>
          <w:i/>
          <w:sz w:val="20"/>
          <w:lang w:bidi="ar-SA"/>
        </w:rPr>
        <w:t>Note:</w:t>
      </w:r>
      <w:proofErr w:type="gramEnd"/>
      <w:r w:rsidRPr="00DF5B45">
        <w:rPr>
          <w:rFonts w:eastAsia="Times New Roman"/>
          <w:i/>
          <w:sz w:val="20"/>
          <w:lang w:bidi="ar-SA"/>
        </w:rPr>
        <w:t xml:space="preserve"> </w:t>
      </w:r>
      <w:r>
        <w:rPr>
          <w:rFonts w:eastAsia="Times New Roman"/>
          <w:sz w:val="20"/>
          <w:lang w:bidi="ar-SA"/>
        </w:rPr>
        <w:t>See Figure 2.</w:t>
      </w:r>
    </w:p>
    <w:p w14:paraId="0D0C5555" w14:textId="77777777" w:rsidR="00ED4A8F" w:rsidRDefault="00ED4A8F" w:rsidP="00F73D75">
      <w:pPr>
        <w:spacing w:before="40"/>
        <w:ind w:left="720" w:hanging="720"/>
        <w:jc w:val="left"/>
        <w:rPr>
          <w:rFonts w:eastAsia="Times New Roman"/>
          <w:i/>
          <w:sz w:val="20"/>
          <w:lang w:bidi="ar-SA"/>
        </w:rPr>
      </w:pPr>
    </w:p>
    <w:p w14:paraId="7FCC51B1" w14:textId="77777777" w:rsidR="00ED4A8F" w:rsidRDefault="00ED4A8F" w:rsidP="00F73D75">
      <w:pPr>
        <w:spacing w:before="40"/>
        <w:ind w:left="720" w:hanging="720"/>
        <w:jc w:val="left"/>
        <w:rPr>
          <w:rFonts w:eastAsia="Times New Roman"/>
          <w:i/>
          <w:sz w:val="20"/>
          <w:lang w:bidi="ar-SA"/>
        </w:rPr>
      </w:pPr>
    </w:p>
    <w:p w14:paraId="7882FC59" w14:textId="400F8455" w:rsidR="00856547" w:rsidRDefault="00856547" w:rsidP="00ED4A8F">
      <w:pPr>
        <w:spacing w:line="288" w:lineRule="auto"/>
        <w:rPr>
          <w:b/>
        </w:rPr>
      </w:pPr>
      <w:r>
        <w:rPr>
          <w:b/>
        </w:rPr>
        <w:t xml:space="preserve">4. </w:t>
      </w:r>
      <w:r w:rsidR="002C610A">
        <w:rPr>
          <w:b/>
        </w:rPr>
        <w:t xml:space="preserve"> </w:t>
      </w:r>
      <w:r>
        <w:rPr>
          <w:b/>
        </w:rPr>
        <w:t>R</w:t>
      </w:r>
      <w:r w:rsidR="00A72FFD">
        <w:rPr>
          <w:b/>
        </w:rPr>
        <w:t>esults</w:t>
      </w:r>
    </w:p>
    <w:p w14:paraId="5C66E6C4" w14:textId="77777777" w:rsidR="00ED4A8F" w:rsidRPr="00ED4A8F" w:rsidRDefault="00ED4A8F" w:rsidP="00ED4A8F">
      <w:pPr>
        <w:spacing w:line="288" w:lineRule="auto"/>
        <w:rPr>
          <w:b/>
          <w:sz w:val="12"/>
          <w:szCs w:val="12"/>
        </w:rPr>
      </w:pPr>
    </w:p>
    <w:p w14:paraId="1EE16D82" w14:textId="71E5C64E" w:rsidR="007D6423" w:rsidRDefault="007D6423" w:rsidP="00ED4A8F">
      <w:pPr>
        <w:widowControl w:val="0"/>
        <w:spacing w:line="288" w:lineRule="auto"/>
        <w:rPr>
          <w:rFonts w:asciiTheme="majorBidi" w:hAnsiTheme="majorBidi" w:cstheme="majorBidi"/>
        </w:rPr>
      </w:pPr>
      <w:r>
        <w:rPr>
          <w:rFonts w:asciiTheme="majorBidi" w:hAnsiTheme="majorBidi" w:cstheme="majorBidi"/>
        </w:rPr>
        <w:t>The results of ordinary least squares (OLS) regressions of the ward-level Gini index</w:t>
      </w:r>
      <w:r w:rsidR="00F17881">
        <w:rPr>
          <w:rFonts w:asciiTheme="majorBidi" w:hAnsiTheme="majorBidi" w:cstheme="majorBidi"/>
        </w:rPr>
        <w:t>,</w:t>
      </w:r>
      <w:r>
        <w:rPr>
          <w:rFonts w:asciiTheme="majorBidi" w:hAnsiTheme="majorBidi" w:cstheme="majorBidi"/>
        </w:rPr>
        <w:t xml:space="preserve"> </w:t>
      </w:r>
      <w:r w:rsidR="00F17881">
        <w:rPr>
          <w:rFonts w:asciiTheme="majorBidi" w:hAnsiTheme="majorBidi" w:cstheme="majorBidi"/>
        </w:rPr>
        <w:t xml:space="preserve">for rural per capita household consumption in 2013, </w:t>
      </w:r>
      <w:r>
        <w:rPr>
          <w:rFonts w:asciiTheme="majorBidi" w:hAnsiTheme="majorBidi" w:cstheme="majorBidi"/>
        </w:rPr>
        <w:t xml:space="preserve">on the percentage of the ward’s forest that was lost over 2000 to 2012 are reported in Table 2. In addition to </w:t>
      </w:r>
      <w:r w:rsidR="00AB630F">
        <w:rPr>
          <w:rFonts w:asciiTheme="majorBidi" w:hAnsiTheme="majorBidi" w:cstheme="majorBidi"/>
        </w:rPr>
        <w:t xml:space="preserve">the results for </w:t>
      </w:r>
      <w:r>
        <w:rPr>
          <w:rFonts w:asciiTheme="majorBidi" w:hAnsiTheme="majorBidi" w:cstheme="majorBidi"/>
        </w:rPr>
        <w:t xml:space="preserve">a simple regression, there are four regressions that each </w:t>
      </w:r>
      <w:proofErr w:type="gramStart"/>
      <w:r>
        <w:rPr>
          <w:rFonts w:asciiTheme="majorBidi" w:hAnsiTheme="majorBidi" w:cstheme="majorBidi"/>
        </w:rPr>
        <w:t>add</w:t>
      </w:r>
      <w:proofErr w:type="gramEnd"/>
      <w:r>
        <w:rPr>
          <w:rFonts w:asciiTheme="majorBidi" w:hAnsiTheme="majorBidi" w:cstheme="majorBidi"/>
        </w:rPr>
        <w:t xml:space="preserve"> a single covariate,</w:t>
      </w:r>
      <w:r w:rsidR="00AB630F">
        <w:rPr>
          <w:rFonts w:asciiTheme="majorBidi" w:hAnsiTheme="majorBidi" w:cstheme="majorBidi"/>
        </w:rPr>
        <w:t xml:space="preserve"> which are reported in columns (2) to (5)</w:t>
      </w:r>
      <w:r w:rsidR="00F17881">
        <w:rPr>
          <w:rFonts w:asciiTheme="majorBidi" w:hAnsiTheme="majorBidi" w:cstheme="majorBidi"/>
        </w:rPr>
        <w:t>.</w:t>
      </w:r>
      <w:r>
        <w:rPr>
          <w:rFonts w:asciiTheme="majorBidi" w:hAnsiTheme="majorBidi" w:cstheme="majorBidi"/>
        </w:rPr>
        <w:t xml:space="preserve"> </w:t>
      </w:r>
      <w:r w:rsidR="00F17881">
        <w:rPr>
          <w:rFonts w:asciiTheme="majorBidi" w:hAnsiTheme="majorBidi" w:cstheme="majorBidi"/>
        </w:rPr>
        <w:t>A</w:t>
      </w:r>
      <w:r w:rsidR="00AB630F">
        <w:rPr>
          <w:rFonts w:asciiTheme="majorBidi" w:hAnsiTheme="majorBidi" w:cstheme="majorBidi"/>
        </w:rPr>
        <w:t xml:space="preserve"> regression with </w:t>
      </w:r>
      <w:r>
        <w:rPr>
          <w:rFonts w:asciiTheme="majorBidi" w:hAnsiTheme="majorBidi" w:cstheme="majorBidi"/>
        </w:rPr>
        <w:t xml:space="preserve">all covariates considered </w:t>
      </w:r>
      <w:r w:rsidR="00AB630F">
        <w:rPr>
          <w:rFonts w:asciiTheme="majorBidi" w:hAnsiTheme="majorBidi" w:cstheme="majorBidi"/>
        </w:rPr>
        <w:t xml:space="preserve">together </w:t>
      </w:r>
      <w:r w:rsidR="00F17881">
        <w:rPr>
          <w:rFonts w:asciiTheme="majorBidi" w:hAnsiTheme="majorBidi" w:cstheme="majorBidi"/>
        </w:rPr>
        <w:t xml:space="preserve">is </w:t>
      </w:r>
      <w:r>
        <w:rPr>
          <w:rFonts w:asciiTheme="majorBidi" w:hAnsiTheme="majorBidi" w:cstheme="majorBidi"/>
        </w:rPr>
        <w:t>in column (6).</w:t>
      </w:r>
    </w:p>
    <w:p w14:paraId="2D325AA6" w14:textId="77777777" w:rsidR="00ED4A8F" w:rsidRDefault="00ED4A8F" w:rsidP="00ED4A8F">
      <w:pPr>
        <w:widowControl w:val="0"/>
        <w:spacing w:line="288" w:lineRule="auto"/>
        <w:ind w:firstLine="142"/>
        <w:rPr>
          <w:rFonts w:asciiTheme="majorBidi" w:hAnsiTheme="majorBidi" w:cstheme="majorBidi"/>
        </w:rPr>
      </w:pPr>
    </w:p>
    <w:p w14:paraId="14EE52F7" w14:textId="07410CA0" w:rsidR="007D6423" w:rsidRDefault="00936280" w:rsidP="001214AD">
      <w:pPr>
        <w:widowControl w:val="0"/>
        <w:spacing w:line="288" w:lineRule="auto"/>
        <w:ind w:firstLine="720"/>
        <w:rPr>
          <w:rFonts w:asciiTheme="majorBidi" w:hAnsiTheme="majorBidi" w:cstheme="majorBidi"/>
        </w:rPr>
      </w:pPr>
      <w:r>
        <w:rPr>
          <w:rFonts w:asciiTheme="majorBidi" w:hAnsiTheme="majorBidi" w:cstheme="majorBidi"/>
        </w:rPr>
        <w:t>The</w:t>
      </w:r>
      <w:r w:rsidR="00467F1A">
        <w:rPr>
          <w:rFonts w:asciiTheme="majorBidi" w:hAnsiTheme="majorBidi" w:cstheme="majorBidi"/>
        </w:rPr>
        <w:t xml:space="preserve"> </w:t>
      </w:r>
      <w:r>
        <w:rPr>
          <w:rFonts w:asciiTheme="majorBidi" w:hAnsiTheme="majorBidi" w:cstheme="majorBidi"/>
        </w:rPr>
        <w:t>re</w:t>
      </w:r>
      <w:r w:rsidR="00467F1A">
        <w:rPr>
          <w:rFonts w:asciiTheme="majorBidi" w:hAnsiTheme="majorBidi" w:cstheme="majorBidi"/>
        </w:rPr>
        <w:t xml:space="preserve">gressions suggest that the higher the percentage </w:t>
      </w:r>
      <w:r>
        <w:rPr>
          <w:rFonts w:asciiTheme="majorBidi" w:hAnsiTheme="majorBidi" w:cstheme="majorBidi"/>
        </w:rPr>
        <w:t xml:space="preserve">of forest loss </w:t>
      </w:r>
      <w:r w:rsidR="00467F1A">
        <w:rPr>
          <w:rFonts w:asciiTheme="majorBidi" w:hAnsiTheme="majorBidi" w:cstheme="majorBidi"/>
        </w:rPr>
        <w:t xml:space="preserve">for a ward, the higher the </w:t>
      </w:r>
      <w:r>
        <w:rPr>
          <w:rFonts w:asciiTheme="majorBidi" w:hAnsiTheme="majorBidi" w:cstheme="majorBidi"/>
        </w:rPr>
        <w:t>subsequent economic inequality</w:t>
      </w:r>
      <w:r w:rsidR="00467F1A">
        <w:rPr>
          <w:rFonts w:asciiTheme="majorBidi" w:hAnsiTheme="majorBidi" w:cstheme="majorBidi"/>
        </w:rPr>
        <w:t xml:space="preserve"> amongst rural households</w:t>
      </w:r>
      <w:r w:rsidR="007D6423">
        <w:rPr>
          <w:rFonts w:asciiTheme="majorBidi" w:hAnsiTheme="majorBidi" w:cstheme="majorBidi"/>
        </w:rPr>
        <w:t xml:space="preserve">. </w:t>
      </w:r>
      <w:r w:rsidR="00467F1A">
        <w:rPr>
          <w:rFonts w:asciiTheme="majorBidi" w:hAnsiTheme="majorBidi" w:cstheme="majorBidi"/>
        </w:rPr>
        <w:t xml:space="preserve">The effect is precisely estimated, with statistical significance at the </w:t>
      </w:r>
      <w:r w:rsidR="00467F1A">
        <w:rPr>
          <w:rFonts w:asciiTheme="majorBidi" w:hAnsiTheme="majorBidi" w:cstheme="majorBidi"/>
          <w:i/>
          <w:iCs/>
        </w:rPr>
        <w:t>p</w:t>
      </w:r>
      <w:r w:rsidR="00467F1A">
        <w:rPr>
          <w:rFonts w:asciiTheme="majorBidi" w:hAnsiTheme="majorBidi" w:cstheme="majorBidi"/>
        </w:rPr>
        <w:t xml:space="preserve">&lt;0.01 level for five regressions and </w:t>
      </w:r>
      <w:r w:rsidR="00467F1A">
        <w:rPr>
          <w:rFonts w:asciiTheme="majorBidi" w:hAnsiTheme="majorBidi" w:cstheme="majorBidi"/>
          <w:i/>
          <w:iCs/>
        </w:rPr>
        <w:t>p</w:t>
      </w:r>
      <w:r w:rsidR="00467F1A">
        <w:rPr>
          <w:rFonts w:asciiTheme="majorBidi" w:hAnsiTheme="majorBidi" w:cstheme="majorBidi"/>
        </w:rPr>
        <w:t>&lt;0.05 for the other.</w:t>
      </w:r>
      <w:r w:rsidR="009873B3">
        <w:rPr>
          <w:rStyle w:val="FootnoteReference"/>
          <w:rFonts w:asciiTheme="majorBidi" w:hAnsiTheme="majorBidi" w:cstheme="majorBidi"/>
        </w:rPr>
        <w:footnoteReference w:id="10"/>
      </w:r>
      <w:r w:rsidR="00467F1A">
        <w:rPr>
          <w:rFonts w:asciiTheme="majorBidi" w:hAnsiTheme="majorBidi" w:cstheme="majorBidi"/>
          <w:i/>
          <w:iCs/>
        </w:rPr>
        <w:t xml:space="preserve"> </w:t>
      </w:r>
      <w:r w:rsidR="007D6423">
        <w:rPr>
          <w:rFonts w:asciiTheme="majorBidi" w:hAnsiTheme="majorBidi" w:cstheme="majorBidi"/>
        </w:rPr>
        <w:t xml:space="preserve">According to the results in column (1), if ten percent of the forest in a ward was lost (noting that this may be stand-replacing disturbance rather than </w:t>
      </w:r>
      <w:proofErr w:type="gramStart"/>
      <w:r w:rsidR="007D6423">
        <w:rPr>
          <w:rFonts w:asciiTheme="majorBidi" w:hAnsiTheme="majorBidi" w:cstheme="majorBidi"/>
        </w:rPr>
        <w:t>clear-felling</w:t>
      </w:r>
      <w:proofErr w:type="gramEnd"/>
      <w:r w:rsidR="007D6423">
        <w:rPr>
          <w:rFonts w:asciiTheme="majorBidi" w:hAnsiTheme="majorBidi" w:cstheme="majorBidi"/>
        </w:rPr>
        <w:t>), the Gini index in 2013 would be 3.9 points higher. In unit-free terms, a standard deviation increase in forest loss increases inequality by one-third of a standard deviation (shown in [ ] in Table 2).</w:t>
      </w:r>
    </w:p>
    <w:tbl>
      <w:tblPr>
        <w:tblStyle w:val="TableGrid"/>
        <w:tblW w:w="0" w:type="auto"/>
        <w:tblCellMar>
          <w:left w:w="28" w:type="dxa"/>
          <w:right w:w="28" w:type="dxa"/>
        </w:tblCellMar>
        <w:tblLook w:val="04A0" w:firstRow="1" w:lastRow="0" w:firstColumn="1" w:lastColumn="0" w:noHBand="0" w:noVBand="1"/>
      </w:tblPr>
      <w:tblGrid>
        <w:gridCol w:w="2412"/>
        <w:gridCol w:w="1103"/>
        <w:gridCol w:w="1103"/>
        <w:gridCol w:w="1103"/>
        <w:gridCol w:w="1096"/>
        <w:gridCol w:w="1103"/>
        <w:gridCol w:w="1096"/>
      </w:tblGrid>
      <w:tr w:rsidR="00F73D75" w:rsidRPr="00D079CB" w14:paraId="4090294F" w14:textId="77777777" w:rsidTr="001214AD">
        <w:tc>
          <w:tcPr>
            <w:tcW w:w="9016" w:type="dxa"/>
            <w:gridSpan w:val="7"/>
            <w:tcBorders>
              <w:top w:val="nil"/>
              <w:left w:val="nil"/>
              <w:bottom w:val="single" w:sz="4" w:space="0" w:color="auto"/>
              <w:right w:val="nil"/>
            </w:tcBorders>
          </w:tcPr>
          <w:p w14:paraId="33E7764D" w14:textId="77777777" w:rsidR="00243B6E" w:rsidRDefault="00F73D75" w:rsidP="001657D0">
            <w:pPr>
              <w:pStyle w:val="PlainText"/>
              <w:jc w:val="center"/>
              <w:rPr>
                <w:rFonts w:asciiTheme="majorBidi" w:hAnsiTheme="majorBidi" w:cstheme="majorBidi"/>
                <w:b/>
                <w:sz w:val="22"/>
                <w:szCs w:val="22"/>
              </w:rPr>
            </w:pPr>
            <w:r w:rsidRPr="00834D0D">
              <w:rPr>
                <w:rFonts w:asciiTheme="majorBidi" w:hAnsiTheme="majorBidi" w:cstheme="majorBidi"/>
                <w:b/>
                <w:sz w:val="22"/>
                <w:szCs w:val="22"/>
              </w:rPr>
              <w:lastRenderedPageBreak/>
              <w:t xml:space="preserve">Table 2: OLS Estimates of Effects of 2000-2012 Forest Loss on Gini Index </w:t>
            </w:r>
          </w:p>
          <w:p w14:paraId="36BCF2DF" w14:textId="77777777" w:rsidR="00F73D75" w:rsidRDefault="00F73D75" w:rsidP="001657D0">
            <w:pPr>
              <w:pStyle w:val="PlainText"/>
              <w:jc w:val="center"/>
              <w:rPr>
                <w:rFonts w:asciiTheme="majorBidi" w:hAnsiTheme="majorBidi" w:cstheme="majorBidi"/>
                <w:b/>
                <w:sz w:val="22"/>
                <w:szCs w:val="22"/>
              </w:rPr>
            </w:pPr>
            <w:r w:rsidRPr="00834D0D">
              <w:rPr>
                <w:rFonts w:asciiTheme="majorBidi" w:hAnsiTheme="majorBidi" w:cstheme="majorBidi"/>
                <w:b/>
                <w:sz w:val="22"/>
                <w:szCs w:val="22"/>
              </w:rPr>
              <w:t>for Per Capita Consumption Inequality in 2013 for Rural Wards of the Solomon Islands</w:t>
            </w:r>
          </w:p>
          <w:p w14:paraId="48CB768F" w14:textId="51B23287" w:rsidR="001657D0" w:rsidRPr="001657D0" w:rsidRDefault="001657D0" w:rsidP="001657D0">
            <w:pPr>
              <w:pStyle w:val="PlainText"/>
              <w:jc w:val="center"/>
              <w:rPr>
                <w:rFonts w:asciiTheme="majorBidi" w:hAnsiTheme="majorBidi" w:cstheme="majorBidi"/>
                <w:b/>
                <w:sz w:val="6"/>
                <w:szCs w:val="6"/>
              </w:rPr>
            </w:pPr>
          </w:p>
        </w:tc>
      </w:tr>
      <w:tr w:rsidR="00F73D75" w:rsidRPr="00D079CB" w14:paraId="3ADD28F6" w14:textId="77777777" w:rsidTr="001214AD">
        <w:tc>
          <w:tcPr>
            <w:tcW w:w="2412" w:type="dxa"/>
            <w:tcBorders>
              <w:top w:val="nil"/>
              <w:left w:val="nil"/>
              <w:bottom w:val="single" w:sz="4" w:space="0" w:color="auto"/>
              <w:right w:val="nil"/>
            </w:tcBorders>
          </w:tcPr>
          <w:p w14:paraId="758DA1F9" w14:textId="77777777" w:rsidR="00F73D75" w:rsidRPr="00D079CB" w:rsidRDefault="00F73D75" w:rsidP="0073791D">
            <w:pPr>
              <w:pStyle w:val="PlainText"/>
              <w:spacing w:before="120" w:after="80"/>
              <w:rPr>
                <w:rFonts w:asciiTheme="majorBidi" w:hAnsiTheme="majorBidi" w:cstheme="majorBidi"/>
              </w:rPr>
            </w:pPr>
            <w:bookmarkStart w:id="0" w:name="_GoBack" w:colFirst="0" w:colLast="6"/>
          </w:p>
        </w:tc>
        <w:tc>
          <w:tcPr>
            <w:tcW w:w="1103" w:type="dxa"/>
            <w:tcBorders>
              <w:top w:val="nil"/>
              <w:left w:val="nil"/>
              <w:bottom w:val="single" w:sz="4" w:space="0" w:color="auto"/>
              <w:right w:val="nil"/>
            </w:tcBorders>
          </w:tcPr>
          <w:p w14:paraId="558BCB56"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(1)</w:t>
            </w:r>
          </w:p>
        </w:tc>
        <w:tc>
          <w:tcPr>
            <w:tcW w:w="1103" w:type="dxa"/>
            <w:tcBorders>
              <w:top w:val="nil"/>
              <w:left w:val="nil"/>
              <w:bottom w:val="single" w:sz="4" w:space="0" w:color="auto"/>
              <w:right w:val="nil"/>
            </w:tcBorders>
          </w:tcPr>
          <w:p w14:paraId="6F048213"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(2)</w:t>
            </w:r>
          </w:p>
        </w:tc>
        <w:tc>
          <w:tcPr>
            <w:tcW w:w="1103" w:type="dxa"/>
            <w:tcBorders>
              <w:top w:val="nil"/>
              <w:left w:val="nil"/>
              <w:bottom w:val="single" w:sz="4" w:space="0" w:color="auto"/>
              <w:right w:val="nil"/>
            </w:tcBorders>
          </w:tcPr>
          <w:p w14:paraId="1AFEF8F5"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(3)</w:t>
            </w:r>
          </w:p>
        </w:tc>
        <w:tc>
          <w:tcPr>
            <w:tcW w:w="1096" w:type="dxa"/>
            <w:tcBorders>
              <w:top w:val="nil"/>
              <w:left w:val="nil"/>
              <w:bottom w:val="single" w:sz="4" w:space="0" w:color="auto"/>
              <w:right w:val="nil"/>
            </w:tcBorders>
          </w:tcPr>
          <w:p w14:paraId="42A1919E"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(4)</w:t>
            </w:r>
          </w:p>
        </w:tc>
        <w:tc>
          <w:tcPr>
            <w:tcW w:w="1103" w:type="dxa"/>
            <w:tcBorders>
              <w:top w:val="nil"/>
              <w:left w:val="nil"/>
              <w:bottom w:val="single" w:sz="4" w:space="0" w:color="auto"/>
              <w:right w:val="nil"/>
            </w:tcBorders>
          </w:tcPr>
          <w:p w14:paraId="4B5C203B"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(5)</w:t>
            </w:r>
          </w:p>
        </w:tc>
        <w:tc>
          <w:tcPr>
            <w:tcW w:w="1096" w:type="dxa"/>
            <w:tcBorders>
              <w:top w:val="nil"/>
              <w:left w:val="nil"/>
              <w:bottom w:val="single" w:sz="4" w:space="0" w:color="auto"/>
              <w:right w:val="nil"/>
            </w:tcBorders>
          </w:tcPr>
          <w:p w14:paraId="284D5C5D"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(6)</w:t>
            </w:r>
          </w:p>
        </w:tc>
      </w:tr>
      <w:bookmarkEnd w:id="0"/>
      <w:tr w:rsidR="00F73D75" w:rsidRPr="00D079CB" w14:paraId="07B4CA38" w14:textId="77777777" w:rsidTr="001214AD">
        <w:tc>
          <w:tcPr>
            <w:tcW w:w="2412" w:type="dxa"/>
            <w:tcBorders>
              <w:top w:val="single" w:sz="4" w:space="0" w:color="auto"/>
              <w:left w:val="nil"/>
              <w:bottom w:val="nil"/>
              <w:right w:val="nil"/>
            </w:tcBorders>
          </w:tcPr>
          <w:p w14:paraId="517942A7" w14:textId="26C67B12" w:rsidR="00F73D75" w:rsidRPr="00D079CB" w:rsidRDefault="001657D0" w:rsidP="001657D0">
            <w:pPr>
              <w:pStyle w:val="PlainText"/>
              <w:rPr>
                <w:rFonts w:asciiTheme="majorBidi" w:hAnsiTheme="majorBidi" w:cstheme="majorBidi"/>
              </w:rPr>
            </w:pPr>
            <w:r>
              <w:rPr>
                <w:rFonts w:asciiTheme="majorBidi" w:hAnsiTheme="majorBidi" w:cstheme="majorBidi"/>
              </w:rPr>
              <w:t xml:space="preserve">Percent </w:t>
            </w:r>
            <w:r w:rsidR="00F73D75">
              <w:rPr>
                <w:rFonts w:asciiTheme="majorBidi" w:hAnsiTheme="majorBidi" w:cstheme="majorBidi"/>
              </w:rPr>
              <w:t xml:space="preserve">of forest lost </w:t>
            </w:r>
          </w:p>
        </w:tc>
        <w:tc>
          <w:tcPr>
            <w:tcW w:w="1103" w:type="dxa"/>
            <w:tcBorders>
              <w:top w:val="single" w:sz="4" w:space="0" w:color="auto"/>
              <w:left w:val="nil"/>
              <w:bottom w:val="nil"/>
              <w:right w:val="nil"/>
            </w:tcBorders>
          </w:tcPr>
          <w:p w14:paraId="33FEDFFA"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0.394</w:t>
            </w:r>
          </w:p>
        </w:tc>
        <w:tc>
          <w:tcPr>
            <w:tcW w:w="1103" w:type="dxa"/>
            <w:tcBorders>
              <w:top w:val="single" w:sz="4" w:space="0" w:color="auto"/>
              <w:left w:val="nil"/>
              <w:bottom w:val="nil"/>
              <w:right w:val="nil"/>
            </w:tcBorders>
          </w:tcPr>
          <w:p w14:paraId="53E35575"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0.392</w:t>
            </w:r>
          </w:p>
        </w:tc>
        <w:tc>
          <w:tcPr>
            <w:tcW w:w="1103" w:type="dxa"/>
            <w:tcBorders>
              <w:top w:val="single" w:sz="4" w:space="0" w:color="auto"/>
              <w:left w:val="nil"/>
              <w:bottom w:val="nil"/>
              <w:right w:val="nil"/>
            </w:tcBorders>
          </w:tcPr>
          <w:p w14:paraId="535248F6"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0.377</w:t>
            </w:r>
          </w:p>
        </w:tc>
        <w:tc>
          <w:tcPr>
            <w:tcW w:w="1096" w:type="dxa"/>
            <w:tcBorders>
              <w:top w:val="single" w:sz="4" w:space="0" w:color="auto"/>
              <w:left w:val="nil"/>
              <w:bottom w:val="nil"/>
              <w:right w:val="nil"/>
            </w:tcBorders>
          </w:tcPr>
          <w:p w14:paraId="16C5EEF2"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0.278</w:t>
            </w:r>
          </w:p>
        </w:tc>
        <w:tc>
          <w:tcPr>
            <w:tcW w:w="1103" w:type="dxa"/>
            <w:tcBorders>
              <w:top w:val="single" w:sz="4" w:space="0" w:color="auto"/>
              <w:left w:val="nil"/>
              <w:bottom w:val="nil"/>
              <w:right w:val="nil"/>
            </w:tcBorders>
          </w:tcPr>
          <w:p w14:paraId="426C6AC4"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0.389</w:t>
            </w:r>
          </w:p>
        </w:tc>
        <w:tc>
          <w:tcPr>
            <w:tcW w:w="1096" w:type="dxa"/>
            <w:tcBorders>
              <w:top w:val="single" w:sz="4" w:space="0" w:color="auto"/>
              <w:left w:val="nil"/>
              <w:bottom w:val="nil"/>
              <w:right w:val="nil"/>
            </w:tcBorders>
          </w:tcPr>
          <w:p w14:paraId="5448CB87"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0.224</w:t>
            </w:r>
          </w:p>
        </w:tc>
      </w:tr>
      <w:tr w:rsidR="00F73D75" w:rsidRPr="00D079CB" w14:paraId="08935388" w14:textId="77777777" w:rsidTr="001214AD">
        <w:tc>
          <w:tcPr>
            <w:tcW w:w="2412" w:type="dxa"/>
            <w:tcBorders>
              <w:top w:val="nil"/>
              <w:left w:val="nil"/>
              <w:bottom w:val="nil"/>
              <w:right w:val="nil"/>
            </w:tcBorders>
          </w:tcPr>
          <w:p w14:paraId="3DBE8775" w14:textId="3277EDAC" w:rsidR="00F73D75" w:rsidRPr="00D079CB" w:rsidRDefault="001657D0" w:rsidP="001214AD">
            <w:pPr>
              <w:pStyle w:val="PlainText"/>
              <w:rPr>
                <w:rFonts w:asciiTheme="majorBidi" w:hAnsiTheme="majorBidi" w:cstheme="majorBidi"/>
              </w:rPr>
            </w:pPr>
            <w:r>
              <w:rPr>
                <w:rFonts w:asciiTheme="majorBidi" w:hAnsiTheme="majorBidi" w:cstheme="majorBidi"/>
              </w:rPr>
              <w:t>2000-2012</w:t>
            </w:r>
          </w:p>
        </w:tc>
        <w:tc>
          <w:tcPr>
            <w:tcW w:w="1103" w:type="dxa"/>
            <w:tcBorders>
              <w:top w:val="nil"/>
              <w:left w:val="nil"/>
              <w:bottom w:val="nil"/>
              <w:right w:val="nil"/>
            </w:tcBorders>
          </w:tcPr>
          <w:p w14:paraId="515F676C"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(3.56)**</w:t>
            </w:r>
          </w:p>
        </w:tc>
        <w:tc>
          <w:tcPr>
            <w:tcW w:w="1103" w:type="dxa"/>
            <w:tcBorders>
              <w:top w:val="nil"/>
              <w:left w:val="nil"/>
              <w:bottom w:val="nil"/>
              <w:right w:val="nil"/>
            </w:tcBorders>
          </w:tcPr>
          <w:p w14:paraId="540F84DB"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(3.56)**</w:t>
            </w:r>
          </w:p>
        </w:tc>
        <w:tc>
          <w:tcPr>
            <w:tcW w:w="1103" w:type="dxa"/>
            <w:tcBorders>
              <w:top w:val="nil"/>
              <w:left w:val="nil"/>
              <w:bottom w:val="nil"/>
              <w:right w:val="nil"/>
            </w:tcBorders>
          </w:tcPr>
          <w:p w14:paraId="7268B19A"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(3.45)**</w:t>
            </w:r>
          </w:p>
        </w:tc>
        <w:tc>
          <w:tcPr>
            <w:tcW w:w="1096" w:type="dxa"/>
            <w:tcBorders>
              <w:top w:val="nil"/>
              <w:left w:val="nil"/>
              <w:bottom w:val="nil"/>
              <w:right w:val="nil"/>
            </w:tcBorders>
          </w:tcPr>
          <w:p w14:paraId="35725E4D"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(2.71)**</w:t>
            </w:r>
          </w:p>
        </w:tc>
        <w:tc>
          <w:tcPr>
            <w:tcW w:w="1103" w:type="dxa"/>
            <w:tcBorders>
              <w:top w:val="nil"/>
              <w:left w:val="nil"/>
              <w:bottom w:val="nil"/>
              <w:right w:val="nil"/>
            </w:tcBorders>
          </w:tcPr>
          <w:p w14:paraId="7F988576"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(3.51)**</w:t>
            </w:r>
          </w:p>
        </w:tc>
        <w:tc>
          <w:tcPr>
            <w:tcW w:w="1096" w:type="dxa"/>
            <w:tcBorders>
              <w:top w:val="nil"/>
              <w:left w:val="nil"/>
              <w:bottom w:val="nil"/>
              <w:right w:val="nil"/>
            </w:tcBorders>
          </w:tcPr>
          <w:p w14:paraId="194509BD"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(2.18)*</w:t>
            </w:r>
          </w:p>
        </w:tc>
      </w:tr>
      <w:tr w:rsidR="00F73D75" w:rsidRPr="00D079CB" w14:paraId="1EE216CC" w14:textId="77777777" w:rsidTr="001214AD">
        <w:tc>
          <w:tcPr>
            <w:tcW w:w="2412" w:type="dxa"/>
            <w:tcBorders>
              <w:top w:val="nil"/>
              <w:left w:val="nil"/>
              <w:bottom w:val="nil"/>
              <w:right w:val="nil"/>
            </w:tcBorders>
          </w:tcPr>
          <w:p w14:paraId="16F840E8"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4CDEB61C" w14:textId="77777777" w:rsidR="00F73D75" w:rsidRPr="00D079CB" w:rsidRDefault="00F73D75" w:rsidP="001214AD">
            <w:pPr>
              <w:pStyle w:val="PlainText"/>
              <w:tabs>
                <w:tab w:val="decimal" w:pos="340"/>
              </w:tabs>
              <w:rPr>
                <w:rFonts w:asciiTheme="majorBidi" w:hAnsiTheme="majorBidi" w:cstheme="majorBidi"/>
              </w:rPr>
            </w:pPr>
            <w:r>
              <w:rPr>
                <w:rFonts w:asciiTheme="majorBidi" w:hAnsiTheme="majorBidi" w:cstheme="majorBidi"/>
              </w:rPr>
              <w:t>[0.34]</w:t>
            </w:r>
          </w:p>
        </w:tc>
        <w:tc>
          <w:tcPr>
            <w:tcW w:w="1103" w:type="dxa"/>
            <w:tcBorders>
              <w:top w:val="nil"/>
              <w:left w:val="nil"/>
              <w:bottom w:val="nil"/>
              <w:right w:val="nil"/>
            </w:tcBorders>
          </w:tcPr>
          <w:p w14:paraId="16FD21FF" w14:textId="77777777" w:rsidR="00F73D75" w:rsidRPr="00D079CB" w:rsidRDefault="00F73D75" w:rsidP="001214AD">
            <w:pPr>
              <w:pStyle w:val="PlainText"/>
              <w:tabs>
                <w:tab w:val="decimal" w:pos="340"/>
              </w:tabs>
              <w:rPr>
                <w:rFonts w:asciiTheme="majorBidi" w:hAnsiTheme="majorBidi" w:cstheme="majorBidi"/>
              </w:rPr>
            </w:pPr>
            <w:r w:rsidRPr="002A0F83">
              <w:rPr>
                <w:rFonts w:asciiTheme="majorBidi" w:hAnsiTheme="majorBidi" w:cstheme="majorBidi"/>
              </w:rPr>
              <w:t>[0.34]</w:t>
            </w:r>
          </w:p>
        </w:tc>
        <w:tc>
          <w:tcPr>
            <w:tcW w:w="1103" w:type="dxa"/>
            <w:tcBorders>
              <w:top w:val="nil"/>
              <w:left w:val="nil"/>
              <w:bottom w:val="nil"/>
              <w:right w:val="nil"/>
            </w:tcBorders>
          </w:tcPr>
          <w:p w14:paraId="080DF49A" w14:textId="77777777" w:rsidR="00F73D75" w:rsidRPr="00D079CB" w:rsidRDefault="00F73D75" w:rsidP="001214AD">
            <w:pPr>
              <w:pStyle w:val="PlainText"/>
              <w:tabs>
                <w:tab w:val="decimal" w:pos="340"/>
              </w:tabs>
              <w:rPr>
                <w:rFonts w:asciiTheme="majorBidi" w:hAnsiTheme="majorBidi" w:cstheme="majorBidi"/>
              </w:rPr>
            </w:pPr>
            <w:r w:rsidRPr="002A0F83">
              <w:rPr>
                <w:rFonts w:asciiTheme="majorBidi" w:hAnsiTheme="majorBidi" w:cstheme="majorBidi"/>
              </w:rPr>
              <w:t>[</w:t>
            </w:r>
            <w:r>
              <w:rPr>
                <w:rFonts w:asciiTheme="majorBidi" w:hAnsiTheme="majorBidi" w:cstheme="majorBidi"/>
              </w:rPr>
              <w:t>0.32</w:t>
            </w:r>
            <w:r w:rsidRPr="002A0F83">
              <w:rPr>
                <w:rFonts w:asciiTheme="majorBidi" w:hAnsiTheme="majorBidi" w:cstheme="majorBidi"/>
              </w:rPr>
              <w:t>]</w:t>
            </w:r>
          </w:p>
        </w:tc>
        <w:tc>
          <w:tcPr>
            <w:tcW w:w="1096" w:type="dxa"/>
            <w:tcBorders>
              <w:top w:val="nil"/>
              <w:left w:val="nil"/>
              <w:bottom w:val="nil"/>
              <w:right w:val="nil"/>
            </w:tcBorders>
          </w:tcPr>
          <w:p w14:paraId="1A6D7DEE" w14:textId="77777777" w:rsidR="00F73D75" w:rsidRPr="00D079CB" w:rsidRDefault="00F73D75" w:rsidP="001214AD">
            <w:pPr>
              <w:pStyle w:val="PlainText"/>
              <w:tabs>
                <w:tab w:val="decimal" w:pos="340"/>
              </w:tabs>
              <w:rPr>
                <w:rFonts w:asciiTheme="majorBidi" w:hAnsiTheme="majorBidi" w:cstheme="majorBidi"/>
              </w:rPr>
            </w:pPr>
            <w:r w:rsidRPr="002A0F83">
              <w:rPr>
                <w:rFonts w:asciiTheme="majorBidi" w:hAnsiTheme="majorBidi" w:cstheme="majorBidi"/>
              </w:rPr>
              <w:t>[</w:t>
            </w:r>
            <w:r>
              <w:rPr>
                <w:rFonts w:asciiTheme="majorBidi" w:hAnsiTheme="majorBidi" w:cstheme="majorBidi"/>
              </w:rPr>
              <w:t>0.2</w:t>
            </w:r>
            <w:r w:rsidRPr="002A0F83">
              <w:rPr>
                <w:rFonts w:asciiTheme="majorBidi" w:hAnsiTheme="majorBidi" w:cstheme="majorBidi"/>
              </w:rPr>
              <w:t>4]</w:t>
            </w:r>
          </w:p>
        </w:tc>
        <w:tc>
          <w:tcPr>
            <w:tcW w:w="1103" w:type="dxa"/>
            <w:tcBorders>
              <w:top w:val="nil"/>
              <w:left w:val="nil"/>
              <w:bottom w:val="nil"/>
              <w:right w:val="nil"/>
            </w:tcBorders>
          </w:tcPr>
          <w:p w14:paraId="7584DFF6" w14:textId="77777777" w:rsidR="00F73D75" w:rsidRPr="00D079CB" w:rsidRDefault="00F73D75" w:rsidP="001214AD">
            <w:pPr>
              <w:pStyle w:val="PlainText"/>
              <w:tabs>
                <w:tab w:val="decimal" w:pos="340"/>
              </w:tabs>
              <w:rPr>
                <w:rFonts w:asciiTheme="majorBidi" w:hAnsiTheme="majorBidi" w:cstheme="majorBidi"/>
              </w:rPr>
            </w:pPr>
            <w:r>
              <w:rPr>
                <w:rFonts w:asciiTheme="majorBidi" w:hAnsiTheme="majorBidi" w:cstheme="majorBidi"/>
              </w:rPr>
              <w:t>[0.33]</w:t>
            </w:r>
          </w:p>
        </w:tc>
        <w:tc>
          <w:tcPr>
            <w:tcW w:w="1096" w:type="dxa"/>
            <w:tcBorders>
              <w:top w:val="nil"/>
              <w:left w:val="nil"/>
              <w:bottom w:val="nil"/>
              <w:right w:val="nil"/>
            </w:tcBorders>
          </w:tcPr>
          <w:p w14:paraId="0590CBAB" w14:textId="77777777" w:rsidR="00F73D75" w:rsidRPr="00D079CB" w:rsidRDefault="00F73D75" w:rsidP="001214AD">
            <w:pPr>
              <w:pStyle w:val="PlainText"/>
              <w:tabs>
                <w:tab w:val="decimal" w:pos="340"/>
              </w:tabs>
              <w:rPr>
                <w:rFonts w:asciiTheme="majorBidi" w:hAnsiTheme="majorBidi" w:cstheme="majorBidi"/>
              </w:rPr>
            </w:pPr>
            <w:r>
              <w:rPr>
                <w:rFonts w:asciiTheme="majorBidi" w:hAnsiTheme="majorBidi" w:cstheme="majorBidi"/>
              </w:rPr>
              <w:t>[0.19]</w:t>
            </w:r>
          </w:p>
        </w:tc>
      </w:tr>
      <w:tr w:rsidR="00F73D75" w:rsidRPr="00D079CB" w14:paraId="6C6CD353" w14:textId="77777777" w:rsidTr="001214AD">
        <w:tc>
          <w:tcPr>
            <w:tcW w:w="2412" w:type="dxa"/>
            <w:tcBorders>
              <w:top w:val="nil"/>
              <w:left w:val="nil"/>
              <w:bottom w:val="nil"/>
              <w:right w:val="nil"/>
            </w:tcBorders>
          </w:tcPr>
          <w:p w14:paraId="62914203"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Headcount poverty rate</w:t>
            </w:r>
          </w:p>
        </w:tc>
        <w:tc>
          <w:tcPr>
            <w:tcW w:w="1103" w:type="dxa"/>
            <w:tcBorders>
              <w:top w:val="nil"/>
              <w:left w:val="nil"/>
              <w:bottom w:val="nil"/>
              <w:right w:val="nil"/>
            </w:tcBorders>
          </w:tcPr>
          <w:p w14:paraId="799E45E0"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47EBABF1"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-0.069</w:t>
            </w:r>
          </w:p>
        </w:tc>
        <w:tc>
          <w:tcPr>
            <w:tcW w:w="1103" w:type="dxa"/>
            <w:tcBorders>
              <w:top w:val="nil"/>
              <w:left w:val="nil"/>
              <w:bottom w:val="nil"/>
              <w:right w:val="nil"/>
            </w:tcBorders>
          </w:tcPr>
          <w:p w14:paraId="37302946"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4DAC2B69"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610A31D6"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5F26BEA6"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0.009</w:t>
            </w:r>
          </w:p>
        </w:tc>
      </w:tr>
      <w:tr w:rsidR="00F73D75" w:rsidRPr="00D079CB" w14:paraId="05547FD1" w14:textId="77777777" w:rsidTr="001214AD">
        <w:tc>
          <w:tcPr>
            <w:tcW w:w="2412" w:type="dxa"/>
            <w:tcBorders>
              <w:top w:val="nil"/>
              <w:left w:val="nil"/>
              <w:bottom w:val="nil"/>
              <w:right w:val="nil"/>
            </w:tcBorders>
          </w:tcPr>
          <w:p w14:paraId="25F3FC02"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1C179EF0"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5139183B"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(5.43)**</w:t>
            </w:r>
          </w:p>
        </w:tc>
        <w:tc>
          <w:tcPr>
            <w:tcW w:w="1103" w:type="dxa"/>
            <w:tcBorders>
              <w:top w:val="nil"/>
              <w:left w:val="nil"/>
              <w:bottom w:val="nil"/>
              <w:right w:val="nil"/>
            </w:tcBorders>
          </w:tcPr>
          <w:p w14:paraId="16636E5F"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7F8DEB4E"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02890367"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5D5447D4"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(0.44)</w:t>
            </w:r>
          </w:p>
        </w:tc>
      </w:tr>
      <w:tr w:rsidR="00F73D75" w:rsidRPr="00D079CB" w14:paraId="3D00D197" w14:textId="77777777" w:rsidTr="001214AD">
        <w:tc>
          <w:tcPr>
            <w:tcW w:w="2412" w:type="dxa"/>
            <w:tcBorders>
              <w:top w:val="nil"/>
              <w:left w:val="nil"/>
              <w:bottom w:val="nil"/>
              <w:right w:val="nil"/>
            </w:tcBorders>
          </w:tcPr>
          <w:p w14:paraId="15B81958"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ln population</w:t>
            </w:r>
          </w:p>
        </w:tc>
        <w:tc>
          <w:tcPr>
            <w:tcW w:w="1103" w:type="dxa"/>
            <w:tcBorders>
              <w:top w:val="nil"/>
              <w:left w:val="nil"/>
              <w:bottom w:val="nil"/>
              <w:right w:val="nil"/>
            </w:tcBorders>
          </w:tcPr>
          <w:p w14:paraId="52B10315"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6BD02CB8"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2C5084DB"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0.003</w:t>
            </w:r>
          </w:p>
        </w:tc>
        <w:tc>
          <w:tcPr>
            <w:tcW w:w="1096" w:type="dxa"/>
            <w:tcBorders>
              <w:top w:val="nil"/>
              <w:left w:val="nil"/>
              <w:bottom w:val="nil"/>
              <w:right w:val="nil"/>
            </w:tcBorders>
          </w:tcPr>
          <w:p w14:paraId="2805A2B2"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7B3F5808"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48213526"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0.006</w:t>
            </w:r>
          </w:p>
        </w:tc>
      </w:tr>
      <w:tr w:rsidR="00F73D75" w:rsidRPr="00D079CB" w14:paraId="6086EED9" w14:textId="77777777" w:rsidTr="001214AD">
        <w:tc>
          <w:tcPr>
            <w:tcW w:w="2412" w:type="dxa"/>
            <w:tcBorders>
              <w:top w:val="nil"/>
              <w:left w:val="nil"/>
              <w:bottom w:val="nil"/>
              <w:right w:val="nil"/>
            </w:tcBorders>
          </w:tcPr>
          <w:p w14:paraId="63755F13"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28CD5836"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68BDD034"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54E94AC2"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(1.17)</w:t>
            </w:r>
          </w:p>
        </w:tc>
        <w:tc>
          <w:tcPr>
            <w:tcW w:w="1096" w:type="dxa"/>
            <w:tcBorders>
              <w:top w:val="nil"/>
              <w:left w:val="nil"/>
              <w:bottom w:val="nil"/>
              <w:right w:val="nil"/>
            </w:tcBorders>
          </w:tcPr>
          <w:p w14:paraId="14E5D596"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503F9E8D"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33B276DE"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(2.95)**</w:t>
            </w:r>
          </w:p>
        </w:tc>
      </w:tr>
      <w:tr w:rsidR="00F73D75" w:rsidRPr="00D079CB" w14:paraId="2062A7D6" w14:textId="77777777" w:rsidTr="001214AD">
        <w:tc>
          <w:tcPr>
            <w:tcW w:w="2412" w:type="dxa"/>
            <w:tcBorders>
              <w:top w:val="nil"/>
              <w:left w:val="nil"/>
              <w:bottom w:val="nil"/>
              <w:right w:val="nil"/>
            </w:tcBorders>
          </w:tcPr>
          <w:p w14:paraId="3385F09F"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ln per capita consumption</w:t>
            </w:r>
          </w:p>
        </w:tc>
        <w:tc>
          <w:tcPr>
            <w:tcW w:w="1103" w:type="dxa"/>
            <w:tcBorders>
              <w:top w:val="nil"/>
              <w:left w:val="nil"/>
              <w:bottom w:val="nil"/>
              <w:right w:val="nil"/>
            </w:tcBorders>
          </w:tcPr>
          <w:p w14:paraId="346CCBEB"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4CD7CD23"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0DE59E98"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3D01EFC1"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0.052</w:t>
            </w:r>
          </w:p>
        </w:tc>
        <w:tc>
          <w:tcPr>
            <w:tcW w:w="1103" w:type="dxa"/>
            <w:tcBorders>
              <w:top w:val="nil"/>
              <w:left w:val="nil"/>
              <w:bottom w:val="nil"/>
              <w:right w:val="nil"/>
            </w:tcBorders>
          </w:tcPr>
          <w:p w14:paraId="0E57A458"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534886A7"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0.058</w:t>
            </w:r>
          </w:p>
        </w:tc>
      </w:tr>
      <w:tr w:rsidR="00F73D75" w:rsidRPr="00D079CB" w14:paraId="681D7BD9" w14:textId="77777777" w:rsidTr="001214AD">
        <w:tc>
          <w:tcPr>
            <w:tcW w:w="2412" w:type="dxa"/>
            <w:tcBorders>
              <w:top w:val="nil"/>
              <w:left w:val="nil"/>
              <w:bottom w:val="nil"/>
              <w:right w:val="nil"/>
            </w:tcBorders>
          </w:tcPr>
          <w:p w14:paraId="03CD7731"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7C6239FC"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5F5778AC"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39BD4F8D"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2EA1B1BC"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(5.84)**</w:t>
            </w:r>
          </w:p>
        </w:tc>
        <w:tc>
          <w:tcPr>
            <w:tcW w:w="1103" w:type="dxa"/>
            <w:tcBorders>
              <w:top w:val="nil"/>
              <w:left w:val="nil"/>
              <w:bottom w:val="nil"/>
              <w:right w:val="nil"/>
            </w:tcBorders>
          </w:tcPr>
          <w:p w14:paraId="0C2C4727"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19B24C15"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(4.47)**</w:t>
            </w:r>
          </w:p>
        </w:tc>
      </w:tr>
      <w:tr w:rsidR="00F73D75" w:rsidRPr="00D079CB" w14:paraId="4F6BFC35" w14:textId="77777777" w:rsidTr="001214AD">
        <w:tc>
          <w:tcPr>
            <w:tcW w:w="2412" w:type="dxa"/>
            <w:tcBorders>
              <w:top w:val="nil"/>
              <w:left w:val="nil"/>
              <w:bottom w:val="nil"/>
              <w:right w:val="nil"/>
            </w:tcBorders>
          </w:tcPr>
          <w:p w14:paraId="4E2512D7"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ln baseline forested area</w:t>
            </w:r>
          </w:p>
        </w:tc>
        <w:tc>
          <w:tcPr>
            <w:tcW w:w="1103" w:type="dxa"/>
            <w:tcBorders>
              <w:top w:val="nil"/>
              <w:left w:val="nil"/>
              <w:bottom w:val="nil"/>
              <w:right w:val="nil"/>
            </w:tcBorders>
          </w:tcPr>
          <w:p w14:paraId="7F50A83B"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5452CF60"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07EA7DF4"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49EEB895"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662BF5C8"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0.001</w:t>
            </w:r>
          </w:p>
        </w:tc>
        <w:tc>
          <w:tcPr>
            <w:tcW w:w="1096" w:type="dxa"/>
            <w:tcBorders>
              <w:top w:val="nil"/>
              <w:left w:val="nil"/>
              <w:bottom w:val="nil"/>
              <w:right w:val="nil"/>
            </w:tcBorders>
          </w:tcPr>
          <w:p w14:paraId="3F80E8B3"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0.000</w:t>
            </w:r>
          </w:p>
        </w:tc>
      </w:tr>
      <w:tr w:rsidR="00F73D75" w:rsidRPr="00D079CB" w14:paraId="16AF4F23" w14:textId="77777777" w:rsidTr="001214AD">
        <w:tc>
          <w:tcPr>
            <w:tcW w:w="2412" w:type="dxa"/>
            <w:tcBorders>
              <w:top w:val="nil"/>
              <w:left w:val="nil"/>
              <w:bottom w:val="nil"/>
              <w:right w:val="nil"/>
            </w:tcBorders>
          </w:tcPr>
          <w:p w14:paraId="7CB76DA5"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23F63E77"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38C727E2"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4B51DBF9"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1E70B541"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64E63143"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(0.54)</w:t>
            </w:r>
          </w:p>
        </w:tc>
        <w:tc>
          <w:tcPr>
            <w:tcW w:w="1096" w:type="dxa"/>
            <w:tcBorders>
              <w:top w:val="nil"/>
              <w:left w:val="nil"/>
              <w:bottom w:val="nil"/>
              <w:right w:val="nil"/>
            </w:tcBorders>
          </w:tcPr>
          <w:p w14:paraId="6DFCCF73"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(0.09)</w:t>
            </w:r>
          </w:p>
        </w:tc>
      </w:tr>
      <w:tr w:rsidR="00F73D75" w:rsidRPr="00D079CB" w14:paraId="400CD834" w14:textId="77777777" w:rsidTr="001214AD">
        <w:tc>
          <w:tcPr>
            <w:tcW w:w="2412" w:type="dxa"/>
            <w:tcBorders>
              <w:top w:val="nil"/>
              <w:left w:val="nil"/>
              <w:bottom w:val="nil"/>
              <w:right w:val="nil"/>
            </w:tcBorders>
          </w:tcPr>
          <w:p w14:paraId="5E7BBBD1" w14:textId="77777777" w:rsidR="00F73D75" w:rsidRPr="00D079CB" w:rsidRDefault="00F73D75" w:rsidP="001214AD">
            <w:pPr>
              <w:pStyle w:val="PlainText"/>
              <w:spacing w:before="60"/>
              <w:rPr>
                <w:rFonts w:asciiTheme="majorBidi" w:hAnsiTheme="majorBidi" w:cstheme="majorBidi"/>
              </w:rPr>
            </w:pPr>
            <w:r w:rsidRPr="00D079CB">
              <w:rPr>
                <w:rFonts w:asciiTheme="majorBidi" w:hAnsiTheme="majorBidi" w:cstheme="majorBidi"/>
              </w:rPr>
              <w:t>Constant</w:t>
            </w:r>
          </w:p>
        </w:tc>
        <w:tc>
          <w:tcPr>
            <w:tcW w:w="1103" w:type="dxa"/>
            <w:tcBorders>
              <w:top w:val="nil"/>
              <w:left w:val="nil"/>
              <w:bottom w:val="nil"/>
              <w:right w:val="nil"/>
            </w:tcBorders>
          </w:tcPr>
          <w:p w14:paraId="4BE1336A"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0.292</w:t>
            </w:r>
          </w:p>
        </w:tc>
        <w:tc>
          <w:tcPr>
            <w:tcW w:w="1103" w:type="dxa"/>
            <w:tcBorders>
              <w:top w:val="nil"/>
              <w:left w:val="nil"/>
              <w:bottom w:val="nil"/>
              <w:right w:val="nil"/>
            </w:tcBorders>
          </w:tcPr>
          <w:p w14:paraId="197E5854"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0.303</w:t>
            </w:r>
          </w:p>
        </w:tc>
        <w:tc>
          <w:tcPr>
            <w:tcW w:w="1103" w:type="dxa"/>
            <w:tcBorders>
              <w:top w:val="nil"/>
              <w:left w:val="nil"/>
              <w:bottom w:val="nil"/>
              <w:right w:val="nil"/>
            </w:tcBorders>
          </w:tcPr>
          <w:p w14:paraId="1F0F5ACC"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0.272</w:t>
            </w:r>
          </w:p>
        </w:tc>
        <w:tc>
          <w:tcPr>
            <w:tcW w:w="1096" w:type="dxa"/>
            <w:tcBorders>
              <w:top w:val="nil"/>
              <w:left w:val="nil"/>
              <w:bottom w:val="nil"/>
              <w:right w:val="nil"/>
            </w:tcBorders>
          </w:tcPr>
          <w:p w14:paraId="2B1AF424"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-0.182</w:t>
            </w:r>
          </w:p>
        </w:tc>
        <w:tc>
          <w:tcPr>
            <w:tcW w:w="1103" w:type="dxa"/>
            <w:tcBorders>
              <w:top w:val="nil"/>
              <w:left w:val="nil"/>
              <w:bottom w:val="nil"/>
              <w:right w:val="nil"/>
            </w:tcBorders>
          </w:tcPr>
          <w:p w14:paraId="4414CD1D"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0.284</w:t>
            </w:r>
          </w:p>
        </w:tc>
        <w:tc>
          <w:tcPr>
            <w:tcW w:w="1096" w:type="dxa"/>
            <w:tcBorders>
              <w:top w:val="nil"/>
              <w:left w:val="nil"/>
              <w:bottom w:val="nil"/>
              <w:right w:val="nil"/>
            </w:tcBorders>
          </w:tcPr>
          <w:p w14:paraId="6D0DA8AD" w14:textId="77777777" w:rsidR="00F73D75" w:rsidRPr="00D079CB" w:rsidRDefault="00F73D75" w:rsidP="001214AD">
            <w:pPr>
              <w:pStyle w:val="PlainText"/>
              <w:tabs>
                <w:tab w:val="decimal" w:pos="340"/>
              </w:tabs>
              <w:spacing w:before="60"/>
              <w:rPr>
                <w:rFonts w:asciiTheme="majorBidi" w:hAnsiTheme="majorBidi" w:cstheme="majorBidi"/>
              </w:rPr>
            </w:pPr>
            <w:r w:rsidRPr="00D079CB">
              <w:rPr>
                <w:rFonts w:asciiTheme="majorBidi" w:hAnsiTheme="majorBidi" w:cstheme="majorBidi"/>
              </w:rPr>
              <w:t>-0.288</w:t>
            </w:r>
          </w:p>
        </w:tc>
      </w:tr>
      <w:tr w:rsidR="00F73D75" w:rsidRPr="00D079CB" w14:paraId="4C6418CE" w14:textId="77777777" w:rsidTr="001214AD">
        <w:tc>
          <w:tcPr>
            <w:tcW w:w="2412" w:type="dxa"/>
            <w:tcBorders>
              <w:top w:val="nil"/>
              <w:left w:val="nil"/>
              <w:bottom w:val="nil"/>
              <w:right w:val="nil"/>
            </w:tcBorders>
          </w:tcPr>
          <w:p w14:paraId="47CF172F"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6EB94D2C"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(97.34)**</w:t>
            </w:r>
          </w:p>
        </w:tc>
        <w:tc>
          <w:tcPr>
            <w:tcW w:w="1103" w:type="dxa"/>
            <w:tcBorders>
              <w:top w:val="nil"/>
              <w:left w:val="nil"/>
              <w:bottom w:val="nil"/>
              <w:right w:val="nil"/>
            </w:tcBorders>
          </w:tcPr>
          <w:p w14:paraId="55D28ECA"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(79.00)**</w:t>
            </w:r>
          </w:p>
        </w:tc>
        <w:tc>
          <w:tcPr>
            <w:tcW w:w="1103" w:type="dxa"/>
            <w:tcBorders>
              <w:top w:val="nil"/>
              <w:left w:val="nil"/>
              <w:bottom w:val="nil"/>
              <w:right w:val="nil"/>
            </w:tcBorders>
          </w:tcPr>
          <w:p w14:paraId="09BCB454"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(15.47)**</w:t>
            </w:r>
          </w:p>
        </w:tc>
        <w:tc>
          <w:tcPr>
            <w:tcW w:w="1096" w:type="dxa"/>
            <w:tcBorders>
              <w:top w:val="nil"/>
              <w:left w:val="nil"/>
              <w:bottom w:val="nil"/>
              <w:right w:val="nil"/>
            </w:tcBorders>
          </w:tcPr>
          <w:p w14:paraId="275E9EEF"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(2.26)*</w:t>
            </w:r>
          </w:p>
        </w:tc>
        <w:tc>
          <w:tcPr>
            <w:tcW w:w="1103" w:type="dxa"/>
            <w:tcBorders>
              <w:top w:val="nil"/>
              <w:left w:val="nil"/>
              <w:bottom w:val="nil"/>
              <w:right w:val="nil"/>
            </w:tcBorders>
          </w:tcPr>
          <w:p w14:paraId="7403F4F0"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(21.20)**</w:t>
            </w:r>
          </w:p>
        </w:tc>
        <w:tc>
          <w:tcPr>
            <w:tcW w:w="1096" w:type="dxa"/>
            <w:tcBorders>
              <w:top w:val="nil"/>
              <w:left w:val="nil"/>
              <w:bottom w:val="nil"/>
              <w:right w:val="nil"/>
            </w:tcBorders>
          </w:tcPr>
          <w:p w14:paraId="56D88B47"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(2.33)*</w:t>
            </w:r>
          </w:p>
        </w:tc>
      </w:tr>
      <w:tr w:rsidR="00F73D75" w:rsidRPr="00D079CB" w14:paraId="10D8DA4B" w14:textId="77777777" w:rsidTr="001214AD">
        <w:tc>
          <w:tcPr>
            <w:tcW w:w="2412" w:type="dxa"/>
            <w:tcBorders>
              <w:top w:val="nil"/>
              <w:left w:val="nil"/>
              <w:bottom w:val="single" w:sz="4" w:space="0" w:color="auto"/>
              <w:right w:val="nil"/>
            </w:tcBorders>
          </w:tcPr>
          <w:p w14:paraId="371873E6" w14:textId="77777777" w:rsidR="00F73D75" w:rsidRPr="00D079CB" w:rsidRDefault="00F73D75" w:rsidP="001214AD">
            <w:pPr>
              <w:pStyle w:val="PlainText"/>
              <w:rPr>
                <w:rFonts w:asciiTheme="majorBidi" w:hAnsiTheme="majorBidi" w:cstheme="majorBidi"/>
              </w:rPr>
            </w:pPr>
            <w:r w:rsidRPr="00D079CB">
              <w:rPr>
                <w:rFonts w:asciiTheme="majorBidi" w:hAnsiTheme="majorBidi" w:cstheme="majorBidi"/>
              </w:rPr>
              <w:t>R-squared</w:t>
            </w:r>
          </w:p>
        </w:tc>
        <w:tc>
          <w:tcPr>
            <w:tcW w:w="1103" w:type="dxa"/>
            <w:tcBorders>
              <w:top w:val="nil"/>
              <w:left w:val="nil"/>
              <w:bottom w:val="single" w:sz="4" w:space="0" w:color="auto"/>
              <w:right w:val="nil"/>
            </w:tcBorders>
          </w:tcPr>
          <w:p w14:paraId="402308F5"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0.114</w:t>
            </w:r>
          </w:p>
        </w:tc>
        <w:tc>
          <w:tcPr>
            <w:tcW w:w="1103" w:type="dxa"/>
            <w:tcBorders>
              <w:top w:val="nil"/>
              <w:left w:val="nil"/>
              <w:bottom w:val="single" w:sz="4" w:space="0" w:color="auto"/>
              <w:right w:val="nil"/>
            </w:tcBorders>
          </w:tcPr>
          <w:p w14:paraId="1B1B8702"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0.207</w:t>
            </w:r>
          </w:p>
        </w:tc>
        <w:tc>
          <w:tcPr>
            <w:tcW w:w="1103" w:type="dxa"/>
            <w:tcBorders>
              <w:top w:val="nil"/>
              <w:left w:val="nil"/>
              <w:bottom w:val="single" w:sz="4" w:space="0" w:color="auto"/>
              <w:right w:val="nil"/>
            </w:tcBorders>
          </w:tcPr>
          <w:p w14:paraId="0A170FB4"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0.120</w:t>
            </w:r>
          </w:p>
        </w:tc>
        <w:tc>
          <w:tcPr>
            <w:tcW w:w="1096" w:type="dxa"/>
            <w:tcBorders>
              <w:top w:val="nil"/>
              <w:left w:val="nil"/>
              <w:bottom w:val="single" w:sz="4" w:space="0" w:color="auto"/>
              <w:right w:val="nil"/>
            </w:tcBorders>
          </w:tcPr>
          <w:p w14:paraId="31C213CE"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0.377</w:t>
            </w:r>
          </w:p>
        </w:tc>
        <w:tc>
          <w:tcPr>
            <w:tcW w:w="1103" w:type="dxa"/>
            <w:tcBorders>
              <w:top w:val="nil"/>
              <w:left w:val="nil"/>
              <w:bottom w:val="single" w:sz="4" w:space="0" w:color="auto"/>
              <w:right w:val="nil"/>
            </w:tcBorders>
          </w:tcPr>
          <w:p w14:paraId="7D7E8E23"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0.115</w:t>
            </w:r>
          </w:p>
        </w:tc>
        <w:tc>
          <w:tcPr>
            <w:tcW w:w="1096" w:type="dxa"/>
            <w:tcBorders>
              <w:top w:val="nil"/>
              <w:left w:val="nil"/>
              <w:bottom w:val="single" w:sz="4" w:space="0" w:color="auto"/>
              <w:right w:val="nil"/>
            </w:tcBorders>
          </w:tcPr>
          <w:p w14:paraId="7B1FDFC7" w14:textId="77777777" w:rsidR="00F73D75" w:rsidRPr="00D079CB" w:rsidRDefault="00F73D75" w:rsidP="001214AD">
            <w:pPr>
              <w:pStyle w:val="PlainText"/>
              <w:tabs>
                <w:tab w:val="decimal" w:pos="340"/>
              </w:tabs>
              <w:rPr>
                <w:rFonts w:asciiTheme="majorBidi" w:hAnsiTheme="majorBidi" w:cstheme="majorBidi"/>
              </w:rPr>
            </w:pPr>
            <w:r w:rsidRPr="00D079CB">
              <w:rPr>
                <w:rFonts w:asciiTheme="majorBidi" w:hAnsiTheme="majorBidi" w:cstheme="majorBidi"/>
              </w:rPr>
              <w:t>0.409</w:t>
            </w:r>
          </w:p>
        </w:tc>
      </w:tr>
      <w:tr w:rsidR="00F73D75" w:rsidRPr="00D079CB" w14:paraId="7C114975" w14:textId="77777777" w:rsidTr="001214AD">
        <w:tc>
          <w:tcPr>
            <w:tcW w:w="9016" w:type="dxa"/>
            <w:gridSpan w:val="7"/>
            <w:tcBorders>
              <w:top w:val="single" w:sz="4" w:space="0" w:color="auto"/>
              <w:left w:val="nil"/>
              <w:bottom w:val="nil"/>
              <w:right w:val="nil"/>
            </w:tcBorders>
          </w:tcPr>
          <w:p w14:paraId="6A3B329B" w14:textId="276C2C18" w:rsidR="00F73D75" w:rsidRPr="000E4BD7" w:rsidRDefault="00F73D75" w:rsidP="001214AD">
            <w:pPr>
              <w:pStyle w:val="PlainText"/>
              <w:spacing w:before="40"/>
              <w:rPr>
                <w:rFonts w:asciiTheme="majorBidi" w:hAnsiTheme="majorBidi" w:cstheme="majorBidi"/>
                <w:sz w:val="20"/>
                <w:szCs w:val="20"/>
              </w:rPr>
            </w:pPr>
            <w:r w:rsidRPr="000E4BD7">
              <w:rPr>
                <w:rFonts w:asciiTheme="majorBidi" w:hAnsiTheme="majorBidi" w:cstheme="majorBidi"/>
                <w:i/>
                <w:iCs/>
                <w:sz w:val="20"/>
                <w:szCs w:val="20"/>
              </w:rPr>
              <w:t>Note</w:t>
            </w:r>
            <w:r w:rsidR="001657D0">
              <w:rPr>
                <w:rFonts w:asciiTheme="majorBidi" w:hAnsiTheme="majorBidi" w:cstheme="majorBidi"/>
                <w:i/>
                <w:iCs/>
                <w:sz w:val="20"/>
                <w:szCs w:val="20"/>
              </w:rPr>
              <w:t>s</w:t>
            </w:r>
            <w:r w:rsidRPr="000E4BD7">
              <w:rPr>
                <w:rFonts w:asciiTheme="majorBidi" w:hAnsiTheme="majorBidi" w:cstheme="majorBidi"/>
                <w:sz w:val="20"/>
                <w:szCs w:val="20"/>
              </w:rPr>
              <w:t>:</w:t>
            </w:r>
            <w:r w:rsidRPr="000E4BD7">
              <w:rPr>
                <w:rFonts w:asciiTheme="majorBidi" w:hAnsiTheme="majorBidi" w:cstheme="majorBidi"/>
                <w:i/>
                <w:iCs/>
                <w:sz w:val="20"/>
                <w:szCs w:val="20"/>
              </w:rPr>
              <w:t xml:space="preserve"> N</w:t>
            </w:r>
            <w:r w:rsidRPr="000E4BD7">
              <w:rPr>
                <w:rFonts w:asciiTheme="majorBidi" w:hAnsiTheme="majorBidi" w:cstheme="majorBidi"/>
                <w:sz w:val="20"/>
                <w:szCs w:val="20"/>
              </w:rPr>
              <w:t>=168 rural wards, robust t statistics in parentheses, **, * denote significance at the 1%, 5% level</w:t>
            </w:r>
            <w:r>
              <w:rPr>
                <w:rFonts w:asciiTheme="majorBidi" w:hAnsiTheme="majorBidi" w:cstheme="majorBidi"/>
                <w:sz w:val="20"/>
                <w:szCs w:val="20"/>
              </w:rPr>
              <w:t xml:space="preserve">. Beta coefficients for the effects of a </w:t>
            </w:r>
            <w:proofErr w:type="spellStart"/>
            <w:r>
              <w:rPr>
                <w:rFonts w:asciiTheme="majorBidi" w:hAnsiTheme="majorBidi" w:cstheme="majorBidi"/>
                <w:sz w:val="20"/>
                <w:szCs w:val="20"/>
              </w:rPr>
              <w:t>std</w:t>
            </w:r>
            <w:proofErr w:type="spellEnd"/>
            <w:r>
              <w:rPr>
                <w:rFonts w:asciiTheme="majorBidi" w:hAnsiTheme="majorBidi" w:cstheme="majorBidi"/>
                <w:sz w:val="20"/>
                <w:szCs w:val="20"/>
              </w:rPr>
              <w:t xml:space="preserve"> deviation change in % forest loss on </w:t>
            </w:r>
            <w:proofErr w:type="spellStart"/>
            <w:r>
              <w:rPr>
                <w:rFonts w:asciiTheme="majorBidi" w:hAnsiTheme="majorBidi" w:cstheme="majorBidi"/>
                <w:sz w:val="20"/>
                <w:szCs w:val="20"/>
              </w:rPr>
              <w:t>std</w:t>
            </w:r>
            <w:proofErr w:type="spellEnd"/>
            <w:r>
              <w:rPr>
                <w:rFonts w:asciiTheme="majorBidi" w:hAnsiTheme="majorBidi" w:cstheme="majorBidi"/>
                <w:sz w:val="20"/>
                <w:szCs w:val="20"/>
              </w:rPr>
              <w:t xml:space="preserve"> deviation of the Gini in [ ]</w:t>
            </w:r>
          </w:p>
        </w:tc>
      </w:tr>
    </w:tbl>
    <w:p w14:paraId="3E3C15F3" w14:textId="77777777" w:rsidR="00F73D75" w:rsidRDefault="00F73D75" w:rsidP="00F73D75">
      <w:pPr>
        <w:spacing w:before="40"/>
        <w:jc w:val="center"/>
        <w:rPr>
          <w:rFonts w:eastAsia="Times New Roman"/>
          <w:sz w:val="22"/>
          <w:lang w:bidi="ar-SA"/>
        </w:rPr>
      </w:pPr>
    </w:p>
    <w:p w14:paraId="2222DC47" w14:textId="77777777" w:rsidR="00F73D75" w:rsidRDefault="00F73D75" w:rsidP="00F73D75">
      <w:pPr>
        <w:spacing w:before="40"/>
        <w:jc w:val="center"/>
        <w:rPr>
          <w:rFonts w:eastAsia="Times New Roman"/>
          <w:sz w:val="22"/>
          <w:lang w:bidi="ar-SA"/>
        </w:rPr>
      </w:pPr>
    </w:p>
    <w:p w14:paraId="5864650A" w14:textId="5B630415" w:rsidR="007D6423" w:rsidRDefault="007D6423" w:rsidP="001214AD">
      <w:pPr>
        <w:widowControl w:val="0"/>
        <w:spacing w:line="288" w:lineRule="auto"/>
        <w:ind w:firstLine="720"/>
        <w:rPr>
          <w:rFonts w:asciiTheme="majorBidi" w:hAnsiTheme="majorBidi" w:cstheme="majorBidi"/>
        </w:rPr>
      </w:pPr>
      <w:r>
        <w:rPr>
          <w:rFonts w:asciiTheme="majorBidi" w:hAnsiTheme="majorBidi" w:cstheme="majorBidi"/>
        </w:rPr>
        <w:t xml:space="preserve">The effect </w:t>
      </w:r>
      <w:r w:rsidR="003D77F2">
        <w:rPr>
          <w:rFonts w:asciiTheme="majorBidi" w:hAnsiTheme="majorBidi" w:cstheme="majorBidi"/>
        </w:rPr>
        <w:t xml:space="preserve">of forest loss on inequality </w:t>
      </w:r>
      <w:r>
        <w:rPr>
          <w:rFonts w:asciiTheme="majorBidi" w:hAnsiTheme="majorBidi" w:cstheme="majorBidi"/>
        </w:rPr>
        <w:t xml:space="preserve">is robust to the inclusion of </w:t>
      </w:r>
      <w:proofErr w:type="gramStart"/>
      <w:r>
        <w:rPr>
          <w:rFonts w:asciiTheme="majorBidi" w:hAnsiTheme="majorBidi" w:cstheme="majorBidi"/>
        </w:rPr>
        <w:t>either the</w:t>
      </w:r>
      <w:proofErr w:type="gramEnd"/>
      <w:r>
        <w:rPr>
          <w:rFonts w:asciiTheme="majorBidi" w:hAnsiTheme="majorBidi" w:cstheme="majorBidi"/>
        </w:rPr>
        <w:t xml:space="preserve"> ward-level headcount poverty rate, the </w:t>
      </w:r>
      <w:r w:rsidR="003D77F2">
        <w:rPr>
          <w:rFonts w:asciiTheme="majorBidi" w:hAnsiTheme="majorBidi" w:cstheme="majorBidi"/>
        </w:rPr>
        <w:t xml:space="preserve">ward </w:t>
      </w:r>
      <w:r>
        <w:rPr>
          <w:rFonts w:asciiTheme="majorBidi" w:hAnsiTheme="majorBidi" w:cstheme="majorBidi"/>
        </w:rPr>
        <w:t>population, or the baseline forest cover. The only covariate that reduces the effect of forest loss on inequality is the average log per capita consumption in the ward (based on the census-derived estimates). The regression coefficient on forest loss drops from 0.39 to 0.28, and the</w:t>
      </w:r>
      <w:r w:rsidR="00936280">
        <w:rPr>
          <w:rFonts w:asciiTheme="majorBidi" w:hAnsiTheme="majorBidi" w:cstheme="majorBidi"/>
        </w:rPr>
        <w:t xml:space="preserve"> standardized coefficient </w:t>
      </w:r>
      <w:r>
        <w:rPr>
          <w:rFonts w:asciiTheme="majorBidi" w:hAnsiTheme="majorBidi" w:cstheme="majorBidi"/>
        </w:rPr>
        <w:t xml:space="preserve">drops from </w:t>
      </w:r>
      <w:r w:rsidR="00936280">
        <w:rPr>
          <w:rFonts w:asciiTheme="majorBidi" w:hAnsiTheme="majorBidi" w:cstheme="majorBidi"/>
        </w:rPr>
        <w:t xml:space="preserve">0.34 </w:t>
      </w:r>
      <w:proofErr w:type="gramStart"/>
      <w:r>
        <w:rPr>
          <w:rFonts w:asciiTheme="majorBidi" w:hAnsiTheme="majorBidi" w:cstheme="majorBidi"/>
        </w:rPr>
        <w:t xml:space="preserve">to 0.24 </w:t>
      </w:r>
      <w:r w:rsidR="003D77F2">
        <w:rPr>
          <w:rFonts w:asciiTheme="majorBidi" w:hAnsiTheme="majorBidi" w:cstheme="majorBidi"/>
        </w:rPr>
        <w:t xml:space="preserve">once average </w:t>
      </w:r>
      <w:r w:rsidR="00936280">
        <w:rPr>
          <w:rFonts w:asciiTheme="majorBidi" w:hAnsiTheme="majorBidi" w:cstheme="majorBidi"/>
        </w:rPr>
        <w:t>per capita consumption</w:t>
      </w:r>
      <w:proofErr w:type="gramEnd"/>
      <w:r w:rsidR="00936280">
        <w:rPr>
          <w:rFonts w:asciiTheme="majorBidi" w:hAnsiTheme="majorBidi" w:cstheme="majorBidi"/>
        </w:rPr>
        <w:t xml:space="preserve"> </w:t>
      </w:r>
      <w:r w:rsidR="003D77F2">
        <w:rPr>
          <w:rFonts w:asciiTheme="majorBidi" w:hAnsiTheme="majorBidi" w:cstheme="majorBidi"/>
        </w:rPr>
        <w:t xml:space="preserve">is </w:t>
      </w:r>
      <w:r w:rsidR="00936280">
        <w:rPr>
          <w:rFonts w:asciiTheme="majorBidi" w:hAnsiTheme="majorBidi" w:cstheme="majorBidi"/>
        </w:rPr>
        <w:t>controlled for</w:t>
      </w:r>
      <w:r w:rsidR="003D77F2">
        <w:rPr>
          <w:rFonts w:asciiTheme="majorBidi" w:hAnsiTheme="majorBidi" w:cstheme="majorBidi"/>
        </w:rPr>
        <w:t>. Thus</w:t>
      </w:r>
      <w:r>
        <w:rPr>
          <w:rFonts w:asciiTheme="majorBidi" w:hAnsiTheme="majorBidi" w:cstheme="majorBidi"/>
        </w:rPr>
        <w:t xml:space="preserve"> </w:t>
      </w:r>
      <w:r w:rsidR="0087661E">
        <w:rPr>
          <w:rFonts w:asciiTheme="majorBidi" w:hAnsiTheme="majorBidi" w:cstheme="majorBidi"/>
        </w:rPr>
        <w:t xml:space="preserve">about one-quarter </w:t>
      </w:r>
      <w:r w:rsidR="00936280">
        <w:rPr>
          <w:rFonts w:asciiTheme="majorBidi" w:hAnsiTheme="majorBidi" w:cstheme="majorBidi"/>
        </w:rPr>
        <w:t xml:space="preserve">of the effect of forest loss on inequality </w:t>
      </w:r>
      <w:r w:rsidR="0087661E">
        <w:rPr>
          <w:rFonts w:asciiTheme="majorBidi" w:hAnsiTheme="majorBidi" w:cstheme="majorBidi"/>
        </w:rPr>
        <w:t xml:space="preserve">that is seen in column (1) for the model with no other covariates reflects the indirect pathway of </w:t>
      </w:r>
      <w:r w:rsidR="003D77F2">
        <w:rPr>
          <w:rFonts w:asciiTheme="majorBidi" w:hAnsiTheme="majorBidi" w:cstheme="majorBidi"/>
        </w:rPr>
        <w:t xml:space="preserve">the effect of forest loss on average income levels (the correlation is 0.19), and </w:t>
      </w:r>
      <w:r w:rsidR="005840BC">
        <w:rPr>
          <w:rFonts w:asciiTheme="majorBidi" w:hAnsiTheme="majorBidi" w:cstheme="majorBidi"/>
        </w:rPr>
        <w:t xml:space="preserve">the effect of </w:t>
      </w:r>
      <w:r>
        <w:rPr>
          <w:rFonts w:asciiTheme="majorBidi" w:hAnsiTheme="majorBidi" w:cstheme="majorBidi"/>
        </w:rPr>
        <w:t>higher income</w:t>
      </w:r>
      <w:r w:rsidR="005840BC">
        <w:rPr>
          <w:rFonts w:asciiTheme="majorBidi" w:hAnsiTheme="majorBidi" w:cstheme="majorBidi"/>
        </w:rPr>
        <w:t>s on</w:t>
      </w:r>
      <w:r>
        <w:rPr>
          <w:rFonts w:asciiTheme="majorBidi" w:hAnsiTheme="majorBidi" w:cstheme="majorBidi"/>
        </w:rPr>
        <w:t xml:space="preserve"> inequality</w:t>
      </w:r>
      <w:r w:rsidR="003D77F2">
        <w:rPr>
          <w:rFonts w:asciiTheme="majorBidi" w:hAnsiTheme="majorBidi" w:cstheme="majorBidi"/>
        </w:rPr>
        <w:t xml:space="preserve"> (the correlation is 0.57).</w:t>
      </w:r>
    </w:p>
    <w:p w14:paraId="38E488B5" w14:textId="77777777" w:rsidR="00ED4A8F" w:rsidRDefault="00ED4A8F" w:rsidP="001214AD">
      <w:pPr>
        <w:widowControl w:val="0"/>
        <w:spacing w:line="288" w:lineRule="auto"/>
        <w:ind w:firstLine="720"/>
        <w:rPr>
          <w:rFonts w:asciiTheme="majorBidi" w:hAnsiTheme="majorBidi" w:cstheme="majorBidi"/>
        </w:rPr>
      </w:pPr>
    </w:p>
    <w:p w14:paraId="5A198CAE" w14:textId="03E86758" w:rsidR="00AC3030" w:rsidRDefault="003D77F2" w:rsidP="001214AD">
      <w:pPr>
        <w:widowControl w:val="0"/>
        <w:spacing w:line="288" w:lineRule="auto"/>
        <w:ind w:firstLine="720"/>
        <w:rPr>
          <w:rFonts w:asciiTheme="majorBidi" w:hAnsiTheme="majorBidi" w:cstheme="majorBidi"/>
        </w:rPr>
      </w:pPr>
      <w:r>
        <w:rPr>
          <w:rFonts w:asciiTheme="majorBidi" w:hAnsiTheme="majorBidi" w:cstheme="majorBidi"/>
        </w:rPr>
        <w:t xml:space="preserve">It should be noted that although inequality is the welfare indicator considered here, the effect of forest loss on poverty </w:t>
      </w:r>
      <w:proofErr w:type="gramStart"/>
      <w:r>
        <w:rPr>
          <w:rFonts w:asciiTheme="majorBidi" w:hAnsiTheme="majorBidi" w:cstheme="majorBidi"/>
        </w:rPr>
        <w:t>can</w:t>
      </w:r>
      <w:proofErr w:type="gramEnd"/>
      <w:r>
        <w:rPr>
          <w:rFonts w:asciiTheme="majorBidi" w:hAnsiTheme="majorBidi" w:cstheme="majorBidi"/>
        </w:rPr>
        <w:t xml:space="preserve"> also be seen, indirectly, from the results in Table 2. The poverty rate </w:t>
      </w:r>
      <w:proofErr w:type="gramStart"/>
      <w:r>
        <w:rPr>
          <w:rFonts w:asciiTheme="majorBidi" w:hAnsiTheme="majorBidi" w:cstheme="majorBidi"/>
        </w:rPr>
        <w:t>can be decomposed</w:t>
      </w:r>
      <w:proofErr w:type="gramEnd"/>
      <w:r>
        <w:rPr>
          <w:rFonts w:asciiTheme="majorBidi" w:hAnsiTheme="majorBidi" w:cstheme="majorBidi"/>
        </w:rPr>
        <w:t xml:space="preserve"> into mean income (as </w:t>
      </w:r>
      <w:proofErr w:type="spellStart"/>
      <w:r>
        <w:rPr>
          <w:rFonts w:asciiTheme="majorBidi" w:hAnsiTheme="majorBidi" w:cstheme="majorBidi"/>
        </w:rPr>
        <w:t>proxied</w:t>
      </w:r>
      <w:proofErr w:type="spellEnd"/>
      <w:r>
        <w:rPr>
          <w:rFonts w:asciiTheme="majorBidi" w:hAnsiTheme="majorBidi" w:cstheme="majorBidi"/>
        </w:rPr>
        <w:t xml:space="preserve"> by consumption) and inequality</w:t>
      </w:r>
      <w:r w:rsidR="001657D0">
        <w:rPr>
          <w:rFonts w:asciiTheme="majorBidi" w:hAnsiTheme="majorBidi" w:cstheme="majorBidi"/>
        </w:rPr>
        <w:t xml:space="preserve"> components (</w:t>
      </w:r>
      <w:proofErr w:type="spellStart"/>
      <w:r w:rsidR="001657D0">
        <w:rPr>
          <w:rFonts w:asciiTheme="majorBidi" w:hAnsiTheme="majorBidi" w:cstheme="majorBidi"/>
        </w:rPr>
        <w:t>Datt</w:t>
      </w:r>
      <w:proofErr w:type="spellEnd"/>
      <w:r w:rsidR="001657D0">
        <w:rPr>
          <w:rFonts w:asciiTheme="majorBidi" w:hAnsiTheme="majorBidi" w:cstheme="majorBidi"/>
        </w:rPr>
        <w:t xml:space="preserve"> and </w:t>
      </w:r>
      <w:proofErr w:type="spellStart"/>
      <w:r w:rsidR="001657D0">
        <w:rPr>
          <w:rFonts w:asciiTheme="majorBidi" w:hAnsiTheme="majorBidi" w:cstheme="majorBidi"/>
        </w:rPr>
        <w:t>Ravallion</w:t>
      </w:r>
      <w:proofErr w:type="spellEnd"/>
      <w:r>
        <w:rPr>
          <w:rFonts w:asciiTheme="majorBidi" w:hAnsiTheme="majorBidi" w:cstheme="majorBidi"/>
        </w:rPr>
        <w:t xml:space="preserve"> 1992). Thus, </w:t>
      </w:r>
      <w:r w:rsidR="00AB630F">
        <w:rPr>
          <w:rFonts w:asciiTheme="majorBidi" w:hAnsiTheme="majorBidi" w:cstheme="majorBidi"/>
        </w:rPr>
        <w:t xml:space="preserve">the </w:t>
      </w:r>
      <w:r>
        <w:rPr>
          <w:rFonts w:asciiTheme="majorBidi" w:hAnsiTheme="majorBidi" w:cstheme="majorBidi"/>
        </w:rPr>
        <w:t>significant effe</w:t>
      </w:r>
      <w:r w:rsidR="00AB630F">
        <w:rPr>
          <w:rFonts w:asciiTheme="majorBidi" w:hAnsiTheme="majorBidi" w:cstheme="majorBidi"/>
        </w:rPr>
        <w:t>ct of forest loss on inequality</w:t>
      </w:r>
      <w:r>
        <w:rPr>
          <w:rFonts w:asciiTheme="majorBidi" w:hAnsiTheme="majorBidi" w:cstheme="majorBidi"/>
        </w:rPr>
        <w:t xml:space="preserve"> when mean income is held constant (as in columns (4) or (6) of Table 2), implies that poverty will be higher (since higher inequality with constant mean income gives higher poverty). </w:t>
      </w:r>
      <w:r w:rsidR="00AC3030">
        <w:rPr>
          <w:rFonts w:asciiTheme="majorBidi" w:hAnsiTheme="majorBidi" w:cstheme="majorBidi"/>
        </w:rPr>
        <w:t xml:space="preserve">In particular, if the dependent variable </w:t>
      </w:r>
      <w:r w:rsidR="00AB630F">
        <w:rPr>
          <w:rFonts w:asciiTheme="majorBidi" w:hAnsiTheme="majorBidi" w:cstheme="majorBidi"/>
        </w:rPr>
        <w:t xml:space="preserve">in column (4) </w:t>
      </w:r>
      <w:r w:rsidR="00AC3030">
        <w:rPr>
          <w:rFonts w:asciiTheme="majorBidi" w:hAnsiTheme="majorBidi" w:cstheme="majorBidi"/>
        </w:rPr>
        <w:t xml:space="preserve">was changed from the Gini index to the headcount poverty rate (poverty gap index) the </w:t>
      </w:r>
      <w:r w:rsidR="00AB630F">
        <w:rPr>
          <w:rFonts w:asciiTheme="majorBidi" w:hAnsiTheme="majorBidi" w:cstheme="majorBidi"/>
        </w:rPr>
        <w:t xml:space="preserve">standardized coefficients would be 0.12 (0.13) and these are statistically significant at the </w:t>
      </w:r>
      <w:r w:rsidR="00AB630F">
        <w:rPr>
          <w:rFonts w:asciiTheme="majorBidi" w:hAnsiTheme="majorBidi" w:cstheme="majorBidi"/>
          <w:i/>
          <w:iCs/>
        </w:rPr>
        <w:t>p</w:t>
      </w:r>
      <w:r w:rsidR="00AB630F">
        <w:rPr>
          <w:rFonts w:asciiTheme="majorBidi" w:hAnsiTheme="majorBidi" w:cstheme="majorBidi"/>
        </w:rPr>
        <w:t>&lt;0.02 level.</w:t>
      </w:r>
      <w:r w:rsidR="00AB630F">
        <w:rPr>
          <w:rStyle w:val="FootnoteReference"/>
          <w:rFonts w:asciiTheme="majorBidi" w:hAnsiTheme="majorBidi" w:cstheme="majorBidi"/>
        </w:rPr>
        <w:footnoteReference w:id="11"/>
      </w:r>
      <w:r w:rsidR="00AB630F">
        <w:rPr>
          <w:rFonts w:asciiTheme="majorBidi" w:hAnsiTheme="majorBidi" w:cstheme="majorBidi"/>
        </w:rPr>
        <w:t xml:space="preserve"> In other words, deforestation </w:t>
      </w:r>
      <w:r w:rsidR="00467F1A">
        <w:rPr>
          <w:rFonts w:asciiTheme="majorBidi" w:hAnsiTheme="majorBidi" w:cstheme="majorBidi"/>
        </w:rPr>
        <w:t xml:space="preserve">seems to </w:t>
      </w:r>
      <w:r w:rsidR="00AB630F">
        <w:rPr>
          <w:rFonts w:asciiTheme="majorBidi" w:hAnsiTheme="majorBidi" w:cstheme="majorBidi"/>
        </w:rPr>
        <w:t xml:space="preserve">increase inequality not only by raising average incomes </w:t>
      </w:r>
      <w:r w:rsidR="00AB630F">
        <w:rPr>
          <w:rFonts w:asciiTheme="majorBidi" w:hAnsiTheme="majorBidi" w:cstheme="majorBidi"/>
        </w:rPr>
        <w:lastRenderedPageBreak/>
        <w:t xml:space="preserve">through a process where some people get richer than </w:t>
      </w:r>
      <w:proofErr w:type="gramStart"/>
      <w:r w:rsidR="00AB630F">
        <w:rPr>
          <w:rFonts w:asciiTheme="majorBidi" w:hAnsiTheme="majorBidi" w:cstheme="majorBidi"/>
        </w:rPr>
        <w:t>others</w:t>
      </w:r>
      <w:proofErr w:type="gramEnd"/>
      <w:r w:rsidR="00AB630F">
        <w:rPr>
          <w:rFonts w:asciiTheme="majorBidi" w:hAnsiTheme="majorBidi" w:cstheme="majorBidi"/>
        </w:rPr>
        <w:t xml:space="preserve"> but also by increasing poverty</w:t>
      </w:r>
      <w:r w:rsidR="00467F1A">
        <w:rPr>
          <w:rFonts w:asciiTheme="majorBidi" w:hAnsiTheme="majorBidi" w:cstheme="majorBidi"/>
        </w:rPr>
        <w:t xml:space="preserve">. Both of these effects are consistent with </w:t>
      </w:r>
      <w:r w:rsidR="00450FC8">
        <w:rPr>
          <w:rFonts w:asciiTheme="majorBidi" w:hAnsiTheme="majorBidi" w:cstheme="majorBidi"/>
        </w:rPr>
        <w:t>the pathways noted above, where the poor rely more on environmental income, and so forest loss may harm their livelihoods, and where the paymen</w:t>
      </w:r>
      <w:r w:rsidR="005840BC">
        <w:rPr>
          <w:rFonts w:asciiTheme="majorBidi" w:hAnsiTheme="majorBidi" w:cstheme="majorBidi"/>
        </w:rPr>
        <w:t>ts made by logging companies may</w:t>
      </w:r>
      <w:r w:rsidR="00450FC8">
        <w:rPr>
          <w:rFonts w:asciiTheme="majorBidi" w:hAnsiTheme="majorBidi" w:cstheme="majorBidi"/>
        </w:rPr>
        <w:t xml:space="preserve"> not spread widely and </w:t>
      </w:r>
      <w:r w:rsidR="005840BC">
        <w:rPr>
          <w:rFonts w:asciiTheme="majorBidi" w:hAnsiTheme="majorBidi" w:cstheme="majorBidi"/>
        </w:rPr>
        <w:t xml:space="preserve">instead </w:t>
      </w:r>
      <w:r w:rsidR="00450FC8">
        <w:rPr>
          <w:rFonts w:asciiTheme="majorBidi" w:hAnsiTheme="majorBidi" w:cstheme="majorBidi"/>
        </w:rPr>
        <w:t xml:space="preserve">benefit </w:t>
      </w:r>
      <w:r w:rsidR="005840BC">
        <w:rPr>
          <w:rFonts w:asciiTheme="majorBidi" w:hAnsiTheme="majorBidi" w:cstheme="majorBidi"/>
        </w:rPr>
        <w:t xml:space="preserve">only </w:t>
      </w:r>
      <w:r w:rsidR="00450FC8">
        <w:rPr>
          <w:rFonts w:asciiTheme="majorBidi" w:hAnsiTheme="majorBidi" w:cstheme="majorBidi"/>
        </w:rPr>
        <w:t>a subset of tribal members.</w:t>
      </w:r>
    </w:p>
    <w:p w14:paraId="5BEF889E" w14:textId="77777777" w:rsidR="00ED4A8F" w:rsidRPr="00582692" w:rsidRDefault="00ED4A8F" w:rsidP="001214AD">
      <w:pPr>
        <w:widowControl w:val="0"/>
        <w:spacing w:line="288" w:lineRule="auto"/>
        <w:ind w:firstLine="720"/>
        <w:rPr>
          <w:rFonts w:asciiTheme="majorBidi" w:hAnsiTheme="majorBidi" w:cstheme="majorBidi"/>
          <w:sz w:val="22"/>
          <w:szCs w:val="22"/>
        </w:rPr>
      </w:pPr>
    </w:p>
    <w:p w14:paraId="78F8101D" w14:textId="50EB9B35" w:rsidR="00F64AE4" w:rsidRDefault="00F64AE4" w:rsidP="001214AD">
      <w:pPr>
        <w:widowControl w:val="0"/>
        <w:spacing w:line="288" w:lineRule="auto"/>
        <w:ind w:firstLine="720"/>
        <w:rPr>
          <w:rFonts w:asciiTheme="majorBidi" w:hAnsiTheme="majorBidi" w:cstheme="majorBidi"/>
        </w:rPr>
      </w:pPr>
      <w:r>
        <w:rPr>
          <w:rFonts w:asciiTheme="majorBidi" w:hAnsiTheme="majorBidi" w:cstheme="majorBidi"/>
        </w:rPr>
        <w:t xml:space="preserve">The regression results in Table 2 rely on an imputed measure as the dependent variable; specifically the ward-level mean of the 100 </w:t>
      </w:r>
      <w:r w:rsidR="005840BC">
        <w:rPr>
          <w:rFonts w:asciiTheme="majorBidi" w:hAnsiTheme="majorBidi" w:cstheme="majorBidi"/>
        </w:rPr>
        <w:t xml:space="preserve">Gini index </w:t>
      </w:r>
      <w:r>
        <w:rPr>
          <w:rFonts w:asciiTheme="majorBidi" w:hAnsiTheme="majorBidi" w:cstheme="majorBidi"/>
        </w:rPr>
        <w:t xml:space="preserve">estimates from replications of the ELL procedure (based on equation (4)). These replications also provide a standard deviation, so it is possible to </w:t>
      </w:r>
      <w:r w:rsidR="00B63F1A">
        <w:rPr>
          <w:rFonts w:asciiTheme="majorBidi" w:hAnsiTheme="majorBidi" w:cstheme="majorBidi"/>
        </w:rPr>
        <w:t>put</w:t>
      </w:r>
      <w:r>
        <w:rPr>
          <w:rFonts w:asciiTheme="majorBidi" w:hAnsiTheme="majorBidi" w:cstheme="majorBidi"/>
        </w:rPr>
        <w:t xml:space="preserve"> more weight on those wards where inequality </w:t>
      </w:r>
      <w:proofErr w:type="gramStart"/>
      <w:r>
        <w:rPr>
          <w:rFonts w:asciiTheme="majorBidi" w:hAnsiTheme="majorBidi" w:cstheme="majorBidi"/>
        </w:rPr>
        <w:t>is more precisely estimated</w:t>
      </w:r>
      <w:proofErr w:type="gramEnd"/>
      <w:r>
        <w:rPr>
          <w:rFonts w:asciiTheme="majorBidi" w:hAnsiTheme="majorBidi" w:cstheme="majorBidi"/>
        </w:rPr>
        <w:t xml:space="preserve">. The weighted least squares (WLS) results </w:t>
      </w:r>
      <w:r w:rsidR="00237418">
        <w:rPr>
          <w:rFonts w:asciiTheme="majorBidi" w:hAnsiTheme="majorBidi" w:cstheme="majorBidi"/>
        </w:rPr>
        <w:t>reported in Table 3</w:t>
      </w:r>
      <w:r>
        <w:rPr>
          <w:rFonts w:asciiTheme="majorBidi" w:hAnsiTheme="majorBidi" w:cstheme="majorBidi"/>
        </w:rPr>
        <w:t xml:space="preserve"> </w:t>
      </w:r>
      <w:r w:rsidR="00DE5FE3">
        <w:rPr>
          <w:rFonts w:asciiTheme="majorBidi" w:hAnsiTheme="majorBidi" w:cstheme="majorBidi"/>
        </w:rPr>
        <w:t xml:space="preserve">have </w:t>
      </w:r>
      <w:r w:rsidR="00237418">
        <w:rPr>
          <w:rFonts w:asciiTheme="majorBidi" w:hAnsiTheme="majorBidi" w:cstheme="majorBidi"/>
        </w:rPr>
        <w:t>a slight gain in the statistical significance of the estimated effects of forest loss, and almost no change</w:t>
      </w:r>
      <w:r w:rsidR="0087661E">
        <w:rPr>
          <w:rFonts w:asciiTheme="majorBidi" w:hAnsiTheme="majorBidi" w:cstheme="majorBidi"/>
        </w:rPr>
        <w:t xml:space="preserve"> in </w:t>
      </w:r>
      <w:r w:rsidR="00B63F1A">
        <w:rPr>
          <w:rFonts w:asciiTheme="majorBidi" w:hAnsiTheme="majorBidi" w:cstheme="majorBidi"/>
        </w:rPr>
        <w:t xml:space="preserve">coefficient </w:t>
      </w:r>
      <w:r w:rsidR="0087661E">
        <w:rPr>
          <w:rFonts w:asciiTheme="majorBidi" w:hAnsiTheme="majorBidi" w:cstheme="majorBidi"/>
        </w:rPr>
        <w:t>magnitudes</w:t>
      </w:r>
      <w:r w:rsidR="00DE5FE3">
        <w:rPr>
          <w:rFonts w:asciiTheme="majorBidi" w:hAnsiTheme="majorBidi" w:cstheme="majorBidi"/>
        </w:rPr>
        <w:t xml:space="preserve"> compared to Table 2</w:t>
      </w:r>
      <w:r w:rsidR="00237418">
        <w:rPr>
          <w:rFonts w:asciiTheme="majorBidi" w:hAnsiTheme="majorBidi" w:cstheme="majorBidi"/>
        </w:rPr>
        <w:t>.</w:t>
      </w:r>
    </w:p>
    <w:tbl>
      <w:tblPr>
        <w:tblStyle w:val="TableGrid"/>
        <w:tblW w:w="0" w:type="auto"/>
        <w:tblCellMar>
          <w:left w:w="28" w:type="dxa"/>
          <w:right w:w="28" w:type="dxa"/>
        </w:tblCellMar>
        <w:tblLook w:val="04A0" w:firstRow="1" w:lastRow="0" w:firstColumn="1" w:lastColumn="0" w:noHBand="0" w:noVBand="1"/>
      </w:tblPr>
      <w:tblGrid>
        <w:gridCol w:w="2412"/>
        <w:gridCol w:w="1103"/>
        <w:gridCol w:w="1103"/>
        <w:gridCol w:w="1103"/>
        <w:gridCol w:w="1096"/>
        <w:gridCol w:w="1103"/>
        <w:gridCol w:w="1096"/>
      </w:tblGrid>
      <w:tr w:rsidR="00F73D75" w:rsidRPr="00834D0D" w14:paraId="4F6B7D85" w14:textId="77777777" w:rsidTr="001214AD">
        <w:tc>
          <w:tcPr>
            <w:tcW w:w="9016" w:type="dxa"/>
            <w:gridSpan w:val="7"/>
            <w:tcBorders>
              <w:top w:val="nil"/>
              <w:left w:val="nil"/>
              <w:bottom w:val="single" w:sz="4" w:space="0" w:color="auto"/>
              <w:right w:val="nil"/>
            </w:tcBorders>
          </w:tcPr>
          <w:p w14:paraId="4B996897" w14:textId="77777777" w:rsidR="00582692" w:rsidRDefault="00582692" w:rsidP="001214AD">
            <w:pPr>
              <w:pStyle w:val="PlainText"/>
              <w:spacing w:before="40" w:after="40"/>
              <w:jc w:val="center"/>
              <w:rPr>
                <w:rFonts w:asciiTheme="majorBidi" w:hAnsiTheme="majorBidi" w:cstheme="majorBidi"/>
                <w:b/>
                <w:sz w:val="22"/>
                <w:szCs w:val="22"/>
              </w:rPr>
            </w:pPr>
          </w:p>
          <w:p w14:paraId="15F04388" w14:textId="77777777" w:rsidR="004B538F" w:rsidRDefault="004B538F" w:rsidP="001214AD">
            <w:pPr>
              <w:pStyle w:val="PlainText"/>
              <w:spacing w:before="40" w:after="40"/>
              <w:jc w:val="center"/>
              <w:rPr>
                <w:rFonts w:asciiTheme="majorBidi" w:hAnsiTheme="majorBidi" w:cstheme="majorBidi"/>
                <w:b/>
                <w:sz w:val="22"/>
                <w:szCs w:val="22"/>
              </w:rPr>
            </w:pPr>
          </w:p>
          <w:p w14:paraId="055CAD28" w14:textId="77777777" w:rsidR="00F73D75" w:rsidRPr="00834D0D" w:rsidRDefault="00F73D75" w:rsidP="001214AD">
            <w:pPr>
              <w:pStyle w:val="PlainText"/>
              <w:spacing w:before="40" w:after="40"/>
              <w:jc w:val="center"/>
              <w:rPr>
                <w:rFonts w:asciiTheme="majorBidi" w:hAnsiTheme="majorBidi" w:cstheme="majorBidi"/>
                <w:b/>
                <w:sz w:val="22"/>
                <w:szCs w:val="22"/>
              </w:rPr>
            </w:pPr>
            <w:r w:rsidRPr="00834D0D">
              <w:rPr>
                <w:rFonts w:asciiTheme="majorBidi" w:hAnsiTheme="majorBidi" w:cstheme="majorBidi"/>
                <w:b/>
                <w:sz w:val="22"/>
                <w:szCs w:val="22"/>
              </w:rPr>
              <w:t>Table 3: Weighted Least Squares Estimates of Effects of 2000-2012 Forest Loss on Gini Index for Per Capita Consumption Inequality in 2013 for Rural Wards of the Solomon Islands</w:t>
            </w:r>
          </w:p>
        </w:tc>
      </w:tr>
      <w:tr w:rsidR="00F73D75" w:rsidRPr="00D079CB" w14:paraId="0E5A2CF2" w14:textId="77777777" w:rsidTr="001214AD">
        <w:tc>
          <w:tcPr>
            <w:tcW w:w="2412" w:type="dxa"/>
            <w:tcBorders>
              <w:top w:val="nil"/>
              <w:left w:val="nil"/>
              <w:bottom w:val="single" w:sz="4" w:space="0" w:color="auto"/>
              <w:right w:val="nil"/>
            </w:tcBorders>
          </w:tcPr>
          <w:p w14:paraId="69BB34AD" w14:textId="77777777" w:rsidR="00F73D75" w:rsidRPr="00D079CB" w:rsidRDefault="00F73D75" w:rsidP="0073791D">
            <w:pPr>
              <w:pStyle w:val="PlainText"/>
              <w:spacing w:before="120" w:after="80"/>
              <w:rPr>
                <w:rFonts w:asciiTheme="majorBidi" w:hAnsiTheme="majorBidi" w:cstheme="majorBidi"/>
              </w:rPr>
            </w:pPr>
          </w:p>
        </w:tc>
        <w:tc>
          <w:tcPr>
            <w:tcW w:w="1103" w:type="dxa"/>
            <w:tcBorders>
              <w:top w:val="nil"/>
              <w:left w:val="nil"/>
              <w:bottom w:val="single" w:sz="4" w:space="0" w:color="auto"/>
              <w:right w:val="nil"/>
            </w:tcBorders>
          </w:tcPr>
          <w:p w14:paraId="4DE0B720"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(1)</w:t>
            </w:r>
          </w:p>
        </w:tc>
        <w:tc>
          <w:tcPr>
            <w:tcW w:w="1103" w:type="dxa"/>
            <w:tcBorders>
              <w:top w:val="nil"/>
              <w:left w:val="nil"/>
              <w:bottom w:val="single" w:sz="4" w:space="0" w:color="auto"/>
              <w:right w:val="nil"/>
            </w:tcBorders>
          </w:tcPr>
          <w:p w14:paraId="40DE1E24"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(2)</w:t>
            </w:r>
          </w:p>
        </w:tc>
        <w:tc>
          <w:tcPr>
            <w:tcW w:w="1103" w:type="dxa"/>
            <w:tcBorders>
              <w:top w:val="nil"/>
              <w:left w:val="nil"/>
              <w:bottom w:val="single" w:sz="4" w:space="0" w:color="auto"/>
              <w:right w:val="nil"/>
            </w:tcBorders>
          </w:tcPr>
          <w:p w14:paraId="24372AEA"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(3)</w:t>
            </w:r>
          </w:p>
        </w:tc>
        <w:tc>
          <w:tcPr>
            <w:tcW w:w="1096" w:type="dxa"/>
            <w:tcBorders>
              <w:top w:val="nil"/>
              <w:left w:val="nil"/>
              <w:bottom w:val="single" w:sz="4" w:space="0" w:color="auto"/>
              <w:right w:val="nil"/>
            </w:tcBorders>
          </w:tcPr>
          <w:p w14:paraId="737612B2"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(4)</w:t>
            </w:r>
          </w:p>
        </w:tc>
        <w:tc>
          <w:tcPr>
            <w:tcW w:w="1103" w:type="dxa"/>
            <w:tcBorders>
              <w:top w:val="nil"/>
              <w:left w:val="nil"/>
              <w:bottom w:val="single" w:sz="4" w:space="0" w:color="auto"/>
              <w:right w:val="nil"/>
            </w:tcBorders>
          </w:tcPr>
          <w:p w14:paraId="13B81FA4"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(5)</w:t>
            </w:r>
          </w:p>
        </w:tc>
        <w:tc>
          <w:tcPr>
            <w:tcW w:w="1096" w:type="dxa"/>
            <w:tcBorders>
              <w:top w:val="nil"/>
              <w:left w:val="nil"/>
              <w:bottom w:val="single" w:sz="4" w:space="0" w:color="auto"/>
              <w:right w:val="nil"/>
            </w:tcBorders>
          </w:tcPr>
          <w:p w14:paraId="19A29C7D" w14:textId="77777777" w:rsidR="00F73D75" w:rsidRPr="00D079CB" w:rsidRDefault="00F73D75" w:rsidP="0073791D">
            <w:pPr>
              <w:pStyle w:val="PlainText"/>
              <w:spacing w:before="120" w:after="80"/>
              <w:jc w:val="center"/>
              <w:rPr>
                <w:rFonts w:asciiTheme="majorBidi" w:hAnsiTheme="majorBidi" w:cstheme="majorBidi"/>
              </w:rPr>
            </w:pPr>
            <w:r w:rsidRPr="00D079CB">
              <w:rPr>
                <w:rFonts w:asciiTheme="majorBidi" w:hAnsiTheme="majorBidi" w:cstheme="majorBidi"/>
              </w:rPr>
              <w:t>(6)</w:t>
            </w:r>
          </w:p>
        </w:tc>
      </w:tr>
      <w:tr w:rsidR="00F73D75" w:rsidRPr="00D079CB" w14:paraId="38F81BED" w14:textId="77777777" w:rsidTr="001214AD">
        <w:tc>
          <w:tcPr>
            <w:tcW w:w="2412" w:type="dxa"/>
            <w:tcBorders>
              <w:top w:val="single" w:sz="4" w:space="0" w:color="auto"/>
              <w:left w:val="nil"/>
              <w:bottom w:val="nil"/>
              <w:right w:val="nil"/>
            </w:tcBorders>
          </w:tcPr>
          <w:p w14:paraId="347B08F8" w14:textId="4811BA36" w:rsidR="00F73D75" w:rsidRPr="00D079CB" w:rsidRDefault="001657D0" w:rsidP="004B538F">
            <w:pPr>
              <w:pStyle w:val="PlainText"/>
              <w:spacing w:before="100"/>
              <w:rPr>
                <w:rFonts w:asciiTheme="majorBidi" w:hAnsiTheme="majorBidi" w:cstheme="majorBidi"/>
              </w:rPr>
            </w:pPr>
            <w:r>
              <w:rPr>
                <w:rFonts w:asciiTheme="majorBidi" w:hAnsiTheme="majorBidi" w:cstheme="majorBidi"/>
              </w:rPr>
              <w:t xml:space="preserve">Percent </w:t>
            </w:r>
            <w:r w:rsidR="00F73D75">
              <w:rPr>
                <w:rFonts w:asciiTheme="majorBidi" w:hAnsiTheme="majorBidi" w:cstheme="majorBidi"/>
              </w:rPr>
              <w:t xml:space="preserve">of forest lost </w:t>
            </w:r>
          </w:p>
        </w:tc>
        <w:tc>
          <w:tcPr>
            <w:tcW w:w="1103" w:type="dxa"/>
            <w:tcBorders>
              <w:top w:val="single" w:sz="4" w:space="0" w:color="auto"/>
              <w:left w:val="nil"/>
              <w:bottom w:val="nil"/>
              <w:right w:val="nil"/>
            </w:tcBorders>
          </w:tcPr>
          <w:p w14:paraId="6F13EFC0" w14:textId="77777777" w:rsidR="00F73D75" w:rsidRPr="00D079CB" w:rsidRDefault="00F73D75" w:rsidP="004B538F">
            <w:pPr>
              <w:pStyle w:val="PlainText"/>
              <w:tabs>
                <w:tab w:val="decimal" w:pos="340"/>
              </w:tabs>
              <w:spacing w:before="100"/>
              <w:rPr>
                <w:rFonts w:asciiTheme="majorBidi" w:hAnsiTheme="majorBidi" w:cstheme="majorBidi"/>
              </w:rPr>
            </w:pPr>
            <w:r w:rsidRPr="0054461C">
              <w:rPr>
                <w:rFonts w:asciiTheme="majorBidi" w:hAnsiTheme="majorBidi" w:cstheme="majorBidi"/>
              </w:rPr>
              <w:t>0.404</w:t>
            </w:r>
          </w:p>
        </w:tc>
        <w:tc>
          <w:tcPr>
            <w:tcW w:w="1103" w:type="dxa"/>
            <w:tcBorders>
              <w:top w:val="single" w:sz="4" w:space="0" w:color="auto"/>
              <w:left w:val="nil"/>
              <w:bottom w:val="nil"/>
              <w:right w:val="nil"/>
            </w:tcBorders>
          </w:tcPr>
          <w:p w14:paraId="6AE19AE6" w14:textId="77777777" w:rsidR="00F73D75" w:rsidRPr="00D079CB" w:rsidRDefault="00F73D75" w:rsidP="004B538F">
            <w:pPr>
              <w:pStyle w:val="PlainText"/>
              <w:tabs>
                <w:tab w:val="decimal" w:pos="340"/>
              </w:tabs>
              <w:spacing w:before="100"/>
              <w:rPr>
                <w:rFonts w:asciiTheme="majorBidi" w:hAnsiTheme="majorBidi" w:cstheme="majorBidi"/>
              </w:rPr>
            </w:pPr>
            <w:r w:rsidRPr="0054461C">
              <w:rPr>
                <w:rFonts w:asciiTheme="majorBidi" w:hAnsiTheme="majorBidi" w:cstheme="majorBidi"/>
              </w:rPr>
              <w:t>0.395</w:t>
            </w:r>
          </w:p>
        </w:tc>
        <w:tc>
          <w:tcPr>
            <w:tcW w:w="1103" w:type="dxa"/>
            <w:tcBorders>
              <w:top w:val="single" w:sz="4" w:space="0" w:color="auto"/>
              <w:left w:val="nil"/>
              <w:bottom w:val="nil"/>
              <w:right w:val="nil"/>
            </w:tcBorders>
          </w:tcPr>
          <w:p w14:paraId="6C005706" w14:textId="77777777" w:rsidR="00F73D75" w:rsidRPr="00D079CB" w:rsidRDefault="00F73D75" w:rsidP="004B538F">
            <w:pPr>
              <w:pStyle w:val="PlainText"/>
              <w:tabs>
                <w:tab w:val="decimal" w:pos="340"/>
              </w:tabs>
              <w:spacing w:before="100"/>
              <w:rPr>
                <w:rFonts w:asciiTheme="majorBidi" w:hAnsiTheme="majorBidi" w:cstheme="majorBidi"/>
              </w:rPr>
            </w:pPr>
            <w:r w:rsidRPr="0054461C">
              <w:rPr>
                <w:rFonts w:asciiTheme="majorBidi" w:hAnsiTheme="majorBidi" w:cstheme="majorBidi"/>
              </w:rPr>
              <w:t>0.393</w:t>
            </w:r>
          </w:p>
        </w:tc>
        <w:tc>
          <w:tcPr>
            <w:tcW w:w="1096" w:type="dxa"/>
            <w:tcBorders>
              <w:top w:val="single" w:sz="4" w:space="0" w:color="auto"/>
              <w:left w:val="nil"/>
              <w:bottom w:val="nil"/>
              <w:right w:val="nil"/>
            </w:tcBorders>
          </w:tcPr>
          <w:p w14:paraId="6417698E" w14:textId="77777777" w:rsidR="00F73D75" w:rsidRPr="00D079CB" w:rsidRDefault="00F73D75" w:rsidP="004B538F">
            <w:pPr>
              <w:pStyle w:val="PlainText"/>
              <w:tabs>
                <w:tab w:val="decimal" w:pos="340"/>
              </w:tabs>
              <w:spacing w:before="100"/>
              <w:rPr>
                <w:rFonts w:asciiTheme="majorBidi" w:hAnsiTheme="majorBidi" w:cstheme="majorBidi"/>
              </w:rPr>
            </w:pPr>
            <w:r w:rsidRPr="0054461C">
              <w:rPr>
                <w:rFonts w:asciiTheme="majorBidi" w:hAnsiTheme="majorBidi" w:cstheme="majorBidi"/>
              </w:rPr>
              <w:t>0.261</w:t>
            </w:r>
          </w:p>
        </w:tc>
        <w:tc>
          <w:tcPr>
            <w:tcW w:w="1103" w:type="dxa"/>
            <w:tcBorders>
              <w:top w:val="single" w:sz="4" w:space="0" w:color="auto"/>
              <w:left w:val="nil"/>
              <w:bottom w:val="nil"/>
              <w:right w:val="nil"/>
            </w:tcBorders>
          </w:tcPr>
          <w:p w14:paraId="71394779" w14:textId="77777777" w:rsidR="00F73D75" w:rsidRPr="00D079CB" w:rsidRDefault="00F73D75" w:rsidP="004B538F">
            <w:pPr>
              <w:pStyle w:val="PlainText"/>
              <w:tabs>
                <w:tab w:val="decimal" w:pos="340"/>
              </w:tabs>
              <w:spacing w:before="100"/>
              <w:rPr>
                <w:rFonts w:asciiTheme="majorBidi" w:hAnsiTheme="majorBidi" w:cstheme="majorBidi"/>
              </w:rPr>
            </w:pPr>
            <w:r w:rsidRPr="0054461C">
              <w:rPr>
                <w:rFonts w:asciiTheme="majorBidi" w:hAnsiTheme="majorBidi" w:cstheme="majorBidi"/>
              </w:rPr>
              <w:t>0.404</w:t>
            </w:r>
          </w:p>
        </w:tc>
        <w:tc>
          <w:tcPr>
            <w:tcW w:w="1096" w:type="dxa"/>
            <w:tcBorders>
              <w:top w:val="single" w:sz="4" w:space="0" w:color="auto"/>
              <w:left w:val="nil"/>
              <w:bottom w:val="nil"/>
              <w:right w:val="nil"/>
            </w:tcBorders>
          </w:tcPr>
          <w:p w14:paraId="3D77D376" w14:textId="77777777" w:rsidR="00F73D75" w:rsidRPr="00D079CB" w:rsidRDefault="00F73D75" w:rsidP="004B538F">
            <w:pPr>
              <w:pStyle w:val="PlainText"/>
              <w:tabs>
                <w:tab w:val="decimal" w:pos="340"/>
              </w:tabs>
              <w:spacing w:before="100"/>
              <w:rPr>
                <w:rFonts w:asciiTheme="majorBidi" w:hAnsiTheme="majorBidi" w:cstheme="majorBidi"/>
              </w:rPr>
            </w:pPr>
            <w:r w:rsidRPr="0054461C">
              <w:rPr>
                <w:rFonts w:asciiTheme="majorBidi" w:hAnsiTheme="majorBidi" w:cstheme="majorBidi"/>
              </w:rPr>
              <w:t>0.206</w:t>
            </w:r>
          </w:p>
        </w:tc>
      </w:tr>
      <w:tr w:rsidR="00F73D75" w:rsidRPr="00D079CB" w14:paraId="0B8182A2" w14:textId="77777777" w:rsidTr="001214AD">
        <w:tc>
          <w:tcPr>
            <w:tcW w:w="2412" w:type="dxa"/>
            <w:tcBorders>
              <w:top w:val="nil"/>
              <w:left w:val="nil"/>
              <w:bottom w:val="nil"/>
              <w:right w:val="nil"/>
            </w:tcBorders>
          </w:tcPr>
          <w:p w14:paraId="21542692" w14:textId="09CBD56A" w:rsidR="00F73D75" w:rsidRPr="00D079CB" w:rsidRDefault="001657D0" w:rsidP="001214AD">
            <w:pPr>
              <w:pStyle w:val="PlainText"/>
              <w:rPr>
                <w:rFonts w:asciiTheme="majorBidi" w:hAnsiTheme="majorBidi" w:cstheme="majorBidi"/>
              </w:rPr>
            </w:pPr>
            <w:r>
              <w:rPr>
                <w:rFonts w:asciiTheme="majorBidi" w:hAnsiTheme="majorBidi" w:cstheme="majorBidi"/>
              </w:rPr>
              <w:t>2000-2012</w:t>
            </w:r>
          </w:p>
        </w:tc>
        <w:tc>
          <w:tcPr>
            <w:tcW w:w="1103" w:type="dxa"/>
            <w:tcBorders>
              <w:top w:val="nil"/>
              <w:left w:val="nil"/>
              <w:bottom w:val="nil"/>
              <w:right w:val="nil"/>
            </w:tcBorders>
          </w:tcPr>
          <w:p w14:paraId="34586FDA"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(3.92)**</w:t>
            </w:r>
          </w:p>
        </w:tc>
        <w:tc>
          <w:tcPr>
            <w:tcW w:w="1103" w:type="dxa"/>
            <w:tcBorders>
              <w:top w:val="nil"/>
              <w:left w:val="nil"/>
              <w:bottom w:val="nil"/>
              <w:right w:val="nil"/>
            </w:tcBorders>
          </w:tcPr>
          <w:p w14:paraId="3FC7DC9B"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(3.97)**</w:t>
            </w:r>
          </w:p>
        </w:tc>
        <w:tc>
          <w:tcPr>
            <w:tcW w:w="1103" w:type="dxa"/>
            <w:tcBorders>
              <w:top w:val="nil"/>
              <w:left w:val="nil"/>
              <w:bottom w:val="nil"/>
              <w:right w:val="nil"/>
            </w:tcBorders>
          </w:tcPr>
          <w:p w14:paraId="7166FB0D"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(3.85)**</w:t>
            </w:r>
          </w:p>
        </w:tc>
        <w:tc>
          <w:tcPr>
            <w:tcW w:w="1096" w:type="dxa"/>
            <w:tcBorders>
              <w:top w:val="nil"/>
              <w:left w:val="nil"/>
              <w:bottom w:val="nil"/>
              <w:right w:val="nil"/>
            </w:tcBorders>
          </w:tcPr>
          <w:p w14:paraId="16BA0C46"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(2.85)**</w:t>
            </w:r>
          </w:p>
        </w:tc>
        <w:tc>
          <w:tcPr>
            <w:tcW w:w="1103" w:type="dxa"/>
            <w:tcBorders>
              <w:top w:val="nil"/>
              <w:left w:val="nil"/>
              <w:bottom w:val="nil"/>
              <w:right w:val="nil"/>
            </w:tcBorders>
          </w:tcPr>
          <w:p w14:paraId="7A759824"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(3.86)**</w:t>
            </w:r>
          </w:p>
        </w:tc>
        <w:tc>
          <w:tcPr>
            <w:tcW w:w="1096" w:type="dxa"/>
            <w:tcBorders>
              <w:top w:val="nil"/>
              <w:left w:val="nil"/>
              <w:bottom w:val="nil"/>
              <w:right w:val="nil"/>
            </w:tcBorders>
          </w:tcPr>
          <w:p w14:paraId="0C5A9E8F"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(2.23)*</w:t>
            </w:r>
          </w:p>
        </w:tc>
      </w:tr>
      <w:tr w:rsidR="00F73D75" w:rsidRPr="00D079CB" w14:paraId="1852BB33" w14:textId="77777777" w:rsidTr="001214AD">
        <w:tc>
          <w:tcPr>
            <w:tcW w:w="2412" w:type="dxa"/>
            <w:tcBorders>
              <w:top w:val="nil"/>
              <w:left w:val="nil"/>
              <w:bottom w:val="nil"/>
              <w:right w:val="nil"/>
            </w:tcBorders>
          </w:tcPr>
          <w:p w14:paraId="027D3A8D"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193BE175" w14:textId="77777777" w:rsidR="00F73D75" w:rsidRPr="00D079CB" w:rsidRDefault="00F73D75" w:rsidP="001214AD">
            <w:pPr>
              <w:pStyle w:val="PlainText"/>
              <w:tabs>
                <w:tab w:val="decimal" w:pos="340"/>
              </w:tabs>
              <w:rPr>
                <w:rFonts w:asciiTheme="majorBidi" w:hAnsiTheme="majorBidi" w:cstheme="majorBidi"/>
              </w:rPr>
            </w:pPr>
            <w:r>
              <w:rPr>
                <w:rFonts w:asciiTheme="majorBidi" w:hAnsiTheme="majorBidi" w:cstheme="majorBidi"/>
              </w:rPr>
              <w:t>[0.35]</w:t>
            </w:r>
          </w:p>
        </w:tc>
        <w:tc>
          <w:tcPr>
            <w:tcW w:w="1103" w:type="dxa"/>
            <w:tcBorders>
              <w:top w:val="nil"/>
              <w:left w:val="nil"/>
              <w:bottom w:val="nil"/>
              <w:right w:val="nil"/>
            </w:tcBorders>
          </w:tcPr>
          <w:p w14:paraId="2944FBC2" w14:textId="77777777" w:rsidR="00F73D75" w:rsidRPr="00D079CB" w:rsidRDefault="00F73D75" w:rsidP="001214AD">
            <w:pPr>
              <w:pStyle w:val="PlainText"/>
              <w:tabs>
                <w:tab w:val="decimal" w:pos="340"/>
              </w:tabs>
              <w:rPr>
                <w:rFonts w:asciiTheme="majorBidi" w:hAnsiTheme="majorBidi" w:cstheme="majorBidi"/>
              </w:rPr>
            </w:pPr>
            <w:r w:rsidRPr="002A0F83">
              <w:rPr>
                <w:rFonts w:asciiTheme="majorBidi" w:hAnsiTheme="majorBidi" w:cstheme="majorBidi"/>
              </w:rPr>
              <w:t>[0.34]</w:t>
            </w:r>
          </w:p>
        </w:tc>
        <w:tc>
          <w:tcPr>
            <w:tcW w:w="1103" w:type="dxa"/>
            <w:tcBorders>
              <w:top w:val="nil"/>
              <w:left w:val="nil"/>
              <w:bottom w:val="nil"/>
              <w:right w:val="nil"/>
            </w:tcBorders>
          </w:tcPr>
          <w:p w14:paraId="567AF913" w14:textId="77777777" w:rsidR="00F73D75" w:rsidRPr="00D079CB" w:rsidRDefault="00F73D75" w:rsidP="001214AD">
            <w:pPr>
              <w:pStyle w:val="PlainText"/>
              <w:tabs>
                <w:tab w:val="decimal" w:pos="340"/>
              </w:tabs>
              <w:rPr>
                <w:rFonts w:asciiTheme="majorBidi" w:hAnsiTheme="majorBidi" w:cstheme="majorBidi"/>
              </w:rPr>
            </w:pPr>
            <w:r w:rsidRPr="002A0F83">
              <w:rPr>
                <w:rFonts w:asciiTheme="majorBidi" w:hAnsiTheme="majorBidi" w:cstheme="majorBidi"/>
              </w:rPr>
              <w:t>[</w:t>
            </w:r>
            <w:r>
              <w:rPr>
                <w:rFonts w:asciiTheme="majorBidi" w:hAnsiTheme="majorBidi" w:cstheme="majorBidi"/>
              </w:rPr>
              <w:t>0.34</w:t>
            </w:r>
            <w:r w:rsidRPr="002A0F83">
              <w:rPr>
                <w:rFonts w:asciiTheme="majorBidi" w:hAnsiTheme="majorBidi" w:cstheme="majorBidi"/>
              </w:rPr>
              <w:t>]</w:t>
            </w:r>
          </w:p>
        </w:tc>
        <w:tc>
          <w:tcPr>
            <w:tcW w:w="1096" w:type="dxa"/>
            <w:tcBorders>
              <w:top w:val="nil"/>
              <w:left w:val="nil"/>
              <w:bottom w:val="nil"/>
              <w:right w:val="nil"/>
            </w:tcBorders>
          </w:tcPr>
          <w:p w14:paraId="46B21F33" w14:textId="77777777" w:rsidR="00F73D75" w:rsidRPr="00D079CB" w:rsidRDefault="00F73D75" w:rsidP="001214AD">
            <w:pPr>
              <w:pStyle w:val="PlainText"/>
              <w:tabs>
                <w:tab w:val="decimal" w:pos="340"/>
              </w:tabs>
              <w:rPr>
                <w:rFonts w:asciiTheme="majorBidi" w:hAnsiTheme="majorBidi" w:cstheme="majorBidi"/>
              </w:rPr>
            </w:pPr>
            <w:r w:rsidRPr="002A0F83">
              <w:rPr>
                <w:rFonts w:asciiTheme="majorBidi" w:hAnsiTheme="majorBidi" w:cstheme="majorBidi"/>
              </w:rPr>
              <w:t>[</w:t>
            </w:r>
            <w:r>
              <w:rPr>
                <w:rFonts w:asciiTheme="majorBidi" w:hAnsiTheme="majorBidi" w:cstheme="majorBidi"/>
              </w:rPr>
              <w:t>0.23</w:t>
            </w:r>
            <w:r w:rsidRPr="002A0F83">
              <w:rPr>
                <w:rFonts w:asciiTheme="majorBidi" w:hAnsiTheme="majorBidi" w:cstheme="majorBidi"/>
              </w:rPr>
              <w:t>]</w:t>
            </w:r>
          </w:p>
        </w:tc>
        <w:tc>
          <w:tcPr>
            <w:tcW w:w="1103" w:type="dxa"/>
            <w:tcBorders>
              <w:top w:val="nil"/>
              <w:left w:val="nil"/>
              <w:bottom w:val="nil"/>
              <w:right w:val="nil"/>
            </w:tcBorders>
          </w:tcPr>
          <w:p w14:paraId="3A63C470" w14:textId="77777777" w:rsidR="00F73D75" w:rsidRPr="00D079CB" w:rsidRDefault="00F73D75" w:rsidP="001214AD">
            <w:pPr>
              <w:pStyle w:val="PlainText"/>
              <w:tabs>
                <w:tab w:val="decimal" w:pos="340"/>
              </w:tabs>
              <w:rPr>
                <w:rFonts w:asciiTheme="majorBidi" w:hAnsiTheme="majorBidi" w:cstheme="majorBidi"/>
              </w:rPr>
            </w:pPr>
            <w:r>
              <w:rPr>
                <w:rFonts w:asciiTheme="majorBidi" w:hAnsiTheme="majorBidi" w:cstheme="majorBidi"/>
              </w:rPr>
              <w:t>[0.35]</w:t>
            </w:r>
          </w:p>
        </w:tc>
        <w:tc>
          <w:tcPr>
            <w:tcW w:w="1096" w:type="dxa"/>
            <w:tcBorders>
              <w:top w:val="nil"/>
              <w:left w:val="nil"/>
              <w:bottom w:val="nil"/>
              <w:right w:val="nil"/>
            </w:tcBorders>
          </w:tcPr>
          <w:p w14:paraId="2073DF85" w14:textId="77777777" w:rsidR="00F73D75" w:rsidRPr="00D079CB" w:rsidRDefault="00F73D75" w:rsidP="001214AD">
            <w:pPr>
              <w:pStyle w:val="PlainText"/>
              <w:tabs>
                <w:tab w:val="decimal" w:pos="340"/>
              </w:tabs>
              <w:rPr>
                <w:rFonts w:asciiTheme="majorBidi" w:hAnsiTheme="majorBidi" w:cstheme="majorBidi"/>
              </w:rPr>
            </w:pPr>
            <w:r>
              <w:rPr>
                <w:rFonts w:asciiTheme="majorBidi" w:hAnsiTheme="majorBidi" w:cstheme="majorBidi"/>
              </w:rPr>
              <w:t>[0.18]</w:t>
            </w:r>
          </w:p>
        </w:tc>
      </w:tr>
      <w:tr w:rsidR="00F73D75" w:rsidRPr="00D079CB" w14:paraId="4ADC51D4" w14:textId="77777777" w:rsidTr="001214AD">
        <w:tc>
          <w:tcPr>
            <w:tcW w:w="2412" w:type="dxa"/>
            <w:tcBorders>
              <w:top w:val="nil"/>
              <w:left w:val="nil"/>
              <w:bottom w:val="nil"/>
              <w:right w:val="nil"/>
            </w:tcBorders>
          </w:tcPr>
          <w:p w14:paraId="38E44AC0"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Headcount poverty rate</w:t>
            </w:r>
          </w:p>
        </w:tc>
        <w:tc>
          <w:tcPr>
            <w:tcW w:w="1103" w:type="dxa"/>
            <w:tcBorders>
              <w:top w:val="nil"/>
              <w:left w:val="nil"/>
              <w:bottom w:val="nil"/>
              <w:right w:val="nil"/>
            </w:tcBorders>
          </w:tcPr>
          <w:p w14:paraId="29147C92"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11FBB832"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-0.060</w:t>
            </w:r>
          </w:p>
        </w:tc>
        <w:tc>
          <w:tcPr>
            <w:tcW w:w="1103" w:type="dxa"/>
            <w:tcBorders>
              <w:top w:val="nil"/>
              <w:left w:val="nil"/>
              <w:bottom w:val="nil"/>
              <w:right w:val="nil"/>
            </w:tcBorders>
          </w:tcPr>
          <w:p w14:paraId="00D610C3"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2F4DBDF7"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547D7E41"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6D615A91"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0.010</w:t>
            </w:r>
          </w:p>
        </w:tc>
      </w:tr>
      <w:tr w:rsidR="00F73D75" w:rsidRPr="00D079CB" w14:paraId="32E2C05F" w14:textId="77777777" w:rsidTr="001214AD">
        <w:tc>
          <w:tcPr>
            <w:tcW w:w="2412" w:type="dxa"/>
            <w:tcBorders>
              <w:top w:val="nil"/>
              <w:left w:val="nil"/>
              <w:bottom w:val="nil"/>
              <w:right w:val="nil"/>
            </w:tcBorders>
          </w:tcPr>
          <w:p w14:paraId="013C141A"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78DBD400"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24610ACD"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(5.69)**</w:t>
            </w:r>
          </w:p>
        </w:tc>
        <w:tc>
          <w:tcPr>
            <w:tcW w:w="1103" w:type="dxa"/>
            <w:tcBorders>
              <w:top w:val="nil"/>
              <w:left w:val="nil"/>
              <w:bottom w:val="nil"/>
              <w:right w:val="nil"/>
            </w:tcBorders>
          </w:tcPr>
          <w:p w14:paraId="39E810A6"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16D3704C"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4887CBBB"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1C9FA0A6"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(0.56)</w:t>
            </w:r>
          </w:p>
        </w:tc>
      </w:tr>
      <w:tr w:rsidR="00F73D75" w:rsidRPr="00D079CB" w14:paraId="6BD0431C" w14:textId="77777777" w:rsidTr="001214AD">
        <w:tc>
          <w:tcPr>
            <w:tcW w:w="2412" w:type="dxa"/>
            <w:tcBorders>
              <w:top w:val="nil"/>
              <w:left w:val="nil"/>
              <w:bottom w:val="nil"/>
              <w:right w:val="nil"/>
            </w:tcBorders>
          </w:tcPr>
          <w:p w14:paraId="3FFABB9A"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ln population</w:t>
            </w:r>
          </w:p>
        </w:tc>
        <w:tc>
          <w:tcPr>
            <w:tcW w:w="1103" w:type="dxa"/>
            <w:tcBorders>
              <w:top w:val="nil"/>
              <w:left w:val="nil"/>
              <w:bottom w:val="nil"/>
              <w:right w:val="nil"/>
            </w:tcBorders>
          </w:tcPr>
          <w:p w14:paraId="10FBDA8A"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28FBA093"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584BE2F8"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0.002</w:t>
            </w:r>
          </w:p>
        </w:tc>
        <w:tc>
          <w:tcPr>
            <w:tcW w:w="1096" w:type="dxa"/>
            <w:tcBorders>
              <w:top w:val="nil"/>
              <w:left w:val="nil"/>
              <w:bottom w:val="nil"/>
              <w:right w:val="nil"/>
            </w:tcBorders>
          </w:tcPr>
          <w:p w14:paraId="724F2D71"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628F30B9"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2A4D1FF8"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0.005</w:t>
            </w:r>
          </w:p>
        </w:tc>
      </w:tr>
      <w:tr w:rsidR="00F73D75" w:rsidRPr="00D079CB" w14:paraId="328B0133" w14:textId="77777777" w:rsidTr="001214AD">
        <w:tc>
          <w:tcPr>
            <w:tcW w:w="2412" w:type="dxa"/>
            <w:tcBorders>
              <w:top w:val="nil"/>
              <w:left w:val="nil"/>
              <w:bottom w:val="nil"/>
              <w:right w:val="nil"/>
            </w:tcBorders>
          </w:tcPr>
          <w:p w14:paraId="2FAB7718"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6004992D"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2B753BCD"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4B83E2E4"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(0.67)</w:t>
            </w:r>
          </w:p>
        </w:tc>
        <w:tc>
          <w:tcPr>
            <w:tcW w:w="1096" w:type="dxa"/>
            <w:tcBorders>
              <w:top w:val="nil"/>
              <w:left w:val="nil"/>
              <w:bottom w:val="nil"/>
              <w:right w:val="nil"/>
            </w:tcBorders>
          </w:tcPr>
          <w:p w14:paraId="1DA4203E"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3C75B514"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0AB08FD8"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(2.43)*</w:t>
            </w:r>
          </w:p>
        </w:tc>
      </w:tr>
      <w:tr w:rsidR="00F73D75" w:rsidRPr="00D079CB" w14:paraId="47A22EBA" w14:textId="77777777" w:rsidTr="001214AD">
        <w:tc>
          <w:tcPr>
            <w:tcW w:w="2412" w:type="dxa"/>
            <w:tcBorders>
              <w:top w:val="nil"/>
              <w:left w:val="nil"/>
              <w:bottom w:val="nil"/>
              <w:right w:val="nil"/>
            </w:tcBorders>
          </w:tcPr>
          <w:p w14:paraId="19B9D00E"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ln per capita consumption</w:t>
            </w:r>
          </w:p>
        </w:tc>
        <w:tc>
          <w:tcPr>
            <w:tcW w:w="1103" w:type="dxa"/>
            <w:tcBorders>
              <w:top w:val="nil"/>
              <w:left w:val="nil"/>
              <w:bottom w:val="nil"/>
              <w:right w:val="nil"/>
            </w:tcBorders>
          </w:tcPr>
          <w:p w14:paraId="086F6A5A"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354FBA30"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4EA6A5D1"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6A342FB8"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0.054</w:t>
            </w:r>
          </w:p>
        </w:tc>
        <w:tc>
          <w:tcPr>
            <w:tcW w:w="1103" w:type="dxa"/>
            <w:tcBorders>
              <w:top w:val="nil"/>
              <w:left w:val="nil"/>
              <w:bottom w:val="nil"/>
              <w:right w:val="nil"/>
            </w:tcBorders>
          </w:tcPr>
          <w:p w14:paraId="6F179C27"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77CE7D19"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0.060</w:t>
            </w:r>
          </w:p>
        </w:tc>
      </w:tr>
      <w:tr w:rsidR="00F73D75" w:rsidRPr="00D079CB" w14:paraId="1FA991E0" w14:textId="77777777" w:rsidTr="001214AD">
        <w:tc>
          <w:tcPr>
            <w:tcW w:w="2412" w:type="dxa"/>
            <w:tcBorders>
              <w:top w:val="nil"/>
              <w:left w:val="nil"/>
              <w:bottom w:val="nil"/>
              <w:right w:val="nil"/>
            </w:tcBorders>
          </w:tcPr>
          <w:p w14:paraId="33E77F25"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530585A8"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15E5685B"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1CE13B3C"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07AA2DEA"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(6.57)**</w:t>
            </w:r>
          </w:p>
        </w:tc>
        <w:tc>
          <w:tcPr>
            <w:tcW w:w="1103" w:type="dxa"/>
            <w:tcBorders>
              <w:top w:val="nil"/>
              <w:left w:val="nil"/>
              <w:bottom w:val="nil"/>
              <w:right w:val="nil"/>
            </w:tcBorders>
          </w:tcPr>
          <w:p w14:paraId="26B01791"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4C84D9EF"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(4.89)**</w:t>
            </w:r>
          </w:p>
        </w:tc>
      </w:tr>
      <w:tr w:rsidR="00F73D75" w:rsidRPr="00D079CB" w14:paraId="73A39F35" w14:textId="77777777" w:rsidTr="001214AD">
        <w:tc>
          <w:tcPr>
            <w:tcW w:w="2412" w:type="dxa"/>
            <w:tcBorders>
              <w:top w:val="nil"/>
              <w:left w:val="nil"/>
              <w:bottom w:val="nil"/>
              <w:right w:val="nil"/>
            </w:tcBorders>
          </w:tcPr>
          <w:p w14:paraId="474DEF01" w14:textId="77777777" w:rsidR="00F73D75" w:rsidRPr="00D079CB" w:rsidRDefault="00F73D75" w:rsidP="001214AD">
            <w:pPr>
              <w:pStyle w:val="PlainText"/>
              <w:spacing w:before="60"/>
              <w:rPr>
                <w:rFonts w:asciiTheme="majorBidi" w:hAnsiTheme="majorBidi" w:cstheme="majorBidi"/>
              </w:rPr>
            </w:pPr>
            <w:r>
              <w:rPr>
                <w:rFonts w:asciiTheme="majorBidi" w:hAnsiTheme="majorBidi" w:cstheme="majorBidi"/>
              </w:rPr>
              <w:t>ln baseline forested area</w:t>
            </w:r>
          </w:p>
        </w:tc>
        <w:tc>
          <w:tcPr>
            <w:tcW w:w="1103" w:type="dxa"/>
            <w:tcBorders>
              <w:top w:val="nil"/>
              <w:left w:val="nil"/>
              <w:bottom w:val="nil"/>
              <w:right w:val="nil"/>
            </w:tcBorders>
          </w:tcPr>
          <w:p w14:paraId="13D6CEC9"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32C7AB32"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30FF5D27" w14:textId="77777777" w:rsidR="00F73D75" w:rsidRPr="00D079CB" w:rsidRDefault="00F73D75" w:rsidP="001214AD">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4FA57FA7" w14:textId="77777777" w:rsidR="00F73D75" w:rsidRPr="00D079CB" w:rsidRDefault="00F73D75" w:rsidP="001214AD">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1B1F0562"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0.000</w:t>
            </w:r>
          </w:p>
        </w:tc>
        <w:tc>
          <w:tcPr>
            <w:tcW w:w="1096" w:type="dxa"/>
            <w:tcBorders>
              <w:top w:val="nil"/>
              <w:left w:val="nil"/>
              <w:bottom w:val="nil"/>
              <w:right w:val="nil"/>
            </w:tcBorders>
          </w:tcPr>
          <w:p w14:paraId="101E40AB"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-0.000</w:t>
            </w:r>
          </w:p>
        </w:tc>
      </w:tr>
      <w:tr w:rsidR="00F73D75" w:rsidRPr="00D079CB" w14:paraId="3EF89277" w14:textId="77777777" w:rsidTr="001214AD">
        <w:tc>
          <w:tcPr>
            <w:tcW w:w="2412" w:type="dxa"/>
            <w:tcBorders>
              <w:top w:val="nil"/>
              <w:left w:val="nil"/>
              <w:bottom w:val="nil"/>
              <w:right w:val="nil"/>
            </w:tcBorders>
          </w:tcPr>
          <w:p w14:paraId="671FB235"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46048221"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360114E4"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628B2DB1" w14:textId="77777777" w:rsidR="00F73D75" w:rsidRPr="00D079CB" w:rsidRDefault="00F73D75" w:rsidP="001214AD">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1064C85A" w14:textId="77777777" w:rsidR="00F73D75" w:rsidRPr="00D079CB" w:rsidRDefault="00F73D75" w:rsidP="001214AD">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0566F180"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(0.05)</w:t>
            </w:r>
          </w:p>
        </w:tc>
        <w:tc>
          <w:tcPr>
            <w:tcW w:w="1096" w:type="dxa"/>
            <w:tcBorders>
              <w:top w:val="nil"/>
              <w:left w:val="nil"/>
              <w:bottom w:val="nil"/>
              <w:right w:val="nil"/>
            </w:tcBorders>
          </w:tcPr>
          <w:p w14:paraId="594B75F1"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(0.26)</w:t>
            </w:r>
          </w:p>
        </w:tc>
      </w:tr>
      <w:tr w:rsidR="00F73D75" w:rsidRPr="00D079CB" w14:paraId="42EF3CF6" w14:textId="77777777" w:rsidTr="001214AD">
        <w:tc>
          <w:tcPr>
            <w:tcW w:w="2412" w:type="dxa"/>
            <w:tcBorders>
              <w:top w:val="nil"/>
              <w:left w:val="nil"/>
              <w:bottom w:val="nil"/>
              <w:right w:val="nil"/>
            </w:tcBorders>
          </w:tcPr>
          <w:p w14:paraId="6117B8FE" w14:textId="77777777" w:rsidR="00F73D75" w:rsidRPr="00D079CB" w:rsidRDefault="00F73D75" w:rsidP="001214AD">
            <w:pPr>
              <w:pStyle w:val="PlainText"/>
              <w:spacing w:before="60"/>
              <w:rPr>
                <w:rFonts w:asciiTheme="majorBidi" w:hAnsiTheme="majorBidi" w:cstheme="majorBidi"/>
              </w:rPr>
            </w:pPr>
            <w:r w:rsidRPr="00D079CB">
              <w:rPr>
                <w:rFonts w:asciiTheme="majorBidi" w:hAnsiTheme="majorBidi" w:cstheme="majorBidi"/>
              </w:rPr>
              <w:t>Constant</w:t>
            </w:r>
          </w:p>
        </w:tc>
        <w:tc>
          <w:tcPr>
            <w:tcW w:w="1103" w:type="dxa"/>
            <w:tcBorders>
              <w:top w:val="nil"/>
              <w:left w:val="nil"/>
              <w:bottom w:val="nil"/>
              <w:right w:val="nil"/>
            </w:tcBorders>
          </w:tcPr>
          <w:p w14:paraId="6620D957"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0.288</w:t>
            </w:r>
          </w:p>
        </w:tc>
        <w:tc>
          <w:tcPr>
            <w:tcW w:w="1103" w:type="dxa"/>
            <w:tcBorders>
              <w:top w:val="nil"/>
              <w:left w:val="nil"/>
              <w:bottom w:val="nil"/>
              <w:right w:val="nil"/>
            </w:tcBorders>
          </w:tcPr>
          <w:p w14:paraId="153EBC1E"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0.298</w:t>
            </w:r>
          </w:p>
        </w:tc>
        <w:tc>
          <w:tcPr>
            <w:tcW w:w="1103" w:type="dxa"/>
            <w:tcBorders>
              <w:top w:val="nil"/>
              <w:left w:val="nil"/>
              <w:bottom w:val="nil"/>
              <w:right w:val="nil"/>
            </w:tcBorders>
          </w:tcPr>
          <w:p w14:paraId="22C398C0"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0.276</w:t>
            </w:r>
          </w:p>
        </w:tc>
        <w:tc>
          <w:tcPr>
            <w:tcW w:w="1096" w:type="dxa"/>
            <w:tcBorders>
              <w:top w:val="nil"/>
              <w:left w:val="nil"/>
              <w:bottom w:val="nil"/>
              <w:right w:val="nil"/>
            </w:tcBorders>
          </w:tcPr>
          <w:p w14:paraId="44C7CD06"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-0.203</w:t>
            </w:r>
          </w:p>
        </w:tc>
        <w:tc>
          <w:tcPr>
            <w:tcW w:w="1103" w:type="dxa"/>
            <w:tcBorders>
              <w:top w:val="nil"/>
              <w:left w:val="nil"/>
              <w:bottom w:val="nil"/>
              <w:right w:val="nil"/>
            </w:tcBorders>
          </w:tcPr>
          <w:p w14:paraId="40113FC3"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0.287</w:t>
            </w:r>
          </w:p>
        </w:tc>
        <w:tc>
          <w:tcPr>
            <w:tcW w:w="1096" w:type="dxa"/>
            <w:tcBorders>
              <w:top w:val="nil"/>
              <w:left w:val="nil"/>
              <w:bottom w:val="nil"/>
              <w:right w:val="nil"/>
            </w:tcBorders>
          </w:tcPr>
          <w:p w14:paraId="70C7FAD9" w14:textId="77777777" w:rsidR="00F73D75" w:rsidRPr="00D079CB" w:rsidRDefault="00F73D75" w:rsidP="001214AD">
            <w:pPr>
              <w:pStyle w:val="PlainText"/>
              <w:tabs>
                <w:tab w:val="decimal" w:pos="340"/>
              </w:tabs>
              <w:spacing w:before="60"/>
              <w:rPr>
                <w:rFonts w:asciiTheme="majorBidi" w:hAnsiTheme="majorBidi" w:cstheme="majorBidi"/>
              </w:rPr>
            </w:pPr>
            <w:r w:rsidRPr="0054461C">
              <w:rPr>
                <w:rFonts w:asciiTheme="majorBidi" w:hAnsiTheme="majorBidi" w:cstheme="majorBidi"/>
              </w:rPr>
              <w:t>-0.298</w:t>
            </w:r>
          </w:p>
        </w:tc>
      </w:tr>
      <w:tr w:rsidR="00F73D75" w:rsidRPr="00D079CB" w14:paraId="7DE8645C" w14:textId="77777777" w:rsidTr="001214AD">
        <w:tc>
          <w:tcPr>
            <w:tcW w:w="2412" w:type="dxa"/>
            <w:tcBorders>
              <w:top w:val="nil"/>
              <w:left w:val="nil"/>
              <w:bottom w:val="nil"/>
              <w:right w:val="nil"/>
            </w:tcBorders>
          </w:tcPr>
          <w:p w14:paraId="6F027305" w14:textId="77777777" w:rsidR="00F73D75" w:rsidRPr="00D079CB" w:rsidRDefault="00F73D75" w:rsidP="001214AD">
            <w:pPr>
              <w:pStyle w:val="PlainText"/>
              <w:rPr>
                <w:rFonts w:asciiTheme="majorBidi" w:hAnsiTheme="majorBidi" w:cstheme="majorBidi"/>
              </w:rPr>
            </w:pPr>
          </w:p>
        </w:tc>
        <w:tc>
          <w:tcPr>
            <w:tcW w:w="1103" w:type="dxa"/>
            <w:tcBorders>
              <w:top w:val="nil"/>
              <w:left w:val="nil"/>
              <w:bottom w:val="nil"/>
              <w:right w:val="nil"/>
            </w:tcBorders>
          </w:tcPr>
          <w:p w14:paraId="4C0375DC"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(109.60)**</w:t>
            </w:r>
          </w:p>
        </w:tc>
        <w:tc>
          <w:tcPr>
            <w:tcW w:w="1103" w:type="dxa"/>
            <w:tcBorders>
              <w:top w:val="nil"/>
              <w:left w:val="nil"/>
              <w:bottom w:val="nil"/>
              <w:right w:val="nil"/>
            </w:tcBorders>
          </w:tcPr>
          <w:p w14:paraId="3BCD5A1B"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(90.37)**</w:t>
            </w:r>
          </w:p>
        </w:tc>
        <w:tc>
          <w:tcPr>
            <w:tcW w:w="1103" w:type="dxa"/>
            <w:tcBorders>
              <w:top w:val="nil"/>
              <w:left w:val="nil"/>
              <w:bottom w:val="nil"/>
              <w:right w:val="nil"/>
            </w:tcBorders>
          </w:tcPr>
          <w:p w14:paraId="500687D6"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(16.25)**</w:t>
            </w:r>
          </w:p>
        </w:tc>
        <w:tc>
          <w:tcPr>
            <w:tcW w:w="1096" w:type="dxa"/>
            <w:tcBorders>
              <w:top w:val="nil"/>
              <w:left w:val="nil"/>
              <w:bottom w:val="nil"/>
              <w:right w:val="nil"/>
            </w:tcBorders>
          </w:tcPr>
          <w:p w14:paraId="25960844"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(2.73)**</w:t>
            </w:r>
          </w:p>
        </w:tc>
        <w:tc>
          <w:tcPr>
            <w:tcW w:w="1103" w:type="dxa"/>
            <w:tcBorders>
              <w:top w:val="nil"/>
              <w:left w:val="nil"/>
              <w:bottom w:val="nil"/>
              <w:right w:val="nil"/>
            </w:tcBorders>
          </w:tcPr>
          <w:p w14:paraId="07C7E549"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(23.00)**</w:t>
            </w:r>
          </w:p>
        </w:tc>
        <w:tc>
          <w:tcPr>
            <w:tcW w:w="1096" w:type="dxa"/>
            <w:tcBorders>
              <w:top w:val="nil"/>
              <w:left w:val="nil"/>
              <w:bottom w:val="nil"/>
              <w:right w:val="nil"/>
            </w:tcBorders>
          </w:tcPr>
          <w:p w14:paraId="1AB3C710" w14:textId="77777777" w:rsidR="00F73D75" w:rsidRPr="00D079CB" w:rsidRDefault="00F73D75" w:rsidP="001214AD">
            <w:pPr>
              <w:pStyle w:val="PlainText"/>
              <w:tabs>
                <w:tab w:val="decimal" w:pos="340"/>
              </w:tabs>
              <w:rPr>
                <w:rFonts w:asciiTheme="majorBidi" w:hAnsiTheme="majorBidi" w:cstheme="majorBidi"/>
              </w:rPr>
            </w:pPr>
            <w:r w:rsidRPr="0054461C">
              <w:rPr>
                <w:rFonts w:asciiTheme="majorBidi" w:hAnsiTheme="majorBidi" w:cstheme="majorBidi"/>
              </w:rPr>
              <w:t>(2.54)*</w:t>
            </w:r>
          </w:p>
        </w:tc>
      </w:tr>
      <w:tr w:rsidR="00F73D75" w:rsidRPr="00D079CB" w14:paraId="0A8EA703" w14:textId="77777777" w:rsidTr="001214AD">
        <w:tc>
          <w:tcPr>
            <w:tcW w:w="2412" w:type="dxa"/>
            <w:tcBorders>
              <w:top w:val="nil"/>
              <w:left w:val="nil"/>
              <w:bottom w:val="single" w:sz="4" w:space="0" w:color="auto"/>
              <w:right w:val="nil"/>
            </w:tcBorders>
          </w:tcPr>
          <w:p w14:paraId="575F1C6D" w14:textId="77777777" w:rsidR="00F73D75" w:rsidRPr="00D079CB" w:rsidRDefault="00F73D75" w:rsidP="004B538F">
            <w:pPr>
              <w:pStyle w:val="PlainText"/>
              <w:spacing w:after="80"/>
              <w:rPr>
                <w:rFonts w:asciiTheme="majorBidi" w:hAnsiTheme="majorBidi" w:cstheme="majorBidi"/>
              </w:rPr>
            </w:pPr>
            <w:r w:rsidRPr="00D079CB">
              <w:rPr>
                <w:rFonts w:asciiTheme="majorBidi" w:hAnsiTheme="majorBidi" w:cstheme="majorBidi"/>
              </w:rPr>
              <w:t>R-squared</w:t>
            </w:r>
          </w:p>
        </w:tc>
        <w:tc>
          <w:tcPr>
            <w:tcW w:w="1103" w:type="dxa"/>
            <w:tcBorders>
              <w:top w:val="nil"/>
              <w:left w:val="nil"/>
              <w:bottom w:val="single" w:sz="4" w:space="0" w:color="auto"/>
              <w:right w:val="nil"/>
            </w:tcBorders>
          </w:tcPr>
          <w:p w14:paraId="76D256F0" w14:textId="77777777" w:rsidR="00F73D75" w:rsidRPr="00D079CB" w:rsidRDefault="00F73D75" w:rsidP="004B538F">
            <w:pPr>
              <w:pStyle w:val="PlainText"/>
              <w:tabs>
                <w:tab w:val="decimal" w:pos="340"/>
              </w:tabs>
              <w:spacing w:after="80"/>
              <w:rPr>
                <w:rFonts w:asciiTheme="majorBidi" w:hAnsiTheme="majorBidi" w:cstheme="majorBidi"/>
              </w:rPr>
            </w:pPr>
            <w:r w:rsidRPr="0054461C">
              <w:rPr>
                <w:rFonts w:asciiTheme="majorBidi" w:hAnsiTheme="majorBidi" w:cstheme="majorBidi"/>
              </w:rPr>
              <w:t>0.122</w:t>
            </w:r>
          </w:p>
        </w:tc>
        <w:tc>
          <w:tcPr>
            <w:tcW w:w="1103" w:type="dxa"/>
            <w:tcBorders>
              <w:top w:val="nil"/>
              <w:left w:val="nil"/>
              <w:bottom w:val="single" w:sz="4" w:space="0" w:color="auto"/>
              <w:right w:val="nil"/>
            </w:tcBorders>
          </w:tcPr>
          <w:p w14:paraId="7E5E311E" w14:textId="77777777" w:rsidR="00F73D75" w:rsidRPr="00D079CB" w:rsidRDefault="00F73D75" w:rsidP="004B538F">
            <w:pPr>
              <w:pStyle w:val="PlainText"/>
              <w:tabs>
                <w:tab w:val="decimal" w:pos="340"/>
              </w:tabs>
              <w:spacing w:after="80"/>
              <w:rPr>
                <w:rFonts w:asciiTheme="majorBidi" w:hAnsiTheme="majorBidi" w:cstheme="majorBidi"/>
              </w:rPr>
            </w:pPr>
            <w:r w:rsidRPr="0054461C">
              <w:rPr>
                <w:rFonts w:asciiTheme="majorBidi" w:hAnsiTheme="majorBidi" w:cstheme="majorBidi"/>
              </w:rPr>
              <w:t>0.211</w:t>
            </w:r>
          </w:p>
        </w:tc>
        <w:tc>
          <w:tcPr>
            <w:tcW w:w="1103" w:type="dxa"/>
            <w:tcBorders>
              <w:top w:val="nil"/>
              <w:left w:val="nil"/>
              <w:bottom w:val="single" w:sz="4" w:space="0" w:color="auto"/>
              <w:right w:val="nil"/>
            </w:tcBorders>
          </w:tcPr>
          <w:p w14:paraId="7E8F365E" w14:textId="77777777" w:rsidR="00F73D75" w:rsidRPr="00D079CB" w:rsidRDefault="00F73D75" w:rsidP="004B538F">
            <w:pPr>
              <w:pStyle w:val="PlainText"/>
              <w:tabs>
                <w:tab w:val="decimal" w:pos="340"/>
              </w:tabs>
              <w:spacing w:after="80"/>
              <w:rPr>
                <w:rFonts w:asciiTheme="majorBidi" w:hAnsiTheme="majorBidi" w:cstheme="majorBidi"/>
              </w:rPr>
            </w:pPr>
            <w:r w:rsidRPr="0054461C">
              <w:rPr>
                <w:rFonts w:asciiTheme="majorBidi" w:hAnsiTheme="majorBidi" w:cstheme="majorBidi"/>
              </w:rPr>
              <w:t>0.124</w:t>
            </w:r>
          </w:p>
        </w:tc>
        <w:tc>
          <w:tcPr>
            <w:tcW w:w="1096" w:type="dxa"/>
            <w:tcBorders>
              <w:top w:val="nil"/>
              <w:left w:val="nil"/>
              <w:bottom w:val="single" w:sz="4" w:space="0" w:color="auto"/>
              <w:right w:val="nil"/>
            </w:tcBorders>
          </w:tcPr>
          <w:p w14:paraId="5725B8B2" w14:textId="77777777" w:rsidR="00F73D75" w:rsidRPr="00D079CB" w:rsidRDefault="00F73D75" w:rsidP="004B538F">
            <w:pPr>
              <w:pStyle w:val="PlainText"/>
              <w:tabs>
                <w:tab w:val="decimal" w:pos="340"/>
              </w:tabs>
              <w:spacing w:after="80"/>
              <w:rPr>
                <w:rFonts w:asciiTheme="majorBidi" w:hAnsiTheme="majorBidi" w:cstheme="majorBidi"/>
              </w:rPr>
            </w:pPr>
            <w:r w:rsidRPr="0054461C">
              <w:rPr>
                <w:rFonts w:asciiTheme="majorBidi" w:hAnsiTheme="majorBidi" w:cstheme="majorBidi"/>
              </w:rPr>
              <w:t>0.381</w:t>
            </w:r>
          </w:p>
        </w:tc>
        <w:tc>
          <w:tcPr>
            <w:tcW w:w="1103" w:type="dxa"/>
            <w:tcBorders>
              <w:top w:val="nil"/>
              <w:left w:val="nil"/>
              <w:bottom w:val="single" w:sz="4" w:space="0" w:color="auto"/>
              <w:right w:val="nil"/>
            </w:tcBorders>
          </w:tcPr>
          <w:p w14:paraId="5D2B6AF1" w14:textId="77777777" w:rsidR="00F73D75" w:rsidRPr="00D079CB" w:rsidRDefault="00F73D75" w:rsidP="004B538F">
            <w:pPr>
              <w:pStyle w:val="PlainText"/>
              <w:tabs>
                <w:tab w:val="decimal" w:pos="340"/>
              </w:tabs>
              <w:spacing w:after="80"/>
              <w:rPr>
                <w:rFonts w:asciiTheme="majorBidi" w:hAnsiTheme="majorBidi" w:cstheme="majorBidi"/>
              </w:rPr>
            </w:pPr>
            <w:r w:rsidRPr="0054461C">
              <w:rPr>
                <w:rFonts w:asciiTheme="majorBidi" w:hAnsiTheme="majorBidi" w:cstheme="majorBidi"/>
              </w:rPr>
              <w:t>0.122</w:t>
            </w:r>
          </w:p>
        </w:tc>
        <w:tc>
          <w:tcPr>
            <w:tcW w:w="1096" w:type="dxa"/>
            <w:tcBorders>
              <w:top w:val="nil"/>
              <w:left w:val="nil"/>
              <w:bottom w:val="single" w:sz="4" w:space="0" w:color="auto"/>
              <w:right w:val="nil"/>
            </w:tcBorders>
          </w:tcPr>
          <w:p w14:paraId="65B27711" w14:textId="77777777" w:rsidR="00F73D75" w:rsidRPr="00D079CB" w:rsidRDefault="00F73D75" w:rsidP="004B538F">
            <w:pPr>
              <w:pStyle w:val="PlainText"/>
              <w:tabs>
                <w:tab w:val="decimal" w:pos="340"/>
              </w:tabs>
              <w:spacing w:after="80"/>
              <w:rPr>
                <w:rFonts w:asciiTheme="majorBidi" w:hAnsiTheme="majorBidi" w:cstheme="majorBidi"/>
              </w:rPr>
            </w:pPr>
            <w:r w:rsidRPr="0054461C">
              <w:rPr>
                <w:rFonts w:asciiTheme="majorBidi" w:hAnsiTheme="majorBidi" w:cstheme="majorBidi"/>
              </w:rPr>
              <w:t>0.402</w:t>
            </w:r>
          </w:p>
        </w:tc>
      </w:tr>
      <w:tr w:rsidR="00F73D75" w:rsidRPr="000E4BD7" w14:paraId="18AE0445" w14:textId="77777777" w:rsidTr="001214AD">
        <w:tc>
          <w:tcPr>
            <w:tcW w:w="9016" w:type="dxa"/>
            <w:gridSpan w:val="7"/>
            <w:tcBorders>
              <w:top w:val="single" w:sz="4" w:space="0" w:color="auto"/>
              <w:left w:val="nil"/>
              <w:bottom w:val="nil"/>
              <w:right w:val="nil"/>
            </w:tcBorders>
          </w:tcPr>
          <w:p w14:paraId="1DA9DDC8" w14:textId="6B21784A" w:rsidR="00F73D75" w:rsidRPr="000E4BD7" w:rsidRDefault="00F73D75" w:rsidP="001214AD">
            <w:pPr>
              <w:pStyle w:val="PlainText"/>
              <w:spacing w:before="40"/>
              <w:rPr>
                <w:rFonts w:asciiTheme="majorBidi" w:hAnsiTheme="majorBidi" w:cstheme="majorBidi"/>
                <w:sz w:val="20"/>
                <w:szCs w:val="20"/>
              </w:rPr>
            </w:pPr>
            <w:r w:rsidRPr="000E4BD7">
              <w:rPr>
                <w:rFonts w:asciiTheme="majorBidi" w:hAnsiTheme="majorBidi" w:cstheme="majorBidi"/>
                <w:i/>
                <w:iCs/>
                <w:sz w:val="20"/>
                <w:szCs w:val="20"/>
              </w:rPr>
              <w:t>Note</w:t>
            </w:r>
            <w:r w:rsidR="001657D0">
              <w:rPr>
                <w:rFonts w:asciiTheme="majorBidi" w:hAnsiTheme="majorBidi" w:cstheme="majorBidi"/>
                <w:i/>
                <w:iCs/>
                <w:sz w:val="20"/>
                <w:szCs w:val="20"/>
              </w:rPr>
              <w:t>s</w:t>
            </w:r>
            <w:r w:rsidRPr="000E4BD7">
              <w:rPr>
                <w:rFonts w:asciiTheme="majorBidi" w:hAnsiTheme="majorBidi" w:cstheme="majorBidi"/>
                <w:sz w:val="20"/>
                <w:szCs w:val="20"/>
              </w:rPr>
              <w:t>:</w:t>
            </w:r>
            <w:r w:rsidRPr="000E4BD7">
              <w:rPr>
                <w:rFonts w:asciiTheme="majorBidi" w:hAnsiTheme="majorBidi" w:cstheme="majorBidi"/>
                <w:i/>
                <w:iCs/>
                <w:sz w:val="20"/>
                <w:szCs w:val="20"/>
              </w:rPr>
              <w:t xml:space="preserve"> </w:t>
            </w:r>
            <w:r>
              <w:rPr>
                <w:rFonts w:asciiTheme="majorBidi" w:hAnsiTheme="majorBidi" w:cstheme="majorBidi"/>
                <w:sz w:val="20"/>
                <w:szCs w:val="20"/>
              </w:rPr>
              <w:t xml:space="preserve">Observations are weighted by the standard error of the Gini index from the ELL simulations, to put more weight on the Wards with the most precise estimates. Other </w:t>
            </w:r>
            <w:proofErr w:type="gramStart"/>
            <w:r>
              <w:rPr>
                <w:rFonts w:asciiTheme="majorBidi" w:hAnsiTheme="majorBidi" w:cstheme="majorBidi"/>
                <w:sz w:val="20"/>
                <w:szCs w:val="20"/>
              </w:rPr>
              <w:t>notes,</w:t>
            </w:r>
            <w:proofErr w:type="gramEnd"/>
            <w:r>
              <w:rPr>
                <w:rFonts w:asciiTheme="majorBidi" w:hAnsiTheme="majorBidi" w:cstheme="majorBidi"/>
                <w:sz w:val="20"/>
                <w:szCs w:val="20"/>
              </w:rPr>
              <w:t xml:space="preserve"> see Table 2.</w:t>
            </w:r>
          </w:p>
        </w:tc>
      </w:tr>
    </w:tbl>
    <w:p w14:paraId="66E690E6" w14:textId="77777777" w:rsidR="00F73D75" w:rsidRDefault="00F73D75" w:rsidP="00F73D75">
      <w:pPr>
        <w:spacing w:before="40"/>
        <w:jc w:val="center"/>
        <w:rPr>
          <w:rFonts w:eastAsia="Times New Roman"/>
          <w:sz w:val="22"/>
          <w:lang w:bidi="ar-SA"/>
        </w:rPr>
      </w:pPr>
    </w:p>
    <w:p w14:paraId="3D5B8402" w14:textId="77777777" w:rsidR="004B538F" w:rsidRDefault="004B538F" w:rsidP="00F73D75">
      <w:pPr>
        <w:spacing w:before="40"/>
        <w:jc w:val="center"/>
        <w:rPr>
          <w:rFonts w:eastAsia="Times New Roman"/>
          <w:sz w:val="22"/>
          <w:lang w:bidi="ar-SA"/>
        </w:rPr>
      </w:pPr>
    </w:p>
    <w:p w14:paraId="01C34B89" w14:textId="797754FD" w:rsidR="002F2022" w:rsidRDefault="00700EA9" w:rsidP="001214AD">
      <w:pPr>
        <w:widowControl w:val="0"/>
        <w:spacing w:line="288" w:lineRule="auto"/>
        <w:ind w:firstLine="720"/>
        <w:rPr>
          <w:rFonts w:eastAsia="Calibri"/>
        </w:rPr>
      </w:pPr>
      <w:r>
        <w:rPr>
          <w:rFonts w:eastAsia="Calibri"/>
        </w:rPr>
        <w:t xml:space="preserve">The results reported thus far do not allow for spatial autocorrelation, where regression errors for one observation </w:t>
      </w:r>
      <w:proofErr w:type="gramStart"/>
      <w:r w:rsidR="000B2F24">
        <w:rPr>
          <w:rFonts w:eastAsia="Calibri"/>
        </w:rPr>
        <w:t xml:space="preserve">are </w:t>
      </w:r>
      <w:r w:rsidR="005840BC">
        <w:rPr>
          <w:rFonts w:eastAsia="Calibri"/>
        </w:rPr>
        <w:t>correlate</w:t>
      </w:r>
      <w:r w:rsidR="000B2F24">
        <w:rPr>
          <w:rFonts w:eastAsia="Calibri"/>
        </w:rPr>
        <w:t>d</w:t>
      </w:r>
      <w:proofErr w:type="gramEnd"/>
      <w:r>
        <w:rPr>
          <w:rFonts w:eastAsia="Calibri"/>
        </w:rPr>
        <w:t xml:space="preserve"> with errors </w:t>
      </w:r>
      <w:r w:rsidR="000B2F24">
        <w:rPr>
          <w:rFonts w:eastAsia="Calibri"/>
        </w:rPr>
        <w:t>in neighboring observations, which violates the independence assumption of OLS. These s</w:t>
      </w:r>
      <w:r>
        <w:rPr>
          <w:rFonts w:eastAsia="Calibri"/>
        </w:rPr>
        <w:t xml:space="preserve">patial </w:t>
      </w:r>
      <w:r w:rsidR="00D33379">
        <w:rPr>
          <w:rFonts w:eastAsia="Calibri"/>
        </w:rPr>
        <w:t xml:space="preserve">features </w:t>
      </w:r>
      <w:r>
        <w:rPr>
          <w:rFonts w:eastAsia="Calibri"/>
        </w:rPr>
        <w:t xml:space="preserve">of the data </w:t>
      </w:r>
      <w:proofErr w:type="gramStart"/>
      <w:r w:rsidR="005840BC">
        <w:rPr>
          <w:rFonts w:eastAsia="Calibri"/>
        </w:rPr>
        <w:t>are often neglected</w:t>
      </w:r>
      <w:proofErr w:type="gramEnd"/>
      <w:r w:rsidR="005840BC">
        <w:rPr>
          <w:rFonts w:eastAsia="Calibri"/>
        </w:rPr>
        <w:t xml:space="preserve"> </w:t>
      </w:r>
      <w:r w:rsidR="00D33379">
        <w:rPr>
          <w:rFonts w:eastAsia="Calibri"/>
        </w:rPr>
        <w:t xml:space="preserve">in </w:t>
      </w:r>
      <w:r>
        <w:rPr>
          <w:rFonts w:eastAsia="Calibri"/>
        </w:rPr>
        <w:t xml:space="preserve">studies of </w:t>
      </w:r>
      <w:r w:rsidR="000B2F24">
        <w:rPr>
          <w:rFonts w:eastAsia="Calibri"/>
        </w:rPr>
        <w:t>the relationship</w:t>
      </w:r>
      <w:r>
        <w:rPr>
          <w:rFonts w:eastAsia="Calibri"/>
        </w:rPr>
        <w:t xml:space="preserve"> between inequality and environmental quality; a review of almost 100 studies </w:t>
      </w:r>
      <w:r w:rsidR="00237418">
        <w:rPr>
          <w:rFonts w:eastAsia="Calibri"/>
        </w:rPr>
        <w:t xml:space="preserve">by </w:t>
      </w:r>
      <w:r>
        <w:rPr>
          <w:rFonts w:eastAsia="Calibri"/>
        </w:rPr>
        <w:t xml:space="preserve">Cushing </w:t>
      </w:r>
      <w:r w:rsidR="007B0B4E">
        <w:rPr>
          <w:rFonts w:asciiTheme="majorBidi" w:hAnsiTheme="majorBidi" w:cstheme="majorBidi"/>
          <w:i/>
        </w:rPr>
        <w:t>et al.</w:t>
      </w:r>
      <w:r w:rsidR="001657D0">
        <w:rPr>
          <w:rFonts w:eastAsia="Calibri"/>
        </w:rPr>
        <w:t xml:space="preserve"> </w:t>
      </w:r>
      <w:r>
        <w:rPr>
          <w:rFonts w:eastAsia="Calibri"/>
        </w:rPr>
        <w:t xml:space="preserve">(2015) found just one </w:t>
      </w:r>
      <w:r w:rsidR="000B2F24">
        <w:rPr>
          <w:rFonts w:eastAsia="Calibri"/>
        </w:rPr>
        <w:t xml:space="preserve">study that </w:t>
      </w:r>
      <w:r w:rsidR="002F2022">
        <w:rPr>
          <w:rFonts w:eastAsia="Calibri"/>
        </w:rPr>
        <w:t>considered</w:t>
      </w:r>
      <w:r>
        <w:rPr>
          <w:rFonts w:eastAsia="Calibri"/>
        </w:rPr>
        <w:t xml:space="preserve"> </w:t>
      </w:r>
      <w:r w:rsidR="002F2022">
        <w:rPr>
          <w:rFonts w:eastAsia="Calibri"/>
        </w:rPr>
        <w:t>these</w:t>
      </w:r>
      <w:r>
        <w:rPr>
          <w:rFonts w:eastAsia="Calibri"/>
        </w:rPr>
        <w:t xml:space="preserve">. In fact, in the data for the Solomon Islands there is a modest, but statistically significant degree of spatial autocorrelation in </w:t>
      </w:r>
      <w:r w:rsidR="000B2F24">
        <w:rPr>
          <w:rFonts w:eastAsia="Calibri"/>
        </w:rPr>
        <w:t xml:space="preserve">the data for </w:t>
      </w:r>
      <w:r w:rsidR="005840BC">
        <w:rPr>
          <w:rFonts w:eastAsia="Calibri"/>
        </w:rPr>
        <w:t xml:space="preserve">both </w:t>
      </w:r>
      <w:r>
        <w:rPr>
          <w:rFonts w:eastAsia="Calibri"/>
        </w:rPr>
        <w:t>forest loss</w:t>
      </w:r>
      <w:r w:rsidR="005840BC">
        <w:rPr>
          <w:rFonts w:eastAsia="Calibri"/>
        </w:rPr>
        <w:t xml:space="preserve"> and baseline forest </w:t>
      </w:r>
      <w:r w:rsidR="005840BC">
        <w:rPr>
          <w:rFonts w:eastAsia="Calibri"/>
        </w:rPr>
        <w:lastRenderedPageBreak/>
        <w:t xml:space="preserve">area, as shown by </w:t>
      </w:r>
      <w:r>
        <w:rPr>
          <w:rFonts w:eastAsia="Calibri"/>
        </w:rPr>
        <w:t xml:space="preserve">Moran’s </w:t>
      </w:r>
      <w:r>
        <w:rPr>
          <w:rFonts w:eastAsia="Calibri"/>
          <w:i/>
          <w:iCs/>
        </w:rPr>
        <w:t>I</w:t>
      </w:r>
      <w:r>
        <w:rPr>
          <w:rFonts w:eastAsia="Calibri"/>
        </w:rPr>
        <w:t xml:space="preserve"> statistic</w:t>
      </w:r>
      <w:r w:rsidR="005840BC">
        <w:rPr>
          <w:rFonts w:eastAsia="Calibri"/>
        </w:rPr>
        <w:t>s</w:t>
      </w:r>
      <w:r>
        <w:rPr>
          <w:rFonts w:eastAsia="Calibri"/>
        </w:rPr>
        <w:t xml:space="preserve"> of 0.07 (</w:t>
      </w:r>
      <w:r>
        <w:rPr>
          <w:rFonts w:eastAsia="Calibri"/>
          <w:i/>
          <w:iCs/>
        </w:rPr>
        <w:t>p</w:t>
      </w:r>
      <w:r>
        <w:rPr>
          <w:rFonts w:eastAsia="Calibri"/>
        </w:rPr>
        <w:t>&lt;0.07)</w:t>
      </w:r>
      <w:r w:rsidR="005840BC">
        <w:rPr>
          <w:rFonts w:eastAsia="Calibri"/>
        </w:rPr>
        <w:t xml:space="preserve"> and 0.10 (</w:t>
      </w:r>
      <w:r w:rsidR="005840BC" w:rsidRPr="005840BC">
        <w:rPr>
          <w:rFonts w:eastAsia="Calibri"/>
          <w:i/>
          <w:iCs/>
        </w:rPr>
        <w:t>p</w:t>
      </w:r>
      <w:r w:rsidR="005840BC">
        <w:rPr>
          <w:rFonts w:eastAsia="Calibri"/>
        </w:rPr>
        <w:t>&lt;0.03)</w:t>
      </w:r>
      <w:r>
        <w:rPr>
          <w:rFonts w:eastAsia="Calibri"/>
        </w:rPr>
        <w:t>.</w:t>
      </w:r>
      <w:r w:rsidR="00D33379">
        <w:rPr>
          <w:rStyle w:val="FootnoteReference"/>
        </w:rPr>
        <w:footnoteReference w:id="12"/>
      </w:r>
      <w:r w:rsidR="00D33379">
        <w:rPr>
          <w:rFonts w:eastAsia="Calibri"/>
        </w:rPr>
        <w:t xml:space="preserve"> </w:t>
      </w:r>
      <w:r w:rsidR="00582692">
        <w:rPr>
          <w:rFonts w:eastAsia="Calibri"/>
        </w:rPr>
        <w:t>W</w:t>
      </w:r>
      <w:r w:rsidR="002F2022">
        <w:rPr>
          <w:rFonts w:eastAsia="Calibri"/>
        </w:rPr>
        <w:t xml:space="preserve">hether this will matter to the </w:t>
      </w:r>
      <w:proofErr w:type="gramStart"/>
      <w:r w:rsidR="002F2022">
        <w:rPr>
          <w:rFonts w:eastAsia="Calibri"/>
        </w:rPr>
        <w:t>regression</w:t>
      </w:r>
      <w:proofErr w:type="gramEnd"/>
      <w:r w:rsidR="002F2022">
        <w:rPr>
          <w:rFonts w:eastAsia="Calibri"/>
        </w:rPr>
        <w:t xml:space="preserve"> modelling is unclear because there</w:t>
      </w:r>
      <w:r w:rsidR="005840BC">
        <w:rPr>
          <w:rFonts w:eastAsia="Calibri"/>
        </w:rPr>
        <w:t xml:space="preserve"> is no evidence of spatial autocorrelation in either inequality or log per capita consumption</w:t>
      </w:r>
      <w:r w:rsidR="002F2022">
        <w:rPr>
          <w:rFonts w:eastAsia="Calibri"/>
        </w:rPr>
        <w:t>, so the patterns for the observed variables do not give a clear guidance on the likely patterns in the unobserved errors</w:t>
      </w:r>
      <w:r w:rsidR="005840BC">
        <w:rPr>
          <w:rFonts w:eastAsia="Calibri"/>
        </w:rPr>
        <w:t xml:space="preserve">. </w:t>
      </w:r>
    </w:p>
    <w:p w14:paraId="0F58EC8B" w14:textId="77777777" w:rsidR="00ED4A8F" w:rsidRDefault="00ED4A8F" w:rsidP="001214AD">
      <w:pPr>
        <w:widowControl w:val="0"/>
        <w:spacing w:line="288" w:lineRule="auto"/>
        <w:ind w:firstLine="720"/>
        <w:rPr>
          <w:rFonts w:eastAsia="Calibri"/>
          <w:sz w:val="20"/>
          <w:szCs w:val="20"/>
        </w:rPr>
      </w:pPr>
    </w:p>
    <w:p w14:paraId="7AE42521" w14:textId="77777777" w:rsidR="004B538F" w:rsidRDefault="004B538F" w:rsidP="001214AD">
      <w:pPr>
        <w:widowControl w:val="0"/>
        <w:spacing w:line="288" w:lineRule="auto"/>
        <w:ind w:firstLine="720"/>
        <w:rPr>
          <w:rFonts w:eastAsia="Calibri"/>
          <w:sz w:val="20"/>
          <w:szCs w:val="20"/>
        </w:rPr>
      </w:pPr>
    </w:p>
    <w:tbl>
      <w:tblPr>
        <w:tblStyle w:val="TableGrid"/>
        <w:tblW w:w="0" w:type="auto"/>
        <w:tblCellMar>
          <w:left w:w="28" w:type="dxa"/>
          <w:right w:w="28" w:type="dxa"/>
        </w:tblCellMar>
        <w:tblLook w:val="04A0" w:firstRow="1" w:lastRow="0" w:firstColumn="1" w:lastColumn="0" w:noHBand="0" w:noVBand="1"/>
      </w:tblPr>
      <w:tblGrid>
        <w:gridCol w:w="2412"/>
        <w:gridCol w:w="1103"/>
        <w:gridCol w:w="1103"/>
        <w:gridCol w:w="1103"/>
        <w:gridCol w:w="1096"/>
        <w:gridCol w:w="1103"/>
        <w:gridCol w:w="1096"/>
      </w:tblGrid>
      <w:tr w:rsidR="00582692" w:rsidRPr="00834D0D" w14:paraId="1B48D239" w14:textId="77777777" w:rsidTr="00AC4C8F">
        <w:tc>
          <w:tcPr>
            <w:tcW w:w="9016" w:type="dxa"/>
            <w:gridSpan w:val="7"/>
            <w:tcBorders>
              <w:top w:val="nil"/>
              <w:left w:val="nil"/>
              <w:bottom w:val="single" w:sz="4" w:space="0" w:color="auto"/>
              <w:right w:val="nil"/>
            </w:tcBorders>
          </w:tcPr>
          <w:p w14:paraId="50C84D2A" w14:textId="77777777" w:rsidR="00582692" w:rsidRDefault="00582692" w:rsidP="00582692">
            <w:pPr>
              <w:pStyle w:val="PlainText"/>
              <w:jc w:val="center"/>
              <w:rPr>
                <w:rFonts w:asciiTheme="majorBidi" w:hAnsiTheme="majorBidi" w:cstheme="majorBidi"/>
                <w:b/>
                <w:sz w:val="22"/>
                <w:szCs w:val="22"/>
              </w:rPr>
            </w:pPr>
            <w:r w:rsidRPr="00834D0D">
              <w:rPr>
                <w:rFonts w:asciiTheme="majorBidi" w:hAnsiTheme="majorBidi" w:cstheme="majorBidi"/>
                <w:b/>
                <w:sz w:val="22"/>
                <w:szCs w:val="22"/>
              </w:rPr>
              <w:t>Table 4: Spatial Error Model of the Effects of 2000-2012 Forest Loss on Gini Index for Per Capita Consumption Inequality in 2013 for Rural Wards of the Solomon Islands</w:t>
            </w:r>
          </w:p>
          <w:p w14:paraId="49D213A7" w14:textId="77777777" w:rsidR="00582692" w:rsidRPr="00582692" w:rsidRDefault="00582692" w:rsidP="00582692">
            <w:pPr>
              <w:pStyle w:val="PlainText"/>
              <w:jc w:val="center"/>
              <w:rPr>
                <w:rFonts w:asciiTheme="majorBidi" w:hAnsiTheme="majorBidi" w:cstheme="majorBidi"/>
                <w:b/>
                <w:sz w:val="6"/>
                <w:szCs w:val="6"/>
              </w:rPr>
            </w:pPr>
          </w:p>
        </w:tc>
      </w:tr>
      <w:tr w:rsidR="00582692" w:rsidRPr="00D079CB" w14:paraId="3BDD21A4" w14:textId="77777777" w:rsidTr="00AC4C8F">
        <w:tc>
          <w:tcPr>
            <w:tcW w:w="2412" w:type="dxa"/>
            <w:tcBorders>
              <w:top w:val="nil"/>
              <w:left w:val="nil"/>
              <w:bottom w:val="single" w:sz="4" w:space="0" w:color="auto"/>
              <w:right w:val="nil"/>
            </w:tcBorders>
          </w:tcPr>
          <w:p w14:paraId="53B5A567" w14:textId="77777777" w:rsidR="00582692" w:rsidRPr="00D079CB" w:rsidRDefault="00582692" w:rsidP="004B538F">
            <w:pPr>
              <w:pStyle w:val="PlainText"/>
              <w:spacing w:before="40" w:after="80"/>
              <w:rPr>
                <w:rFonts w:asciiTheme="majorBidi" w:hAnsiTheme="majorBidi" w:cstheme="majorBidi"/>
              </w:rPr>
            </w:pPr>
          </w:p>
        </w:tc>
        <w:tc>
          <w:tcPr>
            <w:tcW w:w="1103" w:type="dxa"/>
            <w:tcBorders>
              <w:top w:val="nil"/>
              <w:left w:val="nil"/>
              <w:bottom w:val="single" w:sz="4" w:space="0" w:color="auto"/>
              <w:right w:val="nil"/>
            </w:tcBorders>
          </w:tcPr>
          <w:p w14:paraId="7A97524E" w14:textId="77777777" w:rsidR="00582692" w:rsidRPr="00D079CB" w:rsidRDefault="00582692" w:rsidP="004B538F">
            <w:pPr>
              <w:pStyle w:val="PlainText"/>
              <w:spacing w:before="40" w:after="80"/>
              <w:jc w:val="center"/>
              <w:rPr>
                <w:rFonts w:asciiTheme="majorBidi" w:hAnsiTheme="majorBidi" w:cstheme="majorBidi"/>
              </w:rPr>
            </w:pPr>
            <w:r w:rsidRPr="00D079CB">
              <w:rPr>
                <w:rFonts w:asciiTheme="majorBidi" w:hAnsiTheme="majorBidi" w:cstheme="majorBidi"/>
              </w:rPr>
              <w:t>(1)</w:t>
            </w:r>
          </w:p>
        </w:tc>
        <w:tc>
          <w:tcPr>
            <w:tcW w:w="1103" w:type="dxa"/>
            <w:tcBorders>
              <w:top w:val="nil"/>
              <w:left w:val="nil"/>
              <w:bottom w:val="single" w:sz="4" w:space="0" w:color="auto"/>
              <w:right w:val="nil"/>
            </w:tcBorders>
          </w:tcPr>
          <w:p w14:paraId="1A3D7E23" w14:textId="77777777" w:rsidR="00582692" w:rsidRPr="00D079CB" w:rsidRDefault="00582692" w:rsidP="004B538F">
            <w:pPr>
              <w:pStyle w:val="PlainText"/>
              <w:spacing w:before="40" w:after="80"/>
              <w:jc w:val="center"/>
              <w:rPr>
                <w:rFonts w:asciiTheme="majorBidi" w:hAnsiTheme="majorBidi" w:cstheme="majorBidi"/>
              </w:rPr>
            </w:pPr>
            <w:r w:rsidRPr="00D079CB">
              <w:rPr>
                <w:rFonts w:asciiTheme="majorBidi" w:hAnsiTheme="majorBidi" w:cstheme="majorBidi"/>
              </w:rPr>
              <w:t>(2)</w:t>
            </w:r>
          </w:p>
        </w:tc>
        <w:tc>
          <w:tcPr>
            <w:tcW w:w="1103" w:type="dxa"/>
            <w:tcBorders>
              <w:top w:val="nil"/>
              <w:left w:val="nil"/>
              <w:bottom w:val="single" w:sz="4" w:space="0" w:color="auto"/>
              <w:right w:val="nil"/>
            </w:tcBorders>
          </w:tcPr>
          <w:p w14:paraId="441CCBAC" w14:textId="77777777" w:rsidR="00582692" w:rsidRPr="00D079CB" w:rsidRDefault="00582692" w:rsidP="004B538F">
            <w:pPr>
              <w:pStyle w:val="PlainText"/>
              <w:spacing w:before="40" w:after="80"/>
              <w:jc w:val="center"/>
              <w:rPr>
                <w:rFonts w:asciiTheme="majorBidi" w:hAnsiTheme="majorBidi" w:cstheme="majorBidi"/>
              </w:rPr>
            </w:pPr>
            <w:r w:rsidRPr="00D079CB">
              <w:rPr>
                <w:rFonts w:asciiTheme="majorBidi" w:hAnsiTheme="majorBidi" w:cstheme="majorBidi"/>
              </w:rPr>
              <w:t>(3)</w:t>
            </w:r>
          </w:p>
        </w:tc>
        <w:tc>
          <w:tcPr>
            <w:tcW w:w="1096" w:type="dxa"/>
            <w:tcBorders>
              <w:top w:val="nil"/>
              <w:left w:val="nil"/>
              <w:bottom w:val="single" w:sz="4" w:space="0" w:color="auto"/>
              <w:right w:val="nil"/>
            </w:tcBorders>
          </w:tcPr>
          <w:p w14:paraId="1FBE5FDA" w14:textId="77777777" w:rsidR="00582692" w:rsidRPr="00D079CB" w:rsidRDefault="00582692" w:rsidP="004B538F">
            <w:pPr>
              <w:pStyle w:val="PlainText"/>
              <w:spacing w:before="40" w:after="80"/>
              <w:jc w:val="center"/>
              <w:rPr>
                <w:rFonts w:asciiTheme="majorBidi" w:hAnsiTheme="majorBidi" w:cstheme="majorBidi"/>
              </w:rPr>
            </w:pPr>
            <w:r w:rsidRPr="00D079CB">
              <w:rPr>
                <w:rFonts w:asciiTheme="majorBidi" w:hAnsiTheme="majorBidi" w:cstheme="majorBidi"/>
              </w:rPr>
              <w:t>(4)</w:t>
            </w:r>
          </w:p>
        </w:tc>
        <w:tc>
          <w:tcPr>
            <w:tcW w:w="1103" w:type="dxa"/>
            <w:tcBorders>
              <w:top w:val="nil"/>
              <w:left w:val="nil"/>
              <w:bottom w:val="single" w:sz="4" w:space="0" w:color="auto"/>
              <w:right w:val="nil"/>
            </w:tcBorders>
          </w:tcPr>
          <w:p w14:paraId="656FE3EB" w14:textId="77777777" w:rsidR="00582692" w:rsidRPr="00D079CB" w:rsidRDefault="00582692" w:rsidP="004B538F">
            <w:pPr>
              <w:pStyle w:val="PlainText"/>
              <w:spacing w:before="40" w:after="80"/>
              <w:jc w:val="center"/>
              <w:rPr>
                <w:rFonts w:asciiTheme="majorBidi" w:hAnsiTheme="majorBidi" w:cstheme="majorBidi"/>
              </w:rPr>
            </w:pPr>
            <w:r w:rsidRPr="00D079CB">
              <w:rPr>
                <w:rFonts w:asciiTheme="majorBidi" w:hAnsiTheme="majorBidi" w:cstheme="majorBidi"/>
              </w:rPr>
              <w:t>(5)</w:t>
            </w:r>
          </w:p>
        </w:tc>
        <w:tc>
          <w:tcPr>
            <w:tcW w:w="1096" w:type="dxa"/>
            <w:tcBorders>
              <w:top w:val="nil"/>
              <w:left w:val="nil"/>
              <w:bottom w:val="single" w:sz="4" w:space="0" w:color="auto"/>
              <w:right w:val="nil"/>
            </w:tcBorders>
          </w:tcPr>
          <w:p w14:paraId="10879148" w14:textId="77777777" w:rsidR="00582692" w:rsidRPr="00D079CB" w:rsidRDefault="00582692" w:rsidP="004B538F">
            <w:pPr>
              <w:pStyle w:val="PlainText"/>
              <w:spacing w:before="40" w:after="80"/>
              <w:jc w:val="center"/>
              <w:rPr>
                <w:rFonts w:asciiTheme="majorBidi" w:hAnsiTheme="majorBidi" w:cstheme="majorBidi"/>
              </w:rPr>
            </w:pPr>
            <w:r w:rsidRPr="00D079CB">
              <w:rPr>
                <w:rFonts w:asciiTheme="majorBidi" w:hAnsiTheme="majorBidi" w:cstheme="majorBidi"/>
              </w:rPr>
              <w:t>(6)</w:t>
            </w:r>
          </w:p>
        </w:tc>
      </w:tr>
      <w:tr w:rsidR="00582692" w:rsidRPr="00D079CB" w14:paraId="382DDCC5" w14:textId="77777777" w:rsidTr="00AC4C8F">
        <w:tc>
          <w:tcPr>
            <w:tcW w:w="2412" w:type="dxa"/>
            <w:tcBorders>
              <w:top w:val="single" w:sz="4" w:space="0" w:color="auto"/>
              <w:left w:val="nil"/>
              <w:bottom w:val="nil"/>
              <w:right w:val="nil"/>
            </w:tcBorders>
          </w:tcPr>
          <w:p w14:paraId="2D606A0B" w14:textId="02ACC57D" w:rsidR="00582692" w:rsidRPr="00D079CB" w:rsidRDefault="00582692" w:rsidP="004B538F">
            <w:pPr>
              <w:pStyle w:val="PlainText"/>
              <w:spacing w:before="100"/>
              <w:rPr>
                <w:rFonts w:asciiTheme="majorBidi" w:hAnsiTheme="majorBidi" w:cstheme="majorBidi"/>
              </w:rPr>
            </w:pPr>
            <w:r>
              <w:rPr>
                <w:rFonts w:asciiTheme="majorBidi" w:hAnsiTheme="majorBidi" w:cstheme="majorBidi"/>
              </w:rPr>
              <w:t xml:space="preserve">Percent of forest lost </w:t>
            </w:r>
          </w:p>
        </w:tc>
        <w:tc>
          <w:tcPr>
            <w:tcW w:w="1103" w:type="dxa"/>
            <w:tcBorders>
              <w:top w:val="single" w:sz="4" w:space="0" w:color="auto"/>
              <w:left w:val="nil"/>
              <w:bottom w:val="nil"/>
              <w:right w:val="nil"/>
            </w:tcBorders>
          </w:tcPr>
          <w:p w14:paraId="66D0FD30" w14:textId="77777777" w:rsidR="00582692" w:rsidRPr="00D079CB" w:rsidRDefault="00582692" w:rsidP="004B538F">
            <w:pPr>
              <w:pStyle w:val="PlainText"/>
              <w:tabs>
                <w:tab w:val="decimal" w:pos="340"/>
              </w:tabs>
              <w:spacing w:before="100"/>
              <w:rPr>
                <w:rFonts w:asciiTheme="majorBidi" w:hAnsiTheme="majorBidi" w:cstheme="majorBidi"/>
              </w:rPr>
            </w:pPr>
            <w:r w:rsidRPr="0058087F">
              <w:rPr>
                <w:rFonts w:asciiTheme="majorBidi" w:hAnsiTheme="majorBidi" w:cstheme="majorBidi"/>
              </w:rPr>
              <w:t>0.351</w:t>
            </w:r>
          </w:p>
        </w:tc>
        <w:tc>
          <w:tcPr>
            <w:tcW w:w="1103" w:type="dxa"/>
            <w:tcBorders>
              <w:top w:val="single" w:sz="4" w:space="0" w:color="auto"/>
              <w:left w:val="nil"/>
              <w:bottom w:val="nil"/>
              <w:right w:val="nil"/>
            </w:tcBorders>
          </w:tcPr>
          <w:p w14:paraId="7A8E086E" w14:textId="77777777" w:rsidR="00582692" w:rsidRPr="00D079CB" w:rsidRDefault="00582692" w:rsidP="004B538F">
            <w:pPr>
              <w:pStyle w:val="PlainText"/>
              <w:tabs>
                <w:tab w:val="decimal" w:pos="340"/>
              </w:tabs>
              <w:spacing w:before="100"/>
              <w:rPr>
                <w:rFonts w:asciiTheme="majorBidi" w:hAnsiTheme="majorBidi" w:cstheme="majorBidi"/>
              </w:rPr>
            </w:pPr>
            <w:r w:rsidRPr="0058087F">
              <w:rPr>
                <w:rFonts w:asciiTheme="majorBidi" w:hAnsiTheme="majorBidi" w:cstheme="majorBidi"/>
              </w:rPr>
              <w:t>0.361</w:t>
            </w:r>
          </w:p>
        </w:tc>
        <w:tc>
          <w:tcPr>
            <w:tcW w:w="1103" w:type="dxa"/>
            <w:tcBorders>
              <w:top w:val="single" w:sz="4" w:space="0" w:color="auto"/>
              <w:left w:val="nil"/>
              <w:bottom w:val="nil"/>
              <w:right w:val="nil"/>
            </w:tcBorders>
          </w:tcPr>
          <w:p w14:paraId="35E656AD" w14:textId="77777777" w:rsidR="00582692" w:rsidRPr="00D079CB" w:rsidRDefault="00582692" w:rsidP="004B538F">
            <w:pPr>
              <w:pStyle w:val="PlainText"/>
              <w:tabs>
                <w:tab w:val="decimal" w:pos="340"/>
              </w:tabs>
              <w:spacing w:before="100"/>
              <w:rPr>
                <w:rFonts w:asciiTheme="majorBidi" w:hAnsiTheme="majorBidi" w:cstheme="majorBidi"/>
              </w:rPr>
            </w:pPr>
            <w:r w:rsidRPr="0058087F">
              <w:rPr>
                <w:rFonts w:asciiTheme="majorBidi" w:hAnsiTheme="majorBidi" w:cstheme="majorBidi"/>
              </w:rPr>
              <w:t>0.291</w:t>
            </w:r>
          </w:p>
        </w:tc>
        <w:tc>
          <w:tcPr>
            <w:tcW w:w="1096" w:type="dxa"/>
            <w:tcBorders>
              <w:top w:val="single" w:sz="4" w:space="0" w:color="auto"/>
              <w:left w:val="nil"/>
              <w:bottom w:val="nil"/>
              <w:right w:val="nil"/>
            </w:tcBorders>
          </w:tcPr>
          <w:p w14:paraId="60980848" w14:textId="77777777" w:rsidR="00582692" w:rsidRPr="00D079CB" w:rsidRDefault="00582692" w:rsidP="004B538F">
            <w:pPr>
              <w:pStyle w:val="PlainText"/>
              <w:tabs>
                <w:tab w:val="decimal" w:pos="340"/>
              </w:tabs>
              <w:spacing w:before="100"/>
              <w:rPr>
                <w:rFonts w:asciiTheme="majorBidi" w:hAnsiTheme="majorBidi" w:cstheme="majorBidi"/>
              </w:rPr>
            </w:pPr>
            <w:r w:rsidRPr="0058087F">
              <w:rPr>
                <w:rFonts w:asciiTheme="majorBidi" w:hAnsiTheme="majorBidi" w:cstheme="majorBidi"/>
              </w:rPr>
              <w:t>0.268</w:t>
            </w:r>
          </w:p>
        </w:tc>
        <w:tc>
          <w:tcPr>
            <w:tcW w:w="1103" w:type="dxa"/>
            <w:tcBorders>
              <w:top w:val="single" w:sz="4" w:space="0" w:color="auto"/>
              <w:left w:val="nil"/>
              <w:bottom w:val="nil"/>
              <w:right w:val="nil"/>
            </w:tcBorders>
          </w:tcPr>
          <w:p w14:paraId="43829F67" w14:textId="77777777" w:rsidR="00582692" w:rsidRPr="00D079CB" w:rsidRDefault="00582692" w:rsidP="004B538F">
            <w:pPr>
              <w:pStyle w:val="PlainText"/>
              <w:tabs>
                <w:tab w:val="decimal" w:pos="340"/>
              </w:tabs>
              <w:spacing w:before="100"/>
              <w:rPr>
                <w:rFonts w:asciiTheme="majorBidi" w:hAnsiTheme="majorBidi" w:cstheme="majorBidi"/>
              </w:rPr>
            </w:pPr>
            <w:r w:rsidRPr="0058087F">
              <w:rPr>
                <w:rFonts w:asciiTheme="majorBidi" w:hAnsiTheme="majorBidi" w:cstheme="majorBidi"/>
              </w:rPr>
              <w:t>0.328</w:t>
            </w:r>
          </w:p>
        </w:tc>
        <w:tc>
          <w:tcPr>
            <w:tcW w:w="1096" w:type="dxa"/>
            <w:tcBorders>
              <w:top w:val="single" w:sz="4" w:space="0" w:color="auto"/>
              <w:left w:val="nil"/>
              <w:bottom w:val="nil"/>
              <w:right w:val="nil"/>
            </w:tcBorders>
          </w:tcPr>
          <w:p w14:paraId="052A05D1" w14:textId="77777777" w:rsidR="00582692" w:rsidRPr="00D079CB" w:rsidRDefault="00582692" w:rsidP="004B538F">
            <w:pPr>
              <w:pStyle w:val="PlainText"/>
              <w:tabs>
                <w:tab w:val="decimal" w:pos="340"/>
              </w:tabs>
              <w:spacing w:before="100"/>
              <w:rPr>
                <w:rFonts w:asciiTheme="majorBidi" w:hAnsiTheme="majorBidi" w:cstheme="majorBidi"/>
              </w:rPr>
            </w:pPr>
            <w:r w:rsidRPr="0058087F">
              <w:rPr>
                <w:rFonts w:asciiTheme="majorBidi" w:hAnsiTheme="majorBidi" w:cstheme="majorBidi"/>
              </w:rPr>
              <w:t>0.192</w:t>
            </w:r>
          </w:p>
        </w:tc>
      </w:tr>
      <w:tr w:rsidR="00582692" w:rsidRPr="00D079CB" w14:paraId="096CD005" w14:textId="77777777" w:rsidTr="00AC4C8F">
        <w:tc>
          <w:tcPr>
            <w:tcW w:w="2412" w:type="dxa"/>
            <w:tcBorders>
              <w:top w:val="nil"/>
              <w:left w:val="nil"/>
              <w:bottom w:val="nil"/>
              <w:right w:val="nil"/>
            </w:tcBorders>
          </w:tcPr>
          <w:p w14:paraId="527B5419" w14:textId="1734DA68" w:rsidR="00582692" w:rsidRPr="00D079CB" w:rsidRDefault="00582692" w:rsidP="00AC4C8F">
            <w:pPr>
              <w:pStyle w:val="PlainText"/>
              <w:rPr>
                <w:rFonts w:asciiTheme="majorBidi" w:hAnsiTheme="majorBidi" w:cstheme="majorBidi"/>
              </w:rPr>
            </w:pPr>
            <w:r>
              <w:rPr>
                <w:rFonts w:asciiTheme="majorBidi" w:hAnsiTheme="majorBidi" w:cstheme="majorBidi"/>
              </w:rPr>
              <w:t>2000-2012</w:t>
            </w:r>
          </w:p>
        </w:tc>
        <w:tc>
          <w:tcPr>
            <w:tcW w:w="1103" w:type="dxa"/>
            <w:tcBorders>
              <w:top w:val="nil"/>
              <w:left w:val="nil"/>
              <w:bottom w:val="nil"/>
              <w:right w:val="nil"/>
            </w:tcBorders>
          </w:tcPr>
          <w:p w14:paraId="60561773"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(3.99)**</w:t>
            </w:r>
          </w:p>
        </w:tc>
        <w:tc>
          <w:tcPr>
            <w:tcW w:w="1103" w:type="dxa"/>
            <w:tcBorders>
              <w:top w:val="nil"/>
              <w:left w:val="nil"/>
              <w:bottom w:val="nil"/>
              <w:right w:val="nil"/>
            </w:tcBorders>
          </w:tcPr>
          <w:p w14:paraId="61CE84D8"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(4.38)**</w:t>
            </w:r>
          </w:p>
        </w:tc>
        <w:tc>
          <w:tcPr>
            <w:tcW w:w="1103" w:type="dxa"/>
            <w:tcBorders>
              <w:top w:val="nil"/>
              <w:left w:val="nil"/>
              <w:bottom w:val="nil"/>
              <w:right w:val="nil"/>
            </w:tcBorders>
          </w:tcPr>
          <w:p w14:paraId="4ACB4C27"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(3.26)**</w:t>
            </w:r>
          </w:p>
        </w:tc>
        <w:tc>
          <w:tcPr>
            <w:tcW w:w="1096" w:type="dxa"/>
            <w:tcBorders>
              <w:top w:val="nil"/>
              <w:left w:val="nil"/>
              <w:bottom w:val="nil"/>
              <w:right w:val="nil"/>
            </w:tcBorders>
          </w:tcPr>
          <w:p w14:paraId="74354D68"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(3.66)**</w:t>
            </w:r>
          </w:p>
        </w:tc>
        <w:tc>
          <w:tcPr>
            <w:tcW w:w="1103" w:type="dxa"/>
            <w:tcBorders>
              <w:top w:val="nil"/>
              <w:left w:val="nil"/>
              <w:bottom w:val="nil"/>
              <w:right w:val="nil"/>
            </w:tcBorders>
          </w:tcPr>
          <w:p w14:paraId="3BE7756F"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(3.72)**</w:t>
            </w:r>
          </w:p>
        </w:tc>
        <w:tc>
          <w:tcPr>
            <w:tcW w:w="1096" w:type="dxa"/>
            <w:tcBorders>
              <w:top w:val="nil"/>
              <w:left w:val="nil"/>
              <w:bottom w:val="nil"/>
              <w:right w:val="nil"/>
            </w:tcBorders>
          </w:tcPr>
          <w:p w14:paraId="3990F752"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(2.57)*</w:t>
            </w:r>
          </w:p>
        </w:tc>
      </w:tr>
      <w:tr w:rsidR="00582692" w:rsidRPr="00D079CB" w14:paraId="0D90951B" w14:textId="77777777" w:rsidTr="00AC4C8F">
        <w:tc>
          <w:tcPr>
            <w:tcW w:w="2412" w:type="dxa"/>
            <w:tcBorders>
              <w:top w:val="nil"/>
              <w:left w:val="nil"/>
              <w:bottom w:val="nil"/>
              <w:right w:val="nil"/>
            </w:tcBorders>
          </w:tcPr>
          <w:p w14:paraId="2E751161" w14:textId="77777777" w:rsidR="00582692" w:rsidRPr="00D079CB" w:rsidRDefault="00582692" w:rsidP="00AC4C8F">
            <w:pPr>
              <w:pStyle w:val="PlainText"/>
              <w:spacing w:before="60"/>
              <w:rPr>
                <w:rFonts w:asciiTheme="majorBidi" w:hAnsiTheme="majorBidi" w:cstheme="majorBidi"/>
              </w:rPr>
            </w:pPr>
            <w:r>
              <w:rPr>
                <w:rFonts w:asciiTheme="majorBidi" w:hAnsiTheme="majorBidi" w:cstheme="majorBidi"/>
              </w:rPr>
              <w:t>Headcount poverty rate</w:t>
            </w:r>
          </w:p>
        </w:tc>
        <w:tc>
          <w:tcPr>
            <w:tcW w:w="1103" w:type="dxa"/>
            <w:tcBorders>
              <w:top w:val="nil"/>
              <w:left w:val="nil"/>
              <w:bottom w:val="nil"/>
              <w:right w:val="nil"/>
            </w:tcBorders>
          </w:tcPr>
          <w:p w14:paraId="5C288D9A"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1ACD4535"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-0.068</w:t>
            </w:r>
          </w:p>
        </w:tc>
        <w:tc>
          <w:tcPr>
            <w:tcW w:w="1103" w:type="dxa"/>
            <w:tcBorders>
              <w:top w:val="nil"/>
              <w:left w:val="nil"/>
              <w:bottom w:val="nil"/>
              <w:right w:val="nil"/>
            </w:tcBorders>
          </w:tcPr>
          <w:p w14:paraId="4FE4CA2F" w14:textId="77777777" w:rsidR="00582692" w:rsidRPr="00D079CB" w:rsidRDefault="00582692" w:rsidP="00AC4C8F">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172D554D"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412E37D9" w14:textId="77777777" w:rsidR="00582692" w:rsidRPr="00D079CB" w:rsidRDefault="00582692" w:rsidP="00AC4C8F">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2521679C"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0.013</w:t>
            </w:r>
          </w:p>
        </w:tc>
      </w:tr>
      <w:tr w:rsidR="00582692" w:rsidRPr="00D079CB" w14:paraId="185F8554" w14:textId="77777777" w:rsidTr="00AC4C8F">
        <w:tc>
          <w:tcPr>
            <w:tcW w:w="2412" w:type="dxa"/>
            <w:tcBorders>
              <w:top w:val="nil"/>
              <w:left w:val="nil"/>
              <w:bottom w:val="nil"/>
              <w:right w:val="nil"/>
            </w:tcBorders>
          </w:tcPr>
          <w:p w14:paraId="7EB4E095" w14:textId="77777777" w:rsidR="00582692" w:rsidRPr="00D079CB" w:rsidRDefault="00582692" w:rsidP="00AC4C8F">
            <w:pPr>
              <w:pStyle w:val="PlainText"/>
              <w:rPr>
                <w:rFonts w:asciiTheme="majorBidi" w:hAnsiTheme="majorBidi" w:cstheme="majorBidi"/>
              </w:rPr>
            </w:pPr>
          </w:p>
        </w:tc>
        <w:tc>
          <w:tcPr>
            <w:tcW w:w="1103" w:type="dxa"/>
            <w:tcBorders>
              <w:top w:val="nil"/>
              <w:left w:val="nil"/>
              <w:bottom w:val="nil"/>
              <w:right w:val="nil"/>
            </w:tcBorders>
          </w:tcPr>
          <w:p w14:paraId="7C18A1AC"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57FF32C0"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(4.06)**</w:t>
            </w:r>
          </w:p>
        </w:tc>
        <w:tc>
          <w:tcPr>
            <w:tcW w:w="1103" w:type="dxa"/>
            <w:tcBorders>
              <w:top w:val="nil"/>
              <w:left w:val="nil"/>
              <w:bottom w:val="nil"/>
              <w:right w:val="nil"/>
            </w:tcBorders>
          </w:tcPr>
          <w:p w14:paraId="744AE5E9" w14:textId="77777777" w:rsidR="00582692" w:rsidRPr="00D079CB" w:rsidRDefault="00582692" w:rsidP="00AC4C8F">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786306A4"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0A02AA1B" w14:textId="77777777" w:rsidR="00582692" w:rsidRPr="00D079CB" w:rsidRDefault="00582692" w:rsidP="00AC4C8F">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23449046"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(0.65)</w:t>
            </w:r>
          </w:p>
        </w:tc>
      </w:tr>
      <w:tr w:rsidR="00582692" w:rsidRPr="00D079CB" w14:paraId="5CEF8C67" w14:textId="77777777" w:rsidTr="00AC4C8F">
        <w:tc>
          <w:tcPr>
            <w:tcW w:w="2412" w:type="dxa"/>
            <w:tcBorders>
              <w:top w:val="nil"/>
              <w:left w:val="nil"/>
              <w:bottom w:val="nil"/>
              <w:right w:val="nil"/>
            </w:tcBorders>
          </w:tcPr>
          <w:p w14:paraId="238AAE53" w14:textId="77777777" w:rsidR="00582692" w:rsidRPr="00D079CB" w:rsidRDefault="00582692" w:rsidP="00AC4C8F">
            <w:pPr>
              <w:pStyle w:val="PlainText"/>
              <w:spacing w:before="60"/>
              <w:rPr>
                <w:rFonts w:asciiTheme="majorBidi" w:hAnsiTheme="majorBidi" w:cstheme="majorBidi"/>
              </w:rPr>
            </w:pPr>
            <w:r>
              <w:rPr>
                <w:rFonts w:asciiTheme="majorBidi" w:hAnsiTheme="majorBidi" w:cstheme="majorBidi"/>
              </w:rPr>
              <w:t>ln population</w:t>
            </w:r>
          </w:p>
        </w:tc>
        <w:tc>
          <w:tcPr>
            <w:tcW w:w="1103" w:type="dxa"/>
            <w:tcBorders>
              <w:top w:val="nil"/>
              <w:left w:val="nil"/>
              <w:bottom w:val="nil"/>
              <w:right w:val="nil"/>
            </w:tcBorders>
          </w:tcPr>
          <w:p w14:paraId="1A4E7295"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4E8E7C18"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4B3B86E0"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0.005</w:t>
            </w:r>
          </w:p>
        </w:tc>
        <w:tc>
          <w:tcPr>
            <w:tcW w:w="1096" w:type="dxa"/>
            <w:tcBorders>
              <w:top w:val="nil"/>
              <w:left w:val="nil"/>
              <w:bottom w:val="nil"/>
              <w:right w:val="nil"/>
            </w:tcBorders>
          </w:tcPr>
          <w:p w14:paraId="45B21744"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5C336803" w14:textId="77777777" w:rsidR="00582692" w:rsidRPr="00D079CB" w:rsidRDefault="00582692" w:rsidP="00AC4C8F">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3B2A32E7"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0.008</w:t>
            </w:r>
          </w:p>
        </w:tc>
      </w:tr>
      <w:tr w:rsidR="00582692" w:rsidRPr="00D079CB" w14:paraId="32E5125E" w14:textId="77777777" w:rsidTr="00AC4C8F">
        <w:tc>
          <w:tcPr>
            <w:tcW w:w="2412" w:type="dxa"/>
            <w:tcBorders>
              <w:top w:val="nil"/>
              <w:left w:val="nil"/>
              <w:bottom w:val="nil"/>
              <w:right w:val="nil"/>
            </w:tcBorders>
          </w:tcPr>
          <w:p w14:paraId="6CEA2601" w14:textId="77777777" w:rsidR="00582692" w:rsidRPr="00D079CB" w:rsidRDefault="00582692" w:rsidP="00AC4C8F">
            <w:pPr>
              <w:pStyle w:val="PlainText"/>
              <w:rPr>
                <w:rFonts w:asciiTheme="majorBidi" w:hAnsiTheme="majorBidi" w:cstheme="majorBidi"/>
              </w:rPr>
            </w:pPr>
          </w:p>
        </w:tc>
        <w:tc>
          <w:tcPr>
            <w:tcW w:w="1103" w:type="dxa"/>
            <w:tcBorders>
              <w:top w:val="nil"/>
              <w:left w:val="nil"/>
              <w:bottom w:val="nil"/>
              <w:right w:val="nil"/>
            </w:tcBorders>
          </w:tcPr>
          <w:p w14:paraId="6DC0E55A"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1C2BAA9A"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523CA7FE"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(1.53)</w:t>
            </w:r>
          </w:p>
        </w:tc>
        <w:tc>
          <w:tcPr>
            <w:tcW w:w="1096" w:type="dxa"/>
            <w:tcBorders>
              <w:top w:val="nil"/>
              <w:left w:val="nil"/>
              <w:bottom w:val="nil"/>
              <w:right w:val="nil"/>
            </w:tcBorders>
          </w:tcPr>
          <w:p w14:paraId="7C059123"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7C9DF20F" w14:textId="77777777" w:rsidR="00582692" w:rsidRPr="00D079CB" w:rsidRDefault="00582692" w:rsidP="00AC4C8F">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525C1D83"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(2.97)**</w:t>
            </w:r>
          </w:p>
        </w:tc>
      </w:tr>
      <w:tr w:rsidR="00582692" w:rsidRPr="00D079CB" w14:paraId="3ED8A434" w14:textId="77777777" w:rsidTr="00AC4C8F">
        <w:tc>
          <w:tcPr>
            <w:tcW w:w="2412" w:type="dxa"/>
            <w:tcBorders>
              <w:top w:val="nil"/>
              <w:left w:val="nil"/>
              <w:bottom w:val="nil"/>
              <w:right w:val="nil"/>
            </w:tcBorders>
          </w:tcPr>
          <w:p w14:paraId="18FE6995" w14:textId="77777777" w:rsidR="00582692" w:rsidRPr="00D079CB" w:rsidRDefault="00582692" w:rsidP="00AC4C8F">
            <w:pPr>
              <w:pStyle w:val="PlainText"/>
              <w:spacing w:before="60"/>
              <w:rPr>
                <w:rFonts w:asciiTheme="majorBidi" w:hAnsiTheme="majorBidi" w:cstheme="majorBidi"/>
              </w:rPr>
            </w:pPr>
            <w:r>
              <w:rPr>
                <w:rFonts w:asciiTheme="majorBidi" w:hAnsiTheme="majorBidi" w:cstheme="majorBidi"/>
              </w:rPr>
              <w:t>ln per capita consumption</w:t>
            </w:r>
          </w:p>
        </w:tc>
        <w:tc>
          <w:tcPr>
            <w:tcW w:w="1103" w:type="dxa"/>
            <w:tcBorders>
              <w:top w:val="nil"/>
              <w:left w:val="nil"/>
              <w:bottom w:val="nil"/>
              <w:right w:val="nil"/>
            </w:tcBorders>
          </w:tcPr>
          <w:p w14:paraId="73252CE7"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74388776"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37B1A923" w14:textId="77777777" w:rsidR="00582692" w:rsidRPr="00D079CB" w:rsidRDefault="00582692" w:rsidP="00AC4C8F">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35B27384"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0.052</w:t>
            </w:r>
          </w:p>
        </w:tc>
        <w:tc>
          <w:tcPr>
            <w:tcW w:w="1103" w:type="dxa"/>
            <w:tcBorders>
              <w:top w:val="nil"/>
              <w:left w:val="nil"/>
              <w:bottom w:val="nil"/>
              <w:right w:val="nil"/>
            </w:tcBorders>
          </w:tcPr>
          <w:p w14:paraId="1A065397" w14:textId="77777777" w:rsidR="00582692" w:rsidRPr="00D079CB" w:rsidRDefault="00582692" w:rsidP="00AC4C8F">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7FC18A03"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-0.000</w:t>
            </w:r>
          </w:p>
        </w:tc>
      </w:tr>
      <w:tr w:rsidR="00582692" w:rsidRPr="00D079CB" w14:paraId="1E81925D" w14:textId="77777777" w:rsidTr="00AC4C8F">
        <w:tc>
          <w:tcPr>
            <w:tcW w:w="2412" w:type="dxa"/>
            <w:tcBorders>
              <w:top w:val="nil"/>
              <w:left w:val="nil"/>
              <w:bottom w:val="nil"/>
              <w:right w:val="nil"/>
            </w:tcBorders>
          </w:tcPr>
          <w:p w14:paraId="1820362F" w14:textId="77777777" w:rsidR="00582692" w:rsidRPr="00D079CB" w:rsidRDefault="00582692" w:rsidP="00AC4C8F">
            <w:pPr>
              <w:pStyle w:val="PlainText"/>
              <w:rPr>
                <w:rFonts w:asciiTheme="majorBidi" w:hAnsiTheme="majorBidi" w:cstheme="majorBidi"/>
              </w:rPr>
            </w:pPr>
          </w:p>
        </w:tc>
        <w:tc>
          <w:tcPr>
            <w:tcW w:w="1103" w:type="dxa"/>
            <w:tcBorders>
              <w:top w:val="nil"/>
              <w:left w:val="nil"/>
              <w:bottom w:val="nil"/>
              <w:right w:val="nil"/>
            </w:tcBorders>
          </w:tcPr>
          <w:p w14:paraId="26CB7401"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662E166A"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111EC85D" w14:textId="77777777" w:rsidR="00582692" w:rsidRPr="00D079CB" w:rsidRDefault="00582692" w:rsidP="00AC4C8F">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64F941D1"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(8.29)**</w:t>
            </w:r>
          </w:p>
        </w:tc>
        <w:tc>
          <w:tcPr>
            <w:tcW w:w="1103" w:type="dxa"/>
            <w:tcBorders>
              <w:top w:val="nil"/>
              <w:left w:val="nil"/>
              <w:bottom w:val="nil"/>
              <w:right w:val="nil"/>
            </w:tcBorders>
          </w:tcPr>
          <w:p w14:paraId="495EEB4E" w14:textId="77777777" w:rsidR="00582692" w:rsidRPr="00D079CB" w:rsidRDefault="00582692" w:rsidP="00AC4C8F">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5975FD41"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(0.04)</w:t>
            </w:r>
          </w:p>
        </w:tc>
      </w:tr>
      <w:tr w:rsidR="00582692" w:rsidRPr="00D079CB" w14:paraId="4D208885" w14:textId="77777777" w:rsidTr="00AC4C8F">
        <w:tc>
          <w:tcPr>
            <w:tcW w:w="2412" w:type="dxa"/>
            <w:tcBorders>
              <w:top w:val="nil"/>
              <w:left w:val="nil"/>
              <w:bottom w:val="nil"/>
              <w:right w:val="nil"/>
            </w:tcBorders>
          </w:tcPr>
          <w:p w14:paraId="6BD8B4E7" w14:textId="77777777" w:rsidR="00582692" w:rsidRPr="00D079CB" w:rsidRDefault="00582692" w:rsidP="00AC4C8F">
            <w:pPr>
              <w:pStyle w:val="PlainText"/>
              <w:spacing w:before="60"/>
              <w:rPr>
                <w:rFonts w:asciiTheme="majorBidi" w:hAnsiTheme="majorBidi" w:cstheme="majorBidi"/>
              </w:rPr>
            </w:pPr>
            <w:r>
              <w:rPr>
                <w:rFonts w:asciiTheme="majorBidi" w:hAnsiTheme="majorBidi" w:cstheme="majorBidi"/>
              </w:rPr>
              <w:t>ln baseline forested area</w:t>
            </w:r>
          </w:p>
        </w:tc>
        <w:tc>
          <w:tcPr>
            <w:tcW w:w="1103" w:type="dxa"/>
            <w:tcBorders>
              <w:top w:val="nil"/>
              <w:left w:val="nil"/>
              <w:bottom w:val="nil"/>
              <w:right w:val="nil"/>
            </w:tcBorders>
          </w:tcPr>
          <w:p w14:paraId="73A0E7D1"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7EEA3E53"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7B65EAAA" w14:textId="77777777" w:rsidR="00582692" w:rsidRPr="00D079CB" w:rsidRDefault="00582692" w:rsidP="00AC4C8F">
            <w:pPr>
              <w:pStyle w:val="PlainText"/>
              <w:tabs>
                <w:tab w:val="decimal" w:pos="340"/>
              </w:tabs>
              <w:spacing w:before="60"/>
              <w:rPr>
                <w:rFonts w:asciiTheme="majorBidi" w:hAnsiTheme="majorBidi" w:cstheme="majorBidi"/>
              </w:rPr>
            </w:pPr>
          </w:p>
        </w:tc>
        <w:tc>
          <w:tcPr>
            <w:tcW w:w="1096" w:type="dxa"/>
            <w:tcBorders>
              <w:top w:val="nil"/>
              <w:left w:val="nil"/>
              <w:bottom w:val="nil"/>
              <w:right w:val="nil"/>
            </w:tcBorders>
          </w:tcPr>
          <w:p w14:paraId="0FE866FC" w14:textId="77777777" w:rsidR="00582692" w:rsidRPr="00D079CB" w:rsidRDefault="00582692" w:rsidP="00AC4C8F">
            <w:pPr>
              <w:pStyle w:val="PlainText"/>
              <w:tabs>
                <w:tab w:val="decimal" w:pos="340"/>
              </w:tabs>
              <w:spacing w:before="60"/>
              <w:rPr>
                <w:rFonts w:asciiTheme="majorBidi" w:hAnsiTheme="majorBidi" w:cstheme="majorBidi"/>
              </w:rPr>
            </w:pPr>
          </w:p>
        </w:tc>
        <w:tc>
          <w:tcPr>
            <w:tcW w:w="1103" w:type="dxa"/>
            <w:tcBorders>
              <w:top w:val="nil"/>
              <w:left w:val="nil"/>
              <w:bottom w:val="nil"/>
              <w:right w:val="nil"/>
            </w:tcBorders>
          </w:tcPr>
          <w:p w14:paraId="61C38253"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0.001</w:t>
            </w:r>
          </w:p>
        </w:tc>
        <w:tc>
          <w:tcPr>
            <w:tcW w:w="1096" w:type="dxa"/>
            <w:tcBorders>
              <w:top w:val="nil"/>
              <w:left w:val="nil"/>
              <w:bottom w:val="nil"/>
              <w:right w:val="nil"/>
            </w:tcBorders>
          </w:tcPr>
          <w:p w14:paraId="246B8D82"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0.058</w:t>
            </w:r>
          </w:p>
        </w:tc>
      </w:tr>
      <w:tr w:rsidR="00582692" w:rsidRPr="00D079CB" w14:paraId="17D74B0F" w14:textId="77777777" w:rsidTr="00AC4C8F">
        <w:tc>
          <w:tcPr>
            <w:tcW w:w="2412" w:type="dxa"/>
            <w:tcBorders>
              <w:top w:val="nil"/>
              <w:left w:val="nil"/>
              <w:bottom w:val="nil"/>
              <w:right w:val="nil"/>
            </w:tcBorders>
          </w:tcPr>
          <w:p w14:paraId="74223D6A" w14:textId="77777777" w:rsidR="00582692" w:rsidRPr="00D079CB" w:rsidRDefault="00582692" w:rsidP="00AC4C8F">
            <w:pPr>
              <w:pStyle w:val="PlainText"/>
              <w:rPr>
                <w:rFonts w:asciiTheme="majorBidi" w:hAnsiTheme="majorBidi" w:cstheme="majorBidi"/>
              </w:rPr>
            </w:pPr>
          </w:p>
        </w:tc>
        <w:tc>
          <w:tcPr>
            <w:tcW w:w="1103" w:type="dxa"/>
            <w:tcBorders>
              <w:top w:val="nil"/>
              <w:left w:val="nil"/>
              <w:bottom w:val="nil"/>
              <w:right w:val="nil"/>
            </w:tcBorders>
          </w:tcPr>
          <w:p w14:paraId="609B0950"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36C11B01"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2935C025" w14:textId="77777777" w:rsidR="00582692" w:rsidRPr="00D079CB" w:rsidRDefault="00582692" w:rsidP="00AC4C8F">
            <w:pPr>
              <w:pStyle w:val="PlainText"/>
              <w:tabs>
                <w:tab w:val="decimal" w:pos="340"/>
              </w:tabs>
              <w:rPr>
                <w:rFonts w:asciiTheme="majorBidi" w:hAnsiTheme="majorBidi" w:cstheme="majorBidi"/>
              </w:rPr>
            </w:pPr>
          </w:p>
        </w:tc>
        <w:tc>
          <w:tcPr>
            <w:tcW w:w="1096" w:type="dxa"/>
            <w:tcBorders>
              <w:top w:val="nil"/>
              <w:left w:val="nil"/>
              <w:bottom w:val="nil"/>
              <w:right w:val="nil"/>
            </w:tcBorders>
          </w:tcPr>
          <w:p w14:paraId="0E19098F" w14:textId="77777777" w:rsidR="00582692" w:rsidRPr="00D079CB" w:rsidRDefault="00582692" w:rsidP="00AC4C8F">
            <w:pPr>
              <w:pStyle w:val="PlainText"/>
              <w:tabs>
                <w:tab w:val="decimal" w:pos="340"/>
              </w:tabs>
              <w:rPr>
                <w:rFonts w:asciiTheme="majorBidi" w:hAnsiTheme="majorBidi" w:cstheme="majorBidi"/>
              </w:rPr>
            </w:pPr>
          </w:p>
        </w:tc>
        <w:tc>
          <w:tcPr>
            <w:tcW w:w="1103" w:type="dxa"/>
            <w:tcBorders>
              <w:top w:val="nil"/>
              <w:left w:val="nil"/>
              <w:bottom w:val="nil"/>
              <w:right w:val="nil"/>
            </w:tcBorders>
          </w:tcPr>
          <w:p w14:paraId="71907CAD"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(0.52)</w:t>
            </w:r>
          </w:p>
        </w:tc>
        <w:tc>
          <w:tcPr>
            <w:tcW w:w="1096" w:type="dxa"/>
            <w:tcBorders>
              <w:top w:val="nil"/>
              <w:left w:val="nil"/>
              <w:bottom w:val="nil"/>
              <w:right w:val="nil"/>
            </w:tcBorders>
          </w:tcPr>
          <w:p w14:paraId="4F0BEEDC"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(7.05)**</w:t>
            </w:r>
          </w:p>
        </w:tc>
      </w:tr>
      <w:tr w:rsidR="00582692" w:rsidRPr="00D079CB" w14:paraId="50BDED2A" w14:textId="77777777" w:rsidTr="00AC4C8F">
        <w:tc>
          <w:tcPr>
            <w:tcW w:w="2412" w:type="dxa"/>
            <w:tcBorders>
              <w:top w:val="nil"/>
              <w:left w:val="nil"/>
              <w:bottom w:val="nil"/>
              <w:right w:val="nil"/>
            </w:tcBorders>
          </w:tcPr>
          <w:p w14:paraId="39674FD2" w14:textId="77777777" w:rsidR="00582692" w:rsidRPr="00D079CB" w:rsidRDefault="00582692" w:rsidP="00AC4C8F">
            <w:pPr>
              <w:pStyle w:val="PlainText"/>
              <w:spacing w:before="60"/>
              <w:rPr>
                <w:rFonts w:asciiTheme="majorBidi" w:hAnsiTheme="majorBidi" w:cstheme="majorBidi"/>
              </w:rPr>
            </w:pPr>
            <w:r w:rsidRPr="00D079CB">
              <w:rPr>
                <w:rFonts w:asciiTheme="majorBidi" w:hAnsiTheme="majorBidi" w:cstheme="majorBidi"/>
              </w:rPr>
              <w:t>Constant</w:t>
            </w:r>
          </w:p>
        </w:tc>
        <w:tc>
          <w:tcPr>
            <w:tcW w:w="1103" w:type="dxa"/>
            <w:tcBorders>
              <w:top w:val="nil"/>
              <w:left w:val="nil"/>
              <w:bottom w:val="nil"/>
              <w:right w:val="nil"/>
            </w:tcBorders>
          </w:tcPr>
          <w:p w14:paraId="4B6E0F2B"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0.293</w:t>
            </w:r>
          </w:p>
        </w:tc>
        <w:tc>
          <w:tcPr>
            <w:tcW w:w="1103" w:type="dxa"/>
            <w:tcBorders>
              <w:top w:val="nil"/>
              <w:left w:val="nil"/>
              <w:bottom w:val="nil"/>
              <w:right w:val="nil"/>
            </w:tcBorders>
          </w:tcPr>
          <w:p w14:paraId="5848C354"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0.304</w:t>
            </w:r>
          </w:p>
        </w:tc>
        <w:tc>
          <w:tcPr>
            <w:tcW w:w="1103" w:type="dxa"/>
            <w:tcBorders>
              <w:top w:val="nil"/>
              <w:left w:val="nil"/>
              <w:bottom w:val="nil"/>
              <w:right w:val="nil"/>
            </w:tcBorders>
          </w:tcPr>
          <w:p w14:paraId="7A7A5E21"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0.261</w:t>
            </w:r>
          </w:p>
        </w:tc>
        <w:tc>
          <w:tcPr>
            <w:tcW w:w="1096" w:type="dxa"/>
            <w:tcBorders>
              <w:top w:val="nil"/>
              <w:left w:val="nil"/>
              <w:bottom w:val="nil"/>
              <w:right w:val="nil"/>
            </w:tcBorders>
          </w:tcPr>
          <w:p w14:paraId="437A186A"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-0.181</w:t>
            </w:r>
          </w:p>
        </w:tc>
        <w:tc>
          <w:tcPr>
            <w:tcW w:w="1103" w:type="dxa"/>
            <w:tcBorders>
              <w:top w:val="nil"/>
              <w:left w:val="nil"/>
              <w:bottom w:val="nil"/>
              <w:right w:val="nil"/>
            </w:tcBorders>
          </w:tcPr>
          <w:p w14:paraId="3E078116"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0.285</w:t>
            </w:r>
          </w:p>
        </w:tc>
        <w:tc>
          <w:tcPr>
            <w:tcW w:w="1096" w:type="dxa"/>
            <w:tcBorders>
              <w:top w:val="nil"/>
              <w:left w:val="nil"/>
              <w:bottom w:val="nil"/>
              <w:right w:val="nil"/>
            </w:tcBorders>
          </w:tcPr>
          <w:p w14:paraId="40EFF605" w14:textId="77777777" w:rsidR="00582692" w:rsidRPr="00D079CB" w:rsidRDefault="00582692" w:rsidP="00AC4C8F">
            <w:pPr>
              <w:pStyle w:val="PlainText"/>
              <w:tabs>
                <w:tab w:val="decimal" w:pos="340"/>
              </w:tabs>
              <w:spacing w:before="60"/>
              <w:rPr>
                <w:rFonts w:asciiTheme="majorBidi" w:hAnsiTheme="majorBidi" w:cstheme="majorBidi"/>
              </w:rPr>
            </w:pPr>
            <w:r w:rsidRPr="0058087F">
              <w:rPr>
                <w:rFonts w:asciiTheme="majorBidi" w:hAnsiTheme="majorBidi" w:cstheme="majorBidi"/>
              </w:rPr>
              <w:t>-0.295</w:t>
            </w:r>
          </w:p>
        </w:tc>
      </w:tr>
      <w:tr w:rsidR="00582692" w:rsidRPr="00D079CB" w14:paraId="1D139963" w14:textId="77777777" w:rsidTr="00AC4C8F">
        <w:tc>
          <w:tcPr>
            <w:tcW w:w="2412" w:type="dxa"/>
            <w:tcBorders>
              <w:top w:val="nil"/>
              <w:left w:val="nil"/>
              <w:bottom w:val="nil"/>
              <w:right w:val="nil"/>
            </w:tcBorders>
          </w:tcPr>
          <w:p w14:paraId="21404BD0" w14:textId="77777777" w:rsidR="00582692" w:rsidRPr="00D079CB" w:rsidRDefault="00582692" w:rsidP="00AC4C8F">
            <w:pPr>
              <w:pStyle w:val="PlainText"/>
              <w:rPr>
                <w:rFonts w:asciiTheme="majorBidi" w:hAnsiTheme="majorBidi" w:cstheme="majorBidi"/>
              </w:rPr>
            </w:pPr>
          </w:p>
        </w:tc>
        <w:tc>
          <w:tcPr>
            <w:tcW w:w="1103" w:type="dxa"/>
            <w:tcBorders>
              <w:top w:val="nil"/>
              <w:left w:val="nil"/>
              <w:bottom w:val="nil"/>
              <w:right w:val="nil"/>
            </w:tcBorders>
          </w:tcPr>
          <w:p w14:paraId="3AA91F16"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(96.05)**</w:t>
            </w:r>
          </w:p>
        </w:tc>
        <w:tc>
          <w:tcPr>
            <w:tcW w:w="1103" w:type="dxa"/>
            <w:tcBorders>
              <w:top w:val="nil"/>
              <w:left w:val="nil"/>
              <w:bottom w:val="nil"/>
              <w:right w:val="nil"/>
            </w:tcBorders>
          </w:tcPr>
          <w:p w14:paraId="051A757F"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(79.27)**</w:t>
            </w:r>
          </w:p>
        </w:tc>
        <w:tc>
          <w:tcPr>
            <w:tcW w:w="1103" w:type="dxa"/>
            <w:tcBorders>
              <w:top w:val="nil"/>
              <w:left w:val="nil"/>
              <w:bottom w:val="nil"/>
              <w:right w:val="nil"/>
            </w:tcBorders>
          </w:tcPr>
          <w:p w14:paraId="631A4F31"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(11.73)**</w:t>
            </w:r>
          </w:p>
        </w:tc>
        <w:tc>
          <w:tcPr>
            <w:tcW w:w="1096" w:type="dxa"/>
            <w:tcBorders>
              <w:top w:val="nil"/>
              <w:left w:val="nil"/>
              <w:bottom w:val="nil"/>
              <w:right w:val="nil"/>
            </w:tcBorders>
          </w:tcPr>
          <w:p w14:paraId="035D04A3"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(3.17)**</w:t>
            </w:r>
          </w:p>
        </w:tc>
        <w:tc>
          <w:tcPr>
            <w:tcW w:w="1103" w:type="dxa"/>
            <w:tcBorders>
              <w:top w:val="nil"/>
              <w:left w:val="nil"/>
              <w:bottom w:val="nil"/>
              <w:right w:val="nil"/>
            </w:tcBorders>
          </w:tcPr>
          <w:p w14:paraId="2287A208"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(16.25)**</w:t>
            </w:r>
          </w:p>
        </w:tc>
        <w:tc>
          <w:tcPr>
            <w:tcW w:w="1096" w:type="dxa"/>
            <w:tcBorders>
              <w:top w:val="nil"/>
              <w:left w:val="nil"/>
              <w:bottom w:val="nil"/>
              <w:right w:val="nil"/>
            </w:tcBorders>
          </w:tcPr>
          <w:p w14:paraId="485FC4F4" w14:textId="77777777" w:rsidR="00582692" w:rsidRPr="00D079CB" w:rsidRDefault="00582692" w:rsidP="00AC4C8F">
            <w:pPr>
              <w:pStyle w:val="PlainText"/>
              <w:tabs>
                <w:tab w:val="decimal" w:pos="340"/>
              </w:tabs>
              <w:rPr>
                <w:rFonts w:asciiTheme="majorBidi" w:hAnsiTheme="majorBidi" w:cstheme="majorBidi"/>
              </w:rPr>
            </w:pPr>
            <w:r w:rsidRPr="0058087F">
              <w:rPr>
                <w:rFonts w:asciiTheme="majorBidi" w:hAnsiTheme="majorBidi" w:cstheme="majorBidi"/>
              </w:rPr>
              <w:t>(3.64)**</w:t>
            </w:r>
          </w:p>
        </w:tc>
      </w:tr>
      <w:tr w:rsidR="00582692" w:rsidRPr="0054461C" w14:paraId="436B5475" w14:textId="77777777" w:rsidTr="00AC4C8F">
        <w:tc>
          <w:tcPr>
            <w:tcW w:w="2412" w:type="dxa"/>
            <w:tcBorders>
              <w:top w:val="nil"/>
              <w:left w:val="nil"/>
              <w:bottom w:val="nil"/>
              <w:right w:val="nil"/>
            </w:tcBorders>
          </w:tcPr>
          <w:p w14:paraId="13F02F27" w14:textId="77777777" w:rsidR="00582692" w:rsidRPr="00D079CB" w:rsidRDefault="00582692" w:rsidP="00AC4C8F">
            <w:pPr>
              <w:pStyle w:val="PlainText"/>
              <w:spacing w:before="60"/>
              <w:rPr>
                <w:rFonts w:asciiTheme="majorBidi" w:hAnsiTheme="majorBidi" w:cstheme="majorBidi"/>
              </w:rPr>
            </w:pPr>
            <w:r>
              <w:rPr>
                <w:rFonts w:asciiTheme="majorBidi" w:hAnsiTheme="majorBidi" w:cstheme="majorBidi"/>
              </w:rPr>
              <w:t>Spatial error (rho)</w:t>
            </w:r>
          </w:p>
        </w:tc>
        <w:tc>
          <w:tcPr>
            <w:tcW w:w="1103" w:type="dxa"/>
            <w:tcBorders>
              <w:top w:val="nil"/>
              <w:left w:val="nil"/>
              <w:bottom w:val="nil"/>
              <w:right w:val="nil"/>
            </w:tcBorders>
          </w:tcPr>
          <w:p w14:paraId="004DA9E3" w14:textId="77777777" w:rsidR="00582692" w:rsidRPr="0054461C" w:rsidRDefault="00582692" w:rsidP="00AC4C8F">
            <w:pPr>
              <w:pStyle w:val="PlainText"/>
              <w:tabs>
                <w:tab w:val="decimal" w:pos="340"/>
              </w:tabs>
              <w:spacing w:before="60"/>
              <w:rPr>
                <w:rFonts w:asciiTheme="majorBidi" w:hAnsiTheme="majorBidi" w:cstheme="majorBidi"/>
              </w:rPr>
            </w:pPr>
            <w:r>
              <w:rPr>
                <w:rFonts w:asciiTheme="majorBidi" w:hAnsiTheme="majorBidi" w:cstheme="majorBidi"/>
              </w:rPr>
              <w:t>0.195</w:t>
            </w:r>
          </w:p>
        </w:tc>
        <w:tc>
          <w:tcPr>
            <w:tcW w:w="1103" w:type="dxa"/>
            <w:tcBorders>
              <w:top w:val="nil"/>
              <w:left w:val="nil"/>
              <w:bottom w:val="nil"/>
              <w:right w:val="nil"/>
            </w:tcBorders>
          </w:tcPr>
          <w:p w14:paraId="3E7B1E37" w14:textId="77777777" w:rsidR="00582692" w:rsidRPr="0054461C" w:rsidRDefault="00582692" w:rsidP="00AC4C8F">
            <w:pPr>
              <w:pStyle w:val="PlainText"/>
              <w:tabs>
                <w:tab w:val="decimal" w:pos="340"/>
              </w:tabs>
              <w:spacing w:before="60"/>
              <w:rPr>
                <w:rFonts w:asciiTheme="majorBidi" w:hAnsiTheme="majorBidi" w:cstheme="majorBidi"/>
              </w:rPr>
            </w:pPr>
            <w:r>
              <w:rPr>
                <w:rFonts w:asciiTheme="majorBidi" w:hAnsiTheme="majorBidi" w:cstheme="majorBidi"/>
              </w:rPr>
              <w:t>0.119</w:t>
            </w:r>
          </w:p>
        </w:tc>
        <w:tc>
          <w:tcPr>
            <w:tcW w:w="1103" w:type="dxa"/>
            <w:tcBorders>
              <w:top w:val="nil"/>
              <w:left w:val="nil"/>
              <w:bottom w:val="nil"/>
              <w:right w:val="nil"/>
            </w:tcBorders>
          </w:tcPr>
          <w:p w14:paraId="1442F907" w14:textId="77777777" w:rsidR="00582692" w:rsidRPr="0054461C" w:rsidRDefault="00582692" w:rsidP="00AC4C8F">
            <w:pPr>
              <w:pStyle w:val="PlainText"/>
              <w:tabs>
                <w:tab w:val="decimal" w:pos="340"/>
              </w:tabs>
              <w:spacing w:before="60"/>
              <w:rPr>
                <w:rFonts w:asciiTheme="majorBidi" w:hAnsiTheme="majorBidi" w:cstheme="majorBidi"/>
              </w:rPr>
            </w:pPr>
            <w:r>
              <w:rPr>
                <w:rFonts w:asciiTheme="majorBidi" w:hAnsiTheme="majorBidi" w:cstheme="majorBidi"/>
              </w:rPr>
              <w:t>0.269</w:t>
            </w:r>
          </w:p>
        </w:tc>
        <w:tc>
          <w:tcPr>
            <w:tcW w:w="1096" w:type="dxa"/>
            <w:tcBorders>
              <w:top w:val="nil"/>
              <w:left w:val="nil"/>
              <w:bottom w:val="nil"/>
              <w:right w:val="nil"/>
            </w:tcBorders>
          </w:tcPr>
          <w:p w14:paraId="6858499F" w14:textId="77777777" w:rsidR="00582692" w:rsidRPr="0054461C" w:rsidRDefault="00582692" w:rsidP="00AC4C8F">
            <w:pPr>
              <w:pStyle w:val="PlainText"/>
              <w:tabs>
                <w:tab w:val="decimal" w:pos="340"/>
              </w:tabs>
              <w:spacing w:before="60"/>
              <w:rPr>
                <w:rFonts w:asciiTheme="majorBidi" w:hAnsiTheme="majorBidi" w:cstheme="majorBidi"/>
              </w:rPr>
            </w:pPr>
            <w:r>
              <w:rPr>
                <w:rFonts w:asciiTheme="majorBidi" w:hAnsiTheme="majorBidi" w:cstheme="majorBidi"/>
              </w:rPr>
              <w:t>0.050</w:t>
            </w:r>
          </w:p>
        </w:tc>
        <w:tc>
          <w:tcPr>
            <w:tcW w:w="1103" w:type="dxa"/>
            <w:tcBorders>
              <w:top w:val="nil"/>
              <w:left w:val="nil"/>
              <w:bottom w:val="nil"/>
              <w:right w:val="nil"/>
            </w:tcBorders>
          </w:tcPr>
          <w:p w14:paraId="1E0D4EED" w14:textId="77777777" w:rsidR="00582692" w:rsidRPr="0054461C" w:rsidRDefault="00582692" w:rsidP="00AC4C8F">
            <w:pPr>
              <w:pStyle w:val="PlainText"/>
              <w:tabs>
                <w:tab w:val="decimal" w:pos="340"/>
              </w:tabs>
              <w:spacing w:before="60"/>
              <w:rPr>
                <w:rFonts w:asciiTheme="majorBidi" w:hAnsiTheme="majorBidi" w:cstheme="majorBidi"/>
              </w:rPr>
            </w:pPr>
            <w:r>
              <w:rPr>
                <w:rFonts w:asciiTheme="majorBidi" w:hAnsiTheme="majorBidi" w:cstheme="majorBidi"/>
              </w:rPr>
              <w:t>0.207</w:t>
            </w:r>
          </w:p>
        </w:tc>
        <w:tc>
          <w:tcPr>
            <w:tcW w:w="1096" w:type="dxa"/>
            <w:tcBorders>
              <w:top w:val="nil"/>
              <w:left w:val="nil"/>
              <w:bottom w:val="nil"/>
              <w:right w:val="nil"/>
            </w:tcBorders>
          </w:tcPr>
          <w:p w14:paraId="7F999EBA" w14:textId="77777777" w:rsidR="00582692" w:rsidRPr="0054461C" w:rsidRDefault="00582692" w:rsidP="00AC4C8F">
            <w:pPr>
              <w:pStyle w:val="PlainText"/>
              <w:tabs>
                <w:tab w:val="decimal" w:pos="340"/>
              </w:tabs>
              <w:spacing w:before="60"/>
              <w:rPr>
                <w:rFonts w:asciiTheme="majorBidi" w:hAnsiTheme="majorBidi" w:cstheme="majorBidi"/>
              </w:rPr>
            </w:pPr>
            <w:r>
              <w:rPr>
                <w:rFonts w:asciiTheme="majorBidi" w:hAnsiTheme="majorBidi" w:cstheme="majorBidi"/>
              </w:rPr>
              <w:t>0.153</w:t>
            </w:r>
          </w:p>
        </w:tc>
      </w:tr>
      <w:tr w:rsidR="00582692" w:rsidRPr="0054461C" w14:paraId="05665353" w14:textId="77777777" w:rsidTr="00AC4C8F">
        <w:tc>
          <w:tcPr>
            <w:tcW w:w="2412" w:type="dxa"/>
            <w:tcBorders>
              <w:top w:val="nil"/>
              <w:left w:val="nil"/>
              <w:bottom w:val="nil"/>
              <w:right w:val="nil"/>
            </w:tcBorders>
          </w:tcPr>
          <w:p w14:paraId="0793F555" w14:textId="77777777" w:rsidR="00582692" w:rsidRPr="00D079CB" w:rsidRDefault="00582692" w:rsidP="00AC4C8F">
            <w:pPr>
              <w:pStyle w:val="PlainText"/>
              <w:rPr>
                <w:rFonts w:asciiTheme="majorBidi" w:hAnsiTheme="majorBidi" w:cstheme="majorBidi"/>
              </w:rPr>
            </w:pPr>
          </w:p>
        </w:tc>
        <w:tc>
          <w:tcPr>
            <w:tcW w:w="1103" w:type="dxa"/>
            <w:tcBorders>
              <w:top w:val="nil"/>
              <w:left w:val="nil"/>
              <w:bottom w:val="nil"/>
              <w:right w:val="nil"/>
            </w:tcBorders>
          </w:tcPr>
          <w:p w14:paraId="523775C6" w14:textId="77777777" w:rsidR="00582692" w:rsidRPr="0054461C" w:rsidRDefault="00582692" w:rsidP="00AC4C8F">
            <w:pPr>
              <w:pStyle w:val="PlainText"/>
              <w:tabs>
                <w:tab w:val="decimal" w:pos="340"/>
              </w:tabs>
              <w:rPr>
                <w:rFonts w:asciiTheme="majorBidi" w:hAnsiTheme="majorBidi" w:cstheme="majorBidi"/>
              </w:rPr>
            </w:pPr>
            <w:r>
              <w:rPr>
                <w:rFonts w:asciiTheme="majorBidi" w:hAnsiTheme="majorBidi" w:cstheme="majorBidi"/>
              </w:rPr>
              <w:t>(1.98)*</w:t>
            </w:r>
          </w:p>
        </w:tc>
        <w:tc>
          <w:tcPr>
            <w:tcW w:w="1103" w:type="dxa"/>
            <w:tcBorders>
              <w:top w:val="nil"/>
              <w:left w:val="nil"/>
              <w:bottom w:val="nil"/>
              <w:right w:val="nil"/>
            </w:tcBorders>
          </w:tcPr>
          <w:p w14:paraId="34AE1A1A" w14:textId="77777777" w:rsidR="00582692" w:rsidRPr="0054461C" w:rsidRDefault="00582692" w:rsidP="00AC4C8F">
            <w:pPr>
              <w:pStyle w:val="PlainText"/>
              <w:tabs>
                <w:tab w:val="decimal" w:pos="340"/>
              </w:tabs>
              <w:rPr>
                <w:rFonts w:asciiTheme="majorBidi" w:hAnsiTheme="majorBidi" w:cstheme="majorBidi"/>
              </w:rPr>
            </w:pPr>
            <w:r>
              <w:rPr>
                <w:rFonts w:asciiTheme="majorBidi" w:hAnsiTheme="majorBidi" w:cstheme="majorBidi"/>
              </w:rPr>
              <w:t>(1.18)</w:t>
            </w:r>
          </w:p>
        </w:tc>
        <w:tc>
          <w:tcPr>
            <w:tcW w:w="1103" w:type="dxa"/>
            <w:tcBorders>
              <w:top w:val="nil"/>
              <w:left w:val="nil"/>
              <w:bottom w:val="nil"/>
              <w:right w:val="nil"/>
            </w:tcBorders>
          </w:tcPr>
          <w:p w14:paraId="162C23E0" w14:textId="77777777" w:rsidR="00582692" w:rsidRPr="0054461C" w:rsidRDefault="00582692" w:rsidP="00AC4C8F">
            <w:pPr>
              <w:pStyle w:val="PlainText"/>
              <w:tabs>
                <w:tab w:val="decimal" w:pos="340"/>
              </w:tabs>
              <w:rPr>
                <w:rFonts w:asciiTheme="majorBidi" w:hAnsiTheme="majorBidi" w:cstheme="majorBidi"/>
              </w:rPr>
            </w:pPr>
            <w:r>
              <w:rPr>
                <w:rFonts w:asciiTheme="majorBidi" w:hAnsiTheme="majorBidi" w:cstheme="majorBidi"/>
              </w:rPr>
              <w:t>(2.66)**</w:t>
            </w:r>
          </w:p>
        </w:tc>
        <w:tc>
          <w:tcPr>
            <w:tcW w:w="1096" w:type="dxa"/>
            <w:tcBorders>
              <w:top w:val="nil"/>
              <w:left w:val="nil"/>
              <w:bottom w:val="nil"/>
              <w:right w:val="nil"/>
            </w:tcBorders>
          </w:tcPr>
          <w:p w14:paraId="36690657" w14:textId="77777777" w:rsidR="00582692" w:rsidRPr="0054461C" w:rsidRDefault="00582692" w:rsidP="00AC4C8F">
            <w:pPr>
              <w:pStyle w:val="PlainText"/>
              <w:tabs>
                <w:tab w:val="decimal" w:pos="340"/>
              </w:tabs>
              <w:rPr>
                <w:rFonts w:asciiTheme="majorBidi" w:hAnsiTheme="majorBidi" w:cstheme="majorBidi"/>
              </w:rPr>
            </w:pPr>
            <w:r>
              <w:rPr>
                <w:rFonts w:asciiTheme="majorBidi" w:hAnsiTheme="majorBidi" w:cstheme="majorBidi"/>
              </w:rPr>
              <w:t>(0.50)</w:t>
            </w:r>
          </w:p>
        </w:tc>
        <w:tc>
          <w:tcPr>
            <w:tcW w:w="1103" w:type="dxa"/>
            <w:tcBorders>
              <w:top w:val="nil"/>
              <w:left w:val="nil"/>
              <w:bottom w:val="nil"/>
              <w:right w:val="nil"/>
            </w:tcBorders>
          </w:tcPr>
          <w:p w14:paraId="762519C2" w14:textId="77777777" w:rsidR="00582692" w:rsidRPr="0054461C" w:rsidRDefault="00582692" w:rsidP="00AC4C8F">
            <w:pPr>
              <w:pStyle w:val="PlainText"/>
              <w:tabs>
                <w:tab w:val="decimal" w:pos="340"/>
              </w:tabs>
              <w:rPr>
                <w:rFonts w:asciiTheme="majorBidi" w:hAnsiTheme="majorBidi" w:cstheme="majorBidi"/>
              </w:rPr>
            </w:pPr>
            <w:r>
              <w:rPr>
                <w:rFonts w:asciiTheme="majorBidi" w:hAnsiTheme="majorBidi" w:cstheme="majorBidi"/>
              </w:rPr>
              <w:t>(2.11)*</w:t>
            </w:r>
          </w:p>
        </w:tc>
        <w:tc>
          <w:tcPr>
            <w:tcW w:w="1096" w:type="dxa"/>
            <w:tcBorders>
              <w:top w:val="nil"/>
              <w:left w:val="nil"/>
              <w:bottom w:val="nil"/>
              <w:right w:val="nil"/>
            </w:tcBorders>
          </w:tcPr>
          <w:p w14:paraId="085A25BC" w14:textId="77777777" w:rsidR="00582692" w:rsidRPr="0054461C" w:rsidRDefault="00582692" w:rsidP="00AC4C8F">
            <w:pPr>
              <w:pStyle w:val="PlainText"/>
              <w:tabs>
                <w:tab w:val="decimal" w:pos="340"/>
              </w:tabs>
              <w:rPr>
                <w:rFonts w:asciiTheme="majorBidi" w:hAnsiTheme="majorBidi" w:cstheme="majorBidi"/>
              </w:rPr>
            </w:pPr>
            <w:r>
              <w:rPr>
                <w:rFonts w:asciiTheme="majorBidi" w:hAnsiTheme="majorBidi" w:cstheme="majorBidi"/>
              </w:rPr>
              <w:t>(1.44)</w:t>
            </w:r>
          </w:p>
        </w:tc>
      </w:tr>
      <w:tr w:rsidR="00582692" w:rsidRPr="00A869E3" w14:paraId="72B72612" w14:textId="77777777" w:rsidTr="00AC4C8F">
        <w:tc>
          <w:tcPr>
            <w:tcW w:w="2412" w:type="dxa"/>
            <w:tcBorders>
              <w:top w:val="nil"/>
              <w:left w:val="nil"/>
              <w:bottom w:val="single" w:sz="4" w:space="0" w:color="auto"/>
              <w:right w:val="nil"/>
            </w:tcBorders>
          </w:tcPr>
          <w:p w14:paraId="41974934" w14:textId="77777777" w:rsidR="00582692" w:rsidRPr="00A869E3" w:rsidRDefault="00582692" w:rsidP="00AC4C8F">
            <w:pPr>
              <w:pStyle w:val="PlainText"/>
              <w:rPr>
                <w:rFonts w:asciiTheme="majorBidi" w:hAnsiTheme="majorBidi" w:cstheme="majorBidi"/>
                <w:sz w:val="6"/>
                <w:szCs w:val="6"/>
              </w:rPr>
            </w:pPr>
          </w:p>
        </w:tc>
        <w:tc>
          <w:tcPr>
            <w:tcW w:w="1103" w:type="dxa"/>
            <w:tcBorders>
              <w:top w:val="nil"/>
              <w:left w:val="nil"/>
              <w:bottom w:val="single" w:sz="4" w:space="0" w:color="auto"/>
              <w:right w:val="nil"/>
            </w:tcBorders>
          </w:tcPr>
          <w:p w14:paraId="63E0369E" w14:textId="77777777" w:rsidR="00582692" w:rsidRPr="00A869E3" w:rsidRDefault="00582692" w:rsidP="00AC4C8F">
            <w:pPr>
              <w:pStyle w:val="PlainText"/>
              <w:tabs>
                <w:tab w:val="decimal" w:pos="340"/>
              </w:tabs>
              <w:rPr>
                <w:rFonts w:asciiTheme="majorBidi" w:hAnsiTheme="majorBidi" w:cstheme="majorBidi"/>
                <w:sz w:val="6"/>
                <w:szCs w:val="6"/>
              </w:rPr>
            </w:pPr>
          </w:p>
        </w:tc>
        <w:tc>
          <w:tcPr>
            <w:tcW w:w="1103" w:type="dxa"/>
            <w:tcBorders>
              <w:top w:val="nil"/>
              <w:left w:val="nil"/>
              <w:bottom w:val="single" w:sz="4" w:space="0" w:color="auto"/>
              <w:right w:val="nil"/>
            </w:tcBorders>
          </w:tcPr>
          <w:p w14:paraId="2B9C265D" w14:textId="77777777" w:rsidR="00582692" w:rsidRPr="00A869E3" w:rsidRDefault="00582692" w:rsidP="00AC4C8F">
            <w:pPr>
              <w:pStyle w:val="PlainText"/>
              <w:tabs>
                <w:tab w:val="decimal" w:pos="340"/>
              </w:tabs>
              <w:rPr>
                <w:rFonts w:asciiTheme="majorBidi" w:hAnsiTheme="majorBidi" w:cstheme="majorBidi"/>
                <w:sz w:val="6"/>
                <w:szCs w:val="6"/>
              </w:rPr>
            </w:pPr>
          </w:p>
        </w:tc>
        <w:tc>
          <w:tcPr>
            <w:tcW w:w="1103" w:type="dxa"/>
            <w:tcBorders>
              <w:top w:val="nil"/>
              <w:left w:val="nil"/>
              <w:bottom w:val="single" w:sz="4" w:space="0" w:color="auto"/>
              <w:right w:val="nil"/>
            </w:tcBorders>
          </w:tcPr>
          <w:p w14:paraId="207884E5" w14:textId="77777777" w:rsidR="00582692" w:rsidRPr="00A869E3" w:rsidRDefault="00582692" w:rsidP="00AC4C8F">
            <w:pPr>
              <w:pStyle w:val="PlainText"/>
              <w:tabs>
                <w:tab w:val="decimal" w:pos="340"/>
              </w:tabs>
              <w:rPr>
                <w:rFonts w:asciiTheme="majorBidi" w:hAnsiTheme="majorBidi" w:cstheme="majorBidi"/>
                <w:sz w:val="6"/>
                <w:szCs w:val="6"/>
              </w:rPr>
            </w:pPr>
          </w:p>
        </w:tc>
        <w:tc>
          <w:tcPr>
            <w:tcW w:w="1096" w:type="dxa"/>
            <w:tcBorders>
              <w:top w:val="nil"/>
              <w:left w:val="nil"/>
              <w:bottom w:val="single" w:sz="4" w:space="0" w:color="auto"/>
              <w:right w:val="nil"/>
            </w:tcBorders>
          </w:tcPr>
          <w:p w14:paraId="4A8F0721" w14:textId="77777777" w:rsidR="00582692" w:rsidRPr="00A869E3" w:rsidRDefault="00582692" w:rsidP="00AC4C8F">
            <w:pPr>
              <w:pStyle w:val="PlainText"/>
              <w:tabs>
                <w:tab w:val="decimal" w:pos="340"/>
              </w:tabs>
              <w:rPr>
                <w:rFonts w:asciiTheme="majorBidi" w:hAnsiTheme="majorBidi" w:cstheme="majorBidi"/>
                <w:sz w:val="6"/>
                <w:szCs w:val="6"/>
              </w:rPr>
            </w:pPr>
          </w:p>
        </w:tc>
        <w:tc>
          <w:tcPr>
            <w:tcW w:w="1103" w:type="dxa"/>
            <w:tcBorders>
              <w:top w:val="nil"/>
              <w:left w:val="nil"/>
              <w:bottom w:val="single" w:sz="4" w:space="0" w:color="auto"/>
              <w:right w:val="nil"/>
            </w:tcBorders>
          </w:tcPr>
          <w:p w14:paraId="6C1150D5" w14:textId="77777777" w:rsidR="00582692" w:rsidRPr="00A869E3" w:rsidRDefault="00582692" w:rsidP="00AC4C8F">
            <w:pPr>
              <w:pStyle w:val="PlainText"/>
              <w:tabs>
                <w:tab w:val="decimal" w:pos="340"/>
              </w:tabs>
              <w:rPr>
                <w:rFonts w:asciiTheme="majorBidi" w:hAnsiTheme="majorBidi" w:cstheme="majorBidi"/>
                <w:sz w:val="6"/>
                <w:szCs w:val="6"/>
              </w:rPr>
            </w:pPr>
          </w:p>
        </w:tc>
        <w:tc>
          <w:tcPr>
            <w:tcW w:w="1096" w:type="dxa"/>
            <w:tcBorders>
              <w:top w:val="nil"/>
              <w:left w:val="nil"/>
              <w:bottom w:val="single" w:sz="4" w:space="0" w:color="auto"/>
              <w:right w:val="nil"/>
            </w:tcBorders>
          </w:tcPr>
          <w:p w14:paraId="6F56DF08" w14:textId="77777777" w:rsidR="00582692" w:rsidRPr="00A869E3" w:rsidRDefault="00582692" w:rsidP="00AC4C8F">
            <w:pPr>
              <w:pStyle w:val="PlainText"/>
              <w:tabs>
                <w:tab w:val="decimal" w:pos="340"/>
              </w:tabs>
              <w:rPr>
                <w:rFonts w:asciiTheme="majorBidi" w:hAnsiTheme="majorBidi" w:cstheme="majorBidi"/>
                <w:sz w:val="6"/>
                <w:szCs w:val="6"/>
              </w:rPr>
            </w:pPr>
          </w:p>
        </w:tc>
      </w:tr>
      <w:tr w:rsidR="00582692" w:rsidRPr="000E4BD7" w14:paraId="66AB1033" w14:textId="77777777" w:rsidTr="00AC4C8F">
        <w:tc>
          <w:tcPr>
            <w:tcW w:w="9016" w:type="dxa"/>
            <w:gridSpan w:val="7"/>
            <w:tcBorders>
              <w:top w:val="single" w:sz="4" w:space="0" w:color="auto"/>
              <w:left w:val="nil"/>
              <w:bottom w:val="nil"/>
              <w:right w:val="nil"/>
            </w:tcBorders>
          </w:tcPr>
          <w:p w14:paraId="773C7D97" w14:textId="77777777" w:rsidR="00582692" w:rsidRPr="000E4BD7" w:rsidRDefault="00582692" w:rsidP="00AC4C8F">
            <w:pPr>
              <w:pStyle w:val="PlainText"/>
              <w:spacing w:before="40"/>
              <w:rPr>
                <w:rFonts w:asciiTheme="majorBidi" w:hAnsiTheme="majorBidi" w:cstheme="majorBidi"/>
                <w:sz w:val="20"/>
                <w:szCs w:val="20"/>
              </w:rPr>
            </w:pPr>
            <w:r w:rsidRPr="000E4BD7">
              <w:rPr>
                <w:rFonts w:asciiTheme="majorBidi" w:hAnsiTheme="majorBidi" w:cstheme="majorBidi"/>
                <w:i/>
                <w:iCs/>
                <w:sz w:val="20"/>
                <w:szCs w:val="20"/>
              </w:rPr>
              <w:t>Note</w:t>
            </w:r>
            <w:r w:rsidRPr="000E4BD7">
              <w:rPr>
                <w:rFonts w:asciiTheme="majorBidi" w:hAnsiTheme="majorBidi" w:cstheme="majorBidi"/>
                <w:sz w:val="20"/>
                <w:szCs w:val="20"/>
              </w:rPr>
              <w:t>:</w:t>
            </w:r>
            <w:r w:rsidRPr="000E4BD7">
              <w:rPr>
                <w:rFonts w:asciiTheme="majorBidi" w:hAnsiTheme="majorBidi" w:cstheme="majorBidi"/>
                <w:i/>
                <w:iCs/>
                <w:sz w:val="20"/>
                <w:szCs w:val="20"/>
              </w:rPr>
              <w:t xml:space="preserve"> </w:t>
            </w:r>
            <w:r>
              <w:rPr>
                <w:rFonts w:asciiTheme="majorBidi" w:hAnsiTheme="majorBidi" w:cstheme="majorBidi"/>
                <w:sz w:val="20"/>
                <w:szCs w:val="20"/>
              </w:rPr>
              <w:t xml:space="preserve">Estimated by generalized spatial two-stage least squares, using the </w:t>
            </w:r>
            <w:proofErr w:type="spellStart"/>
            <w:r>
              <w:rPr>
                <w:rFonts w:asciiTheme="majorBidi" w:hAnsiTheme="majorBidi" w:cstheme="majorBidi"/>
                <w:sz w:val="20"/>
                <w:szCs w:val="20"/>
              </w:rPr>
              <w:t>spreg</w:t>
            </w:r>
            <w:proofErr w:type="spellEnd"/>
            <w:r>
              <w:rPr>
                <w:rFonts w:asciiTheme="majorBidi" w:hAnsiTheme="majorBidi" w:cstheme="majorBidi"/>
                <w:sz w:val="20"/>
                <w:szCs w:val="20"/>
              </w:rPr>
              <w:t xml:space="preserve"> package of </w:t>
            </w:r>
            <w:proofErr w:type="spellStart"/>
            <w:r>
              <w:rPr>
                <w:rFonts w:asciiTheme="majorBidi" w:hAnsiTheme="majorBidi" w:cstheme="majorBidi"/>
                <w:sz w:val="20"/>
                <w:szCs w:val="20"/>
              </w:rPr>
              <w:t>Drukker</w:t>
            </w:r>
            <w:proofErr w:type="spellEnd"/>
            <w:r>
              <w:rPr>
                <w:rFonts w:asciiTheme="majorBidi" w:hAnsiTheme="majorBidi" w:cstheme="majorBidi"/>
                <w:sz w:val="20"/>
                <w:szCs w:val="20"/>
              </w:rPr>
              <w:t xml:space="preserve"> </w:t>
            </w:r>
            <w:r w:rsidRPr="00582692">
              <w:rPr>
                <w:rFonts w:asciiTheme="majorBidi" w:hAnsiTheme="majorBidi" w:cstheme="majorBidi"/>
                <w:i/>
                <w:sz w:val="20"/>
                <w:szCs w:val="20"/>
              </w:rPr>
              <w:t>et al</w:t>
            </w:r>
            <w:proofErr w:type="gramStart"/>
            <w:r>
              <w:rPr>
                <w:rFonts w:asciiTheme="majorBidi" w:hAnsiTheme="majorBidi" w:cstheme="majorBidi"/>
                <w:sz w:val="20"/>
                <w:szCs w:val="20"/>
              </w:rPr>
              <w:t>.(</w:t>
            </w:r>
            <w:proofErr w:type="gramEnd"/>
            <w:r>
              <w:rPr>
                <w:rFonts w:asciiTheme="majorBidi" w:hAnsiTheme="majorBidi" w:cstheme="majorBidi"/>
                <w:sz w:val="20"/>
                <w:szCs w:val="20"/>
              </w:rPr>
              <w:t xml:space="preserve">2013). Other </w:t>
            </w:r>
            <w:proofErr w:type="gramStart"/>
            <w:r>
              <w:rPr>
                <w:rFonts w:asciiTheme="majorBidi" w:hAnsiTheme="majorBidi" w:cstheme="majorBidi"/>
                <w:sz w:val="20"/>
                <w:szCs w:val="20"/>
              </w:rPr>
              <w:t>notes,</w:t>
            </w:r>
            <w:proofErr w:type="gramEnd"/>
            <w:r>
              <w:rPr>
                <w:rFonts w:asciiTheme="majorBidi" w:hAnsiTheme="majorBidi" w:cstheme="majorBidi"/>
                <w:sz w:val="20"/>
                <w:szCs w:val="20"/>
              </w:rPr>
              <w:t xml:space="preserve"> see Table 2.</w:t>
            </w:r>
          </w:p>
        </w:tc>
      </w:tr>
    </w:tbl>
    <w:p w14:paraId="5314BA3D" w14:textId="77777777" w:rsidR="00582692" w:rsidRDefault="00582692" w:rsidP="001214AD">
      <w:pPr>
        <w:widowControl w:val="0"/>
        <w:spacing w:line="288" w:lineRule="auto"/>
        <w:ind w:firstLine="720"/>
        <w:rPr>
          <w:rFonts w:eastAsia="Calibri"/>
          <w:sz w:val="20"/>
          <w:szCs w:val="20"/>
        </w:rPr>
      </w:pPr>
    </w:p>
    <w:p w14:paraId="1D714C1D" w14:textId="77777777" w:rsidR="004B538F" w:rsidRPr="00834D0D" w:rsidRDefault="004B538F" w:rsidP="001214AD">
      <w:pPr>
        <w:widowControl w:val="0"/>
        <w:spacing w:line="288" w:lineRule="auto"/>
        <w:ind w:firstLine="720"/>
        <w:rPr>
          <w:rFonts w:eastAsia="Calibri"/>
          <w:sz w:val="20"/>
          <w:szCs w:val="20"/>
        </w:rPr>
      </w:pPr>
    </w:p>
    <w:p w14:paraId="1379CD71" w14:textId="6E967854" w:rsidR="00D33379" w:rsidRDefault="002F2022" w:rsidP="001214AD">
      <w:pPr>
        <w:widowControl w:val="0"/>
        <w:spacing w:line="288" w:lineRule="auto"/>
        <w:ind w:firstLine="720"/>
        <w:rPr>
          <w:rFonts w:eastAsia="Calibri"/>
        </w:rPr>
      </w:pPr>
      <w:r>
        <w:rPr>
          <w:rFonts w:eastAsia="Calibri"/>
        </w:rPr>
        <w:t xml:space="preserve">In order to rule out any concern that inferences </w:t>
      </w:r>
      <w:proofErr w:type="gramStart"/>
      <w:r>
        <w:rPr>
          <w:rFonts w:eastAsia="Calibri"/>
        </w:rPr>
        <w:t>are affected</w:t>
      </w:r>
      <w:proofErr w:type="gramEnd"/>
      <w:r>
        <w:rPr>
          <w:rFonts w:eastAsia="Calibri"/>
        </w:rPr>
        <w:t xml:space="preserve"> by spatial autocorrelation, Table 4 reports the results of </w:t>
      </w:r>
      <w:r w:rsidR="00D33379">
        <w:rPr>
          <w:rFonts w:eastAsia="Calibri"/>
        </w:rPr>
        <w:t>a spatial error model</w:t>
      </w:r>
      <w:r>
        <w:rPr>
          <w:rFonts w:eastAsia="Calibri"/>
        </w:rPr>
        <w:t xml:space="preserve">. In this model, the regression error for each ward is allowed to be influenced by a weighted average of the errors in the adjacent wards, where the spatial weights matrix is based on contiguity (for ward </w:t>
      </w:r>
      <w:proofErr w:type="spellStart"/>
      <w:r>
        <w:rPr>
          <w:rFonts w:eastAsia="Calibri"/>
          <w:i/>
          <w:iCs/>
        </w:rPr>
        <w:t>i</w:t>
      </w:r>
      <w:proofErr w:type="spellEnd"/>
      <w:r>
        <w:rPr>
          <w:rFonts w:eastAsia="Calibri"/>
        </w:rPr>
        <w:t xml:space="preserve">, any ward </w:t>
      </w:r>
      <w:r>
        <w:rPr>
          <w:rFonts w:eastAsia="Calibri"/>
          <w:i/>
          <w:iCs/>
        </w:rPr>
        <w:t>j</w:t>
      </w:r>
      <w:r>
        <w:rPr>
          <w:rFonts w:eastAsia="Calibri"/>
        </w:rPr>
        <w:t xml:space="preserve"> whose boundary touches the boundary of ward </w:t>
      </w:r>
      <w:proofErr w:type="spellStart"/>
      <w:r w:rsidRPr="002F2022">
        <w:rPr>
          <w:rFonts w:eastAsia="Calibri"/>
          <w:i/>
          <w:iCs/>
        </w:rPr>
        <w:t>i</w:t>
      </w:r>
      <w:proofErr w:type="spellEnd"/>
      <w:r>
        <w:rPr>
          <w:rFonts w:eastAsia="Calibri"/>
        </w:rPr>
        <w:t xml:space="preserve"> is a neighbor, and otherwise it is not).</w:t>
      </w:r>
      <w:r w:rsidR="0064445C">
        <w:rPr>
          <w:rFonts w:eastAsia="Calibri"/>
        </w:rPr>
        <w:t xml:space="preserve"> T</w:t>
      </w:r>
      <w:r w:rsidR="0087661E">
        <w:rPr>
          <w:rFonts w:eastAsia="Calibri"/>
        </w:rPr>
        <w:t>he t</w:t>
      </w:r>
      <w:r w:rsidR="0064445C">
        <w:rPr>
          <w:rFonts w:eastAsia="Calibri"/>
        </w:rPr>
        <w:t>able has</w:t>
      </w:r>
      <w:r w:rsidR="0087661E">
        <w:rPr>
          <w:rFonts w:eastAsia="Calibri"/>
        </w:rPr>
        <w:t xml:space="preserve"> an extra </w:t>
      </w:r>
      <w:r w:rsidR="0064445C">
        <w:rPr>
          <w:rFonts w:eastAsia="Calibri"/>
        </w:rPr>
        <w:t>row, compared with th</w:t>
      </w:r>
      <w:r w:rsidR="0087661E">
        <w:rPr>
          <w:rFonts w:eastAsia="Calibri"/>
        </w:rPr>
        <w:t xml:space="preserve">e earlier regression tables, </w:t>
      </w:r>
      <w:r w:rsidR="0064445C">
        <w:rPr>
          <w:rFonts w:eastAsia="Calibri"/>
        </w:rPr>
        <w:t xml:space="preserve">for the estimate </w:t>
      </w:r>
      <w:proofErr w:type="gramStart"/>
      <w:r w:rsidR="0064445C">
        <w:rPr>
          <w:rFonts w:eastAsia="Calibri"/>
        </w:rPr>
        <w:t xml:space="preserve">of </w:t>
      </w:r>
      <w:proofErr w:type="gramEnd"/>
      <w:r w:rsidR="0087661E" w:rsidRPr="0064445C">
        <w:rPr>
          <w:rFonts w:eastAsia="Calibri"/>
          <w:i/>
          <w:iCs/>
        </w:rPr>
        <w:sym w:font="Symbol" w:char="F072"/>
      </w:r>
      <w:r w:rsidR="0087661E">
        <w:rPr>
          <w:rFonts w:eastAsia="Calibri"/>
        </w:rPr>
        <w:t>,</w:t>
      </w:r>
      <w:r w:rsidR="0087661E">
        <w:rPr>
          <w:rFonts w:eastAsia="Calibri"/>
          <w:i/>
          <w:iCs/>
        </w:rPr>
        <w:t xml:space="preserve"> </w:t>
      </w:r>
      <w:r w:rsidR="0064445C">
        <w:rPr>
          <w:rFonts w:eastAsia="Calibri"/>
        </w:rPr>
        <w:t xml:space="preserve">the </w:t>
      </w:r>
      <w:r w:rsidR="0087661E">
        <w:rPr>
          <w:rFonts w:eastAsia="Calibri"/>
        </w:rPr>
        <w:t xml:space="preserve">coefficient on the </w:t>
      </w:r>
      <w:r w:rsidR="0064445C">
        <w:rPr>
          <w:rFonts w:eastAsia="Calibri"/>
        </w:rPr>
        <w:t>spatial error</w:t>
      </w:r>
      <w:r w:rsidR="0087661E">
        <w:rPr>
          <w:rFonts w:eastAsia="Calibri"/>
        </w:rPr>
        <w:t xml:space="preserve"> term</w:t>
      </w:r>
      <w:r w:rsidR="0064445C">
        <w:rPr>
          <w:rFonts w:eastAsia="Calibri"/>
        </w:rPr>
        <w:t xml:space="preserve">. In some specifications of the spatial error </w:t>
      </w:r>
      <w:proofErr w:type="gramStart"/>
      <w:r w:rsidR="0064445C">
        <w:rPr>
          <w:rFonts w:eastAsia="Calibri"/>
        </w:rPr>
        <w:t>model</w:t>
      </w:r>
      <w:proofErr w:type="gramEnd"/>
      <w:r w:rsidR="0064445C">
        <w:rPr>
          <w:rFonts w:eastAsia="Calibri"/>
        </w:rPr>
        <w:t xml:space="preserve"> there is evidence that the errors for the </w:t>
      </w:r>
      <w:proofErr w:type="spellStart"/>
      <w:r w:rsidR="0064445C" w:rsidRPr="0064445C">
        <w:rPr>
          <w:rFonts w:eastAsia="Calibri"/>
          <w:i/>
          <w:iCs/>
        </w:rPr>
        <w:t>i</w:t>
      </w:r>
      <w:r w:rsidR="0064445C" w:rsidRPr="0064445C">
        <w:rPr>
          <w:rFonts w:eastAsia="Calibri"/>
          <w:vertAlign w:val="superscript"/>
        </w:rPr>
        <w:t>th</w:t>
      </w:r>
      <w:proofErr w:type="spellEnd"/>
      <w:r w:rsidR="0064445C">
        <w:rPr>
          <w:rFonts w:eastAsia="Calibri"/>
        </w:rPr>
        <w:t xml:space="preserve"> ward are correlated with the errors in adjacent wards, with estimates of </w:t>
      </w:r>
      <w:r w:rsidR="0064445C" w:rsidRPr="0064445C">
        <w:rPr>
          <w:rFonts w:eastAsia="Calibri"/>
          <w:i/>
          <w:iCs/>
        </w:rPr>
        <w:sym w:font="Symbol" w:char="F072"/>
      </w:r>
      <w:r w:rsidR="0064445C">
        <w:rPr>
          <w:rFonts w:eastAsia="Calibri"/>
        </w:rPr>
        <w:t xml:space="preserve"> around 0.2 but this effect disappears in any specifications that include either the headcount poverty rate or </w:t>
      </w:r>
      <w:r w:rsidR="00F17881">
        <w:rPr>
          <w:rFonts w:eastAsia="Calibri"/>
        </w:rPr>
        <w:t>the ward average of log per capita consumption</w:t>
      </w:r>
      <w:r w:rsidR="0064445C">
        <w:rPr>
          <w:rFonts w:eastAsia="Calibri"/>
        </w:rPr>
        <w:t>. Moreover, with the exception of column (3), there are more precise estimates of the effect of for</w:t>
      </w:r>
      <w:r w:rsidR="00F17881">
        <w:rPr>
          <w:rFonts w:eastAsia="Calibri"/>
        </w:rPr>
        <w:t>est loss on inequality in Table </w:t>
      </w:r>
      <w:r w:rsidR="0064445C">
        <w:rPr>
          <w:rFonts w:eastAsia="Calibri"/>
        </w:rPr>
        <w:t xml:space="preserve">4 than in Table 2, so unaccounted for spatial autocorrelation should not have </w:t>
      </w:r>
      <w:r w:rsidR="0087661E">
        <w:rPr>
          <w:rFonts w:eastAsia="Calibri"/>
        </w:rPr>
        <w:t xml:space="preserve">biased </w:t>
      </w:r>
      <w:r w:rsidR="0064445C">
        <w:rPr>
          <w:rFonts w:eastAsia="Calibri"/>
        </w:rPr>
        <w:t xml:space="preserve">inferences made from the results reported above. In terms of the magnitude of the </w:t>
      </w:r>
      <w:r w:rsidR="0064445C">
        <w:rPr>
          <w:rFonts w:eastAsia="Calibri"/>
        </w:rPr>
        <w:lastRenderedPageBreak/>
        <w:t xml:space="preserve">effect, the </w:t>
      </w:r>
      <w:r w:rsidR="00737C92">
        <w:rPr>
          <w:rFonts w:eastAsia="Calibri"/>
        </w:rPr>
        <w:t xml:space="preserve">coefficients in Table 4 are about 90% of the size of those in Table 2, </w:t>
      </w:r>
      <w:r w:rsidR="0087661E">
        <w:rPr>
          <w:rFonts w:eastAsia="Calibri"/>
        </w:rPr>
        <w:t xml:space="preserve">so estimated effects of forest loss on subsequent inequality </w:t>
      </w:r>
      <w:proofErr w:type="gramStart"/>
      <w:r w:rsidR="0087661E">
        <w:rPr>
          <w:rFonts w:eastAsia="Calibri"/>
        </w:rPr>
        <w:t>can be considered</w:t>
      </w:r>
      <w:proofErr w:type="gramEnd"/>
      <w:r w:rsidR="0087661E">
        <w:rPr>
          <w:rFonts w:eastAsia="Calibri"/>
        </w:rPr>
        <w:t xml:space="preserve"> robust to the treatment for spatial autocorrelation.</w:t>
      </w:r>
      <w:r w:rsidR="0087661E">
        <w:rPr>
          <w:rStyle w:val="FootnoteReference"/>
          <w:rFonts w:eastAsia="Calibri"/>
        </w:rPr>
        <w:footnoteReference w:id="13"/>
      </w:r>
    </w:p>
    <w:p w14:paraId="1E81C862" w14:textId="77777777" w:rsidR="004B538F" w:rsidRDefault="004B538F" w:rsidP="001214AD">
      <w:pPr>
        <w:widowControl w:val="0"/>
        <w:spacing w:line="288" w:lineRule="auto"/>
        <w:ind w:firstLine="720"/>
        <w:rPr>
          <w:rFonts w:eastAsia="Calibri"/>
        </w:rPr>
      </w:pPr>
    </w:p>
    <w:p w14:paraId="3A39EE56" w14:textId="5D8FCBD1" w:rsidR="00834D0D" w:rsidRPr="00834D0D" w:rsidRDefault="00582692" w:rsidP="00834D0D">
      <w:pPr>
        <w:keepNext/>
        <w:widowControl w:val="0"/>
        <w:spacing w:line="288" w:lineRule="auto"/>
        <w:rPr>
          <w:rFonts w:eastAsia="Calibri"/>
          <w:b/>
        </w:rPr>
      </w:pPr>
      <w:proofErr w:type="gramStart"/>
      <w:r>
        <w:rPr>
          <w:rFonts w:eastAsia="Calibri"/>
          <w:b/>
          <w:iCs/>
        </w:rPr>
        <w:t xml:space="preserve">4.1  </w:t>
      </w:r>
      <w:r w:rsidR="00834D0D" w:rsidRPr="00834D0D">
        <w:rPr>
          <w:rFonts w:eastAsia="Calibri"/>
          <w:b/>
          <w:iCs/>
        </w:rPr>
        <w:t>Controlling</w:t>
      </w:r>
      <w:proofErr w:type="gramEnd"/>
      <w:r w:rsidR="00834D0D" w:rsidRPr="00834D0D">
        <w:rPr>
          <w:rFonts w:eastAsia="Calibri"/>
          <w:b/>
          <w:iCs/>
        </w:rPr>
        <w:t xml:space="preserve"> for Baseline Welfare</w:t>
      </w:r>
    </w:p>
    <w:p w14:paraId="7F1833D7" w14:textId="77777777" w:rsidR="00834D0D" w:rsidRPr="00834D0D" w:rsidRDefault="00834D0D" w:rsidP="00834D0D">
      <w:pPr>
        <w:widowControl w:val="0"/>
        <w:spacing w:line="288" w:lineRule="auto"/>
        <w:rPr>
          <w:rFonts w:eastAsia="Calibri"/>
          <w:sz w:val="12"/>
          <w:szCs w:val="12"/>
        </w:rPr>
      </w:pPr>
    </w:p>
    <w:p w14:paraId="5B793002" w14:textId="5333A39A" w:rsidR="00834D0D" w:rsidRDefault="00834D0D" w:rsidP="00834D0D">
      <w:pPr>
        <w:widowControl w:val="0"/>
        <w:spacing w:line="288" w:lineRule="auto"/>
        <w:rPr>
          <w:rFonts w:eastAsia="Calibri"/>
        </w:rPr>
      </w:pPr>
      <w:r>
        <w:rPr>
          <w:rFonts w:eastAsia="Calibri"/>
        </w:rPr>
        <w:t xml:space="preserve">The last threat to validity considered is the possibility of reverse causation, where the true relationship is from inequality to forest loss rather than the reverse. The identifying assumption </w:t>
      </w:r>
      <w:proofErr w:type="gramStart"/>
      <w:r>
        <w:rPr>
          <w:rFonts w:eastAsia="Calibri"/>
        </w:rPr>
        <w:t>being made</w:t>
      </w:r>
      <w:proofErr w:type="gramEnd"/>
      <w:r>
        <w:rPr>
          <w:rFonts w:eastAsia="Calibri"/>
        </w:rPr>
        <w:t xml:space="preserve"> is that the sharp increase in total log exports and the change in export destinations since 2001 reflects developments outside of the Solomon Islands, and is thus an exogenous shock. Therefore, even if previous logging depended on local inequality, as might be argued by extrapolating from cross-country studies such as Koop and </w:t>
      </w:r>
      <w:proofErr w:type="spellStart"/>
      <w:r>
        <w:rPr>
          <w:rFonts w:eastAsia="Calibri"/>
        </w:rPr>
        <w:t>Tole</w:t>
      </w:r>
      <w:proofErr w:type="spellEnd"/>
      <w:r>
        <w:rPr>
          <w:rFonts w:eastAsia="Calibri"/>
        </w:rPr>
        <w:t xml:space="preserve"> (2001), those determinants of previous logging are less relevant to the change in logging since 2001.</w:t>
      </w:r>
    </w:p>
    <w:p w14:paraId="353CACEA" w14:textId="77777777" w:rsidR="00A72FFD" w:rsidRDefault="00A72FFD" w:rsidP="00834D0D">
      <w:pPr>
        <w:widowControl w:val="0"/>
        <w:spacing w:line="288" w:lineRule="auto"/>
        <w:rPr>
          <w:rFonts w:eastAsia="Calibri"/>
        </w:rPr>
      </w:pPr>
    </w:p>
    <w:p w14:paraId="565A7362" w14:textId="53E775E9" w:rsidR="00DE5FE3" w:rsidRDefault="00ED69AB" w:rsidP="001214AD">
      <w:pPr>
        <w:widowControl w:val="0"/>
        <w:spacing w:line="288" w:lineRule="auto"/>
        <w:rPr>
          <w:rFonts w:eastAsia="Calibri"/>
        </w:rPr>
      </w:pPr>
      <w:r>
        <w:rPr>
          <w:rFonts w:eastAsia="Calibri"/>
        </w:rPr>
        <w:tab/>
        <w:t>Notwithst</w:t>
      </w:r>
      <w:r w:rsidR="007A007E">
        <w:rPr>
          <w:rFonts w:eastAsia="Calibri"/>
        </w:rPr>
        <w:t>anding this identifying assumption</w:t>
      </w:r>
      <w:r>
        <w:rPr>
          <w:rFonts w:eastAsia="Calibri"/>
        </w:rPr>
        <w:t>, i</w:t>
      </w:r>
      <w:r w:rsidR="00DE5FE3">
        <w:rPr>
          <w:rFonts w:eastAsia="Calibri"/>
        </w:rPr>
        <w:t xml:space="preserve">t would </w:t>
      </w:r>
      <w:r>
        <w:rPr>
          <w:rFonts w:eastAsia="Calibri"/>
        </w:rPr>
        <w:t>help</w:t>
      </w:r>
      <w:r w:rsidR="00DE5FE3">
        <w:rPr>
          <w:rFonts w:eastAsia="Calibri"/>
        </w:rPr>
        <w:t xml:space="preserve"> </w:t>
      </w:r>
      <w:r>
        <w:rPr>
          <w:rFonts w:eastAsia="Calibri"/>
        </w:rPr>
        <w:t xml:space="preserve">to have </w:t>
      </w:r>
      <w:r w:rsidR="00DE5FE3">
        <w:rPr>
          <w:rFonts w:eastAsia="Calibri"/>
        </w:rPr>
        <w:t>baseline data on ward-level inequality prior to 2001</w:t>
      </w:r>
      <w:r w:rsidR="00650ABF">
        <w:rPr>
          <w:rFonts w:eastAsia="Calibri"/>
        </w:rPr>
        <w:t>. Specificall</w:t>
      </w:r>
      <w:r w:rsidR="007A007E">
        <w:rPr>
          <w:rFonts w:eastAsia="Calibri"/>
        </w:rPr>
        <w:t>y</w:t>
      </w:r>
      <w:r w:rsidR="00650ABF">
        <w:rPr>
          <w:rFonts w:eastAsia="Calibri"/>
        </w:rPr>
        <w:t>,</w:t>
      </w:r>
      <w:r w:rsidR="007A007E">
        <w:rPr>
          <w:rFonts w:eastAsia="Calibri"/>
        </w:rPr>
        <w:t xml:space="preserve"> </w:t>
      </w:r>
      <w:r>
        <w:rPr>
          <w:rFonts w:eastAsia="Calibri"/>
        </w:rPr>
        <w:t xml:space="preserve">controlling for </w:t>
      </w:r>
      <w:r w:rsidR="00650ABF">
        <w:rPr>
          <w:rFonts w:eastAsia="Calibri"/>
        </w:rPr>
        <w:t xml:space="preserve">prior inequality </w:t>
      </w:r>
      <w:r w:rsidR="005F50AD">
        <w:rPr>
          <w:rFonts w:eastAsia="Calibri"/>
        </w:rPr>
        <w:t>woul</w:t>
      </w:r>
      <w:r w:rsidR="00650ABF">
        <w:rPr>
          <w:rFonts w:eastAsia="Calibri"/>
        </w:rPr>
        <w:t>d allow</w:t>
      </w:r>
      <w:r w:rsidR="005F50AD">
        <w:rPr>
          <w:rFonts w:eastAsia="Calibri"/>
        </w:rPr>
        <w:t xml:space="preserve"> an interpretation akin to a difference-in-difference specification. There w</w:t>
      </w:r>
      <w:r>
        <w:rPr>
          <w:rFonts w:eastAsia="Calibri"/>
        </w:rPr>
        <w:t xml:space="preserve">as only one national </w:t>
      </w:r>
      <w:r w:rsidR="000B2F24">
        <w:rPr>
          <w:rFonts w:eastAsia="Calibri"/>
        </w:rPr>
        <w:t xml:space="preserve">household </w:t>
      </w:r>
      <w:r>
        <w:rPr>
          <w:rFonts w:eastAsia="Calibri"/>
        </w:rPr>
        <w:t>survey in</w:t>
      </w:r>
      <w:r w:rsidR="002C610A">
        <w:rPr>
          <w:rFonts w:eastAsia="Calibri"/>
        </w:rPr>
        <w:t xml:space="preserve"> that era - </w:t>
      </w:r>
      <w:r w:rsidR="005F50AD">
        <w:rPr>
          <w:rFonts w:eastAsia="Calibri"/>
        </w:rPr>
        <w:t xml:space="preserve">the 1993 Household </w:t>
      </w:r>
      <w:r w:rsidR="002C610A">
        <w:rPr>
          <w:rFonts w:eastAsia="Calibri"/>
        </w:rPr>
        <w:t xml:space="preserve">Income and Expenditure Survey - </w:t>
      </w:r>
      <w:r w:rsidR="005F50AD">
        <w:rPr>
          <w:rFonts w:eastAsia="Calibri"/>
        </w:rPr>
        <w:t xml:space="preserve">and all of the questionnaires and data tapes were lost when part of the statistics office </w:t>
      </w:r>
      <w:proofErr w:type="gramStart"/>
      <w:r w:rsidR="005F50AD">
        <w:rPr>
          <w:rFonts w:eastAsia="Calibri"/>
        </w:rPr>
        <w:t>was destroyed</w:t>
      </w:r>
      <w:proofErr w:type="gramEnd"/>
      <w:r w:rsidR="005F50AD">
        <w:rPr>
          <w:rFonts w:eastAsia="Calibri"/>
        </w:rPr>
        <w:t xml:space="preserve"> during ethnic tensions in Honiara in the early 2000s. While copies of the summary report from that survey survive, they only </w:t>
      </w:r>
      <w:r>
        <w:rPr>
          <w:rFonts w:eastAsia="Calibri"/>
        </w:rPr>
        <w:t xml:space="preserve">have </w:t>
      </w:r>
      <w:r w:rsidR="005F50AD">
        <w:rPr>
          <w:rFonts w:eastAsia="Calibri"/>
        </w:rPr>
        <w:t>provincial level estimates of welfare variables.</w:t>
      </w:r>
      <w:r w:rsidR="005F50AD">
        <w:rPr>
          <w:rStyle w:val="FootnoteReference"/>
          <w:rFonts w:eastAsia="Calibri"/>
        </w:rPr>
        <w:footnoteReference w:id="14"/>
      </w:r>
    </w:p>
    <w:p w14:paraId="3FB2E137" w14:textId="77777777" w:rsidR="00ED4A8F" w:rsidRDefault="00ED4A8F" w:rsidP="001214AD">
      <w:pPr>
        <w:widowControl w:val="0"/>
        <w:spacing w:line="288" w:lineRule="auto"/>
        <w:rPr>
          <w:rFonts w:eastAsia="Calibri"/>
        </w:rPr>
      </w:pPr>
    </w:p>
    <w:p w14:paraId="3371E802" w14:textId="0E16FF06" w:rsidR="00E93955" w:rsidRDefault="005F50AD" w:rsidP="001214AD">
      <w:pPr>
        <w:widowControl w:val="0"/>
        <w:spacing w:line="288" w:lineRule="auto"/>
        <w:rPr>
          <w:rFonts w:eastAsia="Calibri"/>
          <w:lang w:val="en-NZ"/>
        </w:rPr>
      </w:pPr>
      <w:r>
        <w:rPr>
          <w:rFonts w:eastAsia="Calibri"/>
        </w:rPr>
        <w:tab/>
        <w:t>However, a proxy for baseline welfare, that may also proxy for inequality</w:t>
      </w:r>
      <w:r w:rsidR="007A007E">
        <w:rPr>
          <w:rFonts w:eastAsia="Calibri"/>
        </w:rPr>
        <w:t xml:space="preserve"> since richer areas are more unequal</w:t>
      </w:r>
      <w:r>
        <w:rPr>
          <w:rFonts w:eastAsia="Calibri"/>
        </w:rPr>
        <w:t>, is available</w:t>
      </w:r>
      <w:r w:rsidR="00ED69AB">
        <w:rPr>
          <w:rFonts w:eastAsia="Calibri"/>
        </w:rPr>
        <w:t xml:space="preserve"> in the form of a wealth index used by Jansen et al (2006)</w:t>
      </w:r>
      <w:r>
        <w:rPr>
          <w:rFonts w:eastAsia="Calibri"/>
        </w:rPr>
        <w:t>.</w:t>
      </w:r>
      <w:r w:rsidR="00ED69AB">
        <w:rPr>
          <w:rFonts w:eastAsia="Calibri"/>
        </w:rPr>
        <w:t xml:space="preserve"> This index </w:t>
      </w:r>
      <w:r w:rsidR="007A007E">
        <w:rPr>
          <w:rFonts w:eastAsia="Calibri"/>
        </w:rPr>
        <w:t xml:space="preserve">used </w:t>
      </w:r>
      <w:r w:rsidR="00E93955" w:rsidRPr="00E93955">
        <w:rPr>
          <w:rFonts w:eastAsia="Calibri"/>
          <w:lang w:val="en-NZ"/>
        </w:rPr>
        <w:t>the 1995 Village Resources Survey</w:t>
      </w:r>
      <w:r w:rsidR="007A007E">
        <w:rPr>
          <w:rFonts w:eastAsia="Calibri"/>
          <w:lang w:val="en-NZ"/>
        </w:rPr>
        <w:t>,</w:t>
      </w:r>
      <w:r w:rsidR="00E93955" w:rsidRPr="00E93955">
        <w:rPr>
          <w:rFonts w:eastAsia="Calibri"/>
          <w:lang w:val="en-NZ"/>
        </w:rPr>
        <w:t xml:space="preserve"> which provided ward-level data on public facilities such as schools, clinics, and aid posts, along with data on a number of private facilities that </w:t>
      </w:r>
      <w:r w:rsidR="007A007E">
        <w:rPr>
          <w:rFonts w:eastAsia="Calibri"/>
          <w:lang w:val="en-NZ"/>
        </w:rPr>
        <w:t>may correlate</w:t>
      </w:r>
      <w:r w:rsidR="00E93955" w:rsidRPr="00E93955">
        <w:rPr>
          <w:rFonts w:eastAsia="Calibri"/>
          <w:lang w:val="en-NZ"/>
        </w:rPr>
        <w:t xml:space="preserve"> with economic activity and wealth, including the number of markets</w:t>
      </w:r>
      <w:r w:rsidR="007A007E">
        <w:rPr>
          <w:rFonts w:eastAsia="Calibri"/>
          <w:lang w:val="en-NZ"/>
        </w:rPr>
        <w:t>,</w:t>
      </w:r>
      <w:r w:rsidR="00E93955" w:rsidRPr="00E93955">
        <w:rPr>
          <w:rFonts w:eastAsia="Calibri"/>
          <w:lang w:val="en-NZ"/>
        </w:rPr>
        <w:t xml:space="preserve"> trade stores, and various other businesses. The wealth index was constructed following the approach of </w:t>
      </w:r>
      <w:proofErr w:type="spellStart"/>
      <w:r w:rsidR="00E93955" w:rsidRPr="00E93955">
        <w:rPr>
          <w:rFonts w:eastAsia="Calibri"/>
          <w:lang w:val="en-NZ"/>
        </w:rPr>
        <w:t>Filmer</w:t>
      </w:r>
      <w:proofErr w:type="spellEnd"/>
      <w:r w:rsidR="00E93955" w:rsidRPr="00E93955">
        <w:rPr>
          <w:rFonts w:eastAsia="Calibri"/>
          <w:lang w:val="en-NZ"/>
        </w:rPr>
        <w:t xml:space="preserve"> and Pritchett (2001), who show that principal components can be used to provide the weights for combining indicators into a single ranking variable </w:t>
      </w:r>
      <w:r w:rsidR="00B63F1A">
        <w:rPr>
          <w:rFonts w:eastAsia="Calibri"/>
          <w:lang w:val="en-NZ"/>
        </w:rPr>
        <w:t xml:space="preserve">if the more typical </w:t>
      </w:r>
      <w:r w:rsidR="00E93955" w:rsidRPr="00E93955">
        <w:rPr>
          <w:rFonts w:eastAsia="Calibri"/>
          <w:lang w:val="en-NZ"/>
        </w:rPr>
        <w:t xml:space="preserve">expenditure data </w:t>
      </w:r>
      <w:r w:rsidR="00B63F1A">
        <w:rPr>
          <w:rFonts w:eastAsia="Calibri"/>
          <w:lang w:val="en-NZ"/>
        </w:rPr>
        <w:t xml:space="preserve">used to measure welfare </w:t>
      </w:r>
      <w:r w:rsidR="00E93955" w:rsidRPr="00E93955">
        <w:rPr>
          <w:rFonts w:eastAsia="Calibri"/>
          <w:lang w:val="en-NZ"/>
        </w:rPr>
        <w:t>are unavailable.</w:t>
      </w:r>
      <w:r w:rsidR="007A007E">
        <w:rPr>
          <w:rFonts w:eastAsia="Calibri"/>
          <w:lang w:val="en-NZ"/>
        </w:rPr>
        <w:t xml:space="preserve"> The rural wards from 1995 were also divided into wealth quartiles </w:t>
      </w:r>
      <w:r w:rsidR="00B63F1A">
        <w:rPr>
          <w:rFonts w:eastAsia="Calibri"/>
          <w:lang w:val="en-NZ"/>
        </w:rPr>
        <w:t xml:space="preserve">on the basis of this index </w:t>
      </w:r>
      <w:r w:rsidR="007A007E">
        <w:rPr>
          <w:rFonts w:eastAsia="Calibri"/>
          <w:lang w:val="en-NZ"/>
        </w:rPr>
        <w:t xml:space="preserve">by Jansen </w:t>
      </w:r>
      <w:r w:rsidR="007A007E" w:rsidRPr="00582692">
        <w:rPr>
          <w:rFonts w:eastAsia="Calibri"/>
          <w:i/>
          <w:lang w:val="en-NZ"/>
        </w:rPr>
        <w:t>et al</w:t>
      </w:r>
      <w:r w:rsidR="00582692">
        <w:rPr>
          <w:rFonts w:eastAsia="Calibri"/>
          <w:lang w:val="en-NZ"/>
        </w:rPr>
        <w:t>.</w:t>
      </w:r>
      <w:r w:rsidR="007A007E">
        <w:rPr>
          <w:rFonts w:eastAsia="Calibri"/>
          <w:lang w:val="en-NZ"/>
        </w:rPr>
        <w:t xml:space="preserve"> (2006). These wards match the boundaries shown in </w:t>
      </w:r>
      <w:r w:rsidR="000B2F24">
        <w:rPr>
          <w:rFonts w:eastAsia="Calibri"/>
          <w:lang w:val="en-NZ"/>
        </w:rPr>
        <w:t xml:space="preserve">the maps in </w:t>
      </w:r>
      <w:r w:rsidR="007A007E">
        <w:rPr>
          <w:rFonts w:eastAsia="Calibri"/>
          <w:lang w:val="en-NZ"/>
        </w:rPr>
        <w:t>Figures 2 and 3.</w:t>
      </w:r>
    </w:p>
    <w:p w14:paraId="4C76D3D8" w14:textId="77777777" w:rsidR="00ED4A8F" w:rsidRDefault="00ED4A8F" w:rsidP="001214AD">
      <w:pPr>
        <w:widowControl w:val="0"/>
        <w:spacing w:line="288" w:lineRule="auto"/>
        <w:rPr>
          <w:rFonts w:eastAsia="Calibri"/>
          <w:lang w:val="en-NZ"/>
        </w:rPr>
      </w:pPr>
    </w:p>
    <w:p w14:paraId="4D161DF8" w14:textId="5F74677D" w:rsidR="005F50AD" w:rsidRDefault="00342395" w:rsidP="001214AD">
      <w:pPr>
        <w:widowControl w:val="0"/>
        <w:spacing w:line="288" w:lineRule="auto"/>
        <w:rPr>
          <w:rFonts w:eastAsia="Calibri"/>
          <w:lang w:val="en-NZ"/>
        </w:rPr>
      </w:pPr>
      <w:r>
        <w:rPr>
          <w:rFonts w:eastAsia="Calibri"/>
          <w:lang w:val="en-NZ"/>
        </w:rPr>
        <w:tab/>
        <w:t xml:space="preserve">If the wealth index is added to regressions that are otherwise the same as in Table 2, there is almost no change in the estimated effect of forest loss on inequality. The coefficients </w:t>
      </w:r>
      <w:r w:rsidR="004C2771">
        <w:rPr>
          <w:rFonts w:eastAsia="Calibri"/>
          <w:lang w:val="en-NZ"/>
        </w:rPr>
        <w:t xml:space="preserve">range from 96% to 101% of their corresponding value in Table 2, </w:t>
      </w:r>
      <w:r>
        <w:rPr>
          <w:rFonts w:eastAsia="Calibri"/>
          <w:lang w:val="en-NZ"/>
        </w:rPr>
        <w:t xml:space="preserve">and the level of statistical </w:t>
      </w:r>
      <w:r>
        <w:rPr>
          <w:rFonts w:eastAsia="Calibri"/>
          <w:lang w:val="en-NZ"/>
        </w:rPr>
        <w:lastRenderedPageBreak/>
        <w:t>significance is unchanged. The coefficients on the wealth index are statistically insignificant in these regressions (the most precisely estimated (</w:t>
      </w:r>
      <w:r>
        <w:rPr>
          <w:rFonts w:eastAsia="Calibri"/>
          <w:i/>
          <w:iCs/>
          <w:lang w:val="en-NZ"/>
        </w:rPr>
        <w:t>t</w:t>
      </w:r>
      <w:r>
        <w:rPr>
          <w:rFonts w:eastAsia="Calibri"/>
          <w:lang w:val="en-NZ"/>
        </w:rPr>
        <w:t xml:space="preserve">=1.87) </w:t>
      </w:r>
      <w:r w:rsidR="00F4706B">
        <w:rPr>
          <w:rFonts w:eastAsia="Calibri"/>
          <w:lang w:val="en-NZ"/>
        </w:rPr>
        <w:t xml:space="preserve">is </w:t>
      </w:r>
      <w:r>
        <w:rPr>
          <w:rFonts w:eastAsia="Calibri"/>
          <w:lang w:val="en-NZ"/>
        </w:rPr>
        <w:t xml:space="preserve">when ward population is a covariate) and this suggests that prior indicators of ward-level wealth </w:t>
      </w:r>
      <w:r w:rsidR="00F4706B">
        <w:rPr>
          <w:rFonts w:eastAsia="Calibri"/>
          <w:lang w:val="en-NZ"/>
        </w:rPr>
        <w:t xml:space="preserve">do not </w:t>
      </w:r>
      <w:r>
        <w:rPr>
          <w:rFonts w:eastAsia="Calibri"/>
          <w:lang w:val="en-NZ"/>
        </w:rPr>
        <w:t>predic</w:t>
      </w:r>
      <w:r w:rsidR="00F4706B">
        <w:rPr>
          <w:rFonts w:eastAsia="Calibri"/>
          <w:lang w:val="en-NZ"/>
        </w:rPr>
        <w:t>t current inequality. This</w:t>
      </w:r>
      <w:r>
        <w:rPr>
          <w:rFonts w:eastAsia="Calibri"/>
          <w:lang w:val="en-NZ"/>
        </w:rPr>
        <w:t xml:space="preserve"> is consistent with the identifying assumption that the dramatic expansion of</w:t>
      </w:r>
      <w:r w:rsidR="004C2771">
        <w:rPr>
          <w:rFonts w:eastAsia="Calibri"/>
          <w:lang w:val="en-NZ"/>
        </w:rPr>
        <w:t xml:space="preserve"> logging since 2001 </w:t>
      </w:r>
      <w:r w:rsidR="000B2F24">
        <w:rPr>
          <w:rFonts w:eastAsia="Calibri"/>
          <w:lang w:val="en-NZ"/>
        </w:rPr>
        <w:t>has acted</w:t>
      </w:r>
      <w:r w:rsidR="00F4706B">
        <w:rPr>
          <w:rFonts w:eastAsia="Calibri"/>
          <w:lang w:val="en-NZ"/>
        </w:rPr>
        <w:t xml:space="preserve"> as </w:t>
      </w:r>
      <w:r w:rsidR="004C2771">
        <w:rPr>
          <w:rFonts w:eastAsia="Calibri"/>
          <w:lang w:val="en-NZ"/>
        </w:rPr>
        <w:t>an exogenous shock</w:t>
      </w:r>
      <w:r w:rsidR="000B2F24">
        <w:rPr>
          <w:rFonts w:eastAsia="Calibri"/>
          <w:lang w:val="en-NZ"/>
        </w:rPr>
        <w:t xml:space="preserve"> to rural incomes and welfare</w:t>
      </w:r>
      <w:r w:rsidR="004C2771">
        <w:rPr>
          <w:rFonts w:eastAsia="Calibri"/>
          <w:lang w:val="en-NZ"/>
        </w:rPr>
        <w:t xml:space="preserve">. Likewise, if the wealth quartile is included in the regressions the coefficients </w:t>
      </w:r>
      <w:r w:rsidR="00F4706B">
        <w:rPr>
          <w:rFonts w:eastAsia="Calibri"/>
          <w:lang w:val="en-NZ"/>
        </w:rPr>
        <w:t>(</w:t>
      </w:r>
      <w:r w:rsidR="00F4706B" w:rsidRPr="00F4706B">
        <w:rPr>
          <w:rFonts w:eastAsia="Calibri"/>
          <w:i/>
          <w:iCs/>
          <w:lang w:val="en-NZ"/>
        </w:rPr>
        <w:t>t</w:t>
      </w:r>
      <w:r w:rsidR="00F4706B">
        <w:rPr>
          <w:rFonts w:eastAsia="Calibri"/>
          <w:lang w:val="en-NZ"/>
        </w:rPr>
        <w:t xml:space="preserve"> statistics) </w:t>
      </w:r>
      <w:r w:rsidR="004C2771">
        <w:rPr>
          <w:rFonts w:eastAsia="Calibri"/>
          <w:lang w:val="en-NZ"/>
        </w:rPr>
        <w:t xml:space="preserve">on the forest loss variable </w:t>
      </w:r>
      <w:r w:rsidR="00F4706B">
        <w:rPr>
          <w:rFonts w:eastAsia="Calibri"/>
          <w:lang w:val="en-NZ"/>
        </w:rPr>
        <w:t>ar</w:t>
      </w:r>
      <w:r w:rsidR="004C2771">
        <w:rPr>
          <w:rFonts w:eastAsia="Calibri"/>
          <w:lang w:val="en-NZ"/>
        </w:rPr>
        <w:t xml:space="preserve">e from 96% to 101% </w:t>
      </w:r>
      <w:r w:rsidR="00F4706B">
        <w:rPr>
          <w:rFonts w:eastAsia="Calibri"/>
          <w:lang w:val="en-NZ"/>
        </w:rPr>
        <w:t xml:space="preserve">(100% to 112%) </w:t>
      </w:r>
      <w:r w:rsidR="004C2771">
        <w:rPr>
          <w:rFonts w:eastAsia="Calibri"/>
          <w:lang w:val="en-NZ"/>
        </w:rPr>
        <w:t>of their corresponding value in Table 2</w:t>
      </w:r>
      <w:r w:rsidR="00F4706B">
        <w:rPr>
          <w:rFonts w:eastAsia="Calibri"/>
          <w:lang w:val="en-NZ"/>
        </w:rPr>
        <w:t xml:space="preserve"> (while </w:t>
      </w:r>
      <w:r w:rsidR="000B2F24">
        <w:rPr>
          <w:rFonts w:eastAsia="Calibri"/>
          <w:lang w:val="en-NZ"/>
        </w:rPr>
        <w:t xml:space="preserve">the </w:t>
      </w:r>
      <w:r w:rsidR="00F4706B">
        <w:rPr>
          <w:rFonts w:eastAsia="Calibri"/>
          <w:i/>
          <w:iCs/>
          <w:lang w:val="en-NZ"/>
        </w:rPr>
        <w:t>t</w:t>
      </w:r>
      <w:r w:rsidR="000B2F24">
        <w:rPr>
          <w:rFonts w:eastAsia="Calibri"/>
          <w:lang w:val="en-NZ"/>
        </w:rPr>
        <w:t> </w:t>
      </w:r>
      <w:r w:rsidR="00F4706B">
        <w:rPr>
          <w:rFonts w:eastAsia="Calibri"/>
          <w:lang w:val="en-NZ"/>
        </w:rPr>
        <w:t xml:space="preserve">statistics on the wealth quartile </w:t>
      </w:r>
      <w:r w:rsidR="000B2F24">
        <w:rPr>
          <w:rFonts w:eastAsia="Calibri"/>
          <w:lang w:val="en-NZ"/>
        </w:rPr>
        <w:t xml:space="preserve">variable </w:t>
      </w:r>
      <w:r w:rsidR="00F4706B">
        <w:rPr>
          <w:rFonts w:eastAsia="Calibri"/>
          <w:lang w:val="en-NZ"/>
        </w:rPr>
        <w:t>average 1.4). Thus, to the extent possible with the limited data</w:t>
      </w:r>
      <w:r w:rsidR="00B63F1A">
        <w:rPr>
          <w:rFonts w:eastAsia="Calibri"/>
          <w:lang w:val="en-NZ"/>
        </w:rPr>
        <w:t>,</w:t>
      </w:r>
      <w:r w:rsidR="00F4706B">
        <w:rPr>
          <w:rFonts w:eastAsia="Calibri"/>
          <w:lang w:val="en-NZ"/>
        </w:rPr>
        <w:t xml:space="preserve"> the reverse pathway from existing inequality to higher deforestation can be ruled out, and the results in Tables 2 to 4 </w:t>
      </w:r>
      <w:r w:rsidR="00B63F1A">
        <w:rPr>
          <w:rFonts w:eastAsia="Calibri"/>
          <w:lang w:val="en-NZ"/>
        </w:rPr>
        <w:t xml:space="preserve">can be </w:t>
      </w:r>
      <w:r w:rsidR="001F0CD4">
        <w:rPr>
          <w:rFonts w:eastAsia="Calibri"/>
          <w:lang w:val="en-NZ"/>
        </w:rPr>
        <w:t xml:space="preserve">interpreted as </w:t>
      </w:r>
      <w:r w:rsidR="00F4706B">
        <w:rPr>
          <w:rFonts w:eastAsia="Calibri"/>
          <w:lang w:val="en-NZ"/>
        </w:rPr>
        <w:t>identify</w:t>
      </w:r>
      <w:r w:rsidR="001F0CD4">
        <w:rPr>
          <w:rFonts w:eastAsia="Calibri"/>
          <w:lang w:val="en-NZ"/>
        </w:rPr>
        <w:t>ing</w:t>
      </w:r>
      <w:r w:rsidR="00F4706B">
        <w:rPr>
          <w:rFonts w:eastAsia="Calibri"/>
          <w:lang w:val="en-NZ"/>
        </w:rPr>
        <w:t xml:space="preserve"> the effect of forest loss on subsequent inequality.</w:t>
      </w:r>
    </w:p>
    <w:p w14:paraId="05A9EFA5" w14:textId="77777777" w:rsidR="00ED4A8F" w:rsidRDefault="00ED4A8F" w:rsidP="001214AD">
      <w:pPr>
        <w:widowControl w:val="0"/>
        <w:spacing w:line="288" w:lineRule="auto"/>
        <w:rPr>
          <w:rFonts w:eastAsia="Calibri"/>
          <w:lang w:val="en-NZ"/>
        </w:rPr>
      </w:pPr>
    </w:p>
    <w:p w14:paraId="3EEF0130" w14:textId="0FB31B4D" w:rsidR="00BA6667" w:rsidRDefault="00BA6667" w:rsidP="00ED4A8F">
      <w:pPr>
        <w:widowControl w:val="0"/>
        <w:spacing w:line="288" w:lineRule="auto"/>
        <w:rPr>
          <w:b/>
        </w:rPr>
      </w:pPr>
      <w:r w:rsidRPr="00BA6667">
        <w:rPr>
          <w:b/>
        </w:rPr>
        <w:t>5.</w:t>
      </w:r>
      <w:r w:rsidR="00ED4A8F">
        <w:rPr>
          <w:b/>
        </w:rPr>
        <w:t xml:space="preserve"> </w:t>
      </w:r>
      <w:r w:rsidR="00243B6E">
        <w:rPr>
          <w:b/>
        </w:rPr>
        <w:t xml:space="preserve"> </w:t>
      </w:r>
      <w:r w:rsidR="00ED4A8F">
        <w:rPr>
          <w:b/>
        </w:rPr>
        <w:t>Conclusions</w:t>
      </w:r>
      <w:r w:rsidR="00A66A68" w:rsidRPr="00ED4A8F">
        <w:rPr>
          <w:b/>
        </w:rPr>
        <w:t xml:space="preserve"> </w:t>
      </w:r>
    </w:p>
    <w:p w14:paraId="40F96111" w14:textId="77777777" w:rsidR="00ED4A8F" w:rsidRPr="00ED4A8F" w:rsidRDefault="00ED4A8F" w:rsidP="00ED4A8F">
      <w:pPr>
        <w:widowControl w:val="0"/>
        <w:spacing w:line="288" w:lineRule="auto"/>
        <w:rPr>
          <w:sz w:val="12"/>
          <w:szCs w:val="12"/>
        </w:rPr>
      </w:pPr>
    </w:p>
    <w:p w14:paraId="57D138A2" w14:textId="5E53FF08" w:rsidR="00D95B61" w:rsidRDefault="00402D47" w:rsidP="00ED4A8F">
      <w:pPr>
        <w:widowControl w:val="0"/>
        <w:spacing w:line="288" w:lineRule="auto"/>
        <w:rPr>
          <w:rFonts w:asciiTheme="majorBidi" w:hAnsiTheme="majorBidi" w:cstheme="majorBidi"/>
        </w:rPr>
      </w:pPr>
      <w:r>
        <w:t xml:space="preserve">It is important </w:t>
      </w:r>
      <w:r w:rsidR="00E23BAD">
        <w:t>for</w:t>
      </w:r>
      <w:r w:rsidR="00B63F1A">
        <w:t xml:space="preserve"> a country such as the Solomon Is</w:t>
      </w:r>
      <w:r w:rsidR="00582692">
        <w:t xml:space="preserve">lands to have clear evidence on the </w:t>
      </w:r>
      <w:r w:rsidR="00B63F1A">
        <w:t xml:space="preserve">costs and benefits of deforestation. </w:t>
      </w:r>
      <w:r w:rsidR="00650ABF">
        <w:rPr>
          <w:rFonts w:asciiTheme="majorBidi" w:hAnsiTheme="majorBidi" w:cstheme="majorBidi"/>
        </w:rPr>
        <w:t>The economic benefits are very clear to policy makers since about one-half of foreign exchange and one</w:t>
      </w:r>
      <w:r>
        <w:rPr>
          <w:rFonts w:asciiTheme="majorBidi" w:hAnsiTheme="majorBidi" w:cstheme="majorBidi"/>
        </w:rPr>
        <w:t>-sixth of government revenue ar</w:t>
      </w:r>
      <w:r w:rsidR="00650ABF">
        <w:rPr>
          <w:rFonts w:asciiTheme="majorBidi" w:hAnsiTheme="majorBidi" w:cstheme="majorBidi"/>
        </w:rPr>
        <w:t>e from logging.</w:t>
      </w:r>
      <w:r w:rsidR="00650ABF">
        <w:rPr>
          <w:rFonts w:eastAsia="Times New Roman"/>
          <w:lang w:val="en-NZ"/>
        </w:rPr>
        <w:t xml:space="preserve"> However, the evidence on costs is </w:t>
      </w:r>
      <w:r w:rsidR="00086D90">
        <w:rPr>
          <w:rFonts w:eastAsia="Times New Roman"/>
          <w:lang w:val="en-NZ"/>
        </w:rPr>
        <w:t xml:space="preserve">mostly </w:t>
      </w:r>
      <w:r w:rsidR="00650ABF">
        <w:rPr>
          <w:rFonts w:eastAsia="Times New Roman"/>
          <w:lang w:val="en-NZ"/>
        </w:rPr>
        <w:t xml:space="preserve">in terms of </w:t>
      </w:r>
      <w:r w:rsidR="00B63F1A">
        <w:t>environmental damage</w:t>
      </w:r>
      <w:r w:rsidR="00650ABF">
        <w:t xml:space="preserve">, </w:t>
      </w:r>
      <w:r w:rsidR="00B63F1A">
        <w:t xml:space="preserve">due to poorly monitored </w:t>
      </w:r>
      <w:r w:rsidR="00537793">
        <w:t>‘</w:t>
      </w:r>
      <w:r w:rsidR="00650ABF">
        <w:t>selective</w:t>
      </w:r>
      <w:r w:rsidR="00537793">
        <w:t>’</w:t>
      </w:r>
      <w:r w:rsidR="00650ABF">
        <w:t xml:space="preserve"> </w:t>
      </w:r>
      <w:r w:rsidR="00B63F1A">
        <w:t>logging (</w:t>
      </w:r>
      <w:r w:rsidR="00303565">
        <w:t xml:space="preserve">for example, </w:t>
      </w:r>
      <w:r w:rsidR="00B63F1A">
        <w:t xml:space="preserve"> </w:t>
      </w:r>
      <w:proofErr w:type="spellStart"/>
      <w:r w:rsidR="00B63F1A">
        <w:t>Katovai</w:t>
      </w:r>
      <w:proofErr w:type="spellEnd"/>
      <w:r w:rsidR="00B63F1A">
        <w:t xml:space="preserve"> </w:t>
      </w:r>
      <w:r w:rsidR="00303565">
        <w:rPr>
          <w:i/>
        </w:rPr>
        <w:t>et al</w:t>
      </w:r>
      <w:r w:rsidR="00303565">
        <w:t xml:space="preserve">. </w:t>
      </w:r>
      <w:r w:rsidR="00B63F1A">
        <w:t>2015)</w:t>
      </w:r>
      <w:r w:rsidR="001F0CD4">
        <w:t xml:space="preserve"> and it is possible that policy makers discount this evidence since the Solomon Islands remains heavily forested</w:t>
      </w:r>
      <w:r w:rsidR="00650ABF">
        <w:t xml:space="preserve">. In this paper, new evidence </w:t>
      </w:r>
      <w:proofErr w:type="gramStart"/>
      <w:r w:rsidR="00650ABF">
        <w:t>is reported</w:t>
      </w:r>
      <w:proofErr w:type="gramEnd"/>
      <w:r w:rsidR="00650ABF">
        <w:t xml:space="preserve"> on </w:t>
      </w:r>
      <w:r w:rsidR="00B63F1A">
        <w:rPr>
          <w:rFonts w:eastAsia="Times New Roman"/>
          <w:lang w:val="en-NZ"/>
        </w:rPr>
        <w:t xml:space="preserve">one </w:t>
      </w:r>
      <w:r w:rsidR="00650ABF">
        <w:rPr>
          <w:rFonts w:eastAsia="Times New Roman"/>
          <w:lang w:val="en-NZ"/>
        </w:rPr>
        <w:t xml:space="preserve">immediate </w:t>
      </w:r>
      <w:r w:rsidR="00B63F1A">
        <w:rPr>
          <w:rFonts w:eastAsia="Times New Roman"/>
          <w:lang w:val="en-NZ"/>
        </w:rPr>
        <w:t xml:space="preserve">welfare cost of </w:t>
      </w:r>
      <w:r w:rsidR="00650ABF">
        <w:rPr>
          <w:rFonts w:eastAsia="Times New Roman"/>
          <w:lang w:val="en-NZ"/>
        </w:rPr>
        <w:t>deforestation</w:t>
      </w:r>
      <w:r w:rsidR="00B63F1A">
        <w:rPr>
          <w:rFonts w:eastAsia="Times New Roman"/>
          <w:lang w:val="en-NZ"/>
        </w:rPr>
        <w:t xml:space="preserve">, which is that there is higher local economic inequality within </w:t>
      </w:r>
      <w:r w:rsidR="00650ABF">
        <w:rPr>
          <w:rFonts w:eastAsia="Times New Roman"/>
          <w:lang w:val="en-NZ"/>
        </w:rPr>
        <w:t xml:space="preserve">the </w:t>
      </w:r>
      <w:r w:rsidR="00B63F1A">
        <w:rPr>
          <w:rFonts w:eastAsia="Times New Roman"/>
          <w:lang w:val="en-NZ"/>
        </w:rPr>
        <w:t xml:space="preserve">affected </w:t>
      </w:r>
      <w:r w:rsidR="00650ABF">
        <w:rPr>
          <w:rFonts w:eastAsia="Times New Roman"/>
          <w:lang w:val="en-NZ"/>
        </w:rPr>
        <w:t xml:space="preserve">areas. Specifically, </w:t>
      </w:r>
      <w:r w:rsidR="00DE5FE3">
        <w:rPr>
          <w:rFonts w:asciiTheme="majorBidi" w:hAnsiTheme="majorBidi" w:cstheme="majorBidi"/>
        </w:rPr>
        <w:t xml:space="preserve">if ten percent of the forest </w:t>
      </w:r>
      <w:r w:rsidR="00650ABF">
        <w:rPr>
          <w:rFonts w:asciiTheme="majorBidi" w:hAnsiTheme="majorBidi" w:cstheme="majorBidi"/>
        </w:rPr>
        <w:t xml:space="preserve">cover </w:t>
      </w:r>
      <w:r w:rsidR="00DE5FE3">
        <w:rPr>
          <w:rFonts w:asciiTheme="majorBidi" w:hAnsiTheme="majorBidi" w:cstheme="majorBidi"/>
        </w:rPr>
        <w:t>in a ward was lost</w:t>
      </w:r>
      <w:r w:rsidR="00650ABF">
        <w:rPr>
          <w:rFonts w:asciiTheme="majorBidi" w:hAnsiTheme="majorBidi" w:cstheme="majorBidi"/>
        </w:rPr>
        <w:t xml:space="preserve"> over the 2000 to 2012 period</w:t>
      </w:r>
      <w:r w:rsidR="00DE5FE3">
        <w:rPr>
          <w:rFonts w:asciiTheme="majorBidi" w:hAnsiTheme="majorBidi" w:cstheme="majorBidi"/>
        </w:rPr>
        <w:t xml:space="preserve">, the Gini index in 2013 would be 3.9 points higher. In </w:t>
      </w:r>
      <w:r w:rsidR="00650ABF">
        <w:rPr>
          <w:rFonts w:asciiTheme="majorBidi" w:hAnsiTheme="majorBidi" w:cstheme="majorBidi"/>
        </w:rPr>
        <w:t xml:space="preserve">many settings, policy makers reveal an aversion to </w:t>
      </w:r>
      <w:r w:rsidR="00086D90">
        <w:rPr>
          <w:rFonts w:asciiTheme="majorBidi" w:hAnsiTheme="majorBidi" w:cstheme="majorBidi"/>
        </w:rPr>
        <w:t xml:space="preserve">increased </w:t>
      </w:r>
      <w:r w:rsidR="00650ABF">
        <w:rPr>
          <w:rFonts w:asciiTheme="majorBidi" w:hAnsiTheme="majorBidi" w:cstheme="majorBidi"/>
        </w:rPr>
        <w:t>inequality, so knowing that</w:t>
      </w:r>
      <w:r>
        <w:rPr>
          <w:rFonts w:asciiTheme="majorBidi" w:hAnsiTheme="majorBidi" w:cstheme="majorBidi"/>
        </w:rPr>
        <w:t xml:space="preserve"> a standard deviation ris</w:t>
      </w:r>
      <w:r w:rsidR="00DE5FE3">
        <w:rPr>
          <w:rFonts w:asciiTheme="majorBidi" w:hAnsiTheme="majorBidi" w:cstheme="majorBidi"/>
        </w:rPr>
        <w:t xml:space="preserve">e in </w:t>
      </w:r>
      <w:r>
        <w:rPr>
          <w:rFonts w:asciiTheme="majorBidi" w:hAnsiTheme="majorBidi" w:cstheme="majorBidi"/>
        </w:rPr>
        <w:t>the rate of forest loss rais</w:t>
      </w:r>
      <w:r w:rsidR="00DE5FE3">
        <w:rPr>
          <w:rFonts w:asciiTheme="majorBidi" w:hAnsiTheme="majorBidi" w:cstheme="majorBidi"/>
        </w:rPr>
        <w:t xml:space="preserve">es </w:t>
      </w:r>
      <w:r w:rsidR="00086D90">
        <w:rPr>
          <w:rFonts w:asciiTheme="majorBidi" w:hAnsiTheme="majorBidi" w:cstheme="majorBidi"/>
        </w:rPr>
        <w:t xml:space="preserve">local </w:t>
      </w:r>
      <w:r w:rsidR="00DE5FE3">
        <w:rPr>
          <w:rFonts w:asciiTheme="majorBidi" w:hAnsiTheme="majorBidi" w:cstheme="majorBidi"/>
        </w:rPr>
        <w:t>inequality by one-third of a standard deviation</w:t>
      </w:r>
      <w:r>
        <w:rPr>
          <w:rFonts w:asciiTheme="majorBidi" w:hAnsiTheme="majorBidi" w:cstheme="majorBidi"/>
        </w:rPr>
        <w:t xml:space="preserve"> in the rur</w:t>
      </w:r>
      <w:r w:rsidR="00086D90">
        <w:rPr>
          <w:rFonts w:asciiTheme="majorBidi" w:hAnsiTheme="majorBidi" w:cstheme="majorBidi"/>
        </w:rPr>
        <w:t xml:space="preserve">al Solomon Islands may help </w:t>
      </w:r>
      <w:r w:rsidR="001F0CD4">
        <w:rPr>
          <w:rFonts w:asciiTheme="majorBidi" w:hAnsiTheme="majorBidi" w:cstheme="majorBidi"/>
        </w:rPr>
        <w:t xml:space="preserve">local </w:t>
      </w:r>
      <w:r w:rsidR="00086D90">
        <w:rPr>
          <w:rFonts w:asciiTheme="majorBidi" w:hAnsiTheme="majorBidi" w:cstheme="majorBidi"/>
        </w:rPr>
        <w:t>policy makers</w:t>
      </w:r>
      <w:r>
        <w:rPr>
          <w:rFonts w:asciiTheme="majorBidi" w:hAnsiTheme="majorBidi" w:cstheme="majorBidi"/>
        </w:rPr>
        <w:t xml:space="preserve"> </w:t>
      </w:r>
      <w:r w:rsidR="001F0CD4">
        <w:rPr>
          <w:rFonts w:asciiTheme="majorBidi" w:hAnsiTheme="majorBidi" w:cstheme="majorBidi"/>
        </w:rPr>
        <w:t xml:space="preserve">to </w:t>
      </w:r>
      <w:r w:rsidR="00086D90">
        <w:rPr>
          <w:rFonts w:asciiTheme="majorBidi" w:hAnsiTheme="majorBidi" w:cstheme="majorBidi"/>
        </w:rPr>
        <w:t xml:space="preserve">better focus on </w:t>
      </w:r>
      <w:r>
        <w:rPr>
          <w:rFonts w:asciiTheme="majorBidi" w:hAnsiTheme="majorBidi" w:cstheme="majorBidi"/>
        </w:rPr>
        <w:t>some of the</w:t>
      </w:r>
      <w:r w:rsidR="00086D90">
        <w:rPr>
          <w:rFonts w:asciiTheme="majorBidi" w:hAnsiTheme="majorBidi" w:cstheme="majorBidi"/>
        </w:rPr>
        <w:t>se</w:t>
      </w:r>
      <w:r>
        <w:rPr>
          <w:rFonts w:asciiTheme="majorBidi" w:hAnsiTheme="majorBidi" w:cstheme="majorBidi"/>
        </w:rPr>
        <w:t xml:space="preserve"> </w:t>
      </w:r>
      <w:r w:rsidR="001F0CD4">
        <w:rPr>
          <w:rFonts w:asciiTheme="majorBidi" w:hAnsiTheme="majorBidi" w:cstheme="majorBidi"/>
        </w:rPr>
        <w:t xml:space="preserve">welfare </w:t>
      </w:r>
      <w:r>
        <w:rPr>
          <w:rFonts w:asciiTheme="majorBidi" w:hAnsiTheme="majorBidi" w:cstheme="majorBidi"/>
        </w:rPr>
        <w:t>costs</w:t>
      </w:r>
      <w:r w:rsidR="001F0CD4">
        <w:rPr>
          <w:rFonts w:asciiTheme="majorBidi" w:hAnsiTheme="majorBidi" w:cstheme="majorBidi"/>
        </w:rPr>
        <w:t xml:space="preserve"> of logging</w:t>
      </w:r>
      <w:r>
        <w:rPr>
          <w:rFonts w:asciiTheme="majorBidi" w:hAnsiTheme="majorBidi" w:cstheme="majorBidi"/>
        </w:rPr>
        <w:t>.</w:t>
      </w:r>
    </w:p>
    <w:p w14:paraId="3A0D9C59" w14:textId="77777777" w:rsidR="00ED4A8F" w:rsidRPr="00157919" w:rsidRDefault="00ED4A8F" w:rsidP="00ED4A8F">
      <w:pPr>
        <w:widowControl w:val="0"/>
        <w:spacing w:line="288" w:lineRule="auto"/>
      </w:pPr>
    </w:p>
    <w:p w14:paraId="6D1AE57E" w14:textId="26C216A1" w:rsidR="00023590" w:rsidRDefault="00DB018D" w:rsidP="001214AD">
      <w:pPr>
        <w:widowControl w:val="0"/>
        <w:spacing w:line="288" w:lineRule="auto"/>
      </w:pPr>
      <w:r>
        <w:tab/>
      </w:r>
      <w:r w:rsidR="00E23BAD">
        <w:t>In terms of methodology, t</w:t>
      </w:r>
      <w:r w:rsidR="00402D47">
        <w:t xml:space="preserve">hese estimates of how deforestation affects local inequality would not be possible without </w:t>
      </w:r>
      <w:r w:rsidR="00E23BAD">
        <w:t xml:space="preserve">the survey-to-census imputation approach to getting small-area estimates of welfare statistics. </w:t>
      </w:r>
      <w:r w:rsidR="00537793">
        <w:t xml:space="preserve">This technique </w:t>
      </w:r>
      <w:proofErr w:type="gramStart"/>
      <w:r w:rsidR="00537793">
        <w:t>is rarely used</w:t>
      </w:r>
      <w:proofErr w:type="gramEnd"/>
      <w:r w:rsidR="00537793">
        <w:t xml:space="preserve"> in environmental economics, yet it lets one link remote sensing data on environmental change to data on human welfare indicators at a spatial scale that better matches the scale of decision-making units. In the So</w:t>
      </w:r>
      <w:r w:rsidR="00086D90">
        <w:t xml:space="preserve">lomon Islands, where most </w:t>
      </w:r>
      <w:r w:rsidR="00537793">
        <w:t xml:space="preserve">forests are under customary </w:t>
      </w:r>
      <w:r w:rsidR="00086D90">
        <w:t>ownership, the spatial structure</w:t>
      </w:r>
      <w:r w:rsidR="00537793">
        <w:t xml:space="preserve"> of the units used here (wards) </w:t>
      </w:r>
      <w:r w:rsidR="00086D90">
        <w:t xml:space="preserve">is due to </w:t>
      </w:r>
      <w:r w:rsidR="00537793">
        <w:t xml:space="preserve">the same topographic factors that affect tribal boundaries and </w:t>
      </w:r>
      <w:r w:rsidR="00086D90">
        <w:t xml:space="preserve">that </w:t>
      </w:r>
      <w:r w:rsidR="00537793">
        <w:t>also affect the patterns of deforestation</w:t>
      </w:r>
      <w:r w:rsidR="0005578E">
        <w:t>.</w:t>
      </w:r>
      <w:r w:rsidR="00086D90">
        <w:t xml:space="preserve"> Consequently, there is less risk of ecological fallacy in research carried out with these spatially detailed data. In contrast, if one only had the survey data to rely on, which would necessitate carrying out analyses at provincial level, the </w:t>
      </w:r>
      <w:r w:rsidR="001F0CD4">
        <w:t xml:space="preserve">effect of </w:t>
      </w:r>
      <w:r w:rsidR="00086D90">
        <w:t xml:space="preserve">deforestation </w:t>
      </w:r>
      <w:r w:rsidR="001F0CD4">
        <w:t xml:space="preserve">on </w:t>
      </w:r>
      <w:r w:rsidR="00086D90">
        <w:t xml:space="preserve">subsequent inequality </w:t>
      </w:r>
      <w:proofErr w:type="gramStart"/>
      <w:r w:rsidR="00086D90">
        <w:t>would be obscured</w:t>
      </w:r>
      <w:proofErr w:type="gramEnd"/>
      <w:r w:rsidR="00086D90">
        <w:t xml:space="preserve">. </w:t>
      </w:r>
    </w:p>
    <w:p w14:paraId="23883A50" w14:textId="77777777" w:rsidR="00582692" w:rsidRDefault="00582692">
      <w:pPr>
        <w:spacing w:after="200" w:line="276" w:lineRule="auto"/>
        <w:jc w:val="left"/>
        <w:rPr>
          <w:b/>
        </w:rPr>
      </w:pPr>
      <w:r>
        <w:rPr>
          <w:b/>
        </w:rPr>
        <w:br w:type="page"/>
      </w:r>
    </w:p>
    <w:p w14:paraId="605F8D05" w14:textId="399851D5" w:rsidR="002853C2" w:rsidRPr="002853C2" w:rsidRDefault="000624CC" w:rsidP="00240B57">
      <w:pPr>
        <w:keepNext/>
        <w:rPr>
          <w:b/>
        </w:rPr>
      </w:pPr>
      <w:r>
        <w:rPr>
          <w:b/>
        </w:rPr>
        <w:lastRenderedPageBreak/>
        <w:t>References</w:t>
      </w:r>
    </w:p>
    <w:p w14:paraId="3DDCC0D2" w14:textId="652B1A3C" w:rsidR="00240B57" w:rsidRDefault="00240B57" w:rsidP="00240B57">
      <w:pPr>
        <w:ind w:left="567" w:hanging="567"/>
        <w:rPr>
          <w:rFonts w:asciiTheme="majorBidi" w:hAnsiTheme="majorBidi" w:cstheme="majorBidi"/>
          <w:color w:val="222222"/>
          <w:sz w:val="10"/>
          <w:szCs w:val="10"/>
          <w:shd w:val="clear" w:color="auto" w:fill="FFFFFF"/>
        </w:rPr>
      </w:pPr>
    </w:p>
    <w:p w14:paraId="45267F0E" w14:textId="77777777" w:rsidR="00240B57" w:rsidRPr="00240B57" w:rsidRDefault="00240B57" w:rsidP="00240B57">
      <w:pPr>
        <w:ind w:left="567" w:hanging="567"/>
        <w:rPr>
          <w:rFonts w:asciiTheme="majorBidi" w:hAnsiTheme="majorBidi" w:cstheme="majorBidi"/>
          <w:color w:val="222222"/>
          <w:sz w:val="10"/>
          <w:szCs w:val="10"/>
          <w:shd w:val="clear" w:color="auto" w:fill="FFFFFF"/>
        </w:rPr>
      </w:pPr>
    </w:p>
    <w:p w14:paraId="0C397411" w14:textId="5C70E7D2" w:rsidR="00D33379" w:rsidRPr="00F73D75" w:rsidRDefault="00D33379" w:rsidP="00ED4A8F">
      <w:pPr>
        <w:spacing w:after="200"/>
        <w:ind w:left="567" w:hanging="567"/>
        <w:rPr>
          <w:rFonts w:asciiTheme="majorBidi" w:hAnsiTheme="majorBidi" w:cstheme="majorBidi"/>
          <w:color w:val="222222"/>
          <w:sz w:val="22"/>
          <w:szCs w:val="22"/>
          <w:shd w:val="clear" w:color="auto" w:fill="FFFFFF"/>
        </w:rPr>
      </w:pPr>
      <w:proofErr w:type="spellStart"/>
      <w:r w:rsidRPr="00F73D75">
        <w:rPr>
          <w:rFonts w:asciiTheme="majorBidi" w:hAnsiTheme="majorBidi" w:cstheme="majorBidi"/>
          <w:color w:val="222222"/>
          <w:sz w:val="22"/>
          <w:szCs w:val="22"/>
          <w:shd w:val="clear" w:color="auto" w:fill="FFFFFF"/>
        </w:rPr>
        <w:t>Anselin</w:t>
      </w:r>
      <w:proofErr w:type="spellEnd"/>
      <w:r w:rsidRPr="00F73D75">
        <w:rPr>
          <w:rFonts w:asciiTheme="majorBidi" w:hAnsiTheme="majorBidi" w:cstheme="majorBidi"/>
          <w:color w:val="222222"/>
          <w:sz w:val="22"/>
          <w:szCs w:val="22"/>
          <w:shd w:val="clear" w:color="auto" w:fill="FFFFFF"/>
        </w:rPr>
        <w:t xml:space="preserve">, L. (1988). </w:t>
      </w:r>
      <w:proofErr w:type="gramStart"/>
      <w:r w:rsidRPr="00F73D75">
        <w:rPr>
          <w:rFonts w:asciiTheme="majorBidi" w:hAnsiTheme="majorBidi" w:cstheme="majorBidi"/>
          <w:i/>
          <w:color w:val="222222"/>
          <w:sz w:val="22"/>
          <w:szCs w:val="22"/>
          <w:shd w:val="clear" w:color="auto" w:fill="FFFFFF"/>
        </w:rPr>
        <w:t>Spatial Econometrics: Methods and Models</w:t>
      </w:r>
      <w:r w:rsidRPr="00F73D75">
        <w:rPr>
          <w:rFonts w:asciiTheme="majorBidi" w:hAnsiTheme="majorBidi" w:cstheme="majorBidi"/>
          <w:color w:val="222222"/>
          <w:sz w:val="22"/>
          <w:szCs w:val="22"/>
          <w:shd w:val="clear" w:color="auto" w:fill="FFFFFF"/>
        </w:rPr>
        <w:t xml:space="preserve"> Dordrecht: Kluwer Academic Publishers.</w:t>
      </w:r>
      <w:proofErr w:type="gramEnd"/>
    </w:p>
    <w:p w14:paraId="684B3F7B" w14:textId="510601A1" w:rsidR="00F00519" w:rsidRPr="00F73D75" w:rsidRDefault="00F00519" w:rsidP="00ED4A8F">
      <w:pPr>
        <w:spacing w:after="200"/>
        <w:ind w:left="567" w:hanging="567"/>
        <w:rPr>
          <w:rFonts w:asciiTheme="majorBidi" w:hAnsiTheme="majorBidi" w:cstheme="majorBidi"/>
          <w:color w:val="222222"/>
          <w:sz w:val="22"/>
          <w:szCs w:val="22"/>
          <w:shd w:val="clear" w:color="auto" w:fill="FFFFFF"/>
        </w:rPr>
      </w:pPr>
      <w:proofErr w:type="spellStart"/>
      <w:r w:rsidRPr="00F73D75">
        <w:rPr>
          <w:rFonts w:asciiTheme="majorBidi" w:hAnsiTheme="majorBidi" w:cstheme="majorBidi"/>
          <w:color w:val="222222"/>
          <w:sz w:val="22"/>
          <w:szCs w:val="22"/>
          <w:shd w:val="clear" w:color="auto" w:fill="FFFFFF"/>
        </w:rPr>
        <w:t>Anselin</w:t>
      </w:r>
      <w:proofErr w:type="spellEnd"/>
      <w:r w:rsidRPr="00F73D75">
        <w:rPr>
          <w:rFonts w:asciiTheme="majorBidi" w:hAnsiTheme="majorBidi" w:cstheme="majorBidi"/>
          <w:color w:val="222222"/>
          <w:sz w:val="22"/>
          <w:szCs w:val="22"/>
          <w:shd w:val="clear" w:color="auto" w:fill="FFFFFF"/>
        </w:rPr>
        <w:t>, L. (2001). ‘Spatial effects in econometric practice in environmental and resource economics’,</w:t>
      </w:r>
      <w:r w:rsidRPr="00F73D75">
        <w:rPr>
          <w:rStyle w:val="apple-converted-space"/>
          <w:rFonts w:asciiTheme="majorBidi" w:hAnsiTheme="majorBidi" w:cstheme="majorBidi"/>
          <w:color w:val="222222"/>
          <w:sz w:val="22"/>
          <w:szCs w:val="22"/>
          <w:shd w:val="clear" w:color="auto" w:fill="FFFFFF"/>
        </w:rPr>
        <w:t> </w:t>
      </w:r>
      <w:r w:rsidRPr="00F73D75">
        <w:rPr>
          <w:rFonts w:asciiTheme="majorBidi" w:hAnsiTheme="majorBidi" w:cstheme="majorBidi"/>
          <w:i/>
          <w:iCs/>
          <w:color w:val="222222"/>
          <w:sz w:val="22"/>
          <w:szCs w:val="22"/>
          <w:shd w:val="clear" w:color="auto" w:fill="FFFFFF"/>
        </w:rPr>
        <w:t>American Journal of Agricultural Economics</w:t>
      </w:r>
      <w:r w:rsidRPr="00F73D75">
        <w:rPr>
          <w:rStyle w:val="apple-converted-space"/>
          <w:rFonts w:asciiTheme="majorBidi" w:hAnsiTheme="majorBidi" w:cstheme="majorBidi"/>
          <w:color w:val="222222"/>
          <w:sz w:val="22"/>
          <w:szCs w:val="22"/>
          <w:shd w:val="clear" w:color="auto" w:fill="FFFFFF"/>
        </w:rPr>
        <w:t> </w:t>
      </w:r>
      <w:r w:rsidRPr="00F73D75">
        <w:rPr>
          <w:rFonts w:asciiTheme="majorBidi" w:hAnsiTheme="majorBidi" w:cstheme="majorBidi"/>
          <w:color w:val="222222"/>
          <w:sz w:val="22"/>
          <w:szCs w:val="22"/>
          <w:shd w:val="clear" w:color="auto" w:fill="FFFFFF"/>
        </w:rPr>
        <w:t>83(3): 705-710.</w:t>
      </w:r>
    </w:p>
    <w:p w14:paraId="6E7966E9" w14:textId="739EE4AC" w:rsidR="00CE2FFE" w:rsidRPr="00F73D75" w:rsidRDefault="00CE2FFE" w:rsidP="00ED4A8F">
      <w:pPr>
        <w:spacing w:after="200"/>
        <w:ind w:left="567" w:hanging="567"/>
        <w:rPr>
          <w:rFonts w:eastAsia="Times New Roman"/>
          <w:sz w:val="22"/>
          <w:szCs w:val="22"/>
        </w:rPr>
      </w:pPr>
      <w:proofErr w:type="gramStart"/>
      <w:r w:rsidRPr="00F73D75">
        <w:rPr>
          <w:sz w:val="22"/>
          <w:szCs w:val="22"/>
        </w:rPr>
        <w:t>Aragón</w:t>
      </w:r>
      <w:r w:rsidRPr="00F73D75">
        <w:rPr>
          <w:rFonts w:eastAsia="Times New Roman"/>
          <w:sz w:val="22"/>
          <w:szCs w:val="22"/>
        </w:rPr>
        <w:t xml:space="preserve">, F., </w:t>
      </w:r>
      <w:proofErr w:type="spellStart"/>
      <w:r w:rsidRPr="00F73D75">
        <w:rPr>
          <w:rFonts w:eastAsia="Times New Roman"/>
          <w:sz w:val="22"/>
          <w:szCs w:val="22"/>
        </w:rPr>
        <w:t>Chuhan</w:t>
      </w:r>
      <w:proofErr w:type="spellEnd"/>
      <w:r w:rsidRPr="00F73D75">
        <w:rPr>
          <w:rFonts w:eastAsia="Times New Roman"/>
          <w:sz w:val="22"/>
          <w:szCs w:val="22"/>
        </w:rPr>
        <w:t>-Pole, P., and Land, B. (2015).</w:t>
      </w:r>
      <w:proofErr w:type="gramEnd"/>
      <w:r w:rsidRPr="00F73D75">
        <w:rPr>
          <w:rFonts w:eastAsia="Times New Roman"/>
          <w:sz w:val="22"/>
          <w:szCs w:val="22"/>
        </w:rPr>
        <w:t xml:space="preserve"> ‘The local economic impacts of resource abundance: What have we learned?</w:t>
      </w:r>
      <w:proofErr w:type="gramStart"/>
      <w:r w:rsidRPr="00F73D75">
        <w:rPr>
          <w:rFonts w:eastAsia="Times New Roman"/>
          <w:sz w:val="22"/>
          <w:szCs w:val="22"/>
        </w:rPr>
        <w:t>’,</w:t>
      </w:r>
      <w:proofErr w:type="gramEnd"/>
      <w:r w:rsidRPr="00F73D75">
        <w:rPr>
          <w:rFonts w:eastAsia="Times New Roman"/>
          <w:sz w:val="22"/>
          <w:szCs w:val="22"/>
        </w:rPr>
        <w:t xml:space="preserve"> </w:t>
      </w:r>
      <w:r w:rsidRPr="00F73D75">
        <w:rPr>
          <w:rFonts w:eastAsia="Times New Roman"/>
          <w:i/>
          <w:iCs/>
          <w:sz w:val="22"/>
          <w:szCs w:val="22"/>
        </w:rPr>
        <w:t>Policy Research Working Paper</w:t>
      </w:r>
      <w:r w:rsidRPr="00F73D75">
        <w:rPr>
          <w:rFonts w:eastAsia="Times New Roman"/>
          <w:sz w:val="22"/>
          <w:szCs w:val="22"/>
        </w:rPr>
        <w:t xml:space="preserve"> No. 7263, The World Bank.</w:t>
      </w:r>
      <w:r w:rsidRPr="00F73D75">
        <w:rPr>
          <w:sz w:val="22"/>
          <w:szCs w:val="22"/>
        </w:rPr>
        <w:t xml:space="preserve"> </w:t>
      </w:r>
    </w:p>
    <w:p w14:paraId="7A22ED7E" w14:textId="4FF109B0" w:rsidR="00233765" w:rsidRPr="00F73D75" w:rsidRDefault="00E21029" w:rsidP="00ED4A8F">
      <w:pPr>
        <w:spacing w:after="200"/>
        <w:ind w:left="567" w:hanging="567"/>
        <w:rPr>
          <w:rFonts w:eastAsia="Times New Roman"/>
          <w:sz w:val="22"/>
          <w:szCs w:val="22"/>
        </w:rPr>
      </w:pPr>
      <w:proofErr w:type="spellStart"/>
      <w:r w:rsidRPr="00F73D75">
        <w:rPr>
          <w:rFonts w:eastAsia="Times New Roman"/>
          <w:sz w:val="22"/>
          <w:szCs w:val="22"/>
        </w:rPr>
        <w:t>Bedi</w:t>
      </w:r>
      <w:proofErr w:type="spellEnd"/>
      <w:r w:rsidRPr="00F73D75">
        <w:rPr>
          <w:rFonts w:eastAsia="Times New Roman"/>
          <w:sz w:val="22"/>
          <w:szCs w:val="22"/>
        </w:rPr>
        <w:t xml:space="preserve">, T., A. </w:t>
      </w:r>
      <w:proofErr w:type="spellStart"/>
      <w:r w:rsidRPr="00F73D75">
        <w:rPr>
          <w:rFonts w:eastAsia="Times New Roman"/>
          <w:sz w:val="22"/>
          <w:szCs w:val="22"/>
        </w:rPr>
        <w:t>Coudouel</w:t>
      </w:r>
      <w:proofErr w:type="spellEnd"/>
      <w:r w:rsidRPr="00F73D75">
        <w:rPr>
          <w:rFonts w:eastAsia="Times New Roman"/>
          <w:sz w:val="22"/>
          <w:szCs w:val="22"/>
        </w:rPr>
        <w:t xml:space="preserve">, and K. </w:t>
      </w:r>
      <w:proofErr w:type="spellStart"/>
      <w:r w:rsidRPr="00F73D75">
        <w:rPr>
          <w:rFonts w:eastAsia="Times New Roman"/>
          <w:sz w:val="22"/>
          <w:szCs w:val="22"/>
        </w:rPr>
        <w:t>Simler</w:t>
      </w:r>
      <w:proofErr w:type="spellEnd"/>
      <w:r w:rsidRPr="00F73D75">
        <w:rPr>
          <w:rFonts w:eastAsia="Times New Roman"/>
          <w:sz w:val="22"/>
          <w:szCs w:val="22"/>
        </w:rPr>
        <w:t xml:space="preserve"> (2007), </w:t>
      </w:r>
      <w:r w:rsidRPr="00F73D75">
        <w:rPr>
          <w:rFonts w:eastAsia="Times New Roman"/>
          <w:i/>
          <w:iCs/>
          <w:sz w:val="22"/>
          <w:szCs w:val="22"/>
        </w:rPr>
        <w:t>More Than a Pretty Picture: Using Poverty Maps to Design Better Policies and Interventions</w:t>
      </w:r>
      <w:r w:rsidRPr="00F73D75">
        <w:rPr>
          <w:rFonts w:eastAsia="Times New Roman"/>
          <w:sz w:val="22"/>
          <w:szCs w:val="22"/>
        </w:rPr>
        <w:t xml:space="preserve">. </w:t>
      </w:r>
      <w:proofErr w:type="gramStart"/>
      <w:r w:rsidRPr="00F73D75">
        <w:rPr>
          <w:rFonts w:eastAsia="Times New Roman"/>
          <w:sz w:val="22"/>
          <w:szCs w:val="22"/>
        </w:rPr>
        <w:t>World Bank Publications.</w:t>
      </w:r>
      <w:proofErr w:type="gramEnd"/>
    </w:p>
    <w:p w14:paraId="6D0D7E2D" w14:textId="41FAC679" w:rsidR="00EB5341" w:rsidRPr="00F73D75" w:rsidRDefault="00EB5341" w:rsidP="00ED4A8F">
      <w:pPr>
        <w:spacing w:after="200"/>
        <w:ind w:left="567" w:hanging="567"/>
        <w:rPr>
          <w:rFonts w:eastAsia="Times New Roman"/>
          <w:sz w:val="22"/>
          <w:szCs w:val="22"/>
        </w:rPr>
      </w:pPr>
      <w:proofErr w:type="spellStart"/>
      <w:proofErr w:type="gramStart"/>
      <w:r w:rsidRPr="00F73D75">
        <w:rPr>
          <w:rFonts w:eastAsia="Times New Roman"/>
          <w:sz w:val="22"/>
          <w:szCs w:val="22"/>
        </w:rPr>
        <w:t>Berazneva</w:t>
      </w:r>
      <w:proofErr w:type="spellEnd"/>
      <w:r w:rsidRPr="00F73D75">
        <w:rPr>
          <w:rFonts w:eastAsia="Times New Roman"/>
          <w:sz w:val="22"/>
          <w:szCs w:val="22"/>
        </w:rPr>
        <w:t xml:space="preserve">, J., and </w:t>
      </w:r>
      <w:proofErr w:type="spellStart"/>
      <w:r w:rsidRPr="00F73D75">
        <w:rPr>
          <w:rFonts w:eastAsia="Times New Roman"/>
          <w:sz w:val="22"/>
          <w:szCs w:val="22"/>
        </w:rPr>
        <w:t>Byker</w:t>
      </w:r>
      <w:proofErr w:type="spellEnd"/>
      <w:r w:rsidRPr="00F73D75">
        <w:rPr>
          <w:rFonts w:eastAsia="Times New Roman"/>
          <w:sz w:val="22"/>
          <w:szCs w:val="22"/>
        </w:rPr>
        <w:t>, T. (2017).</w:t>
      </w:r>
      <w:proofErr w:type="gramEnd"/>
      <w:r w:rsidRPr="00F73D75">
        <w:rPr>
          <w:rFonts w:eastAsia="Times New Roman"/>
          <w:sz w:val="22"/>
          <w:szCs w:val="22"/>
        </w:rPr>
        <w:t xml:space="preserve"> ‘Does forest loss increase human disease? Evidence from Nigeria’, </w:t>
      </w:r>
      <w:r w:rsidRPr="00F73D75">
        <w:rPr>
          <w:rFonts w:eastAsia="Times New Roman"/>
          <w:i/>
          <w:iCs/>
          <w:sz w:val="22"/>
          <w:szCs w:val="22"/>
        </w:rPr>
        <w:t>American Economic Review</w:t>
      </w:r>
      <w:r w:rsidRPr="00F73D75">
        <w:rPr>
          <w:rFonts w:eastAsia="Times New Roman"/>
          <w:sz w:val="22"/>
          <w:szCs w:val="22"/>
        </w:rPr>
        <w:t> 107(5): 516-521.</w:t>
      </w:r>
    </w:p>
    <w:p w14:paraId="32BCE0BE" w14:textId="65E97A7A" w:rsidR="00233765" w:rsidRPr="00F73D75" w:rsidRDefault="00233765" w:rsidP="00ED4A8F">
      <w:pPr>
        <w:spacing w:after="200"/>
        <w:ind w:left="567" w:hanging="567"/>
        <w:rPr>
          <w:rFonts w:eastAsia="Times New Roman"/>
          <w:sz w:val="22"/>
          <w:szCs w:val="22"/>
        </w:rPr>
      </w:pPr>
      <w:r w:rsidRPr="00F73D75">
        <w:rPr>
          <w:rFonts w:eastAsia="Times New Roman"/>
          <w:sz w:val="22"/>
          <w:szCs w:val="22"/>
        </w:rPr>
        <w:t>Boyce, J. (1994). ‘Inequality as a cause of environmental degradation’, </w:t>
      </w:r>
      <w:r w:rsidRPr="00F73D75">
        <w:rPr>
          <w:rFonts w:eastAsia="Times New Roman"/>
          <w:i/>
          <w:iCs/>
          <w:sz w:val="22"/>
          <w:szCs w:val="22"/>
        </w:rPr>
        <w:t xml:space="preserve">Ecological Economics </w:t>
      </w:r>
      <w:r w:rsidRPr="00F73D75">
        <w:rPr>
          <w:rFonts w:eastAsia="Times New Roman"/>
          <w:sz w:val="22"/>
          <w:szCs w:val="22"/>
        </w:rPr>
        <w:t>11(3): 169-178.</w:t>
      </w:r>
    </w:p>
    <w:p w14:paraId="490C7C7A" w14:textId="7298D649" w:rsidR="000A3C46" w:rsidRPr="00F73D75" w:rsidRDefault="000A3C46" w:rsidP="00ED4A8F">
      <w:pPr>
        <w:spacing w:after="200"/>
        <w:ind w:left="567" w:hanging="567"/>
        <w:rPr>
          <w:rFonts w:eastAsia="Times New Roman"/>
          <w:sz w:val="22"/>
          <w:szCs w:val="22"/>
          <w:lang w:val="en-AU"/>
        </w:rPr>
      </w:pPr>
      <w:proofErr w:type="spellStart"/>
      <w:proofErr w:type="gramStart"/>
      <w:r w:rsidRPr="00F73D75">
        <w:rPr>
          <w:rFonts w:eastAsia="Times New Roman"/>
          <w:sz w:val="22"/>
          <w:szCs w:val="22"/>
        </w:rPr>
        <w:t>Choumert</w:t>
      </w:r>
      <w:proofErr w:type="spellEnd"/>
      <w:r w:rsidRPr="00F73D75">
        <w:rPr>
          <w:rFonts w:eastAsia="Times New Roman"/>
          <w:sz w:val="22"/>
          <w:szCs w:val="22"/>
        </w:rPr>
        <w:t xml:space="preserve">, J., Motel, P. and </w:t>
      </w:r>
      <w:proofErr w:type="spellStart"/>
      <w:r w:rsidRPr="00F73D75">
        <w:rPr>
          <w:rFonts w:eastAsia="Times New Roman"/>
          <w:sz w:val="22"/>
          <w:szCs w:val="22"/>
        </w:rPr>
        <w:t>Dakpo</w:t>
      </w:r>
      <w:proofErr w:type="spellEnd"/>
      <w:r w:rsidRPr="00F73D75">
        <w:rPr>
          <w:rFonts w:eastAsia="Times New Roman"/>
          <w:sz w:val="22"/>
          <w:szCs w:val="22"/>
        </w:rPr>
        <w:t>, H. (2013).</w:t>
      </w:r>
      <w:proofErr w:type="gramEnd"/>
      <w:r w:rsidRPr="00F73D75">
        <w:rPr>
          <w:rFonts w:eastAsia="Times New Roman"/>
          <w:sz w:val="22"/>
          <w:szCs w:val="22"/>
        </w:rPr>
        <w:t xml:space="preserve"> ‘Is the Environmental Kuznets Curve for deforestation a threatened theory? A meta-analysis of the literature’, </w:t>
      </w:r>
      <w:r w:rsidRPr="00F73D75">
        <w:rPr>
          <w:rFonts w:eastAsia="Times New Roman"/>
          <w:i/>
          <w:iCs/>
          <w:sz w:val="22"/>
          <w:szCs w:val="22"/>
        </w:rPr>
        <w:t>Ecological Economics</w:t>
      </w:r>
      <w:r w:rsidRPr="00F73D75">
        <w:rPr>
          <w:rFonts w:eastAsia="Times New Roman"/>
          <w:sz w:val="22"/>
          <w:szCs w:val="22"/>
        </w:rPr>
        <w:t> 90(1): 19-28.</w:t>
      </w:r>
    </w:p>
    <w:p w14:paraId="22C8FA96" w14:textId="0DF0A98C" w:rsidR="00810679" w:rsidRPr="00F73D75" w:rsidRDefault="00810679" w:rsidP="00ED4A8F">
      <w:pPr>
        <w:spacing w:after="200"/>
        <w:ind w:left="567" w:hanging="567"/>
        <w:rPr>
          <w:rFonts w:eastAsia="Times New Roman"/>
          <w:sz w:val="22"/>
          <w:szCs w:val="22"/>
          <w:lang w:val="en-AU"/>
        </w:rPr>
      </w:pPr>
      <w:r w:rsidRPr="00F73D75">
        <w:rPr>
          <w:rFonts w:eastAsia="Times New Roman"/>
          <w:sz w:val="22"/>
          <w:szCs w:val="22"/>
          <w:lang w:val="en-AU"/>
        </w:rPr>
        <w:t>Corrin, J. (2012). REDD+ and Forest Carbon Rights in Solomon Islands: Background Legal Analysis. Report Prepared for the SPC/GIZ Regional Project ‘Climate Protection through Forest Conservation in Pacific Island Countries’.</w:t>
      </w:r>
    </w:p>
    <w:p w14:paraId="4A86BAA4" w14:textId="065DF22B" w:rsidR="00C069FE" w:rsidRPr="00F73D75" w:rsidRDefault="00C069FE" w:rsidP="00ED4A8F">
      <w:pPr>
        <w:spacing w:after="200"/>
        <w:ind w:left="567" w:hanging="567"/>
        <w:rPr>
          <w:rFonts w:eastAsia="Times New Roman"/>
          <w:sz w:val="22"/>
          <w:szCs w:val="22"/>
        </w:rPr>
      </w:pPr>
      <w:proofErr w:type="gramStart"/>
      <w:r w:rsidRPr="00F73D75">
        <w:rPr>
          <w:rFonts w:eastAsia="Times New Roman"/>
          <w:sz w:val="22"/>
          <w:szCs w:val="22"/>
        </w:rPr>
        <w:t>Cushing, L., M</w:t>
      </w:r>
      <w:r w:rsidR="00F00519" w:rsidRPr="00F73D75">
        <w:rPr>
          <w:rFonts w:eastAsia="Times New Roman"/>
          <w:sz w:val="22"/>
          <w:szCs w:val="22"/>
        </w:rPr>
        <w:t>orello-</w:t>
      </w:r>
      <w:proofErr w:type="spellStart"/>
      <w:r w:rsidR="00F00519" w:rsidRPr="00F73D75">
        <w:rPr>
          <w:rFonts w:eastAsia="Times New Roman"/>
          <w:sz w:val="22"/>
          <w:szCs w:val="22"/>
        </w:rPr>
        <w:t>Frosch</w:t>
      </w:r>
      <w:proofErr w:type="spellEnd"/>
      <w:r w:rsidR="00F00519" w:rsidRPr="00F73D75">
        <w:rPr>
          <w:rFonts w:eastAsia="Times New Roman"/>
          <w:sz w:val="22"/>
          <w:szCs w:val="22"/>
        </w:rPr>
        <w:t>, R., Wander, M., and</w:t>
      </w:r>
      <w:r w:rsidRPr="00F73D75">
        <w:rPr>
          <w:rFonts w:eastAsia="Times New Roman"/>
          <w:sz w:val="22"/>
          <w:szCs w:val="22"/>
        </w:rPr>
        <w:t xml:space="preserve"> Pastor, M. (2015).</w:t>
      </w:r>
      <w:proofErr w:type="gramEnd"/>
      <w:r w:rsidRPr="00F73D75">
        <w:rPr>
          <w:rFonts w:eastAsia="Times New Roman"/>
          <w:sz w:val="22"/>
          <w:szCs w:val="22"/>
        </w:rPr>
        <w:t xml:space="preserve"> </w:t>
      </w:r>
      <w:proofErr w:type="gramStart"/>
      <w:r w:rsidR="00F00519" w:rsidRPr="00F73D75">
        <w:rPr>
          <w:rFonts w:eastAsia="Times New Roman"/>
          <w:sz w:val="22"/>
          <w:szCs w:val="22"/>
        </w:rPr>
        <w:t>‘</w:t>
      </w:r>
      <w:r w:rsidRPr="00F73D75">
        <w:rPr>
          <w:rFonts w:eastAsia="Times New Roman"/>
          <w:sz w:val="22"/>
          <w:szCs w:val="22"/>
        </w:rPr>
        <w:t>The haves, the have-nots, and the health of everyone: the relationship between social inequ</w:t>
      </w:r>
      <w:r w:rsidR="00F00519" w:rsidRPr="00F73D75">
        <w:rPr>
          <w:rFonts w:eastAsia="Times New Roman"/>
          <w:sz w:val="22"/>
          <w:szCs w:val="22"/>
        </w:rPr>
        <w:t>ality and environmental quality’,</w:t>
      </w:r>
      <w:r w:rsidRPr="00F73D75">
        <w:rPr>
          <w:rFonts w:eastAsia="Times New Roman"/>
          <w:sz w:val="22"/>
          <w:szCs w:val="22"/>
        </w:rPr>
        <w:t> </w:t>
      </w:r>
      <w:r w:rsidR="00F00519" w:rsidRPr="00F73D75">
        <w:rPr>
          <w:rFonts w:eastAsia="Times New Roman"/>
          <w:i/>
          <w:iCs/>
          <w:sz w:val="22"/>
          <w:szCs w:val="22"/>
        </w:rPr>
        <w:t>Annual Review of Public H</w:t>
      </w:r>
      <w:r w:rsidRPr="00F73D75">
        <w:rPr>
          <w:rFonts w:eastAsia="Times New Roman"/>
          <w:i/>
          <w:iCs/>
          <w:sz w:val="22"/>
          <w:szCs w:val="22"/>
        </w:rPr>
        <w:t>ealth</w:t>
      </w:r>
      <w:r w:rsidRPr="00F73D75">
        <w:rPr>
          <w:rFonts w:eastAsia="Times New Roman"/>
          <w:sz w:val="22"/>
          <w:szCs w:val="22"/>
        </w:rPr>
        <w:t> 36</w:t>
      </w:r>
      <w:r w:rsidR="00F00519" w:rsidRPr="00F73D75">
        <w:rPr>
          <w:rFonts w:eastAsia="Times New Roman"/>
          <w:sz w:val="22"/>
          <w:szCs w:val="22"/>
        </w:rPr>
        <w:t>:</w:t>
      </w:r>
      <w:r w:rsidRPr="00F73D75">
        <w:rPr>
          <w:rFonts w:eastAsia="Times New Roman"/>
          <w:sz w:val="22"/>
          <w:szCs w:val="22"/>
        </w:rPr>
        <w:t xml:space="preserve"> 193-209.</w:t>
      </w:r>
      <w:proofErr w:type="gramEnd"/>
    </w:p>
    <w:p w14:paraId="5D201C0F" w14:textId="7CD3607E" w:rsidR="00C722E3" w:rsidRPr="00F73D75" w:rsidRDefault="00C722E3" w:rsidP="00ED4A8F">
      <w:pPr>
        <w:spacing w:after="200"/>
        <w:ind w:left="567" w:hanging="567"/>
        <w:rPr>
          <w:rFonts w:eastAsia="Times New Roman"/>
          <w:sz w:val="22"/>
          <w:szCs w:val="22"/>
        </w:rPr>
      </w:pPr>
      <w:proofErr w:type="spellStart"/>
      <w:proofErr w:type="gramStart"/>
      <w:r w:rsidRPr="00F73D75">
        <w:rPr>
          <w:rFonts w:eastAsia="Times New Roman"/>
          <w:sz w:val="22"/>
          <w:szCs w:val="22"/>
        </w:rPr>
        <w:t>Datt</w:t>
      </w:r>
      <w:proofErr w:type="spellEnd"/>
      <w:r w:rsidRPr="00F73D75">
        <w:rPr>
          <w:rFonts w:eastAsia="Times New Roman"/>
          <w:sz w:val="22"/>
          <w:szCs w:val="22"/>
        </w:rPr>
        <w:t xml:space="preserve">, G., and </w:t>
      </w:r>
      <w:proofErr w:type="spellStart"/>
      <w:r w:rsidRPr="00F73D75">
        <w:rPr>
          <w:rFonts w:eastAsia="Times New Roman"/>
          <w:sz w:val="22"/>
          <w:szCs w:val="22"/>
        </w:rPr>
        <w:t>Ravallion</w:t>
      </w:r>
      <w:proofErr w:type="spellEnd"/>
      <w:r w:rsidRPr="00F73D75">
        <w:rPr>
          <w:rFonts w:eastAsia="Times New Roman"/>
          <w:sz w:val="22"/>
          <w:szCs w:val="22"/>
        </w:rPr>
        <w:t>, M. (1992).</w:t>
      </w:r>
      <w:proofErr w:type="gramEnd"/>
      <w:r w:rsidRPr="00F73D75">
        <w:rPr>
          <w:rFonts w:eastAsia="Times New Roman"/>
          <w:sz w:val="22"/>
          <w:szCs w:val="22"/>
        </w:rPr>
        <w:t xml:space="preserve"> ‘Growth and redistribution components of changes in poverty measures: </w:t>
      </w:r>
      <w:proofErr w:type="gramStart"/>
      <w:r w:rsidRPr="00F73D75">
        <w:rPr>
          <w:rFonts w:eastAsia="Times New Roman"/>
          <w:sz w:val="22"/>
          <w:szCs w:val="22"/>
        </w:rPr>
        <w:t>A decomposition</w:t>
      </w:r>
      <w:proofErr w:type="gramEnd"/>
      <w:r w:rsidRPr="00F73D75">
        <w:rPr>
          <w:rFonts w:eastAsia="Times New Roman"/>
          <w:sz w:val="22"/>
          <w:szCs w:val="22"/>
        </w:rPr>
        <w:t xml:space="preserve"> with applications to Brazil and India in the 1980s’, </w:t>
      </w:r>
      <w:r w:rsidRPr="00F73D75">
        <w:rPr>
          <w:rFonts w:eastAsia="Times New Roman"/>
          <w:i/>
          <w:iCs/>
          <w:sz w:val="22"/>
          <w:szCs w:val="22"/>
        </w:rPr>
        <w:t>Journal of Development Economics</w:t>
      </w:r>
      <w:r w:rsidRPr="00F73D75">
        <w:rPr>
          <w:rFonts w:eastAsia="Times New Roman"/>
          <w:sz w:val="22"/>
          <w:szCs w:val="22"/>
        </w:rPr>
        <w:t> 38(2): 275-295.</w:t>
      </w:r>
    </w:p>
    <w:p w14:paraId="43FFDE9C" w14:textId="622F28B0" w:rsidR="00686DF5" w:rsidRPr="00F73D75" w:rsidRDefault="00686DF5" w:rsidP="00ED4A8F">
      <w:pPr>
        <w:spacing w:after="200"/>
        <w:ind w:left="567" w:hanging="567"/>
        <w:rPr>
          <w:rFonts w:eastAsia="Times New Roman"/>
          <w:sz w:val="22"/>
          <w:szCs w:val="22"/>
        </w:rPr>
      </w:pPr>
      <w:proofErr w:type="spellStart"/>
      <w:proofErr w:type="gramStart"/>
      <w:r w:rsidRPr="00F73D75">
        <w:rPr>
          <w:rFonts w:eastAsia="Times New Roman"/>
          <w:sz w:val="22"/>
          <w:szCs w:val="22"/>
        </w:rPr>
        <w:t>Demombynes</w:t>
      </w:r>
      <w:proofErr w:type="spellEnd"/>
      <w:r w:rsidRPr="00F73D75">
        <w:rPr>
          <w:rFonts w:eastAsia="Times New Roman"/>
          <w:sz w:val="22"/>
          <w:szCs w:val="22"/>
        </w:rPr>
        <w:t xml:space="preserve">, G., and </w:t>
      </w:r>
      <w:proofErr w:type="spellStart"/>
      <w:r w:rsidRPr="00F73D75">
        <w:rPr>
          <w:rFonts w:eastAsia="Times New Roman"/>
          <w:sz w:val="22"/>
          <w:szCs w:val="22"/>
        </w:rPr>
        <w:t>Özler</w:t>
      </w:r>
      <w:proofErr w:type="spellEnd"/>
      <w:r w:rsidRPr="00F73D75">
        <w:rPr>
          <w:rFonts w:eastAsia="Times New Roman"/>
          <w:sz w:val="22"/>
          <w:szCs w:val="22"/>
        </w:rPr>
        <w:t>, B. (2005).</w:t>
      </w:r>
      <w:proofErr w:type="gramEnd"/>
      <w:r w:rsidRPr="00F73D75">
        <w:rPr>
          <w:rFonts w:eastAsia="Times New Roman"/>
          <w:sz w:val="22"/>
          <w:szCs w:val="22"/>
        </w:rPr>
        <w:t xml:space="preserve"> ‘Crime and local inequality in South Africa’, </w:t>
      </w:r>
      <w:r w:rsidRPr="00F73D75">
        <w:rPr>
          <w:rFonts w:eastAsia="Times New Roman"/>
          <w:i/>
          <w:iCs/>
          <w:sz w:val="22"/>
          <w:szCs w:val="22"/>
        </w:rPr>
        <w:t>Journal of Development Economics</w:t>
      </w:r>
      <w:r w:rsidRPr="00F73D75">
        <w:rPr>
          <w:rFonts w:eastAsia="Times New Roman"/>
          <w:sz w:val="22"/>
          <w:szCs w:val="22"/>
        </w:rPr>
        <w:t> 76(2): 265-292.</w:t>
      </w:r>
    </w:p>
    <w:p w14:paraId="4638DD93" w14:textId="11A0B34A" w:rsidR="00DB51BE" w:rsidRPr="00F73D75" w:rsidRDefault="00DB51BE" w:rsidP="00ED4A8F">
      <w:pPr>
        <w:spacing w:after="200"/>
        <w:ind w:left="567" w:hanging="567"/>
        <w:rPr>
          <w:rFonts w:eastAsia="Times New Roman"/>
          <w:sz w:val="22"/>
          <w:szCs w:val="22"/>
        </w:rPr>
      </w:pPr>
      <w:proofErr w:type="spellStart"/>
      <w:proofErr w:type="gramStart"/>
      <w:r w:rsidRPr="00F73D75">
        <w:rPr>
          <w:rFonts w:eastAsia="Times New Roman"/>
          <w:sz w:val="22"/>
          <w:szCs w:val="22"/>
        </w:rPr>
        <w:t>Drukker</w:t>
      </w:r>
      <w:proofErr w:type="spellEnd"/>
      <w:r w:rsidRPr="00F73D75">
        <w:rPr>
          <w:rFonts w:eastAsia="Times New Roman"/>
          <w:sz w:val="22"/>
          <w:szCs w:val="22"/>
        </w:rPr>
        <w:t xml:space="preserve">, D., </w:t>
      </w:r>
      <w:proofErr w:type="spellStart"/>
      <w:r w:rsidRPr="00F73D75">
        <w:rPr>
          <w:rFonts w:eastAsia="Times New Roman"/>
          <w:sz w:val="22"/>
          <w:szCs w:val="22"/>
        </w:rPr>
        <w:t>Prucha</w:t>
      </w:r>
      <w:proofErr w:type="spellEnd"/>
      <w:r w:rsidRPr="00F73D75">
        <w:rPr>
          <w:rFonts w:eastAsia="Times New Roman"/>
          <w:sz w:val="22"/>
          <w:szCs w:val="22"/>
        </w:rPr>
        <w:t xml:space="preserve">, I., and </w:t>
      </w:r>
      <w:proofErr w:type="spellStart"/>
      <w:r w:rsidRPr="00F73D75">
        <w:rPr>
          <w:rFonts w:eastAsia="Times New Roman"/>
          <w:sz w:val="22"/>
          <w:szCs w:val="22"/>
        </w:rPr>
        <w:t>Raciborski</w:t>
      </w:r>
      <w:proofErr w:type="spellEnd"/>
      <w:r w:rsidRPr="00F73D75">
        <w:rPr>
          <w:rFonts w:eastAsia="Times New Roman"/>
          <w:sz w:val="22"/>
          <w:szCs w:val="22"/>
        </w:rPr>
        <w:t>, R. (2013).</w:t>
      </w:r>
      <w:proofErr w:type="gramEnd"/>
      <w:r w:rsidRPr="00F73D75">
        <w:rPr>
          <w:rFonts w:eastAsia="Times New Roman"/>
          <w:sz w:val="22"/>
          <w:szCs w:val="22"/>
        </w:rPr>
        <w:t xml:space="preserve"> ‘Maximum likelihood and generalized spatial two-stage least-squares estimators for a spatial-autoregressive model with spatial-autoregressive disturbances’, </w:t>
      </w:r>
      <w:r w:rsidRPr="00F73D75">
        <w:rPr>
          <w:rFonts w:eastAsia="Times New Roman"/>
          <w:i/>
          <w:iCs/>
          <w:sz w:val="22"/>
          <w:szCs w:val="22"/>
        </w:rPr>
        <w:t>Stata Journal</w:t>
      </w:r>
      <w:r w:rsidRPr="00F73D75">
        <w:rPr>
          <w:rFonts w:eastAsia="Times New Roman"/>
          <w:sz w:val="22"/>
          <w:szCs w:val="22"/>
        </w:rPr>
        <w:t> 13(2): 221-241.</w:t>
      </w:r>
    </w:p>
    <w:p w14:paraId="47ECC35E" w14:textId="1567CF41" w:rsidR="00E21029" w:rsidRPr="00F73D75" w:rsidRDefault="00E21029" w:rsidP="00ED4A8F">
      <w:pPr>
        <w:spacing w:after="200"/>
        <w:ind w:left="567" w:hanging="567"/>
        <w:rPr>
          <w:rFonts w:eastAsia="Times New Roman"/>
          <w:sz w:val="22"/>
          <w:szCs w:val="22"/>
        </w:rPr>
      </w:pPr>
      <w:proofErr w:type="spellStart"/>
      <w:r w:rsidRPr="00F73D75">
        <w:rPr>
          <w:rFonts w:eastAsia="Times New Roman"/>
          <w:sz w:val="22"/>
          <w:szCs w:val="22"/>
        </w:rPr>
        <w:t>Elbers</w:t>
      </w:r>
      <w:proofErr w:type="spellEnd"/>
      <w:r w:rsidRPr="00F73D75">
        <w:rPr>
          <w:rFonts w:eastAsia="Times New Roman"/>
          <w:sz w:val="22"/>
          <w:szCs w:val="22"/>
        </w:rPr>
        <w:t xml:space="preserve">, C., J. </w:t>
      </w:r>
      <w:proofErr w:type="spellStart"/>
      <w:r w:rsidRPr="00F73D75">
        <w:rPr>
          <w:rFonts w:eastAsia="Times New Roman"/>
          <w:sz w:val="22"/>
          <w:szCs w:val="22"/>
        </w:rPr>
        <w:t>Lanjouw</w:t>
      </w:r>
      <w:proofErr w:type="spellEnd"/>
      <w:r w:rsidRPr="00F73D75">
        <w:rPr>
          <w:rFonts w:eastAsia="Times New Roman"/>
          <w:sz w:val="22"/>
          <w:szCs w:val="22"/>
        </w:rPr>
        <w:t xml:space="preserve">, and P. </w:t>
      </w:r>
      <w:proofErr w:type="spellStart"/>
      <w:r w:rsidRPr="00F73D75">
        <w:rPr>
          <w:rFonts w:eastAsia="Times New Roman"/>
          <w:sz w:val="22"/>
          <w:szCs w:val="22"/>
        </w:rPr>
        <w:t>Lanjouw</w:t>
      </w:r>
      <w:proofErr w:type="spellEnd"/>
      <w:r w:rsidRPr="00F73D75">
        <w:rPr>
          <w:rFonts w:eastAsia="Times New Roman"/>
          <w:sz w:val="22"/>
          <w:szCs w:val="22"/>
        </w:rPr>
        <w:t xml:space="preserve"> (2003), ‘Micro-level estimation of poverty and inequality’, </w:t>
      </w:r>
      <w:r w:rsidRPr="00F73D75">
        <w:rPr>
          <w:rFonts w:eastAsia="Times New Roman"/>
          <w:i/>
          <w:sz w:val="22"/>
          <w:szCs w:val="22"/>
        </w:rPr>
        <w:t>Econometrica</w:t>
      </w:r>
      <w:r w:rsidRPr="00F73D75">
        <w:rPr>
          <w:rFonts w:eastAsia="Times New Roman"/>
          <w:sz w:val="22"/>
          <w:szCs w:val="22"/>
        </w:rPr>
        <w:t xml:space="preserve"> </w:t>
      </w:r>
      <w:r w:rsidRPr="00F73D75">
        <w:rPr>
          <w:rFonts w:eastAsia="Times New Roman"/>
          <w:bCs/>
          <w:sz w:val="22"/>
          <w:szCs w:val="22"/>
        </w:rPr>
        <w:t>71</w:t>
      </w:r>
      <w:r w:rsidRPr="00F73D75">
        <w:rPr>
          <w:rFonts w:eastAsia="Times New Roman"/>
          <w:sz w:val="22"/>
          <w:szCs w:val="22"/>
        </w:rPr>
        <w:t xml:space="preserve">(1): 355 – 364. </w:t>
      </w:r>
    </w:p>
    <w:p w14:paraId="610FD359" w14:textId="0E54B7B1" w:rsidR="00E21029" w:rsidRPr="00F73D75" w:rsidRDefault="00E21029" w:rsidP="00ED4A8F">
      <w:pPr>
        <w:spacing w:after="200"/>
        <w:ind w:left="567" w:hanging="567"/>
        <w:rPr>
          <w:rFonts w:eastAsia="Times New Roman"/>
          <w:sz w:val="22"/>
          <w:szCs w:val="22"/>
        </w:rPr>
      </w:pPr>
      <w:proofErr w:type="spellStart"/>
      <w:r w:rsidRPr="00F73D75">
        <w:rPr>
          <w:rFonts w:eastAsia="Times New Roman"/>
          <w:sz w:val="22"/>
          <w:szCs w:val="22"/>
          <w:lang w:val="en-NZ"/>
        </w:rPr>
        <w:t>Elbers</w:t>
      </w:r>
      <w:proofErr w:type="spellEnd"/>
      <w:r w:rsidRPr="00F73D75">
        <w:rPr>
          <w:rFonts w:eastAsia="Times New Roman"/>
          <w:sz w:val="22"/>
          <w:szCs w:val="22"/>
          <w:lang w:val="en-NZ"/>
        </w:rPr>
        <w:t xml:space="preserve">, C., P. </w:t>
      </w:r>
      <w:proofErr w:type="spellStart"/>
      <w:r w:rsidRPr="00F73D75">
        <w:rPr>
          <w:rFonts w:eastAsia="Times New Roman"/>
          <w:sz w:val="22"/>
          <w:szCs w:val="22"/>
          <w:lang w:val="en-NZ"/>
        </w:rPr>
        <w:t>Lanjouw</w:t>
      </w:r>
      <w:proofErr w:type="spellEnd"/>
      <w:r w:rsidRPr="00F73D75">
        <w:rPr>
          <w:rFonts w:eastAsia="Times New Roman"/>
          <w:sz w:val="22"/>
          <w:szCs w:val="22"/>
          <w:lang w:val="en-NZ"/>
        </w:rPr>
        <w:t xml:space="preserve">, and P. </w:t>
      </w:r>
      <w:proofErr w:type="spellStart"/>
      <w:r w:rsidRPr="00F73D75">
        <w:rPr>
          <w:rFonts w:eastAsia="Times New Roman"/>
          <w:sz w:val="22"/>
          <w:szCs w:val="22"/>
          <w:lang w:val="en-NZ"/>
        </w:rPr>
        <w:t>Leite</w:t>
      </w:r>
      <w:proofErr w:type="spellEnd"/>
      <w:r w:rsidRPr="00F73D75">
        <w:rPr>
          <w:rFonts w:eastAsia="Times New Roman"/>
          <w:sz w:val="22"/>
          <w:szCs w:val="22"/>
          <w:lang w:val="en-NZ"/>
        </w:rPr>
        <w:t xml:space="preserve"> (2008), ‘</w:t>
      </w:r>
      <w:r w:rsidRPr="00F73D75">
        <w:rPr>
          <w:rFonts w:eastAsia="Times New Roman"/>
          <w:sz w:val="22"/>
          <w:szCs w:val="22"/>
        </w:rPr>
        <w:t xml:space="preserve">Brazil within Brazil: Testing the poverty map methodology in Minas </w:t>
      </w:r>
      <w:proofErr w:type="spellStart"/>
      <w:r w:rsidRPr="00F73D75">
        <w:rPr>
          <w:rFonts w:eastAsia="Times New Roman"/>
          <w:sz w:val="22"/>
          <w:szCs w:val="22"/>
        </w:rPr>
        <w:t>Gerais</w:t>
      </w:r>
      <w:proofErr w:type="spellEnd"/>
      <w:r w:rsidRPr="00F73D75">
        <w:rPr>
          <w:rFonts w:eastAsia="Times New Roman"/>
          <w:sz w:val="22"/>
          <w:szCs w:val="22"/>
        </w:rPr>
        <w:t>’, </w:t>
      </w:r>
      <w:r w:rsidRPr="00F73D75">
        <w:rPr>
          <w:rFonts w:eastAsia="Times New Roman"/>
          <w:i/>
          <w:iCs/>
          <w:sz w:val="22"/>
          <w:szCs w:val="22"/>
        </w:rPr>
        <w:t>Policy Research Working Paper Series</w:t>
      </w:r>
      <w:r w:rsidRPr="00F73D75">
        <w:rPr>
          <w:rFonts w:eastAsia="Times New Roman"/>
          <w:sz w:val="22"/>
          <w:szCs w:val="22"/>
        </w:rPr>
        <w:t xml:space="preserve"> No. 4513, The World Bank.</w:t>
      </w:r>
    </w:p>
    <w:p w14:paraId="6317C75B" w14:textId="0271DC38" w:rsidR="00CD3B1E" w:rsidRPr="00F73D75" w:rsidRDefault="00CD3B1E" w:rsidP="00ED4A8F">
      <w:pPr>
        <w:spacing w:after="200"/>
        <w:ind w:left="567" w:hanging="567"/>
        <w:rPr>
          <w:rFonts w:eastAsia="Times New Roman"/>
          <w:sz w:val="22"/>
          <w:szCs w:val="22"/>
        </w:rPr>
      </w:pPr>
      <w:proofErr w:type="spellStart"/>
      <w:proofErr w:type="gramStart"/>
      <w:r w:rsidRPr="00F73D75">
        <w:rPr>
          <w:rFonts w:eastAsia="Times New Roman"/>
          <w:sz w:val="22"/>
          <w:szCs w:val="22"/>
        </w:rPr>
        <w:t>Filmer</w:t>
      </w:r>
      <w:proofErr w:type="spellEnd"/>
      <w:r w:rsidRPr="00F73D75">
        <w:rPr>
          <w:rFonts w:eastAsia="Times New Roman"/>
          <w:sz w:val="22"/>
          <w:szCs w:val="22"/>
        </w:rPr>
        <w:t>, D., and Pritchett, L. (2001).</w:t>
      </w:r>
      <w:proofErr w:type="gramEnd"/>
      <w:r w:rsidRPr="00F73D75">
        <w:rPr>
          <w:rFonts w:eastAsia="Times New Roman"/>
          <w:sz w:val="22"/>
          <w:szCs w:val="22"/>
        </w:rPr>
        <w:t xml:space="preserve"> ‘Estimating wealth effects without expenditure data—or tears: an application to educational enrollments in states of India’, </w:t>
      </w:r>
      <w:r w:rsidRPr="00F73D75">
        <w:rPr>
          <w:rFonts w:eastAsia="Times New Roman"/>
          <w:i/>
          <w:iCs/>
          <w:sz w:val="22"/>
          <w:szCs w:val="22"/>
        </w:rPr>
        <w:t>Demography</w:t>
      </w:r>
      <w:r w:rsidRPr="00F73D75">
        <w:rPr>
          <w:rFonts w:eastAsia="Times New Roman"/>
          <w:sz w:val="22"/>
          <w:szCs w:val="22"/>
        </w:rPr>
        <w:t> 38(1): 115-132.</w:t>
      </w:r>
    </w:p>
    <w:p w14:paraId="0CBBF331" w14:textId="11B0C186" w:rsidR="00EB5341" w:rsidRPr="00F73D75" w:rsidRDefault="00EB5341" w:rsidP="00ED4A8F">
      <w:pPr>
        <w:spacing w:after="200"/>
        <w:ind w:left="567" w:hanging="567"/>
        <w:rPr>
          <w:rFonts w:eastAsia="Times New Roman"/>
          <w:sz w:val="22"/>
          <w:szCs w:val="22"/>
        </w:rPr>
      </w:pPr>
      <w:proofErr w:type="gramStart"/>
      <w:r w:rsidRPr="00F73D75">
        <w:rPr>
          <w:rFonts w:eastAsia="Times New Roman"/>
          <w:sz w:val="22"/>
          <w:szCs w:val="22"/>
        </w:rPr>
        <w:t>Garg, T. (2016).</w:t>
      </w:r>
      <w:proofErr w:type="gramEnd"/>
      <w:r w:rsidRPr="00F73D75">
        <w:rPr>
          <w:rFonts w:eastAsia="Times New Roman"/>
          <w:sz w:val="22"/>
          <w:szCs w:val="22"/>
        </w:rPr>
        <w:t xml:space="preserve"> ‘Ecosystems and human health: The local benefits of forest cover in Indonesia’, </w:t>
      </w:r>
      <w:r w:rsidRPr="00F73D75">
        <w:rPr>
          <w:rFonts w:eastAsia="Times New Roman"/>
          <w:i/>
          <w:iCs/>
          <w:sz w:val="22"/>
          <w:szCs w:val="22"/>
        </w:rPr>
        <w:t>mimeo</w:t>
      </w:r>
      <w:r w:rsidRPr="00F73D75">
        <w:rPr>
          <w:rFonts w:eastAsia="Times New Roman"/>
          <w:sz w:val="22"/>
          <w:szCs w:val="22"/>
        </w:rPr>
        <w:t>, School of Global Policy and Strategy, University of California, San Diego.</w:t>
      </w:r>
    </w:p>
    <w:p w14:paraId="31AFBC6F" w14:textId="77777777" w:rsidR="00240B57" w:rsidRDefault="00240B57" w:rsidP="00ED4A8F">
      <w:pPr>
        <w:spacing w:after="200"/>
        <w:ind w:left="567" w:hanging="567"/>
        <w:rPr>
          <w:rFonts w:eastAsia="Times New Roman"/>
          <w:sz w:val="22"/>
          <w:szCs w:val="22"/>
          <w:lang w:val="en-AU"/>
        </w:rPr>
      </w:pPr>
    </w:p>
    <w:p w14:paraId="71447E02" w14:textId="39BFA0EB" w:rsidR="00F00519" w:rsidRPr="00F73D75" w:rsidRDefault="00F00519" w:rsidP="00ED4A8F">
      <w:pPr>
        <w:spacing w:after="200"/>
        <w:ind w:left="567" w:hanging="567"/>
        <w:rPr>
          <w:rFonts w:eastAsia="Times New Roman"/>
          <w:sz w:val="22"/>
          <w:szCs w:val="22"/>
          <w:lang w:val="en-AU"/>
        </w:rPr>
      </w:pPr>
      <w:proofErr w:type="spellStart"/>
      <w:r w:rsidRPr="00F73D75">
        <w:rPr>
          <w:rFonts w:eastAsia="Times New Roman"/>
          <w:sz w:val="22"/>
          <w:szCs w:val="22"/>
          <w:lang w:val="en-AU"/>
        </w:rPr>
        <w:lastRenderedPageBreak/>
        <w:t>Geoghegan</w:t>
      </w:r>
      <w:proofErr w:type="spellEnd"/>
      <w:r w:rsidRPr="00F73D75">
        <w:rPr>
          <w:rFonts w:eastAsia="Times New Roman"/>
          <w:sz w:val="22"/>
          <w:szCs w:val="22"/>
          <w:lang w:val="en-AU"/>
        </w:rPr>
        <w:t xml:space="preserve">, J., L. Pritchard, Y. </w:t>
      </w:r>
      <w:proofErr w:type="spellStart"/>
      <w:r w:rsidRPr="00F73D75">
        <w:rPr>
          <w:rFonts w:eastAsia="Times New Roman"/>
          <w:sz w:val="22"/>
          <w:szCs w:val="22"/>
          <w:lang w:val="en-AU"/>
        </w:rPr>
        <w:t>Ogneva-Himmelberger</w:t>
      </w:r>
      <w:proofErr w:type="spellEnd"/>
      <w:r w:rsidRPr="00F73D75">
        <w:rPr>
          <w:rFonts w:eastAsia="Times New Roman"/>
          <w:sz w:val="22"/>
          <w:szCs w:val="22"/>
          <w:lang w:val="en-AU"/>
        </w:rPr>
        <w:t>, R. Chowdhury, S. Sanderson, and B. Turner (1998). ‘Socializing the pixel</w:t>
      </w:r>
      <w:r w:rsidR="005B319D">
        <w:rPr>
          <w:rFonts w:eastAsia="Times New Roman"/>
          <w:sz w:val="22"/>
          <w:szCs w:val="22"/>
          <w:lang w:val="en-AU"/>
        </w:rPr>
        <w:t>'</w:t>
      </w:r>
      <w:r w:rsidRPr="00F73D75">
        <w:rPr>
          <w:rFonts w:eastAsia="Times New Roman"/>
          <w:sz w:val="22"/>
          <w:szCs w:val="22"/>
          <w:lang w:val="en-AU"/>
        </w:rPr>
        <w:t xml:space="preserve"> and </w:t>
      </w:r>
      <w:r w:rsidR="005B319D">
        <w:rPr>
          <w:rFonts w:eastAsia="Times New Roman"/>
          <w:sz w:val="22"/>
          <w:szCs w:val="22"/>
          <w:lang w:val="en-AU"/>
        </w:rPr>
        <w:t>'</w:t>
      </w:r>
      <w:proofErr w:type="spellStart"/>
      <w:r w:rsidRPr="00F73D75">
        <w:rPr>
          <w:rFonts w:eastAsia="Times New Roman"/>
          <w:sz w:val="22"/>
          <w:szCs w:val="22"/>
          <w:lang w:val="en-AU"/>
        </w:rPr>
        <w:t>pixelizing</w:t>
      </w:r>
      <w:proofErr w:type="spellEnd"/>
      <w:r w:rsidRPr="00F73D75">
        <w:rPr>
          <w:rFonts w:eastAsia="Times New Roman"/>
          <w:sz w:val="22"/>
          <w:szCs w:val="22"/>
          <w:lang w:val="en-AU"/>
        </w:rPr>
        <w:t xml:space="preserve"> the social</w:t>
      </w:r>
      <w:r w:rsidR="005B319D">
        <w:rPr>
          <w:rFonts w:eastAsia="Times New Roman"/>
          <w:sz w:val="22"/>
          <w:szCs w:val="22"/>
          <w:lang w:val="en-AU"/>
        </w:rPr>
        <w:t>'</w:t>
      </w:r>
      <w:r w:rsidRPr="00F73D75">
        <w:rPr>
          <w:rFonts w:eastAsia="Times New Roman"/>
          <w:sz w:val="22"/>
          <w:szCs w:val="22"/>
          <w:lang w:val="en-AU"/>
        </w:rPr>
        <w:t xml:space="preserve"> in land-use and land-cover change’, in D. </w:t>
      </w:r>
      <w:proofErr w:type="spellStart"/>
      <w:r w:rsidRPr="00F73D75">
        <w:rPr>
          <w:rFonts w:eastAsia="Times New Roman"/>
          <w:sz w:val="22"/>
          <w:szCs w:val="22"/>
          <w:lang w:val="en-AU"/>
        </w:rPr>
        <w:t>Liverman</w:t>
      </w:r>
      <w:proofErr w:type="spellEnd"/>
      <w:r w:rsidRPr="00F73D75">
        <w:rPr>
          <w:rFonts w:eastAsia="Times New Roman"/>
          <w:sz w:val="22"/>
          <w:szCs w:val="22"/>
          <w:lang w:val="en-AU"/>
        </w:rPr>
        <w:t xml:space="preserve">, E. Moran, R. </w:t>
      </w:r>
      <w:proofErr w:type="spellStart"/>
      <w:r w:rsidRPr="00F73D75">
        <w:rPr>
          <w:rFonts w:eastAsia="Times New Roman"/>
          <w:sz w:val="22"/>
          <w:szCs w:val="22"/>
          <w:lang w:val="en-AU"/>
        </w:rPr>
        <w:t>Rindfuss</w:t>
      </w:r>
      <w:proofErr w:type="spellEnd"/>
      <w:r w:rsidRPr="00F73D75">
        <w:rPr>
          <w:rFonts w:eastAsia="Times New Roman"/>
          <w:sz w:val="22"/>
          <w:szCs w:val="22"/>
          <w:lang w:val="en-AU"/>
        </w:rPr>
        <w:t xml:space="preserve">, and P. Stern (eds) </w:t>
      </w:r>
      <w:r w:rsidRPr="00F73D75">
        <w:rPr>
          <w:rFonts w:eastAsia="Times New Roman"/>
          <w:i/>
          <w:iCs/>
          <w:sz w:val="22"/>
          <w:szCs w:val="22"/>
          <w:lang w:val="en-AU"/>
        </w:rPr>
        <w:t>People and Pixels: Linking Remote Sensing and Social Science</w:t>
      </w:r>
      <w:r w:rsidRPr="00F73D75">
        <w:rPr>
          <w:rFonts w:eastAsia="Times New Roman"/>
          <w:sz w:val="22"/>
          <w:szCs w:val="22"/>
          <w:lang w:val="en-AU"/>
        </w:rPr>
        <w:t>, National Research Council Chapter 3, pp.51-69.</w:t>
      </w:r>
    </w:p>
    <w:p w14:paraId="4621BF79" w14:textId="6B145DA0" w:rsidR="0017019A" w:rsidRPr="00F73D75" w:rsidRDefault="0017019A" w:rsidP="00ED4A8F">
      <w:pPr>
        <w:spacing w:after="200"/>
        <w:ind w:left="567" w:hanging="567"/>
        <w:rPr>
          <w:rFonts w:eastAsia="Times New Roman"/>
          <w:sz w:val="22"/>
          <w:szCs w:val="22"/>
        </w:rPr>
      </w:pPr>
      <w:proofErr w:type="gramStart"/>
      <w:r w:rsidRPr="00F73D75">
        <w:rPr>
          <w:rFonts w:eastAsia="Times New Roman"/>
          <w:sz w:val="22"/>
          <w:szCs w:val="22"/>
        </w:rPr>
        <w:t>Government of Solomon Islands (2010).</w:t>
      </w:r>
      <w:proofErr w:type="gramEnd"/>
      <w:r w:rsidRPr="00F73D75">
        <w:rPr>
          <w:rFonts w:eastAsia="Times New Roman"/>
          <w:sz w:val="22"/>
          <w:szCs w:val="22"/>
        </w:rPr>
        <w:t xml:space="preserve"> </w:t>
      </w:r>
      <w:proofErr w:type="gramStart"/>
      <w:r w:rsidRPr="00F73D75">
        <w:rPr>
          <w:rFonts w:eastAsia="Times New Roman"/>
          <w:i/>
          <w:iCs/>
          <w:sz w:val="22"/>
          <w:szCs w:val="22"/>
        </w:rPr>
        <w:t xml:space="preserve">Initial </w:t>
      </w:r>
      <w:proofErr w:type="spellStart"/>
      <w:r w:rsidRPr="00F73D75">
        <w:rPr>
          <w:rFonts w:eastAsia="Times New Roman"/>
          <w:i/>
          <w:iCs/>
          <w:sz w:val="22"/>
          <w:szCs w:val="22"/>
        </w:rPr>
        <w:t>Programme</w:t>
      </w:r>
      <w:proofErr w:type="spellEnd"/>
      <w:r w:rsidRPr="00F73D75">
        <w:rPr>
          <w:rFonts w:eastAsia="Times New Roman"/>
          <w:i/>
          <w:iCs/>
          <w:sz w:val="22"/>
          <w:szCs w:val="22"/>
        </w:rPr>
        <w:t xml:space="preserve"> Document – Solomon Islands</w:t>
      </w:r>
      <w:r w:rsidRPr="00F73D75">
        <w:rPr>
          <w:rFonts w:eastAsia="Times New Roman"/>
          <w:sz w:val="22"/>
          <w:szCs w:val="22"/>
        </w:rPr>
        <w:t>.</w:t>
      </w:r>
      <w:proofErr w:type="gramEnd"/>
      <w:r w:rsidRPr="00F73D75">
        <w:rPr>
          <w:rFonts w:eastAsia="Times New Roman"/>
          <w:sz w:val="22"/>
          <w:szCs w:val="22"/>
        </w:rPr>
        <w:t xml:space="preserve"> </w:t>
      </w:r>
      <w:proofErr w:type="gramStart"/>
      <w:r w:rsidRPr="00F73D75">
        <w:rPr>
          <w:rFonts w:eastAsia="Times New Roman"/>
          <w:sz w:val="22"/>
          <w:szCs w:val="22"/>
        </w:rPr>
        <w:t xml:space="preserve">Prepared by the Government of the Solomon Islands for the UN-REDD </w:t>
      </w:r>
      <w:proofErr w:type="spellStart"/>
      <w:r w:rsidRPr="00F73D75">
        <w:rPr>
          <w:rFonts w:eastAsia="Times New Roman"/>
          <w:sz w:val="22"/>
          <w:szCs w:val="22"/>
        </w:rPr>
        <w:t>Programme</w:t>
      </w:r>
      <w:proofErr w:type="spellEnd"/>
      <w:r w:rsidRPr="00F73D75">
        <w:rPr>
          <w:rFonts w:eastAsia="Times New Roman"/>
          <w:sz w:val="22"/>
          <w:szCs w:val="22"/>
        </w:rPr>
        <w:t xml:space="preserve"> 5th Policy Board Meeting, November 2010.</w:t>
      </w:r>
      <w:proofErr w:type="gramEnd"/>
    </w:p>
    <w:p w14:paraId="6BA308F6" w14:textId="3B96B40E" w:rsidR="00F00519" w:rsidRPr="00F73D75" w:rsidRDefault="00F00519" w:rsidP="00ED4A8F">
      <w:pPr>
        <w:spacing w:after="200"/>
        <w:ind w:left="567" w:hanging="567"/>
        <w:rPr>
          <w:rFonts w:eastAsia="Times New Roman"/>
          <w:sz w:val="22"/>
          <w:szCs w:val="22"/>
          <w:lang w:val="en-NZ"/>
        </w:rPr>
      </w:pPr>
      <w:r w:rsidRPr="00F73D75">
        <w:rPr>
          <w:rFonts w:eastAsia="Times New Roman"/>
          <w:sz w:val="22"/>
          <w:szCs w:val="22"/>
          <w:lang w:val="en-NZ"/>
        </w:rPr>
        <w:t xml:space="preserve">Hansen, M., P. </w:t>
      </w:r>
      <w:proofErr w:type="spellStart"/>
      <w:r w:rsidRPr="00F73D75">
        <w:rPr>
          <w:rFonts w:eastAsia="Times New Roman"/>
          <w:sz w:val="22"/>
          <w:szCs w:val="22"/>
          <w:lang w:val="en-NZ"/>
        </w:rPr>
        <w:t>Potapov</w:t>
      </w:r>
      <w:proofErr w:type="spellEnd"/>
      <w:r w:rsidRPr="00F73D75">
        <w:rPr>
          <w:rFonts w:eastAsia="Times New Roman"/>
          <w:sz w:val="22"/>
          <w:szCs w:val="22"/>
          <w:lang w:val="en-NZ"/>
        </w:rPr>
        <w:t xml:space="preserve">, R. Moore, M. </w:t>
      </w:r>
      <w:proofErr w:type="spellStart"/>
      <w:r w:rsidRPr="00F73D75">
        <w:rPr>
          <w:rFonts w:eastAsia="Times New Roman"/>
          <w:sz w:val="22"/>
          <w:szCs w:val="22"/>
          <w:lang w:val="en-NZ"/>
        </w:rPr>
        <w:t>Hancher</w:t>
      </w:r>
      <w:proofErr w:type="spellEnd"/>
      <w:r w:rsidRPr="00F73D75">
        <w:rPr>
          <w:rFonts w:eastAsia="Times New Roman"/>
          <w:sz w:val="22"/>
          <w:szCs w:val="22"/>
          <w:lang w:val="en-NZ"/>
        </w:rPr>
        <w:t xml:space="preserve">, S. </w:t>
      </w:r>
      <w:proofErr w:type="spellStart"/>
      <w:r w:rsidRPr="00F73D75">
        <w:rPr>
          <w:rFonts w:eastAsia="Times New Roman"/>
          <w:sz w:val="22"/>
          <w:szCs w:val="22"/>
          <w:lang w:val="en-NZ"/>
        </w:rPr>
        <w:t>Turubanova</w:t>
      </w:r>
      <w:proofErr w:type="spellEnd"/>
      <w:r w:rsidRPr="00F73D75">
        <w:rPr>
          <w:rFonts w:eastAsia="Times New Roman"/>
          <w:sz w:val="22"/>
          <w:szCs w:val="22"/>
          <w:lang w:val="en-NZ"/>
        </w:rPr>
        <w:t xml:space="preserve">, A. </w:t>
      </w:r>
      <w:proofErr w:type="spellStart"/>
      <w:r w:rsidRPr="00F73D75">
        <w:rPr>
          <w:rFonts w:eastAsia="Times New Roman"/>
          <w:sz w:val="22"/>
          <w:szCs w:val="22"/>
          <w:lang w:val="en-NZ"/>
        </w:rPr>
        <w:t>Tyukavina</w:t>
      </w:r>
      <w:proofErr w:type="spellEnd"/>
      <w:r w:rsidRPr="00F73D75">
        <w:rPr>
          <w:rFonts w:eastAsia="Times New Roman"/>
          <w:sz w:val="22"/>
          <w:szCs w:val="22"/>
          <w:lang w:val="en-NZ"/>
        </w:rPr>
        <w:t xml:space="preserve">, D. </w:t>
      </w:r>
      <w:proofErr w:type="spellStart"/>
      <w:r w:rsidRPr="00F73D75">
        <w:rPr>
          <w:rFonts w:eastAsia="Times New Roman"/>
          <w:sz w:val="22"/>
          <w:szCs w:val="22"/>
          <w:lang w:val="en-NZ"/>
        </w:rPr>
        <w:t>Thau</w:t>
      </w:r>
      <w:proofErr w:type="spellEnd"/>
      <w:r w:rsidRPr="00F73D75">
        <w:rPr>
          <w:rFonts w:eastAsia="Times New Roman"/>
          <w:sz w:val="22"/>
          <w:szCs w:val="22"/>
          <w:lang w:val="en-NZ"/>
        </w:rPr>
        <w:t>, S. </w:t>
      </w:r>
      <w:proofErr w:type="spellStart"/>
      <w:r w:rsidRPr="00F73D75">
        <w:rPr>
          <w:rFonts w:eastAsia="Times New Roman"/>
          <w:sz w:val="22"/>
          <w:szCs w:val="22"/>
          <w:lang w:val="en-NZ"/>
        </w:rPr>
        <w:t>Stehman</w:t>
      </w:r>
      <w:proofErr w:type="spellEnd"/>
      <w:r w:rsidRPr="00F73D75">
        <w:rPr>
          <w:rFonts w:eastAsia="Times New Roman"/>
          <w:sz w:val="22"/>
          <w:szCs w:val="22"/>
          <w:lang w:val="en-NZ"/>
        </w:rPr>
        <w:t xml:space="preserve">, S. Goetz, T. Loveland, A. and </w:t>
      </w:r>
      <w:proofErr w:type="spellStart"/>
      <w:r w:rsidRPr="00F73D75">
        <w:rPr>
          <w:rFonts w:eastAsia="Times New Roman"/>
          <w:sz w:val="22"/>
          <w:szCs w:val="22"/>
          <w:lang w:val="en-NZ"/>
        </w:rPr>
        <w:t>Kommareddy</w:t>
      </w:r>
      <w:proofErr w:type="spellEnd"/>
      <w:r w:rsidRPr="00F73D75">
        <w:rPr>
          <w:rFonts w:eastAsia="Times New Roman"/>
          <w:sz w:val="22"/>
          <w:szCs w:val="22"/>
          <w:lang w:val="en-NZ"/>
        </w:rPr>
        <w:t>. (2013). ‘High-resolution global maps of 21st-century forest cover change’, </w:t>
      </w:r>
      <w:r w:rsidRPr="00F73D75">
        <w:rPr>
          <w:rFonts w:eastAsia="Times New Roman"/>
          <w:i/>
          <w:iCs/>
          <w:sz w:val="22"/>
          <w:szCs w:val="22"/>
          <w:lang w:val="en-NZ"/>
        </w:rPr>
        <w:t>Science</w:t>
      </w:r>
      <w:r w:rsidRPr="00F73D75">
        <w:rPr>
          <w:rFonts w:eastAsia="Times New Roman"/>
          <w:sz w:val="22"/>
          <w:szCs w:val="22"/>
          <w:lang w:val="en-NZ"/>
        </w:rPr>
        <w:t xml:space="preserve"> 342(6160): 850-853. </w:t>
      </w:r>
    </w:p>
    <w:p w14:paraId="077AEAC3" w14:textId="393D9141" w:rsidR="00810679" w:rsidRPr="00F73D75" w:rsidRDefault="00810679" w:rsidP="00ED4A8F">
      <w:pPr>
        <w:spacing w:after="200"/>
        <w:ind w:left="567" w:hanging="567"/>
        <w:rPr>
          <w:sz w:val="22"/>
          <w:szCs w:val="22"/>
        </w:rPr>
      </w:pPr>
      <w:proofErr w:type="gramStart"/>
      <w:r w:rsidRPr="00F73D75">
        <w:rPr>
          <w:sz w:val="22"/>
          <w:szCs w:val="22"/>
        </w:rPr>
        <w:t xml:space="preserve">Hughes, T., Crawford, P., </w:t>
      </w:r>
      <w:proofErr w:type="spellStart"/>
      <w:r w:rsidRPr="00F73D75">
        <w:rPr>
          <w:sz w:val="22"/>
          <w:szCs w:val="22"/>
        </w:rPr>
        <w:t>Sutch</w:t>
      </w:r>
      <w:proofErr w:type="spellEnd"/>
      <w:r w:rsidRPr="00F73D75">
        <w:rPr>
          <w:sz w:val="22"/>
          <w:szCs w:val="22"/>
        </w:rPr>
        <w:t xml:space="preserve">, H. and L, </w:t>
      </w:r>
      <w:proofErr w:type="spellStart"/>
      <w:r w:rsidRPr="00F73D75">
        <w:rPr>
          <w:sz w:val="22"/>
          <w:szCs w:val="22"/>
        </w:rPr>
        <w:t>Tacconi</w:t>
      </w:r>
      <w:proofErr w:type="spellEnd"/>
      <w:r w:rsidRPr="00F73D75">
        <w:rPr>
          <w:sz w:val="22"/>
          <w:szCs w:val="22"/>
        </w:rPr>
        <w:t xml:space="preserve"> (2010).</w:t>
      </w:r>
      <w:proofErr w:type="gramEnd"/>
      <w:r w:rsidRPr="00F73D75">
        <w:rPr>
          <w:sz w:val="22"/>
          <w:szCs w:val="22"/>
        </w:rPr>
        <w:t xml:space="preserve"> </w:t>
      </w:r>
      <w:r w:rsidRPr="00F73D75">
        <w:rPr>
          <w:i/>
          <w:iCs/>
          <w:sz w:val="22"/>
          <w:szCs w:val="22"/>
        </w:rPr>
        <w:t>Solomon Islands Forest Management Project II: Independent Completion Report</w:t>
      </w:r>
      <w:r w:rsidRPr="00F73D75">
        <w:rPr>
          <w:sz w:val="22"/>
          <w:szCs w:val="22"/>
        </w:rPr>
        <w:t xml:space="preserve">. Report Prepared for </w:t>
      </w:r>
      <w:proofErr w:type="spellStart"/>
      <w:r w:rsidRPr="00F73D75">
        <w:rPr>
          <w:sz w:val="22"/>
          <w:szCs w:val="22"/>
        </w:rPr>
        <w:t>AusAid</w:t>
      </w:r>
      <w:proofErr w:type="spellEnd"/>
      <w:r w:rsidRPr="00F73D75">
        <w:rPr>
          <w:sz w:val="22"/>
          <w:szCs w:val="22"/>
        </w:rPr>
        <w:t xml:space="preserve"> August – March 2010.</w:t>
      </w:r>
    </w:p>
    <w:p w14:paraId="2226D6FE" w14:textId="10DAC6E6" w:rsidR="009411DF" w:rsidRPr="00F73D75" w:rsidRDefault="009411DF" w:rsidP="00ED4A8F">
      <w:pPr>
        <w:spacing w:after="200"/>
        <w:ind w:left="567" w:hanging="567"/>
        <w:rPr>
          <w:rFonts w:eastAsia="Times New Roman"/>
          <w:sz w:val="22"/>
          <w:szCs w:val="22"/>
          <w:lang w:val="en-AU"/>
        </w:rPr>
      </w:pPr>
      <w:proofErr w:type="gramStart"/>
      <w:r w:rsidRPr="00F73D75">
        <w:rPr>
          <w:rFonts w:eastAsia="Times New Roman"/>
          <w:sz w:val="22"/>
          <w:szCs w:val="22"/>
          <w:lang w:val="en-AU"/>
        </w:rPr>
        <w:t xml:space="preserve">Jansen, T., </w:t>
      </w:r>
      <w:proofErr w:type="spellStart"/>
      <w:r w:rsidRPr="00F73D75">
        <w:rPr>
          <w:rFonts w:eastAsia="Times New Roman"/>
          <w:sz w:val="22"/>
          <w:szCs w:val="22"/>
          <w:lang w:val="en-AU"/>
        </w:rPr>
        <w:t>Pauku</w:t>
      </w:r>
      <w:proofErr w:type="spellEnd"/>
      <w:r w:rsidRPr="00F73D75">
        <w:rPr>
          <w:rFonts w:eastAsia="Times New Roman"/>
          <w:sz w:val="22"/>
          <w:szCs w:val="22"/>
          <w:lang w:val="en-AU"/>
        </w:rPr>
        <w:t>, R., and Gibson, J. (2006).</w:t>
      </w:r>
      <w:proofErr w:type="gramEnd"/>
      <w:r w:rsidRPr="00F73D75">
        <w:rPr>
          <w:rFonts w:eastAsia="Times New Roman"/>
          <w:sz w:val="22"/>
          <w:szCs w:val="22"/>
          <w:lang w:val="en-AU"/>
        </w:rPr>
        <w:t xml:space="preserve"> ‘Study of Rural Sources of Income Summary Report’ Solomon Islands Agriculture and Rural Development Strategy, </w:t>
      </w:r>
      <w:proofErr w:type="gramStart"/>
      <w:r w:rsidRPr="00F73D75">
        <w:rPr>
          <w:rFonts w:eastAsia="Times New Roman"/>
          <w:sz w:val="22"/>
          <w:szCs w:val="22"/>
          <w:lang w:val="en-AU"/>
        </w:rPr>
        <w:t>The</w:t>
      </w:r>
      <w:proofErr w:type="gramEnd"/>
      <w:r w:rsidRPr="00F73D75">
        <w:rPr>
          <w:rFonts w:eastAsia="Times New Roman"/>
          <w:sz w:val="22"/>
          <w:szCs w:val="22"/>
          <w:lang w:val="en-AU"/>
        </w:rPr>
        <w:t xml:space="preserve"> World Bank, Honiara.</w:t>
      </w:r>
    </w:p>
    <w:p w14:paraId="2DF1732C" w14:textId="39E56DBD" w:rsidR="00F00519" w:rsidRPr="00F73D75" w:rsidRDefault="00F00519" w:rsidP="00ED4A8F">
      <w:pPr>
        <w:spacing w:after="200"/>
        <w:ind w:left="567" w:hanging="567"/>
        <w:rPr>
          <w:rFonts w:eastAsia="Times New Roman"/>
          <w:sz w:val="22"/>
          <w:szCs w:val="22"/>
          <w:lang w:val="en-NZ"/>
        </w:rPr>
      </w:pPr>
      <w:proofErr w:type="spellStart"/>
      <w:proofErr w:type="gramStart"/>
      <w:r w:rsidRPr="00F73D75">
        <w:rPr>
          <w:rFonts w:eastAsia="Times New Roman"/>
          <w:sz w:val="22"/>
          <w:szCs w:val="22"/>
          <w:lang w:val="en-NZ"/>
        </w:rPr>
        <w:t>Katovai</w:t>
      </w:r>
      <w:proofErr w:type="spellEnd"/>
      <w:r w:rsidRPr="00F73D75">
        <w:rPr>
          <w:rFonts w:eastAsia="Times New Roman"/>
          <w:sz w:val="22"/>
          <w:szCs w:val="22"/>
          <w:lang w:val="en-NZ"/>
        </w:rPr>
        <w:t xml:space="preserve">, E., W. Edwards, and W. </w:t>
      </w:r>
      <w:proofErr w:type="spellStart"/>
      <w:r w:rsidRPr="00F73D75">
        <w:rPr>
          <w:rFonts w:eastAsia="Times New Roman"/>
          <w:sz w:val="22"/>
          <w:szCs w:val="22"/>
          <w:lang w:val="en-NZ"/>
        </w:rPr>
        <w:t>Laurance</w:t>
      </w:r>
      <w:proofErr w:type="spellEnd"/>
      <w:r w:rsidRPr="00F73D75">
        <w:rPr>
          <w:rFonts w:eastAsia="Times New Roman"/>
          <w:sz w:val="22"/>
          <w:szCs w:val="22"/>
          <w:lang w:val="en-NZ"/>
        </w:rPr>
        <w:t>.</w:t>
      </w:r>
      <w:proofErr w:type="gramEnd"/>
      <w:r w:rsidRPr="00F73D75">
        <w:rPr>
          <w:rFonts w:eastAsia="Times New Roman"/>
          <w:sz w:val="22"/>
          <w:szCs w:val="22"/>
          <w:lang w:val="en-NZ"/>
        </w:rPr>
        <w:t xml:space="preserve"> (2015). ‘Dynamics of logging in Solomon Islands: The need for restoration and conservation alternatives’, </w:t>
      </w:r>
      <w:r w:rsidRPr="00F73D75">
        <w:rPr>
          <w:rFonts w:eastAsia="Times New Roman"/>
          <w:i/>
          <w:iCs/>
          <w:sz w:val="22"/>
          <w:szCs w:val="22"/>
          <w:lang w:val="en-NZ"/>
        </w:rPr>
        <w:t>Tropical Conservation Science</w:t>
      </w:r>
      <w:r w:rsidRPr="00F73D75">
        <w:rPr>
          <w:rFonts w:eastAsia="Times New Roman"/>
          <w:sz w:val="22"/>
          <w:szCs w:val="22"/>
          <w:lang w:val="en-NZ"/>
        </w:rPr>
        <w:t xml:space="preserve"> 8(3): </w:t>
      </w:r>
      <w:r w:rsidR="00240B57">
        <w:rPr>
          <w:rFonts w:eastAsia="Times New Roman"/>
          <w:sz w:val="22"/>
          <w:szCs w:val="22"/>
          <w:lang w:val="en-NZ"/>
        </w:rPr>
        <w:br/>
      </w:r>
      <w:r w:rsidRPr="00F73D75">
        <w:rPr>
          <w:rFonts w:eastAsia="Times New Roman"/>
          <w:sz w:val="22"/>
          <w:szCs w:val="22"/>
          <w:lang w:val="en-NZ"/>
        </w:rPr>
        <w:t>718-731.</w:t>
      </w:r>
    </w:p>
    <w:p w14:paraId="5653EE7A" w14:textId="62D38CC4" w:rsidR="00886523" w:rsidRPr="00F73D75" w:rsidRDefault="00886523" w:rsidP="00ED4A8F">
      <w:pPr>
        <w:spacing w:after="200"/>
        <w:ind w:left="567" w:hanging="567"/>
        <w:rPr>
          <w:rFonts w:eastAsia="Times New Roman"/>
          <w:sz w:val="22"/>
          <w:szCs w:val="22"/>
        </w:rPr>
      </w:pPr>
      <w:proofErr w:type="gramStart"/>
      <w:r w:rsidRPr="00F73D75">
        <w:rPr>
          <w:rFonts w:eastAsia="Times New Roman"/>
          <w:sz w:val="22"/>
          <w:szCs w:val="22"/>
        </w:rPr>
        <w:t xml:space="preserve">Koop, G., and L. </w:t>
      </w:r>
      <w:proofErr w:type="spellStart"/>
      <w:r w:rsidRPr="00F73D75">
        <w:rPr>
          <w:rFonts w:eastAsia="Times New Roman"/>
          <w:sz w:val="22"/>
          <w:szCs w:val="22"/>
        </w:rPr>
        <w:t>Tole</w:t>
      </w:r>
      <w:proofErr w:type="spellEnd"/>
      <w:r w:rsidRPr="00F73D75">
        <w:rPr>
          <w:rFonts w:eastAsia="Times New Roman"/>
          <w:sz w:val="22"/>
          <w:szCs w:val="22"/>
        </w:rPr>
        <w:t>.</w:t>
      </w:r>
      <w:proofErr w:type="gramEnd"/>
      <w:r w:rsidRPr="00F73D75">
        <w:rPr>
          <w:rFonts w:eastAsia="Times New Roman"/>
          <w:sz w:val="22"/>
          <w:szCs w:val="22"/>
        </w:rPr>
        <w:t xml:space="preserve"> (2001) ‘Deforestation, distribution and development’, </w:t>
      </w:r>
      <w:r w:rsidRPr="00F73D75">
        <w:rPr>
          <w:rFonts w:eastAsia="Times New Roman"/>
          <w:i/>
          <w:iCs/>
          <w:sz w:val="22"/>
          <w:szCs w:val="22"/>
        </w:rPr>
        <w:t>Global Environmental Change</w:t>
      </w:r>
      <w:r w:rsidRPr="00F73D75">
        <w:rPr>
          <w:rFonts w:eastAsia="Times New Roman"/>
          <w:sz w:val="22"/>
          <w:szCs w:val="22"/>
        </w:rPr>
        <w:t xml:space="preserve"> 11(3): 193-202.</w:t>
      </w:r>
    </w:p>
    <w:p w14:paraId="067975C9" w14:textId="70546C69" w:rsidR="00CD3B1E" w:rsidRPr="00F73D75" w:rsidRDefault="00E5390E" w:rsidP="00ED4A8F">
      <w:pPr>
        <w:spacing w:after="200"/>
        <w:ind w:left="567" w:hanging="567"/>
        <w:rPr>
          <w:rFonts w:eastAsia="Times New Roman"/>
          <w:sz w:val="22"/>
          <w:szCs w:val="22"/>
        </w:rPr>
      </w:pPr>
      <w:proofErr w:type="spellStart"/>
      <w:r w:rsidRPr="00F73D75">
        <w:rPr>
          <w:rFonts w:eastAsia="Times New Roman"/>
          <w:sz w:val="22"/>
          <w:szCs w:val="22"/>
        </w:rPr>
        <w:t>Pauku</w:t>
      </w:r>
      <w:proofErr w:type="spellEnd"/>
      <w:r w:rsidRPr="00F73D75">
        <w:rPr>
          <w:rFonts w:eastAsia="Times New Roman"/>
          <w:sz w:val="22"/>
          <w:szCs w:val="22"/>
        </w:rPr>
        <w:t xml:space="preserve">, R. (2009). </w:t>
      </w:r>
      <w:proofErr w:type="gramStart"/>
      <w:r w:rsidRPr="00F73D75">
        <w:rPr>
          <w:rFonts w:eastAsia="Times New Roman"/>
          <w:sz w:val="22"/>
          <w:szCs w:val="22"/>
        </w:rPr>
        <w:t>Solomon Islands forestry outlook study.</w:t>
      </w:r>
      <w:proofErr w:type="gramEnd"/>
      <w:r w:rsidRPr="00F73D75">
        <w:rPr>
          <w:rFonts w:eastAsia="Times New Roman"/>
          <w:sz w:val="22"/>
          <w:szCs w:val="22"/>
        </w:rPr>
        <w:t> </w:t>
      </w:r>
      <w:r w:rsidRPr="00F73D75">
        <w:rPr>
          <w:rFonts w:eastAsia="Times New Roman"/>
          <w:i/>
          <w:iCs/>
          <w:sz w:val="22"/>
          <w:szCs w:val="22"/>
        </w:rPr>
        <w:t>Asia-Pacific Forestry Sector Outlook Study II, Working Paper No. APFSOS II/WP/2009/31</w:t>
      </w:r>
      <w:proofErr w:type="gramStart"/>
      <w:r w:rsidRPr="00F73D75">
        <w:rPr>
          <w:rFonts w:eastAsia="Times New Roman"/>
          <w:i/>
          <w:iCs/>
          <w:sz w:val="22"/>
          <w:szCs w:val="22"/>
        </w:rPr>
        <w:t>.(</w:t>
      </w:r>
      <w:proofErr w:type="gramEnd"/>
      <w:r w:rsidRPr="00F73D75">
        <w:rPr>
          <w:rFonts w:eastAsia="Times New Roman"/>
          <w:i/>
          <w:iCs/>
          <w:sz w:val="22"/>
          <w:szCs w:val="22"/>
        </w:rPr>
        <w:t>UN Food and Agriculture Organization, Regional Office for Asia and the Pacific: Bangkok.)</w:t>
      </w:r>
      <w:r w:rsidRPr="00F73D75">
        <w:rPr>
          <w:rFonts w:eastAsia="Times New Roman"/>
          <w:sz w:val="22"/>
          <w:szCs w:val="22"/>
        </w:rPr>
        <w:t>.</w:t>
      </w:r>
    </w:p>
    <w:p w14:paraId="53AAC572" w14:textId="041A77FA" w:rsidR="00E639C4" w:rsidRPr="00F73D75" w:rsidRDefault="00E639C4" w:rsidP="00ED4A8F">
      <w:pPr>
        <w:spacing w:after="200"/>
        <w:ind w:left="567" w:hanging="567"/>
        <w:rPr>
          <w:rFonts w:eastAsia="Times New Roman"/>
          <w:sz w:val="22"/>
          <w:szCs w:val="22"/>
          <w:lang w:val="en-NZ"/>
        </w:rPr>
      </w:pPr>
      <w:r w:rsidRPr="00F73D75">
        <w:rPr>
          <w:rFonts w:eastAsia="Times New Roman"/>
          <w:sz w:val="22"/>
          <w:szCs w:val="22"/>
        </w:rPr>
        <w:t>Sims, K. (2010). ‘</w:t>
      </w:r>
      <w:r w:rsidRPr="00F73D75">
        <w:rPr>
          <w:rFonts w:eastAsia="Times New Roman"/>
          <w:sz w:val="22"/>
          <w:szCs w:val="22"/>
          <w:lang w:val="en-NZ"/>
        </w:rPr>
        <w:t xml:space="preserve">Conservation and development: Evidence from Thai protected areas’, </w:t>
      </w:r>
      <w:r w:rsidRPr="00F73D75">
        <w:rPr>
          <w:rFonts w:eastAsia="Times New Roman"/>
          <w:i/>
          <w:iCs/>
          <w:sz w:val="22"/>
          <w:szCs w:val="22"/>
          <w:lang w:val="en-NZ"/>
        </w:rPr>
        <w:t>Journal of Environmental Economics and Management</w:t>
      </w:r>
      <w:r w:rsidRPr="00F73D75">
        <w:rPr>
          <w:rFonts w:eastAsia="Times New Roman"/>
          <w:sz w:val="22"/>
          <w:szCs w:val="22"/>
          <w:lang w:val="en-NZ"/>
        </w:rPr>
        <w:t xml:space="preserve"> </w:t>
      </w:r>
      <w:r w:rsidR="00686DF5" w:rsidRPr="00F73D75">
        <w:rPr>
          <w:rFonts w:eastAsia="Times New Roman"/>
          <w:sz w:val="22"/>
          <w:szCs w:val="22"/>
          <w:lang w:val="en-NZ"/>
        </w:rPr>
        <w:t>60(2): 94-114.</w:t>
      </w:r>
    </w:p>
    <w:p w14:paraId="08E4166F" w14:textId="40E2B0F0" w:rsidR="00984D50" w:rsidRPr="00F73D75" w:rsidRDefault="00984D50" w:rsidP="00ED4A8F">
      <w:pPr>
        <w:spacing w:after="200"/>
        <w:ind w:left="567" w:hanging="567"/>
        <w:rPr>
          <w:rFonts w:eastAsia="Times New Roman"/>
          <w:sz w:val="22"/>
          <w:szCs w:val="22"/>
        </w:rPr>
      </w:pPr>
      <w:r w:rsidRPr="00F73D75">
        <w:rPr>
          <w:rFonts w:eastAsia="Times New Roman"/>
          <w:sz w:val="22"/>
          <w:szCs w:val="22"/>
        </w:rPr>
        <w:t xml:space="preserve">Sinclair Knight </w:t>
      </w:r>
      <w:proofErr w:type="spellStart"/>
      <w:r w:rsidRPr="00F73D75">
        <w:rPr>
          <w:rFonts w:eastAsia="Times New Roman"/>
          <w:sz w:val="22"/>
          <w:szCs w:val="22"/>
        </w:rPr>
        <w:t>Merz</w:t>
      </w:r>
      <w:proofErr w:type="spellEnd"/>
      <w:r w:rsidRPr="00F73D75">
        <w:rPr>
          <w:rFonts w:eastAsia="Times New Roman"/>
          <w:sz w:val="22"/>
          <w:szCs w:val="22"/>
        </w:rPr>
        <w:t xml:space="preserve"> [SKM] </w:t>
      </w:r>
      <w:r w:rsidRPr="00F73D75">
        <w:rPr>
          <w:sz w:val="22"/>
          <w:szCs w:val="22"/>
        </w:rPr>
        <w:t>(2012). ‘Solomon Islands National Forest Resources Assessment: 2011 Update’ Honiara: SKM.</w:t>
      </w:r>
    </w:p>
    <w:p w14:paraId="018E6CA2" w14:textId="4A4BF937" w:rsidR="00211C81" w:rsidRPr="00F73D75" w:rsidRDefault="00211C81" w:rsidP="00ED4A8F">
      <w:pPr>
        <w:spacing w:after="200"/>
        <w:ind w:left="567" w:hanging="567"/>
        <w:rPr>
          <w:rFonts w:eastAsia="Times New Roman"/>
          <w:sz w:val="22"/>
          <w:szCs w:val="22"/>
        </w:rPr>
      </w:pPr>
      <w:proofErr w:type="spellStart"/>
      <w:proofErr w:type="gramStart"/>
      <w:r w:rsidRPr="00F73D75">
        <w:rPr>
          <w:rFonts w:eastAsia="Times New Roman"/>
          <w:sz w:val="22"/>
          <w:szCs w:val="22"/>
        </w:rPr>
        <w:t>Torras</w:t>
      </w:r>
      <w:proofErr w:type="spellEnd"/>
      <w:r w:rsidRPr="00F73D75">
        <w:rPr>
          <w:rFonts w:eastAsia="Times New Roman"/>
          <w:sz w:val="22"/>
          <w:szCs w:val="22"/>
        </w:rPr>
        <w:t>, M., and J. Boyce.</w:t>
      </w:r>
      <w:proofErr w:type="gramEnd"/>
      <w:r w:rsidRPr="00F73D75">
        <w:rPr>
          <w:rFonts w:eastAsia="Times New Roman"/>
          <w:sz w:val="22"/>
          <w:szCs w:val="22"/>
        </w:rPr>
        <w:t xml:space="preserve"> (1998). ‘Income, inequality, and pollution: a reassessment of the environmental Kuznets curve’, </w:t>
      </w:r>
      <w:r w:rsidRPr="00F73D75">
        <w:rPr>
          <w:rFonts w:eastAsia="Times New Roman"/>
          <w:i/>
          <w:iCs/>
          <w:sz w:val="22"/>
          <w:szCs w:val="22"/>
        </w:rPr>
        <w:t>Ecological Economics</w:t>
      </w:r>
      <w:r w:rsidRPr="00F73D75">
        <w:rPr>
          <w:rFonts w:eastAsia="Times New Roman"/>
          <w:sz w:val="22"/>
          <w:szCs w:val="22"/>
        </w:rPr>
        <w:t> 25(2): 147-160.</w:t>
      </w:r>
    </w:p>
    <w:p w14:paraId="5FA48E8B" w14:textId="5528FBDA" w:rsidR="00922AAB" w:rsidRPr="00F73D75" w:rsidRDefault="00922AAB" w:rsidP="00ED4A8F">
      <w:pPr>
        <w:spacing w:after="200"/>
        <w:ind w:left="567" w:hanging="567"/>
        <w:rPr>
          <w:rFonts w:eastAsia="Times New Roman"/>
          <w:sz w:val="22"/>
          <w:szCs w:val="22"/>
        </w:rPr>
      </w:pPr>
      <w:proofErr w:type="spellStart"/>
      <w:proofErr w:type="gramStart"/>
      <w:r w:rsidRPr="00F73D75">
        <w:rPr>
          <w:rFonts w:eastAsia="Times New Roman"/>
          <w:sz w:val="22"/>
          <w:szCs w:val="22"/>
        </w:rPr>
        <w:t>Vedeld</w:t>
      </w:r>
      <w:proofErr w:type="spellEnd"/>
      <w:r w:rsidRPr="00F73D75">
        <w:rPr>
          <w:rFonts w:eastAsia="Times New Roman"/>
          <w:sz w:val="22"/>
          <w:szCs w:val="22"/>
        </w:rPr>
        <w:t xml:space="preserve">, P., </w:t>
      </w:r>
      <w:proofErr w:type="spellStart"/>
      <w:r w:rsidRPr="00F73D75">
        <w:rPr>
          <w:rFonts w:eastAsia="Times New Roman"/>
          <w:sz w:val="22"/>
          <w:szCs w:val="22"/>
        </w:rPr>
        <w:t>Angelsen</w:t>
      </w:r>
      <w:proofErr w:type="spellEnd"/>
      <w:r w:rsidRPr="00F73D75">
        <w:rPr>
          <w:rFonts w:eastAsia="Times New Roman"/>
          <w:sz w:val="22"/>
          <w:szCs w:val="22"/>
        </w:rPr>
        <w:t xml:space="preserve">, A., </w:t>
      </w:r>
      <w:proofErr w:type="spellStart"/>
      <w:r w:rsidRPr="00F73D75">
        <w:rPr>
          <w:rFonts w:eastAsia="Times New Roman"/>
          <w:sz w:val="22"/>
          <w:szCs w:val="22"/>
        </w:rPr>
        <w:t>Bojö</w:t>
      </w:r>
      <w:proofErr w:type="spellEnd"/>
      <w:r w:rsidRPr="00F73D75">
        <w:rPr>
          <w:rFonts w:eastAsia="Times New Roman"/>
          <w:sz w:val="22"/>
          <w:szCs w:val="22"/>
        </w:rPr>
        <w:t xml:space="preserve">, J., </w:t>
      </w:r>
      <w:proofErr w:type="spellStart"/>
      <w:r w:rsidRPr="00F73D75">
        <w:rPr>
          <w:rFonts w:eastAsia="Times New Roman"/>
          <w:sz w:val="22"/>
          <w:szCs w:val="22"/>
        </w:rPr>
        <w:t>Sjaastad</w:t>
      </w:r>
      <w:proofErr w:type="spellEnd"/>
      <w:r w:rsidRPr="00F73D75">
        <w:rPr>
          <w:rFonts w:eastAsia="Times New Roman"/>
          <w:sz w:val="22"/>
          <w:szCs w:val="22"/>
        </w:rPr>
        <w:t>, E., and Berg, G. (2007).</w:t>
      </w:r>
      <w:proofErr w:type="gramEnd"/>
      <w:r w:rsidRPr="00F73D75">
        <w:rPr>
          <w:rFonts w:eastAsia="Times New Roman"/>
          <w:sz w:val="22"/>
          <w:szCs w:val="22"/>
        </w:rPr>
        <w:t xml:space="preserve"> ‘Forest environmental incomes and the rural poor’, </w:t>
      </w:r>
      <w:r w:rsidRPr="00F73D75">
        <w:rPr>
          <w:rFonts w:eastAsia="Times New Roman"/>
          <w:i/>
          <w:iCs/>
          <w:sz w:val="22"/>
          <w:szCs w:val="22"/>
        </w:rPr>
        <w:t>Forest Policy and Economics</w:t>
      </w:r>
      <w:r w:rsidRPr="00F73D75">
        <w:rPr>
          <w:rFonts w:eastAsia="Times New Roman"/>
          <w:sz w:val="22"/>
          <w:szCs w:val="22"/>
        </w:rPr>
        <w:t> 9(7): 869-879.</w:t>
      </w:r>
    </w:p>
    <w:p w14:paraId="44F7C52D" w14:textId="77777777" w:rsidR="00240B57" w:rsidRDefault="008829DF" w:rsidP="00240B57">
      <w:pPr>
        <w:ind w:left="567" w:hanging="567"/>
        <w:rPr>
          <w:rFonts w:eastAsia="Times New Roman"/>
          <w:i/>
          <w:iCs/>
          <w:sz w:val="22"/>
          <w:szCs w:val="22"/>
        </w:rPr>
      </w:pPr>
      <w:proofErr w:type="gramStart"/>
      <w:r w:rsidRPr="00F73D75">
        <w:rPr>
          <w:rFonts w:eastAsia="Times New Roman"/>
          <w:sz w:val="22"/>
          <w:szCs w:val="22"/>
        </w:rPr>
        <w:t>URS (2014).</w:t>
      </w:r>
      <w:proofErr w:type="gramEnd"/>
      <w:r w:rsidRPr="00F73D75">
        <w:rPr>
          <w:rFonts w:eastAsia="Times New Roman"/>
          <w:sz w:val="22"/>
          <w:szCs w:val="22"/>
        </w:rPr>
        <w:t xml:space="preserve"> </w:t>
      </w:r>
      <w:r w:rsidRPr="00F73D75">
        <w:rPr>
          <w:rFonts w:eastAsia="Times New Roman"/>
          <w:i/>
          <w:iCs/>
          <w:sz w:val="22"/>
          <w:szCs w:val="22"/>
          <w:lang w:val="en-NZ"/>
        </w:rPr>
        <w:t>Market Study for Solomon Islands Timber Exports: A Report for the</w:t>
      </w:r>
      <w:r w:rsidRPr="00F73D75">
        <w:rPr>
          <w:rFonts w:eastAsia="Times New Roman"/>
          <w:i/>
          <w:iCs/>
          <w:sz w:val="22"/>
          <w:szCs w:val="22"/>
        </w:rPr>
        <w:t xml:space="preserve"> Pacific Horticultural and Agricultural Market Access Program (PHAMA) </w:t>
      </w:r>
    </w:p>
    <w:p w14:paraId="2052BEAD" w14:textId="6A0FED56" w:rsidR="008829DF" w:rsidRPr="00F73D75" w:rsidRDefault="00240B57" w:rsidP="00ED4A8F">
      <w:pPr>
        <w:spacing w:after="200"/>
        <w:ind w:left="567" w:hanging="567"/>
        <w:rPr>
          <w:color w:val="0000FF"/>
          <w:sz w:val="22"/>
          <w:szCs w:val="22"/>
          <w:u w:val="single"/>
        </w:rPr>
      </w:pPr>
      <w:r>
        <w:rPr>
          <w:rFonts w:eastAsia="Times New Roman"/>
          <w:i/>
          <w:iCs/>
          <w:sz w:val="22"/>
          <w:szCs w:val="22"/>
        </w:rPr>
        <w:tab/>
      </w:r>
      <w:r w:rsidR="008829DF" w:rsidRPr="00F73D75">
        <w:rPr>
          <w:rStyle w:val="Hyperlink"/>
          <w:sz w:val="22"/>
          <w:szCs w:val="22"/>
        </w:rPr>
        <w:t>http://phama.com.au/resources/technical-reports/market-study-for-solomon-islands-timber-exports/</w:t>
      </w:r>
    </w:p>
    <w:p w14:paraId="2C45D27B" w14:textId="77777777" w:rsidR="00E21029" w:rsidRPr="00F73D75" w:rsidRDefault="00E21029" w:rsidP="00ED4A8F">
      <w:pPr>
        <w:spacing w:after="200"/>
        <w:ind w:left="567" w:hanging="567"/>
        <w:rPr>
          <w:rFonts w:eastAsia="Times New Roman"/>
          <w:sz w:val="22"/>
          <w:szCs w:val="22"/>
        </w:rPr>
      </w:pPr>
      <w:r w:rsidRPr="00F73D75">
        <w:rPr>
          <w:rFonts w:eastAsia="Times New Roman"/>
          <w:sz w:val="22"/>
          <w:szCs w:val="22"/>
        </w:rPr>
        <w:t xml:space="preserve">Zhao, Q., and P. </w:t>
      </w:r>
      <w:proofErr w:type="spellStart"/>
      <w:r w:rsidRPr="00F73D75">
        <w:rPr>
          <w:rFonts w:eastAsia="Times New Roman"/>
          <w:sz w:val="22"/>
          <w:szCs w:val="22"/>
        </w:rPr>
        <w:t>Lanjouw</w:t>
      </w:r>
      <w:proofErr w:type="spellEnd"/>
      <w:r w:rsidRPr="00F73D75">
        <w:rPr>
          <w:rFonts w:eastAsia="Times New Roman"/>
          <w:sz w:val="22"/>
          <w:szCs w:val="22"/>
        </w:rPr>
        <w:t xml:space="preserve"> (2003), </w:t>
      </w:r>
      <w:r w:rsidRPr="00F73D75">
        <w:rPr>
          <w:rFonts w:eastAsia="Times New Roman"/>
          <w:i/>
          <w:iCs/>
          <w:sz w:val="22"/>
          <w:szCs w:val="22"/>
        </w:rPr>
        <w:t>Using PovMap2: A User’s Guide</w:t>
      </w:r>
      <w:r w:rsidRPr="00F73D75">
        <w:rPr>
          <w:rFonts w:eastAsia="Times New Roman"/>
          <w:sz w:val="22"/>
          <w:szCs w:val="22"/>
        </w:rPr>
        <w:t xml:space="preserve"> World Bank: Washington </w:t>
      </w:r>
      <w:hyperlink r:id="rId60" w:history="1">
        <w:r w:rsidRPr="00F73D75">
          <w:rPr>
            <w:rStyle w:val="Hyperlink"/>
            <w:rFonts w:eastAsia="Times New Roman"/>
            <w:sz w:val="22"/>
            <w:szCs w:val="22"/>
          </w:rPr>
          <w:t>http://iresearch.worldbank.org/PovMap/PovMap2/PovMap2Manual.pdf</w:t>
        </w:r>
      </w:hyperlink>
      <w:r w:rsidRPr="00F73D75">
        <w:rPr>
          <w:rFonts w:eastAsia="Times New Roman"/>
          <w:sz w:val="22"/>
          <w:szCs w:val="22"/>
        </w:rPr>
        <w:t xml:space="preserve"> </w:t>
      </w:r>
    </w:p>
    <w:p w14:paraId="0A1311F2" w14:textId="77777777" w:rsidR="00DF5B45" w:rsidRPr="00F73D75" w:rsidRDefault="00DF5B45" w:rsidP="002853C2">
      <w:pPr>
        <w:ind w:left="720" w:hanging="720"/>
        <w:jc w:val="left"/>
        <w:rPr>
          <w:rFonts w:eastAsia="Times New Roman"/>
          <w:sz w:val="22"/>
          <w:szCs w:val="22"/>
          <w:lang w:bidi="ar-SA"/>
        </w:rPr>
      </w:pPr>
    </w:p>
    <w:p w14:paraId="18A436E6" w14:textId="6EDAE20E" w:rsidR="00DF5B45" w:rsidRPr="00F73D75" w:rsidRDefault="00DF5B45">
      <w:pPr>
        <w:spacing w:after="200" w:line="276" w:lineRule="auto"/>
        <w:jc w:val="left"/>
        <w:rPr>
          <w:rFonts w:eastAsia="Times New Roman"/>
          <w:sz w:val="22"/>
          <w:szCs w:val="22"/>
          <w:lang w:bidi="ar-SA"/>
        </w:rPr>
      </w:pPr>
      <w:r w:rsidRPr="00F73D75">
        <w:rPr>
          <w:rFonts w:eastAsia="Times New Roman"/>
          <w:sz w:val="22"/>
          <w:szCs w:val="22"/>
          <w:lang w:bidi="ar-SA"/>
        </w:rPr>
        <w:br w:type="page"/>
      </w:r>
    </w:p>
    <w:p w14:paraId="3B3DA932" w14:textId="1258FDDE" w:rsidR="00622FD6" w:rsidRPr="00FC4942" w:rsidRDefault="00622FD6" w:rsidP="00622FD6">
      <w:pPr>
        <w:spacing w:before="40"/>
        <w:jc w:val="center"/>
        <w:rPr>
          <w:rFonts w:eastAsia="Times New Roman"/>
          <w:sz w:val="6"/>
          <w:szCs w:val="6"/>
          <w:lang w:bidi="ar-SA"/>
        </w:rPr>
      </w:pPr>
    </w:p>
    <w:p w14:paraId="1E784309" w14:textId="524D5715" w:rsidR="00A869E3" w:rsidRPr="00AE7B80" w:rsidRDefault="00772A19" w:rsidP="00772A19">
      <w:pPr>
        <w:jc w:val="center"/>
        <w:rPr>
          <w:rFonts w:eastAsia="Times New Roman"/>
          <w:b/>
          <w:sz w:val="22"/>
          <w:lang w:bidi="ar-SA"/>
        </w:rPr>
      </w:pPr>
      <w:r w:rsidRPr="00AE7B80">
        <w:rPr>
          <w:rFonts w:eastAsia="Times New Roman"/>
          <w:b/>
          <w:sz w:val="22"/>
          <w:lang w:bidi="ar-SA"/>
        </w:rPr>
        <w:t>Appendix A1: Estimates of Equation (1) for Predicting Consumption</w:t>
      </w:r>
    </w:p>
    <w:p w14:paraId="0D1B532A" w14:textId="68439458" w:rsidR="0076663C" w:rsidRDefault="00772A19" w:rsidP="00622FD6">
      <w:pPr>
        <w:spacing w:before="40"/>
        <w:jc w:val="center"/>
        <w:rPr>
          <w:rFonts w:eastAsia="Times New Roman"/>
          <w:sz w:val="22"/>
          <w:lang w:bidi="ar-SA"/>
        </w:rPr>
      </w:pPr>
      <w:r w:rsidRPr="00F122F6">
        <w:rPr>
          <w:noProof/>
          <w:lang w:val="en-NZ" w:eastAsia="en-NZ" w:bidi="ar-SA"/>
        </w:rPr>
        <w:drawing>
          <wp:inline distT="0" distB="0" distL="0" distR="0" wp14:anchorId="5804B929" wp14:editId="15CDE4C3">
            <wp:extent cx="5543887" cy="653891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48680" cy="6544566"/>
                    </a:xfrm>
                    <a:prstGeom prst="rect">
                      <a:avLst/>
                    </a:prstGeom>
                    <a:noFill/>
                    <a:ln>
                      <a:noFill/>
                    </a:ln>
                  </pic:spPr>
                </pic:pic>
              </a:graphicData>
            </a:graphic>
          </wp:inline>
        </w:drawing>
      </w:r>
    </w:p>
    <w:p w14:paraId="039EF034" w14:textId="71948BE0" w:rsidR="00772A19" w:rsidRPr="00AE7B80" w:rsidRDefault="00772A19" w:rsidP="00772A19">
      <w:pPr>
        <w:spacing w:before="180" w:after="60"/>
        <w:jc w:val="center"/>
        <w:rPr>
          <w:rFonts w:eastAsia="Times New Roman"/>
          <w:b/>
          <w:sz w:val="22"/>
          <w:lang w:bidi="ar-SA"/>
        </w:rPr>
      </w:pPr>
      <w:r w:rsidRPr="00AE7B80">
        <w:rPr>
          <w:rFonts w:eastAsia="Times New Roman"/>
          <w:b/>
          <w:sz w:val="22"/>
          <w:lang w:bidi="ar-SA"/>
        </w:rPr>
        <w:t>Appendix A2: Estimates for Equation (3) for Modelling Heteroscedasticity</w:t>
      </w:r>
    </w:p>
    <w:p w14:paraId="69E04719" w14:textId="71A910FE" w:rsidR="0076663C" w:rsidRPr="00622FD6" w:rsidRDefault="00772A19" w:rsidP="00622FD6">
      <w:pPr>
        <w:spacing w:before="40"/>
        <w:jc w:val="center"/>
        <w:rPr>
          <w:rFonts w:eastAsia="Times New Roman"/>
          <w:sz w:val="22"/>
          <w:lang w:bidi="ar-SA"/>
        </w:rPr>
      </w:pPr>
      <w:r w:rsidRPr="00F122F6">
        <w:rPr>
          <w:noProof/>
          <w:lang w:val="en-NZ" w:eastAsia="en-NZ" w:bidi="ar-SA"/>
        </w:rPr>
        <w:drawing>
          <wp:inline distT="0" distB="0" distL="0" distR="0" wp14:anchorId="7DFDC234" wp14:editId="3752F317">
            <wp:extent cx="5736190" cy="1695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37676" cy="1725446"/>
                    </a:xfrm>
                    <a:prstGeom prst="rect">
                      <a:avLst/>
                    </a:prstGeom>
                    <a:noFill/>
                    <a:ln>
                      <a:noFill/>
                    </a:ln>
                  </pic:spPr>
                </pic:pic>
              </a:graphicData>
            </a:graphic>
          </wp:inline>
        </w:drawing>
      </w:r>
    </w:p>
    <w:sectPr w:rsidR="0076663C" w:rsidRPr="00622FD6" w:rsidSect="00567A31">
      <w:footerReference w:type="default" r:id="rId63"/>
      <w:endnotePr>
        <w:numFmt w:val="decimal"/>
      </w:endnotePr>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E848E" w14:textId="77777777" w:rsidR="00A36C0A" w:rsidRDefault="00A36C0A" w:rsidP="00B67F1F">
      <w:r>
        <w:separator/>
      </w:r>
    </w:p>
  </w:endnote>
  <w:endnote w:type="continuationSeparator" w:id="0">
    <w:p w14:paraId="469883C2" w14:textId="77777777" w:rsidR="00A36C0A" w:rsidRDefault="00A36C0A" w:rsidP="00B6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670204"/>
      <w:docPartObj>
        <w:docPartGallery w:val="Page Numbers (Bottom of Page)"/>
        <w:docPartUnique/>
      </w:docPartObj>
    </w:sdtPr>
    <w:sdtEndPr>
      <w:rPr>
        <w:noProof/>
      </w:rPr>
    </w:sdtEndPr>
    <w:sdtContent>
      <w:p w14:paraId="0612C5CC" w14:textId="1E77F143" w:rsidR="009D0BBB" w:rsidRDefault="009D0BBB">
        <w:pPr>
          <w:pStyle w:val="Footer"/>
          <w:jc w:val="center"/>
        </w:pPr>
        <w:r>
          <w:fldChar w:fldCharType="begin"/>
        </w:r>
        <w:r>
          <w:instrText xml:space="preserve"> PAGE   \* MERGEFORMAT </w:instrText>
        </w:r>
        <w:r>
          <w:fldChar w:fldCharType="separate"/>
        </w:r>
        <w:r w:rsidR="0073791D">
          <w:rPr>
            <w:noProof/>
          </w:rPr>
          <w:t>21</w:t>
        </w:r>
        <w:r>
          <w:rPr>
            <w:noProof/>
          </w:rPr>
          <w:fldChar w:fldCharType="end"/>
        </w:r>
      </w:p>
    </w:sdtContent>
  </w:sdt>
  <w:p w14:paraId="758F3F30" w14:textId="77777777" w:rsidR="009D0BBB" w:rsidRDefault="009D0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451D0" w14:textId="77777777" w:rsidR="00A36C0A" w:rsidRDefault="00A36C0A" w:rsidP="00B67F1F">
      <w:r>
        <w:separator/>
      </w:r>
    </w:p>
  </w:footnote>
  <w:footnote w:type="continuationSeparator" w:id="0">
    <w:p w14:paraId="4E4AEF60" w14:textId="77777777" w:rsidR="00A36C0A" w:rsidRDefault="00A36C0A" w:rsidP="00B67F1F">
      <w:r>
        <w:continuationSeparator/>
      </w:r>
    </w:p>
  </w:footnote>
  <w:footnote w:id="1">
    <w:p w14:paraId="336DB448" w14:textId="0A046CDA" w:rsidR="009D0BBB" w:rsidRDefault="009D0BBB" w:rsidP="009D0BBB">
      <w:pPr>
        <w:pStyle w:val="FootnoteText"/>
        <w:ind w:left="142" w:hanging="142"/>
        <w:rPr>
          <w:sz w:val="22"/>
          <w:szCs w:val="22"/>
          <w:lang w:val="en-NZ"/>
        </w:rPr>
      </w:pPr>
      <w:r w:rsidRPr="00ED4A8F">
        <w:rPr>
          <w:rStyle w:val="FootnoteReference"/>
          <w:sz w:val="22"/>
          <w:szCs w:val="22"/>
        </w:rPr>
        <w:footnoteRef/>
      </w:r>
      <w:r w:rsidRPr="00ED4A8F">
        <w:rPr>
          <w:sz w:val="22"/>
          <w:szCs w:val="22"/>
        </w:rPr>
        <w:t xml:space="preserve"> </w:t>
      </w:r>
      <w:r>
        <w:rPr>
          <w:sz w:val="22"/>
          <w:szCs w:val="22"/>
        </w:rPr>
        <w:tab/>
      </w:r>
      <w:r w:rsidRPr="00ED4A8F">
        <w:rPr>
          <w:sz w:val="22"/>
          <w:szCs w:val="22"/>
          <w:lang w:val="en-NZ"/>
        </w:rPr>
        <w:t>A small literature considers effects of deforestation on human health. There is evidence that forest loss increases the local incidenc</w:t>
      </w:r>
      <w:r>
        <w:rPr>
          <w:sz w:val="22"/>
          <w:szCs w:val="22"/>
          <w:lang w:val="en-NZ"/>
        </w:rPr>
        <w:t>e of malaria in Indonesia (Garg</w:t>
      </w:r>
      <w:r w:rsidRPr="00ED4A8F">
        <w:rPr>
          <w:sz w:val="22"/>
          <w:szCs w:val="22"/>
          <w:lang w:val="en-NZ"/>
        </w:rPr>
        <w:t xml:space="preserve"> 2016) and </w:t>
      </w:r>
      <w:r>
        <w:rPr>
          <w:sz w:val="22"/>
          <w:szCs w:val="22"/>
          <w:lang w:val="en-NZ"/>
        </w:rPr>
        <w:t>in Nigeria (</w:t>
      </w:r>
      <w:proofErr w:type="spellStart"/>
      <w:r>
        <w:rPr>
          <w:sz w:val="22"/>
          <w:szCs w:val="22"/>
          <w:lang w:val="en-NZ"/>
        </w:rPr>
        <w:t>Berazneva</w:t>
      </w:r>
      <w:proofErr w:type="spellEnd"/>
      <w:r>
        <w:rPr>
          <w:sz w:val="22"/>
          <w:szCs w:val="22"/>
          <w:lang w:val="en-NZ"/>
        </w:rPr>
        <w:t xml:space="preserve"> and </w:t>
      </w:r>
      <w:proofErr w:type="spellStart"/>
      <w:r>
        <w:rPr>
          <w:sz w:val="22"/>
          <w:szCs w:val="22"/>
          <w:lang w:val="en-NZ"/>
        </w:rPr>
        <w:t>Byker</w:t>
      </w:r>
      <w:proofErr w:type="spellEnd"/>
      <w:r w:rsidRPr="00ED4A8F">
        <w:rPr>
          <w:sz w:val="22"/>
          <w:szCs w:val="22"/>
          <w:lang w:val="en-NZ"/>
        </w:rPr>
        <w:t xml:space="preserve"> 2017).</w:t>
      </w:r>
    </w:p>
    <w:p w14:paraId="12BF3385" w14:textId="77777777" w:rsidR="009D0BBB" w:rsidRPr="00932138" w:rsidRDefault="009D0BBB" w:rsidP="009D0BBB">
      <w:pPr>
        <w:pStyle w:val="FootnoteText"/>
        <w:ind w:left="142" w:hanging="142"/>
        <w:rPr>
          <w:sz w:val="10"/>
          <w:szCs w:val="10"/>
          <w:lang w:val="en-NZ"/>
        </w:rPr>
      </w:pPr>
    </w:p>
  </w:footnote>
  <w:footnote w:id="2">
    <w:p w14:paraId="4928E5A6" w14:textId="0D87E382" w:rsidR="009D0BBB" w:rsidRPr="00ED4A8F" w:rsidRDefault="009D0BBB" w:rsidP="009D0BBB">
      <w:pPr>
        <w:pStyle w:val="FootnoteText"/>
        <w:ind w:left="142" w:hanging="142"/>
        <w:rPr>
          <w:sz w:val="22"/>
          <w:szCs w:val="22"/>
          <w:lang w:val="en-NZ"/>
        </w:rPr>
      </w:pPr>
      <w:r w:rsidRPr="00ED4A8F">
        <w:rPr>
          <w:rStyle w:val="FootnoteReference"/>
          <w:sz w:val="22"/>
          <w:szCs w:val="22"/>
        </w:rPr>
        <w:footnoteRef/>
      </w:r>
      <w:r w:rsidRPr="00ED4A8F">
        <w:rPr>
          <w:sz w:val="22"/>
          <w:szCs w:val="22"/>
        </w:rPr>
        <w:t xml:space="preserve"> </w:t>
      </w:r>
      <w:r w:rsidRPr="00ED4A8F">
        <w:rPr>
          <w:sz w:val="22"/>
          <w:szCs w:val="22"/>
          <w:lang w:val="en-NZ"/>
        </w:rPr>
        <w:t>If pixels are small, and if surveyed households (or clusters of them, such as a particular point in an enumeration area) are geo-referenced, then buffers can be created around each household or cluster and measurements of forest change made for all pixels within the buffer (</w:t>
      </w:r>
      <w:r>
        <w:rPr>
          <w:sz w:val="22"/>
          <w:szCs w:val="22"/>
          <w:lang w:val="en-NZ"/>
        </w:rPr>
        <w:t>for example,</w:t>
      </w:r>
      <w:r w:rsidRPr="00ED4A8F">
        <w:rPr>
          <w:sz w:val="22"/>
          <w:szCs w:val="22"/>
          <w:lang w:val="en-NZ"/>
        </w:rPr>
        <w:t xml:space="preserve"> this</w:t>
      </w:r>
      <w:r>
        <w:rPr>
          <w:sz w:val="22"/>
          <w:szCs w:val="22"/>
          <w:lang w:val="en-NZ"/>
        </w:rPr>
        <w:t xml:space="preserve"> is used by </w:t>
      </w:r>
      <w:proofErr w:type="spellStart"/>
      <w:r>
        <w:rPr>
          <w:sz w:val="22"/>
          <w:szCs w:val="22"/>
          <w:lang w:val="en-NZ"/>
        </w:rPr>
        <w:t>Berazneva</w:t>
      </w:r>
      <w:proofErr w:type="spellEnd"/>
      <w:r>
        <w:rPr>
          <w:sz w:val="22"/>
          <w:szCs w:val="22"/>
          <w:lang w:val="en-NZ"/>
        </w:rPr>
        <w:t xml:space="preserve"> and </w:t>
      </w:r>
      <w:proofErr w:type="spellStart"/>
      <w:r>
        <w:rPr>
          <w:sz w:val="22"/>
          <w:szCs w:val="22"/>
          <w:lang w:val="en-NZ"/>
        </w:rPr>
        <w:t>Byker</w:t>
      </w:r>
      <w:proofErr w:type="spellEnd"/>
      <w:r>
        <w:rPr>
          <w:sz w:val="22"/>
          <w:szCs w:val="22"/>
          <w:lang w:val="en-NZ"/>
        </w:rPr>
        <w:t xml:space="preserve"> </w:t>
      </w:r>
      <w:r w:rsidRPr="00ED4A8F">
        <w:rPr>
          <w:sz w:val="22"/>
          <w:szCs w:val="22"/>
          <w:lang w:val="en-NZ"/>
        </w:rPr>
        <w:t xml:space="preserve">2017). However, the size of the buffer is often </w:t>
      </w:r>
      <w:r w:rsidRPr="00ED4A8F">
        <w:rPr>
          <w:i/>
          <w:iCs/>
          <w:sz w:val="22"/>
          <w:szCs w:val="22"/>
          <w:lang w:val="en-NZ"/>
        </w:rPr>
        <w:t>ad hoc</w:t>
      </w:r>
      <w:r w:rsidRPr="00ED4A8F">
        <w:rPr>
          <w:sz w:val="22"/>
          <w:szCs w:val="22"/>
          <w:lang w:val="en-NZ"/>
        </w:rPr>
        <w:t xml:space="preserve"> and may not match with the scale of decision-making units.</w:t>
      </w:r>
    </w:p>
  </w:footnote>
  <w:footnote w:id="3">
    <w:p w14:paraId="0ED48CC7" w14:textId="5F8E28D5" w:rsidR="009D0BBB" w:rsidRPr="00ED4A8F" w:rsidRDefault="009D0BBB" w:rsidP="00932138">
      <w:pPr>
        <w:pStyle w:val="FootnoteText"/>
        <w:ind w:left="284" w:hanging="284"/>
        <w:rPr>
          <w:sz w:val="22"/>
          <w:szCs w:val="22"/>
          <w:lang w:val="en-NZ"/>
        </w:rPr>
      </w:pPr>
      <w:r w:rsidRPr="00ED4A8F">
        <w:rPr>
          <w:rStyle w:val="FootnoteReference"/>
          <w:sz w:val="22"/>
          <w:szCs w:val="22"/>
        </w:rPr>
        <w:footnoteRef/>
      </w:r>
      <w:r w:rsidRPr="00ED4A8F">
        <w:rPr>
          <w:sz w:val="22"/>
          <w:szCs w:val="22"/>
        </w:rPr>
        <w:t xml:space="preserve"> </w:t>
      </w:r>
      <w:r>
        <w:rPr>
          <w:sz w:val="22"/>
          <w:szCs w:val="22"/>
        </w:rPr>
        <w:tab/>
      </w:r>
      <w:r w:rsidRPr="00ED4A8F">
        <w:rPr>
          <w:sz w:val="22"/>
          <w:szCs w:val="22"/>
          <w:lang w:val="en-NZ"/>
        </w:rPr>
        <w:t>Sims (2010) studies the effect of protected areas in Thailand on local poverty, with the small-area estimation method used here.</w:t>
      </w:r>
    </w:p>
  </w:footnote>
  <w:footnote w:id="4">
    <w:p w14:paraId="2662C10D" w14:textId="30A83E7D" w:rsidR="009D0BBB" w:rsidRDefault="009D0BBB" w:rsidP="00932138">
      <w:pPr>
        <w:pStyle w:val="FootnoteText"/>
        <w:ind w:left="284" w:hanging="284"/>
        <w:rPr>
          <w:sz w:val="22"/>
          <w:szCs w:val="22"/>
          <w:lang w:val="en-NZ"/>
        </w:rPr>
      </w:pPr>
      <w:r w:rsidRPr="00ED4A8F">
        <w:rPr>
          <w:rStyle w:val="FootnoteReference"/>
          <w:sz w:val="22"/>
          <w:szCs w:val="22"/>
        </w:rPr>
        <w:footnoteRef/>
      </w:r>
      <w:r w:rsidRPr="00ED4A8F">
        <w:rPr>
          <w:sz w:val="22"/>
          <w:szCs w:val="22"/>
        </w:rPr>
        <w:t xml:space="preserve"> </w:t>
      </w:r>
      <w:r>
        <w:rPr>
          <w:sz w:val="22"/>
          <w:szCs w:val="22"/>
        </w:rPr>
        <w:tab/>
      </w:r>
      <w:r w:rsidRPr="00ED4A8F">
        <w:rPr>
          <w:sz w:val="22"/>
          <w:szCs w:val="22"/>
          <w:lang w:val="en-NZ"/>
        </w:rPr>
        <w:t xml:space="preserve">These are just a small component of the broader literature that considers how environmental degradation varies with economic development. For example, only 2.7% of regressions used to study the environmental Kuznets curve for deforestation include an inequality variable, in the meta-analysis by </w:t>
      </w:r>
      <w:proofErr w:type="spellStart"/>
      <w:r w:rsidRPr="00ED4A8F">
        <w:rPr>
          <w:sz w:val="22"/>
          <w:szCs w:val="22"/>
          <w:lang w:val="en-NZ"/>
        </w:rPr>
        <w:t>Choumert</w:t>
      </w:r>
      <w:proofErr w:type="spellEnd"/>
      <w:r w:rsidRPr="00ED4A8F">
        <w:rPr>
          <w:sz w:val="22"/>
          <w:szCs w:val="22"/>
          <w:lang w:val="en-NZ"/>
        </w:rPr>
        <w:t xml:space="preserve"> </w:t>
      </w:r>
      <w:r>
        <w:rPr>
          <w:rFonts w:eastAsia="Times New Roman"/>
          <w:i/>
        </w:rPr>
        <w:t>et al.</w:t>
      </w:r>
      <w:r>
        <w:rPr>
          <w:rFonts w:eastAsia="Times New Roman"/>
        </w:rPr>
        <w:t xml:space="preserve"> </w:t>
      </w:r>
      <w:r w:rsidRPr="00ED4A8F">
        <w:rPr>
          <w:sz w:val="22"/>
          <w:szCs w:val="22"/>
          <w:lang w:val="en-NZ"/>
        </w:rPr>
        <w:t>(2013).</w:t>
      </w:r>
    </w:p>
    <w:p w14:paraId="7A110113" w14:textId="77777777" w:rsidR="009D0BBB" w:rsidRPr="00932138" w:rsidRDefault="009D0BBB" w:rsidP="00932138">
      <w:pPr>
        <w:pStyle w:val="FootnoteText"/>
        <w:ind w:left="284" w:hanging="284"/>
        <w:rPr>
          <w:sz w:val="10"/>
          <w:szCs w:val="10"/>
          <w:lang w:val="en-NZ"/>
        </w:rPr>
      </w:pPr>
    </w:p>
  </w:footnote>
  <w:footnote w:id="5">
    <w:p w14:paraId="134B73B6" w14:textId="4F7B4FB8" w:rsidR="009D0BBB" w:rsidRPr="00ED4A8F" w:rsidRDefault="009D0BBB" w:rsidP="00932138">
      <w:pPr>
        <w:pStyle w:val="FootnoteText"/>
        <w:ind w:left="284" w:hanging="284"/>
        <w:rPr>
          <w:sz w:val="22"/>
          <w:szCs w:val="22"/>
          <w:lang w:val="en-NZ"/>
        </w:rPr>
      </w:pPr>
      <w:r w:rsidRPr="00ED4A8F">
        <w:rPr>
          <w:rStyle w:val="FootnoteReference"/>
          <w:sz w:val="22"/>
          <w:szCs w:val="22"/>
        </w:rPr>
        <w:footnoteRef/>
      </w:r>
      <w:r w:rsidRPr="00ED4A8F">
        <w:rPr>
          <w:sz w:val="22"/>
          <w:szCs w:val="22"/>
        </w:rPr>
        <w:t xml:space="preserve"> </w:t>
      </w:r>
      <w:r>
        <w:rPr>
          <w:sz w:val="22"/>
          <w:szCs w:val="22"/>
        </w:rPr>
        <w:tab/>
      </w:r>
      <w:r w:rsidRPr="00ED4A8F">
        <w:rPr>
          <w:rFonts w:eastAsia="Times New Roman"/>
          <w:sz w:val="22"/>
          <w:szCs w:val="22"/>
          <w:lang w:val="en-NZ"/>
        </w:rPr>
        <w:t xml:space="preserve">Cushing </w:t>
      </w:r>
      <w:r>
        <w:rPr>
          <w:rFonts w:eastAsia="Times New Roman"/>
          <w:i/>
        </w:rPr>
        <w:t>et al.</w:t>
      </w:r>
      <w:r>
        <w:rPr>
          <w:rFonts w:eastAsia="Times New Roman"/>
        </w:rPr>
        <w:t xml:space="preserve"> </w:t>
      </w:r>
      <w:r w:rsidRPr="00ED4A8F">
        <w:rPr>
          <w:rFonts w:eastAsia="Times New Roman"/>
          <w:sz w:val="22"/>
          <w:szCs w:val="22"/>
          <w:lang w:val="en-NZ"/>
        </w:rPr>
        <w:t>(2015) review almost 100 studies and find the only within-country ones are for the United States.</w:t>
      </w:r>
    </w:p>
  </w:footnote>
  <w:footnote w:id="6">
    <w:p w14:paraId="44820627" w14:textId="78C9252E" w:rsidR="009D0BBB" w:rsidRPr="00932138" w:rsidRDefault="009D0BBB" w:rsidP="009D0BBB">
      <w:pPr>
        <w:pStyle w:val="FootnoteText"/>
        <w:ind w:left="142" w:hanging="142"/>
        <w:rPr>
          <w:sz w:val="22"/>
          <w:szCs w:val="22"/>
          <w:lang w:val="en-NZ"/>
        </w:rPr>
      </w:pPr>
      <w:r w:rsidRPr="00932138">
        <w:rPr>
          <w:rStyle w:val="FootnoteReference"/>
          <w:sz w:val="22"/>
          <w:szCs w:val="22"/>
        </w:rPr>
        <w:footnoteRef/>
      </w:r>
      <w:r w:rsidRPr="00932138">
        <w:rPr>
          <w:sz w:val="22"/>
          <w:szCs w:val="22"/>
        </w:rPr>
        <w:t xml:space="preserve"> </w:t>
      </w:r>
      <w:r>
        <w:rPr>
          <w:sz w:val="22"/>
          <w:szCs w:val="22"/>
        </w:rPr>
        <w:tab/>
      </w:r>
      <w:r w:rsidRPr="00932138">
        <w:rPr>
          <w:rFonts w:eastAsia="Calibri"/>
          <w:sz w:val="22"/>
          <w:szCs w:val="22"/>
          <w:lang w:val="en-NZ" w:bidi="ar-SA"/>
        </w:rPr>
        <w:t xml:space="preserve">There may be under-invoicing of log exports (see </w:t>
      </w:r>
      <w:hyperlink r:id="rId1" w:history="1">
        <w:r w:rsidRPr="00932138">
          <w:rPr>
            <w:rStyle w:val="Hyperlink"/>
            <w:sz w:val="22"/>
            <w:szCs w:val="22"/>
            <w:lang w:val="en-NZ"/>
          </w:rPr>
          <w:t>www.globaltimber.org.uk/solomonislands.htm</w:t>
        </w:r>
      </w:hyperlink>
      <w:r w:rsidRPr="00932138">
        <w:rPr>
          <w:sz w:val="22"/>
          <w:szCs w:val="22"/>
          <w:lang w:val="en-NZ"/>
        </w:rPr>
        <w:t xml:space="preserve"> for details</w:t>
      </w:r>
      <w:r w:rsidRPr="00932138">
        <w:rPr>
          <w:rFonts w:eastAsia="Calibri"/>
          <w:sz w:val="22"/>
          <w:szCs w:val="22"/>
          <w:lang w:val="en-NZ" w:bidi="ar-SA"/>
        </w:rPr>
        <w:t xml:space="preserve">). Therefore, the data in Figure 1 are from import statistics for China and the other main importers (Japan, South Korea, </w:t>
      </w:r>
      <w:proofErr w:type="gramStart"/>
      <w:r w:rsidRPr="00932138">
        <w:rPr>
          <w:rFonts w:eastAsia="Calibri"/>
          <w:sz w:val="22"/>
          <w:szCs w:val="22"/>
          <w:lang w:val="en-NZ" w:bidi="ar-SA"/>
        </w:rPr>
        <w:t>the</w:t>
      </w:r>
      <w:proofErr w:type="gramEnd"/>
      <w:r w:rsidRPr="00932138">
        <w:rPr>
          <w:rFonts w:eastAsia="Calibri"/>
          <w:sz w:val="22"/>
          <w:szCs w:val="22"/>
          <w:lang w:val="en-NZ" w:bidi="ar-SA"/>
        </w:rPr>
        <w:t xml:space="preserve"> Philippines) and from UN </w:t>
      </w:r>
      <w:proofErr w:type="spellStart"/>
      <w:r w:rsidRPr="00932138">
        <w:rPr>
          <w:rFonts w:eastAsia="Calibri"/>
          <w:sz w:val="22"/>
          <w:szCs w:val="22"/>
          <w:lang w:val="en-NZ" w:bidi="ar-SA"/>
        </w:rPr>
        <w:t>Comtrade</w:t>
      </w:r>
      <w:proofErr w:type="spellEnd"/>
      <w:r w:rsidRPr="00932138">
        <w:rPr>
          <w:rFonts w:eastAsia="Calibri"/>
          <w:sz w:val="22"/>
          <w:szCs w:val="22"/>
          <w:lang w:val="en-NZ" w:bidi="ar-SA"/>
        </w:rPr>
        <w:t xml:space="preserve"> data, which may be more reliable than the export statistics for the Solomon Islands.</w:t>
      </w:r>
    </w:p>
  </w:footnote>
  <w:footnote w:id="7">
    <w:p w14:paraId="2DD324CB" w14:textId="3E313160" w:rsidR="009D0BBB" w:rsidRDefault="009D0BBB" w:rsidP="001657D0">
      <w:pPr>
        <w:pStyle w:val="FootnoteText"/>
        <w:ind w:left="142" w:hanging="142"/>
        <w:rPr>
          <w:rFonts w:asciiTheme="majorBidi" w:hAnsiTheme="majorBidi" w:cstheme="majorBidi"/>
          <w:sz w:val="22"/>
          <w:szCs w:val="22"/>
        </w:rPr>
      </w:pPr>
      <w:r w:rsidRPr="00ED4A8F">
        <w:rPr>
          <w:rStyle w:val="FootnoteReference"/>
          <w:sz w:val="22"/>
          <w:szCs w:val="22"/>
        </w:rPr>
        <w:footnoteRef/>
      </w:r>
      <w:r w:rsidRPr="00ED4A8F">
        <w:rPr>
          <w:sz w:val="22"/>
          <w:szCs w:val="22"/>
        </w:rPr>
        <w:t xml:space="preserve"> </w:t>
      </w:r>
      <w:r>
        <w:rPr>
          <w:sz w:val="22"/>
          <w:szCs w:val="22"/>
        </w:rPr>
        <w:tab/>
      </w:r>
      <w:r w:rsidRPr="00ED4A8F">
        <w:rPr>
          <w:rFonts w:asciiTheme="majorBidi" w:hAnsiTheme="majorBidi" w:cstheme="majorBidi"/>
          <w:sz w:val="22"/>
          <w:szCs w:val="22"/>
        </w:rPr>
        <w:t xml:space="preserve">This method </w:t>
      </w:r>
      <w:proofErr w:type="gramStart"/>
      <w:r w:rsidRPr="00ED4A8F">
        <w:rPr>
          <w:rFonts w:asciiTheme="majorBidi" w:hAnsiTheme="majorBidi" w:cstheme="majorBidi"/>
          <w:sz w:val="22"/>
          <w:szCs w:val="22"/>
        </w:rPr>
        <w:t>is used</w:t>
      </w:r>
      <w:proofErr w:type="gramEnd"/>
      <w:r w:rsidRPr="00ED4A8F">
        <w:rPr>
          <w:rFonts w:asciiTheme="majorBidi" w:hAnsiTheme="majorBidi" w:cstheme="majorBidi"/>
          <w:sz w:val="22"/>
          <w:szCs w:val="22"/>
        </w:rPr>
        <w:t xml:space="preserve"> to target billions of dollars of anti-poverty funds. </w:t>
      </w:r>
      <w:proofErr w:type="spellStart"/>
      <w:r w:rsidRPr="00ED4A8F">
        <w:rPr>
          <w:rFonts w:asciiTheme="majorBidi" w:hAnsiTheme="majorBidi" w:cstheme="majorBidi"/>
          <w:sz w:val="22"/>
          <w:szCs w:val="22"/>
        </w:rPr>
        <w:t>Bedi</w:t>
      </w:r>
      <w:proofErr w:type="spellEnd"/>
      <w:r w:rsidRPr="00ED4A8F">
        <w:rPr>
          <w:rFonts w:asciiTheme="majorBidi" w:hAnsiTheme="majorBidi" w:cstheme="majorBidi"/>
          <w:sz w:val="22"/>
          <w:szCs w:val="22"/>
        </w:rPr>
        <w:t xml:space="preserve"> </w:t>
      </w:r>
      <w:r w:rsidR="001657D0">
        <w:rPr>
          <w:rFonts w:eastAsia="Times New Roman"/>
          <w:i/>
        </w:rPr>
        <w:t>et al.</w:t>
      </w:r>
      <w:r w:rsidR="001657D0">
        <w:rPr>
          <w:rFonts w:eastAsia="Times New Roman"/>
        </w:rPr>
        <w:t xml:space="preserve"> </w:t>
      </w:r>
      <w:r w:rsidRPr="00ED4A8F">
        <w:rPr>
          <w:rFonts w:asciiTheme="majorBidi" w:hAnsiTheme="majorBidi" w:cstheme="majorBidi"/>
          <w:sz w:val="22"/>
          <w:szCs w:val="22"/>
        </w:rPr>
        <w:t xml:space="preserve">(2007) provide several examples, and a validation of the method using census data from Brazil </w:t>
      </w:r>
      <w:proofErr w:type="gramStart"/>
      <w:r w:rsidRPr="00ED4A8F">
        <w:rPr>
          <w:rFonts w:asciiTheme="majorBidi" w:hAnsiTheme="majorBidi" w:cstheme="majorBidi"/>
          <w:sz w:val="22"/>
          <w:szCs w:val="22"/>
        </w:rPr>
        <w:t>is provided</w:t>
      </w:r>
      <w:proofErr w:type="gramEnd"/>
      <w:r w:rsidRPr="00ED4A8F">
        <w:rPr>
          <w:rFonts w:asciiTheme="majorBidi" w:hAnsiTheme="majorBidi" w:cstheme="majorBidi"/>
          <w:sz w:val="22"/>
          <w:szCs w:val="22"/>
        </w:rPr>
        <w:t xml:space="preserve"> in </w:t>
      </w:r>
      <w:proofErr w:type="spellStart"/>
      <w:r w:rsidRPr="00ED4A8F">
        <w:rPr>
          <w:rFonts w:asciiTheme="majorBidi" w:hAnsiTheme="majorBidi" w:cstheme="majorBidi"/>
          <w:sz w:val="22"/>
          <w:szCs w:val="22"/>
        </w:rPr>
        <w:t>Elbers</w:t>
      </w:r>
      <w:proofErr w:type="spellEnd"/>
      <w:r w:rsidRPr="00ED4A8F">
        <w:rPr>
          <w:rFonts w:asciiTheme="majorBidi" w:hAnsiTheme="majorBidi" w:cstheme="majorBidi"/>
          <w:sz w:val="22"/>
          <w:szCs w:val="22"/>
        </w:rPr>
        <w:t xml:space="preserve"> </w:t>
      </w:r>
      <w:r w:rsidR="001657D0">
        <w:rPr>
          <w:rFonts w:eastAsia="Times New Roman"/>
          <w:i/>
        </w:rPr>
        <w:t>et al.</w:t>
      </w:r>
      <w:r w:rsidR="001657D0">
        <w:rPr>
          <w:rFonts w:eastAsia="Times New Roman"/>
        </w:rPr>
        <w:t xml:space="preserve"> </w:t>
      </w:r>
      <w:r w:rsidRPr="00ED4A8F">
        <w:rPr>
          <w:rFonts w:asciiTheme="majorBidi" w:hAnsiTheme="majorBidi" w:cstheme="majorBidi"/>
          <w:sz w:val="22"/>
          <w:szCs w:val="22"/>
        </w:rPr>
        <w:t xml:space="preserve">(2008). Details on the imputation software are in Zhao and </w:t>
      </w:r>
      <w:proofErr w:type="spellStart"/>
      <w:r w:rsidRPr="00ED4A8F">
        <w:rPr>
          <w:rFonts w:asciiTheme="majorBidi" w:hAnsiTheme="majorBidi" w:cstheme="majorBidi"/>
          <w:sz w:val="22"/>
          <w:szCs w:val="22"/>
        </w:rPr>
        <w:t>Lanjouw</w:t>
      </w:r>
      <w:proofErr w:type="spellEnd"/>
      <w:r w:rsidRPr="00ED4A8F">
        <w:rPr>
          <w:rFonts w:asciiTheme="majorBidi" w:hAnsiTheme="majorBidi" w:cstheme="majorBidi"/>
          <w:sz w:val="22"/>
          <w:szCs w:val="22"/>
        </w:rPr>
        <w:t xml:space="preserve"> (2003).</w:t>
      </w:r>
    </w:p>
    <w:p w14:paraId="44552256" w14:textId="77777777" w:rsidR="009D0BBB" w:rsidRPr="00834D0D" w:rsidRDefault="009D0BBB" w:rsidP="001657D0">
      <w:pPr>
        <w:pStyle w:val="FootnoteText"/>
        <w:ind w:left="142" w:hanging="142"/>
        <w:rPr>
          <w:sz w:val="10"/>
          <w:szCs w:val="10"/>
          <w:lang w:val="en-NZ"/>
        </w:rPr>
      </w:pPr>
    </w:p>
  </w:footnote>
  <w:footnote w:id="8">
    <w:p w14:paraId="56B93C2F" w14:textId="224A0ABF" w:rsidR="009D0BBB" w:rsidRPr="00ED4A8F" w:rsidRDefault="009D0BBB" w:rsidP="001657D0">
      <w:pPr>
        <w:pStyle w:val="FootnoteText"/>
        <w:ind w:left="142" w:hanging="142"/>
        <w:rPr>
          <w:sz w:val="22"/>
          <w:szCs w:val="22"/>
          <w:lang w:val="en-NZ"/>
        </w:rPr>
      </w:pPr>
      <w:r w:rsidRPr="00ED4A8F">
        <w:rPr>
          <w:rStyle w:val="FootnoteReference"/>
          <w:sz w:val="22"/>
          <w:szCs w:val="22"/>
        </w:rPr>
        <w:footnoteRef/>
      </w:r>
      <w:r w:rsidRPr="00ED4A8F">
        <w:rPr>
          <w:sz w:val="22"/>
          <w:szCs w:val="22"/>
        </w:rPr>
        <w:t xml:space="preserve"> </w:t>
      </w:r>
      <w:r>
        <w:rPr>
          <w:sz w:val="22"/>
          <w:szCs w:val="22"/>
        </w:rPr>
        <w:tab/>
      </w:r>
      <w:r w:rsidRPr="00ED4A8F">
        <w:rPr>
          <w:rFonts w:asciiTheme="majorBidi" w:hAnsiTheme="majorBidi" w:cstheme="majorBidi"/>
          <w:sz w:val="22"/>
          <w:szCs w:val="22"/>
        </w:rPr>
        <w:t>If a large component of the error is common to groups of households rather than being idiosyncratic and random, the gains in precision that normally come from averaging over larger numbers are muted.</w:t>
      </w:r>
    </w:p>
  </w:footnote>
  <w:footnote w:id="9">
    <w:p w14:paraId="3AF3BC6C" w14:textId="288CE0B0" w:rsidR="009D0BBB" w:rsidRPr="00ED4A8F" w:rsidRDefault="009D0BBB" w:rsidP="001657D0">
      <w:pPr>
        <w:pStyle w:val="FootnoteText"/>
        <w:ind w:left="142" w:hanging="142"/>
        <w:rPr>
          <w:sz w:val="22"/>
          <w:szCs w:val="22"/>
          <w:lang w:val="en-NZ"/>
        </w:rPr>
      </w:pPr>
      <w:r w:rsidRPr="00ED4A8F">
        <w:rPr>
          <w:rStyle w:val="FootnoteReference"/>
          <w:sz w:val="22"/>
          <w:szCs w:val="22"/>
        </w:rPr>
        <w:footnoteRef/>
      </w:r>
      <w:r w:rsidRPr="00ED4A8F">
        <w:rPr>
          <w:sz w:val="22"/>
          <w:szCs w:val="22"/>
        </w:rPr>
        <w:t xml:space="preserve"> </w:t>
      </w:r>
      <w:r>
        <w:rPr>
          <w:sz w:val="22"/>
          <w:szCs w:val="22"/>
        </w:rPr>
        <w:tab/>
      </w:r>
      <w:r w:rsidRPr="00ED4A8F">
        <w:rPr>
          <w:sz w:val="22"/>
          <w:szCs w:val="22"/>
          <w:lang w:val="en-NZ"/>
        </w:rPr>
        <w:t>These regions where inequality is lower tend to have a higher incidence of rural poverty, with a correlation between the Gini index and the headcount poverty rate of -0.31.</w:t>
      </w:r>
    </w:p>
  </w:footnote>
  <w:footnote w:id="10">
    <w:p w14:paraId="658E0DF2" w14:textId="35087C1B" w:rsidR="009D0BBB" w:rsidRPr="00834D0D" w:rsidRDefault="009D0BBB" w:rsidP="00834D0D">
      <w:pPr>
        <w:pStyle w:val="FootnoteText"/>
        <w:ind w:left="284" w:hanging="284"/>
        <w:rPr>
          <w:sz w:val="22"/>
          <w:szCs w:val="22"/>
          <w:lang w:val="en-NZ"/>
        </w:rPr>
      </w:pPr>
      <w:r w:rsidRPr="00834D0D">
        <w:rPr>
          <w:rStyle w:val="FootnoteReference"/>
          <w:sz w:val="22"/>
          <w:szCs w:val="22"/>
        </w:rPr>
        <w:footnoteRef/>
      </w:r>
      <w:r w:rsidRPr="00834D0D">
        <w:rPr>
          <w:sz w:val="22"/>
          <w:szCs w:val="22"/>
        </w:rPr>
        <w:t xml:space="preserve"> </w:t>
      </w:r>
      <w:r>
        <w:rPr>
          <w:sz w:val="22"/>
          <w:szCs w:val="22"/>
        </w:rPr>
        <w:tab/>
      </w:r>
      <w:r w:rsidRPr="00834D0D">
        <w:rPr>
          <w:sz w:val="22"/>
          <w:szCs w:val="22"/>
          <w:lang w:val="en-NZ"/>
        </w:rPr>
        <w:t>In contrast, estimating at the provincial level using inequality estimates from the survey data gives a standard error 70% larger than the coefficient (</w:t>
      </w:r>
      <w:r w:rsidRPr="00834D0D">
        <w:rPr>
          <w:i/>
          <w:iCs/>
          <w:sz w:val="22"/>
          <w:szCs w:val="22"/>
          <w:lang w:val="en-NZ"/>
        </w:rPr>
        <w:t>t</w:t>
      </w:r>
      <w:r w:rsidRPr="00834D0D">
        <w:rPr>
          <w:sz w:val="22"/>
          <w:szCs w:val="22"/>
          <w:lang w:val="en-NZ"/>
        </w:rPr>
        <w:t>=0.58), and a coefficient twice as large as in Table 2.</w:t>
      </w:r>
    </w:p>
  </w:footnote>
  <w:footnote w:id="11">
    <w:p w14:paraId="7E3957F0" w14:textId="157DDBB4" w:rsidR="009D0BBB" w:rsidRPr="00834D0D" w:rsidRDefault="009D0BBB" w:rsidP="00834D0D">
      <w:pPr>
        <w:pStyle w:val="FootnoteText"/>
        <w:ind w:left="284" w:hanging="284"/>
        <w:rPr>
          <w:sz w:val="22"/>
          <w:szCs w:val="22"/>
          <w:lang w:val="en-NZ"/>
        </w:rPr>
      </w:pPr>
      <w:r w:rsidRPr="00834D0D">
        <w:rPr>
          <w:rStyle w:val="FootnoteReference"/>
          <w:sz w:val="22"/>
          <w:szCs w:val="22"/>
        </w:rPr>
        <w:footnoteRef/>
      </w:r>
      <w:r w:rsidRPr="00834D0D">
        <w:rPr>
          <w:sz w:val="22"/>
          <w:szCs w:val="22"/>
        </w:rPr>
        <w:t xml:space="preserve"> </w:t>
      </w:r>
      <w:r>
        <w:rPr>
          <w:sz w:val="22"/>
          <w:szCs w:val="22"/>
        </w:rPr>
        <w:tab/>
      </w:r>
      <w:r w:rsidRPr="00834D0D">
        <w:rPr>
          <w:sz w:val="22"/>
          <w:szCs w:val="22"/>
          <w:lang w:val="en-NZ"/>
        </w:rPr>
        <w:t xml:space="preserve">The poverty gap index gives the </w:t>
      </w:r>
      <w:r w:rsidRPr="00834D0D">
        <w:rPr>
          <w:bCs/>
          <w:sz w:val="22"/>
          <w:szCs w:val="22"/>
        </w:rPr>
        <w:t xml:space="preserve">mean distance below the poverty line, expressed as a proportion of that line, where the mean is formed over the entire population (counting the non-poor as having zero poverty </w:t>
      </w:r>
      <w:proofErr w:type="gramStart"/>
      <w:r w:rsidRPr="00834D0D">
        <w:rPr>
          <w:bCs/>
          <w:sz w:val="22"/>
          <w:szCs w:val="22"/>
        </w:rPr>
        <w:t>gap</w:t>
      </w:r>
      <w:proofErr w:type="gramEnd"/>
      <w:r w:rsidRPr="00834D0D">
        <w:rPr>
          <w:bCs/>
          <w:sz w:val="22"/>
          <w:szCs w:val="22"/>
        </w:rPr>
        <w:t>).</w:t>
      </w:r>
    </w:p>
  </w:footnote>
  <w:footnote w:id="12">
    <w:p w14:paraId="26A81009" w14:textId="7DE174EC" w:rsidR="009D0BBB" w:rsidRPr="00582692" w:rsidRDefault="009D0BBB" w:rsidP="00A72FFD">
      <w:pPr>
        <w:pStyle w:val="FootnoteText"/>
        <w:ind w:left="284" w:hanging="284"/>
        <w:rPr>
          <w:sz w:val="2"/>
          <w:szCs w:val="2"/>
        </w:rPr>
      </w:pPr>
      <w:r w:rsidRPr="00834D0D">
        <w:rPr>
          <w:rStyle w:val="FootnoteReference"/>
          <w:sz w:val="22"/>
          <w:szCs w:val="22"/>
        </w:rPr>
        <w:footnoteRef/>
      </w:r>
      <w:r w:rsidRPr="00834D0D">
        <w:rPr>
          <w:sz w:val="22"/>
          <w:szCs w:val="22"/>
        </w:rPr>
        <w:t xml:space="preserve"> </w:t>
      </w:r>
      <w:r>
        <w:rPr>
          <w:sz w:val="22"/>
          <w:szCs w:val="22"/>
        </w:rPr>
        <w:tab/>
      </w:r>
      <w:r w:rsidRPr="00834D0D">
        <w:rPr>
          <w:sz w:val="22"/>
          <w:szCs w:val="22"/>
        </w:rPr>
        <w:t xml:space="preserve">For any variable </w:t>
      </w:r>
      <w:r w:rsidRPr="00834D0D">
        <w:rPr>
          <w:i/>
          <w:sz w:val="22"/>
          <w:szCs w:val="22"/>
        </w:rPr>
        <w:t>z</w:t>
      </w:r>
      <w:r w:rsidRPr="00834D0D">
        <w:rPr>
          <w:b/>
          <w:bCs/>
          <w:sz w:val="22"/>
          <w:szCs w:val="22"/>
        </w:rPr>
        <w:t xml:space="preserve"> </w:t>
      </w:r>
      <w:r w:rsidRPr="00834D0D">
        <w:rPr>
          <w:sz w:val="22"/>
          <w:szCs w:val="22"/>
        </w:rPr>
        <w:t xml:space="preserve">in deviation from mean form and spatial weights matrix </w:t>
      </w:r>
      <w:r w:rsidRPr="00834D0D">
        <w:rPr>
          <w:i/>
          <w:sz w:val="22"/>
          <w:szCs w:val="22"/>
        </w:rPr>
        <w:t>W</w:t>
      </w:r>
      <w:r w:rsidRPr="00834D0D">
        <w:rPr>
          <w:sz w:val="22"/>
          <w:szCs w:val="22"/>
        </w:rPr>
        <w:t xml:space="preserve">, Moran’s </w:t>
      </w:r>
      <w:r w:rsidRPr="00834D0D">
        <w:rPr>
          <w:i/>
          <w:iCs/>
          <w:sz w:val="22"/>
          <w:szCs w:val="22"/>
        </w:rPr>
        <w:t xml:space="preserve">I </w:t>
      </w:r>
      <w:r w:rsidRPr="00834D0D">
        <w:rPr>
          <w:sz w:val="22"/>
          <w:szCs w:val="22"/>
        </w:rPr>
        <w:t xml:space="preserve">is equivalent to the slope coefficient in a linear regression of </w:t>
      </w:r>
      <w:proofErr w:type="spellStart"/>
      <w:r w:rsidRPr="00834D0D">
        <w:rPr>
          <w:bCs/>
          <w:i/>
          <w:sz w:val="22"/>
          <w:szCs w:val="22"/>
        </w:rPr>
        <w:t>Wz</w:t>
      </w:r>
      <w:proofErr w:type="spellEnd"/>
      <w:r w:rsidRPr="00834D0D">
        <w:rPr>
          <w:b/>
          <w:bCs/>
          <w:sz w:val="22"/>
          <w:szCs w:val="22"/>
        </w:rPr>
        <w:t xml:space="preserve"> </w:t>
      </w:r>
      <w:r w:rsidRPr="00834D0D">
        <w:rPr>
          <w:sz w:val="22"/>
          <w:szCs w:val="22"/>
        </w:rPr>
        <w:t xml:space="preserve">on </w:t>
      </w:r>
      <w:r w:rsidRPr="00834D0D">
        <w:rPr>
          <w:bCs/>
          <w:i/>
          <w:sz w:val="22"/>
          <w:szCs w:val="22"/>
        </w:rPr>
        <w:t>z</w:t>
      </w:r>
      <w:r w:rsidR="002C610A">
        <w:rPr>
          <w:bCs/>
          <w:sz w:val="22"/>
          <w:szCs w:val="22"/>
        </w:rPr>
        <w:t xml:space="preserve"> (</w:t>
      </w:r>
      <w:proofErr w:type="spellStart"/>
      <w:r w:rsidR="002C610A">
        <w:rPr>
          <w:bCs/>
          <w:sz w:val="22"/>
          <w:szCs w:val="22"/>
        </w:rPr>
        <w:t>Anselin</w:t>
      </w:r>
      <w:proofErr w:type="spellEnd"/>
      <w:r w:rsidRPr="00834D0D">
        <w:rPr>
          <w:bCs/>
          <w:sz w:val="22"/>
          <w:szCs w:val="22"/>
        </w:rPr>
        <w:t xml:space="preserve"> 1988). In other words, it examines the strength of the relationship between one observation and the spatially weighted average of its neighboring observations. </w:t>
      </w:r>
    </w:p>
  </w:footnote>
  <w:footnote w:id="13">
    <w:p w14:paraId="40BC7DC9" w14:textId="0180A092" w:rsidR="009D0BBB" w:rsidRDefault="009D0BBB" w:rsidP="00A72FFD">
      <w:pPr>
        <w:pStyle w:val="FootnoteText"/>
        <w:ind w:left="284" w:hanging="284"/>
        <w:rPr>
          <w:sz w:val="22"/>
          <w:szCs w:val="22"/>
          <w:lang w:val="en-NZ"/>
        </w:rPr>
      </w:pPr>
      <w:r w:rsidRPr="00834D0D">
        <w:rPr>
          <w:rStyle w:val="FootnoteReference"/>
          <w:sz w:val="22"/>
          <w:szCs w:val="22"/>
        </w:rPr>
        <w:footnoteRef/>
      </w:r>
      <w:r w:rsidRPr="00834D0D">
        <w:rPr>
          <w:sz w:val="22"/>
          <w:szCs w:val="22"/>
        </w:rPr>
        <w:t xml:space="preserve"> </w:t>
      </w:r>
      <w:r>
        <w:rPr>
          <w:sz w:val="22"/>
          <w:szCs w:val="22"/>
        </w:rPr>
        <w:tab/>
      </w:r>
      <w:r w:rsidRPr="00834D0D">
        <w:rPr>
          <w:sz w:val="22"/>
          <w:szCs w:val="22"/>
          <w:lang w:val="en-NZ"/>
        </w:rPr>
        <w:t>A more general spatial autoregressive model was also considered, that included the spatial lag of the Gini index (the weighted average of the Gini index for adjacent wards). The spatial lag terms were generally insignificant, while the coefficients on the spatial error terms were similar to those in Table 4 and the coefficients on forest loss were about 13% higher than those in Table 4.</w:t>
      </w:r>
    </w:p>
    <w:p w14:paraId="11717193" w14:textId="77777777" w:rsidR="004B538F" w:rsidRPr="004B538F" w:rsidRDefault="004B538F" w:rsidP="00A72FFD">
      <w:pPr>
        <w:pStyle w:val="FootnoteText"/>
        <w:ind w:left="284" w:hanging="284"/>
        <w:rPr>
          <w:sz w:val="10"/>
          <w:szCs w:val="10"/>
          <w:lang w:val="en-NZ"/>
        </w:rPr>
      </w:pPr>
    </w:p>
  </w:footnote>
  <w:footnote w:id="14">
    <w:p w14:paraId="38BBEA29" w14:textId="21348D38" w:rsidR="009D0BBB" w:rsidRPr="00834D0D" w:rsidRDefault="009D0BBB" w:rsidP="00834D0D">
      <w:pPr>
        <w:pStyle w:val="FootnoteText"/>
        <w:ind w:left="284" w:hanging="284"/>
        <w:rPr>
          <w:sz w:val="22"/>
          <w:szCs w:val="22"/>
          <w:lang w:val="en-NZ"/>
        </w:rPr>
      </w:pPr>
      <w:r w:rsidRPr="00834D0D">
        <w:rPr>
          <w:rStyle w:val="FootnoteReference"/>
          <w:sz w:val="22"/>
          <w:szCs w:val="22"/>
        </w:rPr>
        <w:footnoteRef/>
      </w:r>
      <w:r w:rsidRPr="00834D0D">
        <w:rPr>
          <w:sz w:val="22"/>
          <w:szCs w:val="22"/>
        </w:rPr>
        <w:t xml:space="preserve"> </w:t>
      </w:r>
      <w:r>
        <w:rPr>
          <w:sz w:val="22"/>
          <w:szCs w:val="22"/>
        </w:rPr>
        <w:tab/>
      </w:r>
      <w:r w:rsidRPr="00834D0D">
        <w:rPr>
          <w:i/>
          <w:sz w:val="22"/>
          <w:szCs w:val="22"/>
          <w:lang w:val="en-NZ"/>
        </w:rPr>
        <w:t>Statistical Bulletin No. 18/95</w:t>
      </w:r>
      <w:r w:rsidR="002C610A">
        <w:rPr>
          <w:sz w:val="22"/>
          <w:szCs w:val="22"/>
          <w:lang w:val="en-NZ"/>
        </w:rPr>
        <w:t xml:space="preserve"> </w:t>
      </w:r>
      <w:r>
        <w:rPr>
          <w:sz w:val="22"/>
          <w:szCs w:val="22"/>
          <w:lang w:val="en-NZ"/>
        </w:rPr>
        <w:t>'</w:t>
      </w:r>
      <w:r w:rsidRPr="00834D0D">
        <w:rPr>
          <w:sz w:val="22"/>
          <w:szCs w:val="22"/>
          <w:lang w:val="en-NZ"/>
        </w:rPr>
        <w:t>Rural Areas of Solomon Islands Income and Expenditure Survey 1993</w:t>
      </w:r>
      <w:r>
        <w:rPr>
          <w:sz w:val="22"/>
          <w:szCs w:val="22"/>
          <w:lang w:val="en-NZ"/>
        </w:rPr>
        <w:t>'</w:t>
      </w:r>
      <w:r w:rsidRPr="00834D0D">
        <w:rPr>
          <w:sz w:val="22"/>
          <w:szCs w:val="22"/>
          <w:lang w:val="en-NZ"/>
        </w:rPr>
        <w:t xml:space="preserve"> Statistics Office, Honiara, September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2292C"/>
    <w:multiLevelType w:val="hybridMultilevel"/>
    <w:tmpl w:val="07FEEA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401104D9"/>
    <w:multiLevelType w:val="hybridMultilevel"/>
    <w:tmpl w:val="3D6851A0"/>
    <w:lvl w:ilvl="0" w:tplc="1409000F">
      <w:start w:val="1"/>
      <w:numFmt w:val="decimal"/>
      <w:lvlText w:val="%1."/>
      <w:lvlJc w:val="left"/>
      <w:pPr>
        <w:ind w:left="2770" w:hanging="360"/>
      </w:pPr>
      <w:rPr>
        <w:rFonts w:hint="default"/>
      </w:rPr>
    </w:lvl>
    <w:lvl w:ilvl="1" w:tplc="14090019" w:tentative="1">
      <w:start w:val="1"/>
      <w:numFmt w:val="lowerLetter"/>
      <w:lvlText w:val="%2."/>
      <w:lvlJc w:val="left"/>
      <w:pPr>
        <w:ind w:left="3490" w:hanging="360"/>
      </w:pPr>
    </w:lvl>
    <w:lvl w:ilvl="2" w:tplc="1409001B" w:tentative="1">
      <w:start w:val="1"/>
      <w:numFmt w:val="lowerRoman"/>
      <w:lvlText w:val="%3."/>
      <w:lvlJc w:val="right"/>
      <w:pPr>
        <w:ind w:left="4210" w:hanging="180"/>
      </w:pPr>
    </w:lvl>
    <w:lvl w:ilvl="3" w:tplc="1409000F" w:tentative="1">
      <w:start w:val="1"/>
      <w:numFmt w:val="decimal"/>
      <w:lvlText w:val="%4."/>
      <w:lvlJc w:val="left"/>
      <w:pPr>
        <w:ind w:left="4930" w:hanging="360"/>
      </w:pPr>
    </w:lvl>
    <w:lvl w:ilvl="4" w:tplc="14090019" w:tentative="1">
      <w:start w:val="1"/>
      <w:numFmt w:val="lowerLetter"/>
      <w:lvlText w:val="%5."/>
      <w:lvlJc w:val="left"/>
      <w:pPr>
        <w:ind w:left="5650" w:hanging="360"/>
      </w:pPr>
    </w:lvl>
    <w:lvl w:ilvl="5" w:tplc="1409001B" w:tentative="1">
      <w:start w:val="1"/>
      <w:numFmt w:val="lowerRoman"/>
      <w:lvlText w:val="%6."/>
      <w:lvlJc w:val="right"/>
      <w:pPr>
        <w:ind w:left="6370" w:hanging="180"/>
      </w:pPr>
    </w:lvl>
    <w:lvl w:ilvl="6" w:tplc="1409000F" w:tentative="1">
      <w:start w:val="1"/>
      <w:numFmt w:val="decimal"/>
      <w:lvlText w:val="%7."/>
      <w:lvlJc w:val="left"/>
      <w:pPr>
        <w:ind w:left="7090" w:hanging="360"/>
      </w:pPr>
    </w:lvl>
    <w:lvl w:ilvl="7" w:tplc="14090019" w:tentative="1">
      <w:start w:val="1"/>
      <w:numFmt w:val="lowerLetter"/>
      <w:lvlText w:val="%8."/>
      <w:lvlJc w:val="left"/>
      <w:pPr>
        <w:ind w:left="7810" w:hanging="360"/>
      </w:pPr>
    </w:lvl>
    <w:lvl w:ilvl="8" w:tplc="1409001B" w:tentative="1">
      <w:start w:val="1"/>
      <w:numFmt w:val="lowerRoman"/>
      <w:lvlText w:val="%9."/>
      <w:lvlJc w:val="right"/>
      <w:pPr>
        <w:ind w:left="8530" w:hanging="180"/>
      </w:pPr>
    </w:lvl>
  </w:abstractNum>
  <w:abstractNum w:abstractNumId="2">
    <w:nsid w:val="46F451D2"/>
    <w:multiLevelType w:val="hybridMultilevel"/>
    <w:tmpl w:val="7848E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0971E6"/>
    <w:multiLevelType w:val="hybridMultilevel"/>
    <w:tmpl w:val="AB3A563A"/>
    <w:lvl w:ilvl="0" w:tplc="8AEAB9AA">
      <w:start w:val="1"/>
      <w:numFmt w:val="bullet"/>
      <w:lvlText w:val="–"/>
      <w:lvlJc w:val="left"/>
      <w:pPr>
        <w:tabs>
          <w:tab w:val="num" w:pos="720"/>
        </w:tabs>
        <w:ind w:left="720" w:hanging="360"/>
      </w:pPr>
      <w:rPr>
        <w:rFonts w:ascii="Arial" w:hAnsi="Arial" w:hint="default"/>
      </w:rPr>
    </w:lvl>
    <w:lvl w:ilvl="1" w:tplc="215E5D80">
      <w:start w:val="1"/>
      <w:numFmt w:val="bullet"/>
      <w:lvlText w:val="–"/>
      <w:lvlJc w:val="left"/>
      <w:pPr>
        <w:tabs>
          <w:tab w:val="num" w:pos="1440"/>
        </w:tabs>
        <w:ind w:left="1440" w:hanging="360"/>
      </w:pPr>
      <w:rPr>
        <w:rFonts w:ascii="Arial" w:hAnsi="Arial" w:hint="default"/>
      </w:rPr>
    </w:lvl>
    <w:lvl w:ilvl="2" w:tplc="6330B508" w:tentative="1">
      <w:start w:val="1"/>
      <w:numFmt w:val="bullet"/>
      <w:lvlText w:val="–"/>
      <w:lvlJc w:val="left"/>
      <w:pPr>
        <w:tabs>
          <w:tab w:val="num" w:pos="2160"/>
        </w:tabs>
        <w:ind w:left="2160" w:hanging="360"/>
      </w:pPr>
      <w:rPr>
        <w:rFonts w:ascii="Arial" w:hAnsi="Arial" w:hint="default"/>
      </w:rPr>
    </w:lvl>
    <w:lvl w:ilvl="3" w:tplc="8550E904" w:tentative="1">
      <w:start w:val="1"/>
      <w:numFmt w:val="bullet"/>
      <w:lvlText w:val="–"/>
      <w:lvlJc w:val="left"/>
      <w:pPr>
        <w:tabs>
          <w:tab w:val="num" w:pos="2880"/>
        </w:tabs>
        <w:ind w:left="2880" w:hanging="360"/>
      </w:pPr>
      <w:rPr>
        <w:rFonts w:ascii="Arial" w:hAnsi="Arial" w:hint="default"/>
      </w:rPr>
    </w:lvl>
    <w:lvl w:ilvl="4" w:tplc="E8883638" w:tentative="1">
      <w:start w:val="1"/>
      <w:numFmt w:val="bullet"/>
      <w:lvlText w:val="–"/>
      <w:lvlJc w:val="left"/>
      <w:pPr>
        <w:tabs>
          <w:tab w:val="num" w:pos="3600"/>
        </w:tabs>
        <w:ind w:left="3600" w:hanging="360"/>
      </w:pPr>
      <w:rPr>
        <w:rFonts w:ascii="Arial" w:hAnsi="Arial" w:hint="default"/>
      </w:rPr>
    </w:lvl>
    <w:lvl w:ilvl="5" w:tplc="7C844458" w:tentative="1">
      <w:start w:val="1"/>
      <w:numFmt w:val="bullet"/>
      <w:lvlText w:val="–"/>
      <w:lvlJc w:val="left"/>
      <w:pPr>
        <w:tabs>
          <w:tab w:val="num" w:pos="4320"/>
        </w:tabs>
        <w:ind w:left="4320" w:hanging="360"/>
      </w:pPr>
      <w:rPr>
        <w:rFonts w:ascii="Arial" w:hAnsi="Arial" w:hint="default"/>
      </w:rPr>
    </w:lvl>
    <w:lvl w:ilvl="6" w:tplc="501C94BE" w:tentative="1">
      <w:start w:val="1"/>
      <w:numFmt w:val="bullet"/>
      <w:lvlText w:val="–"/>
      <w:lvlJc w:val="left"/>
      <w:pPr>
        <w:tabs>
          <w:tab w:val="num" w:pos="5040"/>
        </w:tabs>
        <w:ind w:left="5040" w:hanging="360"/>
      </w:pPr>
      <w:rPr>
        <w:rFonts w:ascii="Arial" w:hAnsi="Arial" w:hint="default"/>
      </w:rPr>
    </w:lvl>
    <w:lvl w:ilvl="7" w:tplc="C0D0A518" w:tentative="1">
      <w:start w:val="1"/>
      <w:numFmt w:val="bullet"/>
      <w:lvlText w:val="–"/>
      <w:lvlJc w:val="left"/>
      <w:pPr>
        <w:tabs>
          <w:tab w:val="num" w:pos="5760"/>
        </w:tabs>
        <w:ind w:left="5760" w:hanging="360"/>
      </w:pPr>
      <w:rPr>
        <w:rFonts w:ascii="Arial" w:hAnsi="Arial" w:hint="default"/>
      </w:rPr>
    </w:lvl>
    <w:lvl w:ilvl="8" w:tplc="01B4CCAA" w:tentative="1">
      <w:start w:val="1"/>
      <w:numFmt w:val="bullet"/>
      <w:lvlText w:val="–"/>
      <w:lvlJc w:val="left"/>
      <w:pPr>
        <w:tabs>
          <w:tab w:val="num" w:pos="6480"/>
        </w:tabs>
        <w:ind w:left="6480" w:hanging="360"/>
      </w:pPr>
      <w:rPr>
        <w:rFonts w:ascii="Arial" w:hAnsi="Arial" w:hint="default"/>
      </w:rPr>
    </w:lvl>
  </w:abstractNum>
  <w:abstractNum w:abstractNumId="4">
    <w:nsid w:val="5F5D2F01"/>
    <w:multiLevelType w:val="hybridMultilevel"/>
    <w:tmpl w:val="EBEED1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4426324"/>
    <w:multiLevelType w:val="hybridMultilevel"/>
    <w:tmpl w:val="3BDCDC18"/>
    <w:lvl w:ilvl="0" w:tplc="8F948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activeWritingStyle w:appName="MSWord" w:lang="en-US" w:vendorID="64" w:dllVersion="131078" w:nlCheck="1" w:checkStyle="0"/>
  <w:activeWritingStyle w:appName="MSWord" w:lang="en-NZ"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63"/>
    <w:rsid w:val="00001577"/>
    <w:rsid w:val="0000256A"/>
    <w:rsid w:val="00003771"/>
    <w:rsid w:val="00004467"/>
    <w:rsid w:val="00005443"/>
    <w:rsid w:val="000062B0"/>
    <w:rsid w:val="000102CC"/>
    <w:rsid w:val="000104FE"/>
    <w:rsid w:val="0001324C"/>
    <w:rsid w:val="0001347B"/>
    <w:rsid w:val="00014A69"/>
    <w:rsid w:val="000156FF"/>
    <w:rsid w:val="000157B4"/>
    <w:rsid w:val="000234F7"/>
    <w:rsid w:val="00023590"/>
    <w:rsid w:val="00023D02"/>
    <w:rsid w:val="00024C87"/>
    <w:rsid w:val="000266CE"/>
    <w:rsid w:val="000268E1"/>
    <w:rsid w:val="00027505"/>
    <w:rsid w:val="000315C5"/>
    <w:rsid w:val="00031DAE"/>
    <w:rsid w:val="0003261C"/>
    <w:rsid w:val="00032D4E"/>
    <w:rsid w:val="0003355F"/>
    <w:rsid w:val="0003487E"/>
    <w:rsid w:val="00034CE9"/>
    <w:rsid w:val="0003726A"/>
    <w:rsid w:val="00037D0A"/>
    <w:rsid w:val="00037E9A"/>
    <w:rsid w:val="00040B7A"/>
    <w:rsid w:val="00040E60"/>
    <w:rsid w:val="00041B9A"/>
    <w:rsid w:val="00041D2B"/>
    <w:rsid w:val="000420EC"/>
    <w:rsid w:val="00043B3E"/>
    <w:rsid w:val="00043EB6"/>
    <w:rsid w:val="00044A11"/>
    <w:rsid w:val="00044B4D"/>
    <w:rsid w:val="00044DAA"/>
    <w:rsid w:val="00047ADE"/>
    <w:rsid w:val="00050291"/>
    <w:rsid w:val="0005038C"/>
    <w:rsid w:val="00052682"/>
    <w:rsid w:val="0005578E"/>
    <w:rsid w:val="00055DF0"/>
    <w:rsid w:val="0005727A"/>
    <w:rsid w:val="000576E8"/>
    <w:rsid w:val="00060C9A"/>
    <w:rsid w:val="00061629"/>
    <w:rsid w:val="000622CF"/>
    <w:rsid w:val="000624CC"/>
    <w:rsid w:val="000624E7"/>
    <w:rsid w:val="00064C57"/>
    <w:rsid w:val="000670D1"/>
    <w:rsid w:val="0006730C"/>
    <w:rsid w:val="00067729"/>
    <w:rsid w:val="00070E51"/>
    <w:rsid w:val="00072919"/>
    <w:rsid w:val="00072C48"/>
    <w:rsid w:val="00072FF0"/>
    <w:rsid w:val="00073175"/>
    <w:rsid w:val="00073A68"/>
    <w:rsid w:val="00075554"/>
    <w:rsid w:val="00075F5E"/>
    <w:rsid w:val="000806B5"/>
    <w:rsid w:val="00082707"/>
    <w:rsid w:val="00083F69"/>
    <w:rsid w:val="000840A1"/>
    <w:rsid w:val="0008507E"/>
    <w:rsid w:val="00085C5A"/>
    <w:rsid w:val="0008633F"/>
    <w:rsid w:val="00086D90"/>
    <w:rsid w:val="00090948"/>
    <w:rsid w:val="00090C4A"/>
    <w:rsid w:val="00091A2D"/>
    <w:rsid w:val="00091FA5"/>
    <w:rsid w:val="00092E87"/>
    <w:rsid w:val="00093985"/>
    <w:rsid w:val="00093A60"/>
    <w:rsid w:val="000A1CBD"/>
    <w:rsid w:val="000A238F"/>
    <w:rsid w:val="000A29BE"/>
    <w:rsid w:val="000A3C46"/>
    <w:rsid w:val="000A58C2"/>
    <w:rsid w:val="000B19B8"/>
    <w:rsid w:val="000B1EF8"/>
    <w:rsid w:val="000B2F24"/>
    <w:rsid w:val="000B3267"/>
    <w:rsid w:val="000B4F15"/>
    <w:rsid w:val="000B4F36"/>
    <w:rsid w:val="000B5E1B"/>
    <w:rsid w:val="000C1141"/>
    <w:rsid w:val="000C32D4"/>
    <w:rsid w:val="000C3B6F"/>
    <w:rsid w:val="000C3C11"/>
    <w:rsid w:val="000C438F"/>
    <w:rsid w:val="000C4BCA"/>
    <w:rsid w:val="000C4C9C"/>
    <w:rsid w:val="000C512C"/>
    <w:rsid w:val="000C629C"/>
    <w:rsid w:val="000C7173"/>
    <w:rsid w:val="000C7B0E"/>
    <w:rsid w:val="000D275E"/>
    <w:rsid w:val="000D37D7"/>
    <w:rsid w:val="000D3E1A"/>
    <w:rsid w:val="000D3FD7"/>
    <w:rsid w:val="000D4032"/>
    <w:rsid w:val="000D5239"/>
    <w:rsid w:val="000D6A41"/>
    <w:rsid w:val="000E035C"/>
    <w:rsid w:val="000E23F6"/>
    <w:rsid w:val="000E4BD7"/>
    <w:rsid w:val="000E75DF"/>
    <w:rsid w:val="000F22CE"/>
    <w:rsid w:val="001039DE"/>
    <w:rsid w:val="00103C64"/>
    <w:rsid w:val="00104383"/>
    <w:rsid w:val="00104C34"/>
    <w:rsid w:val="001074AB"/>
    <w:rsid w:val="00107715"/>
    <w:rsid w:val="001120F0"/>
    <w:rsid w:val="00112BF9"/>
    <w:rsid w:val="00114BC7"/>
    <w:rsid w:val="001207A5"/>
    <w:rsid w:val="001214AD"/>
    <w:rsid w:val="00126E96"/>
    <w:rsid w:val="00133740"/>
    <w:rsid w:val="00137F1A"/>
    <w:rsid w:val="0014217A"/>
    <w:rsid w:val="00142D82"/>
    <w:rsid w:val="00143382"/>
    <w:rsid w:val="00143ADE"/>
    <w:rsid w:val="00144D00"/>
    <w:rsid w:val="00146741"/>
    <w:rsid w:val="001471DE"/>
    <w:rsid w:val="00151284"/>
    <w:rsid w:val="0015165C"/>
    <w:rsid w:val="00153308"/>
    <w:rsid w:val="00153321"/>
    <w:rsid w:val="00154563"/>
    <w:rsid w:val="001549A1"/>
    <w:rsid w:val="0015539C"/>
    <w:rsid w:val="00155731"/>
    <w:rsid w:val="00155D42"/>
    <w:rsid w:val="00157919"/>
    <w:rsid w:val="00161AD3"/>
    <w:rsid w:val="00162925"/>
    <w:rsid w:val="001657D0"/>
    <w:rsid w:val="001660D9"/>
    <w:rsid w:val="0017019A"/>
    <w:rsid w:val="001722AA"/>
    <w:rsid w:val="00172F00"/>
    <w:rsid w:val="00173770"/>
    <w:rsid w:val="00175242"/>
    <w:rsid w:val="00175B66"/>
    <w:rsid w:val="00175D84"/>
    <w:rsid w:val="00176A26"/>
    <w:rsid w:val="00177679"/>
    <w:rsid w:val="00177BFF"/>
    <w:rsid w:val="00177E52"/>
    <w:rsid w:val="00180F7F"/>
    <w:rsid w:val="00183BCA"/>
    <w:rsid w:val="00184EF5"/>
    <w:rsid w:val="001900AC"/>
    <w:rsid w:val="00192253"/>
    <w:rsid w:val="001936BD"/>
    <w:rsid w:val="00194B05"/>
    <w:rsid w:val="001955B9"/>
    <w:rsid w:val="00195BAF"/>
    <w:rsid w:val="0019638D"/>
    <w:rsid w:val="0019756B"/>
    <w:rsid w:val="00197B8B"/>
    <w:rsid w:val="00197F14"/>
    <w:rsid w:val="001A2EDE"/>
    <w:rsid w:val="001A6607"/>
    <w:rsid w:val="001B31C5"/>
    <w:rsid w:val="001B3E8E"/>
    <w:rsid w:val="001B47CB"/>
    <w:rsid w:val="001B5B96"/>
    <w:rsid w:val="001B5BBC"/>
    <w:rsid w:val="001C0275"/>
    <w:rsid w:val="001C179E"/>
    <w:rsid w:val="001C2071"/>
    <w:rsid w:val="001C5C2C"/>
    <w:rsid w:val="001C5E82"/>
    <w:rsid w:val="001D244F"/>
    <w:rsid w:val="001D57F8"/>
    <w:rsid w:val="001E08BC"/>
    <w:rsid w:val="001E2180"/>
    <w:rsid w:val="001E2207"/>
    <w:rsid w:val="001E22E1"/>
    <w:rsid w:val="001E295D"/>
    <w:rsid w:val="001E4280"/>
    <w:rsid w:val="001E448A"/>
    <w:rsid w:val="001E503D"/>
    <w:rsid w:val="001E5117"/>
    <w:rsid w:val="001E58D3"/>
    <w:rsid w:val="001E7C9C"/>
    <w:rsid w:val="001F0CD4"/>
    <w:rsid w:val="001F15C2"/>
    <w:rsid w:val="001F25C5"/>
    <w:rsid w:val="001F2729"/>
    <w:rsid w:val="001F3841"/>
    <w:rsid w:val="001F3E00"/>
    <w:rsid w:val="001F4A54"/>
    <w:rsid w:val="001F648A"/>
    <w:rsid w:val="001F6D98"/>
    <w:rsid w:val="0020127F"/>
    <w:rsid w:val="00202187"/>
    <w:rsid w:val="00204F3C"/>
    <w:rsid w:val="00210B40"/>
    <w:rsid w:val="00211C81"/>
    <w:rsid w:val="00211DA9"/>
    <w:rsid w:val="0021383A"/>
    <w:rsid w:val="00221929"/>
    <w:rsid w:val="002245ED"/>
    <w:rsid w:val="00224EF6"/>
    <w:rsid w:val="00230943"/>
    <w:rsid w:val="0023140D"/>
    <w:rsid w:val="0023200C"/>
    <w:rsid w:val="00232024"/>
    <w:rsid w:val="00232482"/>
    <w:rsid w:val="00233765"/>
    <w:rsid w:val="002347AF"/>
    <w:rsid w:val="00234D98"/>
    <w:rsid w:val="00236072"/>
    <w:rsid w:val="002367A1"/>
    <w:rsid w:val="00237418"/>
    <w:rsid w:val="00240040"/>
    <w:rsid w:val="00240B57"/>
    <w:rsid w:val="00241397"/>
    <w:rsid w:val="00241AC4"/>
    <w:rsid w:val="002435EC"/>
    <w:rsid w:val="00243B6E"/>
    <w:rsid w:val="00244EB2"/>
    <w:rsid w:val="00246376"/>
    <w:rsid w:val="00252505"/>
    <w:rsid w:val="0025308D"/>
    <w:rsid w:val="002605A3"/>
    <w:rsid w:val="002627D0"/>
    <w:rsid w:val="00262D2D"/>
    <w:rsid w:val="002636F9"/>
    <w:rsid w:val="002660B1"/>
    <w:rsid w:val="00266130"/>
    <w:rsid w:val="00266BFF"/>
    <w:rsid w:val="002671C1"/>
    <w:rsid w:val="00267228"/>
    <w:rsid w:val="00267FD1"/>
    <w:rsid w:val="0027129C"/>
    <w:rsid w:val="00271D07"/>
    <w:rsid w:val="002729D0"/>
    <w:rsid w:val="00274ACF"/>
    <w:rsid w:val="00275D7B"/>
    <w:rsid w:val="00275E64"/>
    <w:rsid w:val="00276960"/>
    <w:rsid w:val="00276D70"/>
    <w:rsid w:val="00277A21"/>
    <w:rsid w:val="00277DEB"/>
    <w:rsid w:val="00280956"/>
    <w:rsid w:val="002853C2"/>
    <w:rsid w:val="002860B4"/>
    <w:rsid w:val="00286896"/>
    <w:rsid w:val="00286F31"/>
    <w:rsid w:val="002900A4"/>
    <w:rsid w:val="00290A96"/>
    <w:rsid w:val="00292A8F"/>
    <w:rsid w:val="0029321D"/>
    <w:rsid w:val="00297362"/>
    <w:rsid w:val="002978A1"/>
    <w:rsid w:val="002A0E3F"/>
    <w:rsid w:val="002A1F48"/>
    <w:rsid w:val="002A289C"/>
    <w:rsid w:val="002A36C3"/>
    <w:rsid w:val="002A69F5"/>
    <w:rsid w:val="002A7C46"/>
    <w:rsid w:val="002B0210"/>
    <w:rsid w:val="002B1803"/>
    <w:rsid w:val="002B6A1C"/>
    <w:rsid w:val="002B78DB"/>
    <w:rsid w:val="002C41CE"/>
    <w:rsid w:val="002C610A"/>
    <w:rsid w:val="002C7F8A"/>
    <w:rsid w:val="002D11D1"/>
    <w:rsid w:val="002D2DDB"/>
    <w:rsid w:val="002D5F24"/>
    <w:rsid w:val="002E04D6"/>
    <w:rsid w:val="002E2100"/>
    <w:rsid w:val="002E33AB"/>
    <w:rsid w:val="002E3478"/>
    <w:rsid w:val="002E6265"/>
    <w:rsid w:val="002E6B8E"/>
    <w:rsid w:val="002F2022"/>
    <w:rsid w:val="002F3966"/>
    <w:rsid w:val="002F7E3B"/>
    <w:rsid w:val="00300779"/>
    <w:rsid w:val="00303565"/>
    <w:rsid w:val="003060F1"/>
    <w:rsid w:val="0030667F"/>
    <w:rsid w:val="0030796C"/>
    <w:rsid w:val="003103F8"/>
    <w:rsid w:val="0031084E"/>
    <w:rsid w:val="003110DC"/>
    <w:rsid w:val="00311795"/>
    <w:rsid w:val="00314747"/>
    <w:rsid w:val="003166AF"/>
    <w:rsid w:val="00317391"/>
    <w:rsid w:val="00322D5D"/>
    <w:rsid w:val="00323826"/>
    <w:rsid w:val="00325B45"/>
    <w:rsid w:val="00326F19"/>
    <w:rsid w:val="00332322"/>
    <w:rsid w:val="003329E1"/>
    <w:rsid w:val="00335462"/>
    <w:rsid w:val="003412ED"/>
    <w:rsid w:val="00342395"/>
    <w:rsid w:val="0034273A"/>
    <w:rsid w:val="0035021F"/>
    <w:rsid w:val="00350423"/>
    <w:rsid w:val="003510B0"/>
    <w:rsid w:val="00351CA0"/>
    <w:rsid w:val="00352042"/>
    <w:rsid w:val="00353740"/>
    <w:rsid w:val="003636B2"/>
    <w:rsid w:val="00363F4C"/>
    <w:rsid w:val="00364C64"/>
    <w:rsid w:val="00365519"/>
    <w:rsid w:val="0036695B"/>
    <w:rsid w:val="0036786B"/>
    <w:rsid w:val="00367C12"/>
    <w:rsid w:val="00370715"/>
    <w:rsid w:val="00371631"/>
    <w:rsid w:val="0037198E"/>
    <w:rsid w:val="00372751"/>
    <w:rsid w:val="003744ED"/>
    <w:rsid w:val="003764BE"/>
    <w:rsid w:val="0038107A"/>
    <w:rsid w:val="00381E12"/>
    <w:rsid w:val="00382254"/>
    <w:rsid w:val="003823CF"/>
    <w:rsid w:val="00382686"/>
    <w:rsid w:val="00382E4A"/>
    <w:rsid w:val="003841E5"/>
    <w:rsid w:val="003875E4"/>
    <w:rsid w:val="00391FE2"/>
    <w:rsid w:val="00394006"/>
    <w:rsid w:val="003A19B4"/>
    <w:rsid w:val="003A1F59"/>
    <w:rsid w:val="003A5077"/>
    <w:rsid w:val="003A68CF"/>
    <w:rsid w:val="003A6ACC"/>
    <w:rsid w:val="003A6EB9"/>
    <w:rsid w:val="003A7B81"/>
    <w:rsid w:val="003A7D26"/>
    <w:rsid w:val="003B1514"/>
    <w:rsid w:val="003B1A3E"/>
    <w:rsid w:val="003B422A"/>
    <w:rsid w:val="003B69AD"/>
    <w:rsid w:val="003C0EE2"/>
    <w:rsid w:val="003C1D12"/>
    <w:rsid w:val="003C30B7"/>
    <w:rsid w:val="003C5AA3"/>
    <w:rsid w:val="003C7236"/>
    <w:rsid w:val="003C788F"/>
    <w:rsid w:val="003C7A03"/>
    <w:rsid w:val="003D0160"/>
    <w:rsid w:val="003D048E"/>
    <w:rsid w:val="003D1734"/>
    <w:rsid w:val="003D35FB"/>
    <w:rsid w:val="003D3A41"/>
    <w:rsid w:val="003D7518"/>
    <w:rsid w:val="003D77F2"/>
    <w:rsid w:val="003E1D35"/>
    <w:rsid w:val="003E4994"/>
    <w:rsid w:val="003E6107"/>
    <w:rsid w:val="003F0514"/>
    <w:rsid w:val="003F3FD9"/>
    <w:rsid w:val="003F4FF3"/>
    <w:rsid w:val="00401A64"/>
    <w:rsid w:val="00402D47"/>
    <w:rsid w:val="004038E3"/>
    <w:rsid w:val="0040421C"/>
    <w:rsid w:val="00406362"/>
    <w:rsid w:val="00410AF0"/>
    <w:rsid w:val="00411F5F"/>
    <w:rsid w:val="00412736"/>
    <w:rsid w:val="00412FBC"/>
    <w:rsid w:val="00414388"/>
    <w:rsid w:val="00415601"/>
    <w:rsid w:val="00415E5D"/>
    <w:rsid w:val="00416F3F"/>
    <w:rsid w:val="00421374"/>
    <w:rsid w:val="00422F1D"/>
    <w:rsid w:val="00423030"/>
    <w:rsid w:val="00424069"/>
    <w:rsid w:val="00425B22"/>
    <w:rsid w:val="00426084"/>
    <w:rsid w:val="004260E4"/>
    <w:rsid w:val="00427009"/>
    <w:rsid w:val="004306AE"/>
    <w:rsid w:val="00430E71"/>
    <w:rsid w:val="0043671E"/>
    <w:rsid w:val="00436AB9"/>
    <w:rsid w:val="004376EE"/>
    <w:rsid w:val="004402EC"/>
    <w:rsid w:val="00442E32"/>
    <w:rsid w:val="00443FD0"/>
    <w:rsid w:val="004449E7"/>
    <w:rsid w:val="00444CDE"/>
    <w:rsid w:val="004453A0"/>
    <w:rsid w:val="004467F4"/>
    <w:rsid w:val="004474A3"/>
    <w:rsid w:val="0044795E"/>
    <w:rsid w:val="00450595"/>
    <w:rsid w:val="00450FC8"/>
    <w:rsid w:val="004528D0"/>
    <w:rsid w:val="0045541B"/>
    <w:rsid w:val="0046018A"/>
    <w:rsid w:val="00460EE2"/>
    <w:rsid w:val="0046451B"/>
    <w:rsid w:val="00467EFF"/>
    <w:rsid w:val="00467F1A"/>
    <w:rsid w:val="0047003B"/>
    <w:rsid w:val="004705DC"/>
    <w:rsid w:val="00470C34"/>
    <w:rsid w:val="00471DF1"/>
    <w:rsid w:val="00472387"/>
    <w:rsid w:val="00473BCC"/>
    <w:rsid w:val="00482042"/>
    <w:rsid w:val="004820E0"/>
    <w:rsid w:val="00486F1D"/>
    <w:rsid w:val="004904F3"/>
    <w:rsid w:val="0049085E"/>
    <w:rsid w:val="004911CE"/>
    <w:rsid w:val="00495C91"/>
    <w:rsid w:val="004960D5"/>
    <w:rsid w:val="004A0BEB"/>
    <w:rsid w:val="004A158F"/>
    <w:rsid w:val="004A20AF"/>
    <w:rsid w:val="004A36B3"/>
    <w:rsid w:val="004A78ED"/>
    <w:rsid w:val="004A7E53"/>
    <w:rsid w:val="004B0936"/>
    <w:rsid w:val="004B0963"/>
    <w:rsid w:val="004B0BB8"/>
    <w:rsid w:val="004B2873"/>
    <w:rsid w:val="004B5288"/>
    <w:rsid w:val="004B538F"/>
    <w:rsid w:val="004B6AC3"/>
    <w:rsid w:val="004B7155"/>
    <w:rsid w:val="004C0CB4"/>
    <w:rsid w:val="004C2771"/>
    <w:rsid w:val="004C28CE"/>
    <w:rsid w:val="004C402B"/>
    <w:rsid w:val="004C664D"/>
    <w:rsid w:val="004C67A2"/>
    <w:rsid w:val="004D141E"/>
    <w:rsid w:val="004D36EF"/>
    <w:rsid w:val="004D3B9F"/>
    <w:rsid w:val="004D5751"/>
    <w:rsid w:val="004D60F0"/>
    <w:rsid w:val="004D6C7D"/>
    <w:rsid w:val="004E0519"/>
    <w:rsid w:val="004E0F84"/>
    <w:rsid w:val="004E13C1"/>
    <w:rsid w:val="004E22DA"/>
    <w:rsid w:val="004E2B02"/>
    <w:rsid w:val="004E2CF3"/>
    <w:rsid w:val="004E6ED8"/>
    <w:rsid w:val="004E71A0"/>
    <w:rsid w:val="004E71E1"/>
    <w:rsid w:val="004E736E"/>
    <w:rsid w:val="004E75FB"/>
    <w:rsid w:val="004F0DD3"/>
    <w:rsid w:val="004F4199"/>
    <w:rsid w:val="004F6583"/>
    <w:rsid w:val="004F71F9"/>
    <w:rsid w:val="004F7B85"/>
    <w:rsid w:val="004F7CC6"/>
    <w:rsid w:val="00500485"/>
    <w:rsid w:val="00505B0A"/>
    <w:rsid w:val="00506E87"/>
    <w:rsid w:val="00506EA5"/>
    <w:rsid w:val="00507497"/>
    <w:rsid w:val="00507E0B"/>
    <w:rsid w:val="00510541"/>
    <w:rsid w:val="005119C4"/>
    <w:rsid w:val="00512513"/>
    <w:rsid w:val="0052071B"/>
    <w:rsid w:val="00522100"/>
    <w:rsid w:val="0052252D"/>
    <w:rsid w:val="005241EA"/>
    <w:rsid w:val="00526412"/>
    <w:rsid w:val="0052751D"/>
    <w:rsid w:val="00532462"/>
    <w:rsid w:val="00533E61"/>
    <w:rsid w:val="00535CF8"/>
    <w:rsid w:val="00537793"/>
    <w:rsid w:val="00541582"/>
    <w:rsid w:val="00541FB3"/>
    <w:rsid w:val="00543D3F"/>
    <w:rsid w:val="00544CB3"/>
    <w:rsid w:val="00545AA4"/>
    <w:rsid w:val="00550AD9"/>
    <w:rsid w:val="00551074"/>
    <w:rsid w:val="00551593"/>
    <w:rsid w:val="00552613"/>
    <w:rsid w:val="005567AF"/>
    <w:rsid w:val="00556E7D"/>
    <w:rsid w:val="00557D1E"/>
    <w:rsid w:val="00563CD0"/>
    <w:rsid w:val="005656BA"/>
    <w:rsid w:val="0056689F"/>
    <w:rsid w:val="00566D60"/>
    <w:rsid w:val="00566F96"/>
    <w:rsid w:val="00567A31"/>
    <w:rsid w:val="0057155C"/>
    <w:rsid w:val="0057597B"/>
    <w:rsid w:val="005768CA"/>
    <w:rsid w:val="005812DB"/>
    <w:rsid w:val="0058219B"/>
    <w:rsid w:val="00582692"/>
    <w:rsid w:val="005840BC"/>
    <w:rsid w:val="00586B80"/>
    <w:rsid w:val="00587DD9"/>
    <w:rsid w:val="005907D6"/>
    <w:rsid w:val="00591678"/>
    <w:rsid w:val="00591AEB"/>
    <w:rsid w:val="00593A71"/>
    <w:rsid w:val="005948C0"/>
    <w:rsid w:val="00595209"/>
    <w:rsid w:val="0059541B"/>
    <w:rsid w:val="00596B07"/>
    <w:rsid w:val="005A06C6"/>
    <w:rsid w:val="005A0809"/>
    <w:rsid w:val="005A0B10"/>
    <w:rsid w:val="005A0BFD"/>
    <w:rsid w:val="005A170E"/>
    <w:rsid w:val="005A3AEF"/>
    <w:rsid w:val="005A5DFF"/>
    <w:rsid w:val="005B319D"/>
    <w:rsid w:val="005B4301"/>
    <w:rsid w:val="005B4F6D"/>
    <w:rsid w:val="005C2E22"/>
    <w:rsid w:val="005C3354"/>
    <w:rsid w:val="005C5F53"/>
    <w:rsid w:val="005C7573"/>
    <w:rsid w:val="005D07F1"/>
    <w:rsid w:val="005D176D"/>
    <w:rsid w:val="005D18DB"/>
    <w:rsid w:val="005D54B5"/>
    <w:rsid w:val="005D5AE8"/>
    <w:rsid w:val="005D60C3"/>
    <w:rsid w:val="005D6BFA"/>
    <w:rsid w:val="005E1AF8"/>
    <w:rsid w:val="005E20CB"/>
    <w:rsid w:val="005E6C32"/>
    <w:rsid w:val="005F50AD"/>
    <w:rsid w:val="005F63D2"/>
    <w:rsid w:val="005F7047"/>
    <w:rsid w:val="00600FC7"/>
    <w:rsid w:val="00602267"/>
    <w:rsid w:val="00602C2F"/>
    <w:rsid w:val="00603BDC"/>
    <w:rsid w:val="006042E6"/>
    <w:rsid w:val="006065E5"/>
    <w:rsid w:val="00610166"/>
    <w:rsid w:val="0061020E"/>
    <w:rsid w:val="006114D6"/>
    <w:rsid w:val="00612151"/>
    <w:rsid w:val="00615AC5"/>
    <w:rsid w:val="00616593"/>
    <w:rsid w:val="00622C6A"/>
    <w:rsid w:val="00622FD6"/>
    <w:rsid w:val="006255D6"/>
    <w:rsid w:val="006260A7"/>
    <w:rsid w:val="00627409"/>
    <w:rsid w:val="00631461"/>
    <w:rsid w:val="0063348C"/>
    <w:rsid w:val="006339E4"/>
    <w:rsid w:val="00634E0A"/>
    <w:rsid w:val="0063534C"/>
    <w:rsid w:val="00637AD9"/>
    <w:rsid w:val="00640B0D"/>
    <w:rsid w:val="00642762"/>
    <w:rsid w:val="0064445C"/>
    <w:rsid w:val="00644EDB"/>
    <w:rsid w:val="00645633"/>
    <w:rsid w:val="00650ABF"/>
    <w:rsid w:val="00650AF5"/>
    <w:rsid w:val="00652699"/>
    <w:rsid w:val="00652C19"/>
    <w:rsid w:val="00653A79"/>
    <w:rsid w:val="00655C51"/>
    <w:rsid w:val="006563CF"/>
    <w:rsid w:val="006616AD"/>
    <w:rsid w:val="006637C3"/>
    <w:rsid w:val="00665248"/>
    <w:rsid w:val="00665D74"/>
    <w:rsid w:val="00665FA9"/>
    <w:rsid w:val="0066672B"/>
    <w:rsid w:val="00666EEB"/>
    <w:rsid w:val="00671025"/>
    <w:rsid w:val="00671B5E"/>
    <w:rsid w:val="006724CA"/>
    <w:rsid w:val="006725F0"/>
    <w:rsid w:val="00675062"/>
    <w:rsid w:val="0067521F"/>
    <w:rsid w:val="006764FA"/>
    <w:rsid w:val="00676E33"/>
    <w:rsid w:val="00680946"/>
    <w:rsid w:val="00683DFE"/>
    <w:rsid w:val="0068406C"/>
    <w:rsid w:val="00686DF5"/>
    <w:rsid w:val="006875D2"/>
    <w:rsid w:val="00690FBC"/>
    <w:rsid w:val="00695350"/>
    <w:rsid w:val="00695ADF"/>
    <w:rsid w:val="006A0FC9"/>
    <w:rsid w:val="006A10A4"/>
    <w:rsid w:val="006A3020"/>
    <w:rsid w:val="006A7A23"/>
    <w:rsid w:val="006B3A87"/>
    <w:rsid w:val="006B3DCB"/>
    <w:rsid w:val="006B4118"/>
    <w:rsid w:val="006B434A"/>
    <w:rsid w:val="006B4A09"/>
    <w:rsid w:val="006B5CC3"/>
    <w:rsid w:val="006B6C92"/>
    <w:rsid w:val="006B767B"/>
    <w:rsid w:val="006C0677"/>
    <w:rsid w:val="006C443D"/>
    <w:rsid w:val="006C6D31"/>
    <w:rsid w:val="006C6E77"/>
    <w:rsid w:val="006D09E8"/>
    <w:rsid w:val="006D1A02"/>
    <w:rsid w:val="006E0986"/>
    <w:rsid w:val="006E16A9"/>
    <w:rsid w:val="006E2F54"/>
    <w:rsid w:val="006E4A3A"/>
    <w:rsid w:val="006E6491"/>
    <w:rsid w:val="006E77F8"/>
    <w:rsid w:val="006F11A9"/>
    <w:rsid w:val="006F1DA4"/>
    <w:rsid w:val="006F26F9"/>
    <w:rsid w:val="006F4161"/>
    <w:rsid w:val="007005F5"/>
    <w:rsid w:val="00700EA9"/>
    <w:rsid w:val="0070290E"/>
    <w:rsid w:val="00702964"/>
    <w:rsid w:val="0070437A"/>
    <w:rsid w:val="00704CCF"/>
    <w:rsid w:val="0070622D"/>
    <w:rsid w:val="0070744D"/>
    <w:rsid w:val="00707E68"/>
    <w:rsid w:val="007107DA"/>
    <w:rsid w:val="007122E4"/>
    <w:rsid w:val="00712B8B"/>
    <w:rsid w:val="00712ECD"/>
    <w:rsid w:val="007139CA"/>
    <w:rsid w:val="00716347"/>
    <w:rsid w:val="007165E2"/>
    <w:rsid w:val="00716AE9"/>
    <w:rsid w:val="00717599"/>
    <w:rsid w:val="007175B3"/>
    <w:rsid w:val="00721F11"/>
    <w:rsid w:val="0072224F"/>
    <w:rsid w:val="0072680C"/>
    <w:rsid w:val="00726F61"/>
    <w:rsid w:val="0073124F"/>
    <w:rsid w:val="00732C3C"/>
    <w:rsid w:val="00732CEB"/>
    <w:rsid w:val="00732E6A"/>
    <w:rsid w:val="00735C81"/>
    <w:rsid w:val="00736976"/>
    <w:rsid w:val="007375D8"/>
    <w:rsid w:val="0073791D"/>
    <w:rsid w:val="00737A59"/>
    <w:rsid w:val="00737C92"/>
    <w:rsid w:val="00742522"/>
    <w:rsid w:val="0074301D"/>
    <w:rsid w:val="007453DD"/>
    <w:rsid w:val="0074610F"/>
    <w:rsid w:val="007476FB"/>
    <w:rsid w:val="00750130"/>
    <w:rsid w:val="007506D6"/>
    <w:rsid w:val="0075206D"/>
    <w:rsid w:val="00753CFE"/>
    <w:rsid w:val="00754494"/>
    <w:rsid w:val="007557E1"/>
    <w:rsid w:val="00755FBA"/>
    <w:rsid w:val="0075608E"/>
    <w:rsid w:val="00757A8C"/>
    <w:rsid w:val="007603C6"/>
    <w:rsid w:val="00760D3C"/>
    <w:rsid w:val="00761B57"/>
    <w:rsid w:val="0076202D"/>
    <w:rsid w:val="007622EE"/>
    <w:rsid w:val="00763FC2"/>
    <w:rsid w:val="00765906"/>
    <w:rsid w:val="007660A6"/>
    <w:rsid w:val="0076663C"/>
    <w:rsid w:val="00770D15"/>
    <w:rsid w:val="00770E69"/>
    <w:rsid w:val="00772A19"/>
    <w:rsid w:val="00774D65"/>
    <w:rsid w:val="00774F50"/>
    <w:rsid w:val="00781CF8"/>
    <w:rsid w:val="0078290D"/>
    <w:rsid w:val="0078294E"/>
    <w:rsid w:val="00782AFA"/>
    <w:rsid w:val="0078355F"/>
    <w:rsid w:val="007836CC"/>
    <w:rsid w:val="0078458D"/>
    <w:rsid w:val="0078522D"/>
    <w:rsid w:val="007878C3"/>
    <w:rsid w:val="0079017B"/>
    <w:rsid w:val="0079093A"/>
    <w:rsid w:val="00793425"/>
    <w:rsid w:val="00793B94"/>
    <w:rsid w:val="00794C2D"/>
    <w:rsid w:val="00795C44"/>
    <w:rsid w:val="00797122"/>
    <w:rsid w:val="00797762"/>
    <w:rsid w:val="007A007E"/>
    <w:rsid w:val="007A05AF"/>
    <w:rsid w:val="007A219C"/>
    <w:rsid w:val="007A24CE"/>
    <w:rsid w:val="007A3B14"/>
    <w:rsid w:val="007A3C6D"/>
    <w:rsid w:val="007A4CE9"/>
    <w:rsid w:val="007A5B41"/>
    <w:rsid w:val="007A628C"/>
    <w:rsid w:val="007B01B3"/>
    <w:rsid w:val="007B01EA"/>
    <w:rsid w:val="007B0B4E"/>
    <w:rsid w:val="007B29A4"/>
    <w:rsid w:val="007B33E7"/>
    <w:rsid w:val="007B363E"/>
    <w:rsid w:val="007B653A"/>
    <w:rsid w:val="007B7A01"/>
    <w:rsid w:val="007C082D"/>
    <w:rsid w:val="007C0F4D"/>
    <w:rsid w:val="007C1B17"/>
    <w:rsid w:val="007C40F3"/>
    <w:rsid w:val="007C43D9"/>
    <w:rsid w:val="007C4629"/>
    <w:rsid w:val="007C5BC0"/>
    <w:rsid w:val="007C5CE4"/>
    <w:rsid w:val="007C6B71"/>
    <w:rsid w:val="007C73A3"/>
    <w:rsid w:val="007C7953"/>
    <w:rsid w:val="007D01B6"/>
    <w:rsid w:val="007D0D4E"/>
    <w:rsid w:val="007D1CEA"/>
    <w:rsid w:val="007D34AB"/>
    <w:rsid w:val="007D356A"/>
    <w:rsid w:val="007D3D43"/>
    <w:rsid w:val="007D4554"/>
    <w:rsid w:val="007D49FD"/>
    <w:rsid w:val="007D4EAA"/>
    <w:rsid w:val="007D5148"/>
    <w:rsid w:val="007D57AC"/>
    <w:rsid w:val="007D5FA2"/>
    <w:rsid w:val="007D6423"/>
    <w:rsid w:val="007D6692"/>
    <w:rsid w:val="007E065A"/>
    <w:rsid w:val="007E23B2"/>
    <w:rsid w:val="007E36F3"/>
    <w:rsid w:val="007E47F3"/>
    <w:rsid w:val="007E7C6E"/>
    <w:rsid w:val="007F0934"/>
    <w:rsid w:val="007F0DA6"/>
    <w:rsid w:val="007F0EED"/>
    <w:rsid w:val="007F2AD0"/>
    <w:rsid w:val="007F3594"/>
    <w:rsid w:val="007F5D3B"/>
    <w:rsid w:val="0080146F"/>
    <w:rsid w:val="0080248E"/>
    <w:rsid w:val="00803984"/>
    <w:rsid w:val="008044BA"/>
    <w:rsid w:val="0080486C"/>
    <w:rsid w:val="0080487D"/>
    <w:rsid w:val="00805BC6"/>
    <w:rsid w:val="00810679"/>
    <w:rsid w:val="00810BC3"/>
    <w:rsid w:val="00813748"/>
    <w:rsid w:val="00815BF7"/>
    <w:rsid w:val="008173F7"/>
    <w:rsid w:val="008258A0"/>
    <w:rsid w:val="008264E0"/>
    <w:rsid w:val="008305B9"/>
    <w:rsid w:val="0083077A"/>
    <w:rsid w:val="00831B38"/>
    <w:rsid w:val="00833891"/>
    <w:rsid w:val="00833BF8"/>
    <w:rsid w:val="00834C62"/>
    <w:rsid w:val="00834D0D"/>
    <w:rsid w:val="0083671B"/>
    <w:rsid w:val="008408CF"/>
    <w:rsid w:val="00841345"/>
    <w:rsid w:val="00841C6C"/>
    <w:rsid w:val="00842810"/>
    <w:rsid w:val="0084308E"/>
    <w:rsid w:val="0084488C"/>
    <w:rsid w:val="008452E8"/>
    <w:rsid w:val="008471EF"/>
    <w:rsid w:val="00847486"/>
    <w:rsid w:val="00850F0B"/>
    <w:rsid w:val="00853C62"/>
    <w:rsid w:val="008541E7"/>
    <w:rsid w:val="00855AA5"/>
    <w:rsid w:val="00855BF8"/>
    <w:rsid w:val="00856547"/>
    <w:rsid w:val="00860DF8"/>
    <w:rsid w:val="008631C3"/>
    <w:rsid w:val="00863481"/>
    <w:rsid w:val="0086349C"/>
    <w:rsid w:val="008649E2"/>
    <w:rsid w:val="0086797D"/>
    <w:rsid w:val="008714E9"/>
    <w:rsid w:val="0087661E"/>
    <w:rsid w:val="008772AA"/>
    <w:rsid w:val="00880A33"/>
    <w:rsid w:val="008829DF"/>
    <w:rsid w:val="00885F97"/>
    <w:rsid w:val="00886523"/>
    <w:rsid w:val="00886B42"/>
    <w:rsid w:val="008872BF"/>
    <w:rsid w:val="008924E8"/>
    <w:rsid w:val="008934B2"/>
    <w:rsid w:val="0089380F"/>
    <w:rsid w:val="008A005A"/>
    <w:rsid w:val="008A0157"/>
    <w:rsid w:val="008A1675"/>
    <w:rsid w:val="008A2B12"/>
    <w:rsid w:val="008A2D65"/>
    <w:rsid w:val="008B1C15"/>
    <w:rsid w:val="008B6A89"/>
    <w:rsid w:val="008B7267"/>
    <w:rsid w:val="008B7617"/>
    <w:rsid w:val="008C115C"/>
    <w:rsid w:val="008C3AA1"/>
    <w:rsid w:val="008C6535"/>
    <w:rsid w:val="008C6A5B"/>
    <w:rsid w:val="008D0871"/>
    <w:rsid w:val="008D3067"/>
    <w:rsid w:val="008D52F9"/>
    <w:rsid w:val="008D61FE"/>
    <w:rsid w:val="008D6425"/>
    <w:rsid w:val="008E2614"/>
    <w:rsid w:val="008E3AD6"/>
    <w:rsid w:val="008E4084"/>
    <w:rsid w:val="008E7827"/>
    <w:rsid w:val="008F49C0"/>
    <w:rsid w:val="00900897"/>
    <w:rsid w:val="00902573"/>
    <w:rsid w:val="00903AF5"/>
    <w:rsid w:val="0090426D"/>
    <w:rsid w:val="00904B0E"/>
    <w:rsid w:val="009051FC"/>
    <w:rsid w:val="00905D82"/>
    <w:rsid w:val="00905F6A"/>
    <w:rsid w:val="00911576"/>
    <w:rsid w:val="009142EF"/>
    <w:rsid w:val="009150FF"/>
    <w:rsid w:val="0091511A"/>
    <w:rsid w:val="0091541E"/>
    <w:rsid w:val="009164B0"/>
    <w:rsid w:val="00916A22"/>
    <w:rsid w:val="009174FD"/>
    <w:rsid w:val="00917939"/>
    <w:rsid w:val="00917CE9"/>
    <w:rsid w:val="00922AAB"/>
    <w:rsid w:val="00922FF2"/>
    <w:rsid w:val="00923E57"/>
    <w:rsid w:val="009250F4"/>
    <w:rsid w:val="009271CE"/>
    <w:rsid w:val="00930B85"/>
    <w:rsid w:val="00931050"/>
    <w:rsid w:val="00931515"/>
    <w:rsid w:val="00932138"/>
    <w:rsid w:val="009323B1"/>
    <w:rsid w:val="0093366A"/>
    <w:rsid w:val="00933960"/>
    <w:rsid w:val="00933C97"/>
    <w:rsid w:val="00936280"/>
    <w:rsid w:val="00937201"/>
    <w:rsid w:val="009411DF"/>
    <w:rsid w:val="00950664"/>
    <w:rsid w:val="00952DA3"/>
    <w:rsid w:val="009575CB"/>
    <w:rsid w:val="009577B0"/>
    <w:rsid w:val="0096150E"/>
    <w:rsid w:val="00963204"/>
    <w:rsid w:val="00963686"/>
    <w:rsid w:val="00963A96"/>
    <w:rsid w:val="00963BF4"/>
    <w:rsid w:val="009669B2"/>
    <w:rsid w:val="00970D4A"/>
    <w:rsid w:val="009713B4"/>
    <w:rsid w:val="00973168"/>
    <w:rsid w:val="0098219D"/>
    <w:rsid w:val="00982F8C"/>
    <w:rsid w:val="00983B34"/>
    <w:rsid w:val="00984D50"/>
    <w:rsid w:val="009873B3"/>
    <w:rsid w:val="00991F4B"/>
    <w:rsid w:val="00992C11"/>
    <w:rsid w:val="00994DF1"/>
    <w:rsid w:val="0099507A"/>
    <w:rsid w:val="00995530"/>
    <w:rsid w:val="0099668E"/>
    <w:rsid w:val="009968CE"/>
    <w:rsid w:val="009A4140"/>
    <w:rsid w:val="009A6A59"/>
    <w:rsid w:val="009A6D92"/>
    <w:rsid w:val="009A7B33"/>
    <w:rsid w:val="009B52B8"/>
    <w:rsid w:val="009B61CC"/>
    <w:rsid w:val="009B65C9"/>
    <w:rsid w:val="009B7BA9"/>
    <w:rsid w:val="009C0F12"/>
    <w:rsid w:val="009C11F1"/>
    <w:rsid w:val="009C13AC"/>
    <w:rsid w:val="009C1901"/>
    <w:rsid w:val="009C5DF3"/>
    <w:rsid w:val="009D0BBB"/>
    <w:rsid w:val="009D1920"/>
    <w:rsid w:val="009D333E"/>
    <w:rsid w:val="009E6703"/>
    <w:rsid w:val="009E7FED"/>
    <w:rsid w:val="009F0ADC"/>
    <w:rsid w:val="009F0D78"/>
    <w:rsid w:val="009F2F9C"/>
    <w:rsid w:val="009F509E"/>
    <w:rsid w:val="009F59ED"/>
    <w:rsid w:val="009F6CAA"/>
    <w:rsid w:val="009F7299"/>
    <w:rsid w:val="00A012F3"/>
    <w:rsid w:val="00A030A0"/>
    <w:rsid w:val="00A12157"/>
    <w:rsid w:val="00A13707"/>
    <w:rsid w:val="00A14409"/>
    <w:rsid w:val="00A156DF"/>
    <w:rsid w:val="00A17096"/>
    <w:rsid w:val="00A21245"/>
    <w:rsid w:val="00A21418"/>
    <w:rsid w:val="00A235F3"/>
    <w:rsid w:val="00A23815"/>
    <w:rsid w:val="00A246AB"/>
    <w:rsid w:val="00A27784"/>
    <w:rsid w:val="00A31358"/>
    <w:rsid w:val="00A31DA2"/>
    <w:rsid w:val="00A331DF"/>
    <w:rsid w:val="00A3450A"/>
    <w:rsid w:val="00A35A15"/>
    <w:rsid w:val="00A36C0A"/>
    <w:rsid w:val="00A4128D"/>
    <w:rsid w:val="00A41486"/>
    <w:rsid w:val="00A41BD6"/>
    <w:rsid w:val="00A45316"/>
    <w:rsid w:val="00A45498"/>
    <w:rsid w:val="00A51096"/>
    <w:rsid w:val="00A5153A"/>
    <w:rsid w:val="00A52066"/>
    <w:rsid w:val="00A52B78"/>
    <w:rsid w:val="00A54A64"/>
    <w:rsid w:val="00A55D7E"/>
    <w:rsid w:val="00A6379E"/>
    <w:rsid w:val="00A66A68"/>
    <w:rsid w:val="00A72A7F"/>
    <w:rsid w:val="00A72BA1"/>
    <w:rsid w:val="00A72FFD"/>
    <w:rsid w:val="00A77A8D"/>
    <w:rsid w:val="00A8063E"/>
    <w:rsid w:val="00A80AA2"/>
    <w:rsid w:val="00A813F4"/>
    <w:rsid w:val="00A81CFE"/>
    <w:rsid w:val="00A85B34"/>
    <w:rsid w:val="00A865C1"/>
    <w:rsid w:val="00A869E3"/>
    <w:rsid w:val="00A87B1C"/>
    <w:rsid w:val="00A91C99"/>
    <w:rsid w:val="00A92B3C"/>
    <w:rsid w:val="00A93026"/>
    <w:rsid w:val="00A9384E"/>
    <w:rsid w:val="00A93EC1"/>
    <w:rsid w:val="00A9672B"/>
    <w:rsid w:val="00A97A7D"/>
    <w:rsid w:val="00A97D27"/>
    <w:rsid w:val="00AA0E3A"/>
    <w:rsid w:val="00AA133D"/>
    <w:rsid w:val="00AA244E"/>
    <w:rsid w:val="00AA4714"/>
    <w:rsid w:val="00AA529A"/>
    <w:rsid w:val="00AA5657"/>
    <w:rsid w:val="00AB2421"/>
    <w:rsid w:val="00AB3ABB"/>
    <w:rsid w:val="00AB4A42"/>
    <w:rsid w:val="00AB630F"/>
    <w:rsid w:val="00AB6F89"/>
    <w:rsid w:val="00AC0252"/>
    <w:rsid w:val="00AC0319"/>
    <w:rsid w:val="00AC06A0"/>
    <w:rsid w:val="00AC248A"/>
    <w:rsid w:val="00AC3030"/>
    <w:rsid w:val="00AC3369"/>
    <w:rsid w:val="00AC3ADB"/>
    <w:rsid w:val="00AC717E"/>
    <w:rsid w:val="00AD04A5"/>
    <w:rsid w:val="00AD0B02"/>
    <w:rsid w:val="00AD0DB6"/>
    <w:rsid w:val="00AD2EEB"/>
    <w:rsid w:val="00AD54D0"/>
    <w:rsid w:val="00AD5EB5"/>
    <w:rsid w:val="00AD6737"/>
    <w:rsid w:val="00AE104A"/>
    <w:rsid w:val="00AE1D63"/>
    <w:rsid w:val="00AE3685"/>
    <w:rsid w:val="00AE7B80"/>
    <w:rsid w:val="00AF032B"/>
    <w:rsid w:val="00AF1961"/>
    <w:rsid w:val="00AF1BBF"/>
    <w:rsid w:val="00AF4127"/>
    <w:rsid w:val="00AF67CB"/>
    <w:rsid w:val="00B0027C"/>
    <w:rsid w:val="00B00977"/>
    <w:rsid w:val="00B035CF"/>
    <w:rsid w:val="00B0360C"/>
    <w:rsid w:val="00B0657E"/>
    <w:rsid w:val="00B07E04"/>
    <w:rsid w:val="00B10617"/>
    <w:rsid w:val="00B14194"/>
    <w:rsid w:val="00B14D25"/>
    <w:rsid w:val="00B25733"/>
    <w:rsid w:val="00B33CB2"/>
    <w:rsid w:val="00B377CC"/>
    <w:rsid w:val="00B41406"/>
    <w:rsid w:val="00B41819"/>
    <w:rsid w:val="00B42306"/>
    <w:rsid w:val="00B42A86"/>
    <w:rsid w:val="00B44F10"/>
    <w:rsid w:val="00B45329"/>
    <w:rsid w:val="00B45551"/>
    <w:rsid w:val="00B478DC"/>
    <w:rsid w:val="00B47CF5"/>
    <w:rsid w:val="00B50DD9"/>
    <w:rsid w:val="00B524C1"/>
    <w:rsid w:val="00B52931"/>
    <w:rsid w:val="00B52F00"/>
    <w:rsid w:val="00B54B8E"/>
    <w:rsid w:val="00B57001"/>
    <w:rsid w:val="00B604F1"/>
    <w:rsid w:val="00B60EE3"/>
    <w:rsid w:val="00B6214A"/>
    <w:rsid w:val="00B62712"/>
    <w:rsid w:val="00B63F1A"/>
    <w:rsid w:val="00B66C76"/>
    <w:rsid w:val="00B67B6B"/>
    <w:rsid w:val="00B67F1F"/>
    <w:rsid w:val="00B70F5A"/>
    <w:rsid w:val="00B73D8A"/>
    <w:rsid w:val="00B759C6"/>
    <w:rsid w:val="00B75C2A"/>
    <w:rsid w:val="00B76825"/>
    <w:rsid w:val="00B769AF"/>
    <w:rsid w:val="00B77BA0"/>
    <w:rsid w:val="00B81766"/>
    <w:rsid w:val="00B831DF"/>
    <w:rsid w:val="00B83CDD"/>
    <w:rsid w:val="00B83DA5"/>
    <w:rsid w:val="00B84BC4"/>
    <w:rsid w:val="00B853C7"/>
    <w:rsid w:val="00B8591E"/>
    <w:rsid w:val="00B85EDD"/>
    <w:rsid w:val="00B8798D"/>
    <w:rsid w:val="00B90B8E"/>
    <w:rsid w:val="00B92E1D"/>
    <w:rsid w:val="00B945BB"/>
    <w:rsid w:val="00B95302"/>
    <w:rsid w:val="00B97D25"/>
    <w:rsid w:val="00BA2DF1"/>
    <w:rsid w:val="00BA338C"/>
    <w:rsid w:val="00BA45CC"/>
    <w:rsid w:val="00BA576D"/>
    <w:rsid w:val="00BA5954"/>
    <w:rsid w:val="00BA6667"/>
    <w:rsid w:val="00BA7EBB"/>
    <w:rsid w:val="00BB0C7B"/>
    <w:rsid w:val="00BB1990"/>
    <w:rsid w:val="00BB1F4A"/>
    <w:rsid w:val="00BB3F55"/>
    <w:rsid w:val="00BB421E"/>
    <w:rsid w:val="00BB43A8"/>
    <w:rsid w:val="00BB5678"/>
    <w:rsid w:val="00BB73AC"/>
    <w:rsid w:val="00BC097D"/>
    <w:rsid w:val="00BC0BD7"/>
    <w:rsid w:val="00BC1273"/>
    <w:rsid w:val="00BC12EE"/>
    <w:rsid w:val="00BC1346"/>
    <w:rsid w:val="00BC14C2"/>
    <w:rsid w:val="00BC307D"/>
    <w:rsid w:val="00BC3F94"/>
    <w:rsid w:val="00BC7F45"/>
    <w:rsid w:val="00BD1B19"/>
    <w:rsid w:val="00BD3309"/>
    <w:rsid w:val="00BD3AD1"/>
    <w:rsid w:val="00BD43D5"/>
    <w:rsid w:val="00BD45F4"/>
    <w:rsid w:val="00BD67AE"/>
    <w:rsid w:val="00BE0590"/>
    <w:rsid w:val="00BE08E0"/>
    <w:rsid w:val="00BE129D"/>
    <w:rsid w:val="00BE14FA"/>
    <w:rsid w:val="00BE3481"/>
    <w:rsid w:val="00BE4A0F"/>
    <w:rsid w:val="00BE5263"/>
    <w:rsid w:val="00BE7048"/>
    <w:rsid w:val="00BF09DD"/>
    <w:rsid w:val="00BF3291"/>
    <w:rsid w:val="00BF47D8"/>
    <w:rsid w:val="00BF7762"/>
    <w:rsid w:val="00C00462"/>
    <w:rsid w:val="00C01A2B"/>
    <w:rsid w:val="00C0369C"/>
    <w:rsid w:val="00C040BF"/>
    <w:rsid w:val="00C0641D"/>
    <w:rsid w:val="00C069FE"/>
    <w:rsid w:val="00C079A1"/>
    <w:rsid w:val="00C11F87"/>
    <w:rsid w:val="00C146EB"/>
    <w:rsid w:val="00C1501A"/>
    <w:rsid w:val="00C203B4"/>
    <w:rsid w:val="00C23FBB"/>
    <w:rsid w:val="00C25656"/>
    <w:rsid w:val="00C25D4B"/>
    <w:rsid w:val="00C26CF7"/>
    <w:rsid w:val="00C31484"/>
    <w:rsid w:val="00C322CA"/>
    <w:rsid w:val="00C34E92"/>
    <w:rsid w:val="00C35BA5"/>
    <w:rsid w:val="00C37B88"/>
    <w:rsid w:val="00C37C57"/>
    <w:rsid w:val="00C40812"/>
    <w:rsid w:val="00C43A9D"/>
    <w:rsid w:val="00C44290"/>
    <w:rsid w:val="00C44E55"/>
    <w:rsid w:val="00C46278"/>
    <w:rsid w:val="00C50202"/>
    <w:rsid w:val="00C50457"/>
    <w:rsid w:val="00C50729"/>
    <w:rsid w:val="00C50B52"/>
    <w:rsid w:val="00C50CC8"/>
    <w:rsid w:val="00C50E3A"/>
    <w:rsid w:val="00C52E92"/>
    <w:rsid w:val="00C54520"/>
    <w:rsid w:val="00C62F42"/>
    <w:rsid w:val="00C63E04"/>
    <w:rsid w:val="00C63FC9"/>
    <w:rsid w:val="00C64E79"/>
    <w:rsid w:val="00C65DDF"/>
    <w:rsid w:val="00C66692"/>
    <w:rsid w:val="00C722BC"/>
    <w:rsid w:val="00C722E3"/>
    <w:rsid w:val="00C739C2"/>
    <w:rsid w:val="00C74E74"/>
    <w:rsid w:val="00C77306"/>
    <w:rsid w:val="00C805BF"/>
    <w:rsid w:val="00C8275E"/>
    <w:rsid w:val="00C905E0"/>
    <w:rsid w:val="00C90CF7"/>
    <w:rsid w:val="00C91590"/>
    <w:rsid w:val="00C92AB7"/>
    <w:rsid w:val="00C95EDE"/>
    <w:rsid w:val="00C9797B"/>
    <w:rsid w:val="00C97B60"/>
    <w:rsid w:val="00CA09AD"/>
    <w:rsid w:val="00CA2071"/>
    <w:rsid w:val="00CA5499"/>
    <w:rsid w:val="00CA77ED"/>
    <w:rsid w:val="00CB0BC9"/>
    <w:rsid w:val="00CB1179"/>
    <w:rsid w:val="00CB1C0C"/>
    <w:rsid w:val="00CB5E46"/>
    <w:rsid w:val="00CB6C28"/>
    <w:rsid w:val="00CB6C9F"/>
    <w:rsid w:val="00CB7B8D"/>
    <w:rsid w:val="00CB7DD1"/>
    <w:rsid w:val="00CC0988"/>
    <w:rsid w:val="00CC3082"/>
    <w:rsid w:val="00CC328E"/>
    <w:rsid w:val="00CC3391"/>
    <w:rsid w:val="00CC4DDC"/>
    <w:rsid w:val="00CC505E"/>
    <w:rsid w:val="00CC6F1D"/>
    <w:rsid w:val="00CD2975"/>
    <w:rsid w:val="00CD3546"/>
    <w:rsid w:val="00CD3A5E"/>
    <w:rsid w:val="00CD3B1E"/>
    <w:rsid w:val="00CD483B"/>
    <w:rsid w:val="00CD6272"/>
    <w:rsid w:val="00CD6DFC"/>
    <w:rsid w:val="00CD76DA"/>
    <w:rsid w:val="00CE0C47"/>
    <w:rsid w:val="00CE250F"/>
    <w:rsid w:val="00CE2586"/>
    <w:rsid w:val="00CE2FFE"/>
    <w:rsid w:val="00CE3D72"/>
    <w:rsid w:val="00CE4651"/>
    <w:rsid w:val="00CE674C"/>
    <w:rsid w:val="00CF2F8E"/>
    <w:rsid w:val="00CF34B3"/>
    <w:rsid w:val="00CF3AC4"/>
    <w:rsid w:val="00CF510D"/>
    <w:rsid w:val="00CF6AFC"/>
    <w:rsid w:val="00CF6CCB"/>
    <w:rsid w:val="00CF6F8F"/>
    <w:rsid w:val="00CF7E84"/>
    <w:rsid w:val="00D007BC"/>
    <w:rsid w:val="00D01906"/>
    <w:rsid w:val="00D022A9"/>
    <w:rsid w:val="00D03601"/>
    <w:rsid w:val="00D03CCF"/>
    <w:rsid w:val="00D05660"/>
    <w:rsid w:val="00D05E65"/>
    <w:rsid w:val="00D06F22"/>
    <w:rsid w:val="00D071A3"/>
    <w:rsid w:val="00D10746"/>
    <w:rsid w:val="00D1103B"/>
    <w:rsid w:val="00D13638"/>
    <w:rsid w:val="00D15FB8"/>
    <w:rsid w:val="00D16C8A"/>
    <w:rsid w:val="00D22215"/>
    <w:rsid w:val="00D227E6"/>
    <w:rsid w:val="00D30AB7"/>
    <w:rsid w:val="00D316AD"/>
    <w:rsid w:val="00D31BAC"/>
    <w:rsid w:val="00D32783"/>
    <w:rsid w:val="00D32BCD"/>
    <w:rsid w:val="00D332A1"/>
    <w:rsid w:val="00D33379"/>
    <w:rsid w:val="00D34119"/>
    <w:rsid w:val="00D3548E"/>
    <w:rsid w:val="00D36625"/>
    <w:rsid w:val="00D36EDC"/>
    <w:rsid w:val="00D40BB2"/>
    <w:rsid w:val="00D40FFB"/>
    <w:rsid w:val="00D410B4"/>
    <w:rsid w:val="00D42B3A"/>
    <w:rsid w:val="00D42B3E"/>
    <w:rsid w:val="00D43C0F"/>
    <w:rsid w:val="00D45086"/>
    <w:rsid w:val="00D45763"/>
    <w:rsid w:val="00D4635D"/>
    <w:rsid w:val="00D4787E"/>
    <w:rsid w:val="00D52F22"/>
    <w:rsid w:val="00D544C6"/>
    <w:rsid w:val="00D60580"/>
    <w:rsid w:val="00D6223C"/>
    <w:rsid w:val="00D748F5"/>
    <w:rsid w:val="00D76138"/>
    <w:rsid w:val="00D76E72"/>
    <w:rsid w:val="00D77630"/>
    <w:rsid w:val="00D801F5"/>
    <w:rsid w:val="00D81594"/>
    <w:rsid w:val="00D838CB"/>
    <w:rsid w:val="00D84D2F"/>
    <w:rsid w:val="00D850CD"/>
    <w:rsid w:val="00D8581F"/>
    <w:rsid w:val="00D9146E"/>
    <w:rsid w:val="00D91CF6"/>
    <w:rsid w:val="00D91E6C"/>
    <w:rsid w:val="00D92298"/>
    <w:rsid w:val="00D922FF"/>
    <w:rsid w:val="00D935B6"/>
    <w:rsid w:val="00D94AFB"/>
    <w:rsid w:val="00D95B61"/>
    <w:rsid w:val="00DA164B"/>
    <w:rsid w:val="00DA16D7"/>
    <w:rsid w:val="00DA36C7"/>
    <w:rsid w:val="00DA4421"/>
    <w:rsid w:val="00DA68D3"/>
    <w:rsid w:val="00DB018D"/>
    <w:rsid w:val="00DB0A1B"/>
    <w:rsid w:val="00DB3DCB"/>
    <w:rsid w:val="00DB51BE"/>
    <w:rsid w:val="00DB73DD"/>
    <w:rsid w:val="00DC214F"/>
    <w:rsid w:val="00DC2181"/>
    <w:rsid w:val="00DC22FD"/>
    <w:rsid w:val="00DC4032"/>
    <w:rsid w:val="00DC5C87"/>
    <w:rsid w:val="00DD15BF"/>
    <w:rsid w:val="00DD62FA"/>
    <w:rsid w:val="00DE220F"/>
    <w:rsid w:val="00DE2BB8"/>
    <w:rsid w:val="00DE4123"/>
    <w:rsid w:val="00DE5FE3"/>
    <w:rsid w:val="00DF3BEC"/>
    <w:rsid w:val="00DF4007"/>
    <w:rsid w:val="00DF5288"/>
    <w:rsid w:val="00DF5B45"/>
    <w:rsid w:val="00DF5F9E"/>
    <w:rsid w:val="00DF62FD"/>
    <w:rsid w:val="00DF7A77"/>
    <w:rsid w:val="00E00274"/>
    <w:rsid w:val="00E00532"/>
    <w:rsid w:val="00E01880"/>
    <w:rsid w:val="00E03891"/>
    <w:rsid w:val="00E05122"/>
    <w:rsid w:val="00E07E9E"/>
    <w:rsid w:val="00E12D88"/>
    <w:rsid w:val="00E14A45"/>
    <w:rsid w:val="00E15410"/>
    <w:rsid w:val="00E16377"/>
    <w:rsid w:val="00E17652"/>
    <w:rsid w:val="00E21029"/>
    <w:rsid w:val="00E2105A"/>
    <w:rsid w:val="00E22C6F"/>
    <w:rsid w:val="00E22FAD"/>
    <w:rsid w:val="00E23BAD"/>
    <w:rsid w:val="00E23F2B"/>
    <w:rsid w:val="00E24725"/>
    <w:rsid w:val="00E25104"/>
    <w:rsid w:val="00E25B4F"/>
    <w:rsid w:val="00E27005"/>
    <w:rsid w:val="00E27966"/>
    <w:rsid w:val="00E30926"/>
    <w:rsid w:val="00E31E6A"/>
    <w:rsid w:val="00E31EFB"/>
    <w:rsid w:val="00E3718F"/>
    <w:rsid w:val="00E37849"/>
    <w:rsid w:val="00E40521"/>
    <w:rsid w:val="00E42132"/>
    <w:rsid w:val="00E422CC"/>
    <w:rsid w:val="00E4388A"/>
    <w:rsid w:val="00E43D7F"/>
    <w:rsid w:val="00E4513E"/>
    <w:rsid w:val="00E452D8"/>
    <w:rsid w:val="00E4597E"/>
    <w:rsid w:val="00E4661F"/>
    <w:rsid w:val="00E51FC6"/>
    <w:rsid w:val="00E537FE"/>
    <w:rsid w:val="00E5390E"/>
    <w:rsid w:val="00E56E7B"/>
    <w:rsid w:val="00E61309"/>
    <w:rsid w:val="00E6326F"/>
    <w:rsid w:val="00E639C4"/>
    <w:rsid w:val="00E63AFD"/>
    <w:rsid w:val="00E63FF1"/>
    <w:rsid w:val="00E64186"/>
    <w:rsid w:val="00E65BF8"/>
    <w:rsid w:val="00E6792A"/>
    <w:rsid w:val="00E71327"/>
    <w:rsid w:val="00E7232C"/>
    <w:rsid w:val="00E74514"/>
    <w:rsid w:val="00E76BD4"/>
    <w:rsid w:val="00E80416"/>
    <w:rsid w:val="00E809F7"/>
    <w:rsid w:val="00E811A5"/>
    <w:rsid w:val="00E81473"/>
    <w:rsid w:val="00E81D0D"/>
    <w:rsid w:val="00E82985"/>
    <w:rsid w:val="00E8313F"/>
    <w:rsid w:val="00E840F0"/>
    <w:rsid w:val="00E85711"/>
    <w:rsid w:val="00E85C31"/>
    <w:rsid w:val="00E869AF"/>
    <w:rsid w:val="00E91AF1"/>
    <w:rsid w:val="00E91E4B"/>
    <w:rsid w:val="00E9247E"/>
    <w:rsid w:val="00E9358F"/>
    <w:rsid w:val="00E93709"/>
    <w:rsid w:val="00E93955"/>
    <w:rsid w:val="00E945AD"/>
    <w:rsid w:val="00E94B34"/>
    <w:rsid w:val="00E9533E"/>
    <w:rsid w:val="00E960AC"/>
    <w:rsid w:val="00E966EB"/>
    <w:rsid w:val="00E97005"/>
    <w:rsid w:val="00E9737D"/>
    <w:rsid w:val="00EA379F"/>
    <w:rsid w:val="00EA3F8F"/>
    <w:rsid w:val="00EA4E98"/>
    <w:rsid w:val="00EA6753"/>
    <w:rsid w:val="00EB08A4"/>
    <w:rsid w:val="00EB42A9"/>
    <w:rsid w:val="00EB4306"/>
    <w:rsid w:val="00EB5145"/>
    <w:rsid w:val="00EB5341"/>
    <w:rsid w:val="00EB6478"/>
    <w:rsid w:val="00EB77A6"/>
    <w:rsid w:val="00EC147A"/>
    <w:rsid w:val="00EC264A"/>
    <w:rsid w:val="00EC26A0"/>
    <w:rsid w:val="00EC2A14"/>
    <w:rsid w:val="00EC60EE"/>
    <w:rsid w:val="00EC7A22"/>
    <w:rsid w:val="00ED1059"/>
    <w:rsid w:val="00ED357D"/>
    <w:rsid w:val="00ED3CD6"/>
    <w:rsid w:val="00ED42AA"/>
    <w:rsid w:val="00ED4A8F"/>
    <w:rsid w:val="00ED53A3"/>
    <w:rsid w:val="00ED69AB"/>
    <w:rsid w:val="00ED78C0"/>
    <w:rsid w:val="00EE32D6"/>
    <w:rsid w:val="00EE497E"/>
    <w:rsid w:val="00EE49F1"/>
    <w:rsid w:val="00EE6FB0"/>
    <w:rsid w:val="00EF1AF1"/>
    <w:rsid w:val="00EF4168"/>
    <w:rsid w:val="00EF4F47"/>
    <w:rsid w:val="00EF5029"/>
    <w:rsid w:val="00EF564C"/>
    <w:rsid w:val="00EF5C1C"/>
    <w:rsid w:val="00EF64F1"/>
    <w:rsid w:val="00F0022E"/>
    <w:rsid w:val="00F00519"/>
    <w:rsid w:val="00F00DB5"/>
    <w:rsid w:val="00F0122E"/>
    <w:rsid w:val="00F02F08"/>
    <w:rsid w:val="00F079FB"/>
    <w:rsid w:val="00F11068"/>
    <w:rsid w:val="00F117B5"/>
    <w:rsid w:val="00F138CE"/>
    <w:rsid w:val="00F140FD"/>
    <w:rsid w:val="00F14FDA"/>
    <w:rsid w:val="00F15CFA"/>
    <w:rsid w:val="00F160AA"/>
    <w:rsid w:val="00F17881"/>
    <w:rsid w:val="00F21A44"/>
    <w:rsid w:val="00F21DAB"/>
    <w:rsid w:val="00F22993"/>
    <w:rsid w:val="00F22DB6"/>
    <w:rsid w:val="00F263E3"/>
    <w:rsid w:val="00F27A84"/>
    <w:rsid w:val="00F31622"/>
    <w:rsid w:val="00F31EE4"/>
    <w:rsid w:val="00F35DC6"/>
    <w:rsid w:val="00F36688"/>
    <w:rsid w:val="00F4029B"/>
    <w:rsid w:val="00F40C99"/>
    <w:rsid w:val="00F43380"/>
    <w:rsid w:val="00F44E56"/>
    <w:rsid w:val="00F45220"/>
    <w:rsid w:val="00F458A9"/>
    <w:rsid w:val="00F4706B"/>
    <w:rsid w:val="00F55F9A"/>
    <w:rsid w:val="00F56DA2"/>
    <w:rsid w:val="00F57148"/>
    <w:rsid w:val="00F57357"/>
    <w:rsid w:val="00F6283F"/>
    <w:rsid w:val="00F6335D"/>
    <w:rsid w:val="00F64AE4"/>
    <w:rsid w:val="00F660B3"/>
    <w:rsid w:val="00F6718F"/>
    <w:rsid w:val="00F70A70"/>
    <w:rsid w:val="00F73531"/>
    <w:rsid w:val="00F73A0E"/>
    <w:rsid w:val="00F73D75"/>
    <w:rsid w:val="00F74612"/>
    <w:rsid w:val="00F75851"/>
    <w:rsid w:val="00F76ABC"/>
    <w:rsid w:val="00F775E4"/>
    <w:rsid w:val="00F84601"/>
    <w:rsid w:val="00F84849"/>
    <w:rsid w:val="00F86446"/>
    <w:rsid w:val="00F9075D"/>
    <w:rsid w:val="00F94806"/>
    <w:rsid w:val="00FA05DC"/>
    <w:rsid w:val="00FA3854"/>
    <w:rsid w:val="00FA4750"/>
    <w:rsid w:val="00FA4C42"/>
    <w:rsid w:val="00FA5A43"/>
    <w:rsid w:val="00FB0038"/>
    <w:rsid w:val="00FB03D3"/>
    <w:rsid w:val="00FB1D20"/>
    <w:rsid w:val="00FB2F2C"/>
    <w:rsid w:val="00FB4597"/>
    <w:rsid w:val="00FC0F3F"/>
    <w:rsid w:val="00FC1733"/>
    <w:rsid w:val="00FC1801"/>
    <w:rsid w:val="00FC28D5"/>
    <w:rsid w:val="00FC33D5"/>
    <w:rsid w:val="00FC4942"/>
    <w:rsid w:val="00FD027D"/>
    <w:rsid w:val="00FD20FC"/>
    <w:rsid w:val="00FD46C3"/>
    <w:rsid w:val="00FD5397"/>
    <w:rsid w:val="00FD7404"/>
    <w:rsid w:val="00FE05E9"/>
    <w:rsid w:val="00FE0A62"/>
    <w:rsid w:val="00FE256D"/>
    <w:rsid w:val="00FE588B"/>
    <w:rsid w:val="00FE6F94"/>
    <w:rsid w:val="00FF1336"/>
    <w:rsid w:val="00FF19BA"/>
    <w:rsid w:val="00FF53D5"/>
    <w:rsid w:val="00FF6B0A"/>
    <w:rsid w:val="00FF72BD"/>
    <w:rsid w:val="00FF75E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2EC"/>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08270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08270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8270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8270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270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270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2707"/>
    <w:pPr>
      <w:spacing w:before="240" w:after="60"/>
      <w:outlineLvl w:val="6"/>
    </w:pPr>
  </w:style>
  <w:style w:type="paragraph" w:styleId="Heading8">
    <w:name w:val="heading 8"/>
    <w:basedOn w:val="Normal"/>
    <w:next w:val="Normal"/>
    <w:link w:val="Heading8Char"/>
    <w:uiPriority w:val="9"/>
    <w:semiHidden/>
    <w:unhideWhenUsed/>
    <w:qFormat/>
    <w:rsid w:val="00082707"/>
    <w:pPr>
      <w:spacing w:before="240" w:after="60"/>
      <w:outlineLvl w:val="7"/>
    </w:pPr>
    <w:rPr>
      <w:i/>
      <w:iCs/>
    </w:rPr>
  </w:style>
  <w:style w:type="paragraph" w:styleId="Heading9">
    <w:name w:val="heading 9"/>
    <w:basedOn w:val="Normal"/>
    <w:next w:val="Normal"/>
    <w:link w:val="Heading9Char"/>
    <w:uiPriority w:val="9"/>
    <w:semiHidden/>
    <w:unhideWhenUsed/>
    <w:qFormat/>
    <w:rsid w:val="0008270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0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270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8270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82707"/>
    <w:rPr>
      <w:b/>
      <w:bCs/>
      <w:sz w:val="28"/>
      <w:szCs w:val="28"/>
    </w:rPr>
  </w:style>
  <w:style w:type="character" w:customStyle="1" w:styleId="Heading5Char">
    <w:name w:val="Heading 5 Char"/>
    <w:basedOn w:val="DefaultParagraphFont"/>
    <w:link w:val="Heading5"/>
    <w:uiPriority w:val="9"/>
    <w:semiHidden/>
    <w:rsid w:val="00082707"/>
    <w:rPr>
      <w:b/>
      <w:bCs/>
      <w:i/>
      <w:iCs/>
      <w:sz w:val="26"/>
      <w:szCs w:val="26"/>
    </w:rPr>
  </w:style>
  <w:style w:type="character" w:customStyle="1" w:styleId="Heading6Char">
    <w:name w:val="Heading 6 Char"/>
    <w:basedOn w:val="DefaultParagraphFont"/>
    <w:link w:val="Heading6"/>
    <w:uiPriority w:val="9"/>
    <w:semiHidden/>
    <w:rsid w:val="00082707"/>
    <w:rPr>
      <w:b/>
      <w:bCs/>
    </w:rPr>
  </w:style>
  <w:style w:type="character" w:customStyle="1" w:styleId="Heading7Char">
    <w:name w:val="Heading 7 Char"/>
    <w:basedOn w:val="DefaultParagraphFont"/>
    <w:link w:val="Heading7"/>
    <w:uiPriority w:val="9"/>
    <w:semiHidden/>
    <w:rsid w:val="00082707"/>
    <w:rPr>
      <w:sz w:val="24"/>
      <w:szCs w:val="24"/>
    </w:rPr>
  </w:style>
  <w:style w:type="character" w:customStyle="1" w:styleId="Heading8Char">
    <w:name w:val="Heading 8 Char"/>
    <w:basedOn w:val="DefaultParagraphFont"/>
    <w:link w:val="Heading8"/>
    <w:uiPriority w:val="9"/>
    <w:semiHidden/>
    <w:rsid w:val="00082707"/>
    <w:rPr>
      <w:i/>
      <w:iCs/>
      <w:sz w:val="24"/>
      <w:szCs w:val="24"/>
    </w:rPr>
  </w:style>
  <w:style w:type="character" w:customStyle="1" w:styleId="Heading9Char">
    <w:name w:val="Heading 9 Char"/>
    <w:basedOn w:val="DefaultParagraphFont"/>
    <w:link w:val="Heading9"/>
    <w:uiPriority w:val="9"/>
    <w:semiHidden/>
    <w:rsid w:val="00082707"/>
    <w:rPr>
      <w:rFonts w:asciiTheme="majorHAnsi" w:eastAsiaTheme="majorEastAsia" w:hAnsiTheme="majorHAnsi"/>
    </w:rPr>
  </w:style>
  <w:style w:type="paragraph" w:styleId="Title">
    <w:name w:val="Title"/>
    <w:basedOn w:val="Normal"/>
    <w:next w:val="Normal"/>
    <w:link w:val="TitleChar"/>
    <w:qFormat/>
    <w:rsid w:val="0008270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8270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270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2707"/>
    <w:rPr>
      <w:rFonts w:asciiTheme="majorHAnsi" w:eastAsiaTheme="majorEastAsia" w:hAnsiTheme="majorHAnsi"/>
      <w:sz w:val="24"/>
      <w:szCs w:val="24"/>
    </w:rPr>
  </w:style>
  <w:style w:type="character" w:styleId="Strong">
    <w:name w:val="Strong"/>
    <w:basedOn w:val="DefaultParagraphFont"/>
    <w:uiPriority w:val="22"/>
    <w:qFormat/>
    <w:rsid w:val="00082707"/>
    <w:rPr>
      <w:b/>
      <w:bCs/>
    </w:rPr>
  </w:style>
  <w:style w:type="character" w:styleId="Emphasis">
    <w:name w:val="Emphasis"/>
    <w:basedOn w:val="DefaultParagraphFont"/>
    <w:uiPriority w:val="20"/>
    <w:qFormat/>
    <w:rsid w:val="00082707"/>
    <w:rPr>
      <w:rFonts w:asciiTheme="minorHAnsi" w:hAnsiTheme="minorHAnsi"/>
      <w:b/>
      <w:i/>
      <w:iCs/>
    </w:rPr>
  </w:style>
  <w:style w:type="paragraph" w:styleId="NoSpacing">
    <w:name w:val="No Spacing"/>
    <w:basedOn w:val="Normal"/>
    <w:uiPriority w:val="1"/>
    <w:qFormat/>
    <w:rsid w:val="00082707"/>
    <w:rPr>
      <w:szCs w:val="32"/>
    </w:rPr>
  </w:style>
  <w:style w:type="paragraph" w:styleId="ListParagraph">
    <w:name w:val="List Paragraph"/>
    <w:basedOn w:val="Normal"/>
    <w:uiPriority w:val="34"/>
    <w:qFormat/>
    <w:rsid w:val="00082707"/>
    <w:pPr>
      <w:ind w:left="720"/>
      <w:contextualSpacing/>
    </w:pPr>
  </w:style>
  <w:style w:type="paragraph" w:styleId="Quote">
    <w:name w:val="Quote"/>
    <w:basedOn w:val="Normal"/>
    <w:next w:val="Normal"/>
    <w:link w:val="QuoteChar"/>
    <w:uiPriority w:val="29"/>
    <w:qFormat/>
    <w:rsid w:val="00082707"/>
    <w:rPr>
      <w:i/>
    </w:rPr>
  </w:style>
  <w:style w:type="character" w:customStyle="1" w:styleId="QuoteChar">
    <w:name w:val="Quote Char"/>
    <w:basedOn w:val="DefaultParagraphFont"/>
    <w:link w:val="Quote"/>
    <w:uiPriority w:val="29"/>
    <w:rsid w:val="00082707"/>
    <w:rPr>
      <w:i/>
      <w:sz w:val="24"/>
      <w:szCs w:val="24"/>
    </w:rPr>
  </w:style>
  <w:style w:type="paragraph" w:styleId="IntenseQuote">
    <w:name w:val="Intense Quote"/>
    <w:basedOn w:val="Normal"/>
    <w:next w:val="Normal"/>
    <w:link w:val="IntenseQuoteChar"/>
    <w:uiPriority w:val="30"/>
    <w:qFormat/>
    <w:rsid w:val="00082707"/>
    <w:pPr>
      <w:ind w:left="720" w:right="720"/>
    </w:pPr>
    <w:rPr>
      <w:b/>
      <w:i/>
      <w:szCs w:val="22"/>
    </w:rPr>
  </w:style>
  <w:style w:type="character" w:customStyle="1" w:styleId="IntenseQuoteChar">
    <w:name w:val="Intense Quote Char"/>
    <w:basedOn w:val="DefaultParagraphFont"/>
    <w:link w:val="IntenseQuote"/>
    <w:uiPriority w:val="30"/>
    <w:rsid w:val="00082707"/>
    <w:rPr>
      <w:b/>
      <w:i/>
      <w:sz w:val="24"/>
    </w:rPr>
  </w:style>
  <w:style w:type="character" w:styleId="SubtleEmphasis">
    <w:name w:val="Subtle Emphasis"/>
    <w:uiPriority w:val="19"/>
    <w:qFormat/>
    <w:rsid w:val="00082707"/>
    <w:rPr>
      <w:i/>
      <w:color w:val="5A5A5A" w:themeColor="text1" w:themeTint="A5"/>
    </w:rPr>
  </w:style>
  <w:style w:type="character" w:styleId="IntenseEmphasis">
    <w:name w:val="Intense Emphasis"/>
    <w:basedOn w:val="DefaultParagraphFont"/>
    <w:uiPriority w:val="21"/>
    <w:qFormat/>
    <w:rsid w:val="00082707"/>
    <w:rPr>
      <w:b/>
      <w:i/>
      <w:sz w:val="24"/>
      <w:szCs w:val="24"/>
      <w:u w:val="single"/>
    </w:rPr>
  </w:style>
  <w:style w:type="character" w:styleId="SubtleReference">
    <w:name w:val="Subtle Reference"/>
    <w:basedOn w:val="DefaultParagraphFont"/>
    <w:uiPriority w:val="31"/>
    <w:qFormat/>
    <w:rsid w:val="00082707"/>
    <w:rPr>
      <w:sz w:val="24"/>
      <w:szCs w:val="24"/>
      <w:u w:val="single"/>
    </w:rPr>
  </w:style>
  <w:style w:type="character" w:styleId="IntenseReference">
    <w:name w:val="Intense Reference"/>
    <w:basedOn w:val="DefaultParagraphFont"/>
    <w:uiPriority w:val="32"/>
    <w:qFormat/>
    <w:rsid w:val="00082707"/>
    <w:rPr>
      <w:b/>
      <w:sz w:val="24"/>
      <w:u w:val="single"/>
    </w:rPr>
  </w:style>
  <w:style w:type="character" w:styleId="BookTitle">
    <w:name w:val="Book Title"/>
    <w:basedOn w:val="DefaultParagraphFont"/>
    <w:uiPriority w:val="33"/>
    <w:qFormat/>
    <w:rsid w:val="0008270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2707"/>
    <w:pPr>
      <w:outlineLvl w:val="9"/>
    </w:pPr>
  </w:style>
  <w:style w:type="character" w:customStyle="1" w:styleId="apple-style-span">
    <w:name w:val="apple-style-span"/>
    <w:basedOn w:val="DefaultParagraphFont"/>
    <w:rsid w:val="00754494"/>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nhideWhenUsed/>
    <w:qFormat/>
    <w:rsid w:val="00B67F1F"/>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rsid w:val="00B67F1F"/>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nhideWhenUsed/>
    <w:rsid w:val="00B67F1F"/>
    <w:rPr>
      <w:vertAlign w:val="superscript"/>
    </w:rPr>
  </w:style>
  <w:style w:type="character" w:styleId="CommentReference">
    <w:name w:val="annotation reference"/>
    <w:basedOn w:val="DefaultParagraphFont"/>
    <w:uiPriority w:val="99"/>
    <w:semiHidden/>
    <w:unhideWhenUsed/>
    <w:rsid w:val="005C7573"/>
    <w:rPr>
      <w:sz w:val="16"/>
      <w:szCs w:val="16"/>
    </w:rPr>
  </w:style>
  <w:style w:type="paragraph" w:styleId="CommentText">
    <w:name w:val="annotation text"/>
    <w:basedOn w:val="Normal"/>
    <w:link w:val="CommentTextChar"/>
    <w:uiPriority w:val="99"/>
    <w:semiHidden/>
    <w:unhideWhenUsed/>
    <w:rsid w:val="005C7573"/>
    <w:rPr>
      <w:sz w:val="20"/>
      <w:szCs w:val="20"/>
    </w:rPr>
  </w:style>
  <w:style w:type="character" w:customStyle="1" w:styleId="CommentTextChar">
    <w:name w:val="Comment Text Char"/>
    <w:basedOn w:val="DefaultParagraphFont"/>
    <w:link w:val="CommentText"/>
    <w:uiPriority w:val="99"/>
    <w:semiHidden/>
    <w:rsid w:val="005C7573"/>
    <w:rPr>
      <w:sz w:val="20"/>
      <w:szCs w:val="20"/>
    </w:rPr>
  </w:style>
  <w:style w:type="paragraph" w:styleId="CommentSubject">
    <w:name w:val="annotation subject"/>
    <w:basedOn w:val="CommentText"/>
    <w:next w:val="CommentText"/>
    <w:link w:val="CommentSubjectChar"/>
    <w:uiPriority w:val="99"/>
    <w:semiHidden/>
    <w:unhideWhenUsed/>
    <w:rsid w:val="005C7573"/>
    <w:rPr>
      <w:b/>
      <w:bCs/>
    </w:rPr>
  </w:style>
  <w:style w:type="character" w:customStyle="1" w:styleId="CommentSubjectChar">
    <w:name w:val="Comment Subject Char"/>
    <w:basedOn w:val="CommentTextChar"/>
    <w:link w:val="CommentSubject"/>
    <w:uiPriority w:val="99"/>
    <w:semiHidden/>
    <w:rsid w:val="005C7573"/>
    <w:rPr>
      <w:b/>
      <w:bCs/>
      <w:sz w:val="20"/>
      <w:szCs w:val="20"/>
    </w:rPr>
  </w:style>
  <w:style w:type="paragraph" w:styleId="BalloonText">
    <w:name w:val="Balloon Text"/>
    <w:basedOn w:val="Normal"/>
    <w:link w:val="BalloonTextChar"/>
    <w:uiPriority w:val="99"/>
    <w:semiHidden/>
    <w:unhideWhenUsed/>
    <w:rsid w:val="005C7573"/>
    <w:rPr>
      <w:rFonts w:ascii="Tahoma" w:hAnsi="Tahoma" w:cs="Tahoma"/>
      <w:sz w:val="16"/>
      <w:szCs w:val="16"/>
    </w:rPr>
  </w:style>
  <w:style w:type="character" w:customStyle="1" w:styleId="BalloonTextChar">
    <w:name w:val="Balloon Text Char"/>
    <w:basedOn w:val="DefaultParagraphFont"/>
    <w:link w:val="BalloonText"/>
    <w:uiPriority w:val="99"/>
    <w:semiHidden/>
    <w:rsid w:val="005C7573"/>
    <w:rPr>
      <w:rFonts w:ascii="Tahoma" w:hAnsi="Tahoma" w:cs="Tahoma"/>
      <w:sz w:val="16"/>
      <w:szCs w:val="16"/>
    </w:rPr>
  </w:style>
  <w:style w:type="paragraph" w:styleId="Footer">
    <w:name w:val="footer"/>
    <w:basedOn w:val="Normal"/>
    <w:link w:val="FooterChar"/>
    <w:uiPriority w:val="99"/>
    <w:rsid w:val="00064C57"/>
    <w:pPr>
      <w:tabs>
        <w:tab w:val="center" w:pos="4153"/>
        <w:tab w:val="right" w:pos="8306"/>
      </w:tabs>
    </w:pPr>
    <w:rPr>
      <w:rFonts w:eastAsia="Times New Roman"/>
      <w:szCs w:val="20"/>
      <w:lang w:val="en-GB" w:eastAsia="en-NZ" w:bidi="ar-SA"/>
    </w:rPr>
  </w:style>
  <w:style w:type="character" w:customStyle="1" w:styleId="FooterChar">
    <w:name w:val="Footer Char"/>
    <w:basedOn w:val="DefaultParagraphFont"/>
    <w:link w:val="Footer"/>
    <w:uiPriority w:val="99"/>
    <w:rsid w:val="00064C57"/>
    <w:rPr>
      <w:rFonts w:ascii="Times New Roman" w:eastAsia="Times New Roman" w:hAnsi="Times New Roman"/>
      <w:sz w:val="24"/>
      <w:szCs w:val="20"/>
      <w:lang w:val="en-GB" w:eastAsia="en-NZ" w:bidi="ar-SA"/>
    </w:rPr>
  </w:style>
  <w:style w:type="paragraph" w:styleId="BodyTextIndent">
    <w:name w:val="Body Text Indent"/>
    <w:basedOn w:val="Normal"/>
    <w:link w:val="BodyTextIndentChar"/>
    <w:semiHidden/>
    <w:rsid w:val="005119C4"/>
    <w:pPr>
      <w:ind w:left="450" w:hanging="450"/>
    </w:pPr>
    <w:rPr>
      <w:rFonts w:eastAsia="Times New Roman"/>
      <w:sz w:val="22"/>
      <w:szCs w:val="20"/>
      <w:lang w:bidi="ar-SA"/>
    </w:rPr>
  </w:style>
  <w:style w:type="character" w:customStyle="1" w:styleId="BodyTextIndentChar">
    <w:name w:val="Body Text Indent Char"/>
    <w:basedOn w:val="DefaultParagraphFont"/>
    <w:link w:val="BodyTextIndent"/>
    <w:semiHidden/>
    <w:rsid w:val="005119C4"/>
    <w:rPr>
      <w:rFonts w:ascii="Times New Roman" w:eastAsia="Times New Roman" w:hAnsi="Times New Roman"/>
      <w:szCs w:val="20"/>
      <w:lang w:bidi="ar-SA"/>
    </w:rPr>
  </w:style>
  <w:style w:type="paragraph" w:styleId="NormalWeb">
    <w:name w:val="Normal (Web)"/>
    <w:basedOn w:val="Normal"/>
    <w:uiPriority w:val="99"/>
    <w:rsid w:val="00153308"/>
    <w:pPr>
      <w:spacing w:after="90" w:line="240" w:lineRule="atLeast"/>
      <w:ind w:left="30" w:right="150"/>
    </w:pPr>
    <w:rPr>
      <w:rFonts w:ascii="Arial" w:eastAsia="Arial Unicode MS" w:hAnsi="Arial" w:cs="Arial"/>
      <w:color w:val="333333"/>
      <w:sz w:val="20"/>
      <w:szCs w:val="20"/>
      <w:lang w:bidi="ar-SA"/>
    </w:rPr>
  </w:style>
  <w:style w:type="paragraph" w:styleId="Header">
    <w:name w:val="header"/>
    <w:basedOn w:val="Normal"/>
    <w:link w:val="HeaderChar"/>
    <w:uiPriority w:val="99"/>
    <w:unhideWhenUsed/>
    <w:rsid w:val="000B5E1B"/>
    <w:pPr>
      <w:tabs>
        <w:tab w:val="center" w:pos="4513"/>
        <w:tab w:val="right" w:pos="9026"/>
      </w:tabs>
    </w:pPr>
  </w:style>
  <w:style w:type="character" w:customStyle="1" w:styleId="HeaderChar">
    <w:name w:val="Header Char"/>
    <w:basedOn w:val="DefaultParagraphFont"/>
    <w:link w:val="Header"/>
    <w:uiPriority w:val="99"/>
    <w:rsid w:val="000B5E1B"/>
    <w:rPr>
      <w:rFonts w:ascii="Times New Roman" w:hAnsi="Times New Roman"/>
      <w:sz w:val="24"/>
      <w:szCs w:val="24"/>
    </w:rPr>
  </w:style>
  <w:style w:type="paragraph" w:styleId="Revision">
    <w:name w:val="Revision"/>
    <w:hidden/>
    <w:uiPriority w:val="99"/>
    <w:semiHidden/>
    <w:rsid w:val="00BA576D"/>
    <w:pPr>
      <w:spacing w:after="0" w:line="240" w:lineRule="auto"/>
    </w:pPr>
    <w:rPr>
      <w:rFonts w:ascii="Times New Roman" w:hAnsi="Times New Roman"/>
      <w:sz w:val="24"/>
      <w:szCs w:val="24"/>
    </w:rPr>
  </w:style>
  <w:style w:type="character" w:customStyle="1" w:styleId="apple-converted-space">
    <w:name w:val="apple-converted-space"/>
    <w:basedOn w:val="DefaultParagraphFont"/>
    <w:rsid w:val="003A7B81"/>
  </w:style>
  <w:style w:type="character" w:styleId="Hyperlink">
    <w:name w:val="Hyperlink"/>
    <w:basedOn w:val="DefaultParagraphFont"/>
    <w:rsid w:val="007603C6"/>
    <w:rPr>
      <w:color w:val="0000FF"/>
      <w:u w:val="single"/>
    </w:rPr>
  </w:style>
  <w:style w:type="character" w:styleId="PageNumber">
    <w:name w:val="page number"/>
    <w:basedOn w:val="DefaultParagraphFont"/>
    <w:rsid w:val="007603C6"/>
  </w:style>
  <w:style w:type="paragraph" w:customStyle="1" w:styleId="Default">
    <w:name w:val="Default"/>
    <w:rsid w:val="00E22C6F"/>
    <w:pPr>
      <w:autoSpaceDE w:val="0"/>
      <w:autoSpaceDN w:val="0"/>
      <w:adjustRightInd w:val="0"/>
      <w:spacing w:after="0" w:line="240" w:lineRule="auto"/>
    </w:pPr>
    <w:rPr>
      <w:rFonts w:ascii="Cambria" w:eastAsia="Calibri" w:hAnsi="Cambria" w:cs="Cambria"/>
      <w:color w:val="000000"/>
      <w:sz w:val="24"/>
      <w:szCs w:val="24"/>
      <w:lang w:val="en-NZ" w:eastAsia="en-NZ" w:bidi="ar-SA"/>
    </w:rPr>
  </w:style>
  <w:style w:type="table" w:styleId="TableGrid">
    <w:name w:val="Table Grid"/>
    <w:basedOn w:val="TableNormal"/>
    <w:uiPriority w:val="39"/>
    <w:rsid w:val="007F35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BB1F4A"/>
    <w:pPr>
      <w:jc w:val="left"/>
    </w:pPr>
    <w:rPr>
      <w:rFonts w:ascii="Consolas" w:hAnsi="Consolas" w:cs="Consolas"/>
      <w:sz w:val="21"/>
      <w:szCs w:val="21"/>
      <w:lang w:val="en-NZ" w:bidi="ar-SA"/>
    </w:rPr>
  </w:style>
  <w:style w:type="character" w:customStyle="1" w:styleId="PlainTextChar">
    <w:name w:val="Plain Text Char"/>
    <w:basedOn w:val="DefaultParagraphFont"/>
    <w:link w:val="PlainText"/>
    <w:uiPriority w:val="99"/>
    <w:rsid w:val="00BB1F4A"/>
    <w:rPr>
      <w:rFonts w:ascii="Consolas" w:hAnsi="Consolas" w:cs="Consolas"/>
      <w:sz w:val="21"/>
      <w:szCs w:val="21"/>
      <w:lang w:val="en-NZ" w:bidi="ar-SA"/>
    </w:rPr>
  </w:style>
  <w:style w:type="paragraph" w:styleId="EndnoteText">
    <w:name w:val="endnote text"/>
    <w:basedOn w:val="Normal"/>
    <w:link w:val="EndnoteTextChar"/>
    <w:uiPriority w:val="99"/>
    <w:semiHidden/>
    <w:unhideWhenUsed/>
    <w:rsid w:val="0074301D"/>
    <w:rPr>
      <w:sz w:val="20"/>
      <w:szCs w:val="20"/>
    </w:rPr>
  </w:style>
  <w:style w:type="character" w:customStyle="1" w:styleId="EndnoteTextChar">
    <w:name w:val="Endnote Text Char"/>
    <w:basedOn w:val="DefaultParagraphFont"/>
    <w:link w:val="EndnoteText"/>
    <w:uiPriority w:val="99"/>
    <w:semiHidden/>
    <w:rsid w:val="0074301D"/>
    <w:rPr>
      <w:rFonts w:ascii="Times New Roman" w:hAnsi="Times New Roman"/>
      <w:sz w:val="20"/>
      <w:szCs w:val="20"/>
    </w:rPr>
  </w:style>
  <w:style w:type="character" w:styleId="EndnoteReference">
    <w:name w:val="endnote reference"/>
    <w:basedOn w:val="DefaultParagraphFont"/>
    <w:uiPriority w:val="99"/>
    <w:semiHidden/>
    <w:unhideWhenUsed/>
    <w:rsid w:val="0074301D"/>
    <w:rPr>
      <w:vertAlign w:val="superscript"/>
    </w:rPr>
  </w:style>
  <w:style w:type="character" w:styleId="PlaceholderText">
    <w:name w:val="Placeholder Text"/>
    <w:basedOn w:val="DefaultParagraphFont"/>
    <w:uiPriority w:val="99"/>
    <w:semiHidden/>
    <w:rsid w:val="001B5BBC"/>
    <w:rPr>
      <w:color w:val="808080"/>
    </w:rPr>
  </w:style>
  <w:style w:type="paragraph" w:customStyle="1" w:styleId="CM1">
    <w:name w:val="CM1"/>
    <w:basedOn w:val="Default"/>
    <w:next w:val="Default"/>
    <w:rsid w:val="007660A6"/>
    <w:pPr>
      <w:widowControl w:val="0"/>
      <w:spacing w:line="323" w:lineRule="atLeast"/>
    </w:pPr>
    <w:rPr>
      <w:rFonts w:ascii="Times New Roman" w:eastAsia="Times New Roman" w:hAnsi="Times New Roman" w:cs="Times New Roman"/>
      <w:color w:val="auto"/>
      <w:lang w:val="en-US" w:eastAsia="en-US"/>
    </w:rPr>
  </w:style>
  <w:style w:type="paragraph" w:customStyle="1" w:styleId="CM20">
    <w:name w:val="CM20"/>
    <w:basedOn w:val="Default"/>
    <w:next w:val="Default"/>
    <w:rsid w:val="007660A6"/>
    <w:pPr>
      <w:widowControl w:val="0"/>
      <w:spacing w:after="1503"/>
    </w:pPr>
    <w:rPr>
      <w:rFonts w:ascii="Times New Roman" w:eastAsia="Times New Roman" w:hAnsi="Times New Roman" w:cs="Times New Roman"/>
      <w:color w:val="auto"/>
      <w:lang w:val="en-US" w:eastAsia="en-US"/>
    </w:rPr>
  </w:style>
  <w:style w:type="paragraph" w:customStyle="1" w:styleId="CM3">
    <w:name w:val="CM3"/>
    <w:basedOn w:val="Default"/>
    <w:next w:val="Default"/>
    <w:rsid w:val="007660A6"/>
    <w:pPr>
      <w:widowControl w:val="0"/>
    </w:pPr>
    <w:rPr>
      <w:rFonts w:ascii="Times New Roman" w:eastAsia="Times New Roman" w:hAnsi="Times New Roman" w:cs="Times New Roman"/>
      <w:color w:val="auto"/>
      <w:lang w:val="en-US" w:eastAsia="en-US"/>
    </w:rPr>
  </w:style>
  <w:style w:type="paragraph" w:customStyle="1" w:styleId="CM21">
    <w:name w:val="CM21"/>
    <w:basedOn w:val="Default"/>
    <w:next w:val="Default"/>
    <w:rsid w:val="007660A6"/>
    <w:pPr>
      <w:widowControl w:val="0"/>
      <w:spacing w:after="513"/>
    </w:pPr>
    <w:rPr>
      <w:rFonts w:ascii="Times New Roman" w:eastAsia="Times New Roman" w:hAnsi="Times New Roman" w:cs="Times New Roman"/>
      <w:color w:val="auto"/>
      <w:lang w:val="en-US" w:eastAsia="en-US"/>
    </w:rPr>
  </w:style>
  <w:style w:type="paragraph" w:customStyle="1" w:styleId="CM22">
    <w:name w:val="CM22"/>
    <w:basedOn w:val="Default"/>
    <w:next w:val="Default"/>
    <w:rsid w:val="007660A6"/>
    <w:pPr>
      <w:widowControl w:val="0"/>
      <w:spacing w:after="65"/>
    </w:pPr>
    <w:rPr>
      <w:rFonts w:ascii="Times New Roman" w:eastAsia="Times New Roman" w:hAnsi="Times New Roman" w:cs="Times New Roman"/>
      <w:color w:val="auto"/>
      <w:lang w:val="en-US" w:eastAsia="en-US"/>
    </w:rPr>
  </w:style>
  <w:style w:type="paragraph" w:customStyle="1" w:styleId="CM4">
    <w:name w:val="CM4"/>
    <w:basedOn w:val="Default"/>
    <w:next w:val="Default"/>
    <w:rsid w:val="007660A6"/>
    <w:pPr>
      <w:widowControl w:val="0"/>
      <w:spacing w:line="253" w:lineRule="atLeast"/>
    </w:pPr>
    <w:rPr>
      <w:rFonts w:ascii="Times New Roman" w:eastAsia="Times New Roman" w:hAnsi="Times New Roman" w:cs="Times New Roman"/>
      <w:color w:val="auto"/>
      <w:lang w:val="en-US" w:eastAsia="en-US"/>
    </w:rPr>
  </w:style>
  <w:style w:type="paragraph" w:customStyle="1" w:styleId="CM23">
    <w:name w:val="CM23"/>
    <w:basedOn w:val="Default"/>
    <w:next w:val="Default"/>
    <w:rsid w:val="007660A6"/>
    <w:pPr>
      <w:widowControl w:val="0"/>
      <w:spacing w:after="233"/>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2EC"/>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08270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08270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8270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8270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270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270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2707"/>
    <w:pPr>
      <w:spacing w:before="240" w:after="60"/>
      <w:outlineLvl w:val="6"/>
    </w:pPr>
  </w:style>
  <w:style w:type="paragraph" w:styleId="Heading8">
    <w:name w:val="heading 8"/>
    <w:basedOn w:val="Normal"/>
    <w:next w:val="Normal"/>
    <w:link w:val="Heading8Char"/>
    <w:uiPriority w:val="9"/>
    <w:semiHidden/>
    <w:unhideWhenUsed/>
    <w:qFormat/>
    <w:rsid w:val="00082707"/>
    <w:pPr>
      <w:spacing w:before="240" w:after="60"/>
      <w:outlineLvl w:val="7"/>
    </w:pPr>
    <w:rPr>
      <w:i/>
      <w:iCs/>
    </w:rPr>
  </w:style>
  <w:style w:type="paragraph" w:styleId="Heading9">
    <w:name w:val="heading 9"/>
    <w:basedOn w:val="Normal"/>
    <w:next w:val="Normal"/>
    <w:link w:val="Heading9Char"/>
    <w:uiPriority w:val="9"/>
    <w:semiHidden/>
    <w:unhideWhenUsed/>
    <w:qFormat/>
    <w:rsid w:val="0008270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0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270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8270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82707"/>
    <w:rPr>
      <w:b/>
      <w:bCs/>
      <w:sz w:val="28"/>
      <w:szCs w:val="28"/>
    </w:rPr>
  </w:style>
  <w:style w:type="character" w:customStyle="1" w:styleId="Heading5Char">
    <w:name w:val="Heading 5 Char"/>
    <w:basedOn w:val="DefaultParagraphFont"/>
    <w:link w:val="Heading5"/>
    <w:uiPriority w:val="9"/>
    <w:semiHidden/>
    <w:rsid w:val="00082707"/>
    <w:rPr>
      <w:b/>
      <w:bCs/>
      <w:i/>
      <w:iCs/>
      <w:sz w:val="26"/>
      <w:szCs w:val="26"/>
    </w:rPr>
  </w:style>
  <w:style w:type="character" w:customStyle="1" w:styleId="Heading6Char">
    <w:name w:val="Heading 6 Char"/>
    <w:basedOn w:val="DefaultParagraphFont"/>
    <w:link w:val="Heading6"/>
    <w:uiPriority w:val="9"/>
    <w:semiHidden/>
    <w:rsid w:val="00082707"/>
    <w:rPr>
      <w:b/>
      <w:bCs/>
    </w:rPr>
  </w:style>
  <w:style w:type="character" w:customStyle="1" w:styleId="Heading7Char">
    <w:name w:val="Heading 7 Char"/>
    <w:basedOn w:val="DefaultParagraphFont"/>
    <w:link w:val="Heading7"/>
    <w:uiPriority w:val="9"/>
    <w:semiHidden/>
    <w:rsid w:val="00082707"/>
    <w:rPr>
      <w:sz w:val="24"/>
      <w:szCs w:val="24"/>
    </w:rPr>
  </w:style>
  <w:style w:type="character" w:customStyle="1" w:styleId="Heading8Char">
    <w:name w:val="Heading 8 Char"/>
    <w:basedOn w:val="DefaultParagraphFont"/>
    <w:link w:val="Heading8"/>
    <w:uiPriority w:val="9"/>
    <w:semiHidden/>
    <w:rsid w:val="00082707"/>
    <w:rPr>
      <w:i/>
      <w:iCs/>
      <w:sz w:val="24"/>
      <w:szCs w:val="24"/>
    </w:rPr>
  </w:style>
  <w:style w:type="character" w:customStyle="1" w:styleId="Heading9Char">
    <w:name w:val="Heading 9 Char"/>
    <w:basedOn w:val="DefaultParagraphFont"/>
    <w:link w:val="Heading9"/>
    <w:uiPriority w:val="9"/>
    <w:semiHidden/>
    <w:rsid w:val="00082707"/>
    <w:rPr>
      <w:rFonts w:asciiTheme="majorHAnsi" w:eastAsiaTheme="majorEastAsia" w:hAnsiTheme="majorHAnsi"/>
    </w:rPr>
  </w:style>
  <w:style w:type="paragraph" w:styleId="Title">
    <w:name w:val="Title"/>
    <w:basedOn w:val="Normal"/>
    <w:next w:val="Normal"/>
    <w:link w:val="TitleChar"/>
    <w:qFormat/>
    <w:rsid w:val="0008270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8270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270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2707"/>
    <w:rPr>
      <w:rFonts w:asciiTheme="majorHAnsi" w:eastAsiaTheme="majorEastAsia" w:hAnsiTheme="majorHAnsi"/>
      <w:sz w:val="24"/>
      <w:szCs w:val="24"/>
    </w:rPr>
  </w:style>
  <w:style w:type="character" w:styleId="Strong">
    <w:name w:val="Strong"/>
    <w:basedOn w:val="DefaultParagraphFont"/>
    <w:uiPriority w:val="22"/>
    <w:qFormat/>
    <w:rsid w:val="00082707"/>
    <w:rPr>
      <w:b/>
      <w:bCs/>
    </w:rPr>
  </w:style>
  <w:style w:type="character" w:styleId="Emphasis">
    <w:name w:val="Emphasis"/>
    <w:basedOn w:val="DefaultParagraphFont"/>
    <w:uiPriority w:val="20"/>
    <w:qFormat/>
    <w:rsid w:val="00082707"/>
    <w:rPr>
      <w:rFonts w:asciiTheme="minorHAnsi" w:hAnsiTheme="minorHAnsi"/>
      <w:b/>
      <w:i/>
      <w:iCs/>
    </w:rPr>
  </w:style>
  <w:style w:type="paragraph" w:styleId="NoSpacing">
    <w:name w:val="No Spacing"/>
    <w:basedOn w:val="Normal"/>
    <w:uiPriority w:val="1"/>
    <w:qFormat/>
    <w:rsid w:val="00082707"/>
    <w:rPr>
      <w:szCs w:val="32"/>
    </w:rPr>
  </w:style>
  <w:style w:type="paragraph" w:styleId="ListParagraph">
    <w:name w:val="List Paragraph"/>
    <w:basedOn w:val="Normal"/>
    <w:uiPriority w:val="34"/>
    <w:qFormat/>
    <w:rsid w:val="00082707"/>
    <w:pPr>
      <w:ind w:left="720"/>
      <w:contextualSpacing/>
    </w:pPr>
  </w:style>
  <w:style w:type="paragraph" w:styleId="Quote">
    <w:name w:val="Quote"/>
    <w:basedOn w:val="Normal"/>
    <w:next w:val="Normal"/>
    <w:link w:val="QuoteChar"/>
    <w:uiPriority w:val="29"/>
    <w:qFormat/>
    <w:rsid w:val="00082707"/>
    <w:rPr>
      <w:i/>
    </w:rPr>
  </w:style>
  <w:style w:type="character" w:customStyle="1" w:styleId="QuoteChar">
    <w:name w:val="Quote Char"/>
    <w:basedOn w:val="DefaultParagraphFont"/>
    <w:link w:val="Quote"/>
    <w:uiPriority w:val="29"/>
    <w:rsid w:val="00082707"/>
    <w:rPr>
      <w:i/>
      <w:sz w:val="24"/>
      <w:szCs w:val="24"/>
    </w:rPr>
  </w:style>
  <w:style w:type="paragraph" w:styleId="IntenseQuote">
    <w:name w:val="Intense Quote"/>
    <w:basedOn w:val="Normal"/>
    <w:next w:val="Normal"/>
    <w:link w:val="IntenseQuoteChar"/>
    <w:uiPriority w:val="30"/>
    <w:qFormat/>
    <w:rsid w:val="00082707"/>
    <w:pPr>
      <w:ind w:left="720" w:right="720"/>
    </w:pPr>
    <w:rPr>
      <w:b/>
      <w:i/>
      <w:szCs w:val="22"/>
    </w:rPr>
  </w:style>
  <w:style w:type="character" w:customStyle="1" w:styleId="IntenseQuoteChar">
    <w:name w:val="Intense Quote Char"/>
    <w:basedOn w:val="DefaultParagraphFont"/>
    <w:link w:val="IntenseQuote"/>
    <w:uiPriority w:val="30"/>
    <w:rsid w:val="00082707"/>
    <w:rPr>
      <w:b/>
      <w:i/>
      <w:sz w:val="24"/>
    </w:rPr>
  </w:style>
  <w:style w:type="character" w:styleId="SubtleEmphasis">
    <w:name w:val="Subtle Emphasis"/>
    <w:uiPriority w:val="19"/>
    <w:qFormat/>
    <w:rsid w:val="00082707"/>
    <w:rPr>
      <w:i/>
      <w:color w:val="5A5A5A" w:themeColor="text1" w:themeTint="A5"/>
    </w:rPr>
  </w:style>
  <w:style w:type="character" w:styleId="IntenseEmphasis">
    <w:name w:val="Intense Emphasis"/>
    <w:basedOn w:val="DefaultParagraphFont"/>
    <w:uiPriority w:val="21"/>
    <w:qFormat/>
    <w:rsid w:val="00082707"/>
    <w:rPr>
      <w:b/>
      <w:i/>
      <w:sz w:val="24"/>
      <w:szCs w:val="24"/>
      <w:u w:val="single"/>
    </w:rPr>
  </w:style>
  <w:style w:type="character" w:styleId="SubtleReference">
    <w:name w:val="Subtle Reference"/>
    <w:basedOn w:val="DefaultParagraphFont"/>
    <w:uiPriority w:val="31"/>
    <w:qFormat/>
    <w:rsid w:val="00082707"/>
    <w:rPr>
      <w:sz w:val="24"/>
      <w:szCs w:val="24"/>
      <w:u w:val="single"/>
    </w:rPr>
  </w:style>
  <w:style w:type="character" w:styleId="IntenseReference">
    <w:name w:val="Intense Reference"/>
    <w:basedOn w:val="DefaultParagraphFont"/>
    <w:uiPriority w:val="32"/>
    <w:qFormat/>
    <w:rsid w:val="00082707"/>
    <w:rPr>
      <w:b/>
      <w:sz w:val="24"/>
      <w:u w:val="single"/>
    </w:rPr>
  </w:style>
  <w:style w:type="character" w:styleId="BookTitle">
    <w:name w:val="Book Title"/>
    <w:basedOn w:val="DefaultParagraphFont"/>
    <w:uiPriority w:val="33"/>
    <w:qFormat/>
    <w:rsid w:val="0008270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2707"/>
    <w:pPr>
      <w:outlineLvl w:val="9"/>
    </w:pPr>
  </w:style>
  <w:style w:type="character" w:customStyle="1" w:styleId="apple-style-span">
    <w:name w:val="apple-style-span"/>
    <w:basedOn w:val="DefaultParagraphFont"/>
    <w:rsid w:val="00754494"/>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nhideWhenUsed/>
    <w:qFormat/>
    <w:rsid w:val="00B67F1F"/>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rsid w:val="00B67F1F"/>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nhideWhenUsed/>
    <w:rsid w:val="00B67F1F"/>
    <w:rPr>
      <w:vertAlign w:val="superscript"/>
    </w:rPr>
  </w:style>
  <w:style w:type="character" w:styleId="CommentReference">
    <w:name w:val="annotation reference"/>
    <w:basedOn w:val="DefaultParagraphFont"/>
    <w:uiPriority w:val="99"/>
    <w:semiHidden/>
    <w:unhideWhenUsed/>
    <w:rsid w:val="005C7573"/>
    <w:rPr>
      <w:sz w:val="16"/>
      <w:szCs w:val="16"/>
    </w:rPr>
  </w:style>
  <w:style w:type="paragraph" w:styleId="CommentText">
    <w:name w:val="annotation text"/>
    <w:basedOn w:val="Normal"/>
    <w:link w:val="CommentTextChar"/>
    <w:uiPriority w:val="99"/>
    <w:semiHidden/>
    <w:unhideWhenUsed/>
    <w:rsid w:val="005C7573"/>
    <w:rPr>
      <w:sz w:val="20"/>
      <w:szCs w:val="20"/>
    </w:rPr>
  </w:style>
  <w:style w:type="character" w:customStyle="1" w:styleId="CommentTextChar">
    <w:name w:val="Comment Text Char"/>
    <w:basedOn w:val="DefaultParagraphFont"/>
    <w:link w:val="CommentText"/>
    <w:uiPriority w:val="99"/>
    <w:semiHidden/>
    <w:rsid w:val="005C7573"/>
    <w:rPr>
      <w:sz w:val="20"/>
      <w:szCs w:val="20"/>
    </w:rPr>
  </w:style>
  <w:style w:type="paragraph" w:styleId="CommentSubject">
    <w:name w:val="annotation subject"/>
    <w:basedOn w:val="CommentText"/>
    <w:next w:val="CommentText"/>
    <w:link w:val="CommentSubjectChar"/>
    <w:uiPriority w:val="99"/>
    <w:semiHidden/>
    <w:unhideWhenUsed/>
    <w:rsid w:val="005C7573"/>
    <w:rPr>
      <w:b/>
      <w:bCs/>
    </w:rPr>
  </w:style>
  <w:style w:type="character" w:customStyle="1" w:styleId="CommentSubjectChar">
    <w:name w:val="Comment Subject Char"/>
    <w:basedOn w:val="CommentTextChar"/>
    <w:link w:val="CommentSubject"/>
    <w:uiPriority w:val="99"/>
    <w:semiHidden/>
    <w:rsid w:val="005C7573"/>
    <w:rPr>
      <w:b/>
      <w:bCs/>
      <w:sz w:val="20"/>
      <w:szCs w:val="20"/>
    </w:rPr>
  </w:style>
  <w:style w:type="paragraph" w:styleId="BalloonText">
    <w:name w:val="Balloon Text"/>
    <w:basedOn w:val="Normal"/>
    <w:link w:val="BalloonTextChar"/>
    <w:uiPriority w:val="99"/>
    <w:semiHidden/>
    <w:unhideWhenUsed/>
    <w:rsid w:val="005C7573"/>
    <w:rPr>
      <w:rFonts w:ascii="Tahoma" w:hAnsi="Tahoma" w:cs="Tahoma"/>
      <w:sz w:val="16"/>
      <w:szCs w:val="16"/>
    </w:rPr>
  </w:style>
  <w:style w:type="character" w:customStyle="1" w:styleId="BalloonTextChar">
    <w:name w:val="Balloon Text Char"/>
    <w:basedOn w:val="DefaultParagraphFont"/>
    <w:link w:val="BalloonText"/>
    <w:uiPriority w:val="99"/>
    <w:semiHidden/>
    <w:rsid w:val="005C7573"/>
    <w:rPr>
      <w:rFonts w:ascii="Tahoma" w:hAnsi="Tahoma" w:cs="Tahoma"/>
      <w:sz w:val="16"/>
      <w:szCs w:val="16"/>
    </w:rPr>
  </w:style>
  <w:style w:type="paragraph" w:styleId="Footer">
    <w:name w:val="footer"/>
    <w:basedOn w:val="Normal"/>
    <w:link w:val="FooterChar"/>
    <w:uiPriority w:val="99"/>
    <w:rsid w:val="00064C57"/>
    <w:pPr>
      <w:tabs>
        <w:tab w:val="center" w:pos="4153"/>
        <w:tab w:val="right" w:pos="8306"/>
      </w:tabs>
    </w:pPr>
    <w:rPr>
      <w:rFonts w:eastAsia="Times New Roman"/>
      <w:szCs w:val="20"/>
      <w:lang w:val="en-GB" w:eastAsia="en-NZ" w:bidi="ar-SA"/>
    </w:rPr>
  </w:style>
  <w:style w:type="character" w:customStyle="1" w:styleId="FooterChar">
    <w:name w:val="Footer Char"/>
    <w:basedOn w:val="DefaultParagraphFont"/>
    <w:link w:val="Footer"/>
    <w:uiPriority w:val="99"/>
    <w:rsid w:val="00064C57"/>
    <w:rPr>
      <w:rFonts w:ascii="Times New Roman" w:eastAsia="Times New Roman" w:hAnsi="Times New Roman"/>
      <w:sz w:val="24"/>
      <w:szCs w:val="20"/>
      <w:lang w:val="en-GB" w:eastAsia="en-NZ" w:bidi="ar-SA"/>
    </w:rPr>
  </w:style>
  <w:style w:type="paragraph" w:styleId="BodyTextIndent">
    <w:name w:val="Body Text Indent"/>
    <w:basedOn w:val="Normal"/>
    <w:link w:val="BodyTextIndentChar"/>
    <w:semiHidden/>
    <w:rsid w:val="005119C4"/>
    <w:pPr>
      <w:ind w:left="450" w:hanging="450"/>
    </w:pPr>
    <w:rPr>
      <w:rFonts w:eastAsia="Times New Roman"/>
      <w:sz w:val="22"/>
      <w:szCs w:val="20"/>
      <w:lang w:bidi="ar-SA"/>
    </w:rPr>
  </w:style>
  <w:style w:type="character" w:customStyle="1" w:styleId="BodyTextIndentChar">
    <w:name w:val="Body Text Indent Char"/>
    <w:basedOn w:val="DefaultParagraphFont"/>
    <w:link w:val="BodyTextIndent"/>
    <w:semiHidden/>
    <w:rsid w:val="005119C4"/>
    <w:rPr>
      <w:rFonts w:ascii="Times New Roman" w:eastAsia="Times New Roman" w:hAnsi="Times New Roman"/>
      <w:szCs w:val="20"/>
      <w:lang w:bidi="ar-SA"/>
    </w:rPr>
  </w:style>
  <w:style w:type="paragraph" w:styleId="NormalWeb">
    <w:name w:val="Normal (Web)"/>
    <w:basedOn w:val="Normal"/>
    <w:uiPriority w:val="99"/>
    <w:rsid w:val="00153308"/>
    <w:pPr>
      <w:spacing w:after="90" w:line="240" w:lineRule="atLeast"/>
      <w:ind w:left="30" w:right="150"/>
    </w:pPr>
    <w:rPr>
      <w:rFonts w:ascii="Arial" w:eastAsia="Arial Unicode MS" w:hAnsi="Arial" w:cs="Arial"/>
      <w:color w:val="333333"/>
      <w:sz w:val="20"/>
      <w:szCs w:val="20"/>
      <w:lang w:bidi="ar-SA"/>
    </w:rPr>
  </w:style>
  <w:style w:type="paragraph" w:styleId="Header">
    <w:name w:val="header"/>
    <w:basedOn w:val="Normal"/>
    <w:link w:val="HeaderChar"/>
    <w:uiPriority w:val="99"/>
    <w:unhideWhenUsed/>
    <w:rsid w:val="000B5E1B"/>
    <w:pPr>
      <w:tabs>
        <w:tab w:val="center" w:pos="4513"/>
        <w:tab w:val="right" w:pos="9026"/>
      </w:tabs>
    </w:pPr>
  </w:style>
  <w:style w:type="character" w:customStyle="1" w:styleId="HeaderChar">
    <w:name w:val="Header Char"/>
    <w:basedOn w:val="DefaultParagraphFont"/>
    <w:link w:val="Header"/>
    <w:uiPriority w:val="99"/>
    <w:rsid w:val="000B5E1B"/>
    <w:rPr>
      <w:rFonts w:ascii="Times New Roman" w:hAnsi="Times New Roman"/>
      <w:sz w:val="24"/>
      <w:szCs w:val="24"/>
    </w:rPr>
  </w:style>
  <w:style w:type="paragraph" w:styleId="Revision">
    <w:name w:val="Revision"/>
    <w:hidden/>
    <w:uiPriority w:val="99"/>
    <w:semiHidden/>
    <w:rsid w:val="00BA576D"/>
    <w:pPr>
      <w:spacing w:after="0" w:line="240" w:lineRule="auto"/>
    </w:pPr>
    <w:rPr>
      <w:rFonts w:ascii="Times New Roman" w:hAnsi="Times New Roman"/>
      <w:sz w:val="24"/>
      <w:szCs w:val="24"/>
    </w:rPr>
  </w:style>
  <w:style w:type="character" w:customStyle="1" w:styleId="apple-converted-space">
    <w:name w:val="apple-converted-space"/>
    <w:basedOn w:val="DefaultParagraphFont"/>
    <w:rsid w:val="003A7B81"/>
  </w:style>
  <w:style w:type="character" w:styleId="Hyperlink">
    <w:name w:val="Hyperlink"/>
    <w:basedOn w:val="DefaultParagraphFont"/>
    <w:rsid w:val="007603C6"/>
    <w:rPr>
      <w:color w:val="0000FF"/>
      <w:u w:val="single"/>
    </w:rPr>
  </w:style>
  <w:style w:type="character" w:styleId="PageNumber">
    <w:name w:val="page number"/>
    <w:basedOn w:val="DefaultParagraphFont"/>
    <w:rsid w:val="007603C6"/>
  </w:style>
  <w:style w:type="paragraph" w:customStyle="1" w:styleId="Default">
    <w:name w:val="Default"/>
    <w:rsid w:val="00E22C6F"/>
    <w:pPr>
      <w:autoSpaceDE w:val="0"/>
      <w:autoSpaceDN w:val="0"/>
      <w:adjustRightInd w:val="0"/>
      <w:spacing w:after="0" w:line="240" w:lineRule="auto"/>
    </w:pPr>
    <w:rPr>
      <w:rFonts w:ascii="Cambria" w:eastAsia="Calibri" w:hAnsi="Cambria" w:cs="Cambria"/>
      <w:color w:val="000000"/>
      <w:sz w:val="24"/>
      <w:szCs w:val="24"/>
      <w:lang w:val="en-NZ" w:eastAsia="en-NZ" w:bidi="ar-SA"/>
    </w:rPr>
  </w:style>
  <w:style w:type="table" w:styleId="TableGrid">
    <w:name w:val="Table Grid"/>
    <w:basedOn w:val="TableNormal"/>
    <w:uiPriority w:val="39"/>
    <w:rsid w:val="007F35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BB1F4A"/>
    <w:pPr>
      <w:jc w:val="left"/>
    </w:pPr>
    <w:rPr>
      <w:rFonts w:ascii="Consolas" w:hAnsi="Consolas" w:cs="Consolas"/>
      <w:sz w:val="21"/>
      <w:szCs w:val="21"/>
      <w:lang w:val="en-NZ" w:bidi="ar-SA"/>
    </w:rPr>
  </w:style>
  <w:style w:type="character" w:customStyle="1" w:styleId="PlainTextChar">
    <w:name w:val="Plain Text Char"/>
    <w:basedOn w:val="DefaultParagraphFont"/>
    <w:link w:val="PlainText"/>
    <w:uiPriority w:val="99"/>
    <w:rsid w:val="00BB1F4A"/>
    <w:rPr>
      <w:rFonts w:ascii="Consolas" w:hAnsi="Consolas" w:cs="Consolas"/>
      <w:sz w:val="21"/>
      <w:szCs w:val="21"/>
      <w:lang w:val="en-NZ" w:bidi="ar-SA"/>
    </w:rPr>
  </w:style>
  <w:style w:type="paragraph" w:styleId="EndnoteText">
    <w:name w:val="endnote text"/>
    <w:basedOn w:val="Normal"/>
    <w:link w:val="EndnoteTextChar"/>
    <w:uiPriority w:val="99"/>
    <w:semiHidden/>
    <w:unhideWhenUsed/>
    <w:rsid w:val="0074301D"/>
    <w:rPr>
      <w:sz w:val="20"/>
      <w:szCs w:val="20"/>
    </w:rPr>
  </w:style>
  <w:style w:type="character" w:customStyle="1" w:styleId="EndnoteTextChar">
    <w:name w:val="Endnote Text Char"/>
    <w:basedOn w:val="DefaultParagraphFont"/>
    <w:link w:val="EndnoteText"/>
    <w:uiPriority w:val="99"/>
    <w:semiHidden/>
    <w:rsid w:val="0074301D"/>
    <w:rPr>
      <w:rFonts w:ascii="Times New Roman" w:hAnsi="Times New Roman"/>
      <w:sz w:val="20"/>
      <w:szCs w:val="20"/>
    </w:rPr>
  </w:style>
  <w:style w:type="character" w:styleId="EndnoteReference">
    <w:name w:val="endnote reference"/>
    <w:basedOn w:val="DefaultParagraphFont"/>
    <w:uiPriority w:val="99"/>
    <w:semiHidden/>
    <w:unhideWhenUsed/>
    <w:rsid w:val="0074301D"/>
    <w:rPr>
      <w:vertAlign w:val="superscript"/>
    </w:rPr>
  </w:style>
  <w:style w:type="character" w:styleId="PlaceholderText">
    <w:name w:val="Placeholder Text"/>
    <w:basedOn w:val="DefaultParagraphFont"/>
    <w:uiPriority w:val="99"/>
    <w:semiHidden/>
    <w:rsid w:val="001B5BBC"/>
    <w:rPr>
      <w:color w:val="808080"/>
    </w:rPr>
  </w:style>
  <w:style w:type="paragraph" w:customStyle="1" w:styleId="CM1">
    <w:name w:val="CM1"/>
    <w:basedOn w:val="Default"/>
    <w:next w:val="Default"/>
    <w:rsid w:val="007660A6"/>
    <w:pPr>
      <w:widowControl w:val="0"/>
      <w:spacing w:line="323" w:lineRule="atLeast"/>
    </w:pPr>
    <w:rPr>
      <w:rFonts w:ascii="Times New Roman" w:eastAsia="Times New Roman" w:hAnsi="Times New Roman" w:cs="Times New Roman"/>
      <w:color w:val="auto"/>
      <w:lang w:val="en-US" w:eastAsia="en-US"/>
    </w:rPr>
  </w:style>
  <w:style w:type="paragraph" w:customStyle="1" w:styleId="CM20">
    <w:name w:val="CM20"/>
    <w:basedOn w:val="Default"/>
    <w:next w:val="Default"/>
    <w:rsid w:val="007660A6"/>
    <w:pPr>
      <w:widowControl w:val="0"/>
      <w:spacing w:after="1503"/>
    </w:pPr>
    <w:rPr>
      <w:rFonts w:ascii="Times New Roman" w:eastAsia="Times New Roman" w:hAnsi="Times New Roman" w:cs="Times New Roman"/>
      <w:color w:val="auto"/>
      <w:lang w:val="en-US" w:eastAsia="en-US"/>
    </w:rPr>
  </w:style>
  <w:style w:type="paragraph" w:customStyle="1" w:styleId="CM3">
    <w:name w:val="CM3"/>
    <w:basedOn w:val="Default"/>
    <w:next w:val="Default"/>
    <w:rsid w:val="007660A6"/>
    <w:pPr>
      <w:widowControl w:val="0"/>
    </w:pPr>
    <w:rPr>
      <w:rFonts w:ascii="Times New Roman" w:eastAsia="Times New Roman" w:hAnsi="Times New Roman" w:cs="Times New Roman"/>
      <w:color w:val="auto"/>
      <w:lang w:val="en-US" w:eastAsia="en-US"/>
    </w:rPr>
  </w:style>
  <w:style w:type="paragraph" w:customStyle="1" w:styleId="CM21">
    <w:name w:val="CM21"/>
    <w:basedOn w:val="Default"/>
    <w:next w:val="Default"/>
    <w:rsid w:val="007660A6"/>
    <w:pPr>
      <w:widowControl w:val="0"/>
      <w:spacing w:after="513"/>
    </w:pPr>
    <w:rPr>
      <w:rFonts w:ascii="Times New Roman" w:eastAsia="Times New Roman" w:hAnsi="Times New Roman" w:cs="Times New Roman"/>
      <w:color w:val="auto"/>
      <w:lang w:val="en-US" w:eastAsia="en-US"/>
    </w:rPr>
  </w:style>
  <w:style w:type="paragraph" w:customStyle="1" w:styleId="CM22">
    <w:name w:val="CM22"/>
    <w:basedOn w:val="Default"/>
    <w:next w:val="Default"/>
    <w:rsid w:val="007660A6"/>
    <w:pPr>
      <w:widowControl w:val="0"/>
      <w:spacing w:after="65"/>
    </w:pPr>
    <w:rPr>
      <w:rFonts w:ascii="Times New Roman" w:eastAsia="Times New Roman" w:hAnsi="Times New Roman" w:cs="Times New Roman"/>
      <w:color w:val="auto"/>
      <w:lang w:val="en-US" w:eastAsia="en-US"/>
    </w:rPr>
  </w:style>
  <w:style w:type="paragraph" w:customStyle="1" w:styleId="CM4">
    <w:name w:val="CM4"/>
    <w:basedOn w:val="Default"/>
    <w:next w:val="Default"/>
    <w:rsid w:val="007660A6"/>
    <w:pPr>
      <w:widowControl w:val="0"/>
      <w:spacing w:line="253" w:lineRule="atLeast"/>
    </w:pPr>
    <w:rPr>
      <w:rFonts w:ascii="Times New Roman" w:eastAsia="Times New Roman" w:hAnsi="Times New Roman" w:cs="Times New Roman"/>
      <w:color w:val="auto"/>
      <w:lang w:val="en-US" w:eastAsia="en-US"/>
    </w:rPr>
  </w:style>
  <w:style w:type="paragraph" w:customStyle="1" w:styleId="CM23">
    <w:name w:val="CM23"/>
    <w:basedOn w:val="Default"/>
    <w:next w:val="Default"/>
    <w:rsid w:val="007660A6"/>
    <w:pPr>
      <w:widowControl w:val="0"/>
      <w:spacing w:after="233"/>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4065">
      <w:bodyDiv w:val="1"/>
      <w:marLeft w:val="0"/>
      <w:marRight w:val="0"/>
      <w:marTop w:val="0"/>
      <w:marBottom w:val="0"/>
      <w:divBdr>
        <w:top w:val="none" w:sz="0" w:space="0" w:color="auto"/>
        <w:left w:val="none" w:sz="0" w:space="0" w:color="auto"/>
        <w:bottom w:val="none" w:sz="0" w:space="0" w:color="auto"/>
        <w:right w:val="none" w:sz="0" w:space="0" w:color="auto"/>
      </w:divBdr>
      <w:divsChild>
        <w:div w:id="24255533">
          <w:marLeft w:val="0"/>
          <w:marRight w:val="0"/>
          <w:marTop w:val="0"/>
          <w:marBottom w:val="0"/>
          <w:divBdr>
            <w:top w:val="none" w:sz="0" w:space="0" w:color="auto"/>
            <w:left w:val="none" w:sz="0" w:space="0" w:color="auto"/>
            <w:bottom w:val="none" w:sz="0" w:space="0" w:color="auto"/>
            <w:right w:val="none" w:sz="0" w:space="0" w:color="auto"/>
          </w:divBdr>
        </w:div>
      </w:divsChild>
    </w:div>
    <w:div w:id="152062580">
      <w:bodyDiv w:val="1"/>
      <w:marLeft w:val="0"/>
      <w:marRight w:val="0"/>
      <w:marTop w:val="0"/>
      <w:marBottom w:val="0"/>
      <w:divBdr>
        <w:top w:val="none" w:sz="0" w:space="0" w:color="auto"/>
        <w:left w:val="none" w:sz="0" w:space="0" w:color="auto"/>
        <w:bottom w:val="none" w:sz="0" w:space="0" w:color="auto"/>
        <w:right w:val="none" w:sz="0" w:space="0" w:color="auto"/>
      </w:divBdr>
    </w:div>
    <w:div w:id="227158792">
      <w:bodyDiv w:val="1"/>
      <w:marLeft w:val="0"/>
      <w:marRight w:val="0"/>
      <w:marTop w:val="0"/>
      <w:marBottom w:val="0"/>
      <w:divBdr>
        <w:top w:val="none" w:sz="0" w:space="0" w:color="auto"/>
        <w:left w:val="none" w:sz="0" w:space="0" w:color="auto"/>
        <w:bottom w:val="none" w:sz="0" w:space="0" w:color="auto"/>
        <w:right w:val="none" w:sz="0" w:space="0" w:color="auto"/>
      </w:divBdr>
      <w:divsChild>
        <w:div w:id="964771501">
          <w:marLeft w:val="0"/>
          <w:marRight w:val="0"/>
          <w:marTop w:val="0"/>
          <w:marBottom w:val="0"/>
          <w:divBdr>
            <w:top w:val="none" w:sz="0" w:space="0" w:color="auto"/>
            <w:left w:val="none" w:sz="0" w:space="0" w:color="auto"/>
            <w:bottom w:val="none" w:sz="0" w:space="0" w:color="auto"/>
            <w:right w:val="none" w:sz="0" w:space="0" w:color="auto"/>
          </w:divBdr>
        </w:div>
      </w:divsChild>
    </w:div>
    <w:div w:id="313874987">
      <w:bodyDiv w:val="1"/>
      <w:marLeft w:val="0"/>
      <w:marRight w:val="0"/>
      <w:marTop w:val="0"/>
      <w:marBottom w:val="0"/>
      <w:divBdr>
        <w:top w:val="none" w:sz="0" w:space="0" w:color="auto"/>
        <w:left w:val="none" w:sz="0" w:space="0" w:color="auto"/>
        <w:bottom w:val="none" w:sz="0" w:space="0" w:color="auto"/>
        <w:right w:val="none" w:sz="0" w:space="0" w:color="auto"/>
      </w:divBdr>
    </w:div>
    <w:div w:id="358051105">
      <w:bodyDiv w:val="1"/>
      <w:marLeft w:val="0"/>
      <w:marRight w:val="0"/>
      <w:marTop w:val="0"/>
      <w:marBottom w:val="0"/>
      <w:divBdr>
        <w:top w:val="none" w:sz="0" w:space="0" w:color="auto"/>
        <w:left w:val="none" w:sz="0" w:space="0" w:color="auto"/>
        <w:bottom w:val="none" w:sz="0" w:space="0" w:color="auto"/>
        <w:right w:val="none" w:sz="0" w:space="0" w:color="auto"/>
      </w:divBdr>
      <w:divsChild>
        <w:div w:id="329916248">
          <w:marLeft w:val="0"/>
          <w:marRight w:val="0"/>
          <w:marTop w:val="0"/>
          <w:marBottom w:val="0"/>
          <w:divBdr>
            <w:top w:val="none" w:sz="0" w:space="0" w:color="auto"/>
            <w:left w:val="none" w:sz="0" w:space="0" w:color="auto"/>
            <w:bottom w:val="none" w:sz="0" w:space="0" w:color="auto"/>
            <w:right w:val="none" w:sz="0" w:space="0" w:color="auto"/>
          </w:divBdr>
        </w:div>
      </w:divsChild>
    </w:div>
    <w:div w:id="396586533">
      <w:bodyDiv w:val="1"/>
      <w:marLeft w:val="0"/>
      <w:marRight w:val="0"/>
      <w:marTop w:val="0"/>
      <w:marBottom w:val="0"/>
      <w:divBdr>
        <w:top w:val="none" w:sz="0" w:space="0" w:color="auto"/>
        <w:left w:val="none" w:sz="0" w:space="0" w:color="auto"/>
        <w:bottom w:val="none" w:sz="0" w:space="0" w:color="auto"/>
        <w:right w:val="none" w:sz="0" w:space="0" w:color="auto"/>
      </w:divBdr>
      <w:divsChild>
        <w:div w:id="17632181">
          <w:marLeft w:val="0"/>
          <w:marRight w:val="0"/>
          <w:marTop w:val="0"/>
          <w:marBottom w:val="0"/>
          <w:divBdr>
            <w:top w:val="none" w:sz="0" w:space="0" w:color="auto"/>
            <w:left w:val="none" w:sz="0" w:space="0" w:color="auto"/>
            <w:bottom w:val="none" w:sz="0" w:space="0" w:color="auto"/>
            <w:right w:val="none" w:sz="0" w:space="0" w:color="auto"/>
          </w:divBdr>
        </w:div>
      </w:divsChild>
    </w:div>
    <w:div w:id="421992320">
      <w:bodyDiv w:val="1"/>
      <w:marLeft w:val="0"/>
      <w:marRight w:val="0"/>
      <w:marTop w:val="0"/>
      <w:marBottom w:val="0"/>
      <w:divBdr>
        <w:top w:val="none" w:sz="0" w:space="0" w:color="auto"/>
        <w:left w:val="none" w:sz="0" w:space="0" w:color="auto"/>
        <w:bottom w:val="none" w:sz="0" w:space="0" w:color="auto"/>
        <w:right w:val="none" w:sz="0" w:space="0" w:color="auto"/>
      </w:divBdr>
    </w:div>
    <w:div w:id="426343147">
      <w:bodyDiv w:val="1"/>
      <w:marLeft w:val="0"/>
      <w:marRight w:val="0"/>
      <w:marTop w:val="0"/>
      <w:marBottom w:val="0"/>
      <w:divBdr>
        <w:top w:val="none" w:sz="0" w:space="0" w:color="auto"/>
        <w:left w:val="none" w:sz="0" w:space="0" w:color="auto"/>
        <w:bottom w:val="none" w:sz="0" w:space="0" w:color="auto"/>
        <w:right w:val="none" w:sz="0" w:space="0" w:color="auto"/>
      </w:divBdr>
      <w:divsChild>
        <w:div w:id="942424029">
          <w:marLeft w:val="0"/>
          <w:marRight w:val="0"/>
          <w:marTop w:val="0"/>
          <w:marBottom w:val="0"/>
          <w:divBdr>
            <w:top w:val="none" w:sz="0" w:space="0" w:color="auto"/>
            <w:left w:val="none" w:sz="0" w:space="0" w:color="auto"/>
            <w:bottom w:val="none" w:sz="0" w:space="0" w:color="auto"/>
            <w:right w:val="none" w:sz="0" w:space="0" w:color="auto"/>
          </w:divBdr>
        </w:div>
      </w:divsChild>
    </w:div>
    <w:div w:id="444889313">
      <w:bodyDiv w:val="1"/>
      <w:marLeft w:val="0"/>
      <w:marRight w:val="0"/>
      <w:marTop w:val="0"/>
      <w:marBottom w:val="0"/>
      <w:divBdr>
        <w:top w:val="none" w:sz="0" w:space="0" w:color="auto"/>
        <w:left w:val="none" w:sz="0" w:space="0" w:color="auto"/>
        <w:bottom w:val="none" w:sz="0" w:space="0" w:color="auto"/>
        <w:right w:val="none" w:sz="0" w:space="0" w:color="auto"/>
      </w:divBdr>
      <w:divsChild>
        <w:div w:id="1781560636">
          <w:marLeft w:val="0"/>
          <w:marRight w:val="0"/>
          <w:marTop w:val="0"/>
          <w:marBottom w:val="0"/>
          <w:divBdr>
            <w:top w:val="none" w:sz="0" w:space="0" w:color="auto"/>
            <w:left w:val="none" w:sz="0" w:space="0" w:color="auto"/>
            <w:bottom w:val="none" w:sz="0" w:space="0" w:color="auto"/>
            <w:right w:val="none" w:sz="0" w:space="0" w:color="auto"/>
          </w:divBdr>
        </w:div>
      </w:divsChild>
    </w:div>
    <w:div w:id="447359980">
      <w:bodyDiv w:val="1"/>
      <w:marLeft w:val="0"/>
      <w:marRight w:val="0"/>
      <w:marTop w:val="0"/>
      <w:marBottom w:val="0"/>
      <w:divBdr>
        <w:top w:val="none" w:sz="0" w:space="0" w:color="auto"/>
        <w:left w:val="none" w:sz="0" w:space="0" w:color="auto"/>
        <w:bottom w:val="none" w:sz="0" w:space="0" w:color="auto"/>
        <w:right w:val="none" w:sz="0" w:space="0" w:color="auto"/>
      </w:divBdr>
      <w:divsChild>
        <w:div w:id="1482621806">
          <w:marLeft w:val="0"/>
          <w:marRight w:val="0"/>
          <w:marTop w:val="0"/>
          <w:marBottom w:val="0"/>
          <w:divBdr>
            <w:top w:val="none" w:sz="0" w:space="0" w:color="auto"/>
            <w:left w:val="none" w:sz="0" w:space="0" w:color="auto"/>
            <w:bottom w:val="none" w:sz="0" w:space="0" w:color="auto"/>
            <w:right w:val="none" w:sz="0" w:space="0" w:color="auto"/>
          </w:divBdr>
        </w:div>
      </w:divsChild>
    </w:div>
    <w:div w:id="504517083">
      <w:bodyDiv w:val="1"/>
      <w:marLeft w:val="0"/>
      <w:marRight w:val="0"/>
      <w:marTop w:val="0"/>
      <w:marBottom w:val="0"/>
      <w:divBdr>
        <w:top w:val="none" w:sz="0" w:space="0" w:color="auto"/>
        <w:left w:val="none" w:sz="0" w:space="0" w:color="auto"/>
        <w:bottom w:val="none" w:sz="0" w:space="0" w:color="auto"/>
        <w:right w:val="none" w:sz="0" w:space="0" w:color="auto"/>
      </w:divBdr>
      <w:divsChild>
        <w:div w:id="719793649">
          <w:marLeft w:val="0"/>
          <w:marRight w:val="0"/>
          <w:marTop w:val="0"/>
          <w:marBottom w:val="0"/>
          <w:divBdr>
            <w:top w:val="none" w:sz="0" w:space="0" w:color="auto"/>
            <w:left w:val="none" w:sz="0" w:space="0" w:color="auto"/>
            <w:bottom w:val="none" w:sz="0" w:space="0" w:color="auto"/>
            <w:right w:val="none" w:sz="0" w:space="0" w:color="auto"/>
          </w:divBdr>
        </w:div>
      </w:divsChild>
    </w:div>
    <w:div w:id="522285485">
      <w:bodyDiv w:val="1"/>
      <w:marLeft w:val="0"/>
      <w:marRight w:val="0"/>
      <w:marTop w:val="0"/>
      <w:marBottom w:val="0"/>
      <w:divBdr>
        <w:top w:val="none" w:sz="0" w:space="0" w:color="auto"/>
        <w:left w:val="none" w:sz="0" w:space="0" w:color="auto"/>
        <w:bottom w:val="none" w:sz="0" w:space="0" w:color="auto"/>
        <w:right w:val="none" w:sz="0" w:space="0" w:color="auto"/>
      </w:divBdr>
      <w:divsChild>
        <w:div w:id="859974409">
          <w:marLeft w:val="0"/>
          <w:marRight w:val="0"/>
          <w:marTop w:val="0"/>
          <w:marBottom w:val="0"/>
          <w:divBdr>
            <w:top w:val="none" w:sz="0" w:space="0" w:color="auto"/>
            <w:left w:val="none" w:sz="0" w:space="0" w:color="auto"/>
            <w:bottom w:val="none" w:sz="0" w:space="0" w:color="auto"/>
            <w:right w:val="none" w:sz="0" w:space="0" w:color="auto"/>
          </w:divBdr>
        </w:div>
      </w:divsChild>
    </w:div>
    <w:div w:id="558395399">
      <w:bodyDiv w:val="1"/>
      <w:marLeft w:val="0"/>
      <w:marRight w:val="0"/>
      <w:marTop w:val="0"/>
      <w:marBottom w:val="0"/>
      <w:divBdr>
        <w:top w:val="none" w:sz="0" w:space="0" w:color="auto"/>
        <w:left w:val="none" w:sz="0" w:space="0" w:color="auto"/>
        <w:bottom w:val="none" w:sz="0" w:space="0" w:color="auto"/>
        <w:right w:val="none" w:sz="0" w:space="0" w:color="auto"/>
      </w:divBdr>
      <w:divsChild>
        <w:div w:id="16929442">
          <w:marLeft w:val="0"/>
          <w:marRight w:val="0"/>
          <w:marTop w:val="0"/>
          <w:marBottom w:val="0"/>
          <w:divBdr>
            <w:top w:val="none" w:sz="0" w:space="0" w:color="auto"/>
            <w:left w:val="none" w:sz="0" w:space="0" w:color="auto"/>
            <w:bottom w:val="none" w:sz="0" w:space="0" w:color="auto"/>
            <w:right w:val="none" w:sz="0" w:space="0" w:color="auto"/>
          </w:divBdr>
        </w:div>
      </w:divsChild>
    </w:div>
    <w:div w:id="606157413">
      <w:bodyDiv w:val="1"/>
      <w:marLeft w:val="0"/>
      <w:marRight w:val="0"/>
      <w:marTop w:val="0"/>
      <w:marBottom w:val="0"/>
      <w:divBdr>
        <w:top w:val="none" w:sz="0" w:space="0" w:color="auto"/>
        <w:left w:val="none" w:sz="0" w:space="0" w:color="auto"/>
        <w:bottom w:val="none" w:sz="0" w:space="0" w:color="auto"/>
        <w:right w:val="none" w:sz="0" w:space="0" w:color="auto"/>
      </w:divBdr>
      <w:divsChild>
        <w:div w:id="1037974750">
          <w:marLeft w:val="0"/>
          <w:marRight w:val="0"/>
          <w:marTop w:val="0"/>
          <w:marBottom w:val="0"/>
          <w:divBdr>
            <w:top w:val="none" w:sz="0" w:space="0" w:color="auto"/>
            <w:left w:val="none" w:sz="0" w:space="0" w:color="auto"/>
            <w:bottom w:val="none" w:sz="0" w:space="0" w:color="auto"/>
            <w:right w:val="none" w:sz="0" w:space="0" w:color="auto"/>
          </w:divBdr>
        </w:div>
      </w:divsChild>
    </w:div>
    <w:div w:id="612173823">
      <w:bodyDiv w:val="1"/>
      <w:marLeft w:val="0"/>
      <w:marRight w:val="0"/>
      <w:marTop w:val="0"/>
      <w:marBottom w:val="0"/>
      <w:divBdr>
        <w:top w:val="none" w:sz="0" w:space="0" w:color="auto"/>
        <w:left w:val="none" w:sz="0" w:space="0" w:color="auto"/>
        <w:bottom w:val="none" w:sz="0" w:space="0" w:color="auto"/>
        <w:right w:val="none" w:sz="0" w:space="0" w:color="auto"/>
      </w:divBdr>
      <w:divsChild>
        <w:div w:id="1627541504">
          <w:marLeft w:val="0"/>
          <w:marRight w:val="0"/>
          <w:marTop w:val="0"/>
          <w:marBottom w:val="0"/>
          <w:divBdr>
            <w:top w:val="none" w:sz="0" w:space="0" w:color="auto"/>
            <w:left w:val="none" w:sz="0" w:space="0" w:color="auto"/>
            <w:bottom w:val="none" w:sz="0" w:space="0" w:color="auto"/>
            <w:right w:val="none" w:sz="0" w:space="0" w:color="auto"/>
          </w:divBdr>
        </w:div>
      </w:divsChild>
    </w:div>
    <w:div w:id="612975377">
      <w:bodyDiv w:val="1"/>
      <w:marLeft w:val="0"/>
      <w:marRight w:val="0"/>
      <w:marTop w:val="0"/>
      <w:marBottom w:val="0"/>
      <w:divBdr>
        <w:top w:val="none" w:sz="0" w:space="0" w:color="auto"/>
        <w:left w:val="none" w:sz="0" w:space="0" w:color="auto"/>
        <w:bottom w:val="none" w:sz="0" w:space="0" w:color="auto"/>
        <w:right w:val="none" w:sz="0" w:space="0" w:color="auto"/>
      </w:divBdr>
      <w:divsChild>
        <w:div w:id="328101897">
          <w:marLeft w:val="0"/>
          <w:marRight w:val="0"/>
          <w:marTop w:val="0"/>
          <w:marBottom w:val="0"/>
          <w:divBdr>
            <w:top w:val="none" w:sz="0" w:space="0" w:color="auto"/>
            <w:left w:val="none" w:sz="0" w:space="0" w:color="auto"/>
            <w:bottom w:val="none" w:sz="0" w:space="0" w:color="auto"/>
            <w:right w:val="none" w:sz="0" w:space="0" w:color="auto"/>
          </w:divBdr>
        </w:div>
      </w:divsChild>
    </w:div>
    <w:div w:id="628441807">
      <w:bodyDiv w:val="1"/>
      <w:marLeft w:val="0"/>
      <w:marRight w:val="0"/>
      <w:marTop w:val="0"/>
      <w:marBottom w:val="0"/>
      <w:divBdr>
        <w:top w:val="none" w:sz="0" w:space="0" w:color="auto"/>
        <w:left w:val="none" w:sz="0" w:space="0" w:color="auto"/>
        <w:bottom w:val="none" w:sz="0" w:space="0" w:color="auto"/>
        <w:right w:val="none" w:sz="0" w:space="0" w:color="auto"/>
      </w:divBdr>
    </w:div>
    <w:div w:id="671108612">
      <w:bodyDiv w:val="1"/>
      <w:marLeft w:val="0"/>
      <w:marRight w:val="0"/>
      <w:marTop w:val="0"/>
      <w:marBottom w:val="0"/>
      <w:divBdr>
        <w:top w:val="none" w:sz="0" w:space="0" w:color="auto"/>
        <w:left w:val="none" w:sz="0" w:space="0" w:color="auto"/>
        <w:bottom w:val="none" w:sz="0" w:space="0" w:color="auto"/>
        <w:right w:val="none" w:sz="0" w:space="0" w:color="auto"/>
      </w:divBdr>
    </w:div>
    <w:div w:id="684791319">
      <w:bodyDiv w:val="1"/>
      <w:marLeft w:val="0"/>
      <w:marRight w:val="0"/>
      <w:marTop w:val="0"/>
      <w:marBottom w:val="0"/>
      <w:divBdr>
        <w:top w:val="none" w:sz="0" w:space="0" w:color="auto"/>
        <w:left w:val="none" w:sz="0" w:space="0" w:color="auto"/>
        <w:bottom w:val="none" w:sz="0" w:space="0" w:color="auto"/>
        <w:right w:val="none" w:sz="0" w:space="0" w:color="auto"/>
      </w:divBdr>
      <w:divsChild>
        <w:div w:id="182863678">
          <w:marLeft w:val="0"/>
          <w:marRight w:val="0"/>
          <w:marTop w:val="0"/>
          <w:marBottom w:val="0"/>
          <w:divBdr>
            <w:top w:val="none" w:sz="0" w:space="0" w:color="auto"/>
            <w:left w:val="none" w:sz="0" w:space="0" w:color="auto"/>
            <w:bottom w:val="none" w:sz="0" w:space="0" w:color="auto"/>
            <w:right w:val="none" w:sz="0" w:space="0" w:color="auto"/>
          </w:divBdr>
        </w:div>
      </w:divsChild>
    </w:div>
    <w:div w:id="804196117">
      <w:bodyDiv w:val="1"/>
      <w:marLeft w:val="0"/>
      <w:marRight w:val="0"/>
      <w:marTop w:val="0"/>
      <w:marBottom w:val="0"/>
      <w:divBdr>
        <w:top w:val="none" w:sz="0" w:space="0" w:color="auto"/>
        <w:left w:val="none" w:sz="0" w:space="0" w:color="auto"/>
        <w:bottom w:val="none" w:sz="0" w:space="0" w:color="auto"/>
        <w:right w:val="none" w:sz="0" w:space="0" w:color="auto"/>
      </w:divBdr>
    </w:div>
    <w:div w:id="845286047">
      <w:bodyDiv w:val="1"/>
      <w:marLeft w:val="0"/>
      <w:marRight w:val="0"/>
      <w:marTop w:val="0"/>
      <w:marBottom w:val="0"/>
      <w:divBdr>
        <w:top w:val="none" w:sz="0" w:space="0" w:color="auto"/>
        <w:left w:val="none" w:sz="0" w:space="0" w:color="auto"/>
        <w:bottom w:val="none" w:sz="0" w:space="0" w:color="auto"/>
        <w:right w:val="none" w:sz="0" w:space="0" w:color="auto"/>
      </w:divBdr>
      <w:divsChild>
        <w:div w:id="2058509096">
          <w:marLeft w:val="0"/>
          <w:marRight w:val="0"/>
          <w:marTop w:val="0"/>
          <w:marBottom w:val="0"/>
          <w:divBdr>
            <w:top w:val="none" w:sz="0" w:space="0" w:color="auto"/>
            <w:left w:val="none" w:sz="0" w:space="0" w:color="auto"/>
            <w:bottom w:val="none" w:sz="0" w:space="0" w:color="auto"/>
            <w:right w:val="none" w:sz="0" w:space="0" w:color="auto"/>
          </w:divBdr>
        </w:div>
      </w:divsChild>
    </w:div>
    <w:div w:id="864442070">
      <w:bodyDiv w:val="1"/>
      <w:marLeft w:val="0"/>
      <w:marRight w:val="0"/>
      <w:marTop w:val="0"/>
      <w:marBottom w:val="0"/>
      <w:divBdr>
        <w:top w:val="none" w:sz="0" w:space="0" w:color="auto"/>
        <w:left w:val="none" w:sz="0" w:space="0" w:color="auto"/>
        <w:bottom w:val="none" w:sz="0" w:space="0" w:color="auto"/>
        <w:right w:val="none" w:sz="0" w:space="0" w:color="auto"/>
      </w:divBdr>
    </w:div>
    <w:div w:id="870919058">
      <w:bodyDiv w:val="1"/>
      <w:marLeft w:val="0"/>
      <w:marRight w:val="0"/>
      <w:marTop w:val="0"/>
      <w:marBottom w:val="0"/>
      <w:divBdr>
        <w:top w:val="none" w:sz="0" w:space="0" w:color="auto"/>
        <w:left w:val="none" w:sz="0" w:space="0" w:color="auto"/>
        <w:bottom w:val="none" w:sz="0" w:space="0" w:color="auto"/>
        <w:right w:val="none" w:sz="0" w:space="0" w:color="auto"/>
      </w:divBdr>
    </w:div>
    <w:div w:id="898438548">
      <w:bodyDiv w:val="1"/>
      <w:marLeft w:val="0"/>
      <w:marRight w:val="0"/>
      <w:marTop w:val="0"/>
      <w:marBottom w:val="0"/>
      <w:divBdr>
        <w:top w:val="none" w:sz="0" w:space="0" w:color="auto"/>
        <w:left w:val="none" w:sz="0" w:space="0" w:color="auto"/>
        <w:bottom w:val="none" w:sz="0" w:space="0" w:color="auto"/>
        <w:right w:val="none" w:sz="0" w:space="0" w:color="auto"/>
      </w:divBdr>
    </w:div>
    <w:div w:id="1001205091">
      <w:bodyDiv w:val="1"/>
      <w:marLeft w:val="0"/>
      <w:marRight w:val="0"/>
      <w:marTop w:val="0"/>
      <w:marBottom w:val="0"/>
      <w:divBdr>
        <w:top w:val="none" w:sz="0" w:space="0" w:color="auto"/>
        <w:left w:val="none" w:sz="0" w:space="0" w:color="auto"/>
        <w:bottom w:val="none" w:sz="0" w:space="0" w:color="auto"/>
        <w:right w:val="none" w:sz="0" w:space="0" w:color="auto"/>
      </w:divBdr>
      <w:divsChild>
        <w:div w:id="1238395032">
          <w:marLeft w:val="0"/>
          <w:marRight w:val="0"/>
          <w:marTop w:val="0"/>
          <w:marBottom w:val="0"/>
          <w:divBdr>
            <w:top w:val="none" w:sz="0" w:space="0" w:color="auto"/>
            <w:left w:val="none" w:sz="0" w:space="0" w:color="auto"/>
            <w:bottom w:val="none" w:sz="0" w:space="0" w:color="auto"/>
            <w:right w:val="none" w:sz="0" w:space="0" w:color="auto"/>
          </w:divBdr>
        </w:div>
      </w:divsChild>
    </w:div>
    <w:div w:id="1009134592">
      <w:bodyDiv w:val="1"/>
      <w:marLeft w:val="0"/>
      <w:marRight w:val="0"/>
      <w:marTop w:val="0"/>
      <w:marBottom w:val="0"/>
      <w:divBdr>
        <w:top w:val="none" w:sz="0" w:space="0" w:color="auto"/>
        <w:left w:val="none" w:sz="0" w:space="0" w:color="auto"/>
        <w:bottom w:val="none" w:sz="0" w:space="0" w:color="auto"/>
        <w:right w:val="none" w:sz="0" w:space="0" w:color="auto"/>
      </w:divBdr>
      <w:divsChild>
        <w:div w:id="1452703441">
          <w:marLeft w:val="0"/>
          <w:marRight w:val="0"/>
          <w:marTop w:val="0"/>
          <w:marBottom w:val="0"/>
          <w:divBdr>
            <w:top w:val="none" w:sz="0" w:space="0" w:color="auto"/>
            <w:left w:val="none" w:sz="0" w:space="0" w:color="auto"/>
            <w:bottom w:val="none" w:sz="0" w:space="0" w:color="auto"/>
            <w:right w:val="none" w:sz="0" w:space="0" w:color="auto"/>
          </w:divBdr>
        </w:div>
      </w:divsChild>
    </w:div>
    <w:div w:id="1013914495">
      <w:bodyDiv w:val="1"/>
      <w:marLeft w:val="0"/>
      <w:marRight w:val="0"/>
      <w:marTop w:val="0"/>
      <w:marBottom w:val="0"/>
      <w:divBdr>
        <w:top w:val="none" w:sz="0" w:space="0" w:color="auto"/>
        <w:left w:val="none" w:sz="0" w:space="0" w:color="auto"/>
        <w:bottom w:val="none" w:sz="0" w:space="0" w:color="auto"/>
        <w:right w:val="none" w:sz="0" w:space="0" w:color="auto"/>
      </w:divBdr>
    </w:div>
    <w:div w:id="1021974510">
      <w:bodyDiv w:val="1"/>
      <w:marLeft w:val="0"/>
      <w:marRight w:val="0"/>
      <w:marTop w:val="0"/>
      <w:marBottom w:val="0"/>
      <w:divBdr>
        <w:top w:val="none" w:sz="0" w:space="0" w:color="auto"/>
        <w:left w:val="none" w:sz="0" w:space="0" w:color="auto"/>
        <w:bottom w:val="none" w:sz="0" w:space="0" w:color="auto"/>
        <w:right w:val="none" w:sz="0" w:space="0" w:color="auto"/>
      </w:divBdr>
      <w:divsChild>
        <w:div w:id="1889099868">
          <w:marLeft w:val="0"/>
          <w:marRight w:val="0"/>
          <w:marTop w:val="0"/>
          <w:marBottom w:val="0"/>
          <w:divBdr>
            <w:top w:val="none" w:sz="0" w:space="0" w:color="auto"/>
            <w:left w:val="none" w:sz="0" w:space="0" w:color="auto"/>
            <w:bottom w:val="none" w:sz="0" w:space="0" w:color="auto"/>
            <w:right w:val="none" w:sz="0" w:space="0" w:color="auto"/>
          </w:divBdr>
        </w:div>
      </w:divsChild>
    </w:div>
    <w:div w:id="1085374139">
      <w:bodyDiv w:val="1"/>
      <w:marLeft w:val="0"/>
      <w:marRight w:val="0"/>
      <w:marTop w:val="0"/>
      <w:marBottom w:val="0"/>
      <w:divBdr>
        <w:top w:val="none" w:sz="0" w:space="0" w:color="auto"/>
        <w:left w:val="none" w:sz="0" w:space="0" w:color="auto"/>
        <w:bottom w:val="none" w:sz="0" w:space="0" w:color="auto"/>
        <w:right w:val="none" w:sz="0" w:space="0" w:color="auto"/>
      </w:divBdr>
      <w:divsChild>
        <w:div w:id="226844650">
          <w:marLeft w:val="0"/>
          <w:marRight w:val="0"/>
          <w:marTop w:val="0"/>
          <w:marBottom w:val="0"/>
          <w:divBdr>
            <w:top w:val="none" w:sz="0" w:space="0" w:color="auto"/>
            <w:left w:val="none" w:sz="0" w:space="0" w:color="auto"/>
            <w:bottom w:val="none" w:sz="0" w:space="0" w:color="auto"/>
            <w:right w:val="none" w:sz="0" w:space="0" w:color="auto"/>
          </w:divBdr>
        </w:div>
      </w:divsChild>
    </w:div>
    <w:div w:id="1111585060">
      <w:bodyDiv w:val="1"/>
      <w:marLeft w:val="0"/>
      <w:marRight w:val="0"/>
      <w:marTop w:val="0"/>
      <w:marBottom w:val="0"/>
      <w:divBdr>
        <w:top w:val="none" w:sz="0" w:space="0" w:color="auto"/>
        <w:left w:val="none" w:sz="0" w:space="0" w:color="auto"/>
        <w:bottom w:val="none" w:sz="0" w:space="0" w:color="auto"/>
        <w:right w:val="none" w:sz="0" w:space="0" w:color="auto"/>
      </w:divBdr>
      <w:divsChild>
        <w:div w:id="1825971280">
          <w:marLeft w:val="0"/>
          <w:marRight w:val="0"/>
          <w:marTop w:val="0"/>
          <w:marBottom w:val="0"/>
          <w:divBdr>
            <w:top w:val="none" w:sz="0" w:space="0" w:color="auto"/>
            <w:left w:val="none" w:sz="0" w:space="0" w:color="auto"/>
            <w:bottom w:val="none" w:sz="0" w:space="0" w:color="auto"/>
            <w:right w:val="none" w:sz="0" w:space="0" w:color="auto"/>
          </w:divBdr>
        </w:div>
      </w:divsChild>
    </w:div>
    <w:div w:id="1188715036">
      <w:bodyDiv w:val="1"/>
      <w:marLeft w:val="0"/>
      <w:marRight w:val="0"/>
      <w:marTop w:val="0"/>
      <w:marBottom w:val="0"/>
      <w:divBdr>
        <w:top w:val="none" w:sz="0" w:space="0" w:color="auto"/>
        <w:left w:val="none" w:sz="0" w:space="0" w:color="auto"/>
        <w:bottom w:val="none" w:sz="0" w:space="0" w:color="auto"/>
        <w:right w:val="none" w:sz="0" w:space="0" w:color="auto"/>
      </w:divBdr>
      <w:divsChild>
        <w:div w:id="1362435770">
          <w:marLeft w:val="0"/>
          <w:marRight w:val="0"/>
          <w:marTop w:val="0"/>
          <w:marBottom w:val="0"/>
          <w:divBdr>
            <w:top w:val="none" w:sz="0" w:space="0" w:color="auto"/>
            <w:left w:val="none" w:sz="0" w:space="0" w:color="auto"/>
            <w:bottom w:val="none" w:sz="0" w:space="0" w:color="auto"/>
            <w:right w:val="none" w:sz="0" w:space="0" w:color="auto"/>
          </w:divBdr>
        </w:div>
      </w:divsChild>
    </w:div>
    <w:div w:id="1190026919">
      <w:bodyDiv w:val="1"/>
      <w:marLeft w:val="0"/>
      <w:marRight w:val="0"/>
      <w:marTop w:val="0"/>
      <w:marBottom w:val="0"/>
      <w:divBdr>
        <w:top w:val="none" w:sz="0" w:space="0" w:color="auto"/>
        <w:left w:val="none" w:sz="0" w:space="0" w:color="auto"/>
        <w:bottom w:val="none" w:sz="0" w:space="0" w:color="auto"/>
        <w:right w:val="none" w:sz="0" w:space="0" w:color="auto"/>
      </w:divBdr>
    </w:div>
    <w:div w:id="1200165132">
      <w:bodyDiv w:val="1"/>
      <w:marLeft w:val="0"/>
      <w:marRight w:val="0"/>
      <w:marTop w:val="0"/>
      <w:marBottom w:val="0"/>
      <w:divBdr>
        <w:top w:val="none" w:sz="0" w:space="0" w:color="auto"/>
        <w:left w:val="none" w:sz="0" w:space="0" w:color="auto"/>
        <w:bottom w:val="none" w:sz="0" w:space="0" w:color="auto"/>
        <w:right w:val="none" w:sz="0" w:space="0" w:color="auto"/>
      </w:divBdr>
      <w:divsChild>
        <w:div w:id="314990660">
          <w:marLeft w:val="0"/>
          <w:marRight w:val="0"/>
          <w:marTop w:val="0"/>
          <w:marBottom w:val="0"/>
          <w:divBdr>
            <w:top w:val="none" w:sz="0" w:space="0" w:color="auto"/>
            <w:left w:val="none" w:sz="0" w:space="0" w:color="auto"/>
            <w:bottom w:val="none" w:sz="0" w:space="0" w:color="auto"/>
            <w:right w:val="none" w:sz="0" w:space="0" w:color="auto"/>
          </w:divBdr>
        </w:div>
      </w:divsChild>
    </w:div>
    <w:div w:id="1202521036">
      <w:bodyDiv w:val="1"/>
      <w:marLeft w:val="0"/>
      <w:marRight w:val="0"/>
      <w:marTop w:val="0"/>
      <w:marBottom w:val="0"/>
      <w:divBdr>
        <w:top w:val="none" w:sz="0" w:space="0" w:color="auto"/>
        <w:left w:val="none" w:sz="0" w:space="0" w:color="auto"/>
        <w:bottom w:val="none" w:sz="0" w:space="0" w:color="auto"/>
        <w:right w:val="none" w:sz="0" w:space="0" w:color="auto"/>
      </w:divBdr>
      <w:divsChild>
        <w:div w:id="655763597">
          <w:marLeft w:val="0"/>
          <w:marRight w:val="0"/>
          <w:marTop w:val="0"/>
          <w:marBottom w:val="0"/>
          <w:divBdr>
            <w:top w:val="none" w:sz="0" w:space="0" w:color="auto"/>
            <w:left w:val="none" w:sz="0" w:space="0" w:color="auto"/>
            <w:bottom w:val="none" w:sz="0" w:space="0" w:color="auto"/>
            <w:right w:val="none" w:sz="0" w:space="0" w:color="auto"/>
          </w:divBdr>
        </w:div>
      </w:divsChild>
    </w:div>
    <w:div w:id="12399442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32">
          <w:marLeft w:val="0"/>
          <w:marRight w:val="0"/>
          <w:marTop w:val="0"/>
          <w:marBottom w:val="0"/>
          <w:divBdr>
            <w:top w:val="none" w:sz="0" w:space="0" w:color="auto"/>
            <w:left w:val="none" w:sz="0" w:space="0" w:color="auto"/>
            <w:bottom w:val="none" w:sz="0" w:space="0" w:color="auto"/>
            <w:right w:val="none" w:sz="0" w:space="0" w:color="auto"/>
          </w:divBdr>
        </w:div>
      </w:divsChild>
    </w:div>
    <w:div w:id="1288704481">
      <w:bodyDiv w:val="1"/>
      <w:marLeft w:val="0"/>
      <w:marRight w:val="0"/>
      <w:marTop w:val="0"/>
      <w:marBottom w:val="0"/>
      <w:divBdr>
        <w:top w:val="none" w:sz="0" w:space="0" w:color="auto"/>
        <w:left w:val="none" w:sz="0" w:space="0" w:color="auto"/>
        <w:bottom w:val="none" w:sz="0" w:space="0" w:color="auto"/>
        <w:right w:val="none" w:sz="0" w:space="0" w:color="auto"/>
      </w:divBdr>
    </w:div>
    <w:div w:id="1318151524">
      <w:bodyDiv w:val="1"/>
      <w:marLeft w:val="0"/>
      <w:marRight w:val="0"/>
      <w:marTop w:val="0"/>
      <w:marBottom w:val="0"/>
      <w:divBdr>
        <w:top w:val="none" w:sz="0" w:space="0" w:color="auto"/>
        <w:left w:val="none" w:sz="0" w:space="0" w:color="auto"/>
        <w:bottom w:val="none" w:sz="0" w:space="0" w:color="auto"/>
        <w:right w:val="none" w:sz="0" w:space="0" w:color="auto"/>
      </w:divBdr>
    </w:div>
    <w:div w:id="1331132542">
      <w:bodyDiv w:val="1"/>
      <w:marLeft w:val="0"/>
      <w:marRight w:val="0"/>
      <w:marTop w:val="0"/>
      <w:marBottom w:val="0"/>
      <w:divBdr>
        <w:top w:val="none" w:sz="0" w:space="0" w:color="auto"/>
        <w:left w:val="none" w:sz="0" w:space="0" w:color="auto"/>
        <w:bottom w:val="none" w:sz="0" w:space="0" w:color="auto"/>
        <w:right w:val="none" w:sz="0" w:space="0" w:color="auto"/>
      </w:divBdr>
      <w:divsChild>
        <w:div w:id="1877695309">
          <w:marLeft w:val="0"/>
          <w:marRight w:val="0"/>
          <w:marTop w:val="0"/>
          <w:marBottom w:val="0"/>
          <w:divBdr>
            <w:top w:val="none" w:sz="0" w:space="0" w:color="auto"/>
            <w:left w:val="none" w:sz="0" w:space="0" w:color="auto"/>
            <w:bottom w:val="none" w:sz="0" w:space="0" w:color="auto"/>
            <w:right w:val="none" w:sz="0" w:space="0" w:color="auto"/>
          </w:divBdr>
        </w:div>
      </w:divsChild>
    </w:div>
    <w:div w:id="1372724427">
      <w:bodyDiv w:val="1"/>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
      </w:divsChild>
    </w:div>
    <w:div w:id="1500004566">
      <w:bodyDiv w:val="1"/>
      <w:marLeft w:val="0"/>
      <w:marRight w:val="0"/>
      <w:marTop w:val="0"/>
      <w:marBottom w:val="0"/>
      <w:divBdr>
        <w:top w:val="none" w:sz="0" w:space="0" w:color="auto"/>
        <w:left w:val="none" w:sz="0" w:space="0" w:color="auto"/>
        <w:bottom w:val="none" w:sz="0" w:space="0" w:color="auto"/>
        <w:right w:val="none" w:sz="0" w:space="0" w:color="auto"/>
      </w:divBdr>
      <w:divsChild>
        <w:div w:id="1044135322">
          <w:marLeft w:val="0"/>
          <w:marRight w:val="0"/>
          <w:marTop w:val="0"/>
          <w:marBottom w:val="0"/>
          <w:divBdr>
            <w:top w:val="none" w:sz="0" w:space="0" w:color="auto"/>
            <w:left w:val="none" w:sz="0" w:space="0" w:color="auto"/>
            <w:bottom w:val="none" w:sz="0" w:space="0" w:color="auto"/>
            <w:right w:val="none" w:sz="0" w:space="0" w:color="auto"/>
          </w:divBdr>
        </w:div>
      </w:divsChild>
    </w:div>
    <w:div w:id="1624194062">
      <w:bodyDiv w:val="1"/>
      <w:marLeft w:val="0"/>
      <w:marRight w:val="0"/>
      <w:marTop w:val="0"/>
      <w:marBottom w:val="0"/>
      <w:divBdr>
        <w:top w:val="none" w:sz="0" w:space="0" w:color="auto"/>
        <w:left w:val="none" w:sz="0" w:space="0" w:color="auto"/>
        <w:bottom w:val="none" w:sz="0" w:space="0" w:color="auto"/>
        <w:right w:val="none" w:sz="0" w:space="0" w:color="auto"/>
      </w:divBdr>
    </w:div>
    <w:div w:id="1654140469">
      <w:bodyDiv w:val="1"/>
      <w:marLeft w:val="0"/>
      <w:marRight w:val="0"/>
      <w:marTop w:val="0"/>
      <w:marBottom w:val="0"/>
      <w:divBdr>
        <w:top w:val="none" w:sz="0" w:space="0" w:color="auto"/>
        <w:left w:val="none" w:sz="0" w:space="0" w:color="auto"/>
        <w:bottom w:val="none" w:sz="0" w:space="0" w:color="auto"/>
        <w:right w:val="none" w:sz="0" w:space="0" w:color="auto"/>
      </w:divBdr>
    </w:div>
    <w:div w:id="1773698253">
      <w:bodyDiv w:val="1"/>
      <w:marLeft w:val="0"/>
      <w:marRight w:val="0"/>
      <w:marTop w:val="0"/>
      <w:marBottom w:val="0"/>
      <w:divBdr>
        <w:top w:val="none" w:sz="0" w:space="0" w:color="auto"/>
        <w:left w:val="none" w:sz="0" w:space="0" w:color="auto"/>
        <w:bottom w:val="none" w:sz="0" w:space="0" w:color="auto"/>
        <w:right w:val="none" w:sz="0" w:space="0" w:color="auto"/>
      </w:divBdr>
    </w:div>
    <w:div w:id="1786074700">
      <w:bodyDiv w:val="1"/>
      <w:marLeft w:val="0"/>
      <w:marRight w:val="0"/>
      <w:marTop w:val="0"/>
      <w:marBottom w:val="0"/>
      <w:divBdr>
        <w:top w:val="none" w:sz="0" w:space="0" w:color="auto"/>
        <w:left w:val="none" w:sz="0" w:space="0" w:color="auto"/>
        <w:bottom w:val="none" w:sz="0" w:space="0" w:color="auto"/>
        <w:right w:val="none" w:sz="0" w:space="0" w:color="auto"/>
      </w:divBdr>
      <w:divsChild>
        <w:div w:id="354699762">
          <w:marLeft w:val="0"/>
          <w:marRight w:val="0"/>
          <w:marTop w:val="0"/>
          <w:marBottom w:val="0"/>
          <w:divBdr>
            <w:top w:val="none" w:sz="0" w:space="0" w:color="auto"/>
            <w:left w:val="none" w:sz="0" w:space="0" w:color="auto"/>
            <w:bottom w:val="none" w:sz="0" w:space="0" w:color="auto"/>
            <w:right w:val="none" w:sz="0" w:space="0" w:color="auto"/>
          </w:divBdr>
        </w:div>
      </w:divsChild>
    </w:div>
    <w:div w:id="1823621207">
      <w:bodyDiv w:val="1"/>
      <w:marLeft w:val="0"/>
      <w:marRight w:val="0"/>
      <w:marTop w:val="0"/>
      <w:marBottom w:val="0"/>
      <w:divBdr>
        <w:top w:val="none" w:sz="0" w:space="0" w:color="auto"/>
        <w:left w:val="none" w:sz="0" w:space="0" w:color="auto"/>
        <w:bottom w:val="none" w:sz="0" w:space="0" w:color="auto"/>
        <w:right w:val="none" w:sz="0" w:space="0" w:color="auto"/>
      </w:divBdr>
      <w:divsChild>
        <w:div w:id="726994290">
          <w:marLeft w:val="0"/>
          <w:marRight w:val="0"/>
          <w:marTop w:val="0"/>
          <w:marBottom w:val="0"/>
          <w:divBdr>
            <w:top w:val="none" w:sz="0" w:space="0" w:color="auto"/>
            <w:left w:val="none" w:sz="0" w:space="0" w:color="auto"/>
            <w:bottom w:val="none" w:sz="0" w:space="0" w:color="auto"/>
            <w:right w:val="none" w:sz="0" w:space="0" w:color="auto"/>
          </w:divBdr>
        </w:div>
      </w:divsChild>
    </w:div>
    <w:div w:id="1916276761">
      <w:bodyDiv w:val="1"/>
      <w:marLeft w:val="0"/>
      <w:marRight w:val="0"/>
      <w:marTop w:val="0"/>
      <w:marBottom w:val="0"/>
      <w:divBdr>
        <w:top w:val="none" w:sz="0" w:space="0" w:color="auto"/>
        <w:left w:val="none" w:sz="0" w:space="0" w:color="auto"/>
        <w:bottom w:val="none" w:sz="0" w:space="0" w:color="auto"/>
        <w:right w:val="none" w:sz="0" w:space="0" w:color="auto"/>
      </w:divBdr>
    </w:div>
    <w:div w:id="1956593700">
      <w:bodyDiv w:val="1"/>
      <w:marLeft w:val="0"/>
      <w:marRight w:val="0"/>
      <w:marTop w:val="0"/>
      <w:marBottom w:val="0"/>
      <w:divBdr>
        <w:top w:val="none" w:sz="0" w:space="0" w:color="auto"/>
        <w:left w:val="none" w:sz="0" w:space="0" w:color="auto"/>
        <w:bottom w:val="none" w:sz="0" w:space="0" w:color="auto"/>
        <w:right w:val="none" w:sz="0" w:space="0" w:color="auto"/>
      </w:divBdr>
      <w:divsChild>
        <w:div w:id="271011148">
          <w:marLeft w:val="1166"/>
          <w:marRight w:val="0"/>
          <w:marTop w:val="96"/>
          <w:marBottom w:val="0"/>
          <w:divBdr>
            <w:top w:val="none" w:sz="0" w:space="0" w:color="auto"/>
            <w:left w:val="none" w:sz="0" w:space="0" w:color="auto"/>
            <w:bottom w:val="none" w:sz="0" w:space="0" w:color="auto"/>
            <w:right w:val="none" w:sz="0" w:space="0" w:color="auto"/>
          </w:divBdr>
        </w:div>
      </w:divsChild>
    </w:div>
    <w:div w:id="2007589805">
      <w:bodyDiv w:val="1"/>
      <w:marLeft w:val="0"/>
      <w:marRight w:val="0"/>
      <w:marTop w:val="0"/>
      <w:marBottom w:val="0"/>
      <w:divBdr>
        <w:top w:val="none" w:sz="0" w:space="0" w:color="auto"/>
        <w:left w:val="none" w:sz="0" w:space="0" w:color="auto"/>
        <w:bottom w:val="none" w:sz="0" w:space="0" w:color="auto"/>
        <w:right w:val="none" w:sz="0" w:space="0" w:color="auto"/>
      </w:divBdr>
      <w:divsChild>
        <w:div w:id="1585063942">
          <w:marLeft w:val="0"/>
          <w:marRight w:val="0"/>
          <w:marTop w:val="0"/>
          <w:marBottom w:val="0"/>
          <w:divBdr>
            <w:top w:val="none" w:sz="0" w:space="0" w:color="auto"/>
            <w:left w:val="none" w:sz="0" w:space="0" w:color="auto"/>
            <w:bottom w:val="none" w:sz="0" w:space="0" w:color="auto"/>
            <w:right w:val="none" w:sz="0" w:space="0" w:color="auto"/>
          </w:divBdr>
        </w:div>
      </w:divsChild>
    </w:div>
    <w:div w:id="2011904767">
      <w:bodyDiv w:val="1"/>
      <w:marLeft w:val="0"/>
      <w:marRight w:val="0"/>
      <w:marTop w:val="0"/>
      <w:marBottom w:val="0"/>
      <w:divBdr>
        <w:top w:val="none" w:sz="0" w:space="0" w:color="auto"/>
        <w:left w:val="none" w:sz="0" w:space="0" w:color="auto"/>
        <w:bottom w:val="none" w:sz="0" w:space="0" w:color="auto"/>
        <w:right w:val="none" w:sz="0" w:space="0" w:color="auto"/>
      </w:divBdr>
      <w:divsChild>
        <w:div w:id="841895020">
          <w:marLeft w:val="0"/>
          <w:marRight w:val="0"/>
          <w:marTop w:val="0"/>
          <w:marBottom w:val="0"/>
          <w:divBdr>
            <w:top w:val="none" w:sz="0" w:space="0" w:color="auto"/>
            <w:left w:val="none" w:sz="0" w:space="0" w:color="auto"/>
            <w:bottom w:val="none" w:sz="0" w:space="0" w:color="auto"/>
            <w:right w:val="none" w:sz="0" w:space="0" w:color="auto"/>
          </w:divBdr>
        </w:div>
      </w:divsChild>
    </w:div>
    <w:div w:id="2076930613">
      <w:bodyDiv w:val="1"/>
      <w:marLeft w:val="0"/>
      <w:marRight w:val="0"/>
      <w:marTop w:val="0"/>
      <w:marBottom w:val="0"/>
      <w:divBdr>
        <w:top w:val="none" w:sz="0" w:space="0" w:color="auto"/>
        <w:left w:val="none" w:sz="0" w:space="0" w:color="auto"/>
        <w:bottom w:val="none" w:sz="0" w:space="0" w:color="auto"/>
        <w:right w:val="none" w:sz="0" w:space="0" w:color="auto"/>
      </w:divBdr>
    </w:div>
    <w:div w:id="209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image" Target="media/image25.wmf"/><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emf"/><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hyperlink" Target="http://iresearch.worldbank.org/PovMap/PovMap2/PovMap2Manual.pdf"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jpeg"/></Relationships>
</file>

<file path=word/_rels/footnotes.xml.rels><?xml version="1.0" encoding="UTF-8" standalone="yes"?>
<Relationships xmlns="http://schemas.openxmlformats.org/package/2006/relationships"><Relationship Id="rId1" Type="http://schemas.openxmlformats.org/officeDocument/2006/relationships/hyperlink" Target="http://www.globaltimber.org.uk/solomonislan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3811-CF9B-4062-8B91-88988C02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7285</Words>
  <Characters>41525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CGD</Company>
  <LinksUpToDate>false</LinksUpToDate>
  <CharactersWithSpaces>48713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Garland (JGarland@cgdev.org)</dc:creator>
  <cp:lastModifiedBy>Brian Silverstone</cp:lastModifiedBy>
  <cp:revision>24</cp:revision>
  <cp:lastPrinted>2017-06-20T05:17:00Z</cp:lastPrinted>
  <dcterms:created xsi:type="dcterms:W3CDTF">2017-06-12T01:42:00Z</dcterms:created>
  <dcterms:modified xsi:type="dcterms:W3CDTF">2017-07-17T01:27:00Z</dcterms:modified>
</cp:coreProperties>
</file>